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A2FE7" w14:textId="77777777" w:rsidR="00C365BD" w:rsidRPr="00C365BD" w:rsidRDefault="00C365BD" w:rsidP="00C365BD">
      <w:pPr>
        <w:pStyle w:val="Title"/>
        <w:jc w:val="both"/>
        <w:rPr>
          <w:rFonts w:ascii="Arial" w:hAnsi="Arial" w:cs="Arial"/>
          <w:bCs/>
          <w:i/>
          <w:iCs/>
          <w:u w:val="single"/>
        </w:rPr>
      </w:pPr>
      <w:r w:rsidRPr="00C365BD">
        <w:rPr>
          <w:rFonts w:ascii="Arial" w:hAnsi="Arial" w:cs="Arial"/>
          <w:bCs/>
          <w:i/>
          <w:iCs/>
          <w:u w:val="single"/>
        </w:rPr>
        <w:t>Original Research Article</w:t>
      </w:r>
    </w:p>
    <w:p w14:paraId="42816C1E" w14:textId="77777777" w:rsidR="00754C9A" w:rsidRDefault="00754C9A" w:rsidP="00441B6F">
      <w:pPr>
        <w:pStyle w:val="Title"/>
        <w:spacing w:after="0"/>
        <w:jc w:val="both"/>
        <w:rPr>
          <w:rFonts w:ascii="Arial" w:hAnsi="Arial" w:cs="Arial"/>
        </w:rPr>
      </w:pPr>
    </w:p>
    <w:p w14:paraId="794F3C7D" w14:textId="77777777" w:rsidR="00D82620" w:rsidRDefault="00D82620" w:rsidP="00D82620">
      <w:pPr>
        <w:jc w:val="right"/>
        <w:rPr>
          <w:rFonts w:ascii="Arial" w:hAnsi="Arial" w:cs="Arial"/>
          <w:b/>
          <w:bCs/>
          <w:sz w:val="36"/>
          <w:szCs w:val="36"/>
        </w:rPr>
      </w:pPr>
      <w:r w:rsidRPr="00D2364E">
        <w:rPr>
          <w:rFonts w:ascii="Arial" w:hAnsi="Arial" w:cs="Arial"/>
          <w:b/>
          <w:bCs/>
          <w:sz w:val="36"/>
          <w:szCs w:val="36"/>
        </w:rPr>
        <w:t>Occurrence and Distribution of Multi-Class Pesticide Residues in Municipal Solid Waste Compost from Bengaluru, India</w:t>
      </w:r>
    </w:p>
    <w:p w14:paraId="598CE31A" w14:textId="77777777" w:rsidR="00A258C3" w:rsidRPr="00790ADA" w:rsidRDefault="00A258C3" w:rsidP="00441B6F">
      <w:pPr>
        <w:pStyle w:val="Author"/>
        <w:spacing w:line="240" w:lineRule="auto"/>
        <w:jc w:val="both"/>
        <w:rPr>
          <w:rFonts w:ascii="Arial" w:hAnsi="Arial" w:cs="Arial"/>
          <w:sz w:val="36"/>
        </w:rPr>
      </w:pPr>
    </w:p>
    <w:p w14:paraId="7B2242F1" w14:textId="77777777" w:rsidR="00C365BD" w:rsidRDefault="00C365BD" w:rsidP="00D82620">
      <w:pPr>
        <w:pStyle w:val="Affiliation"/>
        <w:spacing w:after="0" w:line="240" w:lineRule="auto"/>
        <w:rPr>
          <w:rFonts w:ascii="Arial" w:hAnsi="Arial" w:cs="Arial"/>
          <w:i/>
          <w:iCs/>
        </w:rPr>
      </w:pPr>
    </w:p>
    <w:p w14:paraId="3FEF4D2B" w14:textId="77777777" w:rsidR="00D82620" w:rsidRPr="00FB3A86" w:rsidRDefault="00D82620" w:rsidP="00D82620">
      <w:pPr>
        <w:pStyle w:val="Affiliation"/>
        <w:spacing w:after="0" w:line="240" w:lineRule="auto"/>
        <w:rPr>
          <w:rFonts w:ascii="Arial" w:hAnsi="Arial" w:cs="Arial"/>
        </w:rPr>
      </w:pPr>
    </w:p>
    <w:p w14:paraId="3214837A" w14:textId="77777777" w:rsidR="00B01FCD" w:rsidRPr="00FB3A86" w:rsidRDefault="002A2F4E" w:rsidP="00441B6F">
      <w:pPr>
        <w:pStyle w:val="Copyright"/>
        <w:spacing w:after="0" w:line="240" w:lineRule="auto"/>
        <w:jc w:val="both"/>
        <w:rPr>
          <w:rFonts w:ascii="Arial" w:hAnsi="Arial" w:cs="Arial"/>
        </w:rPr>
        <w:sectPr w:rsidR="00B01FCD" w:rsidRPr="00FB3A86" w:rsidSect="00A24B6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F77AA8C">
          <v:shapetype id="_x0000_t32" coordsize="21600,21600" o:spt="32" o:oned="t" path="m,l21600,21600e" filled="f">
            <v:path arrowok="t" fillok="f" o:connecttype="none"/>
            <o:lock v:ext="edit" shapetype="t"/>
          </v:shapetype>
          <v:shape id="_x0000_s10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804A0E2" w14:textId="7CD647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9CD57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C1B88A" w14:textId="77777777" w:rsidTr="001E44FE">
        <w:tc>
          <w:tcPr>
            <w:tcW w:w="9576" w:type="dxa"/>
            <w:shd w:val="clear" w:color="auto" w:fill="F2F2F2"/>
          </w:tcPr>
          <w:p w14:paraId="2427CD9D" w14:textId="77777777" w:rsidR="00505F06" w:rsidRDefault="006619F2" w:rsidP="00946EAB">
            <w:pPr>
              <w:jc w:val="both"/>
              <w:rPr>
                <w:rFonts w:ascii="Arial" w:hAnsi="Arial" w:cs="Arial"/>
              </w:rPr>
            </w:pPr>
            <w:r w:rsidRPr="00B55FEB">
              <w:rPr>
                <w:rFonts w:ascii="Arial" w:hAnsi="Arial" w:cs="Arial"/>
              </w:rPr>
              <w:t>The present study embodies results on the occurrence and distribution of pesticide residues in MSW compost collected from six operational composting facilities in Bengaluru, India. Pesticide residues were analysed using gas chromatography–tandem mass spectrometry (GC–MS/MS) employing a multi-residue screening approach targeting 185 pesticide residues. Among these, 172 were detected in at least one compost sample, indicating widespread occurrence of residues in MSW compost. Organo-Nitrogen residues (ONP) constituted the largest proportion, followed by Organo-phosphates (0PP), Organo-chlorines (OCP), and synthetic Pyrethroids (SPP). Frequency analysis showed that 21 pesticides were present in all compost samples, while others exhibited variable occurrence across composting units. Concentration analysis revealed that 21 pesticides exceeded 1 mg kg</w:t>
            </w:r>
            <w:r w:rsidRPr="00B55FEB">
              <w:rPr>
                <w:rFonts w:ascii="Cambria Math" w:hAnsi="Cambria Math" w:cs="Cambria Math"/>
              </w:rPr>
              <w:t>⁻</w:t>
            </w:r>
            <w:r w:rsidRPr="00B55FEB">
              <w:rPr>
                <w:rFonts w:ascii="Arial" w:hAnsi="Arial" w:cs="Arial"/>
              </w:rPr>
              <w:t>¹, with cypermethrin (17 mg kg</w:t>
            </w:r>
            <w:r w:rsidRPr="00B55FEB">
              <w:rPr>
                <w:rFonts w:ascii="Cambria Math" w:hAnsi="Cambria Math" w:cs="Cambria Math"/>
              </w:rPr>
              <w:t>⁻</w:t>
            </w:r>
            <w:r w:rsidRPr="00B55FEB">
              <w:rPr>
                <w:rFonts w:ascii="Arial" w:hAnsi="Arial" w:cs="Arial"/>
              </w:rPr>
              <w:t>¹) and cyfluthrin isomers (13 mg kg</w:t>
            </w:r>
            <w:r w:rsidRPr="00B55FEB">
              <w:rPr>
                <w:rFonts w:ascii="Cambria Math" w:hAnsi="Cambria Math" w:cs="Cambria Math"/>
              </w:rPr>
              <w:t>⁻</w:t>
            </w:r>
            <w:r w:rsidRPr="00B55FEB">
              <w:rPr>
                <w:rFonts w:ascii="Arial" w:hAnsi="Arial" w:cs="Arial"/>
              </w:rPr>
              <w:t>¹) among the most abundant residues. The findings emphasize the importance of routine monitoring to ensure environmental safety and sustainable agricultural use.</w:t>
            </w:r>
          </w:p>
          <w:p w14:paraId="1E8566B4" w14:textId="4B418FEB" w:rsidR="00946EAB" w:rsidRPr="00946EAB" w:rsidRDefault="00946EAB" w:rsidP="00946EAB">
            <w:pPr>
              <w:jc w:val="both"/>
              <w:rPr>
                <w:rFonts w:ascii="Arial" w:hAnsi="Arial" w:cs="Arial"/>
              </w:rPr>
            </w:pPr>
          </w:p>
        </w:tc>
      </w:tr>
    </w:tbl>
    <w:p w14:paraId="68D18C54" w14:textId="77777777" w:rsidR="00636EB2" w:rsidRDefault="00636EB2" w:rsidP="00441B6F">
      <w:pPr>
        <w:pStyle w:val="Body"/>
        <w:spacing w:after="0"/>
        <w:rPr>
          <w:rFonts w:ascii="Arial" w:hAnsi="Arial" w:cs="Arial"/>
          <w:i/>
        </w:rPr>
      </w:pPr>
    </w:p>
    <w:p w14:paraId="20C32E51" w14:textId="77777777" w:rsidR="00946EAB" w:rsidRPr="00B76D96" w:rsidRDefault="00A24E7E" w:rsidP="00D047E9">
      <w:pPr>
        <w:jc w:val="both"/>
        <w:rPr>
          <w:rFonts w:ascii="Arial" w:hAnsi="Arial" w:cs="Arial"/>
          <w:i/>
          <w:iCs/>
          <w:sz w:val="24"/>
          <w:szCs w:val="24"/>
        </w:rPr>
      </w:pPr>
      <w:r>
        <w:rPr>
          <w:rFonts w:ascii="Arial" w:hAnsi="Arial" w:cs="Arial"/>
          <w:i/>
        </w:rPr>
        <w:t xml:space="preserve">Keywords: </w:t>
      </w:r>
      <w:r w:rsidR="00946EAB" w:rsidRPr="009A6F0C">
        <w:rPr>
          <w:rFonts w:ascii="Arial" w:hAnsi="Arial" w:cs="Arial"/>
          <w:i/>
          <w:iCs/>
        </w:rPr>
        <w:t>Frequency analysis; GC–MS/MS; MSW compost; Multi-residue screening; Pesticide residues</w:t>
      </w:r>
    </w:p>
    <w:p w14:paraId="36FF55E8" w14:textId="044AAC57" w:rsidR="0024282C" w:rsidRDefault="002A2F4E" w:rsidP="00441B6F">
      <w:pPr>
        <w:pStyle w:val="Body"/>
        <w:spacing w:after="0"/>
        <w:rPr>
          <w:rFonts w:ascii="Arial" w:hAnsi="Arial" w:cs="Arial"/>
        </w:rPr>
      </w:pPr>
      <w:r>
        <w:rPr>
          <w:rFonts w:ascii="Arial" w:hAnsi="Arial" w:cs="Arial"/>
        </w:rPr>
      </w:r>
      <w:r>
        <w:rPr>
          <w:rFonts w:ascii="Arial" w:hAnsi="Arial" w:cs="Arial"/>
        </w:rPr>
        <w:pict w14:anchorId="577D7DA9">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46E95E9" w14:textId="0FD27C19" w:rsidR="00D047E9" w:rsidRPr="00D047E9" w:rsidRDefault="00D047E9" w:rsidP="00D047E9">
      <w:pPr>
        <w:pStyle w:val="Body"/>
        <w:spacing w:after="0"/>
        <w:rPr>
          <w:rFonts w:ascii="Arial" w:hAnsi="Arial" w:cs="Arial"/>
          <w:i/>
          <w:iCs/>
        </w:rPr>
      </w:pPr>
    </w:p>
    <w:p w14:paraId="7C8F8676" w14:textId="77777777" w:rsidR="00505F06" w:rsidRPr="00A24E7E" w:rsidRDefault="00505F06" w:rsidP="00441B6F">
      <w:pPr>
        <w:pStyle w:val="Body"/>
        <w:spacing w:after="0"/>
        <w:rPr>
          <w:rFonts w:ascii="Arial" w:hAnsi="Arial" w:cs="Arial"/>
          <w:i/>
        </w:rPr>
      </w:pPr>
    </w:p>
    <w:p w14:paraId="29264D43" w14:textId="6EBA56D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D6EC880" w14:textId="77777777" w:rsidR="00790ADA" w:rsidRPr="00FB3A86" w:rsidRDefault="00790ADA" w:rsidP="00441B6F">
      <w:pPr>
        <w:pStyle w:val="AbstHead"/>
        <w:spacing w:after="0"/>
        <w:jc w:val="both"/>
        <w:rPr>
          <w:rFonts w:ascii="Arial" w:hAnsi="Arial" w:cs="Arial"/>
        </w:rPr>
      </w:pPr>
    </w:p>
    <w:p w14:paraId="5D011F0B" w14:textId="7582D081" w:rsidR="00946EAB" w:rsidRDefault="00946EAB" w:rsidP="00946EAB">
      <w:pPr>
        <w:jc w:val="both"/>
        <w:rPr>
          <w:rFonts w:ascii="Arial" w:hAnsi="Arial" w:cs="Arial"/>
        </w:rPr>
      </w:pPr>
      <w:r w:rsidRPr="003F5293">
        <w:rPr>
          <w:rFonts w:ascii="Arial" w:hAnsi="Arial" w:cs="Arial"/>
        </w:rPr>
        <w:t xml:space="preserve">Managing the biodegradable fraction of municipal solid waste (MSW) remains a major environmental challenge, particularly in rapidly urbanizing regions. Composting is widely recognized as an effective and sustainable tool for recycling organic waste, converting biodegradable materials into nutrient-rich compost that can improve soil fertility and support sustainable agricultural practices </w:t>
      </w:r>
      <w:r w:rsidRPr="003F5293">
        <w:rPr>
          <w:rFonts w:ascii="Arial" w:hAnsi="Arial" w:cs="Arial"/>
        </w:rPr>
        <w:fldChar w:fldCharType="begin" w:fldLock="1"/>
      </w:r>
      <w:r w:rsidRPr="003F5293">
        <w:rPr>
          <w:rFonts w:ascii="Arial" w:hAnsi="Arial" w:cs="Arial"/>
        </w:rPr>
        <w:instrText>ADDIN CSL_CITATION {"citationItems":[{"id":"ITEM-1","itemData":{"abstract":"With increases in global population and urbanization, the production of Municipal Solid Waste (MSW) is growing rapidly, thus contributing to social and environmental concerns for sustainable waste management. This study addresses the research gap in optimizing composting, hypothesizing that integrating best practices and recent innovations can enhance the efficiency of the process. Data were collected through a systematic review of existing literature using Google Scholar and Scopus databases. The review provides an overview of municipal organic waste composting, outlining its processes, benefits, and challenges with the aim of identifying key area of further improvement and possibilities of adopting recent technological innovations. The analysis emphasized that technological advances in composting, as microbial inoculants or in-vessel composting have greatly improved the efficiency and quality of the resulting compost. However, several challenges remain, including managing contaminants such as heavy metals and microplastics, ensuring the compost quality and safety and addressing socioeconomic barriers that prevent widespread adoption. Moreover, process optimization, environmental and economic evaluation, as well as political and public involvement are essential to unlock the whole potential of composting systems.","author":[{"dropping-particle":"","family":"Manea","given":"Elena Elisabeta","non-dropping-particle":"","parse-names":false,"suffix":""},{"dropping-particle":"","family":"Bumbac","given":"Costel","non-dropping-particle":"","parse-names":false,"suffix":""},{"dropping-particle":"","family":"Dinu","given":"Laurentiu Razvan","non-dropping-particle":"","parse-names":false,"suffix":""},{"dropping-particle":"","family":"Bumbac","given":"Marius","non-dropping-particle":"","parse-names":false,"suffix":""},{"dropping-particle":"","family":"Nicolescu","given":"Cristina Mihaela","non-dropping-particle":"","parse-names":false,"suffix":""}],"id":"ITEM-1","issued":{"date-parts":[["2024"]]},"page":"1-25","title":"Composting as a Sustainable Solution for Organic Solid Waste Management : Current Practices and Potential Improvements","type":"article-journal"},"uris":["http://www.mendeley.com/documents/?uuid=2221b572-da34-463f-a0d3-452d88f890d2"]},{"id":"ITEM-2","itemData":{"DOI":"10.3390/agronomy10111838","ISSN":"20734395","abstract":"Composting has become a preferable option to treat organic wastes to obtain a final stable sanitized product that can be used as an organic amendment. From home composting to big municipal waste treatment plants, composting is one of the few technologies that can be practically implemented at any scale. This review explores some of the essential issues in the field of composting/compost research: on one hand, the main parameters related to composting performance are compiled, with especial emphasis on the maturity and stability of compost; on the other hand, the main rules of applying compost on crops and other applications are explored in detail, including all the effects that compost can have on agricultural land. Especial attention is paid to aspects such as the improvement of the fertility of soils once compost is applied, the suppressor effect of compost and some negative experiences of massive compost application.","author":[{"dropping-particle":"","family":"Sayara","given":"Tahseen","non-dropping-particle":"","parse-names":false,"suffix":""},{"dropping-particle":"","family":"Basheer-Salimia","given":"Rezq","non-dropping-particle":"","parse-names":false,"suffix":""},{"dropping-particle":"","family":"Hawamde","given":"Fatina","non-dropping-particle":"","parse-names":false,"suffix":""},{"dropping-particle":"","family":"Sánchez","given":"Antoni","non-dropping-particle":"","parse-names":false,"suffix":""}],"container-title":"Agronomy","id":"ITEM-2","issue":"11","issued":{"date-parts":[["2020"]]},"title":"Recycling of organic wastes through composting: Process performance and compost application in agriculture","type":"article-journal","volume":"10"},"uris":["http://www.mendeley.com/documents/?uuid=076ee39d-96e8-4a8e-b109-ba93d534058f"]}],"mendeley":{"formattedCitation":"(Manea et al. 2024; Sayara et al. 2020)","plainTextFormattedCitation":"(Manea et al. 2024; Sayara et al. 2020)","previouslyFormattedCitation":"(Manea et al. 2024; Sayara et al. 2020)"},"properties":{"noteIndex":0},"schema":"https://github.com/citation-style-language/schema/raw/master/csl-citation.json"}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(Manea et al. 2024; Sayara et al. 2020)</w:t>
      </w:r>
      <w:r w:rsidRPr="003F5293">
        <w:rPr>
          <w:rFonts w:ascii="Arial" w:hAnsi="Arial" w:cs="Arial"/>
        </w:rPr>
        <w:fldChar w:fldCharType="end"/>
      </w:r>
      <w:r w:rsidRPr="003F5293">
        <w:rPr>
          <w:rFonts w:ascii="Arial" w:hAnsi="Arial" w:cs="Arial"/>
        </w:rPr>
        <w:t xml:space="preserve">. MSW compost is increasingly promoted as an organic soil amendment because of its ability to enhance soil structure, increase organic carbon content, and improve microbial activity. The application of compost derived from municipal waste can also contribute to nutrient recycling and reduce reliance on synthetic fertilizers </w:t>
      </w:r>
      <w:r w:rsidRPr="003F5293">
        <w:rPr>
          <w:rFonts w:ascii="Arial" w:hAnsi="Arial" w:cs="Arial"/>
        </w:rPr>
        <w:fldChar w:fldCharType="begin" w:fldLock="1"/>
      </w:r>
      <w:r w:rsidRPr="003F5293">
        <w:rPr>
          <w:rFonts w:ascii="Arial" w:hAnsi="Arial" w:cs="Arial"/>
        </w:rPr>
        <w:instrText>ADDIN CSL_CITATION {"citationItems":[{"id":"ITEM-1","itemData":{"DOI":"10.1016/j.agee.2007.07.004","ISSN":"01678809","abstract":"Municipal solid waste (MSW) compost is increasingly used in agriculture as a soil conditioner but also as a fertilizer. Proponents of this practice consider it an important recycling tool since MSW would otherwise be landfilled and critics are concerned with its often elevated metal concentrations. Large amounts of MSW compost are frequently used in agriculture to meet crop N requirements and for the addition of organic matter. The main concern is loading the soil with metals that can result in increased metal content of crops. Furthermore, in some cases, metals and excess nutrients can move through the soil profile into groundwater. Municipal solid waste compost has also been reported to have high salt concentrations, which can inhibit plant growth and negatively affect soil structure. A review of relevant agricultural studies is presented as well as recommendations for improving MSW compost quality. Its safe use in agriculture can be ensured with source separation (or triage of MSW to be composted) as well as the development and implementation of comprehensive industry standards. © 2007 Elsevier B.V. All rights reserved.","author":[{"dropping-particle":"","family":"Hargreaves","given":"J. C.","non-dropping-particle":"","parse-names":false,"suffix":""},{"dropping-particle":"","family":"Adl","given":"M. S.","non-dropping-particle":"","parse-names":false,"suffix":""},{"dropping-particle":"","family":"Warman","given":"P. R.","non-dropping-particle":"","parse-names":false,"suffix":""}],"container-title":"Agriculture, Ecosystems and Environment","id":"ITEM-1","issue":"1-3","issued":{"date-parts":[["2008"]]},"page":"1-14","title":"A review of the use of composted municipal solid waste in agriculture","type":"article-journal","volume":"123"},"uris":["http://www.mendeley.com/documents/?uuid=7a407086-9968-4cfb-a99d-395d1087ba69"]}],"mendeley":{"formattedCitation":"(Hargreaves, Adl, and Warman 2008)","plainTextFormattedCitation":"(Hargreaves, Adl, and Warman 2008)","previouslyFormattedCitation":"(Hargreaves, Adl, and Warman 2008)"},"properties":{"noteIndex":0},"schema":"https://github.com/citation-style-language/schema/raw/master/csl-citation.json"}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(Hargreaves et al.,2008)</w:t>
      </w:r>
      <w:r w:rsidRPr="003F5293">
        <w:rPr>
          <w:rFonts w:ascii="Arial" w:hAnsi="Arial" w:cs="Arial"/>
        </w:rPr>
        <w:fldChar w:fldCharType="end"/>
      </w:r>
      <w:r w:rsidRPr="003F5293">
        <w:rPr>
          <w:rFonts w:ascii="Arial" w:hAnsi="Arial" w:cs="Arial"/>
        </w:rPr>
        <w:t xml:space="preserve">. </w:t>
      </w:r>
    </w:p>
    <w:p w14:paraId="20F340AC" w14:textId="77777777" w:rsidR="002741C0" w:rsidRPr="003F5293" w:rsidRDefault="002741C0" w:rsidP="00946EAB">
      <w:pPr>
        <w:jc w:val="both"/>
        <w:rPr>
          <w:rFonts w:ascii="Arial" w:hAnsi="Arial" w:cs="Arial"/>
        </w:rPr>
      </w:pPr>
    </w:p>
    <w:p w14:paraId="0F10C490" w14:textId="77777777" w:rsidR="00946EAB" w:rsidRDefault="00946EAB" w:rsidP="00946EAB">
      <w:pPr>
        <w:jc w:val="both"/>
        <w:rPr>
          <w:rFonts w:ascii="Arial" w:hAnsi="Arial" w:cs="Arial"/>
        </w:rPr>
      </w:pPr>
      <w:r w:rsidRPr="003F5293">
        <w:rPr>
          <w:rFonts w:ascii="Arial" w:hAnsi="Arial" w:cs="Arial"/>
        </w:rPr>
        <w:t xml:space="preserve">Despite several benefits, MSW compost made from mixed urban waste streams may contain many contaminants, including heavy metals, pharmaceuticals, and pesticide residues. Pesticides can enter municipal waste streams through discarded fruits and vegetables, market waste, household kitchen waste, and horticultural residues </w:t>
      </w:r>
      <w:r w:rsidRPr="003F5293">
        <w:rPr>
          <w:rFonts w:ascii="Arial" w:hAnsi="Arial" w:cs="Arial"/>
        </w:rPr>
        <w:fldChar w:fldCharType="begin" w:fldLock="1"/>
      </w:r>
      <w:r w:rsidRPr="003F5293">
        <w:rPr>
          <w:rFonts w:ascii="Arial" w:hAnsi="Arial" w:cs="Arial"/>
        </w:rPr>
        <w:instrText>ADDIN CSL_CITATION {"citationItems":[{"id":"ITEM-1","itemData":{"abstract":"The objective of this study aims to monitor pesticide residues in organic waste in Northeast Thailand. Pesticides are widely used in agriculture and trade of agricultural products to increase agricultural yield and to protect plants from diseases, weeds and insect damage. The increasing use of pesticides has significantly increased crop contamination and human health hazard. On the Thai markets, fruit and vegetables have high risk for pesticide contamination. Uneatable and unusable parts of these goods transform to a fraction of organic waste. The quantity of waste in terms of solid waste from Northeast Thailand was 11,820 tons/day and over 50% was organic waste. Composting (such as compost, biological fermentation fertilizer) and animal feed are conventional methods to manage waste from vegetables and fruit in Northeast Thailand. However, the risk assessment of pesticide residue in organic waste should be studied and taken into consideration for environmental safety and human health. A total of 22 pesticides from different chemical groups (organochlorine, organophosphate and pyrethroid) in the different organic wastes collected from the markets in Khon Kaen provinces, in the Northeast of Thailand, were monitored in the rainy and winter season in the year 2010 by gas chromatography with electron capture detector (ECD) and flame photometric detector (FPD). Pesticide residues were found in organic waste. The most frequently found pesticides were cypermethrin followed by chlorpyrifos deltametrhrin and lambda-cyhalothrin, respectively ranging from 0.044 to 2.608 mg kg-1. Pesticide residue in organic waste was found to be higher in the winter season than in the rainy season. Pesticide residue was found higher in cabbages followed by kale, lettuce and corn peel, respectively. Therefore, a monitoring program for pesticide residues and a risk assessment study in organic waste are needed for protection of human's health and the environment.","author":[{"dropping-particle":"","family":"Prasopsuk","given":"Jarupong","non-dropping-particle":"","parse-names":false,"suffix":""},{"dropping-particle":"","family":"Boonthai Iwai","given":"Chuleemas","non-dropping-particle":"","parse-names":false,"suffix":""}],"container-title":"IJERD-International Journal of Environmental and Rural Development","id":"ITEM-1","issued":{"date-parts":[["2011"]]},"page":"2-3","title":"Risk Assessment of Pesticide Residues in Organic Waste in Northeast Thailand","type":"article-journal"},"uris":["http://www.mendeley.com/documents/?uuid=bc177b96-a7a2-4ec3-9fd8-898b929c9859"]}],"mendeley":{"formattedCitation":"(Prasopsuk and Boonthai Iwai 2011)","plainTextFormattedCitation":"(Prasopsuk and Boonthai Iwai 2011)","previouslyFormattedCitation":"(Prasopsuk and Boonthai Iwai 2011)"},"properties":{"noteIndex":0},"schema":"https://github.com/citation-style-language/schema/raw/master/csl-citation.json"}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 xml:space="preserve">(Prasopsuk and Boonthai </w:t>
      </w:r>
      <w:r w:rsidRPr="003F5293">
        <w:rPr>
          <w:rFonts w:ascii="Arial" w:hAnsi="Arial" w:cs="Arial"/>
          <w:noProof/>
        </w:rPr>
        <w:lastRenderedPageBreak/>
        <w:t>2011)</w:t>
      </w:r>
      <w:r w:rsidRPr="003F5293">
        <w:rPr>
          <w:rFonts w:ascii="Arial" w:hAnsi="Arial" w:cs="Arial"/>
        </w:rPr>
        <w:fldChar w:fldCharType="end"/>
      </w:r>
      <w:r w:rsidRPr="003F5293">
        <w:rPr>
          <w:rFonts w:ascii="Arial" w:hAnsi="Arial" w:cs="Arial"/>
        </w:rPr>
        <w:t>. It is also observed that contaminant levels in urban areas exceed those in rural areas because of a generally more diverse urban ecosystem than agricultural ecosystems, which are limited to specific crops</w:t>
      </w:r>
      <w:r w:rsidRPr="003F5293">
        <w:rPr>
          <w:rFonts w:ascii="Arial" w:hAnsi="Arial" w:cs="Arial"/>
        </w:rPr>
        <w:fldChar w:fldCharType="begin" w:fldLock="1"/>
      </w:r>
      <w:r w:rsidRPr="003F5293">
        <w:rPr>
          <w:rFonts w:ascii="Arial" w:hAnsi="Arial" w:cs="Arial"/>
        </w:rPr>
        <w:instrText>ADDIN CSL_CITATION {"citationItems":[{"id":"ITEM-1","itemData":{"DOI":"10.1016/j.watres.2010.01.030","ISSN":"00431354","PMID":"20188390","abstract":"Biocides and pesticides are designed to control the occurrence of unwanted organisms. From their point of application, these substances can be mobilized and transported to surface waters posing a threat to the aquatic environment. Historically, agricultural pesticides have received substantially more attention than biocidal compounds from urban use, despite being used in similar quantities. This study aims at improving our understanding of the influence of mixed urban and agricultural land use on the overall concentration dynamics of biocides and pesticides during rain events throughout the year. A comprehensive field study was conducted in a catchment within the Swiss plateau (25 km2). Four surface water sampling sites represented varying combinations of urban and agricultural sources. Additionally, the urban drainage system was studied by sampling the only wastewater treatment plant (WWTP) in the catchment, a combined sewer overflow (CSO), and a storm sewer (SS). High temporal resolution sampling was carried out during rain events from March to November 2007. The results, based on more than 600 samples analyzed for 23 substances, revealed distinct and complex concentration patterns for different compounds and sources. Five types of concentration patterns can be distinguished: a) compounds that showed elevated background concentrations throughout the year (e.g. diazinon &gt;50 ng L-1), indicating a constant household source; b) compounds that showed elevated concentrations driven by rain events throughout the year (e.g. diuron 100-300 ng L-1), indicating a constant urban outdoor source such as facades; c) compounds with seasonal peak concentrations driven by rain events from urban and agricultural areas (e.g. mecoprop 1600 ng L-1 and atrazine 2500 ng L-1 respectively); d) compounds that showed unpredictably sharp peaks (e.g. atrazine 10,000 ng L-1, diazinon 2500 ng L-1), which were most probably due to improper handling or even disposal of products; and finally, e) compounds that were used in high amounts but were not detected in surface waters (e.g. isothiazolinones). It can be safely concluded that in catchments of mixed land use, the contributions of biocide and pesticide inputs into surface waters from urban areas are at least as important as those from agricultural areas. © 2010 Elsevier Ltd. All rights reserved.","author":[{"dropping-particle":"","family":"Wittmer","given":"I. K.","non-dropping-particle":"","parse-names":false,"suffix":""},{"dropping-particle":"","family":"Bader","given":"H. P.","non-dropping-particle":"","parse-names":false,"suffix":""},{"dropping-particle":"","family":"Scheidegger","given":"R.","non-dropping-particle":"","parse-names":false,"suffix":""},{"dropping-particle":"","family":"Singer","given":"H.","non-dropping-particle":"","parse-names":false,"suffix":""},{"dropping-particle":"","family":"Lück","given":"A.","non-dropping-particle":"","parse-names":false,"suffix":""},{"dropping-particle":"","family":"Hanke","given":"I.","non-dropping-particle":"","parse-names":false,"suffix":""},{"dropping-particle":"","family":"Carlsson","given":"C.","non-dropping-particle":"","parse-names":false,"suffix":""},{"dropping-particle":"","family":"Stamm","given":"C.","non-dropping-particle":"","parse-names":false,"suffix":""}],"container-title":"Water Research","id":"ITEM-1","issue":"9","issued":{"date-parts":[["2010"]]},"page":"2850-2862","title":"Significance of urban and agricultural land use for biocide and pesticide dynamics in surface waters","type":"article-journal","volume":"44"},"uris":["http://www.mendeley.com/documents/?uuid=958034ad-cff4-4ecb-8a1b-3b22a6409f76"]}],"mendeley":{"formattedCitation":"(Wittmer et al. 2010)","plainTextFormattedCitation":"(Wittmer et al. 2010)"},"properties":{"noteIndex":0},"schema":"https://github.com/citation-style-language/schema/raw/master/csl-citation.json"}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(Wittmer et al. 2010)</w:t>
      </w:r>
      <w:r w:rsidRPr="003F5293">
        <w:rPr>
          <w:rFonts w:ascii="Arial" w:hAnsi="Arial" w:cs="Arial"/>
        </w:rPr>
        <w:fldChar w:fldCharType="end"/>
      </w:r>
      <w:r w:rsidRPr="003F5293">
        <w:rPr>
          <w:rFonts w:ascii="Arial" w:hAnsi="Arial" w:cs="Arial"/>
        </w:rPr>
        <w:t xml:space="preserve">. The residues that enter municipal waste streams may persist during the composting process, depending on their chemical stability and composting conditions </w:t>
      </w:r>
      <w:r w:rsidRPr="003F5293">
        <w:rPr>
          <w:rFonts w:ascii="Arial" w:hAnsi="Arial" w:cs="Arial"/>
        </w:rPr>
        <w:fldChar w:fldCharType="begin" w:fldLock="1"/>
      </w:r>
      <w:r w:rsidRPr="003F5293">
        <w:rPr>
          <w:rFonts w:ascii="Arial" w:hAnsi="Arial" w:cs="Arial"/>
        </w:rPr>
        <w:instrText>ADDIN CSL_CITATION {"citationItems":[{"id":"ITEM-1","itemData":{"DOI":"10.1080/1065657X.1999.10701986","ISSN":"1065657X","abstract":"This paper reviews the findings of research reported in the currently available literature regarding the occurrence and transformations of pesticides through the composting process and the use of compost. Part I summarizes the composting process, pesticides and mechanisms of pesticide degradation. Part II reviews research studies concerning the occurrence and fate of pesticides during composting. Investigations of pesticide residues in composting feedstocks and finished compost detected few of the target pesticides. The compounds that were found occurred at low concentrations. The majority of the compounds detected were insecticides in the organochlorine category, including chemicals that have been banned from use in the U.S. for many years. Generally, organophosphate and carbamate insecticides and most herbicides were rarely detected. Comparisons of pesticide concentrations before and after composting also showed organochlorine compounds to be most resistant to biodegradation during composting. With some exceptions, pesticides in other categories decomposed moderately well to very well. Studies that followed the mechanisms of degradation indicate that mineralization accounts for only a small portion of pesticide disappearance. Other prominent fates include partial degradation to secondary compounds, adsorption, humification, and volatilization. In general the research results suggest that the pattern of pesticide degradation during composting is similar to the degradation observed in soils. With a few important distinctions, composting can be considered a biologically active soil environment in which degradation is accelerated. However, as some studies noted, composting does not always speed the degradation of all pesticides. The nature of the pesticide, specific composting conditions and procedures, the microbial communities present, and the duration of composting affect the extent and the mechanisms of degradation. © 1999 Taylor and Francis.","author":[{"dropping-particle":"","family":"Büyüksönmez","given":"Fatih","non-dropping-particle":"","parse-names":false,"suffix":""},{"dropping-particle":"","family":"Rynk","given":"Robert","non-dropping-particle":"","parse-names":false,"suffix":""},{"dropping-particle":"","family":"Hess","given":"Thomas F.","non-dropping-particle":"","parse-names":false,"suffix":""},{"dropping-particle":"","family":"Bechinski","given":"Edward","non-dropping-particle":"","parse-names":false,"suffix":""}],"container-title":"Compost Science and Utilization","id":"ITEM-1","issue":"4","issued":{"date-parts":[["1999"]]},"page":"66-82","title":"Occurrence, degradation and fate of pesticides during composting: Part i: Composting, pesticides, and pesticide degradation","type":"article-journal","volume":"7"},"uris":["http://www.mendeley.com/documents/?uuid=426f6667-f272-4678-8326-c5cb97da4c89"]},{"id":"ITEM-2","itemData":{"DOI":"10.1080/03601230701465882","ISSN":"03601234","PMID":"17701705","abstract":"Persistent organic pollutants (POPs), organochlorine pesticides and polychlorinated biphenyls (PCBs), listed as per the Stockholm Convention (α -HCH, β -HCH, γ -HCH, p,p′-DDT, o,p′-DDT, p,p′-DDD, p,p′-DDE, aldrin, endrin, dieldrin, PCBs 28, 52, 118, 138, 153, and 180), were analyzed in municipal solid waste (MSW) compost samples from three different Brazilian composting plants located in three São Paulo State cities: Araras, Araraquara and São Paulo (Vila Leopoldinha). Quantitative and qualitative analyses were carried out using gas chromatography electron capture detection (GC-ECD) and gas chromatography mass spectrometry (GC-MS) (Ion Trap, electron impact ionization), respectively. The samples were analyzed in triplicate and the target POPs were not detected by GC-ECD. Twelve pollutants were identified in two samples when qualitative analysis (GC-MS) was used (β -HCH, γ -HCH, p,p′-DDT, o,p′-DDT, p,p′-DDD, and p,p′-DDE, PCBs 28, 118, 138, 153 and 180). The composting process has advantages such as urban solid waste reduction and landfill life-span increase, however the MSW compost quality, which can be utilized for agricultural purposes, should be evaluated and be controlled. This kind of study is the first step in making available information to answer questions regarding MSW compost for sustainable agricultural use, such as the pollutants accumulation in soil and in groundwater, and plants uptake. Copyright © Taylor &amp; Francis Group, LLC.","author":[{"dropping-particle":"","family":"Lourencetti","given":"Carolina","non-dropping-particle":"","parse-names":false,"suffix":""},{"dropping-particle":"","family":"Favoreto","given":"Rodrigo","non-dropping-particle":"","parse-names":false,"suffix":""},{"dropping-particle":"","family":"Marchi","given":"Mary R.R.","non-dropping-particle":"","parse-names":false,"suffix":""},{"dropping-particle":"","family":"Ribeiro","given":"Maria L.","non-dropping-particle":"","parse-names":false,"suffix":""}],"container-title":"Journal of Environmental Science and Health - Part B Pesticides, Food Contaminants, and Agricultural Wastes","id":"ITEM-2","issue":"6","issued":{"date-parts":[["2007"]]},"page":"697-705","title":"Residues of organochlorine pesticides and PCBs in some Brazilian municipal solid waste compost","type":"article-journal","volume":"42"},"uris":["http://www.mendeley.com/documents/?uuid=fc4731f2-efb4-4d8e-9bf4-0695437e4067"]}],"mendeley":{"formattedCitation":"(Büyüksönmez et al. 1999; Lourencetti et al. 2007)","plainTextFormattedCitation":"(Büyüksönmez et al. 1999; Lourencetti et al. 2007)","previouslyFormattedCitation":"(Büyüksönmez et al. 1999; Lourencetti et al. 2007)"},"properties":{"noteIndex":0},"schema":"https://github.com/citation-style-language/schema/raw/master/csl-citation.json"}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(Büyüksönmez et al. 1999; Lourencetti et al. 2007)</w:t>
      </w:r>
      <w:r w:rsidRPr="003F5293">
        <w:rPr>
          <w:rFonts w:ascii="Arial" w:hAnsi="Arial" w:cs="Arial"/>
        </w:rPr>
        <w:fldChar w:fldCharType="end"/>
      </w:r>
      <w:r w:rsidRPr="003F5293">
        <w:rPr>
          <w:rFonts w:ascii="Arial" w:hAnsi="Arial" w:cs="Arial"/>
        </w:rPr>
        <w:t>.</w:t>
      </w:r>
    </w:p>
    <w:p w14:paraId="49CBC31E" w14:textId="77777777" w:rsidR="002741C0" w:rsidRPr="003F5293" w:rsidRDefault="002741C0" w:rsidP="00946EAB">
      <w:pPr>
        <w:jc w:val="both"/>
        <w:rPr>
          <w:rFonts w:ascii="Arial" w:hAnsi="Arial" w:cs="Arial"/>
        </w:rPr>
      </w:pPr>
    </w:p>
    <w:p w14:paraId="11517A71" w14:textId="77777777" w:rsidR="00946EAB" w:rsidRDefault="00946EAB" w:rsidP="00946EAB">
      <w:pPr>
        <w:jc w:val="both"/>
        <w:rPr>
          <w:rFonts w:ascii="Arial" w:hAnsi="Arial" w:cs="Arial"/>
        </w:rPr>
      </w:pPr>
      <w:r w:rsidRPr="003F5293">
        <w:rPr>
          <w:rFonts w:ascii="Arial" w:hAnsi="Arial" w:cs="Arial"/>
        </w:rPr>
        <w:t xml:space="preserve">It is a known fact that composting can promote degradation of certain pesticide compounds through microbial activity and thermophilic conditions, some persistent pesticides may remain detectable in the final compost produce </w:t>
      </w:r>
      <w:r w:rsidRPr="003F5293">
        <w:rPr>
          <w:rFonts w:ascii="Arial" w:hAnsi="Arial" w:cs="Arial"/>
        </w:rPr>
        <w:fldChar w:fldCharType="begin" w:fldLock="1"/>
      </w:r>
      <w:r w:rsidRPr="003F5293">
        <w:rPr>
          <w:rFonts w:ascii="Arial" w:hAnsi="Arial" w:cs="Arial"/>
        </w:rPr>
        <w:instrText>ADDIN CSL_CITATION {"citationItems":[{"id":"ITEM-1","itemData":{"DOI":"10.1016/j.biortech.2008.03.052","ISSN":"09608524","PMID":"18455393","abstract":"In the present study, concentration levels and dissipation of modern pesticides during composting and digestion at full-scale plants were followed. Of the 271 pesticides analyzed, 28 were detected. Within the three windrows studied, total concentrations were between 36 and 101 μg per kg of dry matter (d.m.) in input materials and between 8 and 20 μg kg d.m.-1 in composts after 112 days of treatment. Fungicides and among them triazoles clearly dominated over other pesticides. More than two-thirds of all pesticides detected in the input materials showed dissipation rates higher than 50% during composting, whilst levels of most triazoles decreased slightly or remained unchanged. The investigation on semi-dry thermophilic anaerobic digestion suggests that pesticides preferentially end up in presswater after solid-liquid separation. © 2008 Elsevier Ltd. All rights reserved.","author":[{"dropping-particle":"","family":"Kupper","given":"Thomas","non-dropping-particle":"","parse-names":false,"suffix":""},{"dropping-particle":"","family":"Bucheli","given":"Thomas D.","non-dropping-particle":"","parse-names":false,"suffix":""},{"dropping-particle":"","family":"Brändli","given":"Rahel C.","non-dropping-particle":"","parse-names":false,"suffix":""},{"dropping-particle":"","family":"Ortelli","given":"Didier","non-dropping-particle":"","parse-names":false,"suffix":""},{"dropping-particle":"","family":"Edder","given":"Patrick","non-dropping-particle":"","parse-names":false,"suffix":""}],"container-title":"Bioresource Technology","id":"ITEM-1","issue":"17","issued":{"date-parts":[["2008"]]},"page":"7988-7994","title":"Dissipation of pesticides during composting and anaerobic digestion of source-separated organic waste at full-scale plants","type":"article-journal","volume":"99"},"uris":["http://www.mendeley.com/documents/?uuid=f8ad2a9c-04da-43ed-a894-6098aa3f1783"]},{"id":"ITEM-2","itemData":{"DOI":"10.1080/03601230701465882","ISSN":"03601234","PMID":"17701705","abstract":"Persistent organic pollutants (POPs), organochlorine pesticides and polychlorinated biphenyls (PCBs), listed as per the Stockholm Convention (α -HCH, β -HCH, γ -HCH, p,p′-DDT, o,p′-DDT, p,p′-DDD, p,p′-DDE, aldrin, endrin, dieldrin, PCBs 28, 52, 118, 138, 153, and 180), were analyzed in municipal solid waste (MSW) compost samples from three different Brazilian composting plants located in three São Paulo State cities: Araras, Araraquara and São Paulo (Vila Leopoldinha). Quantitative and qualitative analyses were carried out using gas chromatography electron capture detection (GC-ECD) and gas chromatography mass spectrometry (GC-MS) (Ion Trap, electron impact ionization), respectively. The samples were analyzed in triplicate and the target POPs were not detected by GC-ECD. Twelve pollutants were identified in two samples when qualitative analysis (GC-MS) was used (β -HCH, γ -HCH, p,p′-DDT, o,p′-DDT, p,p′-DDD, and p,p′-DDE, PCBs 28, 118, 138, 153 and 180). The composting process has advantages such as urban solid waste reduction and landfill life-span increase, however the MSW compost quality, which can be utilized for agricultural purposes, should be evaluated and be controlled. This kind of study is the first step in making available information to answer questions regarding MSW compost for sustainable agricultural use, such as the pollutants accumulation in soil and in groundwater, and plants uptake. Copyright © Taylor &amp; Francis Group, LLC.","author":[{"dropping-particle":"","family":"Lourencetti","given":"Carolina","non-dropping-particle":"","parse-names":false,"suffix":""},{"dropping-particle":"","family":"Favoreto","given":"Rodrigo","non-dropping-particle":"","parse-names":false,"suffix":""},{"dropping-particle":"","family":"Marchi","given":"Mary R.R.","non-dropping-particle":"","parse-names":false,"suffix":""},{"dropping-particle":"","family":"Ribeiro","given":"Maria L.","non-dropping-particle":"","parse-names":false,"suffix":""}],"container-title":"Journal of Environmental Science and Health - Part B Pesticides, Food Contaminants, and Agricultural Wastes","id":"ITEM-2","issue":"6","issued":{"date-parts":[["2007"]]},"page":"697-705","title":"Residues of organochlorine pesticides and PCBs in some Brazilian municipal solid waste compost","type":"article-journal","volume":"42"},"uris":["http://www.mendeley.com/documents/?uuid=fc4731f2-efb4-4d8e-9bf4-0695437e4067"]}],"mendeley":{"formattedCitation":"(Kupper et al. 2008; Lourencetti et al. 2007)","plainTextFormattedCitation":"(Kupper et al. 2008; Lourencetti et al. 2007)","previouslyFormattedCitation":"(Kupper et al. 2008; Lourencetti et al. 2007)"},"properties":{"noteIndex":0},"schema":"https://github.com/citation-style-language/schema/raw/master/csl-citation.json"}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(Kupper et al. 2008; Lourencetti et al. 2007</w:t>
      </w:r>
      <w:r w:rsidRPr="003F5293">
        <w:rPr>
          <w:rFonts w:ascii="Arial" w:hAnsi="Arial" w:cs="Arial"/>
        </w:rPr>
        <w:fldChar w:fldCharType="end"/>
      </w:r>
      <w:r w:rsidRPr="003F5293">
        <w:rPr>
          <w:rFonts w:ascii="Arial" w:hAnsi="Arial" w:cs="Arial"/>
        </w:rPr>
        <w:t xml:space="preserve">; </w:t>
      </w:r>
      <w:r w:rsidRPr="003F5293">
        <w:rPr>
          <w:rFonts w:ascii="Arial" w:hAnsi="Arial" w:cs="Arial"/>
        </w:rPr>
        <w:fldChar w:fldCharType="begin" w:fldLock="1"/>
      </w:r>
      <w:r w:rsidRPr="003F5293">
        <w:rPr>
          <w:rFonts w:ascii="Arial" w:hAnsi="Arial" w:cs="Arial"/>
        </w:rPr>
        <w:instrText>ADDIN CSL_CITATION {"citationItems":[{"id":"ITEM-1","itemData":{"DOI":"10.1080/1065657X.1997.10701892","ISSN":"1065657X","abstract":"Composting of municipal solid waste (MSW) has many advantages including volume reduction, reduced atmospheric emissions of methane from landfills, and the potential for beneficial use of the end product. Information about the fate of volatile organic chemicals (VOCs) which are commonly present in MSW is needed to protect the environment from undesirable emissions. To achieve this goal, the present study was undertaken to evaluate the fate of four VOCs (benzene, carbon tetrachloride, dichlorobenzene, and xylene) and two pesticides (Captan and Lindane) added to simulated MSW. Volatile organic chemicals were added at three concentrations while pesticides were tested at a single concentration. All of the treatments were replicated three times and composted in 200 L aerated static pile composters. The composters were specially equipped with pumps and flow meters to aerate the feedstock at 1.12-1.68 m3/hr, sorption filters to collect volatile organic chemicals from the exiting air stream, and leachate collection vessels. The feedstock was selected to be representative of MSW after the majority of recyclable metal and glass had been removed and was spiked with organic chemicals known to commonly occur in MSW. The results showed that the majority of VOCs present in the feedstock were lost via volatilization in the initial 48 hours of composting. Concentrations of VOCs were below detection limits after one week of composting in both the leachate and compost. Thus, while aerated pile composting is effective in removing VOCs from the feedstock, the exiting air stream will need to be monitored for approximately one week and possibly treated to meet environmental quality standards. Aerobic composting reduced the initial concentrations of 275 mg/kg each of Captan and Lindane to final concentrations of 53.8 and 158.9 mg/kg, respectively, after five weeks of composting. This corresponded to half lives of 1.5 and four weeks during composting for Captan and Lindane respectively. All concentrations of both pesticides were below detection limits in all samples of air, condensate and leachate, in dicating that none of the pesticides were volatilized and all were retained by the MSW until they biodegraded. © 1997 Taylor and Francis.","author":[{"dropping-particle":"","family":"Brown","given":"K. W.","non-dropping-particle":"","parse-names":false,"suffix":""},{"dropping-particle":"","family":"Thomas","given":"J. C.","non-dropping-particle":"","parse-names":false,"suffix":""},{"dropping-particle":"","family":"Whitney","given":"F.","non-dropping-particle":"","parse-names":false,"suffix":""}],"container-title":"Compost Science and Utilization","id":"ITEM-1","issue":"4","issued":{"date-parts":[["1997"]]},"page":"6-14","title":"Fate of volatile organic compounds and pesticides in composted municipal solid waste","type":"article-journal","volume":"5"},"uris":["http://www.mendeley.com/documents/?uuid=07c652fe-94da-4d13-acae-bafb5159cf6d"]}],"mendeley":{"formattedCitation":"(Brown, Thomas, and Whitney 1997)","manualFormatting":"(Brown, Tomas, and Whitney 1997)","plainTextFormattedCitation":"(Brown, Thomas, and Whitney 1997)","previouslyFormattedCitation":"(Brown, Thomas, and Whitney 1997)"},"properties":{"noteIndex":0},"schema":"https://github.com/citation-style-language/schema/raw/master/csl-citation.json"}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Brown, et al. 1997)</w:t>
      </w:r>
      <w:r w:rsidRPr="003F5293">
        <w:rPr>
          <w:rFonts w:ascii="Arial" w:hAnsi="Arial" w:cs="Arial"/>
        </w:rPr>
        <w:fldChar w:fldCharType="end"/>
      </w:r>
      <w:r w:rsidRPr="003F5293">
        <w:rPr>
          <w:rFonts w:ascii="Arial" w:hAnsi="Arial" w:cs="Arial"/>
        </w:rPr>
        <w:t xml:space="preserve">. Long term application of such compost to agricultural soils may therefore introduce trace pesticide residues into soil ecosystems </w:t>
      </w:r>
      <w:r w:rsidRPr="003F5293">
        <w:rPr>
          <w:rFonts w:ascii="Arial" w:hAnsi="Arial" w:cs="Arial"/>
        </w:rPr>
        <w:fldChar w:fldCharType="begin" w:fldLock="1"/>
      </w:r>
      <w:r w:rsidRPr="003F5293">
        <w:rPr>
          <w:rFonts w:ascii="Arial" w:hAnsi="Arial" w:cs="Arial"/>
        </w:rPr>
        <w:instrText>ADDIN CSL_CITATION {"citationItems":[{"id":"ITEM-1","itemData":{"DOI":"10.1016/S0045-6535(03)00544-7","ISBN":"4546301200","ISSN":"00456535","PMID":"12948534","abstract":"The aim of this study was to examine the stability and distribution of the fungicide dodemorph during anaerobic digestion of biological waste, including a short subsequent aerobic treatment. Three reactor experiments were conducted. The influences of pH and dissolved organic carbon (DOC) were further studied in batch experiments. The reactor experiments showed no decrease in the concentration of dodemorph, indicating stability of the fungicide. In connection with the results of the batch experiments, a clear pH-dependency of the partitioning of dodemorph between solid and water phase could be shown. At pH values below the pKa value of 7.8, protonated dodemorph molecules predominate. However, a release into the water phase was only observed at pH values of 5 and below. It can be assumed that in the pH range between 5 and 7.8 dodemorph forms bonds with carboxyl groups of organic matter. Dodemorph was not completely extractable from the solid waste matrix due to strong bonds with the organic matter. Solubilising effects by water ingredients of the process water were not apparent. © 2003 Elsevier Ltd. All rights reserved.","author":[{"dropping-particle":"","family":"Vorkamp","given":"Katrin","non-dropping-particle":"","parse-names":false,"suffix":""},{"dropping-particle":"","family":"Taube","given":"Jörg","non-dropping-particle":"","parse-names":false,"suffix":""},{"dropping-particle":"","family":"Dilling","given":"Jörg","non-dropping-particle":"","parse-names":false,"suffix":""},{"dropping-particle":"","family":"Kellner","given":"Esther","non-dropping-particle":"","parse-names":false,"suffix":""},{"dropping-particle":"","family":"Herrmann","given":"Reimer","non-dropping-particle":"","parse-names":false,"suffix":""}],"container-title":"Chemosphere","id":"ITEM-1","issue":"5","issued":{"date-parts":[["2003"]]},"page":"505-514","title":"Fate of the fungicide dodemorph during anaerobic digestion of biological waste","type":"article-journal","volume":"53"},"uris":["http://www.mendeley.com/documents/?uuid=a31ed933-693a-4b68-a6b4-a1ab79c6a407"]}],"mendeley":{"formattedCitation":"(Vorkamp et al. 2003)","plainTextFormattedCitation":"(Vorkamp et al. 2003)","previouslyFormattedCitation":"(Vorkamp et al. 2003)"},"properties":{"noteIndex":0},"schema":"https://github.com/citation-style-language/schema/raw/master/csl-citation.json"}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(Vorkamp et al. 2003)</w:t>
      </w:r>
      <w:r w:rsidRPr="003F5293">
        <w:rPr>
          <w:rFonts w:ascii="Arial" w:hAnsi="Arial" w:cs="Arial"/>
        </w:rPr>
        <w:fldChar w:fldCharType="end"/>
      </w:r>
      <w:r w:rsidRPr="003F5293">
        <w:rPr>
          <w:rFonts w:ascii="Arial" w:hAnsi="Arial" w:cs="Arial"/>
        </w:rPr>
        <w:t xml:space="preserve">. Hence, monitoring pesticide concentrations in compost is essential to track their transfer into soils and subsequent entry into trophic chains. Moreover, the potential contamination of soil, subsoil, and groundwater through leachates from pesticide-laden compost must be carefully considered. Unlike heavy metals, which are strictly regulated in compost under national ordinances and EU directives, there are currently no binding environmental policies worldwide that set tolerable levels for organic contaminants such as pesticides. Worker safety considerations further necessitate monitoring pesticide residues in composted agricultural wastes, as their use as soil amendments may expose workers to residual contaminants </w:t>
      </w:r>
      <w:r w:rsidRPr="003F5293">
        <w:rPr>
          <w:rFonts w:ascii="Arial" w:hAnsi="Arial" w:cs="Arial"/>
        </w:rPr>
        <w:fldChar w:fldCharType="begin" w:fldLock="1"/>
      </w:r>
      <w:r w:rsidRPr="003F5293">
        <w:rPr>
          <w:rFonts w:ascii="Arial" w:hAnsi="Arial" w:cs="Arial"/>
        </w:rPr>
        <w:instrText>ADDIN CSL_CITATION {"citationItems":[{"id":"ITEM-1","itemData":{"DOI":"10.1002/ps.984","ISSN":"1526498X","PMID":"15816018","abstract":"A simple method for multi-residue analysis of pesticides by low-pressure gas chromatography-tandem mass spectrometry (LP-GC-MS-MS) has been validated in compost samples. The pesticide residues were extracted from the lyophilised samples with organic solvent by stirring. No sample clean-up was required prior to the analysis. The method was applied to determine the fate of two organochlorine pesticides (lindane and endosulfan) and two organophosphates (malathion and chlorpyrifos-methyl) during the composting process in the reactor of a pilot plant. Malathion, chlorpyrifos-methyl and lindane residues almost fully disappeared after 8 days of maturation in the reactor, while endosulfan residues were only partially degraded. Alongside this, a study of natural disappearance of the pesticides was carried out in the laboratory and a characteristic time profile was traced for each pesticide class. © 2004 Society of Chemical Industry.","author":[{"dropping-particle":"","family":"Frenich","given":"A. Garrido","non-dropping-particle":"","parse-names":false,"suffix":""},{"dropping-particle":"","family":"González Rodríguez","given":"Manuel J.","non-dropping-particle":"","parse-names":false,"suffix":""},{"dropping-particle":"","family":"Martínez Vidal","given":"José L.","non-dropping-particle":"","parse-names":false,"suffix":""},{"dropping-particle":"","family":"Arrebola","given":"Francisco J.","non-dropping-particle":"","parse-names":false,"suffix":""},{"dropping-particle":"","family":"Hernández Torres","given":"María E.","non-dropping-particle":"","parse-names":false,"suffix":""}],"container-title":"Pest Management Science","id":"ITEM-1","issue":"5","issued":{"date-parts":[["2005"]]},"page":"458-466","title":"A study of the disappearance of pesticides during composting using a gas chromatography-tandem mass spectrometry technique","type":"article-journal","volume":"61"},"uris":["http://www.mendeley.com/documents/?uuid=c1fd47f1-c232-43ed-b30d-5f80f105eb76"]}],"mendeley":{"formattedCitation":"(Frenich et al. 2005)","plainTextFormattedCitation":"(Frenich et al. 2005)","previouslyFormattedCitation":"(Frenich et al. 2005)"},"properties":{"noteIndex":0},"schema":"https://github.com/citation-style-language/schema/raw/master/csl-citation.json"}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(Frenich et al. 2005)</w:t>
      </w:r>
      <w:r w:rsidRPr="003F5293">
        <w:rPr>
          <w:rFonts w:ascii="Arial" w:hAnsi="Arial" w:cs="Arial"/>
        </w:rPr>
        <w:fldChar w:fldCharType="end"/>
      </w:r>
      <w:r w:rsidRPr="003F5293">
        <w:rPr>
          <w:rFonts w:ascii="Arial" w:hAnsi="Arial" w:cs="Arial"/>
        </w:rPr>
        <w:t>.</w:t>
      </w:r>
    </w:p>
    <w:p w14:paraId="5147C008" w14:textId="77777777" w:rsidR="002741C0" w:rsidRPr="003F5293" w:rsidRDefault="002741C0" w:rsidP="00946EAB">
      <w:pPr>
        <w:jc w:val="both"/>
        <w:rPr>
          <w:rFonts w:ascii="Arial" w:hAnsi="Arial" w:cs="Arial"/>
        </w:rPr>
      </w:pPr>
    </w:p>
    <w:p w14:paraId="7DD30861" w14:textId="77777777" w:rsidR="00946EAB" w:rsidRPr="003F5293" w:rsidRDefault="00946EAB" w:rsidP="00946EAB">
      <w:pPr>
        <w:jc w:val="both"/>
        <w:rPr>
          <w:rFonts w:ascii="Arial" w:hAnsi="Arial" w:cs="Arial"/>
        </w:rPr>
      </w:pPr>
      <w:r w:rsidRPr="003F5293">
        <w:rPr>
          <w:rFonts w:ascii="Arial" w:hAnsi="Arial" w:cs="Arial"/>
        </w:rPr>
        <w:t xml:space="preserve">Bengaluru, one of India’s rapidly expanding metropolitan cities, generates around 5–6 thousand </w:t>
      </w:r>
      <w:proofErr w:type="spellStart"/>
      <w:r w:rsidRPr="003F5293">
        <w:rPr>
          <w:rFonts w:ascii="Arial" w:hAnsi="Arial" w:cs="Arial"/>
        </w:rPr>
        <w:t>tonnes</w:t>
      </w:r>
      <w:proofErr w:type="spellEnd"/>
      <w:r w:rsidRPr="003F5293">
        <w:rPr>
          <w:rFonts w:ascii="Arial" w:hAnsi="Arial" w:cs="Arial"/>
        </w:rPr>
        <w:t xml:space="preserve"> per day (TPD) of MSW, including bulk waste, with a per capita generation of about 400 g/day.  The city follows a source-segregated collection system, where the wet wastes are directed to Wet-Waste Processing Plants (WPPs) for composting </w:t>
      </w:r>
      <w:r w:rsidRPr="003F5293">
        <w:rPr>
          <w:rFonts w:ascii="Arial" w:hAnsi="Arial" w:cs="Arial"/>
        </w:rPr>
        <w:fldChar w:fldCharType="begin" w:fldLock="1"/>
      </w:r>
      <w:r w:rsidRPr="003F5293">
        <w:rPr>
          <w:rFonts w:ascii="Arial" w:hAnsi="Arial" w:cs="Arial"/>
        </w:rPr>
        <w:instrText>ADDIN CSL_CITATION {"citationItems":[{"id":"ITEM-1","itemData":{"URL":"https://site.bbmp.gov.in","accessed":{"date-parts":[["2023","4","21"]]},"author":[{"dropping-particle":"","family":"BBMP","given":"","non-dropping-particle":"","parse-names":false,"suffix":""}],"id":"ITEM-1","issued":{"date-parts":[["2022"]]},"title":"Solid Waste Management","type":"webpage"},"uris":["http://www.mendeley.com/documents/?uuid=5e02f009-3dab-4319-8c82-f0b8e9915778"]}],"mendeley":{"formattedCitation":"(BBMP 2022)","plainTextFormattedCitation":"(BBMP 2022)","previouslyFormattedCitation":"(BBMP 2022)"},"properties":{"noteIndex":0},"schema":"https://github.com/citation-style-language/schema/raw/master/csl-citation.json"}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(BBMP 2022)</w:t>
      </w:r>
      <w:r w:rsidRPr="003F5293">
        <w:rPr>
          <w:rFonts w:ascii="Arial" w:hAnsi="Arial" w:cs="Arial"/>
        </w:rPr>
        <w:fldChar w:fldCharType="end"/>
      </w:r>
      <w:r w:rsidRPr="003F5293">
        <w:rPr>
          <w:rFonts w:ascii="Arial" w:hAnsi="Arial" w:cs="Arial"/>
        </w:rPr>
        <w:t xml:space="preserve">. While the quality of MSW compost has been evaluated in terms of nutrient content and heavy metals, limited information is available on the occurrence of pesticide residues in compost derived from municipal waste in the region. Therefore, the present study aimed to investigate the occurrence and distribution of pesticide residues in municipal solid waste compost collected from composting facilities in Bengaluru, India, using a multi-residue analytical approach based on GC–MS/MS with emphasis on the occurrence and class distribution of, detection frequency across composting units, and concentration patterns of dominant pesticide residues. </w:t>
      </w:r>
    </w:p>
    <w:p w14:paraId="4A2C3169" w14:textId="77777777" w:rsidR="00790ADA" w:rsidRPr="00FB3A86" w:rsidRDefault="00790ADA" w:rsidP="00441B6F">
      <w:pPr>
        <w:pStyle w:val="Body"/>
        <w:spacing w:after="0"/>
        <w:rPr>
          <w:rFonts w:ascii="Arial" w:hAnsi="Arial" w:cs="Arial"/>
        </w:rPr>
      </w:pPr>
    </w:p>
    <w:p w14:paraId="1C705E6A" w14:textId="15D47E9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DE2D71C" w14:textId="77777777" w:rsidR="00790ADA" w:rsidRDefault="00790ADA" w:rsidP="00441B6F">
      <w:pPr>
        <w:pStyle w:val="AbstHead"/>
        <w:spacing w:after="0"/>
        <w:jc w:val="both"/>
        <w:rPr>
          <w:rFonts w:ascii="Arial" w:hAnsi="Arial" w:cs="Arial"/>
        </w:rPr>
      </w:pPr>
    </w:p>
    <w:p w14:paraId="5AA230E9" w14:textId="3495C420" w:rsidR="00F13253" w:rsidRDefault="00F13253" w:rsidP="00441B6F">
      <w:pPr>
        <w:pStyle w:val="AbstHead"/>
        <w:spacing w:after="0"/>
        <w:jc w:val="both"/>
        <w:rPr>
          <w:rFonts w:ascii="Arial" w:hAnsi="Arial" w:cs="Arial"/>
        </w:rPr>
      </w:pPr>
      <w:r w:rsidRPr="00F13253">
        <w:rPr>
          <w:rFonts w:ascii="Arial" w:hAnsi="Arial" w:cs="Arial"/>
        </w:rPr>
        <w:t>Sample Collection and Preparation</w:t>
      </w:r>
    </w:p>
    <w:p w14:paraId="43E3612A" w14:textId="77777777" w:rsidR="00F13253" w:rsidRDefault="00F13253" w:rsidP="00441B6F">
      <w:pPr>
        <w:pStyle w:val="AbstHead"/>
        <w:spacing w:after="0"/>
        <w:jc w:val="both"/>
        <w:rPr>
          <w:rFonts w:ascii="Arial" w:hAnsi="Arial" w:cs="Arial"/>
        </w:rPr>
      </w:pPr>
    </w:p>
    <w:p w14:paraId="6BAEF3E2" w14:textId="77777777" w:rsidR="00F13253" w:rsidRPr="00312266" w:rsidRDefault="00F13253" w:rsidP="00F13253">
      <w:pPr>
        <w:jc w:val="both"/>
        <w:rPr>
          <w:rFonts w:ascii="Arial" w:hAnsi="Arial" w:cs="Arial"/>
        </w:rPr>
      </w:pPr>
      <w:r w:rsidRPr="00312266">
        <w:rPr>
          <w:rFonts w:ascii="Arial" w:hAnsi="Arial" w:cs="Arial"/>
        </w:rPr>
        <w:t>Compost samples were collected from six operational municipal solid waste (MSW) composting facilities located within the Bengaluru Urban District (Fig. 1). To ensure representativeness, composite samples were prepared by combining multiple grab samples obtained from different sections of the finished compost piles, following standardized sampling protocols (IS 11380: 1985). The collected compost samples were air-dried, homogenized, sieved, and stored under appropriate conditions before pesticide analysis.</w:t>
      </w:r>
    </w:p>
    <w:p w14:paraId="2E7BBB4D" w14:textId="072841FA" w:rsidR="00F13253" w:rsidRDefault="00F13253" w:rsidP="00F13253">
      <w:pPr>
        <w:pStyle w:val="AbstHead"/>
        <w:spacing w:after="0"/>
        <w:jc w:val="center"/>
        <w:rPr>
          <w:rFonts w:ascii="Arial" w:hAnsi="Arial" w:cs="Arial"/>
        </w:rPr>
      </w:pPr>
      <w:r w:rsidRPr="00F6412A">
        <w:rPr>
          <w:rFonts w:ascii="Arial" w:hAnsi="Arial" w:cs="Arial"/>
          <w:noProof/>
        </w:rPr>
        <w:lastRenderedPageBreak/>
        <w:drawing>
          <wp:inline distT="0" distB="0" distL="0" distR="0" wp14:anchorId="7D38942D" wp14:editId="31E85AE3">
            <wp:extent cx="1465711" cy="1710263"/>
            <wp:effectExtent l="0" t="0" r="0" b="0"/>
            <wp:docPr id="433892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3566" cy="1719428"/>
                    </a:xfrm>
                    <a:prstGeom prst="rect">
                      <a:avLst/>
                    </a:prstGeom>
                    <a:noFill/>
                    <a:ln>
                      <a:noFill/>
                    </a:ln>
                  </pic:spPr>
                </pic:pic>
              </a:graphicData>
            </a:graphic>
          </wp:inline>
        </w:drawing>
      </w:r>
      <w:r w:rsidRPr="00F6412A">
        <w:rPr>
          <w:rFonts w:ascii="Arial" w:hAnsi="Arial" w:cs="Arial"/>
          <w:noProof/>
        </w:rPr>
        <w:drawing>
          <wp:inline distT="0" distB="0" distL="0" distR="0" wp14:anchorId="2E77BB3C" wp14:editId="1AE9365C">
            <wp:extent cx="1548765" cy="1677660"/>
            <wp:effectExtent l="0" t="0" r="0" b="0"/>
            <wp:docPr id="11772526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4178" cy="1694355"/>
                    </a:xfrm>
                    <a:prstGeom prst="rect">
                      <a:avLst/>
                    </a:prstGeom>
                    <a:noFill/>
                    <a:ln>
                      <a:noFill/>
                    </a:ln>
                  </pic:spPr>
                </pic:pic>
              </a:graphicData>
            </a:graphic>
          </wp:inline>
        </w:drawing>
      </w:r>
    </w:p>
    <w:p w14:paraId="106C74F3" w14:textId="35F4C1CE" w:rsidR="00F13253" w:rsidRDefault="00F13253" w:rsidP="00F13253">
      <w:pPr>
        <w:pStyle w:val="AbstHead"/>
        <w:spacing w:after="0"/>
        <w:jc w:val="center"/>
        <w:rPr>
          <w:rFonts w:ascii="Arial" w:hAnsi="Arial" w:cs="Arial"/>
        </w:rPr>
      </w:pPr>
      <w:r w:rsidRPr="00F6412A">
        <w:rPr>
          <w:rFonts w:ascii="Arial" w:hAnsi="Arial" w:cs="Arial"/>
          <w:noProof/>
        </w:rPr>
        <w:drawing>
          <wp:inline distT="0" distB="0" distL="0" distR="0" wp14:anchorId="09BBD72D" wp14:editId="2949D159">
            <wp:extent cx="3187700" cy="2085739"/>
            <wp:effectExtent l="0" t="0" r="0" b="0"/>
            <wp:docPr id="196745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99218" cy="2093275"/>
                    </a:xfrm>
                    <a:prstGeom prst="rect">
                      <a:avLst/>
                    </a:prstGeom>
                    <a:noFill/>
                    <a:ln>
                      <a:noFill/>
                    </a:ln>
                  </pic:spPr>
                </pic:pic>
              </a:graphicData>
            </a:graphic>
          </wp:inline>
        </w:drawing>
      </w:r>
    </w:p>
    <w:p w14:paraId="28B2656F" w14:textId="77777777" w:rsidR="00E21A61" w:rsidRDefault="00E21A61" w:rsidP="00F13253">
      <w:pPr>
        <w:spacing w:line="360" w:lineRule="auto"/>
        <w:jc w:val="center"/>
        <w:rPr>
          <w:rFonts w:ascii="Arial" w:hAnsi="Arial" w:cs="Arial"/>
          <w:b/>
          <w:sz w:val="18"/>
          <w:szCs w:val="18"/>
        </w:rPr>
      </w:pPr>
    </w:p>
    <w:p w14:paraId="226A75CF" w14:textId="47AB818A" w:rsidR="00F13253" w:rsidRDefault="00F13253" w:rsidP="00F13253">
      <w:pPr>
        <w:spacing w:line="360" w:lineRule="auto"/>
        <w:jc w:val="center"/>
        <w:rPr>
          <w:rFonts w:ascii="Arial" w:hAnsi="Arial" w:cs="Arial"/>
          <w:sz w:val="18"/>
          <w:szCs w:val="18"/>
        </w:rPr>
      </w:pPr>
      <w:r w:rsidRPr="00F6412A">
        <w:rPr>
          <w:rFonts w:ascii="Arial" w:hAnsi="Arial" w:cs="Arial"/>
          <w:b/>
          <w:sz w:val="18"/>
          <w:szCs w:val="18"/>
        </w:rPr>
        <w:t>Fig. 1:</w:t>
      </w:r>
      <w:r w:rsidRPr="00F6412A">
        <w:rPr>
          <w:rFonts w:ascii="Arial" w:hAnsi="Arial" w:cs="Arial"/>
          <w:sz w:val="18"/>
          <w:szCs w:val="18"/>
        </w:rPr>
        <w:t xml:space="preserve"> </w:t>
      </w:r>
      <w:r w:rsidR="00E21A61" w:rsidRPr="00E21A61">
        <w:rPr>
          <w:rFonts w:ascii="Arial" w:hAnsi="Arial" w:cs="Arial"/>
          <w:b/>
          <w:bCs/>
          <w:sz w:val="18"/>
          <w:szCs w:val="18"/>
        </w:rPr>
        <w:t>MSW</w:t>
      </w:r>
      <w:r w:rsidR="00E21A61">
        <w:rPr>
          <w:rFonts w:ascii="Arial" w:hAnsi="Arial" w:cs="Arial"/>
          <w:sz w:val="18"/>
          <w:szCs w:val="18"/>
        </w:rPr>
        <w:t xml:space="preserve"> </w:t>
      </w:r>
      <w:r w:rsidRPr="00F6412A">
        <w:rPr>
          <w:rFonts w:ascii="Arial" w:hAnsi="Arial" w:cs="Arial"/>
          <w:b/>
          <w:bCs/>
          <w:sz w:val="18"/>
          <w:szCs w:val="18"/>
        </w:rPr>
        <w:t>C</w:t>
      </w:r>
      <w:r w:rsidRPr="00F6412A">
        <w:rPr>
          <w:rFonts w:ascii="Arial" w:hAnsi="Arial" w:cs="Arial"/>
          <w:b/>
          <w:sz w:val="18"/>
          <w:szCs w:val="18"/>
        </w:rPr>
        <w:t>ompost sampling locations in Bengaluru</w:t>
      </w:r>
      <w:r w:rsidRPr="00F6412A">
        <w:rPr>
          <w:rFonts w:ascii="Arial" w:hAnsi="Arial" w:cs="Arial"/>
          <w:sz w:val="18"/>
          <w:szCs w:val="18"/>
        </w:rPr>
        <w:t>.</w:t>
      </w:r>
    </w:p>
    <w:p w14:paraId="667967A1" w14:textId="77777777" w:rsidR="000845FD" w:rsidRPr="000845FD" w:rsidRDefault="000845FD" w:rsidP="00F13253">
      <w:pPr>
        <w:spacing w:line="360" w:lineRule="auto"/>
        <w:jc w:val="center"/>
        <w:rPr>
          <w:rFonts w:ascii="Arial" w:hAnsi="Arial" w:cs="Arial"/>
        </w:rPr>
      </w:pPr>
    </w:p>
    <w:p w14:paraId="356E700F" w14:textId="354F396C" w:rsidR="00F13253" w:rsidRDefault="00746640" w:rsidP="00F13253">
      <w:pPr>
        <w:pStyle w:val="AbstHead"/>
        <w:spacing w:after="0"/>
        <w:rPr>
          <w:rFonts w:ascii="Arial" w:hAnsi="Arial" w:cs="Arial"/>
        </w:rPr>
      </w:pPr>
      <w:r w:rsidRPr="00746640">
        <w:rPr>
          <w:rFonts w:ascii="Arial" w:hAnsi="Arial" w:cs="Arial"/>
        </w:rPr>
        <w:t xml:space="preserve">Pesticide Extraction and </w:t>
      </w:r>
      <w:r w:rsidR="000845FD">
        <w:rPr>
          <w:rFonts w:ascii="Arial" w:hAnsi="Arial" w:cs="Arial"/>
        </w:rPr>
        <w:t>Clean-up</w:t>
      </w:r>
    </w:p>
    <w:p w14:paraId="23E36D39" w14:textId="77777777" w:rsidR="00746640" w:rsidRDefault="00746640" w:rsidP="00F13253">
      <w:pPr>
        <w:pStyle w:val="AbstHead"/>
        <w:spacing w:after="0"/>
        <w:rPr>
          <w:rFonts w:ascii="Arial" w:hAnsi="Arial" w:cs="Arial"/>
        </w:rPr>
      </w:pPr>
    </w:p>
    <w:p w14:paraId="20496B5E" w14:textId="77777777" w:rsidR="00746640" w:rsidRDefault="00746640" w:rsidP="00746640">
      <w:pPr>
        <w:jc w:val="both"/>
        <w:rPr>
          <w:rFonts w:ascii="Arial" w:hAnsi="Arial" w:cs="Arial"/>
        </w:rPr>
      </w:pPr>
      <w:r w:rsidRPr="005A14E6">
        <w:rPr>
          <w:rFonts w:ascii="Arial" w:hAnsi="Arial" w:cs="Arial"/>
        </w:rPr>
        <w:t>Pesticide residues were extracted using the QuEChERS (Quick, Easy, Cheap, Effective, Rugged and Safe) extraction method, according to the official AOAC method (2007.01), which is widely used for multi-residue pesticide analysis in complex matrices. To prepare the samples, 5 g of a previously homogenized compost sample was weighed into a clean 50 ml centrifuge tube with 10 ml deionized water, 10 ml of 1% acetic acid in acetonitrile, and vortexed for 5 minutes.  A mixture of extraction salts, including magnesium sulfate (MgSO</w:t>
      </w:r>
      <w:r w:rsidRPr="005A14E6">
        <w:rPr>
          <w:rFonts w:ascii="Arial" w:hAnsi="Arial" w:cs="Arial"/>
          <w:vertAlign w:val="subscript"/>
        </w:rPr>
        <w:t>4</w:t>
      </w:r>
      <w:r w:rsidRPr="005A14E6">
        <w:rPr>
          <w:rFonts w:ascii="Arial" w:hAnsi="Arial" w:cs="Arial"/>
        </w:rPr>
        <w:t>) and sodium acetate (NaOAc), was added to promote phase separation and improve extraction efficiency. The sample was vigorously shaken and subsequently centrifuged to separate the organic phase.</w:t>
      </w:r>
    </w:p>
    <w:p w14:paraId="6C71C851" w14:textId="77777777" w:rsidR="00746640" w:rsidRPr="005A14E6" w:rsidRDefault="00746640" w:rsidP="00746640">
      <w:pPr>
        <w:jc w:val="both"/>
        <w:rPr>
          <w:rFonts w:ascii="Arial" w:hAnsi="Arial" w:cs="Arial"/>
        </w:rPr>
      </w:pPr>
    </w:p>
    <w:p w14:paraId="3BA8A7F3" w14:textId="77777777" w:rsidR="00746640" w:rsidRDefault="00746640" w:rsidP="00746640">
      <w:pPr>
        <w:jc w:val="both"/>
        <w:rPr>
          <w:rFonts w:ascii="Arial" w:hAnsi="Arial" w:cs="Arial"/>
        </w:rPr>
      </w:pPr>
      <w:r w:rsidRPr="005A14E6">
        <w:rPr>
          <w:rFonts w:ascii="Arial" w:hAnsi="Arial" w:cs="Arial"/>
        </w:rPr>
        <w:t>The supernatant was subjected to dispersive solid-phase extraction (d-SPE) cleanup using sorbents such as primary secondary amine (PSA), C18, GCB, and MgSO</w:t>
      </w:r>
      <w:r w:rsidRPr="005A14E6">
        <w:rPr>
          <w:rFonts w:ascii="Arial" w:hAnsi="Arial" w:cs="Arial"/>
          <w:vertAlign w:val="subscript"/>
        </w:rPr>
        <w:t>4</w:t>
      </w:r>
      <w:r w:rsidRPr="005A14E6">
        <w:rPr>
          <w:rFonts w:ascii="Arial" w:hAnsi="Arial" w:cs="Arial"/>
        </w:rPr>
        <w:t xml:space="preserve"> to remove interfering organic compounds, pigments, and residual moisture. 2 ml of the extract was evaporated and again reconstituted using ethyl acetate, filtered into a GC vial before instrumental analysis.</w:t>
      </w:r>
    </w:p>
    <w:p w14:paraId="79938305" w14:textId="77777777" w:rsidR="00746640" w:rsidRDefault="00746640" w:rsidP="00746640">
      <w:pPr>
        <w:jc w:val="both"/>
        <w:rPr>
          <w:rFonts w:ascii="Arial" w:hAnsi="Arial" w:cs="Arial"/>
        </w:rPr>
      </w:pPr>
    </w:p>
    <w:p w14:paraId="3FBADC48" w14:textId="77777777" w:rsidR="00746640" w:rsidRPr="000C7131" w:rsidRDefault="00746640" w:rsidP="00746640">
      <w:pPr>
        <w:jc w:val="both"/>
        <w:rPr>
          <w:rFonts w:ascii="Arial" w:hAnsi="Arial" w:cs="Arial"/>
          <w:b/>
          <w:bCs/>
          <w:sz w:val="22"/>
          <w:szCs w:val="22"/>
        </w:rPr>
      </w:pPr>
      <w:r w:rsidRPr="000C7131">
        <w:rPr>
          <w:rFonts w:ascii="Arial" w:hAnsi="Arial" w:cs="Arial"/>
          <w:b/>
          <w:bCs/>
          <w:sz w:val="22"/>
          <w:szCs w:val="22"/>
        </w:rPr>
        <w:t>INSTRUMENTAL ANALYSIS</w:t>
      </w:r>
    </w:p>
    <w:p w14:paraId="4C707828" w14:textId="77777777" w:rsidR="00746640" w:rsidRPr="005A14E6" w:rsidRDefault="00746640" w:rsidP="00746640">
      <w:pPr>
        <w:jc w:val="both"/>
        <w:rPr>
          <w:rFonts w:ascii="Arial" w:hAnsi="Arial" w:cs="Arial"/>
        </w:rPr>
      </w:pPr>
    </w:p>
    <w:p w14:paraId="525B47B7" w14:textId="77777777" w:rsidR="00D047E9" w:rsidRDefault="00D047E9" w:rsidP="00D047E9">
      <w:pPr>
        <w:jc w:val="both"/>
        <w:rPr>
          <w:rFonts w:ascii="Arial" w:hAnsi="Arial" w:cs="Arial"/>
        </w:rPr>
      </w:pPr>
      <w:r w:rsidRPr="005C0CE5">
        <w:rPr>
          <w:rFonts w:ascii="Arial" w:hAnsi="Arial" w:cs="Arial"/>
        </w:rPr>
        <w:t xml:space="preserve">Quantitative screening of pesticide residues was performed using GC–MS/MS (Shimadzu-TQ8050) operating in multiple reaction monitoring (MRM) mode. The analytical method targeted 185 pesticide compounds, including 75 organo-nitrogen pesticides (ONP), 44 </w:t>
      </w:r>
      <w:r w:rsidRPr="005C0CE5">
        <w:rPr>
          <w:rFonts w:ascii="Arial" w:hAnsi="Arial" w:cs="Arial"/>
        </w:rPr>
        <w:lastRenderedPageBreak/>
        <w:t>organophosphate pesticides (OPP), 40 organochlorine pesticides (OCP), and 26 synthetic pyrethroids (SPP). Chromatographic separation was performed on an SH-I-5Sil MS capillary column (30 m × 0.25 mm ID, 0.25 µm film thickness) with helium as the carrier gas. Aliquot (1 µl) of the sample was injected in splitless mode with the injector temperature set at 280 °C. The GC oven temperature program and MS/MS detection parameters were optimized for multi-residue pesticide analysis. Identification of pesticide residues was based on retention time and characteristic mass transitions, while quantification was performed using calibration curves prepared from analytical pesticide standards.</w:t>
      </w:r>
    </w:p>
    <w:p w14:paraId="12DB18AA" w14:textId="77777777" w:rsidR="00D047E9" w:rsidRPr="008C0B26" w:rsidRDefault="00D047E9" w:rsidP="00D047E9">
      <w:pPr>
        <w:jc w:val="both"/>
        <w:rPr>
          <w:rFonts w:ascii="Arial" w:hAnsi="Arial" w:cs="Arial"/>
          <w:sz w:val="18"/>
          <w:szCs w:val="18"/>
        </w:rPr>
      </w:pPr>
    </w:p>
    <w:p w14:paraId="7A4DFBC9" w14:textId="77777777" w:rsidR="00D047E9" w:rsidRDefault="00D047E9" w:rsidP="00D047E9">
      <w:pPr>
        <w:jc w:val="both"/>
        <w:rPr>
          <w:rFonts w:ascii="Arial" w:hAnsi="Arial" w:cs="Arial"/>
          <w:b/>
          <w:bCs/>
          <w:sz w:val="22"/>
          <w:szCs w:val="22"/>
        </w:rPr>
      </w:pPr>
      <w:r w:rsidRPr="008C0B26">
        <w:rPr>
          <w:rFonts w:ascii="Arial" w:hAnsi="Arial" w:cs="Arial"/>
          <w:b/>
          <w:bCs/>
          <w:sz w:val="22"/>
          <w:szCs w:val="22"/>
        </w:rPr>
        <w:t>DATA ANALYSIS</w:t>
      </w:r>
    </w:p>
    <w:p w14:paraId="6510FC18" w14:textId="77777777" w:rsidR="00D047E9" w:rsidRPr="00D047E9" w:rsidRDefault="00D047E9" w:rsidP="00D047E9">
      <w:pPr>
        <w:jc w:val="both"/>
        <w:rPr>
          <w:rFonts w:ascii="Arial" w:hAnsi="Arial" w:cs="Arial"/>
          <w:b/>
          <w:bCs/>
        </w:rPr>
      </w:pPr>
    </w:p>
    <w:p w14:paraId="1CC1398B" w14:textId="77777777" w:rsidR="00D047E9" w:rsidRDefault="00D047E9" w:rsidP="00D047E9">
      <w:pPr>
        <w:jc w:val="both"/>
        <w:rPr>
          <w:rFonts w:ascii="Arial" w:hAnsi="Arial" w:cs="Arial"/>
        </w:rPr>
      </w:pPr>
      <w:r w:rsidRPr="00495ADB">
        <w:rPr>
          <w:rFonts w:ascii="Arial" w:hAnsi="Arial" w:cs="Arial"/>
        </w:rPr>
        <w:t>Detection frequency of pesticide residues was calculated to evaluate the distribution of compounds across the composting facilities using the following equation:</w:t>
      </w:r>
    </w:p>
    <w:p w14:paraId="7DA85330" w14:textId="77777777" w:rsidR="00D047E9" w:rsidRPr="00495ADB" w:rsidRDefault="00D047E9" w:rsidP="00D047E9">
      <w:pPr>
        <w:jc w:val="both"/>
        <w:rPr>
          <w:rFonts w:ascii="Arial" w:hAnsi="Arial" w:cs="Arial"/>
        </w:rPr>
      </w:pPr>
    </w:p>
    <w:p w14:paraId="3BC95626" w14:textId="77777777" w:rsidR="00D047E9" w:rsidRPr="00495ADB" w:rsidRDefault="00D047E9" w:rsidP="00D047E9">
      <w:pPr>
        <w:spacing w:line="360" w:lineRule="auto"/>
        <w:jc w:val="center"/>
        <w:rPr>
          <w:rFonts w:ascii="Arial" w:hAnsi="Arial" w:cs="Arial"/>
          <w:b/>
          <w:bCs/>
        </w:rPr>
      </w:pPr>
      <m:oMath>
        <m:r>
          <m:rPr>
            <m:sty m:val="bi"/>
          </m:rPr>
          <w:rPr>
            <w:rFonts w:ascii="Cambria Math" w:hAnsi="Cambria Math" w:cs="Arial"/>
          </w:rPr>
          <m:t>Detection Frequency=</m:t>
        </m:r>
        <m:f>
          <m:fPr>
            <m:ctrlPr>
              <w:rPr>
                <w:rFonts w:ascii="Cambria Math" w:hAnsi="Cambria Math" w:cs="Arial"/>
                <w:b/>
                <w:bCs/>
                <w:i/>
              </w:rPr>
            </m:ctrlPr>
          </m:fPr>
          <m:num>
            <m:r>
              <m:rPr>
                <m:sty m:val="bi"/>
              </m:rPr>
              <w:rPr>
                <w:rFonts w:ascii="Cambria Math" w:hAnsi="Cambria Math" w:cs="Arial"/>
              </w:rPr>
              <m:t>Number of samples in which the pesticide was detected​</m:t>
            </m:r>
          </m:num>
          <m:den>
            <m:r>
              <m:rPr>
                <m:sty m:val="bi"/>
              </m:rPr>
              <w:rPr>
                <w:rFonts w:ascii="Cambria Math" w:hAnsi="Cambria Math" w:cs="Arial"/>
              </w:rPr>
              <m:t>Total number of samples</m:t>
            </m:r>
          </m:den>
        </m:f>
      </m:oMath>
      <w:r w:rsidRPr="00495ADB">
        <w:rPr>
          <w:rFonts w:ascii="Arial" w:eastAsiaTheme="minorEastAsia" w:hAnsi="Arial" w:cs="Arial"/>
          <w:b/>
          <w:bCs/>
        </w:rPr>
        <w:t xml:space="preserve"> </w:t>
      </w:r>
      <m:oMath>
        <m:r>
          <m:rPr>
            <m:sty m:val="bi"/>
          </m:rPr>
          <w:rPr>
            <w:rFonts w:ascii="Cambria Math" w:eastAsiaTheme="minorEastAsia" w:hAnsi="Cambria Math" w:cs="Arial"/>
          </w:rPr>
          <m:t>×100</m:t>
        </m:r>
      </m:oMath>
    </w:p>
    <w:p w14:paraId="5DF8CEC6" w14:textId="77777777" w:rsidR="00D047E9" w:rsidRDefault="00D047E9" w:rsidP="00D047E9">
      <w:pPr>
        <w:jc w:val="both"/>
        <w:rPr>
          <w:rFonts w:ascii="Arial" w:hAnsi="Arial" w:cs="Arial"/>
        </w:rPr>
      </w:pPr>
    </w:p>
    <w:p w14:paraId="35FAC2AD" w14:textId="1D58426B" w:rsidR="00D047E9" w:rsidRDefault="00D047E9" w:rsidP="00D047E9">
      <w:pPr>
        <w:jc w:val="both"/>
        <w:rPr>
          <w:rFonts w:ascii="Arial" w:hAnsi="Arial" w:cs="Arial"/>
        </w:rPr>
      </w:pPr>
      <w:r w:rsidRPr="00F55BC9">
        <w:rPr>
          <w:rFonts w:ascii="Arial" w:hAnsi="Arial" w:cs="Arial"/>
        </w:rPr>
        <w:t>Pesticides were categorized based on their detection frequency across the six compost samples. Concentration values were expressed as milligrams per kilogram (mg kg</w:t>
      </w:r>
      <w:r w:rsidRPr="00F55BC9">
        <w:rPr>
          <w:rFonts w:ascii="Cambria Math" w:hAnsi="Cambria Math" w:cs="Cambria Math"/>
        </w:rPr>
        <w:t>⁻</w:t>
      </w:r>
      <w:r w:rsidRPr="00F55BC9">
        <w:rPr>
          <w:rFonts w:ascii="Arial" w:hAnsi="Arial" w:cs="Arial"/>
        </w:rPr>
        <w:t>¹) on a dry weight basis. Descriptive statistical analysis was used to summarize the occurrence patterns and concentration ranges of pesticide residues</w:t>
      </w:r>
      <w:r w:rsidRPr="00495ADB">
        <w:rPr>
          <w:rFonts w:ascii="Arial" w:hAnsi="Arial" w:cs="Arial"/>
        </w:rPr>
        <w:t>.</w:t>
      </w:r>
    </w:p>
    <w:p w14:paraId="2AF4A218" w14:textId="77777777" w:rsidR="00D047E9" w:rsidRPr="00495ADB" w:rsidRDefault="00D047E9" w:rsidP="00D047E9">
      <w:pPr>
        <w:jc w:val="both"/>
        <w:rPr>
          <w:rFonts w:ascii="Arial" w:hAnsi="Arial" w:cs="Arial"/>
        </w:rPr>
      </w:pPr>
    </w:p>
    <w:p w14:paraId="4A15092D" w14:textId="77777777" w:rsidR="00B6641D" w:rsidRDefault="00D047E9" w:rsidP="00B6641D">
      <w:pPr>
        <w:pStyle w:val="Head1"/>
        <w:spacing w:after="0"/>
        <w:jc w:val="both"/>
        <w:rPr>
          <w:rFonts w:ascii="Arial" w:hAnsi="Arial" w:cs="Arial"/>
        </w:rPr>
      </w:pPr>
      <w:r w:rsidRPr="00E21A61">
        <w:rPr>
          <w:rFonts w:ascii="Arial" w:hAnsi="Arial" w:cs="Arial"/>
          <w:bCs/>
          <w:szCs w:val="22"/>
        </w:rPr>
        <w:t xml:space="preserve">3. </w:t>
      </w:r>
      <w:proofErr w:type="gramStart"/>
      <w:r w:rsidRPr="00E21A61">
        <w:rPr>
          <w:rFonts w:ascii="Arial" w:hAnsi="Arial" w:cs="Arial"/>
          <w:bCs/>
          <w:szCs w:val="22"/>
        </w:rPr>
        <w:t xml:space="preserve">RESULTS </w:t>
      </w:r>
      <w:r w:rsidR="00B6641D">
        <w:rPr>
          <w:rFonts w:ascii="Arial" w:hAnsi="Arial" w:cs="Arial"/>
          <w:b w:val="0"/>
          <w:bCs/>
          <w:szCs w:val="22"/>
        </w:rPr>
        <w:t xml:space="preserve"> AND</w:t>
      </w:r>
      <w:proofErr w:type="gramEnd"/>
      <w:r w:rsidR="00B6641D">
        <w:rPr>
          <w:rFonts w:ascii="Arial" w:hAnsi="Arial" w:cs="Arial"/>
          <w:b w:val="0"/>
          <w:bCs/>
          <w:szCs w:val="22"/>
        </w:rPr>
        <w:t xml:space="preserve"> </w:t>
      </w:r>
      <w:r w:rsidR="00B6641D">
        <w:rPr>
          <w:rFonts w:ascii="Arial" w:hAnsi="Arial" w:cs="Arial"/>
        </w:rPr>
        <w:t>Discussion</w:t>
      </w:r>
    </w:p>
    <w:p w14:paraId="700B3CA3" w14:textId="240DDEE9" w:rsidR="00D047E9" w:rsidRPr="00E21A61" w:rsidRDefault="00D047E9" w:rsidP="00D047E9">
      <w:pPr>
        <w:jc w:val="both"/>
        <w:rPr>
          <w:rFonts w:ascii="Arial" w:hAnsi="Arial" w:cs="Arial"/>
          <w:b/>
          <w:bCs/>
          <w:sz w:val="24"/>
          <w:szCs w:val="24"/>
        </w:rPr>
      </w:pPr>
    </w:p>
    <w:p w14:paraId="752DB186" w14:textId="77777777" w:rsidR="00D047E9" w:rsidRDefault="00D047E9" w:rsidP="00D047E9">
      <w:pPr>
        <w:jc w:val="both"/>
        <w:rPr>
          <w:rFonts w:ascii="Arial" w:hAnsi="Arial" w:cs="Arial"/>
        </w:rPr>
      </w:pPr>
    </w:p>
    <w:p w14:paraId="7A223897" w14:textId="296DD268" w:rsidR="00D047E9" w:rsidRPr="00C11E95" w:rsidRDefault="00D047E9" w:rsidP="00D047E9">
      <w:pPr>
        <w:jc w:val="both"/>
        <w:rPr>
          <w:rFonts w:ascii="Arial" w:hAnsi="Arial" w:cs="Arial"/>
        </w:rPr>
      </w:pPr>
      <w:r w:rsidRPr="00C11E95">
        <w:rPr>
          <w:rFonts w:ascii="Arial" w:hAnsi="Arial" w:cs="Arial"/>
        </w:rPr>
        <w:t>Out of 185 residues scanned, 172 compounds (93%) were detected in at least one sample, indicating widespread occurrence of pesticide residues in the municipal organic waste stream, while the remaining 13 compounds (7%) were not detected. ONP constituted the largest proportion of detected compounds (38%), followed by organophosphates (25%), organochlorines (23%), and synthetic pyrethroids (14%) (see Supplementary Table S1).</w:t>
      </w:r>
    </w:p>
    <w:p w14:paraId="53CFF1D9" w14:textId="12367FA8" w:rsidR="00746640" w:rsidRDefault="00D047E9" w:rsidP="00D047E9">
      <w:pPr>
        <w:jc w:val="both"/>
        <w:rPr>
          <w:rFonts w:ascii="Arial" w:hAnsi="Arial" w:cs="Arial"/>
        </w:rPr>
      </w:pPr>
      <w:r w:rsidRPr="00C11E95">
        <w:rPr>
          <w:rFonts w:ascii="Arial" w:hAnsi="Arial" w:cs="Arial"/>
        </w:rPr>
        <w:t>The relative distribution of pesticide classes in MSW compost samples indicate that pesticide contamination in compost originates from diverse chemical classes commonly used in agricultural and domestic pest control applications (Fig.2).</w:t>
      </w:r>
    </w:p>
    <w:p w14:paraId="6DA273CB" w14:textId="77777777" w:rsidR="00D047E9" w:rsidRDefault="00D047E9" w:rsidP="00D047E9">
      <w:pPr>
        <w:jc w:val="both"/>
        <w:rPr>
          <w:rFonts w:ascii="Arial" w:hAnsi="Arial" w:cs="Arial"/>
        </w:rPr>
      </w:pPr>
    </w:p>
    <w:p w14:paraId="39908C2B" w14:textId="47447E7F" w:rsidR="00D047E9" w:rsidRDefault="00D047E9" w:rsidP="00D047E9">
      <w:pPr>
        <w:jc w:val="center"/>
        <w:rPr>
          <w:rFonts w:ascii="Arial" w:hAnsi="Arial" w:cs="Arial"/>
        </w:rPr>
      </w:pPr>
      <w:r w:rsidRPr="00F6412A">
        <w:rPr>
          <w:rFonts w:ascii="Arial" w:hAnsi="Arial" w:cs="Arial"/>
          <w:b/>
          <w:bCs/>
          <w:noProof/>
        </w:rPr>
        <w:drawing>
          <wp:inline distT="0" distB="0" distL="0" distR="0" wp14:anchorId="29B59E89" wp14:editId="04B84723">
            <wp:extent cx="4607560" cy="1950720"/>
            <wp:effectExtent l="0" t="0" r="0" b="0"/>
            <wp:docPr id="1497013941" name="Chart 1">
              <a:extLst xmlns:a="http://schemas.openxmlformats.org/drawingml/2006/main">
                <a:ext uri="{FF2B5EF4-FFF2-40B4-BE49-F238E27FC236}">
                  <a16:creationId xmlns:a16="http://schemas.microsoft.com/office/drawing/2014/main" id="{58D6DCAE-01CA-4A2E-8C9F-B85A70CB97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D5ADDA" w14:textId="77777777" w:rsidR="00E21A61" w:rsidRDefault="00E21A61" w:rsidP="00D047E9">
      <w:pPr>
        <w:jc w:val="center"/>
        <w:rPr>
          <w:rFonts w:ascii="Arial" w:hAnsi="Arial" w:cs="Arial"/>
          <w:b/>
          <w:bCs/>
          <w:sz w:val="18"/>
          <w:szCs w:val="18"/>
        </w:rPr>
      </w:pPr>
    </w:p>
    <w:p w14:paraId="458DF801" w14:textId="77777777" w:rsidR="00E21A61" w:rsidRDefault="00E21A61" w:rsidP="00D047E9">
      <w:pPr>
        <w:jc w:val="center"/>
        <w:rPr>
          <w:rFonts w:ascii="Arial" w:hAnsi="Arial" w:cs="Arial"/>
          <w:b/>
          <w:bCs/>
          <w:sz w:val="18"/>
          <w:szCs w:val="18"/>
        </w:rPr>
      </w:pPr>
    </w:p>
    <w:p w14:paraId="0D93E99D" w14:textId="1F7779F2" w:rsidR="00D047E9" w:rsidRPr="00E21A61" w:rsidRDefault="00D047E9" w:rsidP="00D047E9">
      <w:pPr>
        <w:jc w:val="center"/>
        <w:rPr>
          <w:rFonts w:ascii="Arial" w:hAnsi="Arial" w:cs="Arial"/>
          <w:b/>
          <w:bCs/>
        </w:rPr>
      </w:pPr>
      <w:r w:rsidRPr="00E21A61">
        <w:rPr>
          <w:rFonts w:ascii="Arial" w:hAnsi="Arial" w:cs="Arial"/>
          <w:b/>
          <w:bCs/>
        </w:rPr>
        <w:t>Fig. 2 Class-wise distribution of pesticide residues detected in MSW compost samples</w:t>
      </w:r>
    </w:p>
    <w:p w14:paraId="03B9429C" w14:textId="77777777" w:rsidR="00D047E9" w:rsidRDefault="00D047E9" w:rsidP="00D047E9">
      <w:pPr>
        <w:jc w:val="center"/>
        <w:rPr>
          <w:rFonts w:ascii="Arial" w:hAnsi="Arial" w:cs="Arial"/>
          <w:b/>
          <w:bCs/>
          <w:sz w:val="18"/>
          <w:szCs w:val="18"/>
        </w:rPr>
      </w:pPr>
    </w:p>
    <w:p w14:paraId="69F77014" w14:textId="77777777" w:rsidR="00D047E9" w:rsidRDefault="00D047E9" w:rsidP="00D047E9">
      <w:pPr>
        <w:jc w:val="both"/>
        <w:rPr>
          <w:rFonts w:ascii="Arial" w:hAnsi="Arial" w:cs="Arial"/>
        </w:rPr>
      </w:pPr>
      <w:r w:rsidRPr="001D54A8">
        <w:rPr>
          <w:rFonts w:ascii="Arial" w:hAnsi="Arial" w:cs="Arial"/>
        </w:rPr>
        <w:lastRenderedPageBreak/>
        <w:t>Detection frequency analysis revealed substantial variability in pesticide occurrence across composting units. Twenty-one pesticides (11.4%) were detected in all six compost samples (100% detection frequency), suggesting ubiquitous presence across the facilities. An additional 67 compounds were detected in four to five units (67–83% frequency), while 38 pesticides occurred in three units (50% frequency). Moderate occurrence was observed for 23 compounds each at 33% and 17% detection frequencies, whereas 13 pesticides (7%) were not detected in any sample. The distribution of detection frequencies is summarized in Table 2 and illustrated in Figure 3.</w:t>
      </w:r>
    </w:p>
    <w:p w14:paraId="6484735C" w14:textId="77777777" w:rsidR="00D047E9" w:rsidRDefault="00D047E9" w:rsidP="00D047E9">
      <w:pPr>
        <w:rPr>
          <w:rFonts w:ascii="Arial" w:hAnsi="Arial" w:cs="Arial"/>
        </w:rPr>
      </w:pPr>
    </w:p>
    <w:p w14:paraId="7F5A5271" w14:textId="0249D293" w:rsidR="00D047E9" w:rsidRDefault="00D047E9" w:rsidP="00D047E9">
      <w:pPr>
        <w:jc w:val="center"/>
        <w:rPr>
          <w:rFonts w:ascii="Arial" w:hAnsi="Arial" w:cs="Arial"/>
        </w:rPr>
      </w:pPr>
      <w:r w:rsidRPr="00F6412A">
        <w:rPr>
          <w:rFonts w:ascii="Arial" w:hAnsi="Arial" w:cs="Arial"/>
          <w:noProof/>
          <w:sz w:val="24"/>
          <w:szCs w:val="24"/>
        </w:rPr>
        <w:drawing>
          <wp:inline distT="0" distB="0" distL="0" distR="0" wp14:anchorId="65200088" wp14:editId="2838C0D0">
            <wp:extent cx="4572000" cy="2209800"/>
            <wp:effectExtent l="0" t="0" r="0" b="0"/>
            <wp:docPr id="1426275229" name="Chart 1">
              <a:extLst xmlns:a="http://schemas.openxmlformats.org/drawingml/2006/main">
                <a:ext uri="{FF2B5EF4-FFF2-40B4-BE49-F238E27FC236}">
                  <a16:creationId xmlns:a16="http://schemas.microsoft.com/office/drawing/2014/main" id="{54324607-CA47-ABD1-3227-F79CE87FC0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F894A1" w14:textId="77777777" w:rsidR="00E21A61" w:rsidRDefault="00E21A61" w:rsidP="00D047E9">
      <w:pPr>
        <w:jc w:val="center"/>
        <w:rPr>
          <w:rFonts w:ascii="Arial" w:hAnsi="Arial" w:cs="Arial"/>
          <w:b/>
          <w:bCs/>
          <w:sz w:val="18"/>
          <w:szCs w:val="18"/>
        </w:rPr>
      </w:pPr>
    </w:p>
    <w:p w14:paraId="1283AD60" w14:textId="0407F96E" w:rsidR="00D047E9" w:rsidRPr="00E21A61" w:rsidRDefault="00D047E9" w:rsidP="00D047E9">
      <w:pPr>
        <w:jc w:val="center"/>
        <w:rPr>
          <w:rFonts w:ascii="Arial" w:hAnsi="Arial" w:cs="Arial"/>
        </w:rPr>
      </w:pPr>
      <w:r w:rsidRPr="00E21A61">
        <w:rPr>
          <w:rFonts w:ascii="Arial" w:hAnsi="Arial" w:cs="Arial"/>
          <w:b/>
          <w:bCs/>
        </w:rPr>
        <w:t>Fig. 3 Detection frequency distribution of pesticide residues across composting units</w:t>
      </w:r>
    </w:p>
    <w:p w14:paraId="63918EEC" w14:textId="77777777" w:rsidR="00D047E9" w:rsidRDefault="00D047E9" w:rsidP="00D047E9">
      <w:pPr>
        <w:jc w:val="center"/>
        <w:rPr>
          <w:rFonts w:ascii="Arial" w:hAnsi="Arial" w:cs="Arial"/>
        </w:rPr>
      </w:pPr>
    </w:p>
    <w:p w14:paraId="33464699" w14:textId="77777777" w:rsidR="00195808" w:rsidRDefault="00195808" w:rsidP="00195808">
      <w:pPr>
        <w:jc w:val="both"/>
        <w:rPr>
          <w:rFonts w:ascii="Arial" w:hAnsi="Arial" w:cs="Arial"/>
        </w:rPr>
      </w:pPr>
      <w:r w:rsidRPr="005F6AF5">
        <w:rPr>
          <w:rFonts w:ascii="Arial" w:hAnsi="Arial" w:cs="Arial"/>
        </w:rPr>
        <w:t>Among the quantified residues, 21 pesticides showed concentrations exceeding 1 mg kg</w:t>
      </w:r>
      <w:r w:rsidRPr="005F6AF5">
        <w:rPr>
          <w:rFonts w:ascii="Cambria Math" w:hAnsi="Cambria Math" w:cs="Cambria Math"/>
        </w:rPr>
        <w:t>⁻</w:t>
      </w:r>
      <w:r w:rsidRPr="005F6AF5">
        <w:rPr>
          <w:rFonts w:ascii="Arial" w:hAnsi="Arial" w:cs="Arial"/>
        </w:rPr>
        <w:t>¹, indicating relatively high residue levels in the compost samples. Notable compounds included cypermethrin (17.4 mg kg</w:t>
      </w:r>
      <w:r w:rsidRPr="005F6AF5">
        <w:rPr>
          <w:rFonts w:ascii="Cambria Math" w:hAnsi="Cambria Math" w:cs="Cambria Math"/>
        </w:rPr>
        <w:t>⁻</w:t>
      </w:r>
      <w:r w:rsidRPr="005F6AF5">
        <w:rPr>
          <w:rFonts w:ascii="Arial" w:hAnsi="Arial" w:cs="Arial"/>
        </w:rPr>
        <w:t>¹), followed by cyfluthrin isomers, including cyfluthrin-1 (13.3 mg kg</w:t>
      </w:r>
      <w:r w:rsidRPr="005F6AF5">
        <w:rPr>
          <w:rFonts w:ascii="Cambria Math" w:hAnsi="Cambria Math" w:cs="Cambria Math"/>
        </w:rPr>
        <w:t>⁻</w:t>
      </w:r>
      <w:r w:rsidRPr="005F6AF5">
        <w:rPr>
          <w:rFonts w:ascii="Arial" w:hAnsi="Arial" w:cs="Arial"/>
        </w:rPr>
        <w:t>¹) and cyfluthrin-2 (9.8 mg kg</w:t>
      </w:r>
      <w:r w:rsidRPr="005F6AF5">
        <w:rPr>
          <w:rFonts w:ascii="Cambria Math" w:hAnsi="Cambria Math" w:cs="Cambria Math"/>
        </w:rPr>
        <w:t>⁻</w:t>
      </w:r>
      <w:r w:rsidRPr="005F6AF5">
        <w:rPr>
          <w:rFonts w:ascii="Arial" w:hAnsi="Arial" w:cs="Arial"/>
        </w:rPr>
        <w:t>¹). The other prominent residues included profenofos (7.5 mg kg</w:t>
      </w:r>
      <w:r w:rsidRPr="005F6AF5">
        <w:rPr>
          <w:rFonts w:ascii="Cambria Math" w:hAnsi="Cambria Math" w:cs="Cambria Math"/>
        </w:rPr>
        <w:t>⁻</w:t>
      </w:r>
      <w:r w:rsidRPr="005F6AF5">
        <w:rPr>
          <w:rFonts w:ascii="Arial" w:hAnsi="Arial" w:cs="Arial"/>
        </w:rPr>
        <w:t>¹), cyfluthrin-3 and cyfluthrin-4 (5.7 and 5.3 mg kg</w:t>
      </w:r>
      <w:r w:rsidRPr="005F6AF5">
        <w:rPr>
          <w:rFonts w:ascii="Cambria Math" w:hAnsi="Cambria Math" w:cs="Cambria Math"/>
        </w:rPr>
        <w:t>⁻</w:t>
      </w:r>
      <w:r w:rsidRPr="005F6AF5">
        <w:rPr>
          <w:rFonts w:ascii="Arial" w:hAnsi="Arial" w:cs="Arial"/>
        </w:rPr>
        <w:t>¹ each), and tetrahydro phthalimide (THPI) (3.2 mg kg</w:t>
      </w:r>
      <w:r w:rsidRPr="005F6AF5">
        <w:rPr>
          <w:rFonts w:ascii="Cambria Math" w:hAnsi="Cambria Math" w:cs="Cambria Math"/>
        </w:rPr>
        <w:t>⁻</w:t>
      </w:r>
      <w:r w:rsidRPr="005F6AF5">
        <w:rPr>
          <w:rFonts w:ascii="Arial" w:hAnsi="Arial" w:cs="Arial"/>
        </w:rPr>
        <w:t>¹). Besides, several additional pesticides were detected at concentrations around 2 mg kg</w:t>
      </w:r>
      <w:r w:rsidRPr="005F6AF5">
        <w:rPr>
          <w:rFonts w:ascii="Cambria Math" w:hAnsi="Cambria Math" w:cs="Cambria Math"/>
        </w:rPr>
        <w:t>⁻</w:t>
      </w:r>
      <w:r w:rsidRPr="005F6AF5">
        <w:rPr>
          <w:rFonts w:ascii="Arial" w:hAnsi="Arial" w:cs="Arial"/>
        </w:rPr>
        <w:t>¹, while others ranged between 1 and 2 mg kg</w:t>
      </w:r>
      <w:r w:rsidRPr="005F6AF5">
        <w:rPr>
          <w:rFonts w:ascii="Cambria Math" w:hAnsi="Cambria Math" w:cs="Cambria Math"/>
        </w:rPr>
        <w:t>⁻</w:t>
      </w:r>
      <w:r w:rsidRPr="005F6AF5">
        <w:rPr>
          <w:rFonts w:ascii="Arial" w:hAnsi="Arial" w:cs="Arial"/>
        </w:rPr>
        <w:t>¹ (Table 1).</w:t>
      </w:r>
    </w:p>
    <w:p w14:paraId="3D4A429A" w14:textId="77777777" w:rsidR="00D047E9" w:rsidRPr="00FB3A86" w:rsidRDefault="00D047E9" w:rsidP="00D047E9">
      <w:pPr>
        <w:rPr>
          <w:rFonts w:ascii="Arial" w:hAnsi="Arial" w:cs="Arial"/>
        </w:rPr>
      </w:pPr>
    </w:p>
    <w:p w14:paraId="3A96CF5D" w14:textId="44D9A12F" w:rsidR="00195808" w:rsidRPr="00195808" w:rsidRDefault="00195808" w:rsidP="00195808">
      <w:pPr>
        <w:spacing w:line="360" w:lineRule="auto"/>
        <w:jc w:val="center"/>
        <w:rPr>
          <w:rFonts w:ascii="Arial" w:hAnsi="Arial" w:cs="Arial"/>
        </w:rPr>
      </w:pPr>
      <w:r w:rsidRPr="00195808">
        <w:rPr>
          <w:rFonts w:ascii="Arial" w:hAnsi="Arial" w:cs="Arial"/>
          <w:b/>
          <w:bCs/>
        </w:rPr>
        <w:t>Table 1: Concentration of dominant pesticide residues (&gt;1 mg kg</w:t>
      </w:r>
      <w:r w:rsidRPr="00195808">
        <w:rPr>
          <w:rFonts w:ascii="Cambria Math" w:hAnsi="Cambria Math" w:cs="Cambria Math"/>
          <w:b/>
          <w:bCs/>
        </w:rPr>
        <w:t>⁻</w:t>
      </w:r>
      <w:r w:rsidRPr="00195808">
        <w:rPr>
          <w:rFonts w:ascii="Arial" w:hAnsi="Arial" w:cs="Arial"/>
          <w:b/>
          <w:bCs/>
        </w:rPr>
        <w:t>¹) in MSW compost</w:t>
      </w:r>
    </w:p>
    <w:tbl>
      <w:tblPr>
        <w:tblW w:w="6660" w:type="dxa"/>
        <w:jc w:val="center"/>
        <w:tblLook w:val="04A0" w:firstRow="1" w:lastRow="0" w:firstColumn="1" w:lastColumn="0" w:noHBand="0" w:noVBand="1"/>
      </w:tblPr>
      <w:tblGrid>
        <w:gridCol w:w="2410"/>
        <w:gridCol w:w="776"/>
        <w:gridCol w:w="776"/>
        <w:gridCol w:w="776"/>
        <w:gridCol w:w="776"/>
        <w:gridCol w:w="776"/>
        <w:gridCol w:w="776"/>
      </w:tblGrid>
      <w:tr w:rsidR="00195808" w:rsidRPr="00F6412A" w14:paraId="0BA6C2D7" w14:textId="77777777" w:rsidTr="009F3052">
        <w:trPr>
          <w:trHeight w:val="290"/>
          <w:jc w:val="center"/>
        </w:trPr>
        <w:tc>
          <w:tcPr>
            <w:tcW w:w="2410" w:type="dxa"/>
            <w:tcBorders>
              <w:top w:val="single" w:sz="4" w:space="0" w:color="auto"/>
              <w:bottom w:val="single" w:sz="4" w:space="0" w:color="auto"/>
            </w:tcBorders>
            <w:noWrap/>
            <w:vAlign w:val="bottom"/>
            <w:hideMark/>
          </w:tcPr>
          <w:p w14:paraId="469DF295" w14:textId="77777777" w:rsidR="00195808" w:rsidRPr="00F6412A" w:rsidRDefault="00195808" w:rsidP="009F3052">
            <w:pPr>
              <w:spacing w:line="360" w:lineRule="auto"/>
              <w:rPr>
                <w:rFonts w:ascii="Arial" w:hAnsi="Arial" w:cs="Arial"/>
                <w:b/>
                <w:bCs/>
                <w:color w:val="000000"/>
                <w:sz w:val="18"/>
                <w:szCs w:val="18"/>
                <w:lang w:eastAsia="en-IN"/>
              </w:rPr>
            </w:pPr>
            <w:r w:rsidRPr="00F6412A">
              <w:rPr>
                <w:rFonts w:ascii="Arial" w:hAnsi="Arial" w:cs="Arial"/>
                <w:b/>
                <w:bCs/>
                <w:color w:val="000000"/>
                <w:sz w:val="18"/>
                <w:szCs w:val="18"/>
                <w:lang w:eastAsia="en-IN"/>
              </w:rPr>
              <w:t>Pesticide</w:t>
            </w:r>
          </w:p>
        </w:tc>
        <w:tc>
          <w:tcPr>
            <w:tcW w:w="550" w:type="dxa"/>
            <w:tcBorders>
              <w:top w:val="single" w:sz="4" w:space="0" w:color="auto"/>
              <w:bottom w:val="single" w:sz="4" w:space="0" w:color="auto"/>
            </w:tcBorders>
            <w:noWrap/>
            <w:vAlign w:val="bottom"/>
            <w:hideMark/>
          </w:tcPr>
          <w:p w14:paraId="34702921"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WWP1</w:t>
            </w:r>
          </w:p>
        </w:tc>
        <w:tc>
          <w:tcPr>
            <w:tcW w:w="740" w:type="dxa"/>
            <w:tcBorders>
              <w:top w:val="single" w:sz="4" w:space="0" w:color="auto"/>
              <w:bottom w:val="single" w:sz="4" w:space="0" w:color="auto"/>
            </w:tcBorders>
            <w:noWrap/>
            <w:vAlign w:val="bottom"/>
          </w:tcPr>
          <w:p w14:paraId="4DE69926"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WWP2</w:t>
            </w:r>
          </w:p>
        </w:tc>
        <w:tc>
          <w:tcPr>
            <w:tcW w:w="740" w:type="dxa"/>
            <w:tcBorders>
              <w:top w:val="single" w:sz="4" w:space="0" w:color="auto"/>
              <w:bottom w:val="single" w:sz="4" w:space="0" w:color="auto"/>
            </w:tcBorders>
            <w:noWrap/>
            <w:vAlign w:val="bottom"/>
          </w:tcPr>
          <w:p w14:paraId="228E2F8E"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WWP3</w:t>
            </w:r>
          </w:p>
        </w:tc>
        <w:tc>
          <w:tcPr>
            <w:tcW w:w="740" w:type="dxa"/>
            <w:tcBorders>
              <w:top w:val="single" w:sz="4" w:space="0" w:color="auto"/>
              <w:bottom w:val="single" w:sz="4" w:space="0" w:color="auto"/>
            </w:tcBorders>
            <w:noWrap/>
            <w:vAlign w:val="bottom"/>
          </w:tcPr>
          <w:p w14:paraId="43C331E1"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WWP4</w:t>
            </w:r>
          </w:p>
        </w:tc>
        <w:tc>
          <w:tcPr>
            <w:tcW w:w="740" w:type="dxa"/>
            <w:tcBorders>
              <w:top w:val="single" w:sz="4" w:space="0" w:color="auto"/>
              <w:bottom w:val="single" w:sz="4" w:space="0" w:color="auto"/>
            </w:tcBorders>
            <w:noWrap/>
            <w:vAlign w:val="bottom"/>
          </w:tcPr>
          <w:p w14:paraId="325D4FAB"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WWP5</w:t>
            </w:r>
          </w:p>
        </w:tc>
        <w:tc>
          <w:tcPr>
            <w:tcW w:w="740" w:type="dxa"/>
            <w:tcBorders>
              <w:top w:val="single" w:sz="4" w:space="0" w:color="auto"/>
              <w:bottom w:val="single" w:sz="4" w:space="0" w:color="auto"/>
            </w:tcBorders>
            <w:noWrap/>
            <w:vAlign w:val="bottom"/>
          </w:tcPr>
          <w:p w14:paraId="40C61F2C"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WWP6</w:t>
            </w:r>
          </w:p>
        </w:tc>
      </w:tr>
      <w:tr w:rsidR="00195808" w:rsidRPr="00F6412A" w14:paraId="20AB6152" w14:textId="77777777" w:rsidTr="009F3052">
        <w:trPr>
          <w:trHeight w:val="290"/>
          <w:jc w:val="center"/>
        </w:trPr>
        <w:tc>
          <w:tcPr>
            <w:tcW w:w="2410" w:type="dxa"/>
            <w:tcBorders>
              <w:top w:val="single" w:sz="4" w:space="0" w:color="auto"/>
            </w:tcBorders>
            <w:noWrap/>
            <w:vAlign w:val="bottom"/>
            <w:hideMark/>
          </w:tcPr>
          <w:p w14:paraId="178D5C25"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Cypermethrin-1</w:t>
            </w:r>
          </w:p>
        </w:tc>
        <w:tc>
          <w:tcPr>
            <w:tcW w:w="550" w:type="dxa"/>
            <w:tcBorders>
              <w:top w:val="single" w:sz="4" w:space="0" w:color="auto"/>
            </w:tcBorders>
            <w:noWrap/>
            <w:vAlign w:val="bottom"/>
            <w:hideMark/>
          </w:tcPr>
          <w:p w14:paraId="2514A71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0.03</w:t>
            </w:r>
          </w:p>
        </w:tc>
        <w:tc>
          <w:tcPr>
            <w:tcW w:w="740" w:type="dxa"/>
            <w:tcBorders>
              <w:top w:val="single" w:sz="4" w:space="0" w:color="auto"/>
            </w:tcBorders>
            <w:noWrap/>
            <w:vAlign w:val="bottom"/>
            <w:hideMark/>
          </w:tcPr>
          <w:p w14:paraId="245B31A4"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0.09</w:t>
            </w:r>
          </w:p>
        </w:tc>
        <w:tc>
          <w:tcPr>
            <w:tcW w:w="740" w:type="dxa"/>
            <w:tcBorders>
              <w:top w:val="single" w:sz="4" w:space="0" w:color="auto"/>
            </w:tcBorders>
            <w:noWrap/>
            <w:vAlign w:val="bottom"/>
            <w:hideMark/>
          </w:tcPr>
          <w:p w14:paraId="598C25F6"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40" w:type="dxa"/>
            <w:tcBorders>
              <w:top w:val="single" w:sz="4" w:space="0" w:color="auto"/>
            </w:tcBorders>
            <w:noWrap/>
            <w:vAlign w:val="bottom"/>
            <w:hideMark/>
          </w:tcPr>
          <w:p w14:paraId="70992FD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17.38</w:t>
            </w:r>
          </w:p>
        </w:tc>
        <w:tc>
          <w:tcPr>
            <w:tcW w:w="740" w:type="dxa"/>
            <w:tcBorders>
              <w:top w:val="single" w:sz="4" w:space="0" w:color="auto"/>
            </w:tcBorders>
            <w:noWrap/>
            <w:vAlign w:val="bottom"/>
            <w:hideMark/>
          </w:tcPr>
          <w:p w14:paraId="3FCD7DBC"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2.73</w:t>
            </w:r>
          </w:p>
        </w:tc>
        <w:tc>
          <w:tcPr>
            <w:tcW w:w="740" w:type="dxa"/>
            <w:tcBorders>
              <w:top w:val="single" w:sz="4" w:space="0" w:color="auto"/>
            </w:tcBorders>
            <w:noWrap/>
            <w:vAlign w:val="bottom"/>
            <w:hideMark/>
          </w:tcPr>
          <w:p w14:paraId="495D7056"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3.22</w:t>
            </w:r>
          </w:p>
        </w:tc>
      </w:tr>
      <w:tr w:rsidR="00195808" w:rsidRPr="00F6412A" w14:paraId="24382860" w14:textId="77777777" w:rsidTr="009F3052">
        <w:trPr>
          <w:trHeight w:val="290"/>
          <w:jc w:val="center"/>
        </w:trPr>
        <w:tc>
          <w:tcPr>
            <w:tcW w:w="2410" w:type="dxa"/>
            <w:noWrap/>
            <w:vAlign w:val="bottom"/>
            <w:hideMark/>
          </w:tcPr>
          <w:p w14:paraId="69C1449A"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Cyfluthrin-1</w:t>
            </w:r>
          </w:p>
        </w:tc>
        <w:tc>
          <w:tcPr>
            <w:tcW w:w="550" w:type="dxa"/>
            <w:noWrap/>
            <w:vAlign w:val="bottom"/>
            <w:hideMark/>
          </w:tcPr>
          <w:p w14:paraId="3671C287"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4540952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59A7BAE9"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12BA552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13.28</w:t>
            </w:r>
          </w:p>
        </w:tc>
        <w:tc>
          <w:tcPr>
            <w:tcW w:w="740" w:type="dxa"/>
            <w:noWrap/>
            <w:vAlign w:val="bottom"/>
            <w:hideMark/>
          </w:tcPr>
          <w:p w14:paraId="1160E70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4.02</w:t>
            </w:r>
          </w:p>
        </w:tc>
        <w:tc>
          <w:tcPr>
            <w:tcW w:w="740" w:type="dxa"/>
            <w:noWrap/>
            <w:vAlign w:val="bottom"/>
            <w:hideMark/>
          </w:tcPr>
          <w:p w14:paraId="4D8C8E3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8.33</w:t>
            </w:r>
          </w:p>
        </w:tc>
      </w:tr>
      <w:tr w:rsidR="00195808" w:rsidRPr="00F6412A" w14:paraId="6CA92FF7" w14:textId="77777777" w:rsidTr="009F3052">
        <w:trPr>
          <w:trHeight w:val="290"/>
          <w:jc w:val="center"/>
        </w:trPr>
        <w:tc>
          <w:tcPr>
            <w:tcW w:w="2410" w:type="dxa"/>
            <w:noWrap/>
            <w:vAlign w:val="bottom"/>
            <w:hideMark/>
          </w:tcPr>
          <w:p w14:paraId="1971A94B"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Cyfluthrin-2</w:t>
            </w:r>
          </w:p>
        </w:tc>
        <w:tc>
          <w:tcPr>
            <w:tcW w:w="550" w:type="dxa"/>
            <w:noWrap/>
            <w:vAlign w:val="bottom"/>
            <w:hideMark/>
          </w:tcPr>
          <w:p w14:paraId="3878617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7D40B792"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36CF60F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4CC7A032"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9.77</w:t>
            </w:r>
          </w:p>
        </w:tc>
        <w:tc>
          <w:tcPr>
            <w:tcW w:w="740" w:type="dxa"/>
            <w:noWrap/>
            <w:vAlign w:val="bottom"/>
            <w:hideMark/>
          </w:tcPr>
          <w:p w14:paraId="21598E6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2.97</w:t>
            </w:r>
          </w:p>
        </w:tc>
        <w:tc>
          <w:tcPr>
            <w:tcW w:w="740" w:type="dxa"/>
            <w:noWrap/>
            <w:vAlign w:val="bottom"/>
            <w:hideMark/>
          </w:tcPr>
          <w:p w14:paraId="03B9095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6.13</w:t>
            </w:r>
          </w:p>
        </w:tc>
      </w:tr>
      <w:tr w:rsidR="00195808" w:rsidRPr="00F6412A" w14:paraId="32E42B3D" w14:textId="77777777" w:rsidTr="009F3052">
        <w:trPr>
          <w:trHeight w:val="290"/>
          <w:jc w:val="center"/>
        </w:trPr>
        <w:tc>
          <w:tcPr>
            <w:tcW w:w="2410" w:type="dxa"/>
            <w:noWrap/>
            <w:vAlign w:val="bottom"/>
            <w:hideMark/>
          </w:tcPr>
          <w:p w14:paraId="31A2083F"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Profenofos</w:t>
            </w:r>
          </w:p>
        </w:tc>
        <w:tc>
          <w:tcPr>
            <w:tcW w:w="550" w:type="dxa"/>
            <w:noWrap/>
            <w:vAlign w:val="bottom"/>
            <w:hideMark/>
          </w:tcPr>
          <w:p w14:paraId="302339EC"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5271CED3"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7318686A"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0A6A9CB4"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7.51</w:t>
            </w:r>
          </w:p>
        </w:tc>
        <w:tc>
          <w:tcPr>
            <w:tcW w:w="740" w:type="dxa"/>
            <w:noWrap/>
            <w:vAlign w:val="bottom"/>
            <w:hideMark/>
          </w:tcPr>
          <w:p w14:paraId="370A51F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0.03</w:t>
            </w:r>
          </w:p>
        </w:tc>
        <w:tc>
          <w:tcPr>
            <w:tcW w:w="740" w:type="dxa"/>
            <w:noWrap/>
            <w:vAlign w:val="bottom"/>
            <w:hideMark/>
          </w:tcPr>
          <w:p w14:paraId="21F79A38"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2.03</w:t>
            </w:r>
          </w:p>
        </w:tc>
      </w:tr>
      <w:tr w:rsidR="00195808" w:rsidRPr="00F6412A" w14:paraId="69FEC9B2" w14:textId="77777777" w:rsidTr="009F3052">
        <w:trPr>
          <w:trHeight w:val="290"/>
          <w:jc w:val="center"/>
        </w:trPr>
        <w:tc>
          <w:tcPr>
            <w:tcW w:w="2410" w:type="dxa"/>
            <w:noWrap/>
            <w:vAlign w:val="bottom"/>
            <w:hideMark/>
          </w:tcPr>
          <w:p w14:paraId="765B9547"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Cyfluthrin-3</w:t>
            </w:r>
          </w:p>
        </w:tc>
        <w:tc>
          <w:tcPr>
            <w:tcW w:w="550" w:type="dxa"/>
            <w:noWrap/>
            <w:vAlign w:val="bottom"/>
            <w:hideMark/>
          </w:tcPr>
          <w:p w14:paraId="327AC7FE"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2B57373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4BEDE79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00DA3E96"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2.91</w:t>
            </w:r>
          </w:p>
        </w:tc>
        <w:tc>
          <w:tcPr>
            <w:tcW w:w="740" w:type="dxa"/>
            <w:noWrap/>
            <w:vAlign w:val="bottom"/>
            <w:hideMark/>
          </w:tcPr>
          <w:p w14:paraId="4F9FB2D8"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1.71</w:t>
            </w:r>
          </w:p>
        </w:tc>
        <w:tc>
          <w:tcPr>
            <w:tcW w:w="740" w:type="dxa"/>
            <w:noWrap/>
            <w:vAlign w:val="bottom"/>
            <w:hideMark/>
          </w:tcPr>
          <w:p w14:paraId="3C9CE4B5"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5.65</w:t>
            </w:r>
          </w:p>
        </w:tc>
      </w:tr>
      <w:tr w:rsidR="00195808" w:rsidRPr="00F6412A" w14:paraId="4C21E683" w14:textId="77777777" w:rsidTr="009F3052">
        <w:trPr>
          <w:trHeight w:val="290"/>
          <w:jc w:val="center"/>
        </w:trPr>
        <w:tc>
          <w:tcPr>
            <w:tcW w:w="2410" w:type="dxa"/>
            <w:noWrap/>
            <w:vAlign w:val="bottom"/>
            <w:hideMark/>
          </w:tcPr>
          <w:p w14:paraId="6E8C989D"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Cyfluthrin-4</w:t>
            </w:r>
          </w:p>
        </w:tc>
        <w:tc>
          <w:tcPr>
            <w:tcW w:w="550" w:type="dxa"/>
            <w:noWrap/>
            <w:vAlign w:val="bottom"/>
            <w:hideMark/>
          </w:tcPr>
          <w:p w14:paraId="22C7AEE8"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618DB519"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1469707A"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2C0CBD7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2.74</w:t>
            </w:r>
          </w:p>
        </w:tc>
        <w:tc>
          <w:tcPr>
            <w:tcW w:w="740" w:type="dxa"/>
            <w:noWrap/>
            <w:vAlign w:val="bottom"/>
            <w:hideMark/>
          </w:tcPr>
          <w:p w14:paraId="7FCDE442"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1.62</w:t>
            </w:r>
          </w:p>
        </w:tc>
        <w:tc>
          <w:tcPr>
            <w:tcW w:w="740" w:type="dxa"/>
            <w:noWrap/>
            <w:vAlign w:val="bottom"/>
            <w:hideMark/>
          </w:tcPr>
          <w:p w14:paraId="18BAAA3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5.29</w:t>
            </w:r>
          </w:p>
        </w:tc>
      </w:tr>
      <w:tr w:rsidR="00195808" w:rsidRPr="00F6412A" w14:paraId="73CCC860" w14:textId="77777777" w:rsidTr="009F3052">
        <w:trPr>
          <w:trHeight w:val="290"/>
          <w:jc w:val="center"/>
        </w:trPr>
        <w:tc>
          <w:tcPr>
            <w:tcW w:w="2410" w:type="dxa"/>
            <w:noWrap/>
            <w:vAlign w:val="bottom"/>
            <w:hideMark/>
          </w:tcPr>
          <w:p w14:paraId="4B950F33"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THPI (Tetrahydropthalimide)</w:t>
            </w:r>
          </w:p>
        </w:tc>
        <w:tc>
          <w:tcPr>
            <w:tcW w:w="550" w:type="dxa"/>
            <w:noWrap/>
            <w:vAlign w:val="bottom"/>
            <w:hideMark/>
          </w:tcPr>
          <w:p w14:paraId="3074E8A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100F03D3"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2B127A5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1.05</w:t>
            </w:r>
          </w:p>
        </w:tc>
        <w:tc>
          <w:tcPr>
            <w:tcW w:w="740" w:type="dxa"/>
            <w:noWrap/>
            <w:vAlign w:val="bottom"/>
            <w:hideMark/>
          </w:tcPr>
          <w:p w14:paraId="7EED0AE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3.22</w:t>
            </w:r>
          </w:p>
        </w:tc>
        <w:tc>
          <w:tcPr>
            <w:tcW w:w="740" w:type="dxa"/>
            <w:noWrap/>
            <w:vAlign w:val="bottom"/>
            <w:hideMark/>
          </w:tcPr>
          <w:p w14:paraId="66C897A2"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0.13</w:t>
            </w:r>
          </w:p>
        </w:tc>
        <w:tc>
          <w:tcPr>
            <w:tcW w:w="740" w:type="dxa"/>
            <w:noWrap/>
            <w:vAlign w:val="bottom"/>
            <w:hideMark/>
          </w:tcPr>
          <w:p w14:paraId="386E1FF5"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1.85</w:t>
            </w:r>
          </w:p>
        </w:tc>
      </w:tr>
      <w:tr w:rsidR="00195808" w:rsidRPr="00F6412A" w14:paraId="4E41A85B" w14:textId="77777777" w:rsidTr="009F3052">
        <w:trPr>
          <w:trHeight w:val="290"/>
          <w:jc w:val="center"/>
        </w:trPr>
        <w:tc>
          <w:tcPr>
            <w:tcW w:w="2410" w:type="dxa"/>
            <w:noWrap/>
            <w:vAlign w:val="bottom"/>
            <w:hideMark/>
          </w:tcPr>
          <w:p w14:paraId="12300AEE"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Acrinathrin-1</w:t>
            </w:r>
          </w:p>
        </w:tc>
        <w:tc>
          <w:tcPr>
            <w:tcW w:w="550" w:type="dxa"/>
            <w:noWrap/>
            <w:vAlign w:val="bottom"/>
            <w:hideMark/>
          </w:tcPr>
          <w:p w14:paraId="58201045"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611D0FAA"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32EEDC7A"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108D077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0.33</w:t>
            </w:r>
          </w:p>
        </w:tc>
        <w:tc>
          <w:tcPr>
            <w:tcW w:w="740" w:type="dxa"/>
            <w:noWrap/>
            <w:vAlign w:val="bottom"/>
            <w:hideMark/>
          </w:tcPr>
          <w:p w14:paraId="0D653814"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2.61</w:t>
            </w:r>
          </w:p>
        </w:tc>
        <w:tc>
          <w:tcPr>
            <w:tcW w:w="740" w:type="dxa"/>
            <w:noWrap/>
            <w:vAlign w:val="bottom"/>
            <w:hideMark/>
          </w:tcPr>
          <w:p w14:paraId="7F251FC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1.84</w:t>
            </w:r>
          </w:p>
        </w:tc>
      </w:tr>
      <w:tr w:rsidR="00195808" w:rsidRPr="00F6412A" w14:paraId="3B9281F7" w14:textId="77777777" w:rsidTr="009F3052">
        <w:trPr>
          <w:trHeight w:val="290"/>
          <w:jc w:val="center"/>
        </w:trPr>
        <w:tc>
          <w:tcPr>
            <w:tcW w:w="2410" w:type="dxa"/>
            <w:noWrap/>
            <w:vAlign w:val="bottom"/>
            <w:hideMark/>
          </w:tcPr>
          <w:p w14:paraId="47E47D68"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lambda-Cyhalothrin</w:t>
            </w:r>
          </w:p>
        </w:tc>
        <w:tc>
          <w:tcPr>
            <w:tcW w:w="550" w:type="dxa"/>
            <w:noWrap/>
            <w:vAlign w:val="bottom"/>
            <w:hideMark/>
          </w:tcPr>
          <w:p w14:paraId="23ABCA29"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1077566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4D3A2FD1"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4C493792"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0.32</w:t>
            </w:r>
          </w:p>
        </w:tc>
        <w:tc>
          <w:tcPr>
            <w:tcW w:w="740" w:type="dxa"/>
            <w:noWrap/>
            <w:vAlign w:val="bottom"/>
            <w:hideMark/>
          </w:tcPr>
          <w:p w14:paraId="2FE5C34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2.51</w:t>
            </w:r>
          </w:p>
        </w:tc>
        <w:tc>
          <w:tcPr>
            <w:tcW w:w="740" w:type="dxa"/>
            <w:noWrap/>
            <w:vAlign w:val="bottom"/>
            <w:hideMark/>
          </w:tcPr>
          <w:p w14:paraId="1C81D34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1.76</w:t>
            </w:r>
          </w:p>
        </w:tc>
      </w:tr>
      <w:tr w:rsidR="00195808" w:rsidRPr="00F6412A" w14:paraId="5BCB3908" w14:textId="77777777" w:rsidTr="009F3052">
        <w:trPr>
          <w:trHeight w:val="290"/>
          <w:jc w:val="center"/>
        </w:trPr>
        <w:tc>
          <w:tcPr>
            <w:tcW w:w="2410" w:type="dxa"/>
            <w:noWrap/>
            <w:vAlign w:val="bottom"/>
            <w:hideMark/>
          </w:tcPr>
          <w:p w14:paraId="7E90A549"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lastRenderedPageBreak/>
              <w:t>Chlorpyrifos</w:t>
            </w:r>
          </w:p>
        </w:tc>
        <w:tc>
          <w:tcPr>
            <w:tcW w:w="550" w:type="dxa"/>
            <w:noWrap/>
            <w:vAlign w:val="bottom"/>
            <w:hideMark/>
          </w:tcPr>
          <w:p w14:paraId="0E21E971"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46055AB5"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5675B69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1.63</w:t>
            </w:r>
          </w:p>
        </w:tc>
        <w:tc>
          <w:tcPr>
            <w:tcW w:w="740" w:type="dxa"/>
            <w:noWrap/>
            <w:vAlign w:val="bottom"/>
            <w:hideMark/>
          </w:tcPr>
          <w:p w14:paraId="7CEB44E0"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1.78</w:t>
            </w:r>
          </w:p>
        </w:tc>
        <w:tc>
          <w:tcPr>
            <w:tcW w:w="740" w:type="dxa"/>
            <w:noWrap/>
            <w:vAlign w:val="bottom"/>
            <w:hideMark/>
          </w:tcPr>
          <w:p w14:paraId="68BE4D25"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2.34</w:t>
            </w:r>
          </w:p>
        </w:tc>
        <w:tc>
          <w:tcPr>
            <w:tcW w:w="740" w:type="dxa"/>
            <w:noWrap/>
            <w:vAlign w:val="bottom"/>
            <w:hideMark/>
          </w:tcPr>
          <w:p w14:paraId="67A26360"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2.43</w:t>
            </w:r>
          </w:p>
        </w:tc>
      </w:tr>
      <w:tr w:rsidR="00195808" w:rsidRPr="00F6412A" w14:paraId="08740E92" w14:textId="77777777" w:rsidTr="009F3052">
        <w:trPr>
          <w:trHeight w:val="290"/>
          <w:jc w:val="center"/>
        </w:trPr>
        <w:tc>
          <w:tcPr>
            <w:tcW w:w="2410" w:type="dxa"/>
            <w:noWrap/>
            <w:vAlign w:val="bottom"/>
            <w:hideMark/>
          </w:tcPr>
          <w:p w14:paraId="1E57DBF9"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Cyhalothrin-1</w:t>
            </w:r>
          </w:p>
        </w:tc>
        <w:tc>
          <w:tcPr>
            <w:tcW w:w="550" w:type="dxa"/>
            <w:noWrap/>
            <w:vAlign w:val="bottom"/>
            <w:hideMark/>
          </w:tcPr>
          <w:p w14:paraId="2B9EA0CC"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c>
          <w:tcPr>
            <w:tcW w:w="740" w:type="dxa"/>
            <w:noWrap/>
            <w:vAlign w:val="bottom"/>
            <w:hideMark/>
          </w:tcPr>
          <w:p w14:paraId="7F8B7491"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40" w:type="dxa"/>
            <w:noWrap/>
            <w:vAlign w:val="bottom"/>
            <w:hideMark/>
          </w:tcPr>
          <w:p w14:paraId="2403E34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40" w:type="dxa"/>
            <w:noWrap/>
            <w:vAlign w:val="bottom"/>
            <w:hideMark/>
          </w:tcPr>
          <w:p w14:paraId="4433C7E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0.29</w:t>
            </w:r>
          </w:p>
        </w:tc>
        <w:tc>
          <w:tcPr>
            <w:tcW w:w="740" w:type="dxa"/>
            <w:noWrap/>
            <w:vAlign w:val="bottom"/>
            <w:hideMark/>
          </w:tcPr>
          <w:p w14:paraId="1189CFD4"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2.21</w:t>
            </w:r>
          </w:p>
        </w:tc>
        <w:tc>
          <w:tcPr>
            <w:tcW w:w="740" w:type="dxa"/>
            <w:noWrap/>
            <w:vAlign w:val="bottom"/>
            <w:hideMark/>
          </w:tcPr>
          <w:p w14:paraId="6EF6ADB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1.71</w:t>
            </w:r>
          </w:p>
        </w:tc>
      </w:tr>
      <w:tr w:rsidR="00195808" w:rsidRPr="00F6412A" w14:paraId="110ED777" w14:textId="77777777" w:rsidTr="009F3052">
        <w:trPr>
          <w:trHeight w:val="290"/>
          <w:jc w:val="center"/>
        </w:trPr>
        <w:tc>
          <w:tcPr>
            <w:tcW w:w="2410" w:type="dxa"/>
            <w:noWrap/>
            <w:vAlign w:val="bottom"/>
            <w:hideMark/>
          </w:tcPr>
          <w:p w14:paraId="675FA185"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Cyhalothrin-2</w:t>
            </w:r>
          </w:p>
        </w:tc>
        <w:tc>
          <w:tcPr>
            <w:tcW w:w="550" w:type="dxa"/>
            <w:noWrap/>
            <w:vAlign w:val="bottom"/>
            <w:hideMark/>
          </w:tcPr>
          <w:p w14:paraId="5AC46B25"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c>
          <w:tcPr>
            <w:tcW w:w="740" w:type="dxa"/>
            <w:noWrap/>
            <w:vAlign w:val="bottom"/>
            <w:hideMark/>
          </w:tcPr>
          <w:p w14:paraId="3C4F3FA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40" w:type="dxa"/>
            <w:noWrap/>
            <w:vAlign w:val="bottom"/>
            <w:hideMark/>
          </w:tcPr>
          <w:p w14:paraId="474917D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0.03</w:t>
            </w:r>
          </w:p>
        </w:tc>
        <w:tc>
          <w:tcPr>
            <w:tcW w:w="740" w:type="dxa"/>
            <w:noWrap/>
            <w:vAlign w:val="bottom"/>
            <w:hideMark/>
          </w:tcPr>
          <w:p w14:paraId="5A24AC2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0.31</w:t>
            </w:r>
          </w:p>
        </w:tc>
        <w:tc>
          <w:tcPr>
            <w:tcW w:w="740" w:type="dxa"/>
            <w:noWrap/>
            <w:vAlign w:val="bottom"/>
            <w:hideMark/>
          </w:tcPr>
          <w:p w14:paraId="4BEE646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2.20</w:t>
            </w:r>
          </w:p>
        </w:tc>
        <w:tc>
          <w:tcPr>
            <w:tcW w:w="740" w:type="dxa"/>
            <w:noWrap/>
            <w:vAlign w:val="bottom"/>
            <w:hideMark/>
          </w:tcPr>
          <w:p w14:paraId="138FDC9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1.69</w:t>
            </w:r>
          </w:p>
        </w:tc>
      </w:tr>
      <w:tr w:rsidR="00195808" w:rsidRPr="00F6412A" w14:paraId="40E5378F" w14:textId="77777777" w:rsidTr="009F3052">
        <w:trPr>
          <w:trHeight w:val="290"/>
          <w:jc w:val="center"/>
        </w:trPr>
        <w:tc>
          <w:tcPr>
            <w:tcW w:w="2410" w:type="dxa"/>
            <w:noWrap/>
            <w:vAlign w:val="bottom"/>
            <w:hideMark/>
          </w:tcPr>
          <w:p w14:paraId="016CA9B4"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Terbuthylazine</w:t>
            </w:r>
          </w:p>
        </w:tc>
        <w:tc>
          <w:tcPr>
            <w:tcW w:w="550" w:type="dxa"/>
            <w:noWrap/>
            <w:vAlign w:val="bottom"/>
            <w:hideMark/>
          </w:tcPr>
          <w:p w14:paraId="40B71E14"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2.12</w:t>
            </w:r>
          </w:p>
        </w:tc>
        <w:tc>
          <w:tcPr>
            <w:tcW w:w="740" w:type="dxa"/>
            <w:noWrap/>
            <w:vAlign w:val="bottom"/>
            <w:hideMark/>
          </w:tcPr>
          <w:p w14:paraId="4C09CE3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1.21</w:t>
            </w:r>
          </w:p>
        </w:tc>
        <w:tc>
          <w:tcPr>
            <w:tcW w:w="740" w:type="dxa"/>
            <w:noWrap/>
            <w:vAlign w:val="bottom"/>
            <w:hideMark/>
          </w:tcPr>
          <w:p w14:paraId="2F39F1D2"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1.87</w:t>
            </w:r>
          </w:p>
        </w:tc>
        <w:tc>
          <w:tcPr>
            <w:tcW w:w="740" w:type="dxa"/>
            <w:noWrap/>
            <w:vAlign w:val="bottom"/>
            <w:hideMark/>
          </w:tcPr>
          <w:p w14:paraId="5CFEE23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c>
          <w:tcPr>
            <w:tcW w:w="740" w:type="dxa"/>
            <w:noWrap/>
            <w:vAlign w:val="bottom"/>
            <w:hideMark/>
          </w:tcPr>
          <w:p w14:paraId="3938A15C"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4C93104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0.00</w:t>
            </w:r>
          </w:p>
        </w:tc>
      </w:tr>
      <w:tr w:rsidR="00195808" w:rsidRPr="00F6412A" w14:paraId="191A4829" w14:textId="77777777" w:rsidTr="009F3052">
        <w:trPr>
          <w:trHeight w:val="290"/>
          <w:jc w:val="center"/>
        </w:trPr>
        <w:tc>
          <w:tcPr>
            <w:tcW w:w="2410" w:type="dxa"/>
            <w:noWrap/>
            <w:vAlign w:val="bottom"/>
            <w:hideMark/>
          </w:tcPr>
          <w:p w14:paraId="34913DC5"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Disulfoton</w:t>
            </w:r>
          </w:p>
        </w:tc>
        <w:tc>
          <w:tcPr>
            <w:tcW w:w="550" w:type="dxa"/>
            <w:noWrap/>
            <w:vAlign w:val="bottom"/>
            <w:hideMark/>
          </w:tcPr>
          <w:p w14:paraId="42FB79B8"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447968C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00B65BF7"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6EF2BDE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0.71</w:t>
            </w:r>
          </w:p>
        </w:tc>
        <w:tc>
          <w:tcPr>
            <w:tcW w:w="740" w:type="dxa"/>
            <w:noWrap/>
            <w:vAlign w:val="bottom"/>
            <w:hideMark/>
          </w:tcPr>
          <w:p w14:paraId="716B9F48"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0.09</w:t>
            </w:r>
          </w:p>
        </w:tc>
        <w:tc>
          <w:tcPr>
            <w:tcW w:w="740" w:type="dxa"/>
            <w:noWrap/>
            <w:vAlign w:val="bottom"/>
            <w:hideMark/>
          </w:tcPr>
          <w:p w14:paraId="48CA6F3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2.08</w:t>
            </w:r>
          </w:p>
        </w:tc>
      </w:tr>
      <w:tr w:rsidR="00195808" w:rsidRPr="00F6412A" w14:paraId="5A1DC947" w14:textId="77777777" w:rsidTr="009F3052">
        <w:trPr>
          <w:trHeight w:val="290"/>
          <w:jc w:val="center"/>
        </w:trPr>
        <w:tc>
          <w:tcPr>
            <w:tcW w:w="2410" w:type="dxa"/>
            <w:noWrap/>
            <w:vAlign w:val="bottom"/>
            <w:hideMark/>
          </w:tcPr>
          <w:p w14:paraId="204F0DEF"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Endosulfan-beta</w:t>
            </w:r>
          </w:p>
        </w:tc>
        <w:tc>
          <w:tcPr>
            <w:tcW w:w="550" w:type="dxa"/>
            <w:noWrap/>
            <w:vAlign w:val="bottom"/>
            <w:hideMark/>
          </w:tcPr>
          <w:p w14:paraId="13D656C7"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20CBD8A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47442A28"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1D121B0C"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2.04</w:t>
            </w:r>
          </w:p>
        </w:tc>
        <w:tc>
          <w:tcPr>
            <w:tcW w:w="740" w:type="dxa"/>
            <w:noWrap/>
            <w:vAlign w:val="bottom"/>
            <w:hideMark/>
          </w:tcPr>
          <w:p w14:paraId="5AA45F05"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6EDE1D7A"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0.22</w:t>
            </w:r>
          </w:p>
        </w:tc>
      </w:tr>
      <w:tr w:rsidR="00195808" w:rsidRPr="00F6412A" w14:paraId="284F88DD" w14:textId="77777777" w:rsidTr="009F3052">
        <w:trPr>
          <w:trHeight w:val="290"/>
          <w:jc w:val="center"/>
        </w:trPr>
        <w:tc>
          <w:tcPr>
            <w:tcW w:w="2410" w:type="dxa"/>
            <w:noWrap/>
            <w:vAlign w:val="bottom"/>
            <w:hideMark/>
          </w:tcPr>
          <w:p w14:paraId="43BFA1A7"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2,4'-Methoxychlor</w:t>
            </w:r>
          </w:p>
        </w:tc>
        <w:tc>
          <w:tcPr>
            <w:tcW w:w="550" w:type="dxa"/>
            <w:noWrap/>
            <w:vAlign w:val="bottom"/>
            <w:hideMark/>
          </w:tcPr>
          <w:p w14:paraId="29A95CFC"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1.44</w:t>
            </w:r>
          </w:p>
        </w:tc>
        <w:tc>
          <w:tcPr>
            <w:tcW w:w="740" w:type="dxa"/>
            <w:noWrap/>
            <w:vAlign w:val="bottom"/>
            <w:hideMark/>
          </w:tcPr>
          <w:p w14:paraId="6160F6C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1.73</w:t>
            </w:r>
          </w:p>
        </w:tc>
        <w:tc>
          <w:tcPr>
            <w:tcW w:w="740" w:type="dxa"/>
            <w:noWrap/>
            <w:vAlign w:val="bottom"/>
            <w:hideMark/>
          </w:tcPr>
          <w:p w14:paraId="5FE90CB5"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1.61</w:t>
            </w:r>
          </w:p>
        </w:tc>
        <w:tc>
          <w:tcPr>
            <w:tcW w:w="740" w:type="dxa"/>
            <w:noWrap/>
            <w:vAlign w:val="bottom"/>
            <w:hideMark/>
          </w:tcPr>
          <w:p w14:paraId="0A996DB9"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3B131040"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65632A02"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r>
      <w:tr w:rsidR="00195808" w:rsidRPr="00F6412A" w14:paraId="3605C27B" w14:textId="77777777" w:rsidTr="009F3052">
        <w:trPr>
          <w:trHeight w:val="290"/>
          <w:jc w:val="center"/>
        </w:trPr>
        <w:tc>
          <w:tcPr>
            <w:tcW w:w="2410" w:type="dxa"/>
            <w:noWrap/>
            <w:vAlign w:val="bottom"/>
            <w:hideMark/>
          </w:tcPr>
          <w:p w14:paraId="0E423C9D"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Endosulfan alpha</w:t>
            </w:r>
          </w:p>
        </w:tc>
        <w:tc>
          <w:tcPr>
            <w:tcW w:w="550" w:type="dxa"/>
            <w:noWrap/>
            <w:vAlign w:val="bottom"/>
            <w:hideMark/>
          </w:tcPr>
          <w:p w14:paraId="1E1BFA9A"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326995D3"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17A59C1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1.71</w:t>
            </w:r>
          </w:p>
        </w:tc>
        <w:tc>
          <w:tcPr>
            <w:tcW w:w="740" w:type="dxa"/>
            <w:noWrap/>
            <w:vAlign w:val="bottom"/>
            <w:hideMark/>
          </w:tcPr>
          <w:p w14:paraId="4762E3EB"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37CE90FA"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40" w:type="dxa"/>
            <w:noWrap/>
            <w:vAlign w:val="bottom"/>
            <w:hideMark/>
          </w:tcPr>
          <w:p w14:paraId="0A9CA229"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r>
      <w:tr w:rsidR="00195808" w:rsidRPr="00F6412A" w14:paraId="24B046F4" w14:textId="77777777" w:rsidTr="009F3052">
        <w:trPr>
          <w:trHeight w:val="290"/>
          <w:jc w:val="center"/>
        </w:trPr>
        <w:tc>
          <w:tcPr>
            <w:tcW w:w="2410" w:type="dxa"/>
            <w:noWrap/>
            <w:vAlign w:val="bottom"/>
            <w:hideMark/>
          </w:tcPr>
          <w:p w14:paraId="1602BC62"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Quinalphos</w:t>
            </w:r>
          </w:p>
        </w:tc>
        <w:tc>
          <w:tcPr>
            <w:tcW w:w="550" w:type="dxa"/>
            <w:noWrap/>
            <w:vAlign w:val="bottom"/>
            <w:hideMark/>
          </w:tcPr>
          <w:p w14:paraId="0201AAF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15084B0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0.00</w:t>
            </w:r>
          </w:p>
        </w:tc>
        <w:tc>
          <w:tcPr>
            <w:tcW w:w="740" w:type="dxa"/>
            <w:noWrap/>
            <w:vAlign w:val="bottom"/>
            <w:hideMark/>
          </w:tcPr>
          <w:p w14:paraId="7A340797"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0.09</w:t>
            </w:r>
          </w:p>
        </w:tc>
        <w:tc>
          <w:tcPr>
            <w:tcW w:w="740" w:type="dxa"/>
            <w:noWrap/>
            <w:vAlign w:val="bottom"/>
            <w:hideMark/>
          </w:tcPr>
          <w:p w14:paraId="391422D8"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0.32</w:t>
            </w:r>
          </w:p>
        </w:tc>
        <w:tc>
          <w:tcPr>
            <w:tcW w:w="740" w:type="dxa"/>
            <w:noWrap/>
            <w:vAlign w:val="bottom"/>
            <w:hideMark/>
          </w:tcPr>
          <w:p w14:paraId="54897D07"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40" w:type="dxa"/>
            <w:noWrap/>
            <w:vAlign w:val="bottom"/>
            <w:hideMark/>
          </w:tcPr>
          <w:p w14:paraId="398E571A"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1.62</w:t>
            </w:r>
          </w:p>
        </w:tc>
      </w:tr>
      <w:tr w:rsidR="00195808" w:rsidRPr="00F6412A" w14:paraId="07243B3D" w14:textId="77777777" w:rsidTr="009F3052">
        <w:trPr>
          <w:trHeight w:val="290"/>
          <w:jc w:val="center"/>
        </w:trPr>
        <w:tc>
          <w:tcPr>
            <w:tcW w:w="2410" w:type="dxa"/>
            <w:noWrap/>
            <w:vAlign w:val="bottom"/>
            <w:hideMark/>
          </w:tcPr>
          <w:p w14:paraId="199ED58F"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Malathion</w:t>
            </w:r>
          </w:p>
        </w:tc>
        <w:tc>
          <w:tcPr>
            <w:tcW w:w="550" w:type="dxa"/>
            <w:noWrap/>
            <w:vAlign w:val="bottom"/>
            <w:hideMark/>
          </w:tcPr>
          <w:p w14:paraId="7D739D65"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576A32B6"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0.17</w:t>
            </w:r>
          </w:p>
        </w:tc>
        <w:tc>
          <w:tcPr>
            <w:tcW w:w="740" w:type="dxa"/>
            <w:noWrap/>
            <w:vAlign w:val="bottom"/>
            <w:hideMark/>
          </w:tcPr>
          <w:p w14:paraId="2028563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1.38</w:t>
            </w:r>
          </w:p>
        </w:tc>
        <w:tc>
          <w:tcPr>
            <w:tcW w:w="740" w:type="dxa"/>
            <w:noWrap/>
            <w:vAlign w:val="bottom"/>
            <w:hideMark/>
          </w:tcPr>
          <w:p w14:paraId="46817877"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40" w:type="dxa"/>
            <w:noWrap/>
            <w:vAlign w:val="bottom"/>
            <w:hideMark/>
          </w:tcPr>
          <w:p w14:paraId="6FF7554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c>
          <w:tcPr>
            <w:tcW w:w="740" w:type="dxa"/>
            <w:noWrap/>
            <w:vAlign w:val="bottom"/>
            <w:hideMark/>
          </w:tcPr>
          <w:p w14:paraId="7E9076A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r>
      <w:tr w:rsidR="00195808" w:rsidRPr="00F6412A" w14:paraId="7567030C" w14:textId="77777777" w:rsidTr="009F3052">
        <w:trPr>
          <w:trHeight w:val="290"/>
          <w:jc w:val="center"/>
        </w:trPr>
        <w:tc>
          <w:tcPr>
            <w:tcW w:w="2410" w:type="dxa"/>
            <w:noWrap/>
            <w:vAlign w:val="bottom"/>
            <w:hideMark/>
          </w:tcPr>
          <w:p w14:paraId="1401358E"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Flutolanil</w:t>
            </w:r>
          </w:p>
        </w:tc>
        <w:tc>
          <w:tcPr>
            <w:tcW w:w="550" w:type="dxa"/>
            <w:noWrap/>
            <w:vAlign w:val="bottom"/>
            <w:hideMark/>
          </w:tcPr>
          <w:p w14:paraId="0D704A60"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0.14</w:t>
            </w:r>
          </w:p>
        </w:tc>
        <w:tc>
          <w:tcPr>
            <w:tcW w:w="740" w:type="dxa"/>
            <w:noWrap/>
            <w:vAlign w:val="bottom"/>
            <w:hideMark/>
          </w:tcPr>
          <w:p w14:paraId="27E20AC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0.12</w:t>
            </w:r>
          </w:p>
        </w:tc>
        <w:tc>
          <w:tcPr>
            <w:tcW w:w="740" w:type="dxa"/>
            <w:noWrap/>
            <w:vAlign w:val="bottom"/>
            <w:hideMark/>
          </w:tcPr>
          <w:p w14:paraId="25C4868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0.27</w:t>
            </w:r>
          </w:p>
        </w:tc>
        <w:tc>
          <w:tcPr>
            <w:tcW w:w="740" w:type="dxa"/>
            <w:noWrap/>
            <w:vAlign w:val="bottom"/>
            <w:hideMark/>
          </w:tcPr>
          <w:p w14:paraId="7F6ABEA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1.09</w:t>
            </w:r>
          </w:p>
        </w:tc>
        <w:tc>
          <w:tcPr>
            <w:tcW w:w="740" w:type="dxa"/>
            <w:noWrap/>
            <w:vAlign w:val="bottom"/>
            <w:hideMark/>
          </w:tcPr>
          <w:p w14:paraId="3D20773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noWrap/>
            <w:vAlign w:val="bottom"/>
            <w:hideMark/>
          </w:tcPr>
          <w:p w14:paraId="218B3B1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0.25</w:t>
            </w:r>
          </w:p>
        </w:tc>
      </w:tr>
      <w:tr w:rsidR="00195808" w:rsidRPr="00F6412A" w14:paraId="53104724" w14:textId="77777777" w:rsidTr="009F3052">
        <w:trPr>
          <w:trHeight w:val="290"/>
          <w:jc w:val="center"/>
        </w:trPr>
        <w:tc>
          <w:tcPr>
            <w:tcW w:w="2410" w:type="dxa"/>
            <w:tcBorders>
              <w:bottom w:val="single" w:sz="4" w:space="0" w:color="auto"/>
            </w:tcBorders>
            <w:noWrap/>
            <w:vAlign w:val="bottom"/>
            <w:hideMark/>
          </w:tcPr>
          <w:p w14:paraId="0BECE2D1"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Terbacil</w:t>
            </w:r>
          </w:p>
        </w:tc>
        <w:tc>
          <w:tcPr>
            <w:tcW w:w="550" w:type="dxa"/>
            <w:tcBorders>
              <w:bottom w:val="single" w:sz="4" w:space="0" w:color="auto"/>
            </w:tcBorders>
            <w:noWrap/>
            <w:vAlign w:val="bottom"/>
            <w:hideMark/>
          </w:tcPr>
          <w:p w14:paraId="19C61E5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0.97</w:t>
            </w:r>
          </w:p>
        </w:tc>
        <w:tc>
          <w:tcPr>
            <w:tcW w:w="740" w:type="dxa"/>
            <w:tcBorders>
              <w:bottom w:val="single" w:sz="4" w:space="0" w:color="auto"/>
            </w:tcBorders>
            <w:noWrap/>
            <w:vAlign w:val="bottom"/>
            <w:hideMark/>
          </w:tcPr>
          <w:p w14:paraId="608745E6"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1.01</w:t>
            </w:r>
          </w:p>
        </w:tc>
        <w:tc>
          <w:tcPr>
            <w:tcW w:w="740" w:type="dxa"/>
            <w:tcBorders>
              <w:bottom w:val="single" w:sz="4" w:space="0" w:color="auto"/>
            </w:tcBorders>
            <w:noWrap/>
            <w:vAlign w:val="bottom"/>
            <w:hideMark/>
          </w:tcPr>
          <w:p w14:paraId="40917547"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1.05</w:t>
            </w:r>
          </w:p>
        </w:tc>
        <w:tc>
          <w:tcPr>
            <w:tcW w:w="740" w:type="dxa"/>
            <w:tcBorders>
              <w:bottom w:val="single" w:sz="4" w:space="0" w:color="auto"/>
            </w:tcBorders>
            <w:noWrap/>
            <w:vAlign w:val="bottom"/>
            <w:hideMark/>
          </w:tcPr>
          <w:p w14:paraId="274CEDC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40" w:type="dxa"/>
            <w:tcBorders>
              <w:bottom w:val="single" w:sz="4" w:space="0" w:color="auto"/>
            </w:tcBorders>
            <w:noWrap/>
            <w:vAlign w:val="bottom"/>
            <w:hideMark/>
          </w:tcPr>
          <w:p w14:paraId="4D4A9B9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0.002</w:t>
            </w:r>
          </w:p>
        </w:tc>
        <w:tc>
          <w:tcPr>
            <w:tcW w:w="740" w:type="dxa"/>
            <w:tcBorders>
              <w:bottom w:val="single" w:sz="4" w:space="0" w:color="auto"/>
            </w:tcBorders>
            <w:noWrap/>
            <w:vAlign w:val="bottom"/>
            <w:hideMark/>
          </w:tcPr>
          <w:p w14:paraId="424102AC"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r>
    </w:tbl>
    <w:p w14:paraId="328614EF" w14:textId="77777777" w:rsidR="00195808" w:rsidRPr="00195808" w:rsidRDefault="00195808" w:rsidP="00195808">
      <w:pPr>
        <w:spacing w:line="360" w:lineRule="auto"/>
        <w:ind w:firstLine="720"/>
        <w:jc w:val="both"/>
        <w:rPr>
          <w:rFonts w:ascii="Arial" w:hAnsi="Arial" w:cs="Arial"/>
          <w:i/>
          <w:iCs/>
          <w:sz w:val="24"/>
          <w:szCs w:val="24"/>
        </w:rPr>
      </w:pPr>
      <w:r w:rsidRPr="00195808">
        <w:rPr>
          <w:rFonts w:ascii="Arial" w:hAnsi="Arial" w:cs="Arial"/>
          <w:i/>
          <w:iCs/>
          <w:color w:val="000000"/>
          <w:sz w:val="18"/>
          <w:szCs w:val="18"/>
          <w:lang w:eastAsia="en-IN"/>
        </w:rPr>
        <w:t xml:space="preserve">WWP – Wet Waste Processing Plant; Values in </w:t>
      </w:r>
      <w:r w:rsidRPr="00195808">
        <w:rPr>
          <w:rFonts w:ascii="Arial" w:hAnsi="Arial" w:cs="Arial"/>
          <w:i/>
          <w:iCs/>
          <w:sz w:val="18"/>
          <w:szCs w:val="18"/>
        </w:rPr>
        <w:t>mg kg</w:t>
      </w:r>
      <w:r w:rsidRPr="00195808">
        <w:rPr>
          <w:rFonts w:ascii="Cambria Math" w:hAnsi="Cambria Math" w:cs="Cambria Math"/>
          <w:i/>
          <w:iCs/>
          <w:sz w:val="18"/>
          <w:szCs w:val="18"/>
        </w:rPr>
        <w:t>⁻</w:t>
      </w:r>
      <w:r w:rsidRPr="00195808">
        <w:rPr>
          <w:rFonts w:ascii="Arial" w:hAnsi="Arial" w:cs="Arial"/>
          <w:i/>
          <w:iCs/>
          <w:sz w:val="18"/>
          <w:szCs w:val="18"/>
          <w:vertAlign w:val="superscript"/>
        </w:rPr>
        <w:t>1</w:t>
      </w:r>
    </w:p>
    <w:p w14:paraId="3FFD0E2E" w14:textId="77777777" w:rsidR="00790ADA" w:rsidRPr="00FB3A86" w:rsidRDefault="00790ADA" w:rsidP="00441B6F">
      <w:pPr>
        <w:pStyle w:val="Body"/>
        <w:spacing w:after="0"/>
        <w:rPr>
          <w:rFonts w:ascii="Arial" w:hAnsi="Arial" w:cs="Arial"/>
        </w:rPr>
      </w:pPr>
    </w:p>
    <w:p w14:paraId="5F6E9A96" w14:textId="77777777" w:rsidR="00790ADA" w:rsidRPr="00FB3A86" w:rsidRDefault="00790ADA" w:rsidP="00441B6F">
      <w:pPr>
        <w:pStyle w:val="Head1"/>
        <w:spacing w:after="0"/>
        <w:jc w:val="both"/>
        <w:rPr>
          <w:rFonts w:ascii="Arial" w:hAnsi="Arial" w:cs="Arial"/>
        </w:rPr>
      </w:pPr>
    </w:p>
    <w:p w14:paraId="62C7BB30" w14:textId="77777777" w:rsidR="00195808" w:rsidRDefault="00195808" w:rsidP="00195808">
      <w:pPr>
        <w:jc w:val="both"/>
        <w:rPr>
          <w:rFonts w:ascii="Arial" w:hAnsi="Arial" w:cs="Arial"/>
        </w:rPr>
      </w:pPr>
      <w:r w:rsidRPr="008C3A95">
        <w:rPr>
          <w:rFonts w:ascii="Arial" w:hAnsi="Arial" w:cs="Arial"/>
        </w:rPr>
        <w:t xml:space="preserve">The detection of multiple pesticide residues in compost reflects the heterogeneous nature of municipal waste inputs, which may include food waste, vegetable residues, household waste, and garden litter that could contain pesticide residues originating from agricultural and domestic pest control practices. Several studies have reported the occurrence of multiple pesticide residues in environmental matrices such as soil, compost, and agricultural products, highlighting their widespread distribution </w:t>
      </w:r>
      <w:r w:rsidRPr="008C3A95">
        <w:rPr>
          <w:rFonts w:ascii="Arial" w:hAnsi="Arial" w:cs="Arial"/>
        </w:rPr>
        <w:fldChar w:fldCharType="begin" w:fldLock="1"/>
      </w:r>
      <w:r w:rsidRPr="008C3A95">
        <w:rPr>
          <w:rFonts w:ascii="Arial" w:hAnsi="Arial" w:cs="Arial"/>
        </w:rPr>
        <w:instrText>ADDIN CSL_CITATION {"citationItems":[{"id":"ITEM-1","itemData":{"DOI":"10.1021/acs.est.0c06405","ISSN":"15205851","PMID":"33534554","abstract":"Pesticides are applied in large quantities to agroecosystems worldwide. To date, few studies assessed the occurrence of pesticides in organically managed agricultural soils, and it is unresolved whether these pesticide residues affect soil life. We screened 100 fields under organic and conventional management with an analytical method containing 46 pesticides (16 herbicides, 8 herbicide transformation products, 17 fungicides, seven insecticides). Pesticides were found in all sites, including 40 organic fields. The number of pesticide residues was two times and the concentration nine times higher in conventional compared to organic fields. Pesticide number and concentrations significantly decreased with the duration of organic management. Even after 20 years of organic agriculture, up to 16 different pesticide residues were present. Microbial biomass and specifically the abundance of arbuscular mycorrhizal fungi, a widespread group of beneficial plant symbionts, were significantly negatively linked to the amount of pesticide residues in soil. This indicates that pesticide residues, in addition to abiotic factors such as pH, are a key factor determining microbial soil life in agroecosystems. This comprehensive study demonstrates that pesticides are a hidden reality in agricultural soils, and our results suggest that they have harmful effects on beneficial soil life.","author":[{"dropping-particle":"","family":"Riedo","given":"Judith","non-dropping-particle":"","parse-names":false,"suffix":""},{"dropping-particle":"","family":"Wettstein","given":"Felix E.","non-dropping-particle":"","parse-names":false,"suffix":""},{"dropping-particle":"","family":"Rosch","given":"Andrea","non-dropping-particle":"","parse-names":false,"suffix":""},{"dropping-particle":"","family":"Herzog","given":"Chantal","non-dropping-particle":"","parse-names":false,"suffix":""},{"dropping-particle":"","family":"Banerjee","given":"Samiran","non-dropping-particle":"","parse-names":false,"suffix":""},{"dropping-particle":"","family":"Buchi","given":"Lucie","non-dropping-particle":"","parse-names":false,"suffix":""},{"dropping-particle":"","family":"Charles","given":"Raphael","non-dropping-particle":"","parse-names":false,"suffix":""},{"dropping-particle":"","family":"Wachter","given":"Daniel","non-dropping-particle":"","parse-names":false,"suffix":""},{"dropping-particle":"","family":"Martin-Laurent","given":"Fabrice","non-dropping-particle":"","parse-names":false,"suffix":""},{"dropping-particle":"","family":"Bucheli","given":"Thomas D.","non-dropping-particle":"","parse-names":false,"suffix":""},{"dropping-particle":"","family":"Walder","given":"Florian","non-dropping-particle":"","parse-names":false,"suffix":""},{"dropping-particle":"","family":"Heijden","given":"Marcel G.A.","non-dropping-particle":"Van Der","parse-names":false,"suffix":""}],"container-title":"Environmental Science and Technology","id":"ITEM-1","issue":"5","issued":{"date-parts":[["2021"]]},"page":"2919-2928","title":"Widespread occurrence of pesticides in organically managed agricultural soils-The ghost of a conventional agricultural past?","type":"article-journal","volume":"55"},"uris":["http://www.mendeley.com/documents/?uuid=ab340e35-5f8e-4316-b5cf-294334b16a1e"]},{"id":"ITEM-2","itemData":{"DOI":"10.1016/j.scitotenv.2018.10.441","ISSN":"18791026","PMID":"30759587","abstract":"Pesticide use is a major foundation of the agricultural intensification observed over the last few decades. As a result, soil contamination by pesticide residues has become an issue of increasing concern due to some pesticides' high soil persistence and toxicity to non-target species. In this study, the distribution of 76 pesticide residues was evaluated in 317 agricultural topsoil samples from across the European Union. The soils were collected in 2015 and originated from 11 EU Member States and 6 main cropping systems. Over 80% of the tested soils contained pesticide residues (25% of samples had 1 residue, 58% of samples had mixtures of two or more residues), in a total of 166 different pesticide combinations. Glyphosate and its metabolite AMPA, DDTs (DDT and its metabolites) and the broad-spectrum fungicides boscalid, epoxiconazole and tebuconazole were the compounds most frequently found in soil samples and the compounds found at the highest concentrations. These compounds occasionally exceeded their predicted environmental concentrations in soil but were below the respective toxic endpoints for standard in-soil organisms. Maximum individual pesticide content assessed in a soil sample was 2.05 mg kg −1 while maximum total pesticide content was 2.87 mg kg −1 . This study reveals that the presence of mixtures of pesticide residues in soils are the rule rather than the exception, indicating that environmental risk assessment procedures should be adapted accordingly to minimize related risks to soil life and beyond. This information can be used to implement monitoring programs for pesticide residues in soil and to trigger toxicity assessments of mixtures of pesticide residues on a wider range of soil species in order to perform more comprehensive and accurate risk assessments.","author":[{"dropping-particle":"","family":"Silva","given":"Vera","non-dropping-particle":"","parse-names":false,"suffix":""},{"dropping-particle":"","family":"Mol","given":"Hans G.J.","non-dropping-particle":"","parse-names":false,"suffix":""},{"dropping-particle":"","family":"Zomer","given":"Paul","non-dropping-particle":"","parse-names":false,"suffix":""},{"dropping-particle":"","family":"Tienstra","given":"Marc","non-dropping-particle":"","parse-names":false,"suffix":""},{"dropping-particle":"","family":"Ritsema","given":"Coen J.","non-dropping-particle":"","parse-names":false,"suffix":""},{"dropping-particle":"","family":"Geissen","given":"Violette","non-dropping-particle":"","parse-names":false,"suffix":""}],"container-title":"Science of the Total Environment","id":"ITEM-2","issued":{"date-parts":[["2019"]]},"page":"1532-1545","publisher":"The Authors","title":"Pesticide residues in European agricultural soils – A hidden reality unfolded","type":"article-journal","volume":"653"},"uris":["http://www.mendeley.com/documents/?uuid=0c0114eb-4acb-4693-898d-292c7fac33f9"]}],"mendeley":{"formattedCitation":"(Riedo et al. 2021; Silva et al. 2019)","plainTextFormattedCitation":"(Riedo et al. 2021; Silva et al. 2019)","previouslyFormattedCitation":"(Riedo et al. 2021; Silva et al. 2019)"},"properties":{"noteIndex":0},"schema":"https://github.com/citation-style-language/schema/raw/master/csl-citation.json"}</w:instrText>
      </w:r>
      <w:r w:rsidRPr="008C3A95">
        <w:rPr>
          <w:rFonts w:ascii="Arial" w:hAnsi="Arial" w:cs="Arial"/>
        </w:rPr>
        <w:fldChar w:fldCharType="separate"/>
      </w:r>
      <w:r w:rsidRPr="008C3A95">
        <w:rPr>
          <w:rFonts w:ascii="Arial" w:hAnsi="Arial" w:cs="Arial"/>
          <w:noProof/>
        </w:rPr>
        <w:t>(Riedo et al. 2021; Silva et al. 2019)</w:t>
      </w:r>
      <w:r w:rsidRPr="008C3A95">
        <w:rPr>
          <w:rFonts w:ascii="Arial" w:hAnsi="Arial" w:cs="Arial"/>
        </w:rPr>
        <w:fldChar w:fldCharType="end"/>
      </w:r>
      <w:r w:rsidRPr="008C3A95">
        <w:rPr>
          <w:rFonts w:ascii="Arial" w:hAnsi="Arial" w:cs="Arial"/>
        </w:rPr>
        <w:t>.</w:t>
      </w:r>
    </w:p>
    <w:p w14:paraId="2364FD6D" w14:textId="77777777" w:rsidR="00195808" w:rsidRPr="008C3A95" w:rsidRDefault="00195808" w:rsidP="00195808">
      <w:pPr>
        <w:jc w:val="both"/>
        <w:rPr>
          <w:rFonts w:ascii="Arial" w:hAnsi="Arial" w:cs="Arial"/>
        </w:rPr>
      </w:pPr>
    </w:p>
    <w:p w14:paraId="745B0208" w14:textId="77777777" w:rsidR="00195808" w:rsidRDefault="00195808" w:rsidP="00195808">
      <w:pPr>
        <w:jc w:val="both"/>
        <w:rPr>
          <w:rFonts w:ascii="Arial" w:hAnsi="Arial" w:cs="Arial"/>
        </w:rPr>
      </w:pPr>
      <w:r w:rsidRPr="008C3A95">
        <w:rPr>
          <w:rFonts w:ascii="Arial" w:hAnsi="Arial" w:cs="Arial"/>
        </w:rPr>
        <w:t xml:space="preserve">Class-wise distribution pattern reflects the widespread use of nitrogen-containing pesticides and modern synthetic pesticides in agricultural and urban pest control applications. Previous investigations have shown that pesticide residues may persist in organic waste materials and can be transferred to compost products during waste processing </w:t>
      </w:r>
      <w:r w:rsidRPr="008C3A95">
        <w:rPr>
          <w:rFonts w:ascii="Arial" w:hAnsi="Arial" w:cs="Arial"/>
        </w:rPr>
        <w:fldChar w:fldCharType="begin" w:fldLock="1"/>
      </w:r>
      <w:r w:rsidRPr="008C3A95">
        <w:rPr>
          <w:rFonts w:ascii="Arial" w:hAnsi="Arial" w:cs="Arial"/>
        </w:rPr>
        <w:instrText>ADDIN CSL_CITATION {"citationItems":[{"id":"ITEM-1","itemData":{"DOI":"10.1016/j.biortech.2008.03.052","ISSN":"09608524","PMID":"18455393","abstract":"In the present study, concentration levels and dissipation of modern pesticides during composting and digestion at full-scale plants were followed. Of the 271 pesticides analyzed, 28 were detected. Within the three windrows studied, total concentrations were between 36 and 101 μg per kg of dry matter (d.m.) in input materials and between 8 and 20 μg kg d.m.-1 in composts after 112 days of treatment. Fungicides and among them triazoles clearly dominated over other pesticides. More than two-thirds of all pesticides detected in the input materials showed dissipation rates higher than 50% during composting, whilst levels of most triazoles decreased slightly or remained unchanged. The investigation on semi-dry thermophilic anaerobic digestion suggests that pesticides preferentially end up in presswater after solid-liquid separation. © 2008 Elsevier Ltd. All rights reserved.","author":[{"dropping-particle":"","family":"Kupper","given":"Thomas","non-dropping-particle":"","parse-names":false,"suffix":""},{"dropping-particle":"","family":"Bucheli","given":"Thomas D.","non-dropping-particle":"","parse-names":false,"suffix":""},{"dropping-particle":"","family":"Brändli","given":"Rahel C.","non-dropping-particle":"","parse-names":false,"suffix":""},{"dropping-particle":"","family":"Ortelli","given":"Didier","non-dropping-particle":"","parse-names":false,"suffix":""},{"dropping-particle":"","family":"Edder","given":"Patrick","non-dropping-particle":"","parse-names":false,"suffix":""}],"container-title":"Bioresource Technology","id":"ITEM-1","issue":"17","issued":{"date-parts":[["2008"]]},"page":"7988-7994","title":"Dissipation of pesticides during composting and anaerobic digestion of source-separated organic waste at full-scale plants","type":"article-journal","volume":"99"},"uris":["http://www.mendeley.com/documents/?uuid=0f20f251-49fd-48ab-8804-f16837c71854"]}],"mendeley":{"formattedCitation":"(Kupper et al. 2008)","plainTextFormattedCitation":"(Kupper et al. 2008)","previouslyFormattedCitation":"(Kupper et al. 2008)"},"properties":{"noteIndex":0},"schema":"https://github.com/citation-style-language/schema/raw/master/csl-citation.json"}</w:instrText>
      </w:r>
      <w:r w:rsidRPr="008C3A95">
        <w:rPr>
          <w:rFonts w:ascii="Arial" w:hAnsi="Arial" w:cs="Arial"/>
        </w:rPr>
        <w:fldChar w:fldCharType="separate"/>
      </w:r>
      <w:r w:rsidRPr="008C3A95">
        <w:rPr>
          <w:rFonts w:ascii="Arial" w:hAnsi="Arial" w:cs="Arial"/>
          <w:noProof/>
        </w:rPr>
        <w:t>(Kupper et al. 2008)</w:t>
      </w:r>
      <w:r w:rsidRPr="008C3A95">
        <w:rPr>
          <w:rFonts w:ascii="Arial" w:hAnsi="Arial" w:cs="Arial"/>
        </w:rPr>
        <w:fldChar w:fldCharType="end"/>
      </w:r>
      <w:r w:rsidRPr="008C3A95">
        <w:rPr>
          <w:rFonts w:ascii="Arial" w:hAnsi="Arial" w:cs="Arial"/>
        </w:rPr>
        <w:t>. Although composting involves microbial degradation and elevated temperatures that may promote the breakdown of certain pesticides, several compounds can survive the composting process depending on their physic-chemical properties and stability.</w:t>
      </w:r>
    </w:p>
    <w:p w14:paraId="6269D907" w14:textId="77777777" w:rsidR="00195808" w:rsidRPr="008C3A95" w:rsidRDefault="00195808" w:rsidP="00195808">
      <w:pPr>
        <w:jc w:val="both"/>
        <w:rPr>
          <w:rFonts w:ascii="Arial" w:hAnsi="Arial" w:cs="Arial"/>
        </w:rPr>
      </w:pPr>
    </w:p>
    <w:p w14:paraId="11B7BF95" w14:textId="77777777" w:rsidR="00195808" w:rsidRDefault="00195808" w:rsidP="00195808">
      <w:pPr>
        <w:jc w:val="both"/>
        <w:rPr>
          <w:rFonts w:ascii="Arial" w:hAnsi="Arial" w:cs="Arial"/>
        </w:rPr>
      </w:pPr>
      <w:r w:rsidRPr="008C3A95">
        <w:rPr>
          <w:rFonts w:ascii="Arial" w:hAnsi="Arial" w:cs="Arial"/>
        </w:rPr>
        <w:t>Detection frequency analysis indicated the occurrence of 21 pesticides exceeding 1 mg kg</w:t>
      </w:r>
      <w:r w:rsidRPr="008C3A95">
        <w:rPr>
          <w:rFonts w:ascii="Cambria Math" w:hAnsi="Cambria Math" w:cs="Cambria Math"/>
        </w:rPr>
        <w:t>⁻</w:t>
      </w:r>
      <w:r w:rsidRPr="008C3A95">
        <w:rPr>
          <w:rFonts w:ascii="Arial" w:hAnsi="Arial" w:cs="Arial"/>
        </w:rPr>
        <w:t xml:space="preserve">¹, with pyrethroid insecticides such as cypermethrin and cyfluthrin showing the highest concentrations in all compost samples. Repeated applications and strong sorption to organic substrates </w:t>
      </w:r>
      <w:r w:rsidRPr="008C3A95">
        <w:rPr>
          <w:rFonts w:ascii="Arial" w:hAnsi="Arial" w:cs="Arial"/>
        </w:rPr>
        <w:fldChar w:fldCharType="begin" w:fldLock="1"/>
      </w:r>
      <w:r w:rsidRPr="008C3A95">
        <w:rPr>
          <w:rFonts w:ascii="Arial" w:hAnsi="Arial" w:cs="Arial"/>
        </w:rPr>
        <w:instrText>ADDIN CSL_CITATION {"citationItems":[{"id":"ITEM-1","itemData":{"DOI":"10.1021/acs.est.0c06405","ISSN":"15205851","PMID":"33534554","abstract":"Pesticides are applied in large quantities to agroecosystems worldwide. To date, few studies assessed the occurrence of pesticides in organically managed agricultural soils, and it is unresolved whether these pesticide residues affect soil life. We screened 100 fields under organic and conventional management with an analytical method containing 46 pesticides (16 herbicides, 8 herbicide transformation products, 17 fungicides, seven insecticides). Pesticides were found in all sites, including 40 organic fields. The number of pesticide residues was two times and the concentration nine times higher in conventional compared to organic fields. Pesticide number and concentrations significantly decreased with the duration of organic management. Even after 20 years of organic agriculture, up to 16 different pesticide residues were present. Microbial biomass and specifically the abundance of arbuscular mycorrhizal fungi, a widespread group of beneficial plant symbionts, were significantly negatively linked to the amount of pesticide residues in soil. This indicates that pesticide residues, in addition to abiotic factors such as pH, are a key factor determining microbial soil life in agroecosystems. This comprehensive study demonstrates that pesticides are a hidden reality in agricultural soils, and our results suggest that they have harmful effects on beneficial soil life.","author":[{"dropping-particle":"","family":"Riedo","given":"Judith","non-dropping-particle":"","parse-names":false,"suffix":""},{"dropping-particle":"","family":"Wettstein","given":"Felix E.","non-dropping-particle":"","parse-names":false,"suffix":""},{"dropping-particle":"","family":"Rosch","given":"Andrea","non-dropping-particle":"","parse-names":false,"suffix":""},{"dropping-particle":"","family":"Herzog","given":"Chantal","non-dropping-particle":"","parse-names":false,"suffix":""},{"dropping-particle":"","family":"Banerjee","given":"Samiran","non-dropping-particle":"","parse-names":false,"suffix":""},{"dropping-particle":"","family":"Buchi","given":"Lucie","non-dropping-particle":"","parse-names":false,"suffix":""},{"dropping-particle":"","family":"Charles","given":"Raphael","non-dropping-particle":"","parse-names":false,"suffix":""},{"dropping-particle":"","family":"Wachter","given":"Daniel","non-dropping-particle":"","parse-names":false,"suffix":""},{"dropping-particle":"","family":"Martin-Laurent","given":"Fabrice","non-dropping-particle":"","parse-names":false,"suffix":""},{"dropping-particle":"","family":"Bucheli","given":"Thomas D.","non-dropping-particle":"","parse-names":false,"suffix":""},{"dropping-particle":"","family":"Walder","given":"Florian","non-dropping-particle":"","parse-names":false,"suffix":""},{"dropping-particle":"","family":"Heijden","given":"Marcel G.A.","non-dropping-particle":"Van Der","parse-names":false,"suffix":""}],"container-title":"Environmental Science and Technology","id":"ITEM-1","issue":"5","issued":{"date-parts":[["2021"]]},"page":"2919-2928","title":"Widespread occurrence of pesticides in organically managed agricultural soils-The ghost of a conventional agricultural past?","type":"article-journal","volume":"55"},"uris":["http://www.mendeley.com/documents/?uuid=ab340e35-5f8e-4316-b5cf-294334b16a1e"]}],"mendeley":{"formattedCitation":"(Riedo et al. 2021)","plainTextFormattedCitation":"(Riedo et al. 2021)","previouslyFormattedCitation":"(Riedo et al. 2021)"},"properties":{"noteIndex":0},"schema":"https://github.com/citation-style-language/schema/raw/master/csl-citation.json"}</w:instrText>
      </w:r>
      <w:r w:rsidRPr="008C3A95">
        <w:rPr>
          <w:rFonts w:ascii="Arial" w:hAnsi="Arial" w:cs="Arial"/>
        </w:rPr>
        <w:fldChar w:fldCharType="separate"/>
      </w:r>
      <w:r w:rsidRPr="008C3A95">
        <w:rPr>
          <w:rFonts w:ascii="Arial" w:hAnsi="Arial" w:cs="Arial"/>
          <w:noProof/>
        </w:rPr>
        <w:t>(Riedo et al. 2021)</w:t>
      </w:r>
      <w:r w:rsidRPr="008C3A95">
        <w:rPr>
          <w:rFonts w:ascii="Arial" w:hAnsi="Arial" w:cs="Arial"/>
        </w:rPr>
        <w:fldChar w:fldCharType="end"/>
      </w:r>
      <w:r w:rsidRPr="008C3A95">
        <w:rPr>
          <w:rFonts w:ascii="Arial" w:hAnsi="Arial" w:cs="Arial"/>
        </w:rPr>
        <w:t xml:space="preserve"> also helps. Pyrethroids are widely used insecticides known for their strong adsorption to organic matter and low water solubility, which can result in their accumulation in organic matrices such as soil and compost </w:t>
      </w:r>
      <w:r w:rsidRPr="008C3A95">
        <w:rPr>
          <w:rFonts w:ascii="Arial" w:hAnsi="Arial" w:cs="Arial"/>
        </w:rPr>
        <w:fldChar w:fldCharType="begin" w:fldLock="1"/>
      </w:r>
      <w:r w:rsidRPr="008C3A95">
        <w:rPr>
          <w:rFonts w:ascii="Arial" w:hAnsi="Arial" w:cs="Arial"/>
        </w:rPr>
        <w:instrText>ADDIN CSL_CITATION {"citationItems":[{"id":"ITEM-1","itemData":{"DOI":"10.1016/j.ecoenv.2024.116342","ISSN":"10902414","PMID":"38657457","abstract":"Pyrethroids (PYs) are widely applied pesticides whose residues pose potential health risks. This review describes current knowledge on PY chemical properties, usage patterns, environmental and food contamination, and human exposure models. It evaluates life cycle assessment (LCA), chemical alternatives assessment (CAA), and high-throughput screening (HTS) as tools for pesticide policy. Despite efforts to mitigate PY presence, their pervasive residues in the environment and food persist. And the highest concentrations ranged from 54,360 to 80,500 ng/L in water samples from agricultural fields. Food processing techniques variably reduce PY levels, yet no method guarantees complete elimination. This review provides insights into the fates and exposure pathways of PY residues in agriculture and food, and highlights the necessity for improved PY management and alternative practices to safeguard health and environment.","author":[{"dropping-particle":"","family":"Liu","given":"Shan","non-dropping-particle":"","parse-names":false,"suffix":""},{"dropping-particle":"","family":"Yan","given":"Jisha","non-dropping-particle":"","parse-names":false,"suffix":""},{"dropping-particle":"","family":"Xu","given":"Bowen","non-dropping-particle":"","parse-names":false,"suffix":""},{"dropping-particle":"","family":"Huang","given":"Xinyi","non-dropping-particle":"","parse-names":false,"suffix":""},{"dropping-particle":"","family":"Qin","given":"Haixiong","non-dropping-particle":"","parse-names":false,"suffix":""},{"dropping-particle":"","family":"Zhao","given":"Jiayuan","non-dropping-particle":"","parse-names":false,"suffix":""},{"dropping-particle":"","family":"Xia","given":"Chen","non-dropping-particle":"","parse-names":false,"suffix":""},{"dropping-particle":"","family":"Yan","given":"Shen","non-dropping-particle":"","parse-names":false,"suffix":""},{"dropping-particle":"","family":"Liu","given":"Gang","non-dropping-particle":"","parse-names":false,"suffix":""}],"container-title":"Ecotoxicology and Environmental Safety","id":"ITEM-1","issue":"April","issued":{"date-parts":[["2024"]]},"page":"116342","publisher":"Elsevier Inc.","title":"Fates and models for exposure pathways of pyrethroid pesticide residues: A review","type":"article-journal","volume":"277"},"uris":["http://www.mendeley.com/documents/?uuid=7c76b59e-09a1-4459-8f25-3fb45b4a1e17"]}],"mendeley":{"formattedCitation":"(Liu et al. 2024)","plainTextFormattedCitation":"(Liu et al. 2024)","previouslyFormattedCitation":"(Liu et al. 2024)"},"properties":{"noteIndex":0},"schema":"https://github.com/citation-style-language/schema/raw/master/csl-citation.json"}</w:instrText>
      </w:r>
      <w:r w:rsidRPr="008C3A95">
        <w:rPr>
          <w:rFonts w:ascii="Arial" w:hAnsi="Arial" w:cs="Arial"/>
        </w:rPr>
        <w:fldChar w:fldCharType="separate"/>
      </w:r>
      <w:r w:rsidRPr="008C3A95">
        <w:rPr>
          <w:rFonts w:ascii="Arial" w:hAnsi="Arial" w:cs="Arial"/>
          <w:noProof/>
        </w:rPr>
        <w:t>(Liu et al. 2024)</w:t>
      </w:r>
      <w:r w:rsidRPr="008C3A95">
        <w:rPr>
          <w:rFonts w:ascii="Arial" w:hAnsi="Arial" w:cs="Arial"/>
        </w:rPr>
        <w:fldChar w:fldCharType="end"/>
      </w:r>
      <w:r w:rsidRPr="008C3A95">
        <w:rPr>
          <w:rFonts w:ascii="Arial" w:hAnsi="Arial" w:cs="Arial"/>
        </w:rPr>
        <w:t xml:space="preserve">. The strong affinity of pyrethroids for organic carbon may reduce their mobility but enhances their persistence in compost substrates, as observed </w:t>
      </w:r>
      <w:r w:rsidRPr="008C3A95">
        <w:rPr>
          <w:rFonts w:ascii="Arial" w:hAnsi="Arial" w:cs="Arial"/>
        </w:rPr>
        <w:fldChar w:fldCharType="begin" w:fldLock="1"/>
      </w:r>
      <w:r w:rsidRPr="008C3A95">
        <w:rPr>
          <w:rFonts w:ascii="Arial" w:hAnsi="Arial" w:cs="Arial"/>
        </w:rPr>
        <w:instrText>ADDIN CSL_CITATION {"citationItems":[{"id":"ITEM-1","itemData":{"DOI":"10.1080/10643380600987406","ISBN":"1064338060098","ISSN":"10643389","abstract":"An increase of organic waste coming from different humans and productive activities is a continuous concern, and their application in soil is proposed many times as a solution to disposal problem. In agricultural soil, this practice is actually more popular because of its contribution as a fertilizer and soil enhancement. Recently, increased interest has been focused on assessing the influence of organic waste added to the soil related to pesticides behavior. The studies carried out show that addition of organic matter and nutrient mainly can affect the adsorption, movement, and biodegradation of pesticides. This review shows the factors involved, trend, and result obtained with pesticide behavior in soil amendment. Contradictory trends are reported in the literature on the pesticides' fate. These are mainly because soil type differences, pesticide characteristics, and source amendment are difficult to organize in a tendency pattern, and can significantly complicate the understanding of pesticides fate. Copyright © Taylor &amp; Francis Group, LLC.","author":[{"dropping-particle":"","family":"Briceño","given":"Gabriela","non-dropping-particle":"","parse-names":false,"suffix":""},{"dropping-particle":"","family":"Palma","given":"Graciela","non-dropping-particle":"","parse-names":false,"suffix":""},{"dropping-particle":"","family":"Durán","given":"Nelson","non-dropping-particle":"","parse-names":false,"suffix":""}],"container-title":"Critical Reviews in Environmental Science and Technology","id":"ITEM-1","issue":"3","issued":{"date-parts":[["2007"]]},"number-of-pages":"233-271","title":"Influence of organic amendment on the biodegradation and movement of pesticides","type":"book","volume":"37"},"uris":["http://www.mendeley.com/documents/?uuid=74e0ed24-8a0a-4037-98ab-aedf7d1e9748"]}],"mendeley":{"formattedCitation":"(Briceño, Palma, and Durán 2007)","manualFormatting":"(Briceño, Palma, and Durán 2007)","plainTextFormattedCitation":"(Briceño, Palma, and Durán 2007)","previouslyFormattedCitation":"(Briceño, Palma, and Durán 2007)"},"properties":{"noteIndex":0},"schema":"https://github.com/citation-style-language/schema/raw/master/csl-citation.json"}</w:instrText>
      </w:r>
      <w:r w:rsidRPr="008C3A95">
        <w:rPr>
          <w:rFonts w:ascii="Arial" w:hAnsi="Arial" w:cs="Arial"/>
        </w:rPr>
        <w:fldChar w:fldCharType="separate"/>
      </w:r>
      <w:r w:rsidRPr="008C3A95">
        <w:rPr>
          <w:rFonts w:ascii="Arial" w:hAnsi="Arial" w:cs="Arial"/>
          <w:noProof/>
        </w:rPr>
        <w:t>(Briceño et al., 2007)</w:t>
      </w:r>
      <w:r w:rsidRPr="008C3A95">
        <w:rPr>
          <w:rFonts w:ascii="Arial" w:hAnsi="Arial" w:cs="Arial"/>
        </w:rPr>
        <w:fldChar w:fldCharType="end"/>
      </w:r>
      <w:r w:rsidRPr="008C3A95">
        <w:rPr>
          <w:rFonts w:ascii="Arial" w:hAnsi="Arial" w:cs="Arial"/>
        </w:rPr>
        <w:t>.</w:t>
      </w:r>
    </w:p>
    <w:p w14:paraId="513D6908" w14:textId="77777777" w:rsidR="00195808" w:rsidRPr="008C3A95" w:rsidRDefault="00195808" w:rsidP="00195808">
      <w:pPr>
        <w:jc w:val="both"/>
        <w:rPr>
          <w:rFonts w:ascii="Arial" w:hAnsi="Arial" w:cs="Arial"/>
        </w:rPr>
      </w:pPr>
    </w:p>
    <w:p w14:paraId="3BF330B2" w14:textId="77777777" w:rsidR="00195808" w:rsidRDefault="00195808" w:rsidP="00195808">
      <w:pPr>
        <w:jc w:val="both"/>
        <w:rPr>
          <w:rFonts w:ascii="Arial" w:hAnsi="Arial" w:cs="Arial"/>
        </w:rPr>
      </w:pPr>
      <w:r w:rsidRPr="008C3A95">
        <w:rPr>
          <w:rFonts w:ascii="Arial" w:hAnsi="Arial" w:cs="Arial"/>
        </w:rPr>
        <w:t xml:space="preserve">The presence of multiple pesticide residues in finished MSW compost raises concerns regarding the potential transfer of contaminants to agricultural soils when applied as an organic amendment. Although the practice of compost application for improving soil fertility and recycling of organic waste, as it is likely to influence soil microbial communities and ecological processes </w:t>
      </w:r>
      <w:r w:rsidRPr="008C3A95">
        <w:rPr>
          <w:rFonts w:ascii="Arial" w:hAnsi="Arial" w:cs="Arial"/>
        </w:rPr>
        <w:fldChar w:fldCharType="begin" w:fldLock="1"/>
      </w:r>
      <w:r w:rsidRPr="008C3A95">
        <w:rPr>
          <w:rFonts w:ascii="Arial" w:hAnsi="Arial" w:cs="Arial"/>
        </w:rPr>
        <w:instrText>ADDIN CSL_CITATION {"citationItems":[{"id":"ITEM-1","itemData":{"DOI":"10.1016/j.heliyon.2023.e23133","ISSN":"24058440","abstract":"This research examined the bioremediation of pesticides (Carbofuran and Paraquat) contaminated farmyard soil using compost and Nitrogen, Phosphorus, and Potassium (NPK) fertilizer. Microcosms representing each treatment were set-up in triplicates. Biostimulation was done using two concentrations (0.5 % and 1.0 % w/w) of NPK fertilizer and compost, following pesticides application at recommended rates [Carbofuran (1 g/kg) and Paraquat (5 ml/kg)] and four times the recommended rates. Two control soils were set-up; Abiotic control (sterile farmyard soil + pesticide) and Control (farmyard soil without treatment). Monitoring of the dynamics in microbial community abundance, and pesticide residues during the biostimulation period was done weekly for 28 days, using standard enumeration method, and High Performance Liquid Chromatography (HPLC), respectively. At the end of the monitoring period, considerable reduction in pesticide residues across the treatment set-ups was recorded. In Carbofuran-treated soils, there were no complete, but considerable losses in residual pesticide, however, in most of the Paraquat-treated soils, there were complete losses within 21 days. Lower pesticide residues were recorded in set-ups amended with compost than NPK, across both Carbofuran and Paraquat-treated soils. After pesticides application, decreases in microbial counts were recorded at Day 7 across all the treatments, followed by increases from Day 14–21, then decreases at Day 28. Microbial counts were lower in Carbofuran than in Paraquat-treated soils irrespective of nutrient (compost and NPK) amendments. Bacterial and fungal counts were in the magnitude of 106 and 105 CFU/g soil, respectively. Also, increased counts were recorded for Actinomycetes, Nitrifiers, Phosphate solubilizers across all treatments, and were in magnitude of 103–104 CFU/g soil. Soil microorganisms could breakdown and eliminate large concentrations of Carbofuran and Paraquat in compost-amended soils than in NPK-amended soils. This study suggests that bioremediation of pesticides contaminated soils can be achieved and enhanced by stimulating the indigenous microbial community with requisite nutrients (compost).","author":[{"dropping-particle":"","family":"Lee-Ann Ataikiru","given":"Tega","non-dropping-particle":"","parse-names":false,"suffix":""},{"dropping-particle":"","family":"Ajuzieogu","given":"Chinyere Augusta","non-dropping-particle":"","parse-names":false,"suffix":""}],"container-title":"Heliyon","id":"ITEM-1","issue":"12","issued":{"date-parts":[["2023"]]},"page":"e23133","publisher":"Elsevier Ltd","title":"Enhanced bioremediation of pesticides contaminated soil using organic (compost) and inorganic (NPK) fertilizers","type":"article-journal","volume":"9"},"uris":["http://www.mendeley.com/documents/?uuid=97f3d196-7af7-460c-8faa-ecdf7dc5ea31"]}],"mendeley":{"formattedCitation":"(Lee-Ann Ataikiru and Ajuzieogu 2023)","plainTextFormattedCitation":"(Lee-Ann Ataikiru and Ajuzieogu 2023)","previouslyFormattedCitation":"(Lee-Ann Ataikiru and Ajuzieogu 2023)"},"properties":{"noteIndex":0},"schema":"https://github.com/citation-style-language/schema/raw/master/csl-citation.json"}</w:instrText>
      </w:r>
      <w:r w:rsidRPr="008C3A95">
        <w:rPr>
          <w:rFonts w:ascii="Arial" w:hAnsi="Arial" w:cs="Arial"/>
        </w:rPr>
        <w:fldChar w:fldCharType="separate"/>
      </w:r>
      <w:r w:rsidRPr="008C3A95">
        <w:rPr>
          <w:rFonts w:ascii="Arial" w:hAnsi="Arial" w:cs="Arial"/>
          <w:noProof/>
        </w:rPr>
        <w:t>(Lee-Ann Ataikiru and Ajuzieogu 2023)</w:t>
      </w:r>
      <w:r w:rsidRPr="008C3A95">
        <w:rPr>
          <w:rFonts w:ascii="Arial" w:hAnsi="Arial" w:cs="Arial"/>
        </w:rPr>
        <w:fldChar w:fldCharType="end"/>
      </w:r>
      <w:r w:rsidRPr="008C3A95">
        <w:rPr>
          <w:rFonts w:ascii="Arial" w:hAnsi="Arial" w:cs="Arial"/>
        </w:rPr>
        <w:t xml:space="preserve">, the chances of their impact on soil organisms and long-term environmental contamination </w:t>
      </w:r>
      <w:r w:rsidRPr="008C3A95">
        <w:rPr>
          <w:rFonts w:ascii="Arial" w:hAnsi="Arial" w:cs="Arial"/>
        </w:rPr>
        <w:fldChar w:fldCharType="begin" w:fldLock="1"/>
      </w:r>
      <w:r w:rsidRPr="008C3A95">
        <w:rPr>
          <w:rFonts w:ascii="Arial" w:hAnsi="Arial" w:cs="Arial"/>
        </w:rPr>
        <w:instrText>ADDIN CSL_CITATION {"citationItems":[{"id":"ITEM-1","itemData":{"DOI":"10.1016/j.scitotenv.2018.10.441","ISSN":"18791026","PMID":"30759587","abstract":"Pesticide use is a major foundation of the agricultural intensification observed over the last few decades. As a result, soil contamination by pesticide residues has become an issue of increasing concern due to some pesticides' high soil persistence and toxicity to non-target species. In this study, the distribution of 76 pesticide residues was evaluated in 317 agricultural topsoil samples from across the European Union. The soils were collected in 2015 and originated from 11 EU Member States and 6 main cropping systems. Over 80% of the tested soils contained pesticide residues (25% of samples had 1 residue, 58% of samples had mixtures of two or more residues), in a total of 166 different pesticide combinations. Glyphosate and its metabolite AMPA, DDTs (DDT and its metabolites) and the broad-spectrum fungicides boscalid, epoxiconazole and tebuconazole were the compounds most frequently found in soil samples and the compounds found at the highest concentrations. These compounds occasionally exceeded their predicted environmental concentrations in soil but were below the respective toxic endpoints for standard in-soil organisms. Maximum individual pesticide content assessed in a soil sample was 2.05 mg kg −1 while maximum total pesticide content was 2.87 mg kg −1 . This study reveals that the presence of mixtures of pesticide residues in soils are the rule rather than the exception, indicating that environmental risk assessment procedures should be adapted accordingly to minimize related risks to soil life and beyond. This information can be used to implement monitoring programs for pesticide residues in soil and to trigger toxicity assessments of mixtures of pesticide residues on a wider range of soil species in order to perform more comprehensive and accurate risk assessments.","author":[{"dropping-particle":"","family":"Silva","given":"Vera","non-dropping-particle":"","parse-names":false,"suffix":""},{"dropping-particle":"","family":"Mol","given":"Hans G.J.","non-dropping-particle":"","parse-names":false,"suffix":""},{"dropping-particle":"","family":"Zomer","given":"Paul","non-dropping-particle":"","parse-names":false,"suffix":""},{"dropping-particle":"","family":"Tienstra","given":"Marc","non-dropping-particle":"","parse-names":false,"suffix":""},{"dropping-particle":"","family":"Ritsema","given":"Coen J.","non-dropping-particle":"","parse-names":false,"suffix":""},{"dropping-particle":"","family":"Geissen","given":"Violette","non-dropping-particle":"","parse-names":false,"suffix":""}],"container-title":"Science of the Total Environment","id":"ITEM-1","issued":{"date-parts":[["2019"]]},"page":"1532-1545","publisher":"The Authors","title":"Pesticide residues in European agricultural soils – A hidden reality unfolded","type":"article-journal","volume":"653"},"uris":["http://www.mendeley.com/documents/?uuid=0c0114eb-4acb-4693-898d-292c7fac33f9"]}],"mendeley":{"formattedCitation":"(Silva et al. 2019)","plainTextFormattedCitation":"(Silva et al. 2019)","previouslyFormattedCitation":"(Silva et al. 2019)"},"properties":{"noteIndex":0},"schema":"https://github.com/citation-style-language/schema/raw/master/csl-citation.json"}</w:instrText>
      </w:r>
      <w:r w:rsidRPr="008C3A95">
        <w:rPr>
          <w:rFonts w:ascii="Arial" w:hAnsi="Arial" w:cs="Arial"/>
        </w:rPr>
        <w:fldChar w:fldCharType="separate"/>
      </w:r>
      <w:r w:rsidRPr="008C3A95">
        <w:rPr>
          <w:rFonts w:ascii="Arial" w:hAnsi="Arial" w:cs="Arial"/>
          <w:noProof/>
        </w:rPr>
        <w:t>(Silva et al. 2019)</w:t>
      </w:r>
      <w:r w:rsidRPr="008C3A95">
        <w:rPr>
          <w:rFonts w:ascii="Arial" w:hAnsi="Arial" w:cs="Arial"/>
        </w:rPr>
        <w:fldChar w:fldCharType="end"/>
      </w:r>
      <w:r w:rsidRPr="008C3A95">
        <w:rPr>
          <w:rFonts w:ascii="Arial" w:hAnsi="Arial" w:cs="Arial"/>
        </w:rPr>
        <w:t xml:space="preserve"> cannot be ruled out.</w:t>
      </w:r>
    </w:p>
    <w:p w14:paraId="288D61BF" w14:textId="77777777" w:rsidR="00195808" w:rsidRDefault="00195808" w:rsidP="00195808">
      <w:pPr>
        <w:jc w:val="both"/>
        <w:rPr>
          <w:rFonts w:ascii="Arial" w:hAnsi="Arial" w:cs="Arial"/>
        </w:rPr>
      </w:pPr>
    </w:p>
    <w:p w14:paraId="6B975706" w14:textId="2B28613D" w:rsidR="00195808" w:rsidRPr="005E1A1D" w:rsidRDefault="00B6641D" w:rsidP="00195808">
      <w:pPr>
        <w:jc w:val="both"/>
        <w:rPr>
          <w:rFonts w:ascii="Arial" w:hAnsi="Arial" w:cs="Arial"/>
          <w:sz w:val="22"/>
          <w:szCs w:val="22"/>
        </w:rPr>
      </w:pPr>
      <w:r>
        <w:rPr>
          <w:rFonts w:ascii="Arial" w:hAnsi="Arial" w:cs="Arial"/>
          <w:b/>
          <w:bCs/>
        </w:rPr>
        <w:lastRenderedPageBreak/>
        <w:t>4</w:t>
      </w:r>
      <w:r w:rsidR="00195808">
        <w:rPr>
          <w:rFonts w:ascii="Arial" w:hAnsi="Arial" w:cs="Arial"/>
          <w:b/>
          <w:bCs/>
        </w:rPr>
        <w:t xml:space="preserve">. </w:t>
      </w:r>
      <w:r w:rsidR="00195808" w:rsidRPr="005E1A1D">
        <w:rPr>
          <w:rFonts w:ascii="Arial" w:hAnsi="Arial" w:cs="Arial"/>
          <w:b/>
          <w:bCs/>
        </w:rPr>
        <w:t>CONCLUSION</w:t>
      </w:r>
    </w:p>
    <w:p w14:paraId="31EF6756" w14:textId="77777777" w:rsidR="00195808" w:rsidRDefault="00195808" w:rsidP="00195808">
      <w:pPr>
        <w:jc w:val="both"/>
        <w:rPr>
          <w:rFonts w:ascii="Arial" w:hAnsi="Arial" w:cs="Arial"/>
        </w:rPr>
      </w:pPr>
    </w:p>
    <w:p w14:paraId="27F284C1" w14:textId="1E52BF13" w:rsidR="00195808" w:rsidRDefault="00195808" w:rsidP="00195808">
      <w:pPr>
        <w:jc w:val="both"/>
        <w:rPr>
          <w:rFonts w:ascii="Arial" w:hAnsi="Arial" w:cs="Arial"/>
        </w:rPr>
      </w:pPr>
      <w:r w:rsidRPr="00AB14D0">
        <w:rPr>
          <w:rFonts w:ascii="Arial" w:hAnsi="Arial" w:cs="Arial"/>
        </w:rPr>
        <w:t xml:space="preserve">The present study provides important insights into the occurrence and distribution of pesticide residues in municipal solid waste compost; however, certain limitations should be acknowledged. The analysis was based on six compost samples collected from different composting facilities, and each facility was sampled once. Although the sampling strategy ensured representation of major composting units within the study area, temporal variations in pesticide residues during different composting cycles were not evaluated. Additionally, the heterogeneous nature of municipal solid waste feedstock may contribute to variability in pesticide occurrence depending on seasonal waste composition and source materials. Furthermore, while the study focused on the detection and concentration of pesticide residues, detailed degradation pathways and transformation products formed during the composting process were not investigated. Future studies involving larger sample sizes, repeated sampling across seasons, and assessment of pesticide degradation dynamics would provide a more comprehensive understanding of pesticide </w:t>
      </w:r>
      <w:r w:rsidR="00E21A61" w:rsidRPr="00AB14D0">
        <w:rPr>
          <w:rFonts w:ascii="Arial" w:hAnsi="Arial" w:cs="Arial"/>
        </w:rPr>
        <w:t>behavior</w:t>
      </w:r>
      <w:r w:rsidRPr="00AB14D0">
        <w:rPr>
          <w:rFonts w:ascii="Arial" w:hAnsi="Arial" w:cs="Arial"/>
        </w:rPr>
        <w:t xml:space="preserve"> in MSW composting systems. Despite these limitations, the present investigation offers a comprehensive multi-residue screening of 185 pesticides, providing valuable baseline information on pesticide contamination in municipal compost used for agricultural applications.</w:t>
      </w:r>
    </w:p>
    <w:p w14:paraId="3AC13800" w14:textId="77777777" w:rsidR="00195808" w:rsidRDefault="00195808" w:rsidP="00195808">
      <w:pPr>
        <w:jc w:val="both"/>
        <w:rPr>
          <w:rFonts w:ascii="Arial" w:hAnsi="Arial" w:cs="Arial"/>
        </w:rPr>
      </w:pPr>
    </w:p>
    <w:p w14:paraId="577B2BD5" w14:textId="77777777" w:rsidR="00315186" w:rsidRPr="00315186" w:rsidRDefault="00315186" w:rsidP="00441B6F"/>
    <w:p w14:paraId="53F63F69" w14:textId="77777777" w:rsidR="00315186" w:rsidRPr="00315186" w:rsidRDefault="00315186" w:rsidP="00441B6F"/>
    <w:p w14:paraId="28EB7FE1"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D95A151" w14:textId="77777777" w:rsidR="00860000" w:rsidRPr="00786D36" w:rsidRDefault="00860000" w:rsidP="00441B6F">
      <w:pPr>
        <w:pStyle w:val="ReferHead"/>
        <w:spacing w:after="0"/>
        <w:jc w:val="both"/>
        <w:rPr>
          <w:rFonts w:ascii="Arial" w:hAnsi="Arial" w:cs="Arial"/>
        </w:rPr>
      </w:pPr>
    </w:p>
    <w:p w14:paraId="506C4B40" w14:textId="603D524E" w:rsidR="00371FB6" w:rsidRPr="0021458A" w:rsidRDefault="0021458A" w:rsidP="00441B6F">
      <w:pPr>
        <w:pStyle w:val="ReferHead"/>
        <w:spacing w:after="0"/>
        <w:jc w:val="both"/>
        <w:rPr>
          <w:rFonts w:ascii="Arial" w:hAnsi="Arial" w:cs="Arial"/>
          <w:b w:val="0"/>
          <w:bCs/>
          <w:sz w:val="20"/>
        </w:rPr>
      </w:pPr>
      <w:r w:rsidRPr="0021458A">
        <w:rPr>
          <w:rFonts w:ascii="Arial" w:hAnsi="Arial" w:cs="Arial"/>
          <w:b w:val="0"/>
          <w:bCs/>
          <w:caps w:val="0"/>
          <w:sz w:val="20"/>
        </w:rPr>
        <w:t>The authors declare no conflicts of interests exist</w:t>
      </w:r>
      <w:r w:rsidRPr="0021458A">
        <w:rPr>
          <w:rFonts w:ascii="Arial" w:hAnsi="Arial" w:cs="Arial"/>
          <w:b w:val="0"/>
          <w:bCs/>
          <w:sz w:val="20"/>
        </w:rPr>
        <w:t xml:space="preserve">. </w:t>
      </w:r>
    </w:p>
    <w:p w14:paraId="5C3E857A" w14:textId="77777777" w:rsidR="0021458A" w:rsidRDefault="0021458A" w:rsidP="00441B6F">
      <w:pPr>
        <w:pStyle w:val="ReferHead"/>
        <w:spacing w:after="0"/>
        <w:jc w:val="both"/>
        <w:rPr>
          <w:rFonts w:ascii="Arial" w:hAnsi="Arial" w:cs="Arial"/>
          <w:b w:val="0"/>
          <w:caps w:val="0"/>
          <w:sz w:val="20"/>
        </w:rPr>
      </w:pPr>
    </w:p>
    <w:p w14:paraId="36BAE18C" w14:textId="77777777" w:rsidR="0021458A" w:rsidRDefault="0021458A" w:rsidP="00441B6F">
      <w:pPr>
        <w:pStyle w:val="ReferHead"/>
        <w:spacing w:after="0"/>
        <w:jc w:val="both"/>
        <w:rPr>
          <w:rFonts w:ascii="Arial" w:hAnsi="Arial" w:cs="Arial"/>
          <w:b w:val="0"/>
          <w:caps w:val="0"/>
          <w:sz w:val="20"/>
        </w:rPr>
      </w:pPr>
    </w:p>
    <w:p w14:paraId="3426B4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BE41B67" w14:textId="77777777" w:rsidR="00790ADA" w:rsidRPr="00FB3A86" w:rsidRDefault="00790ADA" w:rsidP="00441B6F">
      <w:pPr>
        <w:pStyle w:val="ReferHead"/>
        <w:spacing w:after="0"/>
        <w:jc w:val="both"/>
        <w:rPr>
          <w:rFonts w:ascii="Arial" w:hAnsi="Arial" w:cs="Arial"/>
        </w:rPr>
      </w:pPr>
    </w:p>
    <w:p w14:paraId="5554A44C" w14:textId="77777777"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Anonymous</w:t>
      </w:r>
      <w:r w:rsidRPr="00985B12">
        <w:rPr>
          <w:rFonts w:ascii="Arial" w:hAnsi="Arial" w:cs="Arial"/>
          <w:noProof/>
          <w:color w:val="FF0000"/>
        </w:rPr>
        <w:t xml:space="preserve">, </w:t>
      </w:r>
      <w:r w:rsidRPr="00985B12">
        <w:rPr>
          <w:rFonts w:ascii="Arial" w:hAnsi="Arial" w:cs="Arial"/>
        </w:rPr>
        <w:fldChar w:fldCharType="begin" w:fldLock="1"/>
      </w:r>
      <w:r w:rsidRPr="00985B12">
        <w:rPr>
          <w:rFonts w:ascii="Arial" w:hAnsi="Arial" w:cs="Arial"/>
        </w:rPr>
        <w:instrText xml:space="preserve">ADDIN Mendeley Bibliography CSL_BIBLIOGRAPHY </w:instrText>
      </w:r>
      <w:r w:rsidRPr="00985B12">
        <w:rPr>
          <w:rFonts w:ascii="Arial" w:hAnsi="Arial" w:cs="Arial"/>
        </w:rPr>
        <w:fldChar w:fldCharType="separate"/>
      </w:r>
      <w:r w:rsidRPr="00985B12">
        <w:rPr>
          <w:rFonts w:ascii="Arial" w:hAnsi="Arial" w:cs="Arial"/>
          <w:noProof/>
        </w:rPr>
        <w:t>BBMP. 2022. “Solid Waste Management.” 2022. https://site.bbmp.gov.in.</w:t>
      </w:r>
    </w:p>
    <w:p w14:paraId="317D28EF" w14:textId="77777777" w:rsidR="004D2703" w:rsidRDefault="004D2703" w:rsidP="004D2703">
      <w:pPr>
        <w:widowControl w:val="0"/>
        <w:autoSpaceDE w:val="0"/>
        <w:autoSpaceDN w:val="0"/>
        <w:adjustRightInd w:val="0"/>
        <w:ind w:left="480" w:hanging="480"/>
        <w:rPr>
          <w:rFonts w:ascii="Arial" w:hAnsi="Arial" w:cs="Arial"/>
          <w:noProof/>
        </w:rPr>
      </w:pPr>
    </w:p>
    <w:p w14:paraId="2B2FE4A2" w14:textId="018A4B73"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Briceño, Gabriela, Graciela Palma, and Nelson Durán. 2007. </w:t>
      </w:r>
      <w:r w:rsidRPr="00985B12">
        <w:rPr>
          <w:rFonts w:ascii="Arial" w:hAnsi="Arial" w:cs="Arial"/>
          <w:i/>
          <w:iCs/>
          <w:noProof/>
        </w:rPr>
        <w:t>Influence of Organic Amendment on the Biodegradation and Movement of Pesticides</w:t>
      </w:r>
      <w:r w:rsidRPr="00985B12">
        <w:rPr>
          <w:rFonts w:ascii="Arial" w:hAnsi="Arial" w:cs="Arial"/>
          <w:noProof/>
        </w:rPr>
        <w:t xml:space="preserve">. </w:t>
      </w:r>
      <w:r w:rsidRPr="00985B12">
        <w:rPr>
          <w:rFonts w:ascii="Arial" w:hAnsi="Arial" w:cs="Arial"/>
          <w:i/>
          <w:iCs/>
          <w:noProof/>
        </w:rPr>
        <w:t>Critical Reviews in Environmental Science and Technology</w:t>
      </w:r>
      <w:r w:rsidRPr="00985B12">
        <w:rPr>
          <w:rFonts w:ascii="Arial" w:hAnsi="Arial" w:cs="Arial"/>
          <w:noProof/>
        </w:rPr>
        <w:t>. Vol. 37. https://doi.org/10.1080/10643380600987406.</w:t>
      </w:r>
    </w:p>
    <w:p w14:paraId="78C847F5" w14:textId="77777777" w:rsidR="004D2703" w:rsidRDefault="004D2703" w:rsidP="004D2703">
      <w:pPr>
        <w:widowControl w:val="0"/>
        <w:autoSpaceDE w:val="0"/>
        <w:autoSpaceDN w:val="0"/>
        <w:adjustRightInd w:val="0"/>
        <w:ind w:left="480" w:hanging="480"/>
        <w:rPr>
          <w:rFonts w:ascii="Arial" w:hAnsi="Arial" w:cs="Arial"/>
          <w:noProof/>
        </w:rPr>
      </w:pPr>
    </w:p>
    <w:p w14:paraId="6762D957" w14:textId="263FCDD6"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Brown, K. W., J. C. Thomas, and F. Whitney. 1997. “Fate of Volatile Organic Compounds and Pesticides in Composted Municipal Solid Waste.” </w:t>
      </w:r>
      <w:r w:rsidRPr="00985B12">
        <w:rPr>
          <w:rFonts w:ascii="Arial" w:hAnsi="Arial" w:cs="Arial"/>
          <w:i/>
          <w:iCs/>
          <w:noProof/>
        </w:rPr>
        <w:t>Compost Science and Utilization</w:t>
      </w:r>
      <w:r w:rsidRPr="00985B12">
        <w:rPr>
          <w:rFonts w:ascii="Arial" w:hAnsi="Arial" w:cs="Arial"/>
          <w:noProof/>
        </w:rPr>
        <w:t xml:space="preserve"> 5 (4): 6–14. https://doi.org/10.1080/1065657X.1997.10701892.</w:t>
      </w:r>
    </w:p>
    <w:p w14:paraId="4D5FD366" w14:textId="77777777" w:rsidR="004D2703" w:rsidRDefault="004D2703" w:rsidP="004D2703">
      <w:pPr>
        <w:widowControl w:val="0"/>
        <w:autoSpaceDE w:val="0"/>
        <w:autoSpaceDN w:val="0"/>
        <w:adjustRightInd w:val="0"/>
        <w:ind w:left="480" w:hanging="480"/>
        <w:rPr>
          <w:rFonts w:ascii="Arial" w:hAnsi="Arial" w:cs="Arial"/>
          <w:noProof/>
        </w:rPr>
      </w:pPr>
    </w:p>
    <w:p w14:paraId="5638CB2D" w14:textId="44AD749F"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Büyüksönmez, Fatih, Robert Rynk, Thomas F. Hess, and Edward Bechinski. 1999. “Occurrence, Degradation and Fate of Pesticides during Composting: Part i: Composting, Pesticides, and Pesticide Degradation.” </w:t>
      </w:r>
      <w:r w:rsidRPr="00985B12">
        <w:rPr>
          <w:rFonts w:ascii="Arial" w:hAnsi="Arial" w:cs="Arial"/>
          <w:i/>
          <w:iCs/>
          <w:noProof/>
        </w:rPr>
        <w:t>Compost Science and Utilization</w:t>
      </w:r>
      <w:r w:rsidRPr="00985B12">
        <w:rPr>
          <w:rFonts w:ascii="Arial" w:hAnsi="Arial" w:cs="Arial"/>
          <w:noProof/>
        </w:rPr>
        <w:t xml:space="preserve"> 7 (4): 66–82. https://doi.org/10.1080/1065657X.1999.10701986.</w:t>
      </w:r>
    </w:p>
    <w:p w14:paraId="22C0B28D" w14:textId="77777777" w:rsidR="004D2703" w:rsidRDefault="004D2703" w:rsidP="004D2703">
      <w:pPr>
        <w:widowControl w:val="0"/>
        <w:autoSpaceDE w:val="0"/>
        <w:autoSpaceDN w:val="0"/>
        <w:adjustRightInd w:val="0"/>
        <w:ind w:left="480" w:hanging="480"/>
        <w:rPr>
          <w:rFonts w:ascii="Arial" w:hAnsi="Arial" w:cs="Arial"/>
          <w:noProof/>
        </w:rPr>
      </w:pPr>
    </w:p>
    <w:p w14:paraId="5BD75EC1" w14:textId="24EC9299"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Frenich, A. Garrido, Manuel J. González Rodríguez, José L. Martínez Vidal, Francisco J. Arrebola, and María E. Hernández Torres. 2005. “A Study of the Disappearance of Pesticides during Composting Using a Gas Chromatography-Tandem Mass Spectrometry Technique.” </w:t>
      </w:r>
      <w:r w:rsidRPr="00985B12">
        <w:rPr>
          <w:rFonts w:ascii="Arial" w:hAnsi="Arial" w:cs="Arial"/>
          <w:i/>
          <w:iCs/>
          <w:noProof/>
        </w:rPr>
        <w:t>Pest Management Science</w:t>
      </w:r>
      <w:r w:rsidRPr="00985B12">
        <w:rPr>
          <w:rFonts w:ascii="Arial" w:hAnsi="Arial" w:cs="Arial"/>
          <w:noProof/>
        </w:rPr>
        <w:t xml:space="preserve"> 61 (5): 458–66. https://doi.org/10.1002/ps.984.</w:t>
      </w:r>
    </w:p>
    <w:p w14:paraId="4B22FA66" w14:textId="77777777" w:rsidR="004D2703" w:rsidRDefault="004D2703" w:rsidP="004D2703">
      <w:pPr>
        <w:widowControl w:val="0"/>
        <w:autoSpaceDE w:val="0"/>
        <w:autoSpaceDN w:val="0"/>
        <w:adjustRightInd w:val="0"/>
        <w:ind w:left="480" w:hanging="480"/>
        <w:rPr>
          <w:rFonts w:ascii="Arial" w:hAnsi="Arial" w:cs="Arial"/>
          <w:noProof/>
        </w:rPr>
      </w:pPr>
    </w:p>
    <w:p w14:paraId="705AF10B" w14:textId="5A535CFB"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Hargreaves, J. C., M. S. Adl, and P. R. Warman. 2008. “A Review of the Use of Composted Municipal Solid Waste in Agriculture.” </w:t>
      </w:r>
      <w:r w:rsidRPr="00985B12">
        <w:rPr>
          <w:rFonts w:ascii="Arial" w:hAnsi="Arial" w:cs="Arial"/>
          <w:i/>
          <w:iCs/>
          <w:noProof/>
        </w:rPr>
        <w:t>Agriculture, Ecosystems and Environment</w:t>
      </w:r>
      <w:r w:rsidRPr="00985B12">
        <w:rPr>
          <w:rFonts w:ascii="Arial" w:hAnsi="Arial" w:cs="Arial"/>
          <w:noProof/>
        </w:rPr>
        <w:t xml:space="preserve"> 123 </w:t>
      </w:r>
      <w:r w:rsidRPr="00985B12">
        <w:rPr>
          <w:rFonts w:ascii="Arial" w:hAnsi="Arial" w:cs="Arial"/>
          <w:noProof/>
        </w:rPr>
        <w:lastRenderedPageBreak/>
        <w:t>(1–3): 1–14. https://doi.org/10.1016/j.agee.2007.07.004.</w:t>
      </w:r>
    </w:p>
    <w:p w14:paraId="6EBC1499" w14:textId="77777777" w:rsidR="004D2703" w:rsidRDefault="004D2703" w:rsidP="004D2703">
      <w:pPr>
        <w:widowControl w:val="0"/>
        <w:autoSpaceDE w:val="0"/>
        <w:autoSpaceDN w:val="0"/>
        <w:adjustRightInd w:val="0"/>
        <w:ind w:left="480" w:hanging="480"/>
        <w:rPr>
          <w:rFonts w:ascii="Arial" w:hAnsi="Arial" w:cs="Arial"/>
          <w:noProof/>
        </w:rPr>
      </w:pPr>
    </w:p>
    <w:p w14:paraId="6BDE3884" w14:textId="27331BBE"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Kupper, Thomas, Thomas D. Bucheli, Rahel C. Brändli, Didier Ortelli, and Patrick Edder. 2008. “Dissipation of Pesticides during Composting and Anaerobic Digestion of Source-Separated Organic Waste at Full-Scale Plants.” </w:t>
      </w:r>
      <w:r w:rsidRPr="00985B12">
        <w:rPr>
          <w:rFonts w:ascii="Arial" w:hAnsi="Arial" w:cs="Arial"/>
          <w:i/>
          <w:iCs/>
          <w:noProof/>
        </w:rPr>
        <w:t>Bioresource Technology</w:t>
      </w:r>
      <w:r w:rsidRPr="00985B12">
        <w:rPr>
          <w:rFonts w:ascii="Arial" w:hAnsi="Arial" w:cs="Arial"/>
          <w:noProof/>
        </w:rPr>
        <w:t xml:space="preserve"> 99 (17): 7988–94. https://doi.org/10.1016/j.biortech.2008.03.052.</w:t>
      </w:r>
    </w:p>
    <w:p w14:paraId="36C67D24" w14:textId="77777777" w:rsidR="004D2703" w:rsidRDefault="004D2703" w:rsidP="004D2703">
      <w:pPr>
        <w:widowControl w:val="0"/>
        <w:autoSpaceDE w:val="0"/>
        <w:autoSpaceDN w:val="0"/>
        <w:adjustRightInd w:val="0"/>
        <w:ind w:left="480" w:hanging="480"/>
        <w:rPr>
          <w:rFonts w:ascii="Arial" w:hAnsi="Arial" w:cs="Arial"/>
          <w:noProof/>
        </w:rPr>
      </w:pPr>
    </w:p>
    <w:p w14:paraId="472B142B" w14:textId="077F3951"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Lee-Ann Ataikiru, Tega, and Chinyere Augusta Ajuzieogu. 2023. “Enhanced Bioremediation of Pesticides Contaminated Soil Using Organic (Compost) and Inorganic (NPK) Fertilizers.” </w:t>
      </w:r>
      <w:r w:rsidRPr="00985B12">
        <w:rPr>
          <w:rFonts w:ascii="Arial" w:hAnsi="Arial" w:cs="Arial"/>
          <w:i/>
          <w:iCs/>
          <w:noProof/>
        </w:rPr>
        <w:t>Heliyon</w:t>
      </w:r>
      <w:r w:rsidRPr="00985B12">
        <w:rPr>
          <w:rFonts w:ascii="Arial" w:hAnsi="Arial" w:cs="Arial"/>
          <w:noProof/>
        </w:rPr>
        <w:t xml:space="preserve"> 9 (12): e23133. https://doi.org/10.1016/j.heliyon.2023.e23133.</w:t>
      </w:r>
    </w:p>
    <w:p w14:paraId="22F5AC44" w14:textId="77777777" w:rsidR="004D2703" w:rsidRDefault="004D2703" w:rsidP="004D2703">
      <w:pPr>
        <w:widowControl w:val="0"/>
        <w:autoSpaceDE w:val="0"/>
        <w:autoSpaceDN w:val="0"/>
        <w:adjustRightInd w:val="0"/>
        <w:ind w:left="480" w:hanging="480"/>
        <w:rPr>
          <w:rFonts w:ascii="Arial" w:hAnsi="Arial" w:cs="Arial"/>
          <w:noProof/>
        </w:rPr>
      </w:pPr>
    </w:p>
    <w:p w14:paraId="5AB184F8" w14:textId="2B597BF8"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Liu, Shan, Jisha Yan, Bowen Xu, Xinyi Huang, Haixiong Qin, Jiayuan Zhao, Chen Xia, Shen Yan, and Gang Liu. 2024. “Fates and Models for Exposure Pathways of Pyrethroid Pesticide Residues: A Review.” </w:t>
      </w:r>
      <w:r w:rsidRPr="00985B12">
        <w:rPr>
          <w:rFonts w:ascii="Arial" w:hAnsi="Arial" w:cs="Arial"/>
          <w:i/>
          <w:iCs/>
          <w:noProof/>
        </w:rPr>
        <w:t>Ecotoxicology and Environmental Safety</w:t>
      </w:r>
      <w:r w:rsidRPr="00985B12">
        <w:rPr>
          <w:rFonts w:ascii="Arial" w:hAnsi="Arial" w:cs="Arial"/>
          <w:noProof/>
        </w:rPr>
        <w:t xml:space="preserve"> 277 (April): 116342. https://doi.org/10.1016/j.ecoenv.2024.116342.</w:t>
      </w:r>
    </w:p>
    <w:p w14:paraId="2B167277" w14:textId="77777777" w:rsidR="004D2703" w:rsidRDefault="004D2703" w:rsidP="004D2703">
      <w:pPr>
        <w:widowControl w:val="0"/>
        <w:autoSpaceDE w:val="0"/>
        <w:autoSpaceDN w:val="0"/>
        <w:adjustRightInd w:val="0"/>
        <w:ind w:left="480" w:hanging="480"/>
        <w:rPr>
          <w:rFonts w:ascii="Arial" w:hAnsi="Arial" w:cs="Arial"/>
          <w:noProof/>
        </w:rPr>
      </w:pPr>
    </w:p>
    <w:p w14:paraId="674705A4" w14:textId="49A3C702"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Lourencetti, Carolina, Rodrigo Favoreto, Mary R.R. Marchi, and Maria L. Ribeiro. 2007. “Residues of Organochlorine Pesticides and PCBs in Some Brazilian Municipal Solid Waste Compost.” </w:t>
      </w:r>
      <w:r w:rsidRPr="00985B12">
        <w:rPr>
          <w:rFonts w:ascii="Arial" w:hAnsi="Arial" w:cs="Arial"/>
          <w:i/>
          <w:iCs/>
          <w:noProof/>
        </w:rPr>
        <w:t>Journal of Environmental Science and Health - Part B Pesticides, Food Contaminants, and Agricultural Wastes</w:t>
      </w:r>
      <w:r w:rsidRPr="00985B12">
        <w:rPr>
          <w:rFonts w:ascii="Arial" w:hAnsi="Arial" w:cs="Arial"/>
          <w:noProof/>
        </w:rPr>
        <w:t xml:space="preserve"> 42 (6): 697–705. https://doi.org/10.1080/03601230701465882.</w:t>
      </w:r>
    </w:p>
    <w:p w14:paraId="3661D163" w14:textId="77777777" w:rsidR="004D2703" w:rsidRDefault="004D2703" w:rsidP="004D2703">
      <w:pPr>
        <w:widowControl w:val="0"/>
        <w:autoSpaceDE w:val="0"/>
        <w:autoSpaceDN w:val="0"/>
        <w:adjustRightInd w:val="0"/>
        <w:ind w:left="480" w:hanging="480"/>
        <w:rPr>
          <w:rFonts w:ascii="Arial" w:hAnsi="Arial" w:cs="Arial"/>
          <w:noProof/>
        </w:rPr>
      </w:pPr>
    </w:p>
    <w:p w14:paraId="2AB065D5" w14:textId="601C3D20"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Manea, Elena Elisabeta, Costel Bumbac, Laurentiu Razvan Dinu, Marius Bumbac, and Cristina Mihaela Nicolescu. 2024. “Composting as a Sustainable Solution for Organic Solid Waste Management : Current Practices and Potential Improvements,” 1–25.</w:t>
      </w:r>
    </w:p>
    <w:p w14:paraId="506F4B25" w14:textId="77777777" w:rsidR="004D2703" w:rsidRDefault="004D2703" w:rsidP="004D2703">
      <w:pPr>
        <w:widowControl w:val="0"/>
        <w:autoSpaceDE w:val="0"/>
        <w:autoSpaceDN w:val="0"/>
        <w:adjustRightInd w:val="0"/>
        <w:ind w:left="480" w:hanging="480"/>
        <w:rPr>
          <w:rFonts w:ascii="Arial" w:hAnsi="Arial" w:cs="Arial"/>
          <w:noProof/>
        </w:rPr>
      </w:pPr>
    </w:p>
    <w:p w14:paraId="4C3F5C84" w14:textId="3491978A"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Prasopsuk, Jarupong, and Chuleemas Boonthai Iwai. 2011. “Risk Assessment of Pesticide Residues in Organic Waste in Northeast Thailand.” </w:t>
      </w:r>
      <w:r w:rsidRPr="00985B12">
        <w:rPr>
          <w:rFonts w:ascii="Arial" w:hAnsi="Arial" w:cs="Arial"/>
          <w:i/>
          <w:iCs/>
          <w:noProof/>
        </w:rPr>
        <w:t>IJERD-International Journal of Environmental and Rural Development</w:t>
      </w:r>
      <w:r w:rsidRPr="00985B12">
        <w:rPr>
          <w:rFonts w:ascii="Arial" w:hAnsi="Arial" w:cs="Arial"/>
          <w:noProof/>
        </w:rPr>
        <w:t>, 2–3.</w:t>
      </w:r>
    </w:p>
    <w:p w14:paraId="12A2D29A" w14:textId="77777777" w:rsidR="004D2703" w:rsidRDefault="004D2703" w:rsidP="004D2703">
      <w:pPr>
        <w:widowControl w:val="0"/>
        <w:autoSpaceDE w:val="0"/>
        <w:autoSpaceDN w:val="0"/>
        <w:adjustRightInd w:val="0"/>
        <w:ind w:left="480" w:hanging="480"/>
        <w:rPr>
          <w:rFonts w:ascii="Arial" w:hAnsi="Arial" w:cs="Arial"/>
          <w:noProof/>
        </w:rPr>
      </w:pPr>
    </w:p>
    <w:p w14:paraId="35CD2060" w14:textId="3A1A00F0"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Riedo, Judith, Felix E. Wettstein, Andrea Rosch, Chantal Herzog, Samiran Banerjee, Lucie Buchi, Raphael Charles, et al. 2021. “Widespread Occurrence of Pesticides in Organically Managed Agricultural Soils-The Ghost of a Conventional Agricultural Past?” </w:t>
      </w:r>
      <w:r w:rsidRPr="00985B12">
        <w:rPr>
          <w:rFonts w:ascii="Arial" w:hAnsi="Arial" w:cs="Arial"/>
          <w:i/>
          <w:iCs/>
          <w:noProof/>
        </w:rPr>
        <w:t>Environmental Science and Technology</w:t>
      </w:r>
      <w:r w:rsidRPr="00985B12">
        <w:rPr>
          <w:rFonts w:ascii="Arial" w:hAnsi="Arial" w:cs="Arial"/>
          <w:noProof/>
        </w:rPr>
        <w:t xml:space="preserve"> 55 (5): 2919–28. https://doi.org/10.1021/acs.est.0c06405.</w:t>
      </w:r>
    </w:p>
    <w:p w14:paraId="7760858D" w14:textId="77777777" w:rsidR="004D2703" w:rsidRDefault="004D2703" w:rsidP="004D2703">
      <w:pPr>
        <w:widowControl w:val="0"/>
        <w:autoSpaceDE w:val="0"/>
        <w:autoSpaceDN w:val="0"/>
        <w:adjustRightInd w:val="0"/>
        <w:ind w:left="480" w:hanging="480"/>
        <w:rPr>
          <w:rFonts w:ascii="Arial" w:hAnsi="Arial" w:cs="Arial"/>
          <w:noProof/>
        </w:rPr>
      </w:pPr>
    </w:p>
    <w:p w14:paraId="195FD659" w14:textId="583EAC30"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Sayara, Tahseen, Rezq Basheer-Salimia, Fatina Hawamde, and Antoni Sánchez. 2020. “Recycling of Organic Wastes through Composting: Process Performance and Compost Application in Agriculture.” </w:t>
      </w:r>
      <w:r w:rsidRPr="00985B12">
        <w:rPr>
          <w:rFonts w:ascii="Arial" w:hAnsi="Arial" w:cs="Arial"/>
          <w:i/>
          <w:iCs/>
          <w:noProof/>
        </w:rPr>
        <w:t>Agronomy</w:t>
      </w:r>
      <w:r w:rsidRPr="00985B12">
        <w:rPr>
          <w:rFonts w:ascii="Arial" w:hAnsi="Arial" w:cs="Arial"/>
          <w:noProof/>
        </w:rPr>
        <w:t xml:space="preserve"> 10 (11). https://doi.org/10.3390/agronomy10111838.</w:t>
      </w:r>
    </w:p>
    <w:p w14:paraId="376EE4D7" w14:textId="77777777" w:rsidR="004D2703" w:rsidRDefault="004D2703" w:rsidP="004D2703">
      <w:pPr>
        <w:widowControl w:val="0"/>
        <w:autoSpaceDE w:val="0"/>
        <w:autoSpaceDN w:val="0"/>
        <w:adjustRightInd w:val="0"/>
        <w:ind w:left="480" w:hanging="480"/>
        <w:rPr>
          <w:rFonts w:ascii="Arial" w:hAnsi="Arial" w:cs="Arial"/>
          <w:noProof/>
        </w:rPr>
      </w:pPr>
    </w:p>
    <w:p w14:paraId="0CAED526" w14:textId="475588D3"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Silva, Vera, Hans G.J. Mol, Paul Zomer, Marc Tienstra, Coen J. Ritsema, and Violette Geissen. 2019. “Pesticide Residues in European Agricultural Soils – A Hidden Reality Unfolded.” </w:t>
      </w:r>
      <w:r w:rsidRPr="00985B12">
        <w:rPr>
          <w:rFonts w:ascii="Arial" w:hAnsi="Arial" w:cs="Arial"/>
          <w:i/>
          <w:iCs/>
          <w:noProof/>
        </w:rPr>
        <w:t>Science of the Total Environment</w:t>
      </w:r>
      <w:r w:rsidRPr="00985B12">
        <w:rPr>
          <w:rFonts w:ascii="Arial" w:hAnsi="Arial" w:cs="Arial"/>
          <w:noProof/>
        </w:rPr>
        <w:t xml:space="preserve"> 653: 1532–45. https://doi.org/10.1016/j.scitotenv.2018.10.441.</w:t>
      </w:r>
    </w:p>
    <w:p w14:paraId="5CAF3C94" w14:textId="77777777" w:rsidR="004D2703" w:rsidRDefault="004D2703" w:rsidP="004D2703">
      <w:pPr>
        <w:widowControl w:val="0"/>
        <w:autoSpaceDE w:val="0"/>
        <w:autoSpaceDN w:val="0"/>
        <w:adjustRightInd w:val="0"/>
        <w:ind w:left="480" w:hanging="480"/>
        <w:rPr>
          <w:rFonts w:ascii="Arial" w:hAnsi="Arial" w:cs="Arial"/>
          <w:noProof/>
        </w:rPr>
      </w:pPr>
    </w:p>
    <w:p w14:paraId="2A33CADA" w14:textId="19B1FFCE"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Vorkamp, Katrin, Jörg Taube, Jörg Dilling, Esther Kellner, and Reimer Herrmann. 2003. “Fate of the Fungicide Dodemorph during Anaerobic Digestion of Biological Waste.” </w:t>
      </w:r>
      <w:r w:rsidRPr="00985B12">
        <w:rPr>
          <w:rFonts w:ascii="Arial" w:hAnsi="Arial" w:cs="Arial"/>
          <w:i/>
          <w:iCs/>
          <w:noProof/>
        </w:rPr>
        <w:t>Chemosphere</w:t>
      </w:r>
      <w:r w:rsidRPr="00985B12">
        <w:rPr>
          <w:rFonts w:ascii="Arial" w:hAnsi="Arial" w:cs="Arial"/>
          <w:noProof/>
        </w:rPr>
        <w:t xml:space="preserve"> 53 (5): 505–14. https://doi.org/10.1016/S0045-6535(03)00544-7.</w:t>
      </w:r>
    </w:p>
    <w:p w14:paraId="5C4D741E" w14:textId="77777777" w:rsidR="004D2703" w:rsidRDefault="004D2703" w:rsidP="004D2703">
      <w:pPr>
        <w:widowControl w:val="0"/>
        <w:autoSpaceDE w:val="0"/>
        <w:autoSpaceDN w:val="0"/>
        <w:adjustRightInd w:val="0"/>
        <w:ind w:left="480" w:hanging="480"/>
        <w:rPr>
          <w:rFonts w:ascii="Arial" w:hAnsi="Arial" w:cs="Arial"/>
          <w:noProof/>
        </w:rPr>
      </w:pPr>
    </w:p>
    <w:p w14:paraId="1FF9E1F1" w14:textId="45AEC1CB" w:rsidR="004D2703" w:rsidRPr="00985B12" w:rsidRDefault="004D2703" w:rsidP="004D2703">
      <w:pPr>
        <w:widowControl w:val="0"/>
        <w:autoSpaceDE w:val="0"/>
        <w:autoSpaceDN w:val="0"/>
        <w:adjustRightInd w:val="0"/>
        <w:ind w:left="480" w:hanging="480"/>
        <w:rPr>
          <w:rFonts w:ascii="Arial" w:hAnsi="Arial" w:cs="Arial"/>
          <w:noProof/>
        </w:rPr>
      </w:pPr>
      <w:r w:rsidRPr="00985B12">
        <w:rPr>
          <w:rFonts w:ascii="Arial" w:hAnsi="Arial" w:cs="Arial"/>
          <w:noProof/>
        </w:rPr>
        <w:t xml:space="preserve">Wittmer, I. K., H. P. Bader, R. Scheidegger, H. Singer, A. Lück, I. Hanke, C. Carlsson, and C. Stamm. 2010. “Significance of Urban and Agricultural Land Use for Biocide and Pesticide Dynamics in Surface Waters.” </w:t>
      </w:r>
      <w:r w:rsidRPr="00985B12">
        <w:rPr>
          <w:rFonts w:ascii="Arial" w:hAnsi="Arial" w:cs="Arial"/>
          <w:i/>
          <w:iCs/>
          <w:noProof/>
        </w:rPr>
        <w:t>Water Research</w:t>
      </w:r>
      <w:r w:rsidRPr="00985B12">
        <w:rPr>
          <w:rFonts w:ascii="Arial" w:hAnsi="Arial" w:cs="Arial"/>
          <w:noProof/>
        </w:rPr>
        <w:t xml:space="preserve"> 44 (9): 2850–62. </w:t>
      </w:r>
      <w:r w:rsidRPr="00985B12">
        <w:rPr>
          <w:rFonts w:ascii="Arial" w:hAnsi="Arial" w:cs="Arial"/>
          <w:noProof/>
        </w:rPr>
        <w:lastRenderedPageBreak/>
        <w:t>https://doi.org/10.1016/j.watres.2010.01.030.</w:t>
      </w:r>
    </w:p>
    <w:p w14:paraId="2F920703" w14:textId="505D9EBC" w:rsidR="00790ADA" w:rsidRPr="00FB3A86" w:rsidRDefault="004D2703" w:rsidP="004D2703">
      <w:pPr>
        <w:pStyle w:val="Body"/>
        <w:spacing w:after="0"/>
        <w:rPr>
          <w:rFonts w:ascii="Arial" w:hAnsi="Arial" w:cs="Arial"/>
        </w:rPr>
      </w:pPr>
      <w:r w:rsidRPr="00985B12">
        <w:rPr>
          <w:rFonts w:ascii="Arial" w:hAnsi="Arial" w:cs="Arial"/>
        </w:rPr>
        <w:fldChar w:fldCharType="end"/>
      </w:r>
    </w:p>
    <w:p w14:paraId="1023DAA1" w14:textId="77777777" w:rsidR="004D4277" w:rsidRPr="00FB3A86" w:rsidRDefault="00B01FCD" w:rsidP="00441B6F">
      <w:pPr>
        <w:pStyle w:val="Appendix"/>
        <w:spacing w:after="0"/>
        <w:jc w:val="both"/>
        <w:rPr>
          <w:rFonts w:ascii="Arial" w:hAnsi="Arial" w:cs="Arial"/>
          <w:b w:val="0"/>
        </w:rPr>
        <w:sectPr w:rsidR="004D4277" w:rsidRPr="00FB3A86" w:rsidSect="00A24B68">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FB3A86">
        <w:rPr>
          <w:rFonts w:ascii="Arial" w:hAnsi="Arial" w:cs="Arial"/>
        </w:rPr>
        <w:t>APPENDIX</w:t>
      </w:r>
    </w:p>
    <w:p w14:paraId="4A87127A" w14:textId="77777777" w:rsidR="00B01FCD" w:rsidRDefault="00B01FCD" w:rsidP="00441B6F">
      <w:pPr>
        <w:pStyle w:val="Appendix"/>
        <w:spacing w:after="0"/>
        <w:jc w:val="both"/>
        <w:rPr>
          <w:rFonts w:ascii="Arial" w:hAnsi="Arial" w:cs="Arial"/>
          <w:b w:val="0"/>
        </w:rPr>
      </w:pPr>
    </w:p>
    <w:p w14:paraId="4D0D8564" w14:textId="77777777" w:rsidR="00B66BD9" w:rsidRDefault="00B66BD9" w:rsidP="00B66BD9">
      <w:pPr>
        <w:jc w:val="center"/>
        <w:rPr>
          <w:rFonts w:ascii="Arial" w:hAnsi="Arial" w:cs="Arial"/>
          <w:b/>
          <w:bCs/>
        </w:rPr>
      </w:pPr>
      <w:r w:rsidRPr="005C69F2">
        <w:rPr>
          <w:rFonts w:ascii="Arial" w:hAnsi="Arial" w:cs="Arial"/>
          <w:b/>
          <w:bCs/>
        </w:rPr>
        <w:t>Table S1: Pesticide residues in MSW</w:t>
      </w:r>
      <w:r>
        <w:rPr>
          <w:rFonts w:ascii="Arial" w:hAnsi="Arial" w:cs="Arial"/>
          <w:b/>
          <w:bCs/>
        </w:rPr>
        <w:t>C</w:t>
      </w:r>
      <w:r w:rsidRPr="005C69F2">
        <w:rPr>
          <w:rFonts w:ascii="Arial" w:hAnsi="Arial" w:cs="Arial"/>
          <w:b/>
          <w:bCs/>
        </w:rPr>
        <w:t xml:space="preserve"> samples from six composting facilities in Bengaluru</w:t>
      </w:r>
    </w:p>
    <w:p w14:paraId="5B344476" w14:textId="77777777" w:rsidR="00B66BD9" w:rsidRPr="005C69F2" w:rsidRDefault="00B66BD9" w:rsidP="00B66BD9">
      <w:pPr>
        <w:jc w:val="center"/>
        <w:rPr>
          <w:rFonts w:ascii="Arial" w:hAnsi="Arial" w:cs="Arial"/>
        </w:rPr>
      </w:pPr>
    </w:p>
    <w:tbl>
      <w:tblPr>
        <w:tblW w:w="8198" w:type="dxa"/>
        <w:jc w:val="center"/>
        <w:tblLook w:val="04A0" w:firstRow="1" w:lastRow="0" w:firstColumn="1" w:lastColumn="0" w:noHBand="0" w:noVBand="1"/>
      </w:tblPr>
      <w:tblGrid>
        <w:gridCol w:w="2648"/>
        <w:gridCol w:w="783"/>
        <w:gridCol w:w="839"/>
        <w:gridCol w:w="794"/>
        <w:gridCol w:w="906"/>
        <w:gridCol w:w="772"/>
        <w:gridCol w:w="795"/>
        <w:gridCol w:w="661"/>
      </w:tblGrid>
      <w:tr w:rsidR="00B66BD9" w:rsidRPr="008E1FC4" w14:paraId="1EF7CAEB" w14:textId="77777777" w:rsidTr="00B66BD9">
        <w:trPr>
          <w:trHeight w:val="240"/>
          <w:jc w:val="center"/>
        </w:trPr>
        <w:tc>
          <w:tcPr>
            <w:tcW w:w="2648" w:type="dxa"/>
            <w:tcBorders>
              <w:top w:val="nil"/>
              <w:left w:val="nil"/>
              <w:bottom w:val="nil"/>
              <w:right w:val="nil"/>
            </w:tcBorders>
            <w:noWrap/>
            <w:vAlign w:val="bottom"/>
            <w:hideMark/>
          </w:tcPr>
          <w:p w14:paraId="1AC33A5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Pesticides</w:t>
            </w:r>
          </w:p>
        </w:tc>
        <w:tc>
          <w:tcPr>
            <w:tcW w:w="783" w:type="dxa"/>
            <w:tcBorders>
              <w:top w:val="nil"/>
              <w:left w:val="nil"/>
              <w:bottom w:val="nil"/>
              <w:right w:val="nil"/>
            </w:tcBorders>
            <w:noWrap/>
            <w:vAlign w:val="bottom"/>
            <w:hideMark/>
          </w:tcPr>
          <w:p w14:paraId="4EA24D2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KCDC</w:t>
            </w:r>
          </w:p>
        </w:tc>
        <w:tc>
          <w:tcPr>
            <w:tcW w:w="839" w:type="dxa"/>
            <w:tcBorders>
              <w:top w:val="nil"/>
              <w:left w:val="nil"/>
              <w:bottom w:val="nil"/>
              <w:right w:val="nil"/>
            </w:tcBorders>
            <w:noWrap/>
            <w:vAlign w:val="bottom"/>
            <w:hideMark/>
          </w:tcPr>
          <w:p w14:paraId="4377F0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CHICK</w:t>
            </w:r>
          </w:p>
        </w:tc>
        <w:tc>
          <w:tcPr>
            <w:tcW w:w="794" w:type="dxa"/>
            <w:tcBorders>
              <w:top w:val="nil"/>
              <w:left w:val="nil"/>
              <w:bottom w:val="nil"/>
              <w:right w:val="nil"/>
            </w:tcBorders>
            <w:noWrap/>
            <w:vAlign w:val="bottom"/>
            <w:hideMark/>
          </w:tcPr>
          <w:p w14:paraId="6B57CB5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DODB</w:t>
            </w:r>
          </w:p>
        </w:tc>
        <w:tc>
          <w:tcPr>
            <w:tcW w:w="906" w:type="dxa"/>
            <w:tcBorders>
              <w:top w:val="nil"/>
              <w:left w:val="nil"/>
              <w:bottom w:val="nil"/>
              <w:right w:val="nil"/>
            </w:tcBorders>
            <w:noWrap/>
            <w:vAlign w:val="bottom"/>
            <w:hideMark/>
          </w:tcPr>
          <w:p w14:paraId="2220F4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SEEGE</w:t>
            </w:r>
          </w:p>
        </w:tc>
        <w:tc>
          <w:tcPr>
            <w:tcW w:w="772" w:type="dxa"/>
            <w:tcBorders>
              <w:top w:val="nil"/>
              <w:left w:val="nil"/>
              <w:bottom w:val="nil"/>
              <w:right w:val="nil"/>
            </w:tcBorders>
            <w:noWrap/>
            <w:vAlign w:val="bottom"/>
            <w:hideMark/>
          </w:tcPr>
          <w:p w14:paraId="6547B3E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SUBR</w:t>
            </w:r>
          </w:p>
        </w:tc>
        <w:tc>
          <w:tcPr>
            <w:tcW w:w="795" w:type="dxa"/>
            <w:tcBorders>
              <w:top w:val="nil"/>
              <w:left w:val="nil"/>
              <w:bottom w:val="nil"/>
              <w:right w:val="nil"/>
            </w:tcBorders>
            <w:noWrap/>
            <w:vAlign w:val="bottom"/>
            <w:hideMark/>
          </w:tcPr>
          <w:p w14:paraId="0ACED2D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LI0GD</w:t>
            </w:r>
          </w:p>
        </w:tc>
        <w:tc>
          <w:tcPr>
            <w:tcW w:w="661" w:type="dxa"/>
            <w:tcBorders>
              <w:top w:val="nil"/>
              <w:left w:val="nil"/>
              <w:bottom w:val="nil"/>
              <w:right w:val="nil"/>
            </w:tcBorders>
            <w:noWrap/>
            <w:vAlign w:val="bottom"/>
            <w:hideMark/>
          </w:tcPr>
          <w:p w14:paraId="3B7BFF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Type</w:t>
            </w:r>
          </w:p>
        </w:tc>
      </w:tr>
      <w:tr w:rsidR="00B66BD9" w:rsidRPr="008E1FC4" w14:paraId="64A0B0B6" w14:textId="77777777" w:rsidTr="00B66BD9">
        <w:trPr>
          <w:trHeight w:val="260"/>
          <w:jc w:val="center"/>
        </w:trPr>
        <w:tc>
          <w:tcPr>
            <w:tcW w:w="2648" w:type="dxa"/>
            <w:tcBorders>
              <w:top w:val="nil"/>
              <w:left w:val="nil"/>
              <w:bottom w:val="nil"/>
              <w:right w:val="nil"/>
            </w:tcBorders>
            <w:noWrap/>
            <w:vAlign w:val="bottom"/>
            <w:hideMark/>
          </w:tcPr>
          <w:p w14:paraId="23304DC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Acetochlor</w:t>
            </w:r>
          </w:p>
        </w:tc>
        <w:tc>
          <w:tcPr>
            <w:tcW w:w="783" w:type="dxa"/>
            <w:tcBorders>
              <w:top w:val="nil"/>
              <w:left w:val="nil"/>
              <w:bottom w:val="nil"/>
              <w:right w:val="nil"/>
            </w:tcBorders>
            <w:shd w:val="clear" w:color="000000" w:fill="63BE7B"/>
            <w:noWrap/>
            <w:vAlign w:val="bottom"/>
            <w:hideMark/>
          </w:tcPr>
          <w:p w14:paraId="0F2370F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DB10E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C9706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8D873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2CB98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77B3BB3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522D70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0E03A11" w14:textId="77777777" w:rsidTr="00B66BD9">
        <w:trPr>
          <w:trHeight w:val="260"/>
          <w:jc w:val="center"/>
        </w:trPr>
        <w:tc>
          <w:tcPr>
            <w:tcW w:w="2648" w:type="dxa"/>
            <w:tcBorders>
              <w:top w:val="nil"/>
              <w:left w:val="nil"/>
              <w:bottom w:val="nil"/>
              <w:right w:val="nil"/>
            </w:tcBorders>
            <w:noWrap/>
            <w:vAlign w:val="bottom"/>
            <w:hideMark/>
          </w:tcPr>
          <w:p w14:paraId="03A82FA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Acrinathrin-1</w:t>
            </w:r>
          </w:p>
        </w:tc>
        <w:tc>
          <w:tcPr>
            <w:tcW w:w="783" w:type="dxa"/>
            <w:tcBorders>
              <w:top w:val="nil"/>
              <w:left w:val="nil"/>
              <w:bottom w:val="nil"/>
              <w:right w:val="nil"/>
            </w:tcBorders>
            <w:shd w:val="clear" w:color="000000" w:fill="FFEF9C"/>
            <w:noWrap/>
            <w:vAlign w:val="bottom"/>
            <w:hideMark/>
          </w:tcPr>
          <w:p w14:paraId="6638E4F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FB4EC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AF4792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1FD8C5C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A29343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9C6288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20CD1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18508123" w14:textId="77777777" w:rsidTr="00B66BD9">
        <w:trPr>
          <w:trHeight w:val="260"/>
          <w:jc w:val="center"/>
        </w:trPr>
        <w:tc>
          <w:tcPr>
            <w:tcW w:w="2648" w:type="dxa"/>
            <w:tcBorders>
              <w:top w:val="nil"/>
              <w:left w:val="nil"/>
              <w:bottom w:val="nil"/>
              <w:right w:val="nil"/>
            </w:tcBorders>
            <w:noWrap/>
            <w:vAlign w:val="bottom"/>
            <w:hideMark/>
          </w:tcPr>
          <w:p w14:paraId="35205446" w14:textId="03C58A66"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Alachlor</w:t>
            </w:r>
          </w:p>
        </w:tc>
        <w:tc>
          <w:tcPr>
            <w:tcW w:w="783" w:type="dxa"/>
            <w:tcBorders>
              <w:top w:val="nil"/>
              <w:left w:val="nil"/>
              <w:bottom w:val="nil"/>
              <w:right w:val="nil"/>
            </w:tcBorders>
            <w:shd w:val="clear" w:color="000000" w:fill="63BE7B"/>
            <w:noWrap/>
            <w:vAlign w:val="bottom"/>
            <w:hideMark/>
          </w:tcPr>
          <w:p w14:paraId="344DE0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AB679A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5667F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827192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EFD6D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B5BAA2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69BF6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59F00CB" w14:textId="77777777" w:rsidTr="00B66BD9">
        <w:trPr>
          <w:trHeight w:val="260"/>
          <w:jc w:val="center"/>
        </w:trPr>
        <w:tc>
          <w:tcPr>
            <w:tcW w:w="2648" w:type="dxa"/>
            <w:tcBorders>
              <w:top w:val="nil"/>
              <w:left w:val="nil"/>
              <w:bottom w:val="nil"/>
              <w:right w:val="nil"/>
            </w:tcBorders>
            <w:noWrap/>
            <w:vAlign w:val="bottom"/>
            <w:hideMark/>
          </w:tcPr>
          <w:p w14:paraId="6376D39C" w14:textId="4C5B1876"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Aldrin</w:t>
            </w:r>
          </w:p>
        </w:tc>
        <w:tc>
          <w:tcPr>
            <w:tcW w:w="783" w:type="dxa"/>
            <w:tcBorders>
              <w:top w:val="nil"/>
              <w:left w:val="nil"/>
              <w:bottom w:val="nil"/>
              <w:right w:val="nil"/>
            </w:tcBorders>
            <w:shd w:val="clear" w:color="000000" w:fill="63BE7B"/>
            <w:noWrap/>
            <w:vAlign w:val="bottom"/>
            <w:hideMark/>
          </w:tcPr>
          <w:p w14:paraId="60A0F4D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9DDCEE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D570B8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F61CF7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26612D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9081CE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748F9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66E77238" w14:textId="77777777" w:rsidTr="00B66BD9">
        <w:trPr>
          <w:trHeight w:val="260"/>
          <w:jc w:val="center"/>
        </w:trPr>
        <w:tc>
          <w:tcPr>
            <w:tcW w:w="2648" w:type="dxa"/>
            <w:tcBorders>
              <w:top w:val="nil"/>
              <w:left w:val="nil"/>
              <w:bottom w:val="nil"/>
              <w:right w:val="nil"/>
            </w:tcBorders>
            <w:noWrap/>
            <w:vAlign w:val="bottom"/>
            <w:hideMark/>
          </w:tcPr>
          <w:p w14:paraId="4FEE4642"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Allidochlor</w:t>
            </w:r>
            <w:proofErr w:type="spellEnd"/>
          </w:p>
        </w:tc>
        <w:tc>
          <w:tcPr>
            <w:tcW w:w="783" w:type="dxa"/>
            <w:tcBorders>
              <w:top w:val="nil"/>
              <w:left w:val="nil"/>
              <w:bottom w:val="nil"/>
              <w:right w:val="nil"/>
            </w:tcBorders>
            <w:shd w:val="clear" w:color="000000" w:fill="FFEF9C"/>
            <w:noWrap/>
            <w:vAlign w:val="bottom"/>
            <w:hideMark/>
          </w:tcPr>
          <w:p w14:paraId="030A3C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3AACA6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C8299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0942217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90B5B5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3BB71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9066F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41966A8" w14:textId="77777777" w:rsidTr="00B66BD9">
        <w:trPr>
          <w:trHeight w:val="260"/>
          <w:jc w:val="center"/>
        </w:trPr>
        <w:tc>
          <w:tcPr>
            <w:tcW w:w="2648" w:type="dxa"/>
            <w:tcBorders>
              <w:top w:val="nil"/>
              <w:left w:val="nil"/>
              <w:bottom w:val="nil"/>
              <w:right w:val="nil"/>
            </w:tcBorders>
            <w:noWrap/>
            <w:vAlign w:val="bottom"/>
            <w:hideMark/>
          </w:tcPr>
          <w:p w14:paraId="5815CB79" w14:textId="5DC6438D"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Atrazine</w:t>
            </w:r>
          </w:p>
        </w:tc>
        <w:tc>
          <w:tcPr>
            <w:tcW w:w="783" w:type="dxa"/>
            <w:tcBorders>
              <w:top w:val="nil"/>
              <w:left w:val="nil"/>
              <w:bottom w:val="nil"/>
              <w:right w:val="nil"/>
            </w:tcBorders>
            <w:shd w:val="clear" w:color="000000" w:fill="FFEF9C"/>
            <w:noWrap/>
            <w:vAlign w:val="bottom"/>
            <w:hideMark/>
          </w:tcPr>
          <w:p w14:paraId="572BC7D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59E1F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5E22CC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77F9C4D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440245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62F2DA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AF780E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15383D0" w14:textId="77777777" w:rsidTr="00B66BD9">
        <w:trPr>
          <w:trHeight w:val="260"/>
          <w:jc w:val="center"/>
        </w:trPr>
        <w:tc>
          <w:tcPr>
            <w:tcW w:w="2648" w:type="dxa"/>
            <w:tcBorders>
              <w:top w:val="nil"/>
              <w:left w:val="nil"/>
              <w:bottom w:val="nil"/>
              <w:right w:val="nil"/>
            </w:tcBorders>
            <w:noWrap/>
            <w:vAlign w:val="bottom"/>
            <w:hideMark/>
          </w:tcPr>
          <w:p w14:paraId="5D83DFD2"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Azinphos</w:t>
            </w:r>
            <w:proofErr w:type="spellEnd"/>
            <w:r w:rsidRPr="008E1FC4">
              <w:rPr>
                <w:rFonts w:ascii="Arial" w:hAnsi="Arial" w:cs="Arial"/>
                <w:color w:val="000000"/>
                <w:lang w:eastAsia="en-IN"/>
              </w:rPr>
              <w:t>-ethyl</w:t>
            </w:r>
          </w:p>
        </w:tc>
        <w:tc>
          <w:tcPr>
            <w:tcW w:w="783" w:type="dxa"/>
            <w:tcBorders>
              <w:top w:val="nil"/>
              <w:left w:val="nil"/>
              <w:bottom w:val="nil"/>
              <w:right w:val="nil"/>
            </w:tcBorders>
            <w:shd w:val="clear" w:color="000000" w:fill="63BE7B"/>
            <w:noWrap/>
            <w:vAlign w:val="bottom"/>
            <w:hideMark/>
          </w:tcPr>
          <w:p w14:paraId="272E5C4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895B8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2CF0C6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C1B70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3B801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525D4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75C77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129E175" w14:textId="77777777" w:rsidTr="00B66BD9">
        <w:trPr>
          <w:trHeight w:val="260"/>
          <w:jc w:val="center"/>
        </w:trPr>
        <w:tc>
          <w:tcPr>
            <w:tcW w:w="2648" w:type="dxa"/>
            <w:tcBorders>
              <w:top w:val="nil"/>
              <w:left w:val="nil"/>
              <w:bottom w:val="nil"/>
              <w:right w:val="nil"/>
            </w:tcBorders>
            <w:noWrap/>
            <w:vAlign w:val="bottom"/>
            <w:hideMark/>
          </w:tcPr>
          <w:p w14:paraId="4BF46CF9" w14:textId="1A1A6C84"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Azinphos</w:t>
            </w:r>
            <w:proofErr w:type="spellEnd"/>
            <w:r w:rsidRPr="008E1FC4">
              <w:rPr>
                <w:rFonts w:ascii="Arial" w:hAnsi="Arial" w:cs="Arial"/>
                <w:color w:val="000000"/>
                <w:lang w:eastAsia="en-IN"/>
              </w:rPr>
              <w:t>-methyl</w:t>
            </w:r>
          </w:p>
        </w:tc>
        <w:tc>
          <w:tcPr>
            <w:tcW w:w="783" w:type="dxa"/>
            <w:tcBorders>
              <w:top w:val="nil"/>
              <w:left w:val="nil"/>
              <w:bottom w:val="nil"/>
              <w:right w:val="nil"/>
            </w:tcBorders>
            <w:shd w:val="clear" w:color="000000" w:fill="FFEF9C"/>
            <w:noWrap/>
            <w:vAlign w:val="bottom"/>
            <w:hideMark/>
          </w:tcPr>
          <w:p w14:paraId="7B055E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18188FF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015771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12A0E73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41D2F4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4FDE8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BBB72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22269971" w14:textId="77777777" w:rsidTr="00B66BD9">
        <w:trPr>
          <w:trHeight w:val="260"/>
          <w:jc w:val="center"/>
        </w:trPr>
        <w:tc>
          <w:tcPr>
            <w:tcW w:w="2648" w:type="dxa"/>
            <w:tcBorders>
              <w:top w:val="nil"/>
              <w:left w:val="nil"/>
              <w:bottom w:val="nil"/>
              <w:right w:val="nil"/>
            </w:tcBorders>
            <w:noWrap/>
            <w:vAlign w:val="bottom"/>
            <w:hideMark/>
          </w:tcPr>
          <w:p w14:paraId="4EBB2436"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Benfluralin</w:t>
            </w:r>
            <w:proofErr w:type="spellEnd"/>
          </w:p>
        </w:tc>
        <w:tc>
          <w:tcPr>
            <w:tcW w:w="783" w:type="dxa"/>
            <w:tcBorders>
              <w:top w:val="nil"/>
              <w:left w:val="nil"/>
              <w:bottom w:val="nil"/>
              <w:right w:val="nil"/>
            </w:tcBorders>
            <w:shd w:val="clear" w:color="000000" w:fill="FFEF9C"/>
            <w:noWrap/>
            <w:vAlign w:val="bottom"/>
            <w:hideMark/>
          </w:tcPr>
          <w:p w14:paraId="7C691C3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76D03D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C39F5A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691BC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FF06A2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526024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E327E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E4CEF24" w14:textId="77777777" w:rsidTr="00B66BD9">
        <w:trPr>
          <w:trHeight w:val="260"/>
          <w:jc w:val="center"/>
        </w:trPr>
        <w:tc>
          <w:tcPr>
            <w:tcW w:w="2648" w:type="dxa"/>
            <w:tcBorders>
              <w:top w:val="nil"/>
              <w:left w:val="nil"/>
              <w:bottom w:val="nil"/>
              <w:right w:val="nil"/>
            </w:tcBorders>
            <w:noWrap/>
            <w:vAlign w:val="bottom"/>
            <w:hideMark/>
          </w:tcPr>
          <w:p w14:paraId="3DD94E0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BHC-alpha</w:t>
            </w:r>
          </w:p>
        </w:tc>
        <w:tc>
          <w:tcPr>
            <w:tcW w:w="783" w:type="dxa"/>
            <w:tcBorders>
              <w:top w:val="nil"/>
              <w:left w:val="nil"/>
              <w:bottom w:val="nil"/>
              <w:right w:val="nil"/>
            </w:tcBorders>
            <w:shd w:val="clear" w:color="000000" w:fill="FFEF9C"/>
            <w:noWrap/>
            <w:vAlign w:val="bottom"/>
            <w:hideMark/>
          </w:tcPr>
          <w:p w14:paraId="549260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E9CE8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47FC61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4DE579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00D3E8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C9B52C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DC309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4EA8E1E" w14:textId="77777777" w:rsidTr="00B66BD9">
        <w:trPr>
          <w:trHeight w:val="260"/>
          <w:jc w:val="center"/>
        </w:trPr>
        <w:tc>
          <w:tcPr>
            <w:tcW w:w="2648" w:type="dxa"/>
            <w:tcBorders>
              <w:top w:val="nil"/>
              <w:left w:val="nil"/>
              <w:bottom w:val="nil"/>
              <w:right w:val="nil"/>
            </w:tcBorders>
            <w:noWrap/>
            <w:vAlign w:val="bottom"/>
            <w:hideMark/>
          </w:tcPr>
          <w:p w14:paraId="787F046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BHC-beta</w:t>
            </w:r>
          </w:p>
        </w:tc>
        <w:tc>
          <w:tcPr>
            <w:tcW w:w="783" w:type="dxa"/>
            <w:tcBorders>
              <w:top w:val="nil"/>
              <w:left w:val="nil"/>
              <w:bottom w:val="nil"/>
              <w:right w:val="nil"/>
            </w:tcBorders>
            <w:shd w:val="clear" w:color="000000" w:fill="63BE7B"/>
            <w:noWrap/>
            <w:vAlign w:val="bottom"/>
            <w:hideMark/>
          </w:tcPr>
          <w:p w14:paraId="3BD9CD5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DA6A9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6DB688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0E9CE1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3393B4E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48F2B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371843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4B74D3F" w14:textId="77777777" w:rsidTr="00B66BD9">
        <w:trPr>
          <w:trHeight w:val="260"/>
          <w:jc w:val="center"/>
        </w:trPr>
        <w:tc>
          <w:tcPr>
            <w:tcW w:w="2648" w:type="dxa"/>
            <w:tcBorders>
              <w:top w:val="nil"/>
              <w:left w:val="nil"/>
              <w:bottom w:val="nil"/>
              <w:right w:val="nil"/>
            </w:tcBorders>
            <w:noWrap/>
            <w:vAlign w:val="bottom"/>
            <w:hideMark/>
          </w:tcPr>
          <w:p w14:paraId="655B081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BHC-delta</w:t>
            </w:r>
          </w:p>
        </w:tc>
        <w:tc>
          <w:tcPr>
            <w:tcW w:w="783" w:type="dxa"/>
            <w:tcBorders>
              <w:top w:val="nil"/>
              <w:left w:val="nil"/>
              <w:bottom w:val="nil"/>
              <w:right w:val="nil"/>
            </w:tcBorders>
            <w:shd w:val="clear" w:color="000000" w:fill="63BE7B"/>
            <w:noWrap/>
            <w:vAlign w:val="bottom"/>
            <w:hideMark/>
          </w:tcPr>
          <w:p w14:paraId="70512E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579372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646DB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767ED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8FBD3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4FF149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6A5764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D564F6E" w14:textId="77777777" w:rsidTr="00B66BD9">
        <w:trPr>
          <w:trHeight w:val="260"/>
          <w:jc w:val="center"/>
        </w:trPr>
        <w:tc>
          <w:tcPr>
            <w:tcW w:w="2648" w:type="dxa"/>
            <w:tcBorders>
              <w:top w:val="nil"/>
              <w:left w:val="nil"/>
              <w:bottom w:val="nil"/>
              <w:right w:val="nil"/>
            </w:tcBorders>
            <w:noWrap/>
            <w:vAlign w:val="bottom"/>
            <w:hideMark/>
          </w:tcPr>
          <w:p w14:paraId="471B406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BHC-gamma-(Lindane)</w:t>
            </w:r>
          </w:p>
        </w:tc>
        <w:tc>
          <w:tcPr>
            <w:tcW w:w="783" w:type="dxa"/>
            <w:tcBorders>
              <w:top w:val="nil"/>
              <w:left w:val="nil"/>
              <w:bottom w:val="nil"/>
              <w:right w:val="nil"/>
            </w:tcBorders>
            <w:shd w:val="clear" w:color="000000" w:fill="FFEF9C"/>
            <w:noWrap/>
            <w:vAlign w:val="bottom"/>
            <w:hideMark/>
          </w:tcPr>
          <w:p w14:paraId="7B838D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0E8D8B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FCF156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46744B2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67535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99BBAE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65DF39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6ED8EB6F" w14:textId="77777777" w:rsidTr="00B66BD9">
        <w:trPr>
          <w:trHeight w:val="260"/>
          <w:jc w:val="center"/>
        </w:trPr>
        <w:tc>
          <w:tcPr>
            <w:tcW w:w="2648" w:type="dxa"/>
            <w:tcBorders>
              <w:top w:val="nil"/>
              <w:left w:val="nil"/>
              <w:bottom w:val="nil"/>
              <w:right w:val="nil"/>
            </w:tcBorders>
            <w:noWrap/>
            <w:vAlign w:val="bottom"/>
            <w:hideMark/>
          </w:tcPr>
          <w:p w14:paraId="0332009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Bifenthrin</w:t>
            </w:r>
          </w:p>
        </w:tc>
        <w:tc>
          <w:tcPr>
            <w:tcW w:w="783" w:type="dxa"/>
            <w:tcBorders>
              <w:top w:val="nil"/>
              <w:left w:val="nil"/>
              <w:bottom w:val="nil"/>
              <w:right w:val="nil"/>
            </w:tcBorders>
            <w:shd w:val="clear" w:color="000000" w:fill="63BE7B"/>
            <w:noWrap/>
            <w:vAlign w:val="bottom"/>
            <w:hideMark/>
          </w:tcPr>
          <w:p w14:paraId="304C40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84E4ED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F3430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02DE6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BFDC3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1405B4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CFADC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7D7AC262" w14:textId="77777777" w:rsidTr="00B66BD9">
        <w:trPr>
          <w:trHeight w:val="260"/>
          <w:jc w:val="center"/>
        </w:trPr>
        <w:tc>
          <w:tcPr>
            <w:tcW w:w="2648" w:type="dxa"/>
            <w:tcBorders>
              <w:top w:val="nil"/>
              <w:left w:val="nil"/>
              <w:bottom w:val="nil"/>
              <w:right w:val="nil"/>
            </w:tcBorders>
            <w:noWrap/>
            <w:vAlign w:val="bottom"/>
            <w:hideMark/>
          </w:tcPr>
          <w:p w14:paraId="12CD0653"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Bromfenvinphos</w:t>
            </w:r>
            <w:proofErr w:type="spellEnd"/>
          </w:p>
        </w:tc>
        <w:tc>
          <w:tcPr>
            <w:tcW w:w="783" w:type="dxa"/>
            <w:tcBorders>
              <w:top w:val="nil"/>
              <w:left w:val="nil"/>
              <w:bottom w:val="nil"/>
              <w:right w:val="nil"/>
            </w:tcBorders>
            <w:shd w:val="clear" w:color="000000" w:fill="FFEF9C"/>
            <w:noWrap/>
            <w:vAlign w:val="bottom"/>
            <w:hideMark/>
          </w:tcPr>
          <w:p w14:paraId="5E78618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B41C3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4FF32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D3206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4339145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FCF2B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9B9F1B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1D583616" w14:textId="77777777" w:rsidTr="00B66BD9">
        <w:trPr>
          <w:trHeight w:val="260"/>
          <w:jc w:val="center"/>
        </w:trPr>
        <w:tc>
          <w:tcPr>
            <w:tcW w:w="2648" w:type="dxa"/>
            <w:tcBorders>
              <w:top w:val="nil"/>
              <w:left w:val="nil"/>
              <w:bottom w:val="nil"/>
              <w:right w:val="nil"/>
            </w:tcBorders>
            <w:noWrap/>
            <w:vAlign w:val="bottom"/>
            <w:hideMark/>
          </w:tcPr>
          <w:p w14:paraId="69801FB0"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Bromophos</w:t>
            </w:r>
            <w:proofErr w:type="spellEnd"/>
          </w:p>
        </w:tc>
        <w:tc>
          <w:tcPr>
            <w:tcW w:w="783" w:type="dxa"/>
            <w:tcBorders>
              <w:top w:val="nil"/>
              <w:left w:val="nil"/>
              <w:bottom w:val="nil"/>
              <w:right w:val="nil"/>
            </w:tcBorders>
            <w:shd w:val="clear" w:color="000000" w:fill="FFEF9C"/>
            <w:noWrap/>
            <w:vAlign w:val="bottom"/>
            <w:hideMark/>
          </w:tcPr>
          <w:p w14:paraId="734C86F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9E29E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5E2B1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4BC7EC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E597C2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19FBC8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B57AB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E4E5673" w14:textId="77777777" w:rsidTr="00B66BD9">
        <w:trPr>
          <w:trHeight w:val="260"/>
          <w:jc w:val="center"/>
        </w:trPr>
        <w:tc>
          <w:tcPr>
            <w:tcW w:w="2648" w:type="dxa"/>
            <w:tcBorders>
              <w:top w:val="nil"/>
              <w:left w:val="nil"/>
              <w:bottom w:val="nil"/>
              <w:right w:val="nil"/>
            </w:tcBorders>
            <w:noWrap/>
            <w:vAlign w:val="bottom"/>
            <w:hideMark/>
          </w:tcPr>
          <w:p w14:paraId="5C1FBA8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Bupirimate</w:t>
            </w:r>
          </w:p>
        </w:tc>
        <w:tc>
          <w:tcPr>
            <w:tcW w:w="783" w:type="dxa"/>
            <w:tcBorders>
              <w:top w:val="nil"/>
              <w:left w:val="nil"/>
              <w:bottom w:val="nil"/>
              <w:right w:val="nil"/>
            </w:tcBorders>
            <w:shd w:val="clear" w:color="000000" w:fill="63BE7B"/>
            <w:noWrap/>
            <w:vAlign w:val="bottom"/>
            <w:hideMark/>
          </w:tcPr>
          <w:p w14:paraId="484424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792945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F629D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54590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8D244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5A624E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1E236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38B61D1" w14:textId="77777777" w:rsidTr="00B66BD9">
        <w:trPr>
          <w:trHeight w:val="260"/>
          <w:jc w:val="center"/>
        </w:trPr>
        <w:tc>
          <w:tcPr>
            <w:tcW w:w="2648" w:type="dxa"/>
            <w:tcBorders>
              <w:top w:val="nil"/>
              <w:left w:val="nil"/>
              <w:bottom w:val="nil"/>
              <w:right w:val="nil"/>
            </w:tcBorders>
            <w:noWrap/>
            <w:vAlign w:val="bottom"/>
            <w:hideMark/>
          </w:tcPr>
          <w:p w14:paraId="5E5760BA"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Carbophenothion</w:t>
            </w:r>
            <w:proofErr w:type="spellEnd"/>
          </w:p>
        </w:tc>
        <w:tc>
          <w:tcPr>
            <w:tcW w:w="783" w:type="dxa"/>
            <w:tcBorders>
              <w:top w:val="nil"/>
              <w:left w:val="nil"/>
              <w:bottom w:val="nil"/>
              <w:right w:val="nil"/>
            </w:tcBorders>
            <w:shd w:val="clear" w:color="000000" w:fill="63BE7B"/>
            <w:noWrap/>
            <w:vAlign w:val="bottom"/>
            <w:hideMark/>
          </w:tcPr>
          <w:p w14:paraId="5926AF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C253CC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B9A212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2F75E4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46E823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5295AD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32BD4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5044FE3" w14:textId="77777777" w:rsidTr="00B66BD9">
        <w:trPr>
          <w:trHeight w:val="260"/>
          <w:jc w:val="center"/>
        </w:trPr>
        <w:tc>
          <w:tcPr>
            <w:tcW w:w="2648" w:type="dxa"/>
            <w:tcBorders>
              <w:top w:val="nil"/>
              <w:left w:val="nil"/>
              <w:bottom w:val="nil"/>
              <w:right w:val="nil"/>
            </w:tcBorders>
            <w:noWrap/>
            <w:vAlign w:val="bottom"/>
            <w:hideMark/>
          </w:tcPr>
          <w:p w14:paraId="25346EC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Chlorbenside</w:t>
            </w:r>
          </w:p>
        </w:tc>
        <w:tc>
          <w:tcPr>
            <w:tcW w:w="783" w:type="dxa"/>
            <w:tcBorders>
              <w:top w:val="nil"/>
              <w:left w:val="nil"/>
              <w:bottom w:val="nil"/>
              <w:right w:val="nil"/>
            </w:tcBorders>
            <w:shd w:val="clear" w:color="000000" w:fill="63BE7B"/>
            <w:noWrap/>
            <w:vAlign w:val="bottom"/>
            <w:hideMark/>
          </w:tcPr>
          <w:p w14:paraId="6789EE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1909A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37177A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30800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4FDCAF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7608F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E77625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D2BA45E" w14:textId="77777777" w:rsidTr="00B66BD9">
        <w:trPr>
          <w:trHeight w:val="260"/>
          <w:jc w:val="center"/>
        </w:trPr>
        <w:tc>
          <w:tcPr>
            <w:tcW w:w="2648" w:type="dxa"/>
            <w:tcBorders>
              <w:top w:val="nil"/>
              <w:left w:val="nil"/>
              <w:bottom w:val="nil"/>
              <w:right w:val="nil"/>
            </w:tcBorders>
            <w:noWrap/>
            <w:vAlign w:val="bottom"/>
            <w:hideMark/>
          </w:tcPr>
          <w:p w14:paraId="21799EB8" w14:textId="02C1B3D6"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Chlordane-cis</w:t>
            </w:r>
          </w:p>
        </w:tc>
        <w:tc>
          <w:tcPr>
            <w:tcW w:w="783" w:type="dxa"/>
            <w:tcBorders>
              <w:top w:val="nil"/>
              <w:left w:val="nil"/>
              <w:bottom w:val="nil"/>
              <w:right w:val="nil"/>
            </w:tcBorders>
            <w:shd w:val="clear" w:color="000000" w:fill="63BE7B"/>
            <w:noWrap/>
            <w:vAlign w:val="bottom"/>
            <w:hideMark/>
          </w:tcPr>
          <w:p w14:paraId="51CAB7D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68FC43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0B816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140E8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2218A7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BC9F4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DB6140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34DA8C92" w14:textId="77777777" w:rsidTr="00B66BD9">
        <w:trPr>
          <w:trHeight w:val="260"/>
          <w:jc w:val="center"/>
        </w:trPr>
        <w:tc>
          <w:tcPr>
            <w:tcW w:w="2648" w:type="dxa"/>
            <w:tcBorders>
              <w:top w:val="nil"/>
              <w:left w:val="nil"/>
              <w:bottom w:val="nil"/>
              <w:right w:val="nil"/>
            </w:tcBorders>
            <w:noWrap/>
            <w:vAlign w:val="bottom"/>
            <w:hideMark/>
          </w:tcPr>
          <w:p w14:paraId="5E4D70B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Chlordane-trans</w:t>
            </w:r>
          </w:p>
        </w:tc>
        <w:tc>
          <w:tcPr>
            <w:tcW w:w="783" w:type="dxa"/>
            <w:tcBorders>
              <w:top w:val="nil"/>
              <w:left w:val="nil"/>
              <w:bottom w:val="nil"/>
              <w:right w:val="nil"/>
            </w:tcBorders>
            <w:shd w:val="clear" w:color="000000" w:fill="63BE7B"/>
            <w:noWrap/>
            <w:vAlign w:val="bottom"/>
            <w:hideMark/>
          </w:tcPr>
          <w:p w14:paraId="5BEA93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135A9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2B8F36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C5FA56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C59C7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7B3E944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ACA7A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00DD985" w14:textId="77777777" w:rsidTr="00B66BD9">
        <w:trPr>
          <w:trHeight w:val="260"/>
          <w:jc w:val="center"/>
        </w:trPr>
        <w:tc>
          <w:tcPr>
            <w:tcW w:w="2648" w:type="dxa"/>
            <w:tcBorders>
              <w:top w:val="nil"/>
              <w:left w:val="nil"/>
              <w:bottom w:val="nil"/>
              <w:right w:val="nil"/>
            </w:tcBorders>
            <w:noWrap/>
            <w:vAlign w:val="bottom"/>
            <w:hideMark/>
          </w:tcPr>
          <w:p w14:paraId="3F4F98E7"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Chlorfenapyr</w:t>
            </w:r>
            <w:proofErr w:type="spellEnd"/>
          </w:p>
        </w:tc>
        <w:tc>
          <w:tcPr>
            <w:tcW w:w="783" w:type="dxa"/>
            <w:tcBorders>
              <w:top w:val="nil"/>
              <w:left w:val="nil"/>
              <w:bottom w:val="nil"/>
              <w:right w:val="nil"/>
            </w:tcBorders>
            <w:shd w:val="clear" w:color="000000" w:fill="63BE7B"/>
            <w:noWrap/>
            <w:vAlign w:val="bottom"/>
            <w:hideMark/>
          </w:tcPr>
          <w:p w14:paraId="6BA9A3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6024B9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11A6B7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D99BA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D8EEDC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F44E4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0EBC5B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C629C23" w14:textId="77777777" w:rsidTr="00B66BD9">
        <w:trPr>
          <w:trHeight w:val="260"/>
          <w:jc w:val="center"/>
        </w:trPr>
        <w:tc>
          <w:tcPr>
            <w:tcW w:w="2648" w:type="dxa"/>
            <w:tcBorders>
              <w:top w:val="nil"/>
              <w:left w:val="nil"/>
              <w:bottom w:val="nil"/>
              <w:right w:val="nil"/>
            </w:tcBorders>
            <w:noWrap/>
            <w:vAlign w:val="bottom"/>
            <w:hideMark/>
          </w:tcPr>
          <w:p w14:paraId="5E5EB8CE"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Chlorfenson</w:t>
            </w:r>
            <w:proofErr w:type="spellEnd"/>
          </w:p>
        </w:tc>
        <w:tc>
          <w:tcPr>
            <w:tcW w:w="783" w:type="dxa"/>
            <w:tcBorders>
              <w:top w:val="nil"/>
              <w:left w:val="nil"/>
              <w:bottom w:val="nil"/>
              <w:right w:val="nil"/>
            </w:tcBorders>
            <w:shd w:val="clear" w:color="000000" w:fill="FFEF9C"/>
            <w:noWrap/>
            <w:vAlign w:val="bottom"/>
            <w:hideMark/>
          </w:tcPr>
          <w:p w14:paraId="72E495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635C7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1820DB5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3F8C62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7B4D2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3EF619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246421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1D07CFDB" w14:textId="77777777" w:rsidTr="00B66BD9">
        <w:trPr>
          <w:trHeight w:val="260"/>
          <w:jc w:val="center"/>
        </w:trPr>
        <w:tc>
          <w:tcPr>
            <w:tcW w:w="2648" w:type="dxa"/>
            <w:tcBorders>
              <w:top w:val="nil"/>
              <w:left w:val="nil"/>
              <w:bottom w:val="nil"/>
              <w:right w:val="nil"/>
            </w:tcBorders>
            <w:noWrap/>
            <w:vAlign w:val="bottom"/>
            <w:hideMark/>
          </w:tcPr>
          <w:p w14:paraId="4E0CC980" w14:textId="5C1CCED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Chlorfenvinphos</w:t>
            </w:r>
            <w:proofErr w:type="spellEnd"/>
          </w:p>
        </w:tc>
        <w:tc>
          <w:tcPr>
            <w:tcW w:w="783" w:type="dxa"/>
            <w:tcBorders>
              <w:top w:val="nil"/>
              <w:left w:val="nil"/>
              <w:bottom w:val="nil"/>
              <w:right w:val="nil"/>
            </w:tcBorders>
            <w:shd w:val="clear" w:color="000000" w:fill="63BE7B"/>
            <w:noWrap/>
            <w:vAlign w:val="bottom"/>
            <w:hideMark/>
          </w:tcPr>
          <w:p w14:paraId="5B9B1BB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8837B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723AC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E919D3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349BA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E87609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A9123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04DDA9DE" w14:textId="77777777" w:rsidTr="00B66BD9">
        <w:trPr>
          <w:trHeight w:val="260"/>
          <w:jc w:val="center"/>
        </w:trPr>
        <w:tc>
          <w:tcPr>
            <w:tcW w:w="2648" w:type="dxa"/>
            <w:tcBorders>
              <w:top w:val="nil"/>
              <w:left w:val="nil"/>
              <w:bottom w:val="nil"/>
              <w:right w:val="nil"/>
            </w:tcBorders>
            <w:noWrap/>
            <w:vAlign w:val="bottom"/>
            <w:hideMark/>
          </w:tcPr>
          <w:p w14:paraId="4FBDC931"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Chlorobenzilate</w:t>
            </w:r>
            <w:proofErr w:type="spellEnd"/>
          </w:p>
        </w:tc>
        <w:tc>
          <w:tcPr>
            <w:tcW w:w="783" w:type="dxa"/>
            <w:tcBorders>
              <w:top w:val="nil"/>
              <w:left w:val="nil"/>
              <w:bottom w:val="nil"/>
              <w:right w:val="nil"/>
            </w:tcBorders>
            <w:shd w:val="clear" w:color="000000" w:fill="FFEF9C"/>
            <w:noWrap/>
            <w:vAlign w:val="bottom"/>
            <w:hideMark/>
          </w:tcPr>
          <w:p w14:paraId="3EDC455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235C69E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B579A3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AC3D4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5BDCA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D1E34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AD0BC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1336CA15" w14:textId="77777777" w:rsidTr="00B66BD9">
        <w:trPr>
          <w:trHeight w:val="260"/>
          <w:jc w:val="center"/>
        </w:trPr>
        <w:tc>
          <w:tcPr>
            <w:tcW w:w="2648" w:type="dxa"/>
            <w:tcBorders>
              <w:top w:val="nil"/>
              <w:left w:val="nil"/>
              <w:bottom w:val="nil"/>
              <w:right w:val="nil"/>
            </w:tcBorders>
            <w:noWrap/>
            <w:vAlign w:val="bottom"/>
            <w:hideMark/>
          </w:tcPr>
          <w:p w14:paraId="46CA51CF"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Chlorothalonil</w:t>
            </w:r>
          </w:p>
        </w:tc>
        <w:tc>
          <w:tcPr>
            <w:tcW w:w="783" w:type="dxa"/>
            <w:tcBorders>
              <w:top w:val="nil"/>
              <w:left w:val="nil"/>
              <w:bottom w:val="nil"/>
              <w:right w:val="nil"/>
            </w:tcBorders>
            <w:shd w:val="clear" w:color="000000" w:fill="63BE7B"/>
            <w:noWrap/>
            <w:vAlign w:val="bottom"/>
            <w:hideMark/>
          </w:tcPr>
          <w:p w14:paraId="5AB159D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60CFD5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03EBE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2232D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A8634C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49A2C90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507B1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AD1D248" w14:textId="77777777" w:rsidTr="00B66BD9">
        <w:trPr>
          <w:trHeight w:val="260"/>
          <w:jc w:val="center"/>
        </w:trPr>
        <w:tc>
          <w:tcPr>
            <w:tcW w:w="2648" w:type="dxa"/>
            <w:tcBorders>
              <w:top w:val="nil"/>
              <w:left w:val="nil"/>
              <w:bottom w:val="nil"/>
              <w:right w:val="nil"/>
            </w:tcBorders>
            <w:noWrap/>
            <w:vAlign w:val="bottom"/>
            <w:hideMark/>
          </w:tcPr>
          <w:p w14:paraId="37F33184" w14:textId="5837ED7E"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Chlorpyrifos</w:t>
            </w:r>
          </w:p>
        </w:tc>
        <w:tc>
          <w:tcPr>
            <w:tcW w:w="783" w:type="dxa"/>
            <w:tcBorders>
              <w:top w:val="nil"/>
              <w:left w:val="nil"/>
              <w:bottom w:val="nil"/>
              <w:right w:val="nil"/>
            </w:tcBorders>
            <w:shd w:val="clear" w:color="000000" w:fill="FFEF9C"/>
            <w:noWrap/>
            <w:vAlign w:val="bottom"/>
            <w:hideMark/>
          </w:tcPr>
          <w:p w14:paraId="07BF5D0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360F21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4933612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323BD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D2A0CF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140AA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8CAE5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4DA55A6" w14:textId="77777777" w:rsidTr="00B66BD9">
        <w:trPr>
          <w:trHeight w:val="260"/>
          <w:jc w:val="center"/>
        </w:trPr>
        <w:tc>
          <w:tcPr>
            <w:tcW w:w="2648" w:type="dxa"/>
            <w:tcBorders>
              <w:top w:val="nil"/>
              <w:left w:val="nil"/>
              <w:bottom w:val="nil"/>
              <w:right w:val="nil"/>
            </w:tcBorders>
            <w:noWrap/>
            <w:vAlign w:val="bottom"/>
            <w:hideMark/>
          </w:tcPr>
          <w:p w14:paraId="5E7CFC0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Chlorpyrifos-methyl</w:t>
            </w:r>
          </w:p>
        </w:tc>
        <w:tc>
          <w:tcPr>
            <w:tcW w:w="783" w:type="dxa"/>
            <w:tcBorders>
              <w:top w:val="nil"/>
              <w:left w:val="nil"/>
              <w:bottom w:val="nil"/>
              <w:right w:val="nil"/>
            </w:tcBorders>
            <w:shd w:val="clear" w:color="000000" w:fill="63BE7B"/>
            <w:noWrap/>
            <w:vAlign w:val="bottom"/>
            <w:hideMark/>
          </w:tcPr>
          <w:p w14:paraId="7BDCA9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B56C66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B0583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D8FE7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49EF01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06DF94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5FFE3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4F0AC319" w14:textId="77777777" w:rsidTr="00B66BD9">
        <w:trPr>
          <w:trHeight w:val="260"/>
          <w:jc w:val="center"/>
        </w:trPr>
        <w:tc>
          <w:tcPr>
            <w:tcW w:w="2648" w:type="dxa"/>
            <w:tcBorders>
              <w:top w:val="nil"/>
              <w:left w:val="nil"/>
              <w:bottom w:val="nil"/>
              <w:right w:val="nil"/>
            </w:tcBorders>
            <w:noWrap/>
            <w:vAlign w:val="bottom"/>
            <w:hideMark/>
          </w:tcPr>
          <w:p w14:paraId="57149AF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Chlorthiophos-1</w:t>
            </w:r>
          </w:p>
        </w:tc>
        <w:tc>
          <w:tcPr>
            <w:tcW w:w="783" w:type="dxa"/>
            <w:tcBorders>
              <w:top w:val="nil"/>
              <w:left w:val="nil"/>
              <w:bottom w:val="nil"/>
              <w:right w:val="nil"/>
            </w:tcBorders>
            <w:shd w:val="clear" w:color="000000" w:fill="FFEF9C"/>
            <w:noWrap/>
            <w:vAlign w:val="bottom"/>
            <w:hideMark/>
          </w:tcPr>
          <w:p w14:paraId="4C8AEC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089ADA2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7AF8A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4712C2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64B83C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AF3BE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3E1F8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8B35D4B" w14:textId="77777777" w:rsidTr="00B66BD9">
        <w:trPr>
          <w:trHeight w:val="260"/>
          <w:jc w:val="center"/>
        </w:trPr>
        <w:tc>
          <w:tcPr>
            <w:tcW w:w="2648" w:type="dxa"/>
            <w:tcBorders>
              <w:top w:val="nil"/>
              <w:left w:val="nil"/>
              <w:bottom w:val="nil"/>
              <w:right w:val="nil"/>
            </w:tcBorders>
            <w:noWrap/>
            <w:vAlign w:val="bottom"/>
            <w:hideMark/>
          </w:tcPr>
          <w:p w14:paraId="6AEB74C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Chlorthiophos-2</w:t>
            </w:r>
          </w:p>
        </w:tc>
        <w:tc>
          <w:tcPr>
            <w:tcW w:w="783" w:type="dxa"/>
            <w:tcBorders>
              <w:top w:val="nil"/>
              <w:left w:val="nil"/>
              <w:bottom w:val="nil"/>
              <w:right w:val="nil"/>
            </w:tcBorders>
            <w:shd w:val="clear" w:color="000000" w:fill="FFEF9C"/>
            <w:noWrap/>
            <w:vAlign w:val="bottom"/>
            <w:hideMark/>
          </w:tcPr>
          <w:p w14:paraId="65EC5A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37458C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21E08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52FBB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32F2F9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4426E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39DD2F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11C5580A" w14:textId="77777777" w:rsidTr="00B66BD9">
        <w:trPr>
          <w:trHeight w:val="260"/>
          <w:jc w:val="center"/>
        </w:trPr>
        <w:tc>
          <w:tcPr>
            <w:tcW w:w="2648" w:type="dxa"/>
            <w:tcBorders>
              <w:top w:val="nil"/>
              <w:left w:val="nil"/>
              <w:bottom w:val="nil"/>
              <w:right w:val="nil"/>
            </w:tcBorders>
            <w:noWrap/>
            <w:vAlign w:val="bottom"/>
            <w:hideMark/>
          </w:tcPr>
          <w:p w14:paraId="540EE0FC"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Chlorthiophos-3</w:t>
            </w:r>
          </w:p>
        </w:tc>
        <w:tc>
          <w:tcPr>
            <w:tcW w:w="783" w:type="dxa"/>
            <w:tcBorders>
              <w:top w:val="nil"/>
              <w:left w:val="nil"/>
              <w:bottom w:val="nil"/>
              <w:right w:val="nil"/>
            </w:tcBorders>
            <w:shd w:val="clear" w:color="000000" w:fill="63BE7B"/>
            <w:noWrap/>
            <w:vAlign w:val="bottom"/>
            <w:hideMark/>
          </w:tcPr>
          <w:p w14:paraId="59D9FC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1AA9B2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B3E8E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9EC331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570B45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FC2AC1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A51DE2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4BA0C221" w14:textId="77777777" w:rsidTr="00B66BD9">
        <w:trPr>
          <w:trHeight w:val="260"/>
          <w:jc w:val="center"/>
        </w:trPr>
        <w:tc>
          <w:tcPr>
            <w:tcW w:w="2648" w:type="dxa"/>
            <w:tcBorders>
              <w:top w:val="nil"/>
              <w:left w:val="nil"/>
              <w:bottom w:val="nil"/>
              <w:right w:val="nil"/>
            </w:tcBorders>
            <w:noWrap/>
            <w:vAlign w:val="bottom"/>
            <w:hideMark/>
          </w:tcPr>
          <w:p w14:paraId="5ACF3C7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Clomazone</w:t>
            </w:r>
          </w:p>
        </w:tc>
        <w:tc>
          <w:tcPr>
            <w:tcW w:w="783" w:type="dxa"/>
            <w:tcBorders>
              <w:top w:val="nil"/>
              <w:left w:val="nil"/>
              <w:bottom w:val="nil"/>
              <w:right w:val="nil"/>
            </w:tcBorders>
            <w:shd w:val="clear" w:color="000000" w:fill="FFEF9C"/>
            <w:noWrap/>
            <w:vAlign w:val="bottom"/>
            <w:hideMark/>
          </w:tcPr>
          <w:p w14:paraId="5B5084D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3B0508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4B23A2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3111F22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88410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D6F21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B7110D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A37E66D" w14:textId="77777777" w:rsidTr="00B66BD9">
        <w:trPr>
          <w:trHeight w:val="260"/>
          <w:jc w:val="center"/>
        </w:trPr>
        <w:tc>
          <w:tcPr>
            <w:tcW w:w="2648" w:type="dxa"/>
            <w:tcBorders>
              <w:top w:val="nil"/>
              <w:left w:val="nil"/>
              <w:bottom w:val="nil"/>
              <w:right w:val="nil"/>
            </w:tcBorders>
            <w:noWrap/>
            <w:vAlign w:val="bottom"/>
            <w:hideMark/>
          </w:tcPr>
          <w:p w14:paraId="71444FA4"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Cycloate</w:t>
            </w:r>
            <w:proofErr w:type="spellEnd"/>
          </w:p>
        </w:tc>
        <w:tc>
          <w:tcPr>
            <w:tcW w:w="783" w:type="dxa"/>
            <w:tcBorders>
              <w:top w:val="nil"/>
              <w:left w:val="nil"/>
              <w:bottom w:val="nil"/>
              <w:right w:val="nil"/>
            </w:tcBorders>
            <w:shd w:val="clear" w:color="000000" w:fill="FFEF9C"/>
            <w:noWrap/>
            <w:vAlign w:val="bottom"/>
            <w:hideMark/>
          </w:tcPr>
          <w:p w14:paraId="64B036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731141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10DC232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83E3C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690D7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D9D458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58213A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12F8B05" w14:textId="77777777" w:rsidTr="00B66BD9">
        <w:trPr>
          <w:trHeight w:val="260"/>
          <w:jc w:val="center"/>
        </w:trPr>
        <w:tc>
          <w:tcPr>
            <w:tcW w:w="2648" w:type="dxa"/>
            <w:tcBorders>
              <w:top w:val="nil"/>
              <w:left w:val="nil"/>
              <w:bottom w:val="nil"/>
              <w:right w:val="nil"/>
            </w:tcBorders>
            <w:noWrap/>
            <w:vAlign w:val="bottom"/>
            <w:hideMark/>
          </w:tcPr>
          <w:p w14:paraId="3D8F9C65" w14:textId="749ECE04"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Cyfluthrin-1</w:t>
            </w:r>
          </w:p>
        </w:tc>
        <w:tc>
          <w:tcPr>
            <w:tcW w:w="783" w:type="dxa"/>
            <w:tcBorders>
              <w:top w:val="nil"/>
              <w:left w:val="nil"/>
              <w:bottom w:val="nil"/>
              <w:right w:val="nil"/>
            </w:tcBorders>
            <w:shd w:val="clear" w:color="000000" w:fill="FFEF9C"/>
            <w:noWrap/>
            <w:vAlign w:val="bottom"/>
            <w:hideMark/>
          </w:tcPr>
          <w:p w14:paraId="496F9C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9CF900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AD545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32D305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48353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D3884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C2F64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2A3A3DF3" w14:textId="77777777" w:rsidTr="00B66BD9">
        <w:trPr>
          <w:trHeight w:val="260"/>
          <w:jc w:val="center"/>
        </w:trPr>
        <w:tc>
          <w:tcPr>
            <w:tcW w:w="2648" w:type="dxa"/>
            <w:tcBorders>
              <w:top w:val="nil"/>
              <w:left w:val="nil"/>
              <w:bottom w:val="nil"/>
              <w:right w:val="nil"/>
            </w:tcBorders>
            <w:noWrap/>
            <w:vAlign w:val="bottom"/>
            <w:hideMark/>
          </w:tcPr>
          <w:p w14:paraId="77F516B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Cyfluthrin-2</w:t>
            </w:r>
          </w:p>
        </w:tc>
        <w:tc>
          <w:tcPr>
            <w:tcW w:w="783" w:type="dxa"/>
            <w:tcBorders>
              <w:top w:val="nil"/>
              <w:left w:val="nil"/>
              <w:bottom w:val="nil"/>
              <w:right w:val="nil"/>
            </w:tcBorders>
            <w:shd w:val="clear" w:color="000000" w:fill="FFEF9C"/>
            <w:noWrap/>
            <w:vAlign w:val="bottom"/>
            <w:hideMark/>
          </w:tcPr>
          <w:p w14:paraId="1074FA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2AA2F9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5F1D19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290328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9321C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28440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6A81B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40C8B52F" w14:textId="77777777" w:rsidTr="00B66BD9">
        <w:trPr>
          <w:trHeight w:val="260"/>
          <w:jc w:val="center"/>
        </w:trPr>
        <w:tc>
          <w:tcPr>
            <w:tcW w:w="2648" w:type="dxa"/>
            <w:tcBorders>
              <w:top w:val="nil"/>
              <w:left w:val="nil"/>
              <w:bottom w:val="nil"/>
              <w:right w:val="nil"/>
            </w:tcBorders>
            <w:noWrap/>
            <w:vAlign w:val="bottom"/>
            <w:hideMark/>
          </w:tcPr>
          <w:p w14:paraId="17674A0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Cyfluthrin-3</w:t>
            </w:r>
          </w:p>
        </w:tc>
        <w:tc>
          <w:tcPr>
            <w:tcW w:w="783" w:type="dxa"/>
            <w:tcBorders>
              <w:top w:val="nil"/>
              <w:left w:val="nil"/>
              <w:bottom w:val="nil"/>
              <w:right w:val="nil"/>
            </w:tcBorders>
            <w:shd w:val="clear" w:color="000000" w:fill="FFEF9C"/>
            <w:noWrap/>
            <w:vAlign w:val="bottom"/>
            <w:hideMark/>
          </w:tcPr>
          <w:p w14:paraId="7090A6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840CA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68A92E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3D649D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7F8FB5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5CE81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E5D6A6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684ECB6A" w14:textId="77777777" w:rsidTr="00B66BD9">
        <w:trPr>
          <w:trHeight w:val="260"/>
          <w:jc w:val="center"/>
        </w:trPr>
        <w:tc>
          <w:tcPr>
            <w:tcW w:w="2648" w:type="dxa"/>
            <w:tcBorders>
              <w:top w:val="nil"/>
              <w:left w:val="nil"/>
              <w:bottom w:val="nil"/>
              <w:right w:val="nil"/>
            </w:tcBorders>
            <w:noWrap/>
            <w:vAlign w:val="bottom"/>
            <w:hideMark/>
          </w:tcPr>
          <w:p w14:paraId="6EDBA0E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Cyfluthrin-4</w:t>
            </w:r>
          </w:p>
        </w:tc>
        <w:tc>
          <w:tcPr>
            <w:tcW w:w="783" w:type="dxa"/>
            <w:tcBorders>
              <w:top w:val="nil"/>
              <w:left w:val="nil"/>
              <w:bottom w:val="nil"/>
              <w:right w:val="nil"/>
            </w:tcBorders>
            <w:shd w:val="clear" w:color="000000" w:fill="FFEF9C"/>
            <w:noWrap/>
            <w:vAlign w:val="bottom"/>
            <w:hideMark/>
          </w:tcPr>
          <w:p w14:paraId="7AB83C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8EFDD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4FE2B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55D8D4C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A679E2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42AF90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FA1ABF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69306018" w14:textId="77777777" w:rsidTr="00B66BD9">
        <w:trPr>
          <w:trHeight w:val="260"/>
          <w:jc w:val="center"/>
        </w:trPr>
        <w:tc>
          <w:tcPr>
            <w:tcW w:w="2648" w:type="dxa"/>
            <w:tcBorders>
              <w:top w:val="nil"/>
              <w:left w:val="nil"/>
              <w:bottom w:val="nil"/>
              <w:right w:val="nil"/>
            </w:tcBorders>
            <w:noWrap/>
            <w:vAlign w:val="bottom"/>
            <w:hideMark/>
          </w:tcPr>
          <w:p w14:paraId="31DE938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Cyhalothrin-1</w:t>
            </w:r>
          </w:p>
        </w:tc>
        <w:tc>
          <w:tcPr>
            <w:tcW w:w="783" w:type="dxa"/>
            <w:tcBorders>
              <w:top w:val="nil"/>
              <w:left w:val="nil"/>
              <w:bottom w:val="nil"/>
              <w:right w:val="nil"/>
            </w:tcBorders>
            <w:shd w:val="clear" w:color="000000" w:fill="63BE7B"/>
            <w:noWrap/>
            <w:vAlign w:val="bottom"/>
            <w:hideMark/>
          </w:tcPr>
          <w:p w14:paraId="42CF4D3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5D2B5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F875D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7278D8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336DED2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B30D5D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B87F0D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3632936F" w14:textId="77777777" w:rsidTr="00B66BD9">
        <w:trPr>
          <w:trHeight w:val="260"/>
          <w:jc w:val="center"/>
        </w:trPr>
        <w:tc>
          <w:tcPr>
            <w:tcW w:w="2648" w:type="dxa"/>
            <w:tcBorders>
              <w:top w:val="nil"/>
              <w:left w:val="nil"/>
              <w:bottom w:val="nil"/>
              <w:right w:val="nil"/>
            </w:tcBorders>
            <w:noWrap/>
            <w:vAlign w:val="bottom"/>
            <w:hideMark/>
          </w:tcPr>
          <w:p w14:paraId="7FE364B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Cyhalothrin-2</w:t>
            </w:r>
          </w:p>
        </w:tc>
        <w:tc>
          <w:tcPr>
            <w:tcW w:w="783" w:type="dxa"/>
            <w:tcBorders>
              <w:top w:val="nil"/>
              <w:left w:val="nil"/>
              <w:bottom w:val="nil"/>
              <w:right w:val="nil"/>
            </w:tcBorders>
            <w:shd w:val="clear" w:color="000000" w:fill="63BE7B"/>
            <w:noWrap/>
            <w:vAlign w:val="bottom"/>
            <w:hideMark/>
          </w:tcPr>
          <w:p w14:paraId="519AAA5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5850B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C1E61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48DD5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04DA6C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E02ED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1618B8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6BADEF2C" w14:textId="77777777" w:rsidTr="00B66BD9">
        <w:trPr>
          <w:trHeight w:val="260"/>
          <w:jc w:val="center"/>
        </w:trPr>
        <w:tc>
          <w:tcPr>
            <w:tcW w:w="2648" w:type="dxa"/>
            <w:tcBorders>
              <w:top w:val="nil"/>
              <w:left w:val="nil"/>
              <w:bottom w:val="nil"/>
              <w:right w:val="nil"/>
            </w:tcBorders>
            <w:noWrap/>
            <w:vAlign w:val="bottom"/>
            <w:hideMark/>
          </w:tcPr>
          <w:p w14:paraId="4D4ED78D" w14:textId="0B52681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Cypermethrin-1</w:t>
            </w:r>
          </w:p>
        </w:tc>
        <w:tc>
          <w:tcPr>
            <w:tcW w:w="783" w:type="dxa"/>
            <w:tcBorders>
              <w:top w:val="nil"/>
              <w:left w:val="nil"/>
              <w:bottom w:val="nil"/>
              <w:right w:val="nil"/>
            </w:tcBorders>
            <w:shd w:val="clear" w:color="000000" w:fill="63BE7B"/>
            <w:noWrap/>
            <w:vAlign w:val="bottom"/>
            <w:hideMark/>
          </w:tcPr>
          <w:p w14:paraId="64B007F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02ECDC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E99EBF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1FF43C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8D898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85AFF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60512C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564339FC" w14:textId="77777777" w:rsidTr="00B66BD9">
        <w:trPr>
          <w:trHeight w:val="260"/>
          <w:jc w:val="center"/>
        </w:trPr>
        <w:tc>
          <w:tcPr>
            <w:tcW w:w="2648" w:type="dxa"/>
            <w:tcBorders>
              <w:top w:val="nil"/>
              <w:left w:val="nil"/>
              <w:bottom w:val="nil"/>
              <w:right w:val="nil"/>
            </w:tcBorders>
            <w:noWrap/>
            <w:vAlign w:val="bottom"/>
            <w:hideMark/>
          </w:tcPr>
          <w:p w14:paraId="0ABD628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Cyprodinil</w:t>
            </w:r>
          </w:p>
        </w:tc>
        <w:tc>
          <w:tcPr>
            <w:tcW w:w="783" w:type="dxa"/>
            <w:tcBorders>
              <w:top w:val="nil"/>
              <w:left w:val="nil"/>
              <w:bottom w:val="nil"/>
              <w:right w:val="nil"/>
            </w:tcBorders>
            <w:shd w:val="clear" w:color="000000" w:fill="63BE7B"/>
            <w:noWrap/>
            <w:vAlign w:val="bottom"/>
            <w:hideMark/>
          </w:tcPr>
          <w:p w14:paraId="1E7871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0D9B0A1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FDFE5E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B83DA4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2C59F6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1258B0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F882D6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2645CA7" w14:textId="77777777" w:rsidTr="00B66BD9">
        <w:trPr>
          <w:trHeight w:val="260"/>
          <w:jc w:val="center"/>
        </w:trPr>
        <w:tc>
          <w:tcPr>
            <w:tcW w:w="2648" w:type="dxa"/>
            <w:tcBorders>
              <w:top w:val="nil"/>
              <w:left w:val="nil"/>
              <w:bottom w:val="nil"/>
              <w:right w:val="nil"/>
            </w:tcBorders>
            <w:noWrap/>
            <w:vAlign w:val="bottom"/>
            <w:hideMark/>
          </w:tcPr>
          <w:p w14:paraId="6C1469C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lastRenderedPageBreak/>
              <w:t>DDD-</w:t>
            </w:r>
            <w:proofErr w:type="spellStart"/>
            <w:proofErr w:type="gramStart"/>
            <w:r w:rsidRPr="008E1FC4">
              <w:rPr>
                <w:rFonts w:ascii="Arial" w:hAnsi="Arial" w:cs="Arial"/>
                <w:color w:val="000000"/>
                <w:lang w:eastAsia="en-IN"/>
              </w:rPr>
              <w:t>o,p</w:t>
            </w:r>
            <w:proofErr w:type="spellEnd"/>
            <w:proofErr w:type="gramEnd"/>
            <w:r w:rsidRPr="008E1FC4">
              <w:rPr>
                <w:rFonts w:ascii="Arial" w:hAnsi="Arial" w:cs="Arial"/>
                <w:color w:val="000000"/>
                <w:lang w:eastAsia="en-IN"/>
              </w:rPr>
              <w:t>'</w:t>
            </w:r>
          </w:p>
        </w:tc>
        <w:tc>
          <w:tcPr>
            <w:tcW w:w="783" w:type="dxa"/>
            <w:tcBorders>
              <w:top w:val="nil"/>
              <w:left w:val="nil"/>
              <w:bottom w:val="nil"/>
              <w:right w:val="nil"/>
            </w:tcBorders>
            <w:shd w:val="clear" w:color="000000" w:fill="FFEF9C"/>
            <w:noWrap/>
            <w:vAlign w:val="bottom"/>
            <w:hideMark/>
          </w:tcPr>
          <w:p w14:paraId="662A494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F4A61A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390AE8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084B59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E36D99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947369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C0762C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12CEE9E7" w14:textId="77777777" w:rsidTr="00B66BD9">
        <w:trPr>
          <w:trHeight w:val="260"/>
          <w:jc w:val="center"/>
        </w:trPr>
        <w:tc>
          <w:tcPr>
            <w:tcW w:w="2648" w:type="dxa"/>
            <w:tcBorders>
              <w:top w:val="nil"/>
              <w:left w:val="nil"/>
              <w:bottom w:val="nil"/>
              <w:right w:val="nil"/>
            </w:tcBorders>
            <w:noWrap/>
            <w:vAlign w:val="bottom"/>
            <w:hideMark/>
          </w:tcPr>
          <w:p w14:paraId="3F436B0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DDD-</w:t>
            </w:r>
            <w:proofErr w:type="spellStart"/>
            <w:proofErr w:type="gramStart"/>
            <w:r w:rsidRPr="008E1FC4">
              <w:rPr>
                <w:rFonts w:ascii="Arial" w:hAnsi="Arial" w:cs="Arial"/>
                <w:color w:val="000000"/>
                <w:lang w:eastAsia="en-IN"/>
              </w:rPr>
              <w:t>p,p</w:t>
            </w:r>
            <w:proofErr w:type="spellEnd"/>
            <w:proofErr w:type="gramEnd"/>
            <w:r w:rsidRPr="008E1FC4">
              <w:rPr>
                <w:rFonts w:ascii="Arial" w:hAnsi="Arial" w:cs="Arial"/>
                <w:color w:val="000000"/>
                <w:lang w:eastAsia="en-IN"/>
              </w:rPr>
              <w:t>'</w:t>
            </w:r>
          </w:p>
        </w:tc>
        <w:tc>
          <w:tcPr>
            <w:tcW w:w="783" w:type="dxa"/>
            <w:tcBorders>
              <w:top w:val="nil"/>
              <w:left w:val="nil"/>
              <w:bottom w:val="nil"/>
              <w:right w:val="nil"/>
            </w:tcBorders>
            <w:shd w:val="clear" w:color="000000" w:fill="FFEF9C"/>
            <w:noWrap/>
            <w:vAlign w:val="bottom"/>
            <w:hideMark/>
          </w:tcPr>
          <w:p w14:paraId="186CD4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217F2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0BBCCC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5047A0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7C9A04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D169FC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7FD7DC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5358D7D6" w14:textId="77777777" w:rsidTr="00B66BD9">
        <w:trPr>
          <w:trHeight w:val="260"/>
          <w:jc w:val="center"/>
        </w:trPr>
        <w:tc>
          <w:tcPr>
            <w:tcW w:w="2648" w:type="dxa"/>
            <w:tcBorders>
              <w:top w:val="nil"/>
              <w:left w:val="nil"/>
              <w:bottom w:val="nil"/>
              <w:right w:val="nil"/>
            </w:tcBorders>
            <w:noWrap/>
            <w:vAlign w:val="bottom"/>
            <w:hideMark/>
          </w:tcPr>
          <w:p w14:paraId="26EFF5A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DDE-</w:t>
            </w:r>
            <w:proofErr w:type="spellStart"/>
            <w:proofErr w:type="gramStart"/>
            <w:r w:rsidRPr="008E1FC4">
              <w:rPr>
                <w:rFonts w:ascii="Arial" w:hAnsi="Arial" w:cs="Arial"/>
                <w:color w:val="000000"/>
                <w:lang w:eastAsia="en-IN"/>
              </w:rPr>
              <w:t>o,p</w:t>
            </w:r>
            <w:proofErr w:type="spellEnd"/>
            <w:proofErr w:type="gramEnd"/>
            <w:r w:rsidRPr="008E1FC4">
              <w:rPr>
                <w:rFonts w:ascii="Arial" w:hAnsi="Arial" w:cs="Arial"/>
                <w:color w:val="000000"/>
                <w:lang w:eastAsia="en-IN"/>
              </w:rPr>
              <w:t>'</w:t>
            </w:r>
          </w:p>
        </w:tc>
        <w:tc>
          <w:tcPr>
            <w:tcW w:w="783" w:type="dxa"/>
            <w:tcBorders>
              <w:top w:val="nil"/>
              <w:left w:val="nil"/>
              <w:bottom w:val="nil"/>
              <w:right w:val="nil"/>
            </w:tcBorders>
            <w:shd w:val="clear" w:color="000000" w:fill="FFEF9C"/>
            <w:noWrap/>
            <w:vAlign w:val="bottom"/>
            <w:hideMark/>
          </w:tcPr>
          <w:p w14:paraId="5EAF93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0C070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419FD18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B36B07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C1C9F7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11DA6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98BCD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CAF9D8F" w14:textId="77777777" w:rsidTr="00B66BD9">
        <w:trPr>
          <w:trHeight w:val="260"/>
          <w:jc w:val="center"/>
        </w:trPr>
        <w:tc>
          <w:tcPr>
            <w:tcW w:w="2648" w:type="dxa"/>
            <w:tcBorders>
              <w:top w:val="nil"/>
              <w:left w:val="nil"/>
              <w:bottom w:val="nil"/>
              <w:right w:val="nil"/>
            </w:tcBorders>
            <w:noWrap/>
            <w:vAlign w:val="bottom"/>
            <w:hideMark/>
          </w:tcPr>
          <w:p w14:paraId="125D0922"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DDE-</w:t>
            </w:r>
            <w:proofErr w:type="spellStart"/>
            <w:proofErr w:type="gramStart"/>
            <w:r w:rsidRPr="008E1FC4">
              <w:rPr>
                <w:rFonts w:ascii="Arial" w:hAnsi="Arial" w:cs="Arial"/>
                <w:color w:val="000000"/>
                <w:lang w:eastAsia="en-IN"/>
              </w:rPr>
              <w:t>p,p</w:t>
            </w:r>
            <w:proofErr w:type="spellEnd"/>
            <w:proofErr w:type="gramEnd"/>
            <w:r w:rsidRPr="008E1FC4">
              <w:rPr>
                <w:rFonts w:ascii="Arial" w:hAnsi="Arial" w:cs="Arial"/>
                <w:color w:val="000000"/>
                <w:lang w:eastAsia="en-IN"/>
              </w:rPr>
              <w:t>'</w:t>
            </w:r>
          </w:p>
        </w:tc>
        <w:tc>
          <w:tcPr>
            <w:tcW w:w="783" w:type="dxa"/>
            <w:tcBorders>
              <w:top w:val="nil"/>
              <w:left w:val="nil"/>
              <w:bottom w:val="nil"/>
              <w:right w:val="nil"/>
            </w:tcBorders>
            <w:shd w:val="clear" w:color="000000" w:fill="63BE7B"/>
            <w:noWrap/>
            <w:vAlign w:val="bottom"/>
            <w:hideMark/>
          </w:tcPr>
          <w:p w14:paraId="16340F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63FC92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8146B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2693BE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A2B5BC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C6C42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02EC1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A4201A7" w14:textId="77777777" w:rsidTr="00B66BD9">
        <w:trPr>
          <w:trHeight w:val="260"/>
          <w:jc w:val="center"/>
        </w:trPr>
        <w:tc>
          <w:tcPr>
            <w:tcW w:w="2648" w:type="dxa"/>
            <w:tcBorders>
              <w:top w:val="nil"/>
              <w:left w:val="nil"/>
              <w:bottom w:val="nil"/>
              <w:right w:val="nil"/>
            </w:tcBorders>
            <w:noWrap/>
            <w:vAlign w:val="bottom"/>
            <w:hideMark/>
          </w:tcPr>
          <w:p w14:paraId="483C2807" w14:textId="736FFEE9"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DDT-</w:t>
            </w:r>
            <w:proofErr w:type="spellStart"/>
            <w:proofErr w:type="gramStart"/>
            <w:r w:rsidRPr="008E1FC4">
              <w:rPr>
                <w:rFonts w:ascii="Arial" w:hAnsi="Arial" w:cs="Arial"/>
                <w:color w:val="000000"/>
                <w:lang w:eastAsia="en-IN"/>
              </w:rPr>
              <w:t>o,p</w:t>
            </w:r>
            <w:proofErr w:type="spellEnd"/>
            <w:proofErr w:type="gramEnd"/>
            <w:r w:rsidRPr="008E1FC4">
              <w:rPr>
                <w:rFonts w:ascii="Arial" w:hAnsi="Arial" w:cs="Arial"/>
                <w:color w:val="000000"/>
                <w:lang w:eastAsia="en-IN"/>
              </w:rPr>
              <w:t>'</w:t>
            </w:r>
          </w:p>
        </w:tc>
        <w:tc>
          <w:tcPr>
            <w:tcW w:w="783" w:type="dxa"/>
            <w:tcBorders>
              <w:top w:val="nil"/>
              <w:left w:val="nil"/>
              <w:bottom w:val="nil"/>
              <w:right w:val="nil"/>
            </w:tcBorders>
            <w:shd w:val="clear" w:color="000000" w:fill="FFEF9C"/>
            <w:noWrap/>
            <w:vAlign w:val="bottom"/>
            <w:hideMark/>
          </w:tcPr>
          <w:p w14:paraId="46D86D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7EA18F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ACC31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689E0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284EAF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03797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FC817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6FCEB09D" w14:textId="77777777" w:rsidTr="00B66BD9">
        <w:trPr>
          <w:trHeight w:val="260"/>
          <w:jc w:val="center"/>
        </w:trPr>
        <w:tc>
          <w:tcPr>
            <w:tcW w:w="2648" w:type="dxa"/>
            <w:tcBorders>
              <w:top w:val="nil"/>
              <w:left w:val="nil"/>
              <w:bottom w:val="nil"/>
              <w:right w:val="nil"/>
            </w:tcBorders>
            <w:noWrap/>
            <w:vAlign w:val="bottom"/>
            <w:hideMark/>
          </w:tcPr>
          <w:p w14:paraId="21460C0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DDT-</w:t>
            </w:r>
            <w:proofErr w:type="spellStart"/>
            <w:proofErr w:type="gramStart"/>
            <w:r w:rsidRPr="008E1FC4">
              <w:rPr>
                <w:rFonts w:ascii="Arial" w:hAnsi="Arial" w:cs="Arial"/>
                <w:color w:val="000000"/>
                <w:lang w:eastAsia="en-IN"/>
              </w:rPr>
              <w:t>p,p</w:t>
            </w:r>
            <w:proofErr w:type="spellEnd"/>
            <w:proofErr w:type="gramEnd"/>
            <w:r w:rsidRPr="008E1FC4">
              <w:rPr>
                <w:rFonts w:ascii="Arial" w:hAnsi="Arial" w:cs="Arial"/>
                <w:color w:val="000000"/>
                <w:lang w:eastAsia="en-IN"/>
              </w:rPr>
              <w:t>'</w:t>
            </w:r>
          </w:p>
        </w:tc>
        <w:tc>
          <w:tcPr>
            <w:tcW w:w="783" w:type="dxa"/>
            <w:tcBorders>
              <w:top w:val="nil"/>
              <w:left w:val="nil"/>
              <w:bottom w:val="nil"/>
              <w:right w:val="nil"/>
            </w:tcBorders>
            <w:shd w:val="clear" w:color="000000" w:fill="63BE7B"/>
            <w:noWrap/>
            <w:vAlign w:val="bottom"/>
            <w:hideMark/>
          </w:tcPr>
          <w:p w14:paraId="17494B4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1D8D2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60139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800944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945E01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38B344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04485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7B5B348" w14:textId="77777777" w:rsidTr="00B66BD9">
        <w:trPr>
          <w:trHeight w:val="260"/>
          <w:jc w:val="center"/>
        </w:trPr>
        <w:tc>
          <w:tcPr>
            <w:tcW w:w="2648" w:type="dxa"/>
            <w:tcBorders>
              <w:top w:val="nil"/>
              <w:left w:val="nil"/>
              <w:bottom w:val="nil"/>
              <w:right w:val="nil"/>
            </w:tcBorders>
            <w:noWrap/>
            <w:vAlign w:val="bottom"/>
            <w:hideMark/>
          </w:tcPr>
          <w:p w14:paraId="675A6361" w14:textId="2A933891"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Deltamethrin-1</w:t>
            </w:r>
          </w:p>
        </w:tc>
        <w:tc>
          <w:tcPr>
            <w:tcW w:w="783" w:type="dxa"/>
            <w:tcBorders>
              <w:top w:val="nil"/>
              <w:left w:val="nil"/>
              <w:bottom w:val="nil"/>
              <w:right w:val="nil"/>
            </w:tcBorders>
            <w:shd w:val="clear" w:color="000000" w:fill="63BE7B"/>
            <w:noWrap/>
            <w:vAlign w:val="bottom"/>
            <w:hideMark/>
          </w:tcPr>
          <w:p w14:paraId="11A3734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689577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DEE05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F62E21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F89910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B8CDA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59748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154A4963" w14:textId="77777777" w:rsidTr="00B66BD9">
        <w:trPr>
          <w:trHeight w:val="260"/>
          <w:jc w:val="center"/>
        </w:trPr>
        <w:tc>
          <w:tcPr>
            <w:tcW w:w="2648" w:type="dxa"/>
            <w:tcBorders>
              <w:top w:val="nil"/>
              <w:left w:val="nil"/>
              <w:bottom w:val="nil"/>
              <w:right w:val="nil"/>
            </w:tcBorders>
            <w:noWrap/>
            <w:vAlign w:val="bottom"/>
            <w:hideMark/>
          </w:tcPr>
          <w:p w14:paraId="10ABC6F2" w14:textId="6CEDD955"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Deltamethrin-2</w:t>
            </w:r>
          </w:p>
        </w:tc>
        <w:tc>
          <w:tcPr>
            <w:tcW w:w="783" w:type="dxa"/>
            <w:tcBorders>
              <w:top w:val="nil"/>
              <w:left w:val="nil"/>
              <w:bottom w:val="nil"/>
              <w:right w:val="nil"/>
            </w:tcBorders>
            <w:shd w:val="clear" w:color="000000" w:fill="FFEF9C"/>
            <w:noWrap/>
            <w:vAlign w:val="bottom"/>
            <w:hideMark/>
          </w:tcPr>
          <w:p w14:paraId="28FBFA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5B55B4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97CA63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3E014E8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532E032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273CE4C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620D9A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2F829323" w14:textId="77777777" w:rsidTr="00B66BD9">
        <w:trPr>
          <w:trHeight w:val="260"/>
          <w:jc w:val="center"/>
        </w:trPr>
        <w:tc>
          <w:tcPr>
            <w:tcW w:w="2648" w:type="dxa"/>
            <w:tcBorders>
              <w:top w:val="nil"/>
              <w:left w:val="nil"/>
              <w:bottom w:val="nil"/>
              <w:right w:val="nil"/>
            </w:tcBorders>
            <w:noWrap/>
            <w:vAlign w:val="bottom"/>
            <w:hideMark/>
          </w:tcPr>
          <w:p w14:paraId="5DEE288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Di-allate-2</w:t>
            </w:r>
          </w:p>
        </w:tc>
        <w:tc>
          <w:tcPr>
            <w:tcW w:w="783" w:type="dxa"/>
            <w:tcBorders>
              <w:top w:val="nil"/>
              <w:left w:val="nil"/>
              <w:bottom w:val="nil"/>
              <w:right w:val="nil"/>
            </w:tcBorders>
            <w:shd w:val="clear" w:color="000000" w:fill="63BE7B"/>
            <w:noWrap/>
            <w:vAlign w:val="bottom"/>
            <w:hideMark/>
          </w:tcPr>
          <w:p w14:paraId="149529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96E428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5FBD25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8C254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22B43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0B877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FBB4C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8CD029A" w14:textId="77777777" w:rsidTr="00B66BD9">
        <w:trPr>
          <w:trHeight w:val="260"/>
          <w:jc w:val="center"/>
        </w:trPr>
        <w:tc>
          <w:tcPr>
            <w:tcW w:w="2648" w:type="dxa"/>
            <w:tcBorders>
              <w:top w:val="nil"/>
              <w:left w:val="nil"/>
              <w:bottom w:val="nil"/>
              <w:right w:val="nil"/>
            </w:tcBorders>
            <w:noWrap/>
            <w:vAlign w:val="bottom"/>
            <w:hideMark/>
          </w:tcPr>
          <w:p w14:paraId="3F536F4B" w14:textId="7BB776BB"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Diazinon</w:t>
            </w:r>
          </w:p>
        </w:tc>
        <w:tc>
          <w:tcPr>
            <w:tcW w:w="783" w:type="dxa"/>
            <w:tcBorders>
              <w:top w:val="nil"/>
              <w:left w:val="nil"/>
              <w:bottom w:val="nil"/>
              <w:right w:val="nil"/>
            </w:tcBorders>
            <w:shd w:val="clear" w:color="000000" w:fill="FFEF9C"/>
            <w:noWrap/>
            <w:vAlign w:val="bottom"/>
            <w:hideMark/>
          </w:tcPr>
          <w:p w14:paraId="7EE178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2AD1C7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CCFAD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63B04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12A9CC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ACCFB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4DCE1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0D3D3BA5" w14:textId="77777777" w:rsidTr="00B66BD9">
        <w:trPr>
          <w:trHeight w:val="260"/>
          <w:jc w:val="center"/>
        </w:trPr>
        <w:tc>
          <w:tcPr>
            <w:tcW w:w="2648" w:type="dxa"/>
            <w:tcBorders>
              <w:top w:val="nil"/>
              <w:left w:val="nil"/>
              <w:bottom w:val="nil"/>
              <w:right w:val="nil"/>
            </w:tcBorders>
            <w:noWrap/>
            <w:vAlign w:val="bottom"/>
            <w:hideMark/>
          </w:tcPr>
          <w:p w14:paraId="0BE999DA"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Dichlobenil</w:t>
            </w:r>
            <w:proofErr w:type="spellEnd"/>
          </w:p>
        </w:tc>
        <w:tc>
          <w:tcPr>
            <w:tcW w:w="783" w:type="dxa"/>
            <w:tcBorders>
              <w:top w:val="nil"/>
              <w:left w:val="nil"/>
              <w:bottom w:val="nil"/>
              <w:right w:val="nil"/>
            </w:tcBorders>
            <w:shd w:val="clear" w:color="000000" w:fill="63BE7B"/>
            <w:noWrap/>
            <w:vAlign w:val="bottom"/>
            <w:hideMark/>
          </w:tcPr>
          <w:p w14:paraId="1BBFF3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2DF6BF0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E0B44C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15BAE2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53549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853FE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944BE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A146E73" w14:textId="77777777" w:rsidTr="00B66BD9">
        <w:trPr>
          <w:trHeight w:val="260"/>
          <w:jc w:val="center"/>
        </w:trPr>
        <w:tc>
          <w:tcPr>
            <w:tcW w:w="2648" w:type="dxa"/>
            <w:tcBorders>
              <w:top w:val="nil"/>
              <w:left w:val="nil"/>
              <w:bottom w:val="nil"/>
              <w:right w:val="nil"/>
            </w:tcBorders>
            <w:noWrap/>
            <w:vAlign w:val="bottom"/>
            <w:hideMark/>
          </w:tcPr>
          <w:p w14:paraId="0125E0C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Dichlofluanid</w:t>
            </w:r>
          </w:p>
        </w:tc>
        <w:tc>
          <w:tcPr>
            <w:tcW w:w="783" w:type="dxa"/>
            <w:tcBorders>
              <w:top w:val="nil"/>
              <w:left w:val="nil"/>
              <w:bottom w:val="nil"/>
              <w:right w:val="nil"/>
            </w:tcBorders>
            <w:shd w:val="clear" w:color="000000" w:fill="63BE7B"/>
            <w:noWrap/>
            <w:vAlign w:val="bottom"/>
            <w:hideMark/>
          </w:tcPr>
          <w:p w14:paraId="252C7F0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712998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F9958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8F6569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3D63CE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3905E9D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2E86FC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8E1BE42" w14:textId="77777777" w:rsidTr="00B66BD9">
        <w:trPr>
          <w:trHeight w:val="260"/>
          <w:jc w:val="center"/>
        </w:trPr>
        <w:tc>
          <w:tcPr>
            <w:tcW w:w="2648" w:type="dxa"/>
            <w:tcBorders>
              <w:top w:val="nil"/>
              <w:left w:val="nil"/>
              <w:bottom w:val="nil"/>
              <w:right w:val="nil"/>
            </w:tcBorders>
            <w:noWrap/>
            <w:vAlign w:val="bottom"/>
            <w:hideMark/>
          </w:tcPr>
          <w:p w14:paraId="1CDDE6C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Dichloroaniline-3,4</w:t>
            </w:r>
          </w:p>
        </w:tc>
        <w:tc>
          <w:tcPr>
            <w:tcW w:w="783" w:type="dxa"/>
            <w:tcBorders>
              <w:top w:val="nil"/>
              <w:left w:val="nil"/>
              <w:bottom w:val="nil"/>
              <w:right w:val="nil"/>
            </w:tcBorders>
            <w:shd w:val="clear" w:color="000000" w:fill="63BE7B"/>
            <w:noWrap/>
            <w:vAlign w:val="bottom"/>
            <w:hideMark/>
          </w:tcPr>
          <w:p w14:paraId="07EA3D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04DCFB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426C1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DEA732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650285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4C273EA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89C8D3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1BC2951" w14:textId="77777777" w:rsidTr="00B66BD9">
        <w:trPr>
          <w:trHeight w:val="260"/>
          <w:jc w:val="center"/>
        </w:trPr>
        <w:tc>
          <w:tcPr>
            <w:tcW w:w="2648" w:type="dxa"/>
            <w:tcBorders>
              <w:top w:val="nil"/>
              <w:left w:val="nil"/>
              <w:bottom w:val="nil"/>
              <w:right w:val="nil"/>
            </w:tcBorders>
            <w:noWrap/>
            <w:vAlign w:val="bottom"/>
            <w:hideMark/>
          </w:tcPr>
          <w:p w14:paraId="174CD6E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Dichlorobenzophenone-4,4'</w:t>
            </w:r>
          </w:p>
        </w:tc>
        <w:tc>
          <w:tcPr>
            <w:tcW w:w="783" w:type="dxa"/>
            <w:tcBorders>
              <w:top w:val="nil"/>
              <w:left w:val="nil"/>
              <w:bottom w:val="nil"/>
              <w:right w:val="nil"/>
            </w:tcBorders>
            <w:shd w:val="clear" w:color="000000" w:fill="FFEF9C"/>
            <w:noWrap/>
            <w:vAlign w:val="bottom"/>
            <w:hideMark/>
          </w:tcPr>
          <w:p w14:paraId="79DDF9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53BE131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DEF3A6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D9FCA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6255EA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32AC5F0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9C6FBF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C14904F" w14:textId="77777777" w:rsidTr="00B66BD9">
        <w:trPr>
          <w:trHeight w:val="260"/>
          <w:jc w:val="center"/>
        </w:trPr>
        <w:tc>
          <w:tcPr>
            <w:tcW w:w="2648" w:type="dxa"/>
            <w:tcBorders>
              <w:top w:val="nil"/>
              <w:left w:val="nil"/>
              <w:bottom w:val="nil"/>
              <w:right w:val="nil"/>
            </w:tcBorders>
            <w:noWrap/>
            <w:vAlign w:val="bottom"/>
            <w:hideMark/>
          </w:tcPr>
          <w:p w14:paraId="2A89B6F5" w14:textId="4852D0A8"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Dieldrin</w:t>
            </w:r>
          </w:p>
        </w:tc>
        <w:tc>
          <w:tcPr>
            <w:tcW w:w="783" w:type="dxa"/>
            <w:tcBorders>
              <w:top w:val="nil"/>
              <w:left w:val="nil"/>
              <w:bottom w:val="nil"/>
              <w:right w:val="nil"/>
            </w:tcBorders>
            <w:shd w:val="clear" w:color="000000" w:fill="63BE7B"/>
            <w:noWrap/>
            <w:vAlign w:val="bottom"/>
            <w:hideMark/>
          </w:tcPr>
          <w:p w14:paraId="003CA72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31E46A7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2D52A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6BA2B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0F2D637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B4D38E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C8CAEA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131A79F" w14:textId="77777777" w:rsidTr="00B66BD9">
        <w:trPr>
          <w:trHeight w:val="260"/>
          <w:jc w:val="center"/>
        </w:trPr>
        <w:tc>
          <w:tcPr>
            <w:tcW w:w="2648" w:type="dxa"/>
            <w:tcBorders>
              <w:top w:val="nil"/>
              <w:left w:val="nil"/>
              <w:bottom w:val="nil"/>
              <w:right w:val="nil"/>
            </w:tcBorders>
            <w:noWrap/>
            <w:vAlign w:val="bottom"/>
            <w:hideMark/>
          </w:tcPr>
          <w:p w14:paraId="3BF11286"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Dimethachlor</w:t>
            </w:r>
            <w:proofErr w:type="spellEnd"/>
          </w:p>
        </w:tc>
        <w:tc>
          <w:tcPr>
            <w:tcW w:w="783" w:type="dxa"/>
            <w:tcBorders>
              <w:top w:val="nil"/>
              <w:left w:val="nil"/>
              <w:bottom w:val="nil"/>
              <w:right w:val="nil"/>
            </w:tcBorders>
            <w:shd w:val="clear" w:color="000000" w:fill="FFEF9C"/>
            <w:noWrap/>
            <w:vAlign w:val="bottom"/>
            <w:hideMark/>
          </w:tcPr>
          <w:p w14:paraId="2A6060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E7000D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9DDA8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7A37E2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62A5DA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2589D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CA6AC6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D96A5D4" w14:textId="77777777" w:rsidTr="00B66BD9">
        <w:trPr>
          <w:trHeight w:val="260"/>
          <w:jc w:val="center"/>
        </w:trPr>
        <w:tc>
          <w:tcPr>
            <w:tcW w:w="2648" w:type="dxa"/>
            <w:tcBorders>
              <w:top w:val="nil"/>
              <w:left w:val="nil"/>
              <w:bottom w:val="nil"/>
              <w:right w:val="nil"/>
            </w:tcBorders>
            <w:noWrap/>
            <w:vAlign w:val="bottom"/>
            <w:hideMark/>
          </w:tcPr>
          <w:p w14:paraId="68F81FF4"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Diphenamid</w:t>
            </w:r>
            <w:proofErr w:type="spellEnd"/>
          </w:p>
        </w:tc>
        <w:tc>
          <w:tcPr>
            <w:tcW w:w="783" w:type="dxa"/>
            <w:tcBorders>
              <w:top w:val="nil"/>
              <w:left w:val="nil"/>
              <w:bottom w:val="nil"/>
              <w:right w:val="nil"/>
            </w:tcBorders>
            <w:shd w:val="clear" w:color="000000" w:fill="63BE7B"/>
            <w:noWrap/>
            <w:vAlign w:val="bottom"/>
            <w:hideMark/>
          </w:tcPr>
          <w:p w14:paraId="11EEBF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0F3125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B8839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413E0B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69A16D5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0EC11F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B7A4AD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45E5277" w14:textId="77777777" w:rsidTr="00B66BD9">
        <w:trPr>
          <w:trHeight w:val="260"/>
          <w:jc w:val="center"/>
        </w:trPr>
        <w:tc>
          <w:tcPr>
            <w:tcW w:w="2648" w:type="dxa"/>
            <w:tcBorders>
              <w:top w:val="nil"/>
              <w:left w:val="nil"/>
              <w:bottom w:val="nil"/>
              <w:right w:val="nil"/>
            </w:tcBorders>
            <w:noWrap/>
            <w:vAlign w:val="bottom"/>
            <w:hideMark/>
          </w:tcPr>
          <w:p w14:paraId="6764699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Disulfoton</w:t>
            </w:r>
          </w:p>
        </w:tc>
        <w:tc>
          <w:tcPr>
            <w:tcW w:w="783" w:type="dxa"/>
            <w:tcBorders>
              <w:top w:val="nil"/>
              <w:left w:val="nil"/>
              <w:bottom w:val="nil"/>
              <w:right w:val="nil"/>
            </w:tcBorders>
            <w:shd w:val="clear" w:color="000000" w:fill="FFEF9C"/>
            <w:noWrap/>
            <w:vAlign w:val="bottom"/>
            <w:hideMark/>
          </w:tcPr>
          <w:p w14:paraId="1232B85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3ED5D0B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2BB40B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3520F7E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4CD4698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BE275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9CA63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A6BE359" w14:textId="77777777" w:rsidTr="00B66BD9">
        <w:trPr>
          <w:trHeight w:val="260"/>
          <w:jc w:val="center"/>
        </w:trPr>
        <w:tc>
          <w:tcPr>
            <w:tcW w:w="2648" w:type="dxa"/>
            <w:tcBorders>
              <w:top w:val="nil"/>
              <w:left w:val="nil"/>
              <w:bottom w:val="nil"/>
              <w:right w:val="nil"/>
            </w:tcBorders>
            <w:noWrap/>
            <w:vAlign w:val="bottom"/>
            <w:hideMark/>
          </w:tcPr>
          <w:p w14:paraId="218E73A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Edifenphos</w:t>
            </w:r>
          </w:p>
        </w:tc>
        <w:tc>
          <w:tcPr>
            <w:tcW w:w="783" w:type="dxa"/>
            <w:tcBorders>
              <w:top w:val="nil"/>
              <w:left w:val="nil"/>
              <w:bottom w:val="nil"/>
              <w:right w:val="nil"/>
            </w:tcBorders>
            <w:shd w:val="clear" w:color="000000" w:fill="FFEF9C"/>
            <w:noWrap/>
            <w:vAlign w:val="bottom"/>
            <w:hideMark/>
          </w:tcPr>
          <w:p w14:paraId="70F8828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08B41DE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0EB1A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661B1B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CEADB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8EBCB8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8ECAB1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3BE220A" w14:textId="77777777" w:rsidTr="00B66BD9">
        <w:trPr>
          <w:trHeight w:val="260"/>
          <w:jc w:val="center"/>
        </w:trPr>
        <w:tc>
          <w:tcPr>
            <w:tcW w:w="2648" w:type="dxa"/>
            <w:tcBorders>
              <w:top w:val="nil"/>
              <w:left w:val="nil"/>
              <w:bottom w:val="nil"/>
              <w:right w:val="nil"/>
            </w:tcBorders>
            <w:noWrap/>
            <w:vAlign w:val="bottom"/>
            <w:hideMark/>
          </w:tcPr>
          <w:p w14:paraId="77FDB94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Endosulfan ether</w:t>
            </w:r>
          </w:p>
        </w:tc>
        <w:tc>
          <w:tcPr>
            <w:tcW w:w="783" w:type="dxa"/>
            <w:tcBorders>
              <w:top w:val="nil"/>
              <w:left w:val="nil"/>
              <w:bottom w:val="nil"/>
              <w:right w:val="nil"/>
            </w:tcBorders>
            <w:shd w:val="clear" w:color="000000" w:fill="FFEF9C"/>
            <w:noWrap/>
            <w:vAlign w:val="bottom"/>
            <w:hideMark/>
          </w:tcPr>
          <w:p w14:paraId="5BBAB5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24CC63F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023B0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43814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68748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3EE5C0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F26EF7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1B3DD29E" w14:textId="77777777" w:rsidTr="00B66BD9">
        <w:trPr>
          <w:trHeight w:val="260"/>
          <w:jc w:val="center"/>
        </w:trPr>
        <w:tc>
          <w:tcPr>
            <w:tcW w:w="2648" w:type="dxa"/>
            <w:tcBorders>
              <w:top w:val="nil"/>
              <w:left w:val="nil"/>
              <w:bottom w:val="nil"/>
              <w:right w:val="nil"/>
            </w:tcBorders>
            <w:noWrap/>
            <w:vAlign w:val="bottom"/>
            <w:hideMark/>
          </w:tcPr>
          <w:p w14:paraId="102CCA1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Endosulfan sulfate</w:t>
            </w:r>
          </w:p>
        </w:tc>
        <w:tc>
          <w:tcPr>
            <w:tcW w:w="783" w:type="dxa"/>
            <w:tcBorders>
              <w:top w:val="nil"/>
              <w:left w:val="nil"/>
              <w:bottom w:val="nil"/>
              <w:right w:val="nil"/>
            </w:tcBorders>
            <w:shd w:val="clear" w:color="000000" w:fill="63BE7B"/>
            <w:noWrap/>
            <w:vAlign w:val="bottom"/>
            <w:hideMark/>
          </w:tcPr>
          <w:p w14:paraId="215213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4C5B6D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004E23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66694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486BE5C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6E5A8D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2FB3C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19C2EB48" w14:textId="77777777" w:rsidTr="00B66BD9">
        <w:trPr>
          <w:trHeight w:val="260"/>
          <w:jc w:val="center"/>
        </w:trPr>
        <w:tc>
          <w:tcPr>
            <w:tcW w:w="2648" w:type="dxa"/>
            <w:tcBorders>
              <w:top w:val="nil"/>
              <w:left w:val="nil"/>
              <w:bottom w:val="nil"/>
              <w:right w:val="nil"/>
            </w:tcBorders>
            <w:noWrap/>
            <w:vAlign w:val="bottom"/>
            <w:hideMark/>
          </w:tcPr>
          <w:p w14:paraId="2DC5C613" w14:textId="2C1B8616"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Endosulfanalpha</w:t>
            </w:r>
            <w:proofErr w:type="spellEnd"/>
          </w:p>
        </w:tc>
        <w:tc>
          <w:tcPr>
            <w:tcW w:w="783" w:type="dxa"/>
            <w:tcBorders>
              <w:top w:val="nil"/>
              <w:left w:val="nil"/>
              <w:bottom w:val="nil"/>
              <w:right w:val="nil"/>
            </w:tcBorders>
            <w:shd w:val="clear" w:color="000000" w:fill="FFEF9C"/>
            <w:noWrap/>
            <w:vAlign w:val="bottom"/>
            <w:hideMark/>
          </w:tcPr>
          <w:p w14:paraId="174C96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0273D0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C5E4B9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88652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141B65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7A099A1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D68D5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B4C22E1" w14:textId="77777777" w:rsidTr="00B66BD9">
        <w:trPr>
          <w:trHeight w:val="260"/>
          <w:jc w:val="center"/>
        </w:trPr>
        <w:tc>
          <w:tcPr>
            <w:tcW w:w="2648" w:type="dxa"/>
            <w:tcBorders>
              <w:top w:val="nil"/>
              <w:left w:val="nil"/>
              <w:bottom w:val="nil"/>
              <w:right w:val="nil"/>
            </w:tcBorders>
            <w:noWrap/>
            <w:vAlign w:val="bottom"/>
            <w:hideMark/>
          </w:tcPr>
          <w:p w14:paraId="65C8F787"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Endosulfan-beta</w:t>
            </w:r>
          </w:p>
        </w:tc>
        <w:tc>
          <w:tcPr>
            <w:tcW w:w="783" w:type="dxa"/>
            <w:tcBorders>
              <w:top w:val="nil"/>
              <w:left w:val="nil"/>
              <w:bottom w:val="nil"/>
              <w:right w:val="nil"/>
            </w:tcBorders>
            <w:shd w:val="clear" w:color="000000" w:fill="FFEF9C"/>
            <w:noWrap/>
            <w:vAlign w:val="bottom"/>
            <w:hideMark/>
          </w:tcPr>
          <w:p w14:paraId="69CCF6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709E0D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510293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6AE3A2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9DDE2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103E158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8CDD4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50703510" w14:textId="77777777" w:rsidTr="00B66BD9">
        <w:trPr>
          <w:trHeight w:val="260"/>
          <w:jc w:val="center"/>
        </w:trPr>
        <w:tc>
          <w:tcPr>
            <w:tcW w:w="2648" w:type="dxa"/>
            <w:tcBorders>
              <w:top w:val="nil"/>
              <w:left w:val="nil"/>
              <w:bottom w:val="nil"/>
              <w:right w:val="nil"/>
            </w:tcBorders>
            <w:noWrap/>
            <w:vAlign w:val="bottom"/>
            <w:hideMark/>
          </w:tcPr>
          <w:p w14:paraId="42E2E1C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Endrin</w:t>
            </w:r>
          </w:p>
        </w:tc>
        <w:tc>
          <w:tcPr>
            <w:tcW w:w="783" w:type="dxa"/>
            <w:tcBorders>
              <w:top w:val="nil"/>
              <w:left w:val="nil"/>
              <w:bottom w:val="nil"/>
              <w:right w:val="nil"/>
            </w:tcBorders>
            <w:shd w:val="clear" w:color="000000" w:fill="FFEF9C"/>
            <w:noWrap/>
            <w:vAlign w:val="bottom"/>
            <w:hideMark/>
          </w:tcPr>
          <w:p w14:paraId="14FBCF6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B4F986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7966A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090F9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14B480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BA9F5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23AAF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258B3475" w14:textId="77777777" w:rsidTr="00B66BD9">
        <w:trPr>
          <w:trHeight w:val="260"/>
          <w:jc w:val="center"/>
        </w:trPr>
        <w:tc>
          <w:tcPr>
            <w:tcW w:w="2648" w:type="dxa"/>
            <w:tcBorders>
              <w:top w:val="nil"/>
              <w:left w:val="nil"/>
              <w:bottom w:val="nil"/>
              <w:right w:val="nil"/>
            </w:tcBorders>
            <w:noWrap/>
            <w:vAlign w:val="bottom"/>
            <w:hideMark/>
          </w:tcPr>
          <w:p w14:paraId="7BB0799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Endrin aldehyde</w:t>
            </w:r>
          </w:p>
        </w:tc>
        <w:tc>
          <w:tcPr>
            <w:tcW w:w="783" w:type="dxa"/>
            <w:tcBorders>
              <w:top w:val="nil"/>
              <w:left w:val="nil"/>
              <w:bottom w:val="nil"/>
              <w:right w:val="nil"/>
            </w:tcBorders>
            <w:shd w:val="clear" w:color="000000" w:fill="FFEF9C"/>
            <w:noWrap/>
            <w:vAlign w:val="bottom"/>
            <w:hideMark/>
          </w:tcPr>
          <w:p w14:paraId="3C3624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0422F9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CC1C3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08173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413322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1BBBA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9DCC5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8015FAA" w14:textId="77777777" w:rsidTr="00B66BD9">
        <w:trPr>
          <w:trHeight w:val="260"/>
          <w:jc w:val="center"/>
        </w:trPr>
        <w:tc>
          <w:tcPr>
            <w:tcW w:w="2648" w:type="dxa"/>
            <w:tcBorders>
              <w:top w:val="nil"/>
              <w:left w:val="nil"/>
              <w:bottom w:val="nil"/>
              <w:right w:val="nil"/>
            </w:tcBorders>
            <w:noWrap/>
            <w:vAlign w:val="bottom"/>
            <w:hideMark/>
          </w:tcPr>
          <w:p w14:paraId="6868399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Endrin ketone</w:t>
            </w:r>
          </w:p>
        </w:tc>
        <w:tc>
          <w:tcPr>
            <w:tcW w:w="783" w:type="dxa"/>
            <w:tcBorders>
              <w:top w:val="nil"/>
              <w:left w:val="nil"/>
              <w:bottom w:val="nil"/>
              <w:right w:val="nil"/>
            </w:tcBorders>
            <w:shd w:val="clear" w:color="000000" w:fill="FFEF9C"/>
            <w:noWrap/>
            <w:vAlign w:val="bottom"/>
            <w:hideMark/>
          </w:tcPr>
          <w:p w14:paraId="0176C5A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44886E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10618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1F42B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F2D12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F2F15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C6634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6E34CB4B" w14:textId="77777777" w:rsidTr="00B66BD9">
        <w:trPr>
          <w:trHeight w:val="260"/>
          <w:jc w:val="center"/>
        </w:trPr>
        <w:tc>
          <w:tcPr>
            <w:tcW w:w="2648" w:type="dxa"/>
            <w:tcBorders>
              <w:top w:val="nil"/>
              <w:left w:val="nil"/>
              <w:bottom w:val="nil"/>
              <w:right w:val="nil"/>
            </w:tcBorders>
            <w:noWrap/>
            <w:vAlign w:val="bottom"/>
            <w:hideMark/>
          </w:tcPr>
          <w:p w14:paraId="67C0017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EPN</w:t>
            </w:r>
          </w:p>
        </w:tc>
        <w:tc>
          <w:tcPr>
            <w:tcW w:w="783" w:type="dxa"/>
            <w:tcBorders>
              <w:top w:val="nil"/>
              <w:left w:val="nil"/>
              <w:bottom w:val="nil"/>
              <w:right w:val="nil"/>
            </w:tcBorders>
            <w:shd w:val="clear" w:color="000000" w:fill="FFEF9C"/>
            <w:noWrap/>
            <w:vAlign w:val="bottom"/>
            <w:hideMark/>
          </w:tcPr>
          <w:p w14:paraId="4C04B35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B6179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1578927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4D9797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4BAD32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4E7252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2CD6F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348DAD5" w14:textId="77777777" w:rsidTr="00B66BD9">
        <w:trPr>
          <w:trHeight w:val="260"/>
          <w:jc w:val="center"/>
        </w:trPr>
        <w:tc>
          <w:tcPr>
            <w:tcW w:w="2648" w:type="dxa"/>
            <w:tcBorders>
              <w:top w:val="nil"/>
              <w:left w:val="nil"/>
              <w:bottom w:val="nil"/>
              <w:right w:val="nil"/>
            </w:tcBorders>
            <w:noWrap/>
            <w:vAlign w:val="bottom"/>
            <w:hideMark/>
          </w:tcPr>
          <w:p w14:paraId="7A67FE05"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Ethalfluralin</w:t>
            </w:r>
            <w:proofErr w:type="spellEnd"/>
          </w:p>
        </w:tc>
        <w:tc>
          <w:tcPr>
            <w:tcW w:w="783" w:type="dxa"/>
            <w:tcBorders>
              <w:top w:val="nil"/>
              <w:left w:val="nil"/>
              <w:bottom w:val="nil"/>
              <w:right w:val="nil"/>
            </w:tcBorders>
            <w:shd w:val="clear" w:color="000000" w:fill="63BE7B"/>
            <w:noWrap/>
            <w:vAlign w:val="bottom"/>
            <w:hideMark/>
          </w:tcPr>
          <w:p w14:paraId="0288F6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5B6E59F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337D75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F23D9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D5165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69CB69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515E04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6ACEAB6" w14:textId="77777777" w:rsidTr="00B66BD9">
        <w:trPr>
          <w:trHeight w:val="260"/>
          <w:jc w:val="center"/>
        </w:trPr>
        <w:tc>
          <w:tcPr>
            <w:tcW w:w="2648" w:type="dxa"/>
            <w:tcBorders>
              <w:top w:val="nil"/>
              <w:left w:val="nil"/>
              <w:bottom w:val="nil"/>
              <w:right w:val="nil"/>
            </w:tcBorders>
            <w:noWrap/>
            <w:vAlign w:val="bottom"/>
            <w:hideMark/>
          </w:tcPr>
          <w:p w14:paraId="0CFFE03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Ethion</w:t>
            </w:r>
          </w:p>
        </w:tc>
        <w:tc>
          <w:tcPr>
            <w:tcW w:w="783" w:type="dxa"/>
            <w:tcBorders>
              <w:top w:val="nil"/>
              <w:left w:val="nil"/>
              <w:bottom w:val="nil"/>
              <w:right w:val="nil"/>
            </w:tcBorders>
            <w:shd w:val="clear" w:color="000000" w:fill="FFEF9C"/>
            <w:noWrap/>
            <w:vAlign w:val="bottom"/>
            <w:hideMark/>
          </w:tcPr>
          <w:p w14:paraId="4F4978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0A903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EF4A17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9E2652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4D4EB79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5FE53D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86D5D9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2471872" w14:textId="77777777" w:rsidTr="00B66BD9">
        <w:trPr>
          <w:trHeight w:val="260"/>
          <w:jc w:val="center"/>
        </w:trPr>
        <w:tc>
          <w:tcPr>
            <w:tcW w:w="2648" w:type="dxa"/>
            <w:tcBorders>
              <w:top w:val="nil"/>
              <w:left w:val="nil"/>
              <w:bottom w:val="nil"/>
              <w:right w:val="nil"/>
            </w:tcBorders>
            <w:noWrap/>
            <w:vAlign w:val="bottom"/>
            <w:hideMark/>
          </w:tcPr>
          <w:p w14:paraId="02B5151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Etofenprox</w:t>
            </w:r>
          </w:p>
        </w:tc>
        <w:tc>
          <w:tcPr>
            <w:tcW w:w="783" w:type="dxa"/>
            <w:tcBorders>
              <w:top w:val="nil"/>
              <w:left w:val="nil"/>
              <w:bottom w:val="nil"/>
              <w:right w:val="nil"/>
            </w:tcBorders>
            <w:shd w:val="clear" w:color="000000" w:fill="FFEF9C"/>
            <w:noWrap/>
            <w:vAlign w:val="bottom"/>
            <w:hideMark/>
          </w:tcPr>
          <w:p w14:paraId="77F61B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3799F20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27E7818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77605F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73E595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DF67C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42388E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110F25D0" w14:textId="77777777" w:rsidTr="00B66BD9">
        <w:trPr>
          <w:trHeight w:val="260"/>
          <w:jc w:val="center"/>
        </w:trPr>
        <w:tc>
          <w:tcPr>
            <w:tcW w:w="2648" w:type="dxa"/>
            <w:tcBorders>
              <w:top w:val="nil"/>
              <w:left w:val="nil"/>
              <w:bottom w:val="nil"/>
              <w:right w:val="nil"/>
            </w:tcBorders>
            <w:noWrap/>
            <w:vAlign w:val="bottom"/>
            <w:hideMark/>
          </w:tcPr>
          <w:p w14:paraId="0C81BF29"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Etridiazole</w:t>
            </w:r>
          </w:p>
        </w:tc>
        <w:tc>
          <w:tcPr>
            <w:tcW w:w="783" w:type="dxa"/>
            <w:tcBorders>
              <w:top w:val="nil"/>
              <w:left w:val="nil"/>
              <w:bottom w:val="nil"/>
              <w:right w:val="nil"/>
            </w:tcBorders>
            <w:shd w:val="clear" w:color="000000" w:fill="FFEF9C"/>
            <w:noWrap/>
            <w:vAlign w:val="bottom"/>
            <w:hideMark/>
          </w:tcPr>
          <w:p w14:paraId="688F310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858CF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620B388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385607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0ED2E7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C019ED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5386F3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C1F0AB0" w14:textId="77777777" w:rsidTr="00B66BD9">
        <w:trPr>
          <w:trHeight w:val="260"/>
          <w:jc w:val="center"/>
        </w:trPr>
        <w:tc>
          <w:tcPr>
            <w:tcW w:w="2648" w:type="dxa"/>
            <w:tcBorders>
              <w:top w:val="nil"/>
              <w:left w:val="nil"/>
              <w:bottom w:val="nil"/>
              <w:right w:val="nil"/>
            </w:tcBorders>
            <w:noWrap/>
            <w:vAlign w:val="bottom"/>
            <w:hideMark/>
          </w:tcPr>
          <w:p w14:paraId="0D2A6339"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Fenamiphos</w:t>
            </w:r>
            <w:proofErr w:type="spellEnd"/>
          </w:p>
        </w:tc>
        <w:tc>
          <w:tcPr>
            <w:tcW w:w="783" w:type="dxa"/>
            <w:tcBorders>
              <w:top w:val="nil"/>
              <w:left w:val="nil"/>
              <w:bottom w:val="nil"/>
              <w:right w:val="nil"/>
            </w:tcBorders>
            <w:shd w:val="clear" w:color="000000" w:fill="63BE7B"/>
            <w:noWrap/>
            <w:vAlign w:val="bottom"/>
            <w:hideMark/>
          </w:tcPr>
          <w:p w14:paraId="2E2D40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1904AA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6316CF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7D2B0B5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75E4E4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7EF20E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BCE80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8B9A817" w14:textId="77777777" w:rsidTr="00B66BD9">
        <w:trPr>
          <w:trHeight w:val="260"/>
          <w:jc w:val="center"/>
        </w:trPr>
        <w:tc>
          <w:tcPr>
            <w:tcW w:w="2648" w:type="dxa"/>
            <w:tcBorders>
              <w:top w:val="nil"/>
              <w:left w:val="nil"/>
              <w:bottom w:val="nil"/>
              <w:right w:val="nil"/>
            </w:tcBorders>
            <w:noWrap/>
            <w:vAlign w:val="bottom"/>
            <w:hideMark/>
          </w:tcPr>
          <w:p w14:paraId="3DE9BD6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Fenarimol</w:t>
            </w:r>
          </w:p>
        </w:tc>
        <w:tc>
          <w:tcPr>
            <w:tcW w:w="783" w:type="dxa"/>
            <w:tcBorders>
              <w:top w:val="nil"/>
              <w:left w:val="nil"/>
              <w:bottom w:val="nil"/>
              <w:right w:val="nil"/>
            </w:tcBorders>
            <w:shd w:val="clear" w:color="000000" w:fill="FFEF9C"/>
            <w:noWrap/>
            <w:vAlign w:val="bottom"/>
            <w:hideMark/>
          </w:tcPr>
          <w:p w14:paraId="4B1507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0C781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0BC1C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4B9914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ABCC2A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683554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76C81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A1C494B" w14:textId="77777777" w:rsidTr="00B66BD9">
        <w:trPr>
          <w:trHeight w:val="260"/>
          <w:jc w:val="center"/>
        </w:trPr>
        <w:tc>
          <w:tcPr>
            <w:tcW w:w="2648" w:type="dxa"/>
            <w:tcBorders>
              <w:top w:val="nil"/>
              <w:left w:val="nil"/>
              <w:bottom w:val="nil"/>
              <w:right w:val="nil"/>
            </w:tcBorders>
            <w:noWrap/>
            <w:vAlign w:val="bottom"/>
            <w:hideMark/>
          </w:tcPr>
          <w:p w14:paraId="65726D4B"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Fenchlorphos</w:t>
            </w:r>
            <w:proofErr w:type="spellEnd"/>
          </w:p>
        </w:tc>
        <w:tc>
          <w:tcPr>
            <w:tcW w:w="783" w:type="dxa"/>
            <w:tcBorders>
              <w:top w:val="nil"/>
              <w:left w:val="nil"/>
              <w:bottom w:val="nil"/>
              <w:right w:val="nil"/>
            </w:tcBorders>
            <w:shd w:val="clear" w:color="000000" w:fill="FFEF9C"/>
            <w:noWrap/>
            <w:vAlign w:val="bottom"/>
            <w:hideMark/>
          </w:tcPr>
          <w:p w14:paraId="71D7C8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E3423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142E48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E44FE3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7D90C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CCDBE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C21DC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D108830" w14:textId="77777777" w:rsidTr="00B66BD9">
        <w:trPr>
          <w:trHeight w:val="260"/>
          <w:jc w:val="center"/>
        </w:trPr>
        <w:tc>
          <w:tcPr>
            <w:tcW w:w="2648" w:type="dxa"/>
            <w:tcBorders>
              <w:top w:val="nil"/>
              <w:left w:val="nil"/>
              <w:bottom w:val="nil"/>
              <w:right w:val="nil"/>
            </w:tcBorders>
            <w:noWrap/>
            <w:vAlign w:val="bottom"/>
            <w:hideMark/>
          </w:tcPr>
          <w:p w14:paraId="3A3497AA" w14:textId="36F3D7A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Fenitrothion</w:t>
            </w:r>
          </w:p>
        </w:tc>
        <w:tc>
          <w:tcPr>
            <w:tcW w:w="783" w:type="dxa"/>
            <w:tcBorders>
              <w:top w:val="nil"/>
              <w:left w:val="nil"/>
              <w:bottom w:val="nil"/>
              <w:right w:val="nil"/>
            </w:tcBorders>
            <w:shd w:val="clear" w:color="000000" w:fill="FFEF9C"/>
            <w:noWrap/>
            <w:vAlign w:val="bottom"/>
            <w:hideMark/>
          </w:tcPr>
          <w:p w14:paraId="0EAB314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88EF09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EB0FC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6C2F3E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01331E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B6DDD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0CEEA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24DEFE1D" w14:textId="77777777" w:rsidTr="00B66BD9">
        <w:trPr>
          <w:trHeight w:val="260"/>
          <w:jc w:val="center"/>
        </w:trPr>
        <w:tc>
          <w:tcPr>
            <w:tcW w:w="2648" w:type="dxa"/>
            <w:tcBorders>
              <w:top w:val="nil"/>
              <w:left w:val="nil"/>
              <w:bottom w:val="nil"/>
              <w:right w:val="nil"/>
            </w:tcBorders>
            <w:noWrap/>
            <w:vAlign w:val="bottom"/>
            <w:hideMark/>
          </w:tcPr>
          <w:p w14:paraId="3E457B5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Fenpropathrin</w:t>
            </w:r>
            <w:proofErr w:type="spellEnd"/>
          </w:p>
        </w:tc>
        <w:tc>
          <w:tcPr>
            <w:tcW w:w="783" w:type="dxa"/>
            <w:tcBorders>
              <w:top w:val="nil"/>
              <w:left w:val="nil"/>
              <w:bottom w:val="nil"/>
              <w:right w:val="nil"/>
            </w:tcBorders>
            <w:shd w:val="clear" w:color="000000" w:fill="63BE7B"/>
            <w:noWrap/>
            <w:vAlign w:val="bottom"/>
            <w:hideMark/>
          </w:tcPr>
          <w:p w14:paraId="0A9AAE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B2526C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B4EC9E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8A3D88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70B60BA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2E90AD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1527F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55ECD1F3" w14:textId="77777777" w:rsidTr="00B66BD9">
        <w:trPr>
          <w:trHeight w:val="260"/>
          <w:jc w:val="center"/>
        </w:trPr>
        <w:tc>
          <w:tcPr>
            <w:tcW w:w="2648" w:type="dxa"/>
            <w:tcBorders>
              <w:top w:val="nil"/>
              <w:left w:val="nil"/>
              <w:bottom w:val="nil"/>
              <w:right w:val="nil"/>
            </w:tcBorders>
            <w:noWrap/>
            <w:vAlign w:val="bottom"/>
            <w:hideMark/>
          </w:tcPr>
          <w:p w14:paraId="19C7739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Fenson</w:t>
            </w:r>
          </w:p>
        </w:tc>
        <w:tc>
          <w:tcPr>
            <w:tcW w:w="783" w:type="dxa"/>
            <w:tcBorders>
              <w:top w:val="nil"/>
              <w:left w:val="nil"/>
              <w:bottom w:val="nil"/>
              <w:right w:val="nil"/>
            </w:tcBorders>
            <w:shd w:val="clear" w:color="000000" w:fill="FFEF9C"/>
            <w:noWrap/>
            <w:vAlign w:val="bottom"/>
            <w:hideMark/>
          </w:tcPr>
          <w:p w14:paraId="13A9D4D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55677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112988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1665D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F1C2BD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6CBBF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1877D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32E0672F" w14:textId="77777777" w:rsidTr="00B66BD9">
        <w:trPr>
          <w:trHeight w:val="260"/>
          <w:jc w:val="center"/>
        </w:trPr>
        <w:tc>
          <w:tcPr>
            <w:tcW w:w="2648" w:type="dxa"/>
            <w:tcBorders>
              <w:top w:val="nil"/>
              <w:left w:val="nil"/>
              <w:bottom w:val="nil"/>
              <w:right w:val="nil"/>
            </w:tcBorders>
            <w:noWrap/>
            <w:vAlign w:val="bottom"/>
            <w:hideMark/>
          </w:tcPr>
          <w:p w14:paraId="793F466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Fenvalerate-1</w:t>
            </w:r>
          </w:p>
        </w:tc>
        <w:tc>
          <w:tcPr>
            <w:tcW w:w="783" w:type="dxa"/>
            <w:tcBorders>
              <w:top w:val="nil"/>
              <w:left w:val="nil"/>
              <w:bottom w:val="nil"/>
              <w:right w:val="nil"/>
            </w:tcBorders>
            <w:shd w:val="clear" w:color="000000" w:fill="63BE7B"/>
            <w:noWrap/>
            <w:vAlign w:val="bottom"/>
            <w:hideMark/>
          </w:tcPr>
          <w:p w14:paraId="0B7C78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134BC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F315A8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36A3AC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D5D4F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FC40EC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F77D2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259BEF3B" w14:textId="77777777" w:rsidTr="00B66BD9">
        <w:trPr>
          <w:trHeight w:val="260"/>
          <w:jc w:val="center"/>
        </w:trPr>
        <w:tc>
          <w:tcPr>
            <w:tcW w:w="2648" w:type="dxa"/>
            <w:tcBorders>
              <w:top w:val="nil"/>
              <w:left w:val="nil"/>
              <w:bottom w:val="nil"/>
              <w:right w:val="nil"/>
            </w:tcBorders>
            <w:noWrap/>
            <w:vAlign w:val="bottom"/>
            <w:hideMark/>
          </w:tcPr>
          <w:p w14:paraId="65E3514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Fenvalerate-2</w:t>
            </w:r>
          </w:p>
        </w:tc>
        <w:tc>
          <w:tcPr>
            <w:tcW w:w="783" w:type="dxa"/>
            <w:tcBorders>
              <w:top w:val="nil"/>
              <w:left w:val="nil"/>
              <w:bottom w:val="nil"/>
              <w:right w:val="nil"/>
            </w:tcBorders>
            <w:shd w:val="clear" w:color="000000" w:fill="FFEF9C"/>
            <w:noWrap/>
            <w:vAlign w:val="bottom"/>
            <w:hideMark/>
          </w:tcPr>
          <w:p w14:paraId="5CB153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9D77FA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B483E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1D9ED76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1B97D0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3FE58B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F9F84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10B71973" w14:textId="77777777" w:rsidTr="00B66BD9">
        <w:trPr>
          <w:trHeight w:val="260"/>
          <w:jc w:val="center"/>
        </w:trPr>
        <w:tc>
          <w:tcPr>
            <w:tcW w:w="2648" w:type="dxa"/>
            <w:tcBorders>
              <w:top w:val="nil"/>
              <w:left w:val="nil"/>
              <w:bottom w:val="nil"/>
              <w:right w:val="nil"/>
            </w:tcBorders>
            <w:noWrap/>
            <w:vAlign w:val="bottom"/>
            <w:hideMark/>
          </w:tcPr>
          <w:p w14:paraId="6A3561CE"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Fethion</w:t>
            </w:r>
            <w:proofErr w:type="spellEnd"/>
          </w:p>
        </w:tc>
        <w:tc>
          <w:tcPr>
            <w:tcW w:w="783" w:type="dxa"/>
            <w:tcBorders>
              <w:top w:val="nil"/>
              <w:left w:val="nil"/>
              <w:bottom w:val="nil"/>
              <w:right w:val="nil"/>
            </w:tcBorders>
            <w:shd w:val="clear" w:color="000000" w:fill="63BE7B"/>
            <w:noWrap/>
            <w:vAlign w:val="bottom"/>
            <w:hideMark/>
          </w:tcPr>
          <w:p w14:paraId="1CF5FE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2434D02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192163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0FA78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3DE98D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D9A8C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CFAE8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177E7492" w14:textId="77777777" w:rsidTr="00B66BD9">
        <w:trPr>
          <w:trHeight w:val="260"/>
          <w:jc w:val="center"/>
        </w:trPr>
        <w:tc>
          <w:tcPr>
            <w:tcW w:w="2648" w:type="dxa"/>
            <w:tcBorders>
              <w:top w:val="nil"/>
              <w:left w:val="nil"/>
              <w:bottom w:val="nil"/>
              <w:right w:val="nil"/>
            </w:tcBorders>
            <w:noWrap/>
            <w:vAlign w:val="bottom"/>
            <w:hideMark/>
          </w:tcPr>
          <w:p w14:paraId="5B58102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Fipronil</w:t>
            </w:r>
          </w:p>
        </w:tc>
        <w:tc>
          <w:tcPr>
            <w:tcW w:w="783" w:type="dxa"/>
            <w:tcBorders>
              <w:top w:val="nil"/>
              <w:left w:val="nil"/>
              <w:bottom w:val="nil"/>
              <w:right w:val="nil"/>
            </w:tcBorders>
            <w:shd w:val="clear" w:color="000000" w:fill="FFEF9C"/>
            <w:noWrap/>
            <w:vAlign w:val="bottom"/>
            <w:hideMark/>
          </w:tcPr>
          <w:p w14:paraId="5C710EB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84EA58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C30E9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7B6BB2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DAC0F3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CD1E4F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B4A96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6ED04F6" w14:textId="77777777" w:rsidTr="00B66BD9">
        <w:trPr>
          <w:trHeight w:val="260"/>
          <w:jc w:val="center"/>
        </w:trPr>
        <w:tc>
          <w:tcPr>
            <w:tcW w:w="2648" w:type="dxa"/>
            <w:tcBorders>
              <w:top w:val="nil"/>
              <w:left w:val="nil"/>
              <w:bottom w:val="nil"/>
              <w:right w:val="nil"/>
            </w:tcBorders>
            <w:noWrap/>
            <w:vAlign w:val="bottom"/>
            <w:hideMark/>
          </w:tcPr>
          <w:p w14:paraId="694AB43E"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Fluchloralin</w:t>
            </w:r>
            <w:proofErr w:type="spellEnd"/>
          </w:p>
        </w:tc>
        <w:tc>
          <w:tcPr>
            <w:tcW w:w="783" w:type="dxa"/>
            <w:tcBorders>
              <w:top w:val="nil"/>
              <w:left w:val="nil"/>
              <w:bottom w:val="nil"/>
              <w:right w:val="nil"/>
            </w:tcBorders>
            <w:shd w:val="clear" w:color="000000" w:fill="FFEF9C"/>
            <w:noWrap/>
            <w:vAlign w:val="bottom"/>
            <w:hideMark/>
          </w:tcPr>
          <w:p w14:paraId="71F198F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C874CB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4D981A9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F421A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5FCD1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EFF84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B848B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157E440" w14:textId="77777777" w:rsidTr="00B66BD9">
        <w:trPr>
          <w:trHeight w:val="260"/>
          <w:jc w:val="center"/>
        </w:trPr>
        <w:tc>
          <w:tcPr>
            <w:tcW w:w="2648" w:type="dxa"/>
            <w:tcBorders>
              <w:top w:val="nil"/>
              <w:left w:val="nil"/>
              <w:bottom w:val="nil"/>
              <w:right w:val="nil"/>
            </w:tcBorders>
            <w:noWrap/>
            <w:vAlign w:val="bottom"/>
            <w:hideMark/>
          </w:tcPr>
          <w:p w14:paraId="2DE4460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Flucythrinate-1</w:t>
            </w:r>
          </w:p>
        </w:tc>
        <w:tc>
          <w:tcPr>
            <w:tcW w:w="783" w:type="dxa"/>
            <w:tcBorders>
              <w:top w:val="nil"/>
              <w:left w:val="nil"/>
              <w:bottom w:val="nil"/>
              <w:right w:val="nil"/>
            </w:tcBorders>
            <w:shd w:val="clear" w:color="000000" w:fill="63BE7B"/>
            <w:noWrap/>
            <w:vAlign w:val="bottom"/>
            <w:hideMark/>
          </w:tcPr>
          <w:p w14:paraId="295F73A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4DE3AF5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2CAA43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30B16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7B5A71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7C407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668E6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532E350F" w14:textId="77777777" w:rsidTr="00B66BD9">
        <w:trPr>
          <w:trHeight w:val="260"/>
          <w:jc w:val="center"/>
        </w:trPr>
        <w:tc>
          <w:tcPr>
            <w:tcW w:w="2648" w:type="dxa"/>
            <w:tcBorders>
              <w:top w:val="nil"/>
              <w:left w:val="nil"/>
              <w:bottom w:val="nil"/>
              <w:right w:val="nil"/>
            </w:tcBorders>
            <w:noWrap/>
            <w:vAlign w:val="bottom"/>
            <w:hideMark/>
          </w:tcPr>
          <w:p w14:paraId="33DC41A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Flucythrinate-2</w:t>
            </w:r>
          </w:p>
        </w:tc>
        <w:tc>
          <w:tcPr>
            <w:tcW w:w="783" w:type="dxa"/>
            <w:tcBorders>
              <w:top w:val="nil"/>
              <w:left w:val="nil"/>
              <w:bottom w:val="nil"/>
              <w:right w:val="nil"/>
            </w:tcBorders>
            <w:shd w:val="clear" w:color="000000" w:fill="63BE7B"/>
            <w:noWrap/>
            <w:vAlign w:val="bottom"/>
            <w:hideMark/>
          </w:tcPr>
          <w:p w14:paraId="23CF1A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5B4ABFF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DB323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C6E44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D46C99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FB0F06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202DEE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0B75C476" w14:textId="77777777" w:rsidTr="00B66BD9">
        <w:trPr>
          <w:trHeight w:val="260"/>
          <w:jc w:val="center"/>
        </w:trPr>
        <w:tc>
          <w:tcPr>
            <w:tcW w:w="2648" w:type="dxa"/>
            <w:tcBorders>
              <w:top w:val="nil"/>
              <w:left w:val="nil"/>
              <w:bottom w:val="nil"/>
              <w:right w:val="nil"/>
            </w:tcBorders>
            <w:noWrap/>
            <w:vAlign w:val="bottom"/>
            <w:hideMark/>
          </w:tcPr>
          <w:p w14:paraId="2EB664E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Fludioxonil</w:t>
            </w:r>
          </w:p>
        </w:tc>
        <w:tc>
          <w:tcPr>
            <w:tcW w:w="783" w:type="dxa"/>
            <w:tcBorders>
              <w:top w:val="nil"/>
              <w:left w:val="nil"/>
              <w:bottom w:val="nil"/>
              <w:right w:val="nil"/>
            </w:tcBorders>
            <w:shd w:val="clear" w:color="000000" w:fill="63BE7B"/>
            <w:noWrap/>
            <w:vAlign w:val="bottom"/>
            <w:hideMark/>
          </w:tcPr>
          <w:p w14:paraId="264AC8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DEECF7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D994B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CFF418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78100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AF56F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4BAC07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C2989F5" w14:textId="77777777" w:rsidTr="00B66BD9">
        <w:trPr>
          <w:trHeight w:val="260"/>
          <w:jc w:val="center"/>
        </w:trPr>
        <w:tc>
          <w:tcPr>
            <w:tcW w:w="2648" w:type="dxa"/>
            <w:tcBorders>
              <w:top w:val="nil"/>
              <w:left w:val="nil"/>
              <w:bottom w:val="nil"/>
              <w:right w:val="nil"/>
            </w:tcBorders>
            <w:noWrap/>
            <w:vAlign w:val="bottom"/>
            <w:hideMark/>
          </w:tcPr>
          <w:p w14:paraId="3FFE9DB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Fluquinconazole</w:t>
            </w:r>
          </w:p>
        </w:tc>
        <w:tc>
          <w:tcPr>
            <w:tcW w:w="783" w:type="dxa"/>
            <w:tcBorders>
              <w:top w:val="nil"/>
              <w:left w:val="nil"/>
              <w:bottom w:val="nil"/>
              <w:right w:val="nil"/>
            </w:tcBorders>
            <w:shd w:val="clear" w:color="000000" w:fill="63BE7B"/>
            <w:noWrap/>
            <w:vAlign w:val="bottom"/>
            <w:hideMark/>
          </w:tcPr>
          <w:p w14:paraId="25F432F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454194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9599F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E3CE6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16B614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F80C5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A37DD1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DAA9497" w14:textId="77777777" w:rsidTr="00B66BD9">
        <w:trPr>
          <w:trHeight w:val="260"/>
          <w:jc w:val="center"/>
        </w:trPr>
        <w:tc>
          <w:tcPr>
            <w:tcW w:w="2648" w:type="dxa"/>
            <w:tcBorders>
              <w:top w:val="nil"/>
              <w:left w:val="nil"/>
              <w:bottom w:val="nil"/>
              <w:right w:val="nil"/>
            </w:tcBorders>
            <w:noWrap/>
            <w:vAlign w:val="bottom"/>
            <w:hideMark/>
          </w:tcPr>
          <w:p w14:paraId="209E443D"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Fluridone</w:t>
            </w:r>
            <w:proofErr w:type="spellEnd"/>
          </w:p>
        </w:tc>
        <w:tc>
          <w:tcPr>
            <w:tcW w:w="783" w:type="dxa"/>
            <w:tcBorders>
              <w:top w:val="nil"/>
              <w:left w:val="nil"/>
              <w:bottom w:val="nil"/>
              <w:right w:val="nil"/>
            </w:tcBorders>
            <w:shd w:val="clear" w:color="000000" w:fill="63BE7B"/>
            <w:noWrap/>
            <w:vAlign w:val="bottom"/>
            <w:hideMark/>
          </w:tcPr>
          <w:p w14:paraId="72AC8F8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10B372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650095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78258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E7976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4CD26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D48D1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6F3D979" w14:textId="77777777" w:rsidTr="00B66BD9">
        <w:trPr>
          <w:trHeight w:val="260"/>
          <w:jc w:val="center"/>
        </w:trPr>
        <w:tc>
          <w:tcPr>
            <w:tcW w:w="2648" w:type="dxa"/>
            <w:tcBorders>
              <w:top w:val="nil"/>
              <w:left w:val="nil"/>
              <w:bottom w:val="nil"/>
              <w:right w:val="nil"/>
            </w:tcBorders>
            <w:noWrap/>
            <w:vAlign w:val="bottom"/>
            <w:hideMark/>
          </w:tcPr>
          <w:p w14:paraId="54134BB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Flusilazole</w:t>
            </w:r>
          </w:p>
        </w:tc>
        <w:tc>
          <w:tcPr>
            <w:tcW w:w="783" w:type="dxa"/>
            <w:tcBorders>
              <w:top w:val="nil"/>
              <w:left w:val="nil"/>
              <w:bottom w:val="nil"/>
              <w:right w:val="nil"/>
            </w:tcBorders>
            <w:shd w:val="clear" w:color="000000" w:fill="FFEF9C"/>
            <w:noWrap/>
            <w:vAlign w:val="bottom"/>
            <w:hideMark/>
          </w:tcPr>
          <w:p w14:paraId="034D2D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2E4299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61D08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2D695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D27A9C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5AA5E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408F6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5906F90" w14:textId="77777777" w:rsidTr="00B66BD9">
        <w:trPr>
          <w:trHeight w:val="260"/>
          <w:jc w:val="center"/>
        </w:trPr>
        <w:tc>
          <w:tcPr>
            <w:tcW w:w="2648" w:type="dxa"/>
            <w:tcBorders>
              <w:top w:val="nil"/>
              <w:left w:val="nil"/>
              <w:bottom w:val="nil"/>
              <w:right w:val="nil"/>
            </w:tcBorders>
            <w:noWrap/>
            <w:vAlign w:val="bottom"/>
            <w:hideMark/>
          </w:tcPr>
          <w:p w14:paraId="33EAD897"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Flutolanil</w:t>
            </w:r>
          </w:p>
        </w:tc>
        <w:tc>
          <w:tcPr>
            <w:tcW w:w="783" w:type="dxa"/>
            <w:tcBorders>
              <w:top w:val="nil"/>
              <w:left w:val="nil"/>
              <w:bottom w:val="nil"/>
              <w:right w:val="nil"/>
            </w:tcBorders>
            <w:shd w:val="clear" w:color="000000" w:fill="63BE7B"/>
            <w:noWrap/>
            <w:vAlign w:val="bottom"/>
            <w:hideMark/>
          </w:tcPr>
          <w:p w14:paraId="5383E6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06281DA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C0744A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DE2579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7F48402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11D13C3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30082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58513C9" w14:textId="77777777" w:rsidTr="00B66BD9">
        <w:trPr>
          <w:trHeight w:val="260"/>
          <w:jc w:val="center"/>
        </w:trPr>
        <w:tc>
          <w:tcPr>
            <w:tcW w:w="2648" w:type="dxa"/>
            <w:tcBorders>
              <w:top w:val="nil"/>
              <w:left w:val="nil"/>
              <w:bottom w:val="nil"/>
              <w:right w:val="nil"/>
            </w:tcBorders>
            <w:noWrap/>
            <w:vAlign w:val="bottom"/>
            <w:hideMark/>
          </w:tcPr>
          <w:p w14:paraId="7114E39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Flutriafol</w:t>
            </w:r>
          </w:p>
        </w:tc>
        <w:tc>
          <w:tcPr>
            <w:tcW w:w="783" w:type="dxa"/>
            <w:tcBorders>
              <w:top w:val="nil"/>
              <w:left w:val="nil"/>
              <w:bottom w:val="nil"/>
              <w:right w:val="nil"/>
            </w:tcBorders>
            <w:shd w:val="clear" w:color="000000" w:fill="FFEF9C"/>
            <w:noWrap/>
            <w:vAlign w:val="bottom"/>
            <w:hideMark/>
          </w:tcPr>
          <w:p w14:paraId="496D0B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759455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6C656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1EC823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94C03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4245EC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254AD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93158C1" w14:textId="77777777" w:rsidTr="00B66BD9">
        <w:trPr>
          <w:trHeight w:val="260"/>
          <w:jc w:val="center"/>
        </w:trPr>
        <w:tc>
          <w:tcPr>
            <w:tcW w:w="2648" w:type="dxa"/>
            <w:tcBorders>
              <w:top w:val="nil"/>
              <w:left w:val="nil"/>
              <w:bottom w:val="nil"/>
              <w:right w:val="nil"/>
            </w:tcBorders>
            <w:noWrap/>
            <w:vAlign w:val="bottom"/>
            <w:hideMark/>
          </w:tcPr>
          <w:p w14:paraId="2D54B779"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Fluvalinate-1</w:t>
            </w:r>
          </w:p>
        </w:tc>
        <w:tc>
          <w:tcPr>
            <w:tcW w:w="783" w:type="dxa"/>
            <w:tcBorders>
              <w:top w:val="nil"/>
              <w:left w:val="nil"/>
              <w:bottom w:val="nil"/>
              <w:right w:val="nil"/>
            </w:tcBorders>
            <w:shd w:val="clear" w:color="000000" w:fill="63BE7B"/>
            <w:noWrap/>
            <w:vAlign w:val="bottom"/>
            <w:hideMark/>
          </w:tcPr>
          <w:p w14:paraId="260F72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9A0C9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8609D9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D8B216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3D8DE5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79B117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2FA58E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45DFC052" w14:textId="77777777" w:rsidTr="00B66BD9">
        <w:trPr>
          <w:trHeight w:val="260"/>
          <w:jc w:val="center"/>
        </w:trPr>
        <w:tc>
          <w:tcPr>
            <w:tcW w:w="2648" w:type="dxa"/>
            <w:tcBorders>
              <w:top w:val="nil"/>
              <w:left w:val="nil"/>
              <w:bottom w:val="nil"/>
              <w:right w:val="nil"/>
            </w:tcBorders>
            <w:noWrap/>
            <w:vAlign w:val="bottom"/>
            <w:hideMark/>
          </w:tcPr>
          <w:p w14:paraId="3526BEDA"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Fonofos</w:t>
            </w:r>
            <w:proofErr w:type="spellEnd"/>
          </w:p>
        </w:tc>
        <w:tc>
          <w:tcPr>
            <w:tcW w:w="783" w:type="dxa"/>
            <w:tcBorders>
              <w:top w:val="nil"/>
              <w:left w:val="nil"/>
              <w:bottom w:val="nil"/>
              <w:right w:val="nil"/>
            </w:tcBorders>
            <w:shd w:val="clear" w:color="000000" w:fill="FFEF9C"/>
            <w:noWrap/>
            <w:vAlign w:val="bottom"/>
            <w:hideMark/>
          </w:tcPr>
          <w:p w14:paraId="2A7489C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3D5CC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C0553C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036CA7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A5C22C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BAED6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D7829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2D31A4C" w14:textId="77777777" w:rsidTr="00B66BD9">
        <w:trPr>
          <w:trHeight w:val="260"/>
          <w:jc w:val="center"/>
        </w:trPr>
        <w:tc>
          <w:tcPr>
            <w:tcW w:w="2648" w:type="dxa"/>
            <w:tcBorders>
              <w:top w:val="nil"/>
              <w:left w:val="nil"/>
              <w:bottom w:val="nil"/>
              <w:right w:val="nil"/>
            </w:tcBorders>
            <w:noWrap/>
            <w:vAlign w:val="bottom"/>
            <w:hideMark/>
          </w:tcPr>
          <w:p w14:paraId="33E1F46A" w14:textId="43A4FD75"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lastRenderedPageBreak/>
              <w:t>Heptachlor</w:t>
            </w:r>
          </w:p>
        </w:tc>
        <w:tc>
          <w:tcPr>
            <w:tcW w:w="783" w:type="dxa"/>
            <w:tcBorders>
              <w:top w:val="nil"/>
              <w:left w:val="nil"/>
              <w:bottom w:val="nil"/>
              <w:right w:val="nil"/>
            </w:tcBorders>
            <w:shd w:val="clear" w:color="000000" w:fill="FFEF9C"/>
            <w:noWrap/>
            <w:vAlign w:val="bottom"/>
            <w:hideMark/>
          </w:tcPr>
          <w:p w14:paraId="7E6A4C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EF9CAC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5FE5A3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07B43E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8D4E1F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9EE85C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E8EAEC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DF2B75C" w14:textId="77777777" w:rsidTr="00B66BD9">
        <w:trPr>
          <w:trHeight w:val="260"/>
          <w:jc w:val="center"/>
        </w:trPr>
        <w:tc>
          <w:tcPr>
            <w:tcW w:w="2648" w:type="dxa"/>
            <w:tcBorders>
              <w:top w:val="nil"/>
              <w:left w:val="nil"/>
              <w:bottom w:val="nil"/>
              <w:right w:val="nil"/>
            </w:tcBorders>
            <w:noWrap/>
            <w:vAlign w:val="bottom"/>
            <w:hideMark/>
          </w:tcPr>
          <w:p w14:paraId="57A4BCEF"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Heptachlor-</w:t>
            </w:r>
            <w:proofErr w:type="spellStart"/>
            <w:r w:rsidRPr="008E1FC4">
              <w:rPr>
                <w:rFonts w:ascii="Arial" w:hAnsi="Arial" w:cs="Arial"/>
                <w:color w:val="000000"/>
                <w:lang w:eastAsia="en-IN"/>
              </w:rPr>
              <w:t>exo</w:t>
            </w:r>
            <w:proofErr w:type="spellEnd"/>
            <w:r w:rsidRPr="008E1FC4">
              <w:rPr>
                <w:rFonts w:ascii="Arial" w:hAnsi="Arial" w:cs="Arial"/>
                <w:color w:val="000000"/>
                <w:lang w:eastAsia="en-IN"/>
              </w:rPr>
              <w:t>-epoxide</w:t>
            </w:r>
          </w:p>
        </w:tc>
        <w:tc>
          <w:tcPr>
            <w:tcW w:w="783" w:type="dxa"/>
            <w:tcBorders>
              <w:top w:val="nil"/>
              <w:left w:val="nil"/>
              <w:bottom w:val="nil"/>
              <w:right w:val="nil"/>
            </w:tcBorders>
            <w:shd w:val="clear" w:color="000000" w:fill="FFEF9C"/>
            <w:noWrap/>
            <w:vAlign w:val="bottom"/>
            <w:hideMark/>
          </w:tcPr>
          <w:p w14:paraId="65F1092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AF9A97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06E7E55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9563F0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CBBE1A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ECBB6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81CA4F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4158134" w14:textId="77777777" w:rsidTr="00B66BD9">
        <w:trPr>
          <w:trHeight w:val="260"/>
          <w:jc w:val="center"/>
        </w:trPr>
        <w:tc>
          <w:tcPr>
            <w:tcW w:w="2648" w:type="dxa"/>
            <w:tcBorders>
              <w:top w:val="nil"/>
              <w:left w:val="nil"/>
              <w:bottom w:val="nil"/>
              <w:right w:val="nil"/>
            </w:tcBorders>
            <w:noWrap/>
            <w:vAlign w:val="bottom"/>
            <w:hideMark/>
          </w:tcPr>
          <w:p w14:paraId="33710D67" w14:textId="2B9C388A"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Hexachlorobenzene</w:t>
            </w:r>
          </w:p>
        </w:tc>
        <w:tc>
          <w:tcPr>
            <w:tcW w:w="783" w:type="dxa"/>
            <w:tcBorders>
              <w:top w:val="nil"/>
              <w:left w:val="nil"/>
              <w:bottom w:val="nil"/>
              <w:right w:val="nil"/>
            </w:tcBorders>
            <w:shd w:val="clear" w:color="000000" w:fill="63BE7B"/>
            <w:noWrap/>
            <w:vAlign w:val="bottom"/>
            <w:hideMark/>
          </w:tcPr>
          <w:p w14:paraId="131BFF1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416B5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62DAD4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15DAE6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1F75F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A078A0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E4765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C3D3E16" w14:textId="77777777" w:rsidTr="00B66BD9">
        <w:trPr>
          <w:trHeight w:val="260"/>
          <w:jc w:val="center"/>
        </w:trPr>
        <w:tc>
          <w:tcPr>
            <w:tcW w:w="2648" w:type="dxa"/>
            <w:tcBorders>
              <w:top w:val="nil"/>
              <w:left w:val="nil"/>
              <w:bottom w:val="nil"/>
              <w:right w:val="nil"/>
            </w:tcBorders>
            <w:noWrap/>
            <w:vAlign w:val="bottom"/>
            <w:hideMark/>
          </w:tcPr>
          <w:p w14:paraId="780A8E5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Hexazinone</w:t>
            </w:r>
          </w:p>
        </w:tc>
        <w:tc>
          <w:tcPr>
            <w:tcW w:w="783" w:type="dxa"/>
            <w:tcBorders>
              <w:top w:val="nil"/>
              <w:left w:val="nil"/>
              <w:bottom w:val="nil"/>
              <w:right w:val="nil"/>
            </w:tcBorders>
            <w:shd w:val="clear" w:color="000000" w:fill="63BE7B"/>
            <w:noWrap/>
            <w:vAlign w:val="bottom"/>
            <w:hideMark/>
          </w:tcPr>
          <w:p w14:paraId="48029EF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798D5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D3AC81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31A85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6B7E72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D0DD7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71A04F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E3BBED3" w14:textId="77777777" w:rsidTr="00B66BD9">
        <w:trPr>
          <w:trHeight w:val="260"/>
          <w:jc w:val="center"/>
        </w:trPr>
        <w:tc>
          <w:tcPr>
            <w:tcW w:w="2648" w:type="dxa"/>
            <w:tcBorders>
              <w:top w:val="nil"/>
              <w:left w:val="nil"/>
              <w:bottom w:val="nil"/>
              <w:right w:val="nil"/>
            </w:tcBorders>
            <w:noWrap/>
            <w:vAlign w:val="bottom"/>
            <w:hideMark/>
          </w:tcPr>
          <w:p w14:paraId="6483C15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Iprodione</w:t>
            </w:r>
          </w:p>
        </w:tc>
        <w:tc>
          <w:tcPr>
            <w:tcW w:w="783" w:type="dxa"/>
            <w:tcBorders>
              <w:top w:val="nil"/>
              <w:left w:val="nil"/>
              <w:bottom w:val="nil"/>
              <w:right w:val="nil"/>
            </w:tcBorders>
            <w:shd w:val="clear" w:color="000000" w:fill="63BE7B"/>
            <w:noWrap/>
            <w:vAlign w:val="bottom"/>
            <w:hideMark/>
          </w:tcPr>
          <w:p w14:paraId="2D9CD6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74EE6E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A1AE8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7567BD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7E057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481963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A6C77C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0A4A882" w14:textId="77777777" w:rsidTr="00B66BD9">
        <w:trPr>
          <w:trHeight w:val="260"/>
          <w:jc w:val="center"/>
        </w:trPr>
        <w:tc>
          <w:tcPr>
            <w:tcW w:w="2648" w:type="dxa"/>
            <w:tcBorders>
              <w:top w:val="nil"/>
              <w:left w:val="nil"/>
              <w:bottom w:val="nil"/>
              <w:right w:val="nil"/>
            </w:tcBorders>
            <w:noWrap/>
            <w:vAlign w:val="bottom"/>
            <w:hideMark/>
          </w:tcPr>
          <w:p w14:paraId="25145A9A"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Isazofos</w:t>
            </w:r>
            <w:proofErr w:type="spellEnd"/>
          </w:p>
        </w:tc>
        <w:tc>
          <w:tcPr>
            <w:tcW w:w="783" w:type="dxa"/>
            <w:tcBorders>
              <w:top w:val="nil"/>
              <w:left w:val="nil"/>
              <w:bottom w:val="nil"/>
              <w:right w:val="nil"/>
            </w:tcBorders>
            <w:shd w:val="clear" w:color="000000" w:fill="63BE7B"/>
            <w:noWrap/>
            <w:vAlign w:val="bottom"/>
            <w:hideMark/>
          </w:tcPr>
          <w:p w14:paraId="18E4976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490C22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07612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CC14B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3E86677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53C38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252E19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263ED615" w14:textId="77777777" w:rsidTr="00B66BD9">
        <w:trPr>
          <w:trHeight w:val="260"/>
          <w:jc w:val="center"/>
        </w:trPr>
        <w:tc>
          <w:tcPr>
            <w:tcW w:w="2648" w:type="dxa"/>
            <w:tcBorders>
              <w:top w:val="nil"/>
              <w:left w:val="nil"/>
              <w:bottom w:val="nil"/>
              <w:right w:val="nil"/>
            </w:tcBorders>
            <w:noWrap/>
            <w:vAlign w:val="bottom"/>
            <w:hideMark/>
          </w:tcPr>
          <w:p w14:paraId="37E1507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Isodrin</w:t>
            </w:r>
          </w:p>
        </w:tc>
        <w:tc>
          <w:tcPr>
            <w:tcW w:w="783" w:type="dxa"/>
            <w:tcBorders>
              <w:top w:val="nil"/>
              <w:left w:val="nil"/>
              <w:bottom w:val="nil"/>
              <w:right w:val="nil"/>
            </w:tcBorders>
            <w:shd w:val="clear" w:color="000000" w:fill="63BE7B"/>
            <w:noWrap/>
            <w:vAlign w:val="bottom"/>
            <w:hideMark/>
          </w:tcPr>
          <w:p w14:paraId="59D93C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7DF5AE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537B2D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4D5CA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8C9B1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5CA9D4F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A5B93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F170E24" w14:textId="77777777" w:rsidTr="00B66BD9">
        <w:trPr>
          <w:trHeight w:val="260"/>
          <w:jc w:val="center"/>
        </w:trPr>
        <w:tc>
          <w:tcPr>
            <w:tcW w:w="2648" w:type="dxa"/>
            <w:tcBorders>
              <w:top w:val="nil"/>
              <w:left w:val="nil"/>
              <w:bottom w:val="nil"/>
              <w:right w:val="nil"/>
            </w:tcBorders>
            <w:noWrap/>
            <w:vAlign w:val="bottom"/>
            <w:hideMark/>
          </w:tcPr>
          <w:p w14:paraId="53A7AE2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Isopropalin</w:t>
            </w:r>
            <w:proofErr w:type="spellEnd"/>
          </w:p>
        </w:tc>
        <w:tc>
          <w:tcPr>
            <w:tcW w:w="783" w:type="dxa"/>
            <w:tcBorders>
              <w:top w:val="nil"/>
              <w:left w:val="nil"/>
              <w:bottom w:val="nil"/>
              <w:right w:val="nil"/>
            </w:tcBorders>
            <w:shd w:val="clear" w:color="000000" w:fill="63BE7B"/>
            <w:noWrap/>
            <w:vAlign w:val="bottom"/>
            <w:hideMark/>
          </w:tcPr>
          <w:p w14:paraId="62D210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FD586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D91C59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C55A6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CDD2C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BF4E97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DACF3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381E8EF" w14:textId="77777777" w:rsidTr="00B66BD9">
        <w:trPr>
          <w:trHeight w:val="260"/>
          <w:jc w:val="center"/>
        </w:trPr>
        <w:tc>
          <w:tcPr>
            <w:tcW w:w="2648" w:type="dxa"/>
            <w:tcBorders>
              <w:top w:val="nil"/>
              <w:left w:val="nil"/>
              <w:bottom w:val="nil"/>
              <w:right w:val="nil"/>
            </w:tcBorders>
            <w:noWrap/>
            <w:vAlign w:val="bottom"/>
            <w:hideMark/>
          </w:tcPr>
          <w:p w14:paraId="0286274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lambda-Cyhalothrin</w:t>
            </w:r>
          </w:p>
        </w:tc>
        <w:tc>
          <w:tcPr>
            <w:tcW w:w="783" w:type="dxa"/>
            <w:tcBorders>
              <w:top w:val="nil"/>
              <w:left w:val="nil"/>
              <w:bottom w:val="nil"/>
              <w:right w:val="nil"/>
            </w:tcBorders>
            <w:shd w:val="clear" w:color="000000" w:fill="FFEF9C"/>
            <w:noWrap/>
            <w:vAlign w:val="bottom"/>
            <w:hideMark/>
          </w:tcPr>
          <w:p w14:paraId="6F9DFB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AD1D0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E4AC7C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15DF30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E41630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D80635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16F3CF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20FB40D5" w14:textId="77777777" w:rsidTr="00B66BD9">
        <w:trPr>
          <w:trHeight w:val="260"/>
          <w:jc w:val="center"/>
        </w:trPr>
        <w:tc>
          <w:tcPr>
            <w:tcW w:w="2648" w:type="dxa"/>
            <w:tcBorders>
              <w:top w:val="nil"/>
              <w:left w:val="nil"/>
              <w:bottom w:val="nil"/>
              <w:right w:val="nil"/>
            </w:tcBorders>
            <w:noWrap/>
            <w:vAlign w:val="bottom"/>
            <w:hideMark/>
          </w:tcPr>
          <w:p w14:paraId="29D1C43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Lenacil</w:t>
            </w:r>
          </w:p>
        </w:tc>
        <w:tc>
          <w:tcPr>
            <w:tcW w:w="783" w:type="dxa"/>
            <w:tcBorders>
              <w:top w:val="nil"/>
              <w:left w:val="nil"/>
              <w:bottom w:val="nil"/>
              <w:right w:val="nil"/>
            </w:tcBorders>
            <w:shd w:val="clear" w:color="000000" w:fill="63BE7B"/>
            <w:noWrap/>
            <w:vAlign w:val="bottom"/>
            <w:hideMark/>
          </w:tcPr>
          <w:p w14:paraId="6F6105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821222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2A278B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4A1718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319B42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C21352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101E6A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96D133D" w14:textId="77777777" w:rsidTr="00B66BD9">
        <w:trPr>
          <w:trHeight w:val="260"/>
          <w:jc w:val="center"/>
        </w:trPr>
        <w:tc>
          <w:tcPr>
            <w:tcW w:w="2648" w:type="dxa"/>
            <w:tcBorders>
              <w:top w:val="nil"/>
              <w:left w:val="nil"/>
              <w:bottom w:val="nil"/>
              <w:right w:val="nil"/>
            </w:tcBorders>
            <w:noWrap/>
            <w:vAlign w:val="bottom"/>
            <w:hideMark/>
          </w:tcPr>
          <w:p w14:paraId="61F2F7E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Leptophos</w:t>
            </w:r>
          </w:p>
        </w:tc>
        <w:tc>
          <w:tcPr>
            <w:tcW w:w="783" w:type="dxa"/>
            <w:tcBorders>
              <w:top w:val="nil"/>
              <w:left w:val="nil"/>
              <w:bottom w:val="nil"/>
              <w:right w:val="nil"/>
            </w:tcBorders>
            <w:shd w:val="clear" w:color="000000" w:fill="FFEF9C"/>
            <w:noWrap/>
            <w:vAlign w:val="bottom"/>
            <w:hideMark/>
          </w:tcPr>
          <w:p w14:paraId="411C5E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78505D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E18519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5FF59E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02824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F0343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B2E472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416832C" w14:textId="77777777" w:rsidTr="00B66BD9">
        <w:trPr>
          <w:trHeight w:val="260"/>
          <w:jc w:val="center"/>
        </w:trPr>
        <w:tc>
          <w:tcPr>
            <w:tcW w:w="2648" w:type="dxa"/>
            <w:tcBorders>
              <w:top w:val="nil"/>
              <w:left w:val="nil"/>
              <w:bottom w:val="nil"/>
              <w:right w:val="nil"/>
            </w:tcBorders>
            <w:noWrap/>
            <w:vAlign w:val="bottom"/>
            <w:hideMark/>
          </w:tcPr>
          <w:p w14:paraId="7887E419"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Malathion (INS)</w:t>
            </w:r>
          </w:p>
        </w:tc>
        <w:tc>
          <w:tcPr>
            <w:tcW w:w="783" w:type="dxa"/>
            <w:tcBorders>
              <w:top w:val="nil"/>
              <w:left w:val="nil"/>
              <w:bottom w:val="nil"/>
              <w:right w:val="nil"/>
            </w:tcBorders>
            <w:shd w:val="clear" w:color="000000" w:fill="FFEF9C"/>
            <w:noWrap/>
            <w:vAlign w:val="bottom"/>
            <w:hideMark/>
          </w:tcPr>
          <w:p w14:paraId="1046843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7C4B63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32EB1E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16BFF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72A33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900C5C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DB06B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43F44E0E" w14:textId="77777777" w:rsidTr="00B66BD9">
        <w:trPr>
          <w:trHeight w:val="260"/>
          <w:jc w:val="center"/>
        </w:trPr>
        <w:tc>
          <w:tcPr>
            <w:tcW w:w="2648" w:type="dxa"/>
            <w:tcBorders>
              <w:top w:val="nil"/>
              <w:left w:val="nil"/>
              <w:bottom w:val="nil"/>
              <w:right w:val="nil"/>
            </w:tcBorders>
            <w:noWrap/>
            <w:vAlign w:val="bottom"/>
            <w:hideMark/>
          </w:tcPr>
          <w:p w14:paraId="4EB326D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Metazachlor</w:t>
            </w:r>
          </w:p>
        </w:tc>
        <w:tc>
          <w:tcPr>
            <w:tcW w:w="783" w:type="dxa"/>
            <w:tcBorders>
              <w:top w:val="nil"/>
              <w:left w:val="nil"/>
              <w:bottom w:val="nil"/>
              <w:right w:val="nil"/>
            </w:tcBorders>
            <w:shd w:val="clear" w:color="000000" w:fill="63BE7B"/>
            <w:noWrap/>
            <w:vAlign w:val="bottom"/>
            <w:hideMark/>
          </w:tcPr>
          <w:p w14:paraId="49E7047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EA31F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303E1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6DCC2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E2EE1D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79A52C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666E1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369FB9D" w14:textId="77777777" w:rsidTr="00B66BD9">
        <w:trPr>
          <w:trHeight w:val="260"/>
          <w:jc w:val="center"/>
        </w:trPr>
        <w:tc>
          <w:tcPr>
            <w:tcW w:w="2648" w:type="dxa"/>
            <w:tcBorders>
              <w:top w:val="nil"/>
              <w:left w:val="nil"/>
              <w:bottom w:val="nil"/>
              <w:right w:val="nil"/>
            </w:tcBorders>
            <w:noWrap/>
            <w:vAlign w:val="bottom"/>
            <w:hideMark/>
          </w:tcPr>
          <w:p w14:paraId="0E633659"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Methacrifos</w:t>
            </w:r>
            <w:proofErr w:type="spellEnd"/>
          </w:p>
        </w:tc>
        <w:tc>
          <w:tcPr>
            <w:tcW w:w="783" w:type="dxa"/>
            <w:tcBorders>
              <w:top w:val="nil"/>
              <w:left w:val="nil"/>
              <w:bottom w:val="nil"/>
              <w:right w:val="nil"/>
            </w:tcBorders>
            <w:shd w:val="clear" w:color="000000" w:fill="FFEF9C"/>
            <w:noWrap/>
            <w:vAlign w:val="bottom"/>
            <w:hideMark/>
          </w:tcPr>
          <w:p w14:paraId="0F289D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43C331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4801DF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2098FA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3D9B3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1CC91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FE6C6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503AB4C" w14:textId="77777777" w:rsidTr="00B66BD9">
        <w:trPr>
          <w:trHeight w:val="260"/>
          <w:jc w:val="center"/>
        </w:trPr>
        <w:tc>
          <w:tcPr>
            <w:tcW w:w="2648" w:type="dxa"/>
            <w:tcBorders>
              <w:top w:val="nil"/>
              <w:left w:val="nil"/>
              <w:bottom w:val="nil"/>
              <w:right w:val="nil"/>
            </w:tcBorders>
            <w:noWrap/>
            <w:vAlign w:val="bottom"/>
            <w:hideMark/>
          </w:tcPr>
          <w:p w14:paraId="03E6928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Methoxychlor</w:t>
            </w:r>
          </w:p>
        </w:tc>
        <w:tc>
          <w:tcPr>
            <w:tcW w:w="783" w:type="dxa"/>
            <w:tcBorders>
              <w:top w:val="nil"/>
              <w:left w:val="nil"/>
              <w:bottom w:val="nil"/>
              <w:right w:val="nil"/>
            </w:tcBorders>
            <w:shd w:val="clear" w:color="000000" w:fill="63BE7B"/>
            <w:noWrap/>
            <w:vAlign w:val="bottom"/>
            <w:hideMark/>
          </w:tcPr>
          <w:p w14:paraId="3F8EF18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9D45D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1324021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6770567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BB2CD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5735A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564BF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6F1075E" w14:textId="77777777" w:rsidTr="00B66BD9">
        <w:trPr>
          <w:trHeight w:val="260"/>
          <w:jc w:val="center"/>
        </w:trPr>
        <w:tc>
          <w:tcPr>
            <w:tcW w:w="2648" w:type="dxa"/>
            <w:tcBorders>
              <w:top w:val="nil"/>
              <w:left w:val="nil"/>
              <w:bottom w:val="nil"/>
              <w:right w:val="nil"/>
            </w:tcBorders>
            <w:noWrap/>
            <w:vAlign w:val="bottom"/>
            <w:hideMark/>
          </w:tcPr>
          <w:p w14:paraId="58CF698F"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methoxychlor olefin-4,4'</w:t>
            </w:r>
          </w:p>
        </w:tc>
        <w:tc>
          <w:tcPr>
            <w:tcW w:w="783" w:type="dxa"/>
            <w:tcBorders>
              <w:top w:val="nil"/>
              <w:left w:val="nil"/>
              <w:bottom w:val="nil"/>
              <w:right w:val="nil"/>
            </w:tcBorders>
            <w:shd w:val="clear" w:color="000000" w:fill="63BE7B"/>
            <w:noWrap/>
            <w:vAlign w:val="bottom"/>
            <w:hideMark/>
          </w:tcPr>
          <w:p w14:paraId="281182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2D46D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A67B55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7A4472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644ABC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21EDA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4B1756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5D7A7348" w14:textId="77777777" w:rsidTr="00B66BD9">
        <w:trPr>
          <w:trHeight w:val="260"/>
          <w:jc w:val="center"/>
        </w:trPr>
        <w:tc>
          <w:tcPr>
            <w:tcW w:w="2648" w:type="dxa"/>
            <w:tcBorders>
              <w:top w:val="nil"/>
              <w:left w:val="nil"/>
              <w:bottom w:val="nil"/>
              <w:right w:val="nil"/>
            </w:tcBorders>
            <w:noWrap/>
            <w:vAlign w:val="bottom"/>
            <w:hideMark/>
          </w:tcPr>
          <w:p w14:paraId="17B48807"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Methoxychlor-2,4'</w:t>
            </w:r>
          </w:p>
        </w:tc>
        <w:tc>
          <w:tcPr>
            <w:tcW w:w="783" w:type="dxa"/>
            <w:tcBorders>
              <w:top w:val="nil"/>
              <w:left w:val="nil"/>
              <w:bottom w:val="nil"/>
              <w:right w:val="nil"/>
            </w:tcBorders>
            <w:shd w:val="clear" w:color="000000" w:fill="63BE7B"/>
            <w:noWrap/>
            <w:vAlign w:val="bottom"/>
            <w:hideMark/>
          </w:tcPr>
          <w:p w14:paraId="03D3372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8F7BF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37537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2E734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ADBEE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25278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0EE9F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31941193" w14:textId="77777777" w:rsidTr="00B66BD9">
        <w:trPr>
          <w:trHeight w:val="260"/>
          <w:jc w:val="center"/>
        </w:trPr>
        <w:tc>
          <w:tcPr>
            <w:tcW w:w="2648" w:type="dxa"/>
            <w:tcBorders>
              <w:top w:val="nil"/>
              <w:left w:val="nil"/>
              <w:bottom w:val="nil"/>
              <w:right w:val="nil"/>
            </w:tcBorders>
            <w:noWrap/>
            <w:vAlign w:val="bottom"/>
            <w:hideMark/>
          </w:tcPr>
          <w:p w14:paraId="3DA57ABB" w14:textId="2331C11A"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Metolachlor</w:t>
            </w:r>
          </w:p>
        </w:tc>
        <w:tc>
          <w:tcPr>
            <w:tcW w:w="783" w:type="dxa"/>
            <w:tcBorders>
              <w:top w:val="nil"/>
              <w:left w:val="nil"/>
              <w:bottom w:val="nil"/>
              <w:right w:val="nil"/>
            </w:tcBorders>
            <w:shd w:val="clear" w:color="000000" w:fill="FFEF9C"/>
            <w:noWrap/>
            <w:vAlign w:val="bottom"/>
            <w:hideMark/>
          </w:tcPr>
          <w:p w14:paraId="10623A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36F7B5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06DB9E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259DC6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C68E0E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E88484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D4956C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7F9096A" w14:textId="77777777" w:rsidTr="00B66BD9">
        <w:trPr>
          <w:trHeight w:val="260"/>
          <w:jc w:val="center"/>
        </w:trPr>
        <w:tc>
          <w:tcPr>
            <w:tcW w:w="2648" w:type="dxa"/>
            <w:tcBorders>
              <w:top w:val="nil"/>
              <w:left w:val="nil"/>
              <w:bottom w:val="nil"/>
              <w:right w:val="nil"/>
            </w:tcBorders>
            <w:noWrap/>
            <w:vAlign w:val="bottom"/>
            <w:hideMark/>
          </w:tcPr>
          <w:p w14:paraId="18730E3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Mevinphos-1</w:t>
            </w:r>
          </w:p>
        </w:tc>
        <w:tc>
          <w:tcPr>
            <w:tcW w:w="783" w:type="dxa"/>
            <w:tcBorders>
              <w:top w:val="nil"/>
              <w:left w:val="nil"/>
              <w:bottom w:val="nil"/>
              <w:right w:val="nil"/>
            </w:tcBorders>
            <w:shd w:val="clear" w:color="000000" w:fill="FFEF9C"/>
            <w:noWrap/>
            <w:vAlign w:val="bottom"/>
            <w:hideMark/>
          </w:tcPr>
          <w:p w14:paraId="10F632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FF081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8A6F2C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7BDE1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A79AC6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8D7CC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9C57A7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36D092C" w14:textId="77777777" w:rsidTr="00B66BD9">
        <w:trPr>
          <w:trHeight w:val="260"/>
          <w:jc w:val="center"/>
        </w:trPr>
        <w:tc>
          <w:tcPr>
            <w:tcW w:w="2648" w:type="dxa"/>
            <w:tcBorders>
              <w:top w:val="nil"/>
              <w:left w:val="nil"/>
              <w:bottom w:val="nil"/>
              <w:right w:val="nil"/>
            </w:tcBorders>
            <w:noWrap/>
            <w:vAlign w:val="bottom"/>
            <w:hideMark/>
          </w:tcPr>
          <w:p w14:paraId="07EB18F4" w14:textId="46C9DA69"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Mirex</w:t>
            </w:r>
          </w:p>
        </w:tc>
        <w:tc>
          <w:tcPr>
            <w:tcW w:w="783" w:type="dxa"/>
            <w:tcBorders>
              <w:top w:val="nil"/>
              <w:left w:val="nil"/>
              <w:bottom w:val="nil"/>
              <w:right w:val="nil"/>
            </w:tcBorders>
            <w:shd w:val="clear" w:color="000000" w:fill="63BE7B"/>
            <w:noWrap/>
            <w:vAlign w:val="bottom"/>
            <w:hideMark/>
          </w:tcPr>
          <w:p w14:paraId="6128FC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C629C4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E137A3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7C4438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603EC3D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62ED346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10121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889A363" w14:textId="77777777" w:rsidTr="00B66BD9">
        <w:trPr>
          <w:trHeight w:val="260"/>
          <w:jc w:val="center"/>
        </w:trPr>
        <w:tc>
          <w:tcPr>
            <w:tcW w:w="2648" w:type="dxa"/>
            <w:tcBorders>
              <w:top w:val="nil"/>
              <w:left w:val="nil"/>
              <w:bottom w:val="nil"/>
              <w:right w:val="nil"/>
            </w:tcBorders>
            <w:noWrap/>
            <w:vAlign w:val="bottom"/>
            <w:hideMark/>
          </w:tcPr>
          <w:p w14:paraId="6905D95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Myclobutanil</w:t>
            </w:r>
          </w:p>
        </w:tc>
        <w:tc>
          <w:tcPr>
            <w:tcW w:w="783" w:type="dxa"/>
            <w:tcBorders>
              <w:top w:val="nil"/>
              <w:left w:val="nil"/>
              <w:bottom w:val="nil"/>
              <w:right w:val="nil"/>
            </w:tcBorders>
            <w:shd w:val="clear" w:color="000000" w:fill="FFEF9C"/>
            <w:noWrap/>
            <w:vAlign w:val="bottom"/>
            <w:hideMark/>
          </w:tcPr>
          <w:p w14:paraId="2070B2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1E848F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E74133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6114B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0079A6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5EA5A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A8DAF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F7E8EEE" w14:textId="77777777" w:rsidTr="00B66BD9">
        <w:trPr>
          <w:trHeight w:val="260"/>
          <w:jc w:val="center"/>
        </w:trPr>
        <w:tc>
          <w:tcPr>
            <w:tcW w:w="2648" w:type="dxa"/>
            <w:tcBorders>
              <w:top w:val="nil"/>
              <w:left w:val="nil"/>
              <w:bottom w:val="nil"/>
              <w:right w:val="nil"/>
            </w:tcBorders>
            <w:noWrap/>
            <w:vAlign w:val="bottom"/>
            <w:hideMark/>
          </w:tcPr>
          <w:p w14:paraId="634DE51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N-(2,4-dimethylphenyl) formamide</w:t>
            </w:r>
          </w:p>
        </w:tc>
        <w:tc>
          <w:tcPr>
            <w:tcW w:w="783" w:type="dxa"/>
            <w:tcBorders>
              <w:top w:val="nil"/>
              <w:left w:val="nil"/>
              <w:bottom w:val="nil"/>
              <w:right w:val="nil"/>
            </w:tcBorders>
            <w:shd w:val="clear" w:color="000000" w:fill="FFEF9C"/>
            <w:noWrap/>
            <w:vAlign w:val="bottom"/>
            <w:hideMark/>
          </w:tcPr>
          <w:p w14:paraId="3E5A217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2C3572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3AF278F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0317456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ECDE6D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C1EAED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0253C1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0E26582" w14:textId="77777777" w:rsidTr="00B66BD9">
        <w:trPr>
          <w:trHeight w:val="260"/>
          <w:jc w:val="center"/>
        </w:trPr>
        <w:tc>
          <w:tcPr>
            <w:tcW w:w="2648" w:type="dxa"/>
            <w:tcBorders>
              <w:top w:val="nil"/>
              <w:left w:val="nil"/>
              <w:bottom w:val="nil"/>
              <w:right w:val="nil"/>
            </w:tcBorders>
            <w:noWrap/>
            <w:vAlign w:val="bottom"/>
            <w:hideMark/>
          </w:tcPr>
          <w:p w14:paraId="553DF4C3"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Nitralin</w:t>
            </w:r>
            <w:proofErr w:type="spellEnd"/>
          </w:p>
        </w:tc>
        <w:tc>
          <w:tcPr>
            <w:tcW w:w="783" w:type="dxa"/>
            <w:tcBorders>
              <w:top w:val="nil"/>
              <w:left w:val="nil"/>
              <w:bottom w:val="nil"/>
              <w:right w:val="nil"/>
            </w:tcBorders>
            <w:shd w:val="clear" w:color="000000" w:fill="63BE7B"/>
            <w:noWrap/>
            <w:vAlign w:val="bottom"/>
            <w:hideMark/>
          </w:tcPr>
          <w:p w14:paraId="44E3AE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DA7D1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A0DF18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3F746C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062CA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8ED86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B44FE7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4AA4F95" w14:textId="77777777" w:rsidTr="00B66BD9">
        <w:trPr>
          <w:trHeight w:val="260"/>
          <w:jc w:val="center"/>
        </w:trPr>
        <w:tc>
          <w:tcPr>
            <w:tcW w:w="2648" w:type="dxa"/>
            <w:tcBorders>
              <w:top w:val="nil"/>
              <w:left w:val="nil"/>
              <w:bottom w:val="nil"/>
              <w:right w:val="nil"/>
            </w:tcBorders>
            <w:noWrap/>
            <w:vAlign w:val="bottom"/>
            <w:hideMark/>
          </w:tcPr>
          <w:p w14:paraId="485CFD00"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Nitrofen</w:t>
            </w:r>
            <w:proofErr w:type="spellEnd"/>
          </w:p>
        </w:tc>
        <w:tc>
          <w:tcPr>
            <w:tcW w:w="783" w:type="dxa"/>
            <w:tcBorders>
              <w:top w:val="nil"/>
              <w:left w:val="nil"/>
              <w:bottom w:val="nil"/>
              <w:right w:val="nil"/>
            </w:tcBorders>
            <w:shd w:val="clear" w:color="000000" w:fill="FFEF9C"/>
            <w:noWrap/>
            <w:vAlign w:val="bottom"/>
            <w:hideMark/>
          </w:tcPr>
          <w:p w14:paraId="3262BB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0BFD07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9ACB9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2514D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4276F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57DC9D3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58830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03DE417" w14:textId="77777777" w:rsidTr="00B66BD9">
        <w:trPr>
          <w:trHeight w:val="260"/>
          <w:jc w:val="center"/>
        </w:trPr>
        <w:tc>
          <w:tcPr>
            <w:tcW w:w="2648" w:type="dxa"/>
            <w:tcBorders>
              <w:top w:val="nil"/>
              <w:left w:val="nil"/>
              <w:bottom w:val="nil"/>
              <w:right w:val="nil"/>
            </w:tcBorders>
            <w:noWrap/>
            <w:vAlign w:val="bottom"/>
            <w:hideMark/>
          </w:tcPr>
          <w:p w14:paraId="64BBBD73"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Nonachlor</w:t>
            </w:r>
            <w:proofErr w:type="spellEnd"/>
            <w:r w:rsidRPr="008E1FC4">
              <w:rPr>
                <w:rFonts w:ascii="Arial" w:hAnsi="Arial" w:cs="Arial"/>
                <w:color w:val="000000"/>
                <w:lang w:eastAsia="en-IN"/>
              </w:rPr>
              <w:t>-cis</w:t>
            </w:r>
          </w:p>
        </w:tc>
        <w:tc>
          <w:tcPr>
            <w:tcW w:w="783" w:type="dxa"/>
            <w:tcBorders>
              <w:top w:val="nil"/>
              <w:left w:val="nil"/>
              <w:bottom w:val="nil"/>
              <w:right w:val="nil"/>
            </w:tcBorders>
            <w:shd w:val="clear" w:color="000000" w:fill="63BE7B"/>
            <w:noWrap/>
            <w:vAlign w:val="bottom"/>
            <w:hideMark/>
          </w:tcPr>
          <w:p w14:paraId="115FD9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51737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6B5E05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A6BFC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BB978F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4561B74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0BFFC4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257FBB86" w14:textId="77777777" w:rsidTr="00B66BD9">
        <w:trPr>
          <w:trHeight w:val="260"/>
          <w:jc w:val="center"/>
        </w:trPr>
        <w:tc>
          <w:tcPr>
            <w:tcW w:w="2648" w:type="dxa"/>
            <w:tcBorders>
              <w:top w:val="nil"/>
              <w:left w:val="nil"/>
              <w:bottom w:val="nil"/>
              <w:right w:val="nil"/>
            </w:tcBorders>
            <w:noWrap/>
            <w:vAlign w:val="bottom"/>
            <w:hideMark/>
          </w:tcPr>
          <w:p w14:paraId="11643E52"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Nonachlor</w:t>
            </w:r>
            <w:proofErr w:type="spellEnd"/>
            <w:r w:rsidRPr="008E1FC4">
              <w:rPr>
                <w:rFonts w:ascii="Arial" w:hAnsi="Arial" w:cs="Arial"/>
                <w:color w:val="000000"/>
                <w:lang w:eastAsia="en-IN"/>
              </w:rPr>
              <w:t>-trans</w:t>
            </w:r>
          </w:p>
        </w:tc>
        <w:tc>
          <w:tcPr>
            <w:tcW w:w="783" w:type="dxa"/>
            <w:tcBorders>
              <w:top w:val="nil"/>
              <w:left w:val="nil"/>
              <w:bottom w:val="nil"/>
              <w:right w:val="nil"/>
            </w:tcBorders>
            <w:shd w:val="clear" w:color="000000" w:fill="FFEF9C"/>
            <w:noWrap/>
            <w:vAlign w:val="bottom"/>
            <w:hideMark/>
          </w:tcPr>
          <w:p w14:paraId="4DB77B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1319E60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639B47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572538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9E4630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9B8CE2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1C88A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2EE47FA3" w14:textId="77777777" w:rsidTr="00B66BD9">
        <w:trPr>
          <w:trHeight w:val="260"/>
          <w:jc w:val="center"/>
        </w:trPr>
        <w:tc>
          <w:tcPr>
            <w:tcW w:w="2648" w:type="dxa"/>
            <w:tcBorders>
              <w:top w:val="nil"/>
              <w:left w:val="nil"/>
              <w:bottom w:val="nil"/>
              <w:right w:val="nil"/>
            </w:tcBorders>
            <w:noWrap/>
            <w:vAlign w:val="bottom"/>
            <w:hideMark/>
          </w:tcPr>
          <w:p w14:paraId="3049BA0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Norflurazon</w:t>
            </w:r>
          </w:p>
        </w:tc>
        <w:tc>
          <w:tcPr>
            <w:tcW w:w="783" w:type="dxa"/>
            <w:tcBorders>
              <w:top w:val="nil"/>
              <w:left w:val="nil"/>
              <w:bottom w:val="nil"/>
              <w:right w:val="nil"/>
            </w:tcBorders>
            <w:shd w:val="clear" w:color="000000" w:fill="FFEF9C"/>
            <w:noWrap/>
            <w:vAlign w:val="bottom"/>
            <w:hideMark/>
          </w:tcPr>
          <w:p w14:paraId="177186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79399B1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200F7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A13E6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87F933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13FC4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66DD72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FC4F2F6" w14:textId="77777777" w:rsidTr="00B66BD9">
        <w:trPr>
          <w:trHeight w:val="260"/>
          <w:jc w:val="center"/>
        </w:trPr>
        <w:tc>
          <w:tcPr>
            <w:tcW w:w="2648" w:type="dxa"/>
            <w:tcBorders>
              <w:top w:val="nil"/>
              <w:left w:val="nil"/>
              <w:bottom w:val="nil"/>
              <w:right w:val="nil"/>
            </w:tcBorders>
            <w:noWrap/>
            <w:vAlign w:val="bottom"/>
            <w:hideMark/>
          </w:tcPr>
          <w:p w14:paraId="0F016317"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Oxadiazon</w:t>
            </w:r>
          </w:p>
        </w:tc>
        <w:tc>
          <w:tcPr>
            <w:tcW w:w="783" w:type="dxa"/>
            <w:tcBorders>
              <w:top w:val="nil"/>
              <w:left w:val="nil"/>
              <w:bottom w:val="nil"/>
              <w:right w:val="nil"/>
            </w:tcBorders>
            <w:shd w:val="clear" w:color="000000" w:fill="63BE7B"/>
            <w:noWrap/>
            <w:vAlign w:val="bottom"/>
            <w:hideMark/>
          </w:tcPr>
          <w:p w14:paraId="434318C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001AB00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1AE01B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27948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1EB2C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605DC6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9E5CB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A43E9ED" w14:textId="77777777" w:rsidTr="00B66BD9">
        <w:trPr>
          <w:trHeight w:val="260"/>
          <w:jc w:val="center"/>
        </w:trPr>
        <w:tc>
          <w:tcPr>
            <w:tcW w:w="2648" w:type="dxa"/>
            <w:tcBorders>
              <w:top w:val="nil"/>
              <w:left w:val="nil"/>
              <w:bottom w:val="nil"/>
              <w:right w:val="nil"/>
            </w:tcBorders>
            <w:noWrap/>
            <w:vAlign w:val="bottom"/>
            <w:hideMark/>
          </w:tcPr>
          <w:p w14:paraId="01A9AC2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Oxyfluorfen</w:t>
            </w:r>
          </w:p>
        </w:tc>
        <w:tc>
          <w:tcPr>
            <w:tcW w:w="783" w:type="dxa"/>
            <w:tcBorders>
              <w:top w:val="nil"/>
              <w:left w:val="nil"/>
              <w:bottom w:val="nil"/>
              <w:right w:val="nil"/>
            </w:tcBorders>
            <w:shd w:val="clear" w:color="000000" w:fill="63BE7B"/>
            <w:noWrap/>
            <w:vAlign w:val="bottom"/>
            <w:hideMark/>
          </w:tcPr>
          <w:p w14:paraId="653DED0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3BBA4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0A392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E3FDE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33690A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F595BF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22B17F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2D6EC01" w14:textId="77777777" w:rsidTr="00B66BD9">
        <w:trPr>
          <w:trHeight w:val="260"/>
          <w:jc w:val="center"/>
        </w:trPr>
        <w:tc>
          <w:tcPr>
            <w:tcW w:w="2648" w:type="dxa"/>
            <w:tcBorders>
              <w:top w:val="nil"/>
              <w:left w:val="nil"/>
              <w:bottom w:val="nil"/>
              <w:right w:val="nil"/>
            </w:tcBorders>
            <w:noWrap/>
            <w:vAlign w:val="bottom"/>
            <w:hideMark/>
          </w:tcPr>
          <w:p w14:paraId="5A71F89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Paclobutrazol</w:t>
            </w:r>
          </w:p>
        </w:tc>
        <w:tc>
          <w:tcPr>
            <w:tcW w:w="783" w:type="dxa"/>
            <w:tcBorders>
              <w:top w:val="nil"/>
              <w:left w:val="nil"/>
              <w:bottom w:val="nil"/>
              <w:right w:val="nil"/>
            </w:tcBorders>
            <w:shd w:val="clear" w:color="000000" w:fill="63BE7B"/>
            <w:noWrap/>
            <w:vAlign w:val="bottom"/>
            <w:hideMark/>
          </w:tcPr>
          <w:p w14:paraId="615AD4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749EF6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115F8E4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9E32BD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3B169B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6D65902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C57E4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482AE50" w14:textId="77777777" w:rsidTr="00B66BD9">
        <w:trPr>
          <w:trHeight w:val="260"/>
          <w:jc w:val="center"/>
        </w:trPr>
        <w:tc>
          <w:tcPr>
            <w:tcW w:w="2648" w:type="dxa"/>
            <w:tcBorders>
              <w:top w:val="nil"/>
              <w:left w:val="nil"/>
              <w:bottom w:val="nil"/>
              <w:right w:val="nil"/>
            </w:tcBorders>
            <w:noWrap/>
            <w:vAlign w:val="bottom"/>
            <w:hideMark/>
          </w:tcPr>
          <w:p w14:paraId="0A289026" w14:textId="48CCD16D"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Parathion</w:t>
            </w:r>
          </w:p>
        </w:tc>
        <w:tc>
          <w:tcPr>
            <w:tcW w:w="783" w:type="dxa"/>
            <w:tcBorders>
              <w:top w:val="nil"/>
              <w:left w:val="nil"/>
              <w:bottom w:val="nil"/>
              <w:right w:val="nil"/>
            </w:tcBorders>
            <w:shd w:val="clear" w:color="000000" w:fill="63BE7B"/>
            <w:noWrap/>
            <w:vAlign w:val="bottom"/>
            <w:hideMark/>
          </w:tcPr>
          <w:p w14:paraId="512EB4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07D394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B076DA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7074F6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7E7EF0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6E3DBC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E739E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75FAC1E3" w14:textId="77777777" w:rsidTr="00B66BD9">
        <w:trPr>
          <w:trHeight w:val="260"/>
          <w:jc w:val="center"/>
        </w:trPr>
        <w:tc>
          <w:tcPr>
            <w:tcW w:w="2648" w:type="dxa"/>
            <w:tcBorders>
              <w:top w:val="nil"/>
              <w:left w:val="nil"/>
              <w:bottom w:val="nil"/>
              <w:right w:val="nil"/>
            </w:tcBorders>
            <w:noWrap/>
            <w:vAlign w:val="bottom"/>
            <w:hideMark/>
          </w:tcPr>
          <w:p w14:paraId="6466143E" w14:textId="748B0FEC"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Parathion-methyl</w:t>
            </w:r>
          </w:p>
        </w:tc>
        <w:tc>
          <w:tcPr>
            <w:tcW w:w="783" w:type="dxa"/>
            <w:tcBorders>
              <w:top w:val="nil"/>
              <w:left w:val="nil"/>
              <w:bottom w:val="nil"/>
              <w:right w:val="nil"/>
            </w:tcBorders>
            <w:shd w:val="clear" w:color="000000" w:fill="63BE7B"/>
            <w:noWrap/>
            <w:vAlign w:val="bottom"/>
            <w:hideMark/>
          </w:tcPr>
          <w:p w14:paraId="3B237E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BC8C2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FDBA7F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8C83A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47727B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A3A89F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2CAB7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2C1467B" w14:textId="77777777" w:rsidTr="00B66BD9">
        <w:trPr>
          <w:trHeight w:val="260"/>
          <w:jc w:val="center"/>
        </w:trPr>
        <w:tc>
          <w:tcPr>
            <w:tcW w:w="2648" w:type="dxa"/>
            <w:tcBorders>
              <w:top w:val="nil"/>
              <w:left w:val="nil"/>
              <w:bottom w:val="nil"/>
              <w:right w:val="nil"/>
            </w:tcBorders>
            <w:noWrap/>
            <w:vAlign w:val="bottom"/>
            <w:hideMark/>
          </w:tcPr>
          <w:p w14:paraId="2FED100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Pebulate</w:t>
            </w:r>
            <w:proofErr w:type="spellEnd"/>
          </w:p>
        </w:tc>
        <w:tc>
          <w:tcPr>
            <w:tcW w:w="783" w:type="dxa"/>
            <w:tcBorders>
              <w:top w:val="nil"/>
              <w:left w:val="nil"/>
              <w:bottom w:val="nil"/>
              <w:right w:val="nil"/>
            </w:tcBorders>
            <w:shd w:val="clear" w:color="000000" w:fill="FFEF9C"/>
            <w:noWrap/>
            <w:vAlign w:val="bottom"/>
            <w:hideMark/>
          </w:tcPr>
          <w:p w14:paraId="348DED2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43D106D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4FFDC4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6B2E49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7F849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B20DDA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6E3F88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1A15523" w14:textId="77777777" w:rsidTr="00B66BD9">
        <w:trPr>
          <w:trHeight w:val="260"/>
          <w:jc w:val="center"/>
        </w:trPr>
        <w:tc>
          <w:tcPr>
            <w:tcW w:w="2648" w:type="dxa"/>
            <w:tcBorders>
              <w:top w:val="nil"/>
              <w:left w:val="nil"/>
              <w:bottom w:val="nil"/>
              <w:right w:val="nil"/>
            </w:tcBorders>
            <w:noWrap/>
            <w:vAlign w:val="bottom"/>
            <w:hideMark/>
          </w:tcPr>
          <w:p w14:paraId="3BB9997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Penconazole</w:t>
            </w:r>
          </w:p>
        </w:tc>
        <w:tc>
          <w:tcPr>
            <w:tcW w:w="783" w:type="dxa"/>
            <w:tcBorders>
              <w:top w:val="nil"/>
              <w:left w:val="nil"/>
              <w:bottom w:val="nil"/>
              <w:right w:val="nil"/>
            </w:tcBorders>
            <w:shd w:val="clear" w:color="000000" w:fill="FFEF9C"/>
            <w:noWrap/>
            <w:vAlign w:val="bottom"/>
            <w:hideMark/>
          </w:tcPr>
          <w:p w14:paraId="5A40B6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FA74C8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02EED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35BD0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646AEF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56D7F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4BD6A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342B87A" w14:textId="77777777" w:rsidTr="00B66BD9">
        <w:trPr>
          <w:trHeight w:val="260"/>
          <w:jc w:val="center"/>
        </w:trPr>
        <w:tc>
          <w:tcPr>
            <w:tcW w:w="2648" w:type="dxa"/>
            <w:tcBorders>
              <w:top w:val="nil"/>
              <w:left w:val="nil"/>
              <w:bottom w:val="nil"/>
              <w:right w:val="nil"/>
            </w:tcBorders>
            <w:noWrap/>
            <w:vAlign w:val="bottom"/>
            <w:hideMark/>
          </w:tcPr>
          <w:p w14:paraId="554C1BA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Pendimethalin</w:t>
            </w:r>
          </w:p>
        </w:tc>
        <w:tc>
          <w:tcPr>
            <w:tcW w:w="783" w:type="dxa"/>
            <w:tcBorders>
              <w:top w:val="nil"/>
              <w:left w:val="nil"/>
              <w:bottom w:val="nil"/>
              <w:right w:val="nil"/>
            </w:tcBorders>
            <w:shd w:val="clear" w:color="000000" w:fill="63BE7B"/>
            <w:noWrap/>
            <w:vAlign w:val="bottom"/>
            <w:hideMark/>
          </w:tcPr>
          <w:p w14:paraId="63CD73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5BD747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CD96B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BFA96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77CDEA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C75D3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F37303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63B22CE" w14:textId="77777777" w:rsidTr="00B66BD9">
        <w:trPr>
          <w:trHeight w:val="260"/>
          <w:jc w:val="center"/>
        </w:trPr>
        <w:tc>
          <w:tcPr>
            <w:tcW w:w="2648" w:type="dxa"/>
            <w:tcBorders>
              <w:top w:val="nil"/>
              <w:left w:val="nil"/>
              <w:bottom w:val="nil"/>
              <w:right w:val="nil"/>
            </w:tcBorders>
            <w:noWrap/>
            <w:vAlign w:val="bottom"/>
            <w:hideMark/>
          </w:tcPr>
          <w:p w14:paraId="61AC071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Pentachloroaniline</w:t>
            </w:r>
            <w:proofErr w:type="spellEnd"/>
          </w:p>
        </w:tc>
        <w:tc>
          <w:tcPr>
            <w:tcW w:w="783" w:type="dxa"/>
            <w:tcBorders>
              <w:top w:val="nil"/>
              <w:left w:val="nil"/>
              <w:bottom w:val="nil"/>
              <w:right w:val="nil"/>
            </w:tcBorders>
            <w:shd w:val="clear" w:color="000000" w:fill="63BE7B"/>
            <w:noWrap/>
            <w:vAlign w:val="bottom"/>
            <w:hideMark/>
          </w:tcPr>
          <w:p w14:paraId="1F9A123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4B8CB2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056597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BB394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344BF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F7BEAB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FE8EF8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33095FE" w14:textId="77777777" w:rsidTr="00B66BD9">
        <w:trPr>
          <w:trHeight w:val="260"/>
          <w:jc w:val="center"/>
        </w:trPr>
        <w:tc>
          <w:tcPr>
            <w:tcW w:w="2648" w:type="dxa"/>
            <w:tcBorders>
              <w:top w:val="nil"/>
              <w:left w:val="nil"/>
              <w:bottom w:val="nil"/>
              <w:right w:val="nil"/>
            </w:tcBorders>
            <w:noWrap/>
            <w:vAlign w:val="bottom"/>
            <w:hideMark/>
          </w:tcPr>
          <w:p w14:paraId="05B31B38"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Pentachloroanisole</w:t>
            </w:r>
            <w:proofErr w:type="spellEnd"/>
          </w:p>
        </w:tc>
        <w:tc>
          <w:tcPr>
            <w:tcW w:w="783" w:type="dxa"/>
            <w:tcBorders>
              <w:top w:val="nil"/>
              <w:left w:val="nil"/>
              <w:bottom w:val="nil"/>
              <w:right w:val="nil"/>
            </w:tcBorders>
            <w:shd w:val="clear" w:color="000000" w:fill="63BE7B"/>
            <w:noWrap/>
            <w:vAlign w:val="bottom"/>
            <w:hideMark/>
          </w:tcPr>
          <w:p w14:paraId="4327F9C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FA617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1D678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BCA112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200D63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7527D0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377BA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3D23E48E" w14:textId="77777777" w:rsidTr="00B66BD9">
        <w:trPr>
          <w:trHeight w:val="260"/>
          <w:jc w:val="center"/>
        </w:trPr>
        <w:tc>
          <w:tcPr>
            <w:tcW w:w="2648" w:type="dxa"/>
            <w:tcBorders>
              <w:top w:val="nil"/>
              <w:left w:val="nil"/>
              <w:bottom w:val="nil"/>
              <w:right w:val="nil"/>
            </w:tcBorders>
            <w:noWrap/>
            <w:vAlign w:val="bottom"/>
            <w:hideMark/>
          </w:tcPr>
          <w:p w14:paraId="29F71754"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Pentachlorobenzene</w:t>
            </w:r>
            <w:proofErr w:type="spellEnd"/>
          </w:p>
        </w:tc>
        <w:tc>
          <w:tcPr>
            <w:tcW w:w="783" w:type="dxa"/>
            <w:tcBorders>
              <w:top w:val="nil"/>
              <w:left w:val="nil"/>
              <w:bottom w:val="nil"/>
              <w:right w:val="nil"/>
            </w:tcBorders>
            <w:shd w:val="clear" w:color="000000" w:fill="63BE7B"/>
            <w:noWrap/>
            <w:vAlign w:val="bottom"/>
            <w:hideMark/>
          </w:tcPr>
          <w:p w14:paraId="0746B4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E7EDB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3BA00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19ECD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44ED3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F0E8D1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C46A4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9C309EE" w14:textId="77777777" w:rsidTr="00B66BD9">
        <w:trPr>
          <w:trHeight w:val="260"/>
          <w:jc w:val="center"/>
        </w:trPr>
        <w:tc>
          <w:tcPr>
            <w:tcW w:w="2648" w:type="dxa"/>
            <w:tcBorders>
              <w:top w:val="nil"/>
              <w:left w:val="nil"/>
              <w:bottom w:val="nil"/>
              <w:right w:val="nil"/>
            </w:tcBorders>
            <w:noWrap/>
            <w:vAlign w:val="bottom"/>
            <w:hideMark/>
          </w:tcPr>
          <w:p w14:paraId="2503F6ED"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Pentachlorobenzonitrile</w:t>
            </w:r>
            <w:proofErr w:type="spellEnd"/>
          </w:p>
        </w:tc>
        <w:tc>
          <w:tcPr>
            <w:tcW w:w="783" w:type="dxa"/>
            <w:tcBorders>
              <w:top w:val="nil"/>
              <w:left w:val="nil"/>
              <w:bottom w:val="nil"/>
              <w:right w:val="nil"/>
            </w:tcBorders>
            <w:shd w:val="clear" w:color="000000" w:fill="FFEF9C"/>
            <w:noWrap/>
            <w:vAlign w:val="bottom"/>
            <w:hideMark/>
          </w:tcPr>
          <w:p w14:paraId="2424A5A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2CF4FE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4DCB72C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10FF5B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F55710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BDE92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4B974D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E504D98" w14:textId="77777777" w:rsidTr="00B66BD9">
        <w:trPr>
          <w:trHeight w:val="260"/>
          <w:jc w:val="center"/>
        </w:trPr>
        <w:tc>
          <w:tcPr>
            <w:tcW w:w="2648" w:type="dxa"/>
            <w:tcBorders>
              <w:top w:val="nil"/>
              <w:left w:val="nil"/>
              <w:bottom w:val="nil"/>
              <w:right w:val="nil"/>
            </w:tcBorders>
            <w:noWrap/>
            <w:vAlign w:val="bottom"/>
            <w:hideMark/>
          </w:tcPr>
          <w:p w14:paraId="4A60DC68"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Pentachlorothioanisole</w:t>
            </w:r>
            <w:proofErr w:type="spellEnd"/>
          </w:p>
        </w:tc>
        <w:tc>
          <w:tcPr>
            <w:tcW w:w="783" w:type="dxa"/>
            <w:tcBorders>
              <w:top w:val="nil"/>
              <w:left w:val="nil"/>
              <w:bottom w:val="nil"/>
              <w:right w:val="nil"/>
            </w:tcBorders>
            <w:shd w:val="clear" w:color="000000" w:fill="63BE7B"/>
            <w:noWrap/>
            <w:vAlign w:val="bottom"/>
            <w:hideMark/>
          </w:tcPr>
          <w:p w14:paraId="00F45F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A0CAD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35D09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345D4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8F6FD6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166377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0E222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BDF54E8" w14:textId="77777777" w:rsidTr="00B66BD9">
        <w:trPr>
          <w:trHeight w:val="260"/>
          <w:jc w:val="center"/>
        </w:trPr>
        <w:tc>
          <w:tcPr>
            <w:tcW w:w="2648" w:type="dxa"/>
            <w:tcBorders>
              <w:top w:val="nil"/>
              <w:left w:val="nil"/>
              <w:bottom w:val="nil"/>
              <w:right w:val="nil"/>
            </w:tcBorders>
            <w:noWrap/>
            <w:vAlign w:val="bottom"/>
            <w:hideMark/>
          </w:tcPr>
          <w:p w14:paraId="69BDCCC8" w14:textId="15EEBBF6"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Permethrine</w:t>
            </w:r>
            <w:proofErr w:type="spellEnd"/>
            <w:r w:rsidRPr="008E1FC4">
              <w:rPr>
                <w:rFonts w:ascii="Arial" w:hAnsi="Arial" w:cs="Arial"/>
                <w:color w:val="000000"/>
                <w:lang w:eastAsia="en-IN"/>
              </w:rPr>
              <w:t>-cis</w:t>
            </w:r>
          </w:p>
        </w:tc>
        <w:tc>
          <w:tcPr>
            <w:tcW w:w="783" w:type="dxa"/>
            <w:tcBorders>
              <w:top w:val="nil"/>
              <w:left w:val="nil"/>
              <w:bottom w:val="nil"/>
              <w:right w:val="nil"/>
            </w:tcBorders>
            <w:shd w:val="clear" w:color="000000" w:fill="FFEF9C"/>
            <w:noWrap/>
            <w:vAlign w:val="bottom"/>
            <w:hideMark/>
          </w:tcPr>
          <w:p w14:paraId="316617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349149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4C5C25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71BCE9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76917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5B2AB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27B365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41715A29" w14:textId="77777777" w:rsidTr="00B66BD9">
        <w:trPr>
          <w:trHeight w:val="260"/>
          <w:jc w:val="center"/>
        </w:trPr>
        <w:tc>
          <w:tcPr>
            <w:tcW w:w="2648" w:type="dxa"/>
            <w:tcBorders>
              <w:top w:val="nil"/>
              <w:left w:val="nil"/>
              <w:bottom w:val="nil"/>
              <w:right w:val="nil"/>
            </w:tcBorders>
            <w:noWrap/>
            <w:vAlign w:val="bottom"/>
            <w:hideMark/>
          </w:tcPr>
          <w:p w14:paraId="51C92AD0"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Permethrine</w:t>
            </w:r>
            <w:proofErr w:type="spellEnd"/>
            <w:r w:rsidRPr="008E1FC4">
              <w:rPr>
                <w:rFonts w:ascii="Arial" w:hAnsi="Arial" w:cs="Arial"/>
                <w:color w:val="000000"/>
                <w:lang w:eastAsia="en-IN"/>
              </w:rPr>
              <w:t>-trans</w:t>
            </w:r>
          </w:p>
        </w:tc>
        <w:tc>
          <w:tcPr>
            <w:tcW w:w="783" w:type="dxa"/>
            <w:tcBorders>
              <w:top w:val="nil"/>
              <w:left w:val="nil"/>
              <w:bottom w:val="nil"/>
              <w:right w:val="nil"/>
            </w:tcBorders>
            <w:shd w:val="clear" w:color="000000" w:fill="FFEF9C"/>
            <w:noWrap/>
            <w:vAlign w:val="bottom"/>
            <w:hideMark/>
          </w:tcPr>
          <w:p w14:paraId="2D7C58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66CADD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6255722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030968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AE9E72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A54DB7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4746C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62A11A68" w14:textId="77777777" w:rsidTr="00B66BD9">
        <w:trPr>
          <w:trHeight w:val="260"/>
          <w:jc w:val="center"/>
        </w:trPr>
        <w:tc>
          <w:tcPr>
            <w:tcW w:w="2648" w:type="dxa"/>
            <w:tcBorders>
              <w:top w:val="nil"/>
              <w:left w:val="nil"/>
              <w:bottom w:val="nil"/>
              <w:right w:val="nil"/>
            </w:tcBorders>
            <w:noWrap/>
            <w:vAlign w:val="bottom"/>
            <w:hideMark/>
          </w:tcPr>
          <w:p w14:paraId="349C9D5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Phorate</w:t>
            </w:r>
          </w:p>
        </w:tc>
        <w:tc>
          <w:tcPr>
            <w:tcW w:w="783" w:type="dxa"/>
            <w:tcBorders>
              <w:top w:val="nil"/>
              <w:left w:val="nil"/>
              <w:bottom w:val="nil"/>
              <w:right w:val="nil"/>
            </w:tcBorders>
            <w:shd w:val="clear" w:color="000000" w:fill="63BE7B"/>
            <w:noWrap/>
            <w:vAlign w:val="bottom"/>
            <w:hideMark/>
          </w:tcPr>
          <w:p w14:paraId="774C6F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A5CFA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6C0E6AE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002817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D14C6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10502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8474E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7BB6DEC7" w14:textId="77777777" w:rsidTr="00B66BD9">
        <w:trPr>
          <w:trHeight w:val="260"/>
          <w:jc w:val="center"/>
        </w:trPr>
        <w:tc>
          <w:tcPr>
            <w:tcW w:w="2648" w:type="dxa"/>
            <w:tcBorders>
              <w:top w:val="nil"/>
              <w:left w:val="nil"/>
              <w:bottom w:val="nil"/>
              <w:right w:val="nil"/>
            </w:tcBorders>
            <w:noWrap/>
            <w:vAlign w:val="bottom"/>
            <w:hideMark/>
          </w:tcPr>
          <w:p w14:paraId="597EFB6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Phosalo0e</w:t>
            </w:r>
          </w:p>
        </w:tc>
        <w:tc>
          <w:tcPr>
            <w:tcW w:w="783" w:type="dxa"/>
            <w:tcBorders>
              <w:top w:val="nil"/>
              <w:left w:val="nil"/>
              <w:bottom w:val="nil"/>
              <w:right w:val="nil"/>
            </w:tcBorders>
            <w:shd w:val="clear" w:color="000000" w:fill="FFEF9C"/>
            <w:noWrap/>
            <w:vAlign w:val="bottom"/>
            <w:hideMark/>
          </w:tcPr>
          <w:p w14:paraId="777F35F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645601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E84A18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1135C1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645EAE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351C6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329F5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20C2F861" w14:textId="77777777" w:rsidTr="00B66BD9">
        <w:trPr>
          <w:trHeight w:val="260"/>
          <w:jc w:val="center"/>
        </w:trPr>
        <w:tc>
          <w:tcPr>
            <w:tcW w:w="2648" w:type="dxa"/>
            <w:tcBorders>
              <w:top w:val="nil"/>
              <w:left w:val="nil"/>
              <w:bottom w:val="nil"/>
              <w:right w:val="nil"/>
            </w:tcBorders>
            <w:noWrap/>
            <w:vAlign w:val="bottom"/>
            <w:hideMark/>
          </w:tcPr>
          <w:p w14:paraId="318D6B03" w14:textId="02AD7D26"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Phosmet</w:t>
            </w:r>
            <w:proofErr w:type="spellEnd"/>
          </w:p>
        </w:tc>
        <w:tc>
          <w:tcPr>
            <w:tcW w:w="783" w:type="dxa"/>
            <w:tcBorders>
              <w:top w:val="nil"/>
              <w:left w:val="nil"/>
              <w:bottom w:val="nil"/>
              <w:right w:val="nil"/>
            </w:tcBorders>
            <w:shd w:val="clear" w:color="000000" w:fill="63BE7B"/>
            <w:noWrap/>
            <w:vAlign w:val="bottom"/>
            <w:hideMark/>
          </w:tcPr>
          <w:p w14:paraId="194F20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0B8EEF9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058966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31B873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21F01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0A911D2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C1731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0DD19C0" w14:textId="77777777" w:rsidTr="00B66BD9">
        <w:trPr>
          <w:trHeight w:val="260"/>
          <w:jc w:val="center"/>
        </w:trPr>
        <w:tc>
          <w:tcPr>
            <w:tcW w:w="2648" w:type="dxa"/>
            <w:tcBorders>
              <w:top w:val="nil"/>
              <w:left w:val="nil"/>
              <w:bottom w:val="nil"/>
              <w:right w:val="nil"/>
            </w:tcBorders>
            <w:noWrap/>
            <w:vAlign w:val="bottom"/>
            <w:hideMark/>
          </w:tcPr>
          <w:p w14:paraId="72BF5D8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Piperonyl butoxide</w:t>
            </w:r>
          </w:p>
        </w:tc>
        <w:tc>
          <w:tcPr>
            <w:tcW w:w="783" w:type="dxa"/>
            <w:tcBorders>
              <w:top w:val="nil"/>
              <w:left w:val="nil"/>
              <w:bottom w:val="nil"/>
              <w:right w:val="nil"/>
            </w:tcBorders>
            <w:shd w:val="clear" w:color="000000" w:fill="63BE7B"/>
            <w:noWrap/>
            <w:vAlign w:val="bottom"/>
            <w:hideMark/>
          </w:tcPr>
          <w:p w14:paraId="3274F2E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B96FA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A1AD31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2215EA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5389D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7FD704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0C998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000B2F40" w14:textId="77777777" w:rsidTr="00B66BD9">
        <w:trPr>
          <w:trHeight w:val="260"/>
          <w:jc w:val="center"/>
        </w:trPr>
        <w:tc>
          <w:tcPr>
            <w:tcW w:w="2648" w:type="dxa"/>
            <w:tcBorders>
              <w:top w:val="nil"/>
              <w:left w:val="nil"/>
              <w:bottom w:val="nil"/>
              <w:right w:val="nil"/>
            </w:tcBorders>
            <w:noWrap/>
            <w:vAlign w:val="bottom"/>
            <w:hideMark/>
          </w:tcPr>
          <w:p w14:paraId="4D31C1B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Pirimiphos ethyl</w:t>
            </w:r>
          </w:p>
        </w:tc>
        <w:tc>
          <w:tcPr>
            <w:tcW w:w="783" w:type="dxa"/>
            <w:tcBorders>
              <w:top w:val="nil"/>
              <w:left w:val="nil"/>
              <w:bottom w:val="nil"/>
              <w:right w:val="nil"/>
            </w:tcBorders>
            <w:shd w:val="clear" w:color="000000" w:fill="63BE7B"/>
            <w:noWrap/>
            <w:vAlign w:val="bottom"/>
            <w:hideMark/>
          </w:tcPr>
          <w:p w14:paraId="08E0EB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37B2018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2F0D74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2C80A7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EA97C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728B2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F5CA3F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77ED0552" w14:textId="77777777" w:rsidTr="00B66BD9">
        <w:trPr>
          <w:trHeight w:val="260"/>
          <w:jc w:val="center"/>
        </w:trPr>
        <w:tc>
          <w:tcPr>
            <w:tcW w:w="2648" w:type="dxa"/>
            <w:tcBorders>
              <w:top w:val="nil"/>
              <w:left w:val="nil"/>
              <w:bottom w:val="nil"/>
              <w:right w:val="nil"/>
            </w:tcBorders>
            <w:noWrap/>
            <w:vAlign w:val="bottom"/>
            <w:hideMark/>
          </w:tcPr>
          <w:p w14:paraId="482048AC" w14:textId="54A6D7CC"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Pirimiphos-methyl</w:t>
            </w:r>
          </w:p>
        </w:tc>
        <w:tc>
          <w:tcPr>
            <w:tcW w:w="783" w:type="dxa"/>
            <w:tcBorders>
              <w:top w:val="nil"/>
              <w:left w:val="nil"/>
              <w:bottom w:val="nil"/>
              <w:right w:val="nil"/>
            </w:tcBorders>
            <w:shd w:val="clear" w:color="000000" w:fill="63BE7B"/>
            <w:noWrap/>
            <w:vAlign w:val="bottom"/>
            <w:hideMark/>
          </w:tcPr>
          <w:p w14:paraId="1990BE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0EC484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39D7F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C398AF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694E66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957812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D0305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536E903" w14:textId="77777777" w:rsidTr="00B66BD9">
        <w:trPr>
          <w:trHeight w:val="260"/>
          <w:jc w:val="center"/>
        </w:trPr>
        <w:tc>
          <w:tcPr>
            <w:tcW w:w="2648" w:type="dxa"/>
            <w:tcBorders>
              <w:top w:val="nil"/>
              <w:left w:val="nil"/>
              <w:bottom w:val="nil"/>
              <w:right w:val="nil"/>
            </w:tcBorders>
            <w:noWrap/>
            <w:vAlign w:val="bottom"/>
            <w:hideMark/>
          </w:tcPr>
          <w:p w14:paraId="5AF206E9"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Pretilachlor</w:t>
            </w:r>
          </w:p>
        </w:tc>
        <w:tc>
          <w:tcPr>
            <w:tcW w:w="783" w:type="dxa"/>
            <w:tcBorders>
              <w:top w:val="nil"/>
              <w:left w:val="nil"/>
              <w:bottom w:val="nil"/>
              <w:right w:val="nil"/>
            </w:tcBorders>
            <w:shd w:val="clear" w:color="000000" w:fill="63BE7B"/>
            <w:noWrap/>
            <w:vAlign w:val="bottom"/>
            <w:hideMark/>
          </w:tcPr>
          <w:p w14:paraId="11FFF6A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3A7497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3BAA6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A83636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D8846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00924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9CC7F2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9BFC888" w14:textId="77777777" w:rsidTr="00B66BD9">
        <w:trPr>
          <w:trHeight w:val="260"/>
          <w:jc w:val="center"/>
        </w:trPr>
        <w:tc>
          <w:tcPr>
            <w:tcW w:w="2648" w:type="dxa"/>
            <w:tcBorders>
              <w:top w:val="nil"/>
              <w:left w:val="nil"/>
              <w:bottom w:val="nil"/>
              <w:right w:val="nil"/>
            </w:tcBorders>
            <w:noWrap/>
            <w:vAlign w:val="bottom"/>
            <w:hideMark/>
          </w:tcPr>
          <w:p w14:paraId="3695FCDF"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Prochloraz</w:t>
            </w:r>
          </w:p>
        </w:tc>
        <w:tc>
          <w:tcPr>
            <w:tcW w:w="783" w:type="dxa"/>
            <w:tcBorders>
              <w:top w:val="nil"/>
              <w:left w:val="nil"/>
              <w:bottom w:val="nil"/>
              <w:right w:val="nil"/>
            </w:tcBorders>
            <w:shd w:val="clear" w:color="000000" w:fill="63BE7B"/>
            <w:noWrap/>
            <w:vAlign w:val="bottom"/>
            <w:hideMark/>
          </w:tcPr>
          <w:p w14:paraId="3312B64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6FE69AC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CCCA2D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190680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BF39E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3C1452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2B520F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98601A7" w14:textId="77777777" w:rsidTr="00B66BD9">
        <w:trPr>
          <w:trHeight w:val="260"/>
          <w:jc w:val="center"/>
        </w:trPr>
        <w:tc>
          <w:tcPr>
            <w:tcW w:w="2648" w:type="dxa"/>
            <w:tcBorders>
              <w:top w:val="nil"/>
              <w:left w:val="nil"/>
              <w:bottom w:val="nil"/>
              <w:right w:val="nil"/>
            </w:tcBorders>
            <w:noWrap/>
            <w:vAlign w:val="bottom"/>
            <w:hideMark/>
          </w:tcPr>
          <w:p w14:paraId="3D7CC07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Procymidone</w:t>
            </w:r>
          </w:p>
        </w:tc>
        <w:tc>
          <w:tcPr>
            <w:tcW w:w="783" w:type="dxa"/>
            <w:tcBorders>
              <w:top w:val="nil"/>
              <w:left w:val="nil"/>
              <w:bottom w:val="nil"/>
              <w:right w:val="nil"/>
            </w:tcBorders>
            <w:shd w:val="clear" w:color="000000" w:fill="63BE7B"/>
            <w:noWrap/>
            <w:vAlign w:val="bottom"/>
            <w:hideMark/>
          </w:tcPr>
          <w:p w14:paraId="75F0F5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38098F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1C285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E94B2C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99BBFA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713720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0098D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E1A705B" w14:textId="77777777" w:rsidTr="00B66BD9">
        <w:trPr>
          <w:trHeight w:val="260"/>
          <w:jc w:val="center"/>
        </w:trPr>
        <w:tc>
          <w:tcPr>
            <w:tcW w:w="2648" w:type="dxa"/>
            <w:tcBorders>
              <w:top w:val="nil"/>
              <w:left w:val="nil"/>
              <w:bottom w:val="nil"/>
              <w:right w:val="nil"/>
            </w:tcBorders>
            <w:noWrap/>
            <w:vAlign w:val="bottom"/>
            <w:hideMark/>
          </w:tcPr>
          <w:p w14:paraId="14FA2635"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Prodiamine</w:t>
            </w:r>
            <w:proofErr w:type="spellEnd"/>
          </w:p>
        </w:tc>
        <w:tc>
          <w:tcPr>
            <w:tcW w:w="783" w:type="dxa"/>
            <w:tcBorders>
              <w:top w:val="nil"/>
              <w:left w:val="nil"/>
              <w:bottom w:val="nil"/>
              <w:right w:val="nil"/>
            </w:tcBorders>
            <w:shd w:val="clear" w:color="000000" w:fill="FFEF9C"/>
            <w:noWrap/>
            <w:vAlign w:val="bottom"/>
            <w:hideMark/>
          </w:tcPr>
          <w:p w14:paraId="5B987E1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42B2DF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078E90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33A301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A5316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09139E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E675A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0625146" w14:textId="77777777" w:rsidTr="00B66BD9">
        <w:trPr>
          <w:trHeight w:val="260"/>
          <w:jc w:val="center"/>
        </w:trPr>
        <w:tc>
          <w:tcPr>
            <w:tcW w:w="2648" w:type="dxa"/>
            <w:tcBorders>
              <w:top w:val="nil"/>
              <w:left w:val="nil"/>
              <w:bottom w:val="nil"/>
              <w:right w:val="nil"/>
            </w:tcBorders>
            <w:noWrap/>
            <w:vAlign w:val="bottom"/>
            <w:hideMark/>
          </w:tcPr>
          <w:p w14:paraId="675521B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lastRenderedPageBreak/>
              <w:t>Profenofos</w:t>
            </w:r>
          </w:p>
        </w:tc>
        <w:tc>
          <w:tcPr>
            <w:tcW w:w="783" w:type="dxa"/>
            <w:tcBorders>
              <w:top w:val="nil"/>
              <w:left w:val="nil"/>
              <w:bottom w:val="nil"/>
              <w:right w:val="nil"/>
            </w:tcBorders>
            <w:shd w:val="clear" w:color="000000" w:fill="FFEF9C"/>
            <w:noWrap/>
            <w:vAlign w:val="bottom"/>
            <w:hideMark/>
          </w:tcPr>
          <w:p w14:paraId="47FBF8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878F9C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4121D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061126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AFE7CE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00973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5A830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9493216" w14:textId="77777777" w:rsidTr="00B66BD9">
        <w:trPr>
          <w:trHeight w:val="260"/>
          <w:jc w:val="center"/>
        </w:trPr>
        <w:tc>
          <w:tcPr>
            <w:tcW w:w="2648" w:type="dxa"/>
            <w:tcBorders>
              <w:top w:val="nil"/>
              <w:left w:val="nil"/>
              <w:bottom w:val="nil"/>
              <w:right w:val="nil"/>
            </w:tcBorders>
            <w:noWrap/>
            <w:vAlign w:val="bottom"/>
            <w:hideMark/>
          </w:tcPr>
          <w:p w14:paraId="26D4AE04"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Profluralin</w:t>
            </w:r>
            <w:proofErr w:type="spellEnd"/>
          </w:p>
        </w:tc>
        <w:tc>
          <w:tcPr>
            <w:tcW w:w="783" w:type="dxa"/>
            <w:tcBorders>
              <w:top w:val="nil"/>
              <w:left w:val="nil"/>
              <w:bottom w:val="nil"/>
              <w:right w:val="nil"/>
            </w:tcBorders>
            <w:shd w:val="clear" w:color="000000" w:fill="FFEF9C"/>
            <w:noWrap/>
            <w:vAlign w:val="bottom"/>
            <w:hideMark/>
          </w:tcPr>
          <w:p w14:paraId="4824A32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093BE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F00ECB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18671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DBAB5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EDE14D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8D2C7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CE986E8" w14:textId="77777777" w:rsidTr="00B66BD9">
        <w:trPr>
          <w:trHeight w:val="260"/>
          <w:jc w:val="center"/>
        </w:trPr>
        <w:tc>
          <w:tcPr>
            <w:tcW w:w="2648" w:type="dxa"/>
            <w:tcBorders>
              <w:top w:val="nil"/>
              <w:left w:val="nil"/>
              <w:bottom w:val="nil"/>
              <w:right w:val="nil"/>
            </w:tcBorders>
            <w:noWrap/>
            <w:vAlign w:val="bottom"/>
            <w:hideMark/>
          </w:tcPr>
          <w:p w14:paraId="48134B8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Propachlor</w:t>
            </w:r>
            <w:proofErr w:type="spellEnd"/>
          </w:p>
        </w:tc>
        <w:tc>
          <w:tcPr>
            <w:tcW w:w="783" w:type="dxa"/>
            <w:tcBorders>
              <w:top w:val="nil"/>
              <w:left w:val="nil"/>
              <w:bottom w:val="nil"/>
              <w:right w:val="nil"/>
            </w:tcBorders>
            <w:shd w:val="clear" w:color="000000" w:fill="63BE7B"/>
            <w:noWrap/>
            <w:vAlign w:val="bottom"/>
            <w:hideMark/>
          </w:tcPr>
          <w:p w14:paraId="2746976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A2BE85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617D57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20873A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EDE63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49D1B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A2AF4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DE28F0F" w14:textId="77777777" w:rsidTr="00B66BD9">
        <w:trPr>
          <w:trHeight w:val="260"/>
          <w:jc w:val="center"/>
        </w:trPr>
        <w:tc>
          <w:tcPr>
            <w:tcW w:w="2648" w:type="dxa"/>
            <w:tcBorders>
              <w:top w:val="nil"/>
              <w:left w:val="nil"/>
              <w:bottom w:val="nil"/>
              <w:right w:val="nil"/>
            </w:tcBorders>
            <w:noWrap/>
            <w:vAlign w:val="bottom"/>
            <w:hideMark/>
          </w:tcPr>
          <w:p w14:paraId="15E9409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Propanil</w:t>
            </w:r>
          </w:p>
        </w:tc>
        <w:tc>
          <w:tcPr>
            <w:tcW w:w="783" w:type="dxa"/>
            <w:tcBorders>
              <w:top w:val="nil"/>
              <w:left w:val="nil"/>
              <w:bottom w:val="nil"/>
              <w:right w:val="nil"/>
            </w:tcBorders>
            <w:shd w:val="clear" w:color="000000" w:fill="FFEF9C"/>
            <w:noWrap/>
            <w:vAlign w:val="bottom"/>
            <w:hideMark/>
          </w:tcPr>
          <w:p w14:paraId="305F66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6F9810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3CD8B0F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00A5E2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08CBF21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3140F7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3A2F6C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39A6AA9" w14:textId="77777777" w:rsidTr="00B66BD9">
        <w:trPr>
          <w:trHeight w:val="260"/>
          <w:jc w:val="center"/>
        </w:trPr>
        <w:tc>
          <w:tcPr>
            <w:tcW w:w="2648" w:type="dxa"/>
            <w:tcBorders>
              <w:top w:val="nil"/>
              <w:left w:val="nil"/>
              <w:bottom w:val="nil"/>
              <w:right w:val="nil"/>
            </w:tcBorders>
            <w:noWrap/>
            <w:vAlign w:val="bottom"/>
            <w:hideMark/>
          </w:tcPr>
          <w:p w14:paraId="1796E69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Propargite-1</w:t>
            </w:r>
          </w:p>
        </w:tc>
        <w:tc>
          <w:tcPr>
            <w:tcW w:w="783" w:type="dxa"/>
            <w:tcBorders>
              <w:top w:val="nil"/>
              <w:left w:val="nil"/>
              <w:bottom w:val="nil"/>
              <w:right w:val="nil"/>
            </w:tcBorders>
            <w:shd w:val="clear" w:color="000000" w:fill="63BE7B"/>
            <w:noWrap/>
            <w:vAlign w:val="bottom"/>
            <w:hideMark/>
          </w:tcPr>
          <w:p w14:paraId="131965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05BC5F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BC6B30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0CFF2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497379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383BCDC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952412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7C7EB15" w14:textId="77777777" w:rsidTr="00B66BD9">
        <w:trPr>
          <w:trHeight w:val="260"/>
          <w:jc w:val="center"/>
        </w:trPr>
        <w:tc>
          <w:tcPr>
            <w:tcW w:w="2648" w:type="dxa"/>
            <w:tcBorders>
              <w:top w:val="nil"/>
              <w:left w:val="nil"/>
              <w:bottom w:val="nil"/>
              <w:right w:val="nil"/>
            </w:tcBorders>
            <w:noWrap/>
            <w:vAlign w:val="bottom"/>
            <w:hideMark/>
          </w:tcPr>
          <w:p w14:paraId="25FA81AE"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Propisochlor</w:t>
            </w:r>
            <w:proofErr w:type="spellEnd"/>
          </w:p>
        </w:tc>
        <w:tc>
          <w:tcPr>
            <w:tcW w:w="783" w:type="dxa"/>
            <w:tcBorders>
              <w:top w:val="nil"/>
              <w:left w:val="nil"/>
              <w:bottom w:val="nil"/>
              <w:right w:val="nil"/>
            </w:tcBorders>
            <w:shd w:val="clear" w:color="000000" w:fill="63BE7B"/>
            <w:noWrap/>
            <w:vAlign w:val="bottom"/>
            <w:hideMark/>
          </w:tcPr>
          <w:p w14:paraId="164DB11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D8FF1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62F0C7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5FF02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0309587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89287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85960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8A16345" w14:textId="77777777" w:rsidTr="00B66BD9">
        <w:trPr>
          <w:trHeight w:val="260"/>
          <w:jc w:val="center"/>
        </w:trPr>
        <w:tc>
          <w:tcPr>
            <w:tcW w:w="2648" w:type="dxa"/>
            <w:tcBorders>
              <w:top w:val="nil"/>
              <w:left w:val="nil"/>
              <w:bottom w:val="nil"/>
              <w:right w:val="nil"/>
            </w:tcBorders>
            <w:noWrap/>
            <w:vAlign w:val="bottom"/>
            <w:hideMark/>
          </w:tcPr>
          <w:p w14:paraId="3B925C3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Propyzamide</w:t>
            </w:r>
          </w:p>
        </w:tc>
        <w:tc>
          <w:tcPr>
            <w:tcW w:w="783" w:type="dxa"/>
            <w:tcBorders>
              <w:top w:val="nil"/>
              <w:left w:val="nil"/>
              <w:bottom w:val="nil"/>
              <w:right w:val="nil"/>
            </w:tcBorders>
            <w:shd w:val="clear" w:color="000000" w:fill="63BE7B"/>
            <w:noWrap/>
            <w:vAlign w:val="bottom"/>
            <w:hideMark/>
          </w:tcPr>
          <w:p w14:paraId="78E8B7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2C6E8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3CD6DE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AFF597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1181C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351B4D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3705C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9296D28" w14:textId="77777777" w:rsidTr="00B66BD9">
        <w:trPr>
          <w:trHeight w:val="260"/>
          <w:jc w:val="center"/>
        </w:trPr>
        <w:tc>
          <w:tcPr>
            <w:tcW w:w="2648" w:type="dxa"/>
            <w:tcBorders>
              <w:top w:val="nil"/>
              <w:left w:val="nil"/>
              <w:bottom w:val="nil"/>
              <w:right w:val="nil"/>
            </w:tcBorders>
            <w:noWrap/>
            <w:vAlign w:val="bottom"/>
            <w:hideMark/>
          </w:tcPr>
          <w:p w14:paraId="226A2DE7"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Pyraclofos</w:t>
            </w:r>
            <w:proofErr w:type="spellEnd"/>
          </w:p>
        </w:tc>
        <w:tc>
          <w:tcPr>
            <w:tcW w:w="783" w:type="dxa"/>
            <w:tcBorders>
              <w:top w:val="nil"/>
              <w:left w:val="nil"/>
              <w:bottom w:val="nil"/>
              <w:right w:val="nil"/>
            </w:tcBorders>
            <w:shd w:val="clear" w:color="000000" w:fill="FFEF9C"/>
            <w:noWrap/>
            <w:vAlign w:val="bottom"/>
            <w:hideMark/>
          </w:tcPr>
          <w:p w14:paraId="5E6FB69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7EBD41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D7E53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25088A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56962F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5AA17A4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FDC15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420271CE" w14:textId="77777777" w:rsidTr="00B66BD9">
        <w:trPr>
          <w:trHeight w:val="260"/>
          <w:jc w:val="center"/>
        </w:trPr>
        <w:tc>
          <w:tcPr>
            <w:tcW w:w="2648" w:type="dxa"/>
            <w:tcBorders>
              <w:top w:val="nil"/>
              <w:left w:val="nil"/>
              <w:bottom w:val="nil"/>
              <w:right w:val="nil"/>
            </w:tcBorders>
            <w:noWrap/>
            <w:vAlign w:val="bottom"/>
            <w:hideMark/>
          </w:tcPr>
          <w:p w14:paraId="054D7712"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Pyrazophos</w:t>
            </w:r>
          </w:p>
        </w:tc>
        <w:tc>
          <w:tcPr>
            <w:tcW w:w="783" w:type="dxa"/>
            <w:tcBorders>
              <w:top w:val="nil"/>
              <w:left w:val="nil"/>
              <w:bottom w:val="nil"/>
              <w:right w:val="nil"/>
            </w:tcBorders>
            <w:shd w:val="clear" w:color="000000" w:fill="63BE7B"/>
            <w:noWrap/>
            <w:vAlign w:val="bottom"/>
            <w:hideMark/>
          </w:tcPr>
          <w:p w14:paraId="07DD91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A1E232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13779D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84B06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13D8A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104564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E6E21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0D03A0E3" w14:textId="77777777" w:rsidTr="00B66BD9">
        <w:trPr>
          <w:trHeight w:val="260"/>
          <w:jc w:val="center"/>
        </w:trPr>
        <w:tc>
          <w:tcPr>
            <w:tcW w:w="2648" w:type="dxa"/>
            <w:tcBorders>
              <w:top w:val="nil"/>
              <w:left w:val="nil"/>
              <w:bottom w:val="nil"/>
              <w:right w:val="nil"/>
            </w:tcBorders>
            <w:noWrap/>
            <w:vAlign w:val="bottom"/>
            <w:hideMark/>
          </w:tcPr>
          <w:p w14:paraId="72D4CC31"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Pyridaben</w:t>
            </w:r>
            <w:proofErr w:type="spellEnd"/>
          </w:p>
        </w:tc>
        <w:tc>
          <w:tcPr>
            <w:tcW w:w="783" w:type="dxa"/>
            <w:tcBorders>
              <w:top w:val="nil"/>
              <w:left w:val="nil"/>
              <w:bottom w:val="nil"/>
              <w:right w:val="nil"/>
            </w:tcBorders>
            <w:shd w:val="clear" w:color="000000" w:fill="FFEF9C"/>
            <w:noWrap/>
            <w:vAlign w:val="bottom"/>
            <w:hideMark/>
          </w:tcPr>
          <w:p w14:paraId="68AA64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BD577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74D617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EA1E6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4250F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CC8EAE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2E818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1879816" w14:textId="77777777" w:rsidTr="00B66BD9">
        <w:trPr>
          <w:trHeight w:val="260"/>
          <w:jc w:val="center"/>
        </w:trPr>
        <w:tc>
          <w:tcPr>
            <w:tcW w:w="2648" w:type="dxa"/>
            <w:tcBorders>
              <w:top w:val="nil"/>
              <w:left w:val="nil"/>
              <w:bottom w:val="nil"/>
              <w:right w:val="nil"/>
            </w:tcBorders>
            <w:noWrap/>
            <w:vAlign w:val="bottom"/>
            <w:hideMark/>
          </w:tcPr>
          <w:p w14:paraId="5F3FE401"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Pyridaphenthion</w:t>
            </w:r>
            <w:proofErr w:type="spellEnd"/>
          </w:p>
        </w:tc>
        <w:tc>
          <w:tcPr>
            <w:tcW w:w="783" w:type="dxa"/>
            <w:tcBorders>
              <w:top w:val="nil"/>
              <w:left w:val="nil"/>
              <w:bottom w:val="nil"/>
              <w:right w:val="nil"/>
            </w:tcBorders>
            <w:shd w:val="clear" w:color="000000" w:fill="FFEF9C"/>
            <w:noWrap/>
            <w:vAlign w:val="bottom"/>
            <w:hideMark/>
          </w:tcPr>
          <w:p w14:paraId="311AD56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D799E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DC22B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D1D03E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D2CCEF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B0E11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5BEBDE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D150A24" w14:textId="77777777" w:rsidTr="00B66BD9">
        <w:trPr>
          <w:trHeight w:val="260"/>
          <w:jc w:val="center"/>
        </w:trPr>
        <w:tc>
          <w:tcPr>
            <w:tcW w:w="2648" w:type="dxa"/>
            <w:tcBorders>
              <w:top w:val="nil"/>
              <w:left w:val="nil"/>
              <w:bottom w:val="nil"/>
              <w:right w:val="nil"/>
            </w:tcBorders>
            <w:noWrap/>
            <w:vAlign w:val="bottom"/>
            <w:hideMark/>
          </w:tcPr>
          <w:p w14:paraId="59E2700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Pyrimethanil</w:t>
            </w:r>
          </w:p>
        </w:tc>
        <w:tc>
          <w:tcPr>
            <w:tcW w:w="783" w:type="dxa"/>
            <w:tcBorders>
              <w:top w:val="nil"/>
              <w:left w:val="nil"/>
              <w:bottom w:val="nil"/>
              <w:right w:val="nil"/>
            </w:tcBorders>
            <w:shd w:val="clear" w:color="000000" w:fill="63BE7B"/>
            <w:noWrap/>
            <w:vAlign w:val="bottom"/>
            <w:hideMark/>
          </w:tcPr>
          <w:p w14:paraId="5EF1069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F97FD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4E69A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DB00B4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65ACC1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F86A7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BDA9F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C61C159" w14:textId="77777777" w:rsidTr="00B66BD9">
        <w:trPr>
          <w:trHeight w:val="260"/>
          <w:jc w:val="center"/>
        </w:trPr>
        <w:tc>
          <w:tcPr>
            <w:tcW w:w="2648" w:type="dxa"/>
            <w:tcBorders>
              <w:top w:val="nil"/>
              <w:left w:val="nil"/>
              <w:bottom w:val="nil"/>
              <w:right w:val="nil"/>
            </w:tcBorders>
            <w:noWrap/>
            <w:vAlign w:val="bottom"/>
            <w:hideMark/>
          </w:tcPr>
          <w:p w14:paraId="5B33056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Pyriproxyfen</w:t>
            </w:r>
          </w:p>
        </w:tc>
        <w:tc>
          <w:tcPr>
            <w:tcW w:w="783" w:type="dxa"/>
            <w:tcBorders>
              <w:top w:val="nil"/>
              <w:left w:val="nil"/>
              <w:bottom w:val="nil"/>
              <w:right w:val="nil"/>
            </w:tcBorders>
            <w:shd w:val="clear" w:color="000000" w:fill="63BE7B"/>
            <w:noWrap/>
            <w:vAlign w:val="bottom"/>
            <w:hideMark/>
          </w:tcPr>
          <w:p w14:paraId="4F634A3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2F22D4E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64D9E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ACED0A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7B27B8B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3DE7003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2009B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16393B0" w14:textId="77777777" w:rsidTr="00B66BD9">
        <w:trPr>
          <w:trHeight w:val="260"/>
          <w:jc w:val="center"/>
        </w:trPr>
        <w:tc>
          <w:tcPr>
            <w:tcW w:w="2648" w:type="dxa"/>
            <w:tcBorders>
              <w:top w:val="nil"/>
              <w:left w:val="nil"/>
              <w:bottom w:val="nil"/>
              <w:right w:val="nil"/>
            </w:tcBorders>
            <w:noWrap/>
            <w:vAlign w:val="bottom"/>
            <w:hideMark/>
          </w:tcPr>
          <w:p w14:paraId="5D434A5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Quinalphos</w:t>
            </w:r>
          </w:p>
        </w:tc>
        <w:tc>
          <w:tcPr>
            <w:tcW w:w="783" w:type="dxa"/>
            <w:tcBorders>
              <w:top w:val="nil"/>
              <w:left w:val="nil"/>
              <w:bottom w:val="nil"/>
              <w:right w:val="nil"/>
            </w:tcBorders>
            <w:shd w:val="clear" w:color="000000" w:fill="FFEF9C"/>
            <w:noWrap/>
            <w:vAlign w:val="bottom"/>
            <w:hideMark/>
          </w:tcPr>
          <w:p w14:paraId="798727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5105E8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AB835D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7F5EB7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057322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C2D1BE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993424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599ED0F" w14:textId="77777777" w:rsidTr="00B66BD9">
        <w:trPr>
          <w:trHeight w:val="260"/>
          <w:jc w:val="center"/>
        </w:trPr>
        <w:tc>
          <w:tcPr>
            <w:tcW w:w="2648" w:type="dxa"/>
            <w:tcBorders>
              <w:top w:val="nil"/>
              <w:left w:val="nil"/>
              <w:bottom w:val="nil"/>
              <w:right w:val="nil"/>
            </w:tcBorders>
            <w:noWrap/>
            <w:vAlign w:val="bottom"/>
            <w:hideMark/>
          </w:tcPr>
          <w:p w14:paraId="5425894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Quintozene</w:t>
            </w:r>
          </w:p>
        </w:tc>
        <w:tc>
          <w:tcPr>
            <w:tcW w:w="783" w:type="dxa"/>
            <w:tcBorders>
              <w:top w:val="nil"/>
              <w:left w:val="nil"/>
              <w:bottom w:val="nil"/>
              <w:right w:val="nil"/>
            </w:tcBorders>
            <w:shd w:val="clear" w:color="000000" w:fill="63BE7B"/>
            <w:noWrap/>
            <w:vAlign w:val="bottom"/>
            <w:hideMark/>
          </w:tcPr>
          <w:p w14:paraId="3F0F2C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442DD27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CEF77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9D478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6717E0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1A10BB2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EE9AC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E833FF9" w14:textId="77777777" w:rsidTr="00B66BD9">
        <w:trPr>
          <w:trHeight w:val="250"/>
          <w:jc w:val="center"/>
        </w:trPr>
        <w:tc>
          <w:tcPr>
            <w:tcW w:w="2648" w:type="dxa"/>
            <w:tcBorders>
              <w:top w:val="nil"/>
              <w:left w:val="nil"/>
              <w:bottom w:val="nil"/>
              <w:right w:val="nil"/>
            </w:tcBorders>
            <w:noWrap/>
            <w:vAlign w:val="bottom"/>
            <w:hideMark/>
          </w:tcPr>
          <w:p w14:paraId="6D283090" w14:textId="1FB18169"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Resmethrin-1</w:t>
            </w:r>
          </w:p>
        </w:tc>
        <w:tc>
          <w:tcPr>
            <w:tcW w:w="783" w:type="dxa"/>
            <w:tcBorders>
              <w:top w:val="nil"/>
              <w:left w:val="nil"/>
              <w:bottom w:val="nil"/>
              <w:right w:val="nil"/>
            </w:tcBorders>
            <w:shd w:val="clear" w:color="000000" w:fill="FFEF9C"/>
            <w:noWrap/>
            <w:vAlign w:val="bottom"/>
            <w:hideMark/>
          </w:tcPr>
          <w:p w14:paraId="39DBF58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66727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E65B24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E74338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AE928F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DD4852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D05470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641DCCF8" w14:textId="77777777" w:rsidTr="00B66BD9">
        <w:trPr>
          <w:trHeight w:val="260"/>
          <w:jc w:val="center"/>
        </w:trPr>
        <w:tc>
          <w:tcPr>
            <w:tcW w:w="2648" w:type="dxa"/>
            <w:tcBorders>
              <w:top w:val="nil"/>
              <w:left w:val="nil"/>
              <w:bottom w:val="nil"/>
              <w:right w:val="nil"/>
            </w:tcBorders>
            <w:noWrap/>
            <w:vAlign w:val="bottom"/>
            <w:hideMark/>
          </w:tcPr>
          <w:p w14:paraId="4C39F82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Sulfotep</w:t>
            </w:r>
          </w:p>
        </w:tc>
        <w:tc>
          <w:tcPr>
            <w:tcW w:w="783" w:type="dxa"/>
            <w:tcBorders>
              <w:top w:val="nil"/>
              <w:left w:val="nil"/>
              <w:bottom w:val="nil"/>
              <w:right w:val="nil"/>
            </w:tcBorders>
            <w:shd w:val="clear" w:color="000000" w:fill="63BE7B"/>
            <w:noWrap/>
            <w:vAlign w:val="bottom"/>
            <w:hideMark/>
          </w:tcPr>
          <w:p w14:paraId="66F252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95D74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14684E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9657F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25E620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08793CE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E21DC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1FEE3A16" w14:textId="77777777" w:rsidTr="00B66BD9">
        <w:trPr>
          <w:trHeight w:val="260"/>
          <w:jc w:val="center"/>
        </w:trPr>
        <w:tc>
          <w:tcPr>
            <w:tcW w:w="2648" w:type="dxa"/>
            <w:tcBorders>
              <w:top w:val="nil"/>
              <w:left w:val="nil"/>
              <w:bottom w:val="nil"/>
              <w:right w:val="nil"/>
            </w:tcBorders>
            <w:noWrap/>
            <w:vAlign w:val="bottom"/>
            <w:hideMark/>
          </w:tcPr>
          <w:p w14:paraId="664D3A88"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Sulprofos</w:t>
            </w:r>
            <w:proofErr w:type="spellEnd"/>
          </w:p>
        </w:tc>
        <w:tc>
          <w:tcPr>
            <w:tcW w:w="783" w:type="dxa"/>
            <w:tcBorders>
              <w:top w:val="nil"/>
              <w:left w:val="nil"/>
              <w:bottom w:val="nil"/>
              <w:right w:val="nil"/>
            </w:tcBorders>
            <w:shd w:val="clear" w:color="000000" w:fill="FFEF9C"/>
            <w:noWrap/>
            <w:vAlign w:val="bottom"/>
            <w:hideMark/>
          </w:tcPr>
          <w:p w14:paraId="3BCB57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2EBE9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2F71CB4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3B8F31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F76E80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FB145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ECC55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2268354D" w14:textId="77777777" w:rsidTr="00B66BD9">
        <w:trPr>
          <w:trHeight w:val="260"/>
          <w:jc w:val="center"/>
        </w:trPr>
        <w:tc>
          <w:tcPr>
            <w:tcW w:w="2648" w:type="dxa"/>
            <w:tcBorders>
              <w:top w:val="nil"/>
              <w:left w:val="nil"/>
              <w:bottom w:val="nil"/>
              <w:right w:val="nil"/>
            </w:tcBorders>
            <w:noWrap/>
            <w:vAlign w:val="bottom"/>
            <w:hideMark/>
          </w:tcPr>
          <w:p w14:paraId="11371152"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Tebuconazole</w:t>
            </w:r>
          </w:p>
        </w:tc>
        <w:tc>
          <w:tcPr>
            <w:tcW w:w="783" w:type="dxa"/>
            <w:tcBorders>
              <w:top w:val="nil"/>
              <w:left w:val="nil"/>
              <w:bottom w:val="nil"/>
              <w:right w:val="nil"/>
            </w:tcBorders>
            <w:shd w:val="clear" w:color="000000" w:fill="FFEF9C"/>
            <w:noWrap/>
            <w:vAlign w:val="bottom"/>
            <w:hideMark/>
          </w:tcPr>
          <w:p w14:paraId="08A03A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5F208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3135B2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740F2A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4EEBB4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593BC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FB94A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90DAB9C" w14:textId="77777777" w:rsidTr="00B66BD9">
        <w:trPr>
          <w:trHeight w:val="260"/>
          <w:jc w:val="center"/>
        </w:trPr>
        <w:tc>
          <w:tcPr>
            <w:tcW w:w="2648" w:type="dxa"/>
            <w:tcBorders>
              <w:top w:val="nil"/>
              <w:left w:val="nil"/>
              <w:bottom w:val="nil"/>
              <w:right w:val="nil"/>
            </w:tcBorders>
            <w:noWrap/>
            <w:vAlign w:val="bottom"/>
            <w:hideMark/>
          </w:tcPr>
          <w:p w14:paraId="12D18352"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Tebufenpyrad</w:t>
            </w:r>
          </w:p>
        </w:tc>
        <w:tc>
          <w:tcPr>
            <w:tcW w:w="783" w:type="dxa"/>
            <w:tcBorders>
              <w:top w:val="nil"/>
              <w:left w:val="nil"/>
              <w:bottom w:val="nil"/>
              <w:right w:val="nil"/>
            </w:tcBorders>
            <w:shd w:val="clear" w:color="000000" w:fill="63BE7B"/>
            <w:noWrap/>
            <w:vAlign w:val="bottom"/>
            <w:hideMark/>
          </w:tcPr>
          <w:p w14:paraId="0AA7AB0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D599F0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237E90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5F37E9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94B76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F099B8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E9FF1D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B70ED64" w14:textId="77777777" w:rsidTr="00B66BD9">
        <w:trPr>
          <w:trHeight w:val="260"/>
          <w:jc w:val="center"/>
        </w:trPr>
        <w:tc>
          <w:tcPr>
            <w:tcW w:w="2648" w:type="dxa"/>
            <w:tcBorders>
              <w:top w:val="nil"/>
              <w:left w:val="nil"/>
              <w:bottom w:val="nil"/>
              <w:right w:val="nil"/>
            </w:tcBorders>
            <w:noWrap/>
            <w:vAlign w:val="bottom"/>
            <w:hideMark/>
          </w:tcPr>
          <w:p w14:paraId="3C7D45B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Tecnazene</w:t>
            </w:r>
          </w:p>
        </w:tc>
        <w:tc>
          <w:tcPr>
            <w:tcW w:w="783" w:type="dxa"/>
            <w:tcBorders>
              <w:top w:val="nil"/>
              <w:left w:val="nil"/>
              <w:bottom w:val="nil"/>
              <w:right w:val="nil"/>
            </w:tcBorders>
            <w:shd w:val="clear" w:color="000000" w:fill="63BE7B"/>
            <w:noWrap/>
            <w:vAlign w:val="bottom"/>
            <w:hideMark/>
          </w:tcPr>
          <w:p w14:paraId="2CE8EA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E75589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6D49DA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5AFFE3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5BB908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6476ED2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174085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7E6E8CC" w14:textId="77777777" w:rsidTr="00B66BD9">
        <w:trPr>
          <w:trHeight w:val="260"/>
          <w:jc w:val="center"/>
        </w:trPr>
        <w:tc>
          <w:tcPr>
            <w:tcW w:w="2648" w:type="dxa"/>
            <w:tcBorders>
              <w:top w:val="nil"/>
              <w:left w:val="nil"/>
              <w:bottom w:val="nil"/>
              <w:right w:val="nil"/>
            </w:tcBorders>
            <w:noWrap/>
            <w:vAlign w:val="bottom"/>
            <w:hideMark/>
          </w:tcPr>
          <w:p w14:paraId="564FCB8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Tefluthrin</w:t>
            </w:r>
          </w:p>
        </w:tc>
        <w:tc>
          <w:tcPr>
            <w:tcW w:w="783" w:type="dxa"/>
            <w:tcBorders>
              <w:top w:val="nil"/>
              <w:left w:val="nil"/>
              <w:bottom w:val="nil"/>
              <w:right w:val="nil"/>
            </w:tcBorders>
            <w:shd w:val="clear" w:color="000000" w:fill="FFEF9C"/>
            <w:noWrap/>
            <w:vAlign w:val="bottom"/>
            <w:hideMark/>
          </w:tcPr>
          <w:p w14:paraId="4E3ED3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5B5230A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B225E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70A06A2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5158C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6B8E9D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EF0D3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3BDA6234" w14:textId="77777777" w:rsidTr="00B66BD9">
        <w:trPr>
          <w:trHeight w:val="260"/>
          <w:jc w:val="center"/>
        </w:trPr>
        <w:tc>
          <w:tcPr>
            <w:tcW w:w="2648" w:type="dxa"/>
            <w:tcBorders>
              <w:top w:val="nil"/>
              <w:left w:val="nil"/>
              <w:bottom w:val="nil"/>
              <w:right w:val="nil"/>
            </w:tcBorders>
            <w:noWrap/>
            <w:vAlign w:val="bottom"/>
            <w:hideMark/>
          </w:tcPr>
          <w:p w14:paraId="607D9A0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Terbacil</w:t>
            </w:r>
          </w:p>
        </w:tc>
        <w:tc>
          <w:tcPr>
            <w:tcW w:w="783" w:type="dxa"/>
            <w:tcBorders>
              <w:top w:val="nil"/>
              <w:left w:val="nil"/>
              <w:bottom w:val="nil"/>
              <w:right w:val="nil"/>
            </w:tcBorders>
            <w:shd w:val="clear" w:color="000000" w:fill="63BE7B"/>
            <w:noWrap/>
            <w:vAlign w:val="bottom"/>
            <w:hideMark/>
          </w:tcPr>
          <w:p w14:paraId="4D8AAFB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C831F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D5C31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4D7E7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29D5935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18255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01835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DF2C867" w14:textId="77777777" w:rsidTr="00B66BD9">
        <w:trPr>
          <w:trHeight w:val="260"/>
          <w:jc w:val="center"/>
        </w:trPr>
        <w:tc>
          <w:tcPr>
            <w:tcW w:w="2648" w:type="dxa"/>
            <w:tcBorders>
              <w:top w:val="nil"/>
              <w:left w:val="nil"/>
              <w:bottom w:val="nil"/>
              <w:right w:val="nil"/>
            </w:tcBorders>
            <w:noWrap/>
            <w:vAlign w:val="bottom"/>
            <w:hideMark/>
          </w:tcPr>
          <w:p w14:paraId="43F6295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Terbuthylazine</w:t>
            </w:r>
          </w:p>
        </w:tc>
        <w:tc>
          <w:tcPr>
            <w:tcW w:w="783" w:type="dxa"/>
            <w:tcBorders>
              <w:top w:val="nil"/>
              <w:left w:val="nil"/>
              <w:bottom w:val="nil"/>
              <w:right w:val="nil"/>
            </w:tcBorders>
            <w:shd w:val="clear" w:color="000000" w:fill="63BE7B"/>
            <w:noWrap/>
            <w:vAlign w:val="bottom"/>
            <w:hideMark/>
          </w:tcPr>
          <w:p w14:paraId="559C9DA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45938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DE9E8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19552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487F31D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2A6D6B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58943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C803502" w14:textId="77777777" w:rsidTr="00B66BD9">
        <w:trPr>
          <w:trHeight w:val="260"/>
          <w:jc w:val="center"/>
        </w:trPr>
        <w:tc>
          <w:tcPr>
            <w:tcW w:w="2648" w:type="dxa"/>
            <w:tcBorders>
              <w:top w:val="nil"/>
              <w:left w:val="nil"/>
              <w:bottom w:val="nil"/>
              <w:right w:val="nil"/>
            </w:tcBorders>
            <w:noWrap/>
            <w:vAlign w:val="bottom"/>
            <w:hideMark/>
          </w:tcPr>
          <w:p w14:paraId="45FEFB5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Tetrachloroaniline</w:t>
            </w:r>
            <w:proofErr w:type="spellEnd"/>
            <w:r w:rsidRPr="008E1FC4">
              <w:rPr>
                <w:rFonts w:ascii="Arial" w:hAnsi="Arial" w:cs="Arial"/>
                <w:color w:val="000000"/>
                <w:lang w:eastAsia="en-IN"/>
              </w:rPr>
              <w:t>- 2,3,5,6</w:t>
            </w:r>
          </w:p>
        </w:tc>
        <w:tc>
          <w:tcPr>
            <w:tcW w:w="783" w:type="dxa"/>
            <w:tcBorders>
              <w:top w:val="nil"/>
              <w:left w:val="nil"/>
              <w:bottom w:val="nil"/>
              <w:right w:val="nil"/>
            </w:tcBorders>
            <w:shd w:val="clear" w:color="000000" w:fill="63BE7B"/>
            <w:noWrap/>
            <w:vAlign w:val="bottom"/>
            <w:hideMark/>
          </w:tcPr>
          <w:p w14:paraId="61FE51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47D8A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F47CD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09A667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E59EF5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B3FF6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FDDD6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C4F0CEE" w14:textId="77777777" w:rsidTr="00B66BD9">
        <w:trPr>
          <w:trHeight w:val="260"/>
          <w:jc w:val="center"/>
        </w:trPr>
        <w:tc>
          <w:tcPr>
            <w:tcW w:w="2648" w:type="dxa"/>
            <w:tcBorders>
              <w:top w:val="nil"/>
              <w:left w:val="nil"/>
              <w:bottom w:val="nil"/>
              <w:right w:val="nil"/>
            </w:tcBorders>
            <w:noWrap/>
            <w:vAlign w:val="bottom"/>
            <w:hideMark/>
          </w:tcPr>
          <w:p w14:paraId="6D7E68FD"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Tetrachlorvinphos</w:t>
            </w:r>
            <w:proofErr w:type="spellEnd"/>
          </w:p>
        </w:tc>
        <w:tc>
          <w:tcPr>
            <w:tcW w:w="783" w:type="dxa"/>
            <w:tcBorders>
              <w:top w:val="nil"/>
              <w:left w:val="nil"/>
              <w:bottom w:val="nil"/>
              <w:right w:val="nil"/>
            </w:tcBorders>
            <w:shd w:val="clear" w:color="000000" w:fill="FFEF9C"/>
            <w:noWrap/>
            <w:vAlign w:val="bottom"/>
            <w:hideMark/>
          </w:tcPr>
          <w:p w14:paraId="258E94E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69F2C6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1BE5D2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F0898F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27E199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4D10FB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35483B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00928C16" w14:textId="77777777" w:rsidTr="00B66BD9">
        <w:trPr>
          <w:trHeight w:val="260"/>
          <w:jc w:val="center"/>
        </w:trPr>
        <w:tc>
          <w:tcPr>
            <w:tcW w:w="2648" w:type="dxa"/>
            <w:tcBorders>
              <w:top w:val="nil"/>
              <w:left w:val="nil"/>
              <w:bottom w:val="nil"/>
              <w:right w:val="nil"/>
            </w:tcBorders>
            <w:noWrap/>
            <w:vAlign w:val="bottom"/>
            <w:hideMark/>
          </w:tcPr>
          <w:p w14:paraId="0FAFD87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Tetradifon</w:t>
            </w:r>
          </w:p>
        </w:tc>
        <w:tc>
          <w:tcPr>
            <w:tcW w:w="783" w:type="dxa"/>
            <w:tcBorders>
              <w:top w:val="nil"/>
              <w:left w:val="nil"/>
              <w:bottom w:val="nil"/>
              <w:right w:val="nil"/>
            </w:tcBorders>
            <w:shd w:val="clear" w:color="000000" w:fill="FFEF9C"/>
            <w:noWrap/>
            <w:vAlign w:val="bottom"/>
            <w:hideMark/>
          </w:tcPr>
          <w:p w14:paraId="680EE9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1F1613D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D02DF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25112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B4BB71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02BCAF8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BA769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2953F666" w14:textId="77777777" w:rsidTr="00B66BD9">
        <w:trPr>
          <w:trHeight w:val="260"/>
          <w:jc w:val="center"/>
        </w:trPr>
        <w:tc>
          <w:tcPr>
            <w:tcW w:w="2648" w:type="dxa"/>
            <w:tcBorders>
              <w:top w:val="nil"/>
              <w:left w:val="nil"/>
              <w:bottom w:val="nil"/>
              <w:right w:val="nil"/>
            </w:tcBorders>
            <w:noWrap/>
            <w:vAlign w:val="bottom"/>
            <w:hideMark/>
          </w:tcPr>
          <w:p w14:paraId="1114CB5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Tetramethrin-1</w:t>
            </w:r>
          </w:p>
        </w:tc>
        <w:tc>
          <w:tcPr>
            <w:tcW w:w="783" w:type="dxa"/>
            <w:tcBorders>
              <w:top w:val="nil"/>
              <w:left w:val="nil"/>
              <w:bottom w:val="nil"/>
              <w:right w:val="nil"/>
            </w:tcBorders>
            <w:shd w:val="clear" w:color="000000" w:fill="FFEF9C"/>
            <w:noWrap/>
            <w:vAlign w:val="bottom"/>
            <w:hideMark/>
          </w:tcPr>
          <w:p w14:paraId="65CA58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EA193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79525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FCAF19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7A3F4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7E390F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03C6DF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348E3E41" w14:textId="77777777" w:rsidTr="00B66BD9">
        <w:trPr>
          <w:trHeight w:val="260"/>
          <w:jc w:val="center"/>
        </w:trPr>
        <w:tc>
          <w:tcPr>
            <w:tcW w:w="2648" w:type="dxa"/>
            <w:tcBorders>
              <w:top w:val="nil"/>
              <w:left w:val="nil"/>
              <w:bottom w:val="nil"/>
              <w:right w:val="nil"/>
            </w:tcBorders>
            <w:noWrap/>
            <w:vAlign w:val="bottom"/>
            <w:hideMark/>
          </w:tcPr>
          <w:p w14:paraId="1520741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Tetramethrin-2</w:t>
            </w:r>
          </w:p>
        </w:tc>
        <w:tc>
          <w:tcPr>
            <w:tcW w:w="783" w:type="dxa"/>
            <w:tcBorders>
              <w:top w:val="nil"/>
              <w:left w:val="nil"/>
              <w:bottom w:val="nil"/>
              <w:right w:val="nil"/>
            </w:tcBorders>
            <w:shd w:val="clear" w:color="000000" w:fill="FFEF9C"/>
            <w:noWrap/>
            <w:vAlign w:val="bottom"/>
            <w:hideMark/>
          </w:tcPr>
          <w:p w14:paraId="1912275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87CFD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1E1780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6A5F7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8144AD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2D88823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8F906F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15D5E0D3" w14:textId="77777777" w:rsidTr="00B66BD9">
        <w:trPr>
          <w:trHeight w:val="260"/>
          <w:jc w:val="center"/>
        </w:trPr>
        <w:tc>
          <w:tcPr>
            <w:tcW w:w="2648" w:type="dxa"/>
            <w:tcBorders>
              <w:top w:val="nil"/>
              <w:left w:val="nil"/>
              <w:bottom w:val="nil"/>
              <w:right w:val="nil"/>
            </w:tcBorders>
            <w:noWrap/>
            <w:vAlign w:val="bottom"/>
            <w:hideMark/>
          </w:tcPr>
          <w:p w14:paraId="4FF7006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 xml:space="preserve">THPI </w:t>
            </w:r>
            <w:r>
              <w:rPr>
                <w:rFonts w:ascii="Arial" w:hAnsi="Arial" w:cs="Arial"/>
                <w:color w:val="000000"/>
                <w:lang w:eastAsia="en-IN"/>
              </w:rPr>
              <w:t>*</w:t>
            </w:r>
          </w:p>
        </w:tc>
        <w:tc>
          <w:tcPr>
            <w:tcW w:w="783" w:type="dxa"/>
            <w:tcBorders>
              <w:top w:val="nil"/>
              <w:left w:val="nil"/>
              <w:bottom w:val="nil"/>
              <w:right w:val="nil"/>
            </w:tcBorders>
            <w:shd w:val="clear" w:color="000000" w:fill="FFEF9C"/>
            <w:noWrap/>
            <w:vAlign w:val="bottom"/>
            <w:hideMark/>
          </w:tcPr>
          <w:p w14:paraId="51D66E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A6CD3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BF5E03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2A69B3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C9E01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4B3ECA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58A4DC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06E78B4" w14:textId="77777777" w:rsidTr="00B66BD9">
        <w:trPr>
          <w:trHeight w:val="260"/>
          <w:jc w:val="center"/>
        </w:trPr>
        <w:tc>
          <w:tcPr>
            <w:tcW w:w="2648" w:type="dxa"/>
            <w:tcBorders>
              <w:top w:val="nil"/>
              <w:left w:val="nil"/>
              <w:bottom w:val="nil"/>
              <w:right w:val="nil"/>
            </w:tcBorders>
            <w:noWrap/>
            <w:vAlign w:val="bottom"/>
            <w:hideMark/>
          </w:tcPr>
          <w:p w14:paraId="491EADD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Tolclofos-methyl</w:t>
            </w:r>
          </w:p>
        </w:tc>
        <w:tc>
          <w:tcPr>
            <w:tcW w:w="783" w:type="dxa"/>
            <w:tcBorders>
              <w:top w:val="nil"/>
              <w:left w:val="nil"/>
              <w:bottom w:val="nil"/>
              <w:right w:val="nil"/>
            </w:tcBorders>
            <w:shd w:val="clear" w:color="000000" w:fill="FFEF9C"/>
            <w:noWrap/>
            <w:vAlign w:val="bottom"/>
            <w:hideMark/>
          </w:tcPr>
          <w:p w14:paraId="390095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6662320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025A2A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EDF0E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E4033E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01374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56F78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4227DB76" w14:textId="77777777" w:rsidTr="00B66BD9">
        <w:trPr>
          <w:trHeight w:val="260"/>
          <w:jc w:val="center"/>
        </w:trPr>
        <w:tc>
          <w:tcPr>
            <w:tcW w:w="2648" w:type="dxa"/>
            <w:tcBorders>
              <w:top w:val="nil"/>
              <w:left w:val="nil"/>
              <w:bottom w:val="nil"/>
              <w:right w:val="nil"/>
            </w:tcBorders>
            <w:noWrap/>
            <w:vAlign w:val="bottom"/>
            <w:hideMark/>
          </w:tcPr>
          <w:p w14:paraId="39195FD7" w14:textId="77BE4A85"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Transfluthrin</w:t>
            </w:r>
          </w:p>
        </w:tc>
        <w:tc>
          <w:tcPr>
            <w:tcW w:w="783" w:type="dxa"/>
            <w:tcBorders>
              <w:top w:val="nil"/>
              <w:left w:val="nil"/>
              <w:bottom w:val="nil"/>
              <w:right w:val="nil"/>
            </w:tcBorders>
            <w:shd w:val="clear" w:color="000000" w:fill="63BE7B"/>
            <w:noWrap/>
            <w:vAlign w:val="bottom"/>
            <w:hideMark/>
          </w:tcPr>
          <w:p w14:paraId="1D7E9BC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D2A6D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FC3CC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599B6C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4505D4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BC6396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E94EBD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7EF0B264" w14:textId="77777777" w:rsidTr="00B66BD9">
        <w:trPr>
          <w:trHeight w:val="260"/>
          <w:jc w:val="center"/>
        </w:trPr>
        <w:tc>
          <w:tcPr>
            <w:tcW w:w="2648" w:type="dxa"/>
            <w:tcBorders>
              <w:top w:val="nil"/>
              <w:left w:val="nil"/>
              <w:bottom w:val="nil"/>
              <w:right w:val="nil"/>
            </w:tcBorders>
            <w:noWrap/>
            <w:vAlign w:val="bottom"/>
            <w:hideMark/>
          </w:tcPr>
          <w:p w14:paraId="0E1B279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Triadimefon</w:t>
            </w:r>
          </w:p>
        </w:tc>
        <w:tc>
          <w:tcPr>
            <w:tcW w:w="783" w:type="dxa"/>
            <w:tcBorders>
              <w:top w:val="nil"/>
              <w:left w:val="nil"/>
              <w:bottom w:val="nil"/>
              <w:right w:val="nil"/>
            </w:tcBorders>
            <w:shd w:val="clear" w:color="000000" w:fill="FFEF9C"/>
            <w:noWrap/>
            <w:vAlign w:val="bottom"/>
            <w:hideMark/>
          </w:tcPr>
          <w:p w14:paraId="42CAB10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4F57BC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89B852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514ED6B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88F3BB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9F389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EF52D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4B9CD58" w14:textId="77777777" w:rsidTr="00B66BD9">
        <w:trPr>
          <w:trHeight w:val="260"/>
          <w:jc w:val="center"/>
        </w:trPr>
        <w:tc>
          <w:tcPr>
            <w:tcW w:w="2648" w:type="dxa"/>
            <w:tcBorders>
              <w:top w:val="nil"/>
              <w:left w:val="nil"/>
              <w:bottom w:val="nil"/>
              <w:right w:val="nil"/>
            </w:tcBorders>
            <w:noWrap/>
            <w:vAlign w:val="bottom"/>
            <w:hideMark/>
          </w:tcPr>
          <w:p w14:paraId="72F8B4D7"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Triadimenol-1</w:t>
            </w:r>
          </w:p>
        </w:tc>
        <w:tc>
          <w:tcPr>
            <w:tcW w:w="783" w:type="dxa"/>
            <w:tcBorders>
              <w:top w:val="nil"/>
              <w:left w:val="nil"/>
              <w:bottom w:val="nil"/>
              <w:right w:val="nil"/>
            </w:tcBorders>
            <w:shd w:val="clear" w:color="000000" w:fill="63BE7B"/>
            <w:noWrap/>
            <w:vAlign w:val="bottom"/>
            <w:hideMark/>
          </w:tcPr>
          <w:p w14:paraId="4A3E88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C0876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BBA46A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434B58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523EAF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3DFA863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EFB961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50A477F" w14:textId="77777777" w:rsidTr="00B66BD9">
        <w:trPr>
          <w:trHeight w:val="260"/>
          <w:jc w:val="center"/>
        </w:trPr>
        <w:tc>
          <w:tcPr>
            <w:tcW w:w="2648" w:type="dxa"/>
            <w:tcBorders>
              <w:top w:val="nil"/>
              <w:left w:val="nil"/>
              <w:bottom w:val="nil"/>
              <w:right w:val="nil"/>
            </w:tcBorders>
            <w:noWrap/>
            <w:vAlign w:val="bottom"/>
            <w:hideMark/>
          </w:tcPr>
          <w:p w14:paraId="07076C6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w:t>
            </w:r>
            <w:proofErr w:type="spellStart"/>
            <w:r w:rsidRPr="008E1FC4">
              <w:rPr>
                <w:rFonts w:ascii="Arial" w:hAnsi="Arial" w:cs="Arial"/>
                <w:color w:val="000000"/>
                <w:lang w:eastAsia="en-IN"/>
              </w:rPr>
              <w:t>allate</w:t>
            </w:r>
            <w:proofErr w:type="spellEnd"/>
          </w:p>
        </w:tc>
        <w:tc>
          <w:tcPr>
            <w:tcW w:w="783" w:type="dxa"/>
            <w:tcBorders>
              <w:top w:val="nil"/>
              <w:left w:val="nil"/>
              <w:bottom w:val="nil"/>
              <w:right w:val="nil"/>
            </w:tcBorders>
            <w:shd w:val="clear" w:color="000000" w:fill="FFEF9C"/>
            <w:noWrap/>
            <w:vAlign w:val="bottom"/>
            <w:hideMark/>
          </w:tcPr>
          <w:p w14:paraId="42D697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3D8067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1FFD5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4E9BD7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BA1ED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E25A7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58F49A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8A5CF26" w14:textId="77777777" w:rsidTr="00B66BD9">
        <w:trPr>
          <w:trHeight w:val="260"/>
          <w:jc w:val="center"/>
        </w:trPr>
        <w:tc>
          <w:tcPr>
            <w:tcW w:w="2648" w:type="dxa"/>
            <w:tcBorders>
              <w:top w:val="nil"/>
              <w:left w:val="nil"/>
              <w:bottom w:val="nil"/>
              <w:right w:val="nil"/>
            </w:tcBorders>
            <w:noWrap/>
            <w:vAlign w:val="bottom"/>
            <w:hideMark/>
          </w:tcPr>
          <w:p w14:paraId="766577D9"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Triazophos</w:t>
            </w:r>
          </w:p>
        </w:tc>
        <w:tc>
          <w:tcPr>
            <w:tcW w:w="783" w:type="dxa"/>
            <w:tcBorders>
              <w:top w:val="nil"/>
              <w:left w:val="nil"/>
              <w:bottom w:val="nil"/>
              <w:right w:val="nil"/>
            </w:tcBorders>
            <w:shd w:val="clear" w:color="000000" w:fill="FFEF9C"/>
            <w:noWrap/>
            <w:vAlign w:val="bottom"/>
            <w:hideMark/>
          </w:tcPr>
          <w:p w14:paraId="2DB3C0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63E0AAC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D03AC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1010E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3085B3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456B6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DA4DC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7C371D6F" w14:textId="77777777" w:rsidTr="00B66BD9">
        <w:trPr>
          <w:trHeight w:val="260"/>
          <w:jc w:val="center"/>
        </w:trPr>
        <w:tc>
          <w:tcPr>
            <w:tcW w:w="2648" w:type="dxa"/>
            <w:tcBorders>
              <w:top w:val="nil"/>
              <w:left w:val="nil"/>
              <w:bottom w:val="nil"/>
              <w:right w:val="nil"/>
            </w:tcBorders>
            <w:noWrap/>
            <w:vAlign w:val="bottom"/>
            <w:hideMark/>
          </w:tcPr>
          <w:p w14:paraId="2C089A9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Tricyclazole</w:t>
            </w:r>
          </w:p>
        </w:tc>
        <w:tc>
          <w:tcPr>
            <w:tcW w:w="783" w:type="dxa"/>
            <w:tcBorders>
              <w:top w:val="nil"/>
              <w:left w:val="nil"/>
              <w:bottom w:val="nil"/>
              <w:right w:val="nil"/>
            </w:tcBorders>
            <w:shd w:val="clear" w:color="000000" w:fill="FFEF9C"/>
            <w:noWrap/>
            <w:vAlign w:val="bottom"/>
            <w:hideMark/>
          </w:tcPr>
          <w:p w14:paraId="611FEF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214018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2E62B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317AD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E77E9C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94FAC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088D3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30C1A3E" w14:textId="77777777" w:rsidTr="00B66BD9">
        <w:trPr>
          <w:trHeight w:val="260"/>
          <w:jc w:val="center"/>
        </w:trPr>
        <w:tc>
          <w:tcPr>
            <w:tcW w:w="2648" w:type="dxa"/>
            <w:tcBorders>
              <w:top w:val="nil"/>
              <w:left w:val="nil"/>
              <w:bottom w:val="nil"/>
              <w:right w:val="nil"/>
            </w:tcBorders>
            <w:noWrap/>
            <w:vAlign w:val="bottom"/>
            <w:hideMark/>
          </w:tcPr>
          <w:p w14:paraId="69713291"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Triflumizole</w:t>
            </w:r>
            <w:proofErr w:type="spellEnd"/>
          </w:p>
        </w:tc>
        <w:tc>
          <w:tcPr>
            <w:tcW w:w="783" w:type="dxa"/>
            <w:tcBorders>
              <w:top w:val="nil"/>
              <w:left w:val="nil"/>
              <w:bottom w:val="nil"/>
              <w:right w:val="nil"/>
            </w:tcBorders>
            <w:shd w:val="clear" w:color="000000" w:fill="FFEF9C"/>
            <w:noWrap/>
            <w:vAlign w:val="bottom"/>
            <w:hideMark/>
          </w:tcPr>
          <w:p w14:paraId="36ADDFA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76926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7F56A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CF78DC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007CD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665C9D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9FDA7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5AF6ADC" w14:textId="77777777" w:rsidTr="00B66BD9">
        <w:trPr>
          <w:trHeight w:val="260"/>
          <w:jc w:val="center"/>
        </w:trPr>
        <w:tc>
          <w:tcPr>
            <w:tcW w:w="2648" w:type="dxa"/>
            <w:tcBorders>
              <w:top w:val="nil"/>
              <w:left w:val="nil"/>
              <w:right w:val="nil"/>
            </w:tcBorders>
            <w:noWrap/>
            <w:vAlign w:val="bottom"/>
            <w:hideMark/>
          </w:tcPr>
          <w:p w14:paraId="3257B81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Trifluralin</w:t>
            </w:r>
          </w:p>
        </w:tc>
        <w:tc>
          <w:tcPr>
            <w:tcW w:w="783" w:type="dxa"/>
            <w:tcBorders>
              <w:top w:val="nil"/>
              <w:left w:val="nil"/>
              <w:right w:val="nil"/>
            </w:tcBorders>
            <w:shd w:val="clear" w:color="000000" w:fill="FFEF9C"/>
            <w:noWrap/>
            <w:vAlign w:val="bottom"/>
            <w:hideMark/>
          </w:tcPr>
          <w:p w14:paraId="6A3DC5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right w:val="nil"/>
            </w:tcBorders>
            <w:shd w:val="clear" w:color="000000" w:fill="FFEF9C"/>
            <w:noWrap/>
            <w:vAlign w:val="bottom"/>
            <w:hideMark/>
          </w:tcPr>
          <w:p w14:paraId="5EC847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right w:val="nil"/>
            </w:tcBorders>
            <w:shd w:val="clear" w:color="000000" w:fill="FFEF9C"/>
            <w:noWrap/>
            <w:vAlign w:val="bottom"/>
            <w:hideMark/>
          </w:tcPr>
          <w:p w14:paraId="446E388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right w:val="nil"/>
            </w:tcBorders>
            <w:shd w:val="clear" w:color="000000" w:fill="FFEF9C"/>
            <w:noWrap/>
            <w:vAlign w:val="bottom"/>
            <w:hideMark/>
          </w:tcPr>
          <w:p w14:paraId="537C5FE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right w:val="nil"/>
            </w:tcBorders>
            <w:shd w:val="clear" w:color="000000" w:fill="FFEF9C"/>
            <w:noWrap/>
            <w:vAlign w:val="bottom"/>
            <w:hideMark/>
          </w:tcPr>
          <w:p w14:paraId="6576E85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right w:val="nil"/>
            </w:tcBorders>
            <w:shd w:val="clear" w:color="000000" w:fill="63BE7B"/>
            <w:noWrap/>
            <w:vAlign w:val="bottom"/>
            <w:hideMark/>
          </w:tcPr>
          <w:p w14:paraId="1DBD4F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right w:val="nil"/>
            </w:tcBorders>
            <w:noWrap/>
            <w:vAlign w:val="bottom"/>
            <w:hideMark/>
          </w:tcPr>
          <w:p w14:paraId="02A8ED9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25BB8B2" w14:textId="77777777" w:rsidTr="00B66BD9">
        <w:trPr>
          <w:trHeight w:val="260"/>
          <w:jc w:val="center"/>
        </w:trPr>
        <w:tc>
          <w:tcPr>
            <w:tcW w:w="2648" w:type="dxa"/>
            <w:tcBorders>
              <w:top w:val="nil"/>
              <w:left w:val="nil"/>
              <w:bottom w:val="single" w:sz="4" w:space="0" w:color="auto"/>
              <w:right w:val="nil"/>
            </w:tcBorders>
            <w:noWrap/>
            <w:vAlign w:val="bottom"/>
            <w:hideMark/>
          </w:tcPr>
          <w:p w14:paraId="55A34BD2"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Vinclozolin</w:t>
            </w:r>
          </w:p>
        </w:tc>
        <w:tc>
          <w:tcPr>
            <w:tcW w:w="783" w:type="dxa"/>
            <w:tcBorders>
              <w:top w:val="nil"/>
              <w:left w:val="nil"/>
              <w:bottom w:val="single" w:sz="4" w:space="0" w:color="auto"/>
              <w:right w:val="nil"/>
            </w:tcBorders>
            <w:shd w:val="clear" w:color="000000" w:fill="FFEF9C"/>
            <w:noWrap/>
            <w:vAlign w:val="bottom"/>
            <w:hideMark/>
          </w:tcPr>
          <w:p w14:paraId="74A096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single" w:sz="4" w:space="0" w:color="auto"/>
              <w:right w:val="nil"/>
            </w:tcBorders>
            <w:shd w:val="clear" w:color="000000" w:fill="FFEF9C"/>
            <w:noWrap/>
            <w:vAlign w:val="bottom"/>
            <w:hideMark/>
          </w:tcPr>
          <w:p w14:paraId="4FAFE7D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single" w:sz="4" w:space="0" w:color="auto"/>
              <w:right w:val="nil"/>
            </w:tcBorders>
            <w:shd w:val="clear" w:color="000000" w:fill="63BE7B"/>
            <w:noWrap/>
            <w:vAlign w:val="bottom"/>
            <w:hideMark/>
          </w:tcPr>
          <w:p w14:paraId="2A5EFD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single" w:sz="4" w:space="0" w:color="auto"/>
              <w:right w:val="nil"/>
            </w:tcBorders>
            <w:shd w:val="clear" w:color="000000" w:fill="63BE7B"/>
            <w:noWrap/>
            <w:vAlign w:val="bottom"/>
            <w:hideMark/>
          </w:tcPr>
          <w:p w14:paraId="192FE6C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single" w:sz="4" w:space="0" w:color="auto"/>
              <w:right w:val="nil"/>
            </w:tcBorders>
            <w:shd w:val="clear" w:color="000000" w:fill="FFEF9C"/>
            <w:noWrap/>
            <w:vAlign w:val="bottom"/>
            <w:hideMark/>
          </w:tcPr>
          <w:p w14:paraId="5DB51A8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single" w:sz="4" w:space="0" w:color="auto"/>
              <w:right w:val="nil"/>
            </w:tcBorders>
            <w:shd w:val="clear" w:color="000000" w:fill="63BE7B"/>
            <w:noWrap/>
            <w:vAlign w:val="bottom"/>
            <w:hideMark/>
          </w:tcPr>
          <w:p w14:paraId="07C6F29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single" w:sz="4" w:space="0" w:color="auto"/>
              <w:right w:val="nil"/>
            </w:tcBorders>
            <w:noWrap/>
            <w:vAlign w:val="bottom"/>
            <w:hideMark/>
          </w:tcPr>
          <w:p w14:paraId="7655BD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bl>
    <w:p w14:paraId="23C96CE4" w14:textId="77777777" w:rsidR="00B66BD9" w:rsidRPr="000F2797" w:rsidRDefault="00B66BD9" w:rsidP="00B66BD9">
      <w:pPr>
        <w:numPr>
          <w:ilvl w:val="0"/>
          <w:numId w:val="38"/>
        </w:numPr>
        <w:spacing w:after="160" w:line="360" w:lineRule="auto"/>
        <w:rPr>
          <w:rFonts w:ascii="Arial" w:hAnsi="Arial" w:cs="Arial"/>
          <w:i/>
          <w:iCs/>
          <w:sz w:val="18"/>
          <w:szCs w:val="18"/>
        </w:rPr>
      </w:pPr>
      <w:r w:rsidRPr="00403B44">
        <w:rPr>
          <w:rFonts w:ascii="Arial" w:hAnsi="Arial" w:cs="Arial"/>
          <w:i/>
          <w:iCs/>
          <w:sz w:val="18"/>
          <w:szCs w:val="18"/>
        </w:rPr>
        <w:t>1 = detected</w:t>
      </w:r>
      <w:r w:rsidRPr="000F2797">
        <w:rPr>
          <w:rFonts w:ascii="Arial" w:hAnsi="Arial" w:cs="Arial"/>
          <w:i/>
          <w:iCs/>
          <w:sz w:val="18"/>
          <w:szCs w:val="18"/>
        </w:rPr>
        <w:t xml:space="preserve">; </w:t>
      </w:r>
      <w:r w:rsidRPr="00403B44">
        <w:rPr>
          <w:rFonts w:ascii="Arial" w:hAnsi="Arial" w:cs="Arial"/>
          <w:i/>
          <w:iCs/>
          <w:sz w:val="18"/>
          <w:szCs w:val="18"/>
        </w:rPr>
        <w:t>0 = not detected</w:t>
      </w:r>
      <w:r w:rsidRPr="000F2797">
        <w:rPr>
          <w:rFonts w:ascii="Arial" w:hAnsi="Arial" w:cs="Arial"/>
          <w:i/>
          <w:iCs/>
          <w:sz w:val="18"/>
          <w:szCs w:val="18"/>
        </w:rPr>
        <w:t xml:space="preserve">; </w:t>
      </w:r>
      <w:r w:rsidRPr="000F2797">
        <w:rPr>
          <w:rFonts w:ascii="Arial" w:hAnsi="Arial" w:cs="Arial"/>
          <w:i/>
          <w:iCs/>
          <w:color w:val="000000"/>
          <w:sz w:val="18"/>
          <w:szCs w:val="18"/>
          <w:lang w:eastAsia="en-IN"/>
        </w:rPr>
        <w:t>*</w:t>
      </w:r>
      <w:r w:rsidRPr="008E1FC4">
        <w:rPr>
          <w:rFonts w:ascii="Arial" w:hAnsi="Arial" w:cs="Arial"/>
          <w:i/>
          <w:iCs/>
          <w:color w:val="000000"/>
          <w:sz w:val="18"/>
          <w:szCs w:val="18"/>
          <w:lang w:eastAsia="en-IN"/>
        </w:rPr>
        <w:t>THPI</w:t>
      </w:r>
      <w:r w:rsidRPr="000F2797">
        <w:rPr>
          <w:rFonts w:ascii="Arial" w:hAnsi="Arial" w:cs="Arial"/>
          <w:i/>
          <w:iCs/>
          <w:color w:val="000000"/>
          <w:sz w:val="18"/>
          <w:szCs w:val="18"/>
          <w:lang w:eastAsia="en-IN"/>
        </w:rPr>
        <w:t>-Tetrahydropthalimide</w:t>
      </w:r>
    </w:p>
    <w:p w14:paraId="016333B5" w14:textId="77777777" w:rsidR="00B66BD9" w:rsidRPr="00F6412A" w:rsidRDefault="00B66BD9" w:rsidP="00B66BD9">
      <w:pPr>
        <w:rPr>
          <w:rFonts w:ascii="Arial" w:hAnsi="Arial" w:cs="Arial"/>
        </w:rPr>
      </w:pPr>
    </w:p>
    <w:p w14:paraId="74CD00E8" w14:textId="77777777" w:rsidR="00B66BD9" w:rsidRPr="00FB3A86" w:rsidRDefault="00B66BD9" w:rsidP="00B66BD9">
      <w:pPr>
        <w:pStyle w:val="Appendix"/>
        <w:spacing w:after="0"/>
        <w:jc w:val="center"/>
        <w:rPr>
          <w:rFonts w:ascii="Arial" w:hAnsi="Arial" w:cs="Arial"/>
          <w:b w:val="0"/>
        </w:rPr>
      </w:pPr>
    </w:p>
    <w:sectPr w:rsidR="00B66BD9" w:rsidRPr="00FB3A86" w:rsidSect="00A24B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B4EB1" w14:textId="77777777" w:rsidR="002A2F4E" w:rsidRDefault="002A2F4E" w:rsidP="00C37E61">
      <w:r>
        <w:separator/>
      </w:r>
    </w:p>
  </w:endnote>
  <w:endnote w:type="continuationSeparator" w:id="0">
    <w:p w14:paraId="4BBD7913" w14:textId="77777777" w:rsidR="002A2F4E" w:rsidRDefault="002A2F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4A592" w14:textId="77777777" w:rsidR="00A24B68" w:rsidRDefault="00A24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B19C" w14:textId="77777777" w:rsidR="00A24B68" w:rsidRDefault="00A24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4ECB3" w14:textId="419F38BE" w:rsidR="00754C9A" w:rsidRPr="00A24B68" w:rsidRDefault="00754C9A" w:rsidP="00A24B6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1DF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A7364" w14:textId="77777777" w:rsidR="002A2F4E" w:rsidRDefault="002A2F4E" w:rsidP="00C37E61">
      <w:r>
        <w:separator/>
      </w:r>
    </w:p>
  </w:footnote>
  <w:footnote w:type="continuationSeparator" w:id="0">
    <w:p w14:paraId="5D872F36" w14:textId="77777777" w:rsidR="002A2F4E" w:rsidRDefault="002A2F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5AA4E" w14:textId="368F3F31" w:rsidR="00A24B68" w:rsidRDefault="00A24B68">
    <w:pPr>
      <w:pStyle w:val="Header"/>
    </w:pPr>
    <w:r>
      <w:rPr>
        <w:noProof/>
      </w:rPr>
      <w:pict w14:anchorId="13AED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A74F" w14:textId="1D574F2B" w:rsidR="00A24B68" w:rsidRDefault="00A24B68">
    <w:pPr>
      <w:pStyle w:val="Header"/>
    </w:pPr>
    <w:r>
      <w:rPr>
        <w:noProof/>
      </w:rPr>
      <w:pict w14:anchorId="34D2F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898A" w14:textId="2044C489" w:rsidR="00296529" w:rsidRPr="00296529" w:rsidRDefault="00A24B68" w:rsidP="00296529">
    <w:pPr>
      <w:ind w:left="2160"/>
      <w:jc w:val="center"/>
      <w:rPr>
        <w:rFonts w:ascii="Times New Roman" w:eastAsia="Calibri" w:hAnsi="Times New Roman"/>
        <w:i/>
        <w:sz w:val="18"/>
        <w:szCs w:val="22"/>
      </w:rPr>
    </w:pPr>
    <w:r>
      <w:rPr>
        <w:noProof/>
      </w:rPr>
      <w:pict w14:anchorId="39E1A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2531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E20D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3A2FB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45A9A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89E5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42A3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248E" w14:textId="41A64A5B" w:rsidR="00A24B68" w:rsidRDefault="00A24B68">
    <w:pPr>
      <w:pStyle w:val="Header"/>
    </w:pPr>
    <w:r>
      <w:rPr>
        <w:noProof/>
      </w:rPr>
      <w:pict w14:anchorId="1AF84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C7DC4" w14:textId="02F30F51" w:rsidR="00A24B68" w:rsidRDefault="00A24B68">
    <w:pPr>
      <w:pStyle w:val="Header"/>
    </w:pPr>
    <w:r>
      <w:rPr>
        <w:noProof/>
      </w:rPr>
      <w:pict w14:anchorId="6A2AB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E797" w14:textId="3064B4F2" w:rsidR="00A24B68" w:rsidRDefault="00A24B68">
    <w:pPr>
      <w:pStyle w:val="Header"/>
    </w:pPr>
    <w:r>
      <w:rPr>
        <w:noProof/>
      </w:rPr>
      <w:pict w14:anchorId="33E69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A0724"/>
    <w:multiLevelType w:val="multilevel"/>
    <w:tmpl w:val="33C6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A126F1"/>
    <w:multiLevelType w:val="multilevel"/>
    <w:tmpl w:val="4D8C688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6696F87"/>
    <w:multiLevelType w:val="multilevel"/>
    <w:tmpl w:val="A458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CF3F77"/>
    <w:multiLevelType w:val="multilevel"/>
    <w:tmpl w:val="FED8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C3D82"/>
    <w:multiLevelType w:val="multilevel"/>
    <w:tmpl w:val="DD3A7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B8F2E35"/>
    <w:multiLevelType w:val="multilevel"/>
    <w:tmpl w:val="AA40F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17F5DAA"/>
    <w:multiLevelType w:val="multilevel"/>
    <w:tmpl w:val="0634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F83747"/>
    <w:multiLevelType w:val="multilevel"/>
    <w:tmpl w:val="CD864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6"/>
  </w:num>
  <w:num w:numId="9">
    <w:abstractNumId w:val="32"/>
  </w:num>
  <w:num w:numId="10">
    <w:abstractNumId w:val="3"/>
  </w:num>
  <w:num w:numId="11">
    <w:abstractNumId w:val="23"/>
  </w:num>
  <w:num w:numId="12">
    <w:abstractNumId w:val="4"/>
  </w:num>
  <w:num w:numId="13">
    <w:abstractNumId w:val="22"/>
  </w:num>
  <w:num w:numId="14">
    <w:abstractNumId w:val="12"/>
  </w:num>
  <w:num w:numId="15">
    <w:abstractNumId w:val="28"/>
  </w:num>
  <w:num w:numId="16">
    <w:abstractNumId w:val="6"/>
  </w:num>
  <w:num w:numId="17">
    <w:abstractNumId w:val="29"/>
  </w:num>
  <w:num w:numId="18">
    <w:abstractNumId w:val="18"/>
  </w:num>
  <w:num w:numId="19">
    <w:abstractNumId w:val="36"/>
  </w:num>
  <w:num w:numId="20">
    <w:abstractNumId w:val="15"/>
  </w:num>
  <w:num w:numId="21">
    <w:abstractNumId w:val="13"/>
  </w:num>
  <w:num w:numId="22">
    <w:abstractNumId w:val="17"/>
  </w:num>
  <w:num w:numId="23">
    <w:abstractNumId w:val="25"/>
  </w:num>
  <w:num w:numId="24">
    <w:abstractNumId w:val="33"/>
  </w:num>
  <w:num w:numId="25">
    <w:abstractNumId w:val="5"/>
  </w:num>
  <w:num w:numId="26">
    <w:abstractNumId w:val="20"/>
  </w:num>
  <w:num w:numId="27">
    <w:abstractNumId w:val="27"/>
  </w:num>
  <w:num w:numId="28">
    <w:abstractNumId w:val="34"/>
  </w:num>
  <w:num w:numId="29">
    <w:abstractNumId w:val="31"/>
  </w:num>
  <w:num w:numId="30">
    <w:abstractNumId w:val="14"/>
  </w:num>
  <w:num w:numId="31">
    <w:abstractNumId w:val="1"/>
  </w:num>
  <w:num w:numId="32">
    <w:abstractNumId w:val="9"/>
  </w:num>
  <w:num w:numId="33">
    <w:abstractNumId w:val="24"/>
  </w:num>
  <w:num w:numId="34">
    <w:abstractNumId w:val="26"/>
  </w:num>
  <w:num w:numId="35">
    <w:abstractNumId w:val="21"/>
  </w:num>
  <w:num w:numId="36">
    <w:abstractNumId w:val="35"/>
  </w:num>
  <w:num w:numId="37">
    <w:abstractNumId w:val="1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45FD"/>
    <w:rsid w:val="000A47FA"/>
    <w:rsid w:val="000A65D3"/>
    <w:rsid w:val="000B1E33"/>
    <w:rsid w:val="000D1830"/>
    <w:rsid w:val="000D689F"/>
    <w:rsid w:val="000E7B7B"/>
    <w:rsid w:val="000E7D62"/>
    <w:rsid w:val="00103357"/>
    <w:rsid w:val="00123C9F"/>
    <w:rsid w:val="00126190"/>
    <w:rsid w:val="00130F17"/>
    <w:rsid w:val="001320BF"/>
    <w:rsid w:val="00163BC4"/>
    <w:rsid w:val="00177296"/>
    <w:rsid w:val="00191062"/>
    <w:rsid w:val="00192B72"/>
    <w:rsid w:val="00195808"/>
    <w:rsid w:val="001A29D8"/>
    <w:rsid w:val="001A5CAA"/>
    <w:rsid w:val="001B0427"/>
    <w:rsid w:val="001D3A51"/>
    <w:rsid w:val="001E10D2"/>
    <w:rsid w:val="001E25B4"/>
    <w:rsid w:val="001E44FE"/>
    <w:rsid w:val="00200595"/>
    <w:rsid w:val="00204835"/>
    <w:rsid w:val="0021458A"/>
    <w:rsid w:val="00231920"/>
    <w:rsid w:val="0023195C"/>
    <w:rsid w:val="0024282C"/>
    <w:rsid w:val="002460DC"/>
    <w:rsid w:val="00250985"/>
    <w:rsid w:val="002556F6"/>
    <w:rsid w:val="002741C0"/>
    <w:rsid w:val="00283105"/>
    <w:rsid w:val="00284C4C"/>
    <w:rsid w:val="00287E68"/>
    <w:rsid w:val="00296529"/>
    <w:rsid w:val="002A2F4E"/>
    <w:rsid w:val="002B27FB"/>
    <w:rsid w:val="002B5CF7"/>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2703"/>
    <w:rsid w:val="004D305E"/>
    <w:rsid w:val="004D4277"/>
    <w:rsid w:val="004E1238"/>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19F2"/>
    <w:rsid w:val="0066510A"/>
    <w:rsid w:val="00673F9F"/>
    <w:rsid w:val="00686953"/>
    <w:rsid w:val="00687DEA"/>
    <w:rsid w:val="00687E67"/>
    <w:rsid w:val="006967F7"/>
    <w:rsid w:val="006A250C"/>
    <w:rsid w:val="006B21D3"/>
    <w:rsid w:val="006B57D0"/>
    <w:rsid w:val="006D30FF"/>
    <w:rsid w:val="006D6940"/>
    <w:rsid w:val="006F11EC"/>
    <w:rsid w:val="0070082C"/>
    <w:rsid w:val="007363B9"/>
    <w:rsid w:val="007369E6"/>
    <w:rsid w:val="00746640"/>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6EAB"/>
    <w:rsid w:val="009500A6"/>
    <w:rsid w:val="00957C18"/>
    <w:rsid w:val="009659BA"/>
    <w:rsid w:val="00983040"/>
    <w:rsid w:val="009B3FB9"/>
    <w:rsid w:val="009C2465"/>
    <w:rsid w:val="009D35A0"/>
    <w:rsid w:val="009D7EB7"/>
    <w:rsid w:val="009E048A"/>
    <w:rsid w:val="009E08E9"/>
    <w:rsid w:val="009E3DB9"/>
    <w:rsid w:val="009E6E35"/>
    <w:rsid w:val="009F0EDA"/>
    <w:rsid w:val="009F6C54"/>
    <w:rsid w:val="00A03B96"/>
    <w:rsid w:val="00A05B19"/>
    <w:rsid w:val="00A1134E"/>
    <w:rsid w:val="00A24B68"/>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641D"/>
    <w:rsid w:val="00B66BD9"/>
    <w:rsid w:val="00B95236"/>
    <w:rsid w:val="00B96BD9"/>
    <w:rsid w:val="00BA1B01"/>
    <w:rsid w:val="00BA2641"/>
    <w:rsid w:val="00BB37AA"/>
    <w:rsid w:val="00BC53A0"/>
    <w:rsid w:val="00BE62AD"/>
    <w:rsid w:val="00BF121F"/>
    <w:rsid w:val="00BF1F80"/>
    <w:rsid w:val="00C166EF"/>
    <w:rsid w:val="00C17EB0"/>
    <w:rsid w:val="00C27F5F"/>
    <w:rsid w:val="00C30A0F"/>
    <w:rsid w:val="00C365BD"/>
    <w:rsid w:val="00C37E61"/>
    <w:rsid w:val="00C70F1B"/>
    <w:rsid w:val="00C71A47"/>
    <w:rsid w:val="00C7464C"/>
    <w:rsid w:val="00C76C6A"/>
    <w:rsid w:val="00C85588"/>
    <w:rsid w:val="00CD6755"/>
    <w:rsid w:val="00CD6856"/>
    <w:rsid w:val="00CE0089"/>
    <w:rsid w:val="00CE793C"/>
    <w:rsid w:val="00CF193C"/>
    <w:rsid w:val="00D047E9"/>
    <w:rsid w:val="00D173F1"/>
    <w:rsid w:val="00D6203E"/>
    <w:rsid w:val="00D74CB0"/>
    <w:rsid w:val="00D82620"/>
    <w:rsid w:val="00D8295D"/>
    <w:rsid w:val="00DC2A65"/>
    <w:rsid w:val="00DE15F0"/>
    <w:rsid w:val="00DE5663"/>
    <w:rsid w:val="00DE78AA"/>
    <w:rsid w:val="00E053D0"/>
    <w:rsid w:val="00E15994"/>
    <w:rsid w:val="00E21A61"/>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3253"/>
    <w:rsid w:val="00F17988"/>
    <w:rsid w:val="00F469F0"/>
    <w:rsid w:val="00F53273"/>
    <w:rsid w:val="00F7026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7"/>
        <o:r id="V:Rule2" type="connector" idref="#_x0000_s1026"/>
      </o:rules>
    </o:shapelayout>
  </w:shapeDefaults>
  <w:decimalSymbol w:val="."/>
  <w:listSeparator w:val=","/>
  <w14:docId w14:val="488D652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66BD9"/>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B66BD9"/>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B66BD9"/>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IN"/>
    </w:rPr>
  </w:style>
  <w:style w:type="paragraph" w:styleId="Heading5">
    <w:name w:val="heading 5"/>
    <w:basedOn w:val="Normal"/>
    <w:next w:val="Normal"/>
    <w:link w:val="Heading5Char"/>
    <w:uiPriority w:val="9"/>
    <w:semiHidden/>
    <w:unhideWhenUsed/>
    <w:qFormat/>
    <w:rsid w:val="00B66BD9"/>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en-IN"/>
    </w:rPr>
  </w:style>
  <w:style w:type="paragraph" w:styleId="Heading6">
    <w:name w:val="heading 6"/>
    <w:basedOn w:val="Normal"/>
    <w:next w:val="Normal"/>
    <w:link w:val="Heading6Char"/>
    <w:uiPriority w:val="9"/>
    <w:semiHidden/>
    <w:unhideWhenUsed/>
    <w:qFormat/>
    <w:rsid w:val="00B66B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rPr>
  </w:style>
  <w:style w:type="paragraph" w:styleId="Heading7">
    <w:name w:val="heading 7"/>
    <w:basedOn w:val="Normal"/>
    <w:next w:val="Normal"/>
    <w:link w:val="Heading7Char"/>
    <w:uiPriority w:val="9"/>
    <w:semiHidden/>
    <w:unhideWhenUsed/>
    <w:qFormat/>
    <w:rsid w:val="00B66B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paragraph" w:styleId="Heading8">
    <w:name w:val="heading 8"/>
    <w:basedOn w:val="Normal"/>
    <w:next w:val="Normal"/>
    <w:link w:val="Heading8Char"/>
    <w:uiPriority w:val="9"/>
    <w:semiHidden/>
    <w:unhideWhenUsed/>
    <w:qFormat/>
    <w:rsid w:val="00B66B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rPr>
  </w:style>
  <w:style w:type="paragraph" w:styleId="Heading9">
    <w:name w:val="heading 9"/>
    <w:basedOn w:val="Normal"/>
    <w:next w:val="Normal"/>
    <w:link w:val="Heading9Char"/>
    <w:uiPriority w:val="9"/>
    <w:semiHidden/>
    <w:unhideWhenUsed/>
    <w:qFormat/>
    <w:rsid w:val="00B66BD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B66BD9"/>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B66BD9"/>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B66BD9"/>
    <w:rPr>
      <w:rFonts w:asciiTheme="minorHAnsi" w:eastAsiaTheme="majorEastAsia" w:hAnsiTheme="minorHAnsi" w:cstheme="majorBidi"/>
      <w:i/>
      <w:iCs/>
      <w:color w:val="365F91" w:themeColor="accent1" w:themeShade="BF"/>
      <w:kern w:val="2"/>
      <w:sz w:val="22"/>
      <w:szCs w:val="22"/>
      <w:lang w:val="en-IN"/>
    </w:rPr>
  </w:style>
  <w:style w:type="character" w:customStyle="1" w:styleId="Heading5Char">
    <w:name w:val="Heading 5 Char"/>
    <w:basedOn w:val="DefaultParagraphFont"/>
    <w:link w:val="Heading5"/>
    <w:uiPriority w:val="9"/>
    <w:semiHidden/>
    <w:rsid w:val="00B66BD9"/>
    <w:rPr>
      <w:rFonts w:asciiTheme="minorHAnsi" w:eastAsiaTheme="majorEastAsia" w:hAnsiTheme="minorHAnsi" w:cstheme="majorBidi"/>
      <w:color w:val="365F91" w:themeColor="accent1" w:themeShade="BF"/>
      <w:kern w:val="2"/>
      <w:sz w:val="22"/>
      <w:szCs w:val="22"/>
      <w:lang w:val="en-IN"/>
    </w:rPr>
  </w:style>
  <w:style w:type="character" w:customStyle="1" w:styleId="Heading6Char">
    <w:name w:val="Heading 6 Char"/>
    <w:basedOn w:val="DefaultParagraphFont"/>
    <w:link w:val="Heading6"/>
    <w:uiPriority w:val="9"/>
    <w:semiHidden/>
    <w:rsid w:val="00B66BD9"/>
    <w:rPr>
      <w:rFonts w:asciiTheme="minorHAnsi" w:eastAsiaTheme="majorEastAsia" w:hAnsiTheme="minorHAnsi" w:cstheme="majorBidi"/>
      <w:i/>
      <w:iCs/>
      <w:color w:val="595959" w:themeColor="text1" w:themeTint="A6"/>
      <w:kern w:val="2"/>
      <w:sz w:val="22"/>
      <w:szCs w:val="22"/>
      <w:lang w:val="en-IN"/>
    </w:rPr>
  </w:style>
  <w:style w:type="character" w:customStyle="1" w:styleId="Heading7Char">
    <w:name w:val="Heading 7 Char"/>
    <w:basedOn w:val="DefaultParagraphFont"/>
    <w:link w:val="Heading7"/>
    <w:uiPriority w:val="9"/>
    <w:semiHidden/>
    <w:rsid w:val="00B66BD9"/>
    <w:rPr>
      <w:rFonts w:asciiTheme="minorHAnsi" w:eastAsiaTheme="majorEastAsia" w:hAnsiTheme="minorHAnsi" w:cstheme="majorBidi"/>
      <w:color w:val="595959" w:themeColor="text1" w:themeTint="A6"/>
      <w:kern w:val="2"/>
      <w:sz w:val="22"/>
      <w:szCs w:val="22"/>
      <w:lang w:val="en-IN"/>
    </w:rPr>
  </w:style>
  <w:style w:type="character" w:customStyle="1" w:styleId="Heading8Char">
    <w:name w:val="Heading 8 Char"/>
    <w:basedOn w:val="DefaultParagraphFont"/>
    <w:link w:val="Heading8"/>
    <w:uiPriority w:val="9"/>
    <w:semiHidden/>
    <w:rsid w:val="00B66BD9"/>
    <w:rPr>
      <w:rFonts w:asciiTheme="minorHAnsi" w:eastAsiaTheme="majorEastAsia" w:hAnsiTheme="minorHAnsi" w:cstheme="majorBidi"/>
      <w:i/>
      <w:iCs/>
      <w:color w:val="272727" w:themeColor="text1" w:themeTint="D8"/>
      <w:kern w:val="2"/>
      <w:sz w:val="22"/>
      <w:szCs w:val="22"/>
      <w:lang w:val="en-IN"/>
    </w:rPr>
  </w:style>
  <w:style w:type="character" w:customStyle="1" w:styleId="Heading9Char">
    <w:name w:val="Heading 9 Char"/>
    <w:basedOn w:val="DefaultParagraphFont"/>
    <w:link w:val="Heading9"/>
    <w:uiPriority w:val="9"/>
    <w:semiHidden/>
    <w:rsid w:val="00B66BD9"/>
    <w:rPr>
      <w:rFonts w:asciiTheme="minorHAnsi" w:eastAsiaTheme="majorEastAsia" w:hAnsiTheme="minorHAnsi" w:cstheme="majorBidi"/>
      <w:color w:val="272727" w:themeColor="text1" w:themeTint="D8"/>
      <w:kern w:val="2"/>
      <w:sz w:val="22"/>
      <w:szCs w:val="22"/>
      <w:lang w:val="en-IN"/>
    </w:rPr>
  </w:style>
  <w:style w:type="character" w:customStyle="1" w:styleId="Heading1Char">
    <w:name w:val="Heading 1 Char"/>
    <w:basedOn w:val="DefaultParagraphFont"/>
    <w:link w:val="Heading1"/>
    <w:uiPriority w:val="9"/>
    <w:rsid w:val="00B66BD9"/>
    <w:rPr>
      <w:rFonts w:ascii="Arial" w:hAnsi="Arial"/>
      <w:b/>
      <w:kern w:val="28"/>
      <w:sz w:val="28"/>
    </w:rPr>
  </w:style>
  <w:style w:type="character" w:customStyle="1" w:styleId="TitleChar">
    <w:name w:val="Title Char"/>
    <w:basedOn w:val="DefaultParagraphFont"/>
    <w:link w:val="Title"/>
    <w:uiPriority w:val="10"/>
    <w:rsid w:val="00B66BD9"/>
    <w:rPr>
      <w:rFonts w:ascii="Helvetica" w:hAnsi="Helvetica"/>
      <w:b/>
      <w:kern w:val="28"/>
      <w:sz w:val="36"/>
    </w:rPr>
  </w:style>
  <w:style w:type="paragraph" w:styleId="Subtitle">
    <w:name w:val="Subtitle"/>
    <w:basedOn w:val="Normal"/>
    <w:next w:val="Normal"/>
    <w:link w:val="SubtitleChar"/>
    <w:uiPriority w:val="11"/>
    <w:qFormat/>
    <w:rsid w:val="00B66B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B66BD9"/>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B66B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rPr>
  </w:style>
  <w:style w:type="character" w:customStyle="1" w:styleId="QuoteChar">
    <w:name w:val="Quote Char"/>
    <w:basedOn w:val="DefaultParagraphFont"/>
    <w:link w:val="Quote"/>
    <w:uiPriority w:val="29"/>
    <w:rsid w:val="00B66BD9"/>
    <w:rPr>
      <w:rFonts w:asciiTheme="minorHAnsi" w:eastAsiaTheme="minorHAnsi" w:hAnsiTheme="minorHAnsi" w:cstheme="minorBidi"/>
      <w:i/>
      <w:iCs/>
      <w:color w:val="404040" w:themeColor="text1" w:themeTint="BF"/>
      <w:kern w:val="2"/>
      <w:sz w:val="22"/>
      <w:szCs w:val="22"/>
      <w:lang w:val="en-IN"/>
    </w:rPr>
  </w:style>
  <w:style w:type="paragraph" w:styleId="ListParagraph">
    <w:name w:val="List Paragraph"/>
    <w:basedOn w:val="Normal"/>
    <w:uiPriority w:val="34"/>
    <w:qFormat/>
    <w:rsid w:val="00B66BD9"/>
    <w:pPr>
      <w:spacing w:after="160" w:line="259" w:lineRule="auto"/>
      <w:ind w:left="720"/>
      <w:contextualSpacing/>
    </w:pPr>
    <w:rPr>
      <w:rFonts w:asciiTheme="minorHAnsi" w:eastAsiaTheme="minorHAnsi" w:hAnsiTheme="minorHAnsi" w:cstheme="minorBidi"/>
      <w:kern w:val="2"/>
      <w:sz w:val="22"/>
      <w:szCs w:val="22"/>
      <w:lang w:val="en-IN"/>
    </w:rPr>
  </w:style>
  <w:style w:type="character" w:styleId="IntenseEmphasis">
    <w:name w:val="Intense Emphasis"/>
    <w:basedOn w:val="DefaultParagraphFont"/>
    <w:uiPriority w:val="21"/>
    <w:qFormat/>
    <w:rsid w:val="00B66BD9"/>
    <w:rPr>
      <w:i/>
      <w:iCs/>
      <w:color w:val="365F91" w:themeColor="accent1" w:themeShade="BF"/>
    </w:rPr>
  </w:style>
  <w:style w:type="paragraph" w:styleId="IntenseQuote">
    <w:name w:val="Intense Quote"/>
    <w:basedOn w:val="Normal"/>
    <w:next w:val="Normal"/>
    <w:link w:val="IntenseQuoteChar"/>
    <w:uiPriority w:val="30"/>
    <w:qFormat/>
    <w:rsid w:val="00B66BD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IN"/>
    </w:rPr>
  </w:style>
  <w:style w:type="character" w:customStyle="1" w:styleId="IntenseQuoteChar">
    <w:name w:val="Intense Quote Char"/>
    <w:basedOn w:val="DefaultParagraphFont"/>
    <w:link w:val="IntenseQuote"/>
    <w:uiPriority w:val="30"/>
    <w:rsid w:val="00B66BD9"/>
    <w:rPr>
      <w:rFonts w:asciiTheme="minorHAnsi" w:eastAsiaTheme="minorHAnsi" w:hAnsiTheme="minorHAnsi" w:cstheme="minorBidi"/>
      <w:i/>
      <w:iCs/>
      <w:color w:val="365F91" w:themeColor="accent1" w:themeShade="BF"/>
      <w:kern w:val="2"/>
      <w:sz w:val="22"/>
      <w:szCs w:val="22"/>
      <w:lang w:val="en-IN"/>
    </w:rPr>
  </w:style>
  <w:style w:type="character" w:styleId="IntenseReference">
    <w:name w:val="Intense Reference"/>
    <w:basedOn w:val="DefaultParagraphFont"/>
    <w:uiPriority w:val="32"/>
    <w:qFormat/>
    <w:rsid w:val="00B66BD9"/>
    <w:rPr>
      <w:b/>
      <w:bCs/>
      <w:smallCaps/>
      <w:color w:val="365F91" w:themeColor="accent1" w:themeShade="BF"/>
      <w:spacing w:val="5"/>
    </w:rPr>
  </w:style>
  <w:style w:type="paragraph" w:styleId="NormalWeb">
    <w:name w:val="Normal (Web)"/>
    <w:basedOn w:val="Normal"/>
    <w:uiPriority w:val="99"/>
    <w:semiHidden/>
    <w:unhideWhenUsed/>
    <w:rsid w:val="00B66BD9"/>
    <w:pPr>
      <w:spacing w:after="160" w:line="259" w:lineRule="auto"/>
    </w:pPr>
    <w:rPr>
      <w:rFonts w:ascii="Times New Roman" w:eastAsiaTheme="minorHAnsi" w:hAnsi="Times New Roman"/>
      <w:kern w:val="2"/>
      <w:sz w:val="24"/>
      <w:szCs w:val="24"/>
      <w:lang w:val="en-IN"/>
    </w:rPr>
  </w:style>
  <w:style w:type="character" w:styleId="PlaceholderText">
    <w:name w:val="Placeholder Text"/>
    <w:basedOn w:val="DefaultParagraphFont"/>
    <w:uiPriority w:val="99"/>
    <w:semiHidden/>
    <w:rsid w:val="00B66BD9"/>
    <w:rPr>
      <w:color w:val="666666"/>
    </w:rPr>
  </w:style>
  <w:style w:type="paragraph" w:customStyle="1" w:styleId="msonormal0">
    <w:name w:val="msonormal"/>
    <w:basedOn w:val="Normal"/>
    <w:rsid w:val="00B66BD9"/>
    <w:pPr>
      <w:spacing w:before="100" w:beforeAutospacing="1" w:after="100" w:afterAutospacing="1"/>
    </w:pPr>
    <w:rPr>
      <w:rFonts w:ascii="Times New Roman" w:hAnsi="Times New Roman"/>
      <w:sz w:val="24"/>
      <w:szCs w:val="24"/>
      <w:lang w:val="en-IN" w:eastAsia="en-IN"/>
    </w:rPr>
  </w:style>
  <w:style w:type="paragraph" w:customStyle="1" w:styleId="xl65">
    <w:name w:val="xl65"/>
    <w:basedOn w:val="Normal"/>
    <w:rsid w:val="00B66BD9"/>
    <w:pPr>
      <w:spacing w:before="100" w:beforeAutospacing="1" w:after="100" w:afterAutospacing="1"/>
    </w:pPr>
    <w:rPr>
      <w:rFonts w:ascii="Times New Roman" w:hAnsi="Times New Roman"/>
      <w:sz w:val="18"/>
      <w:szCs w:val="18"/>
      <w:lang w:val="en-IN" w:eastAsia="en-IN"/>
    </w:rPr>
  </w:style>
  <w:style w:type="paragraph" w:customStyle="1" w:styleId="xl66">
    <w:name w:val="xl66"/>
    <w:basedOn w:val="Normal"/>
    <w:rsid w:val="00B66BD9"/>
    <w:pPr>
      <w:spacing w:before="100" w:beforeAutospacing="1" w:after="100" w:afterAutospacing="1"/>
      <w:jc w:val="center"/>
    </w:pPr>
    <w:rPr>
      <w:rFonts w:ascii="Times New Roman" w:hAnsi="Times New Roman"/>
      <w:sz w:val="18"/>
      <w:szCs w:val="18"/>
      <w:lang w:val="en-IN" w:eastAsia="en-IN"/>
    </w:rPr>
  </w:style>
  <w:style w:type="paragraph" w:customStyle="1" w:styleId="xl67">
    <w:name w:val="xl67"/>
    <w:basedOn w:val="Normal"/>
    <w:rsid w:val="00B66BD9"/>
    <w:pPr>
      <w:shd w:val="clear" w:color="000000" w:fill="FCE4D6"/>
      <w:spacing w:before="100" w:beforeAutospacing="1" w:after="100" w:afterAutospacing="1"/>
    </w:pPr>
    <w:rPr>
      <w:rFonts w:ascii="Times New Roman" w:hAnsi="Times New Roman"/>
      <w:sz w:val="18"/>
      <w:szCs w:val="18"/>
      <w:lang w:val="en-IN" w:eastAsia="en-IN"/>
    </w:rPr>
  </w:style>
  <w:style w:type="paragraph" w:customStyle="1" w:styleId="xl68">
    <w:name w:val="xl68"/>
    <w:basedOn w:val="Normal"/>
    <w:rsid w:val="00B66BD9"/>
    <w:pPr>
      <w:spacing w:before="100" w:beforeAutospacing="1" w:after="100" w:afterAutospacing="1"/>
      <w:jc w:val="center"/>
    </w:pPr>
    <w:rPr>
      <w:rFonts w:ascii="Times New Roman" w:hAnsi="Times New Roman"/>
      <w:sz w:val="24"/>
      <w:szCs w:val="24"/>
      <w:lang w:val="en-IN" w:eastAsia="en-IN"/>
    </w:rPr>
  </w:style>
  <w:style w:type="paragraph" w:customStyle="1" w:styleId="xl69">
    <w:name w:val="xl69"/>
    <w:basedOn w:val="Normal"/>
    <w:rsid w:val="00B66BD9"/>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8"/>
      <w:szCs w:val="18"/>
      <w:lang w:val="en-IN" w:eastAsia="en-IN"/>
    </w:rPr>
  </w:style>
  <w:style w:type="paragraph" w:customStyle="1" w:styleId="xl70">
    <w:name w:val="xl70"/>
    <w:basedOn w:val="Normal"/>
    <w:rsid w:val="00B66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8"/>
      <w:szCs w:val="18"/>
      <w:lang w:val="en-IN" w:eastAsia="en-IN"/>
    </w:rPr>
  </w:style>
  <w:style w:type="paragraph" w:customStyle="1" w:styleId="xl71">
    <w:name w:val="xl71"/>
    <w:basedOn w:val="Normal"/>
    <w:rsid w:val="00B66BD9"/>
    <w:pPr>
      <w:spacing w:before="100" w:beforeAutospacing="1" w:after="100" w:afterAutospacing="1"/>
    </w:pPr>
    <w:rPr>
      <w:rFonts w:ascii="Times New Roman" w:hAnsi="Times New Roman"/>
      <w:b/>
      <w:bCs/>
      <w:sz w:val="18"/>
      <w:szCs w:val="18"/>
      <w:lang w:val="en-IN" w:eastAsia="en-IN"/>
    </w:rPr>
  </w:style>
  <w:style w:type="paragraph" w:customStyle="1" w:styleId="xl72">
    <w:name w:val="xl72"/>
    <w:basedOn w:val="Normal"/>
    <w:rsid w:val="00B66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8"/>
      <w:szCs w:val="18"/>
      <w:lang w:val="en-IN" w:eastAsia="en-IN"/>
    </w:rPr>
  </w:style>
  <w:style w:type="paragraph" w:customStyle="1" w:styleId="xl73">
    <w:name w:val="xl73"/>
    <w:basedOn w:val="Normal"/>
    <w:rsid w:val="00B66BD9"/>
    <w:pPr>
      <w:spacing w:before="100" w:beforeAutospacing="1" w:after="100" w:afterAutospacing="1"/>
    </w:pPr>
    <w:rPr>
      <w:rFonts w:ascii="Times New Roman" w:hAnsi="Times New Roman"/>
      <w:b/>
      <w:bCs/>
      <w:sz w:val="18"/>
      <w:szCs w:val="18"/>
      <w:lang w:val="en-IN" w:eastAsia="en-IN"/>
    </w:rPr>
  </w:style>
  <w:style w:type="paragraph" w:customStyle="1" w:styleId="xl74">
    <w:name w:val="xl74"/>
    <w:basedOn w:val="Normal"/>
    <w:rsid w:val="00B66BD9"/>
    <w:pPr>
      <w:spacing w:before="100" w:beforeAutospacing="1" w:after="100" w:afterAutospacing="1"/>
      <w:jc w:val="center"/>
    </w:pPr>
    <w:rPr>
      <w:rFonts w:ascii="Times New Roman" w:hAnsi="Times New Roman"/>
      <w:b/>
      <w:bCs/>
      <w:sz w:val="18"/>
      <w:szCs w:val="18"/>
      <w:lang w:val="en-IN" w:eastAsia="en-IN"/>
    </w:rPr>
  </w:style>
  <w:style w:type="paragraph" w:customStyle="1" w:styleId="xl75">
    <w:name w:val="xl75"/>
    <w:basedOn w:val="Normal"/>
    <w:rsid w:val="00B66BD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sz w:val="18"/>
      <w:szCs w:val="18"/>
      <w:lang w:val="en-IN" w:eastAsia="en-IN"/>
    </w:rPr>
  </w:style>
  <w:style w:type="character" w:customStyle="1" w:styleId="HeaderChar">
    <w:name w:val="Header Char"/>
    <w:basedOn w:val="DefaultParagraphFont"/>
    <w:link w:val="Header"/>
    <w:uiPriority w:val="99"/>
    <w:rsid w:val="00B66BD9"/>
    <w:rPr>
      <w:rFonts w:ascii="Helvetica" w:hAnsi="Helvetica"/>
    </w:rPr>
  </w:style>
  <w:style w:type="character" w:customStyle="1" w:styleId="FooterChar">
    <w:name w:val="Footer Char"/>
    <w:basedOn w:val="DefaultParagraphFont"/>
    <w:link w:val="Footer"/>
    <w:uiPriority w:val="99"/>
    <w:rsid w:val="00B66BD9"/>
    <w:rPr>
      <w:rFonts w:ascii="Helvetica" w:hAnsi="Helvetica"/>
    </w:rPr>
  </w:style>
  <w:style w:type="paragraph" w:customStyle="1" w:styleId="NEPTMiscMatter">
    <w:name w:val="NEPT_MiscMatter"/>
    <w:qFormat/>
    <w:rsid w:val="00B66BD9"/>
    <w:pPr>
      <w:adjustRightInd w:val="0"/>
      <w:snapToGrid w:val="0"/>
      <w:spacing w:after="120" w:line="228" w:lineRule="auto"/>
      <w:ind w:left="2606" w:right="288"/>
      <w:jc w:val="both"/>
    </w:pPr>
    <w:rPr>
      <w:rFonts w:ascii="Arial" w:hAnsi="Arial"/>
      <w:snapToGrid w:val="0"/>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646d9d0fb4ead027/Documents/paper%203%20data%20PRA%20in%20compos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'[PRA KBS thesis.xlsx]paper 3'!$I$16</c:f>
              <c:strCache>
                <c:ptCount val="1"/>
                <c:pt idx="0">
                  <c:v>Avg. pesticides detected</c:v>
                </c:pt>
              </c:strCache>
            </c:strRef>
          </c:tx>
          <c:dPt>
            <c:idx val="0"/>
            <c:bubble3D val="0"/>
            <c:spPr>
              <a:solidFill>
                <a:schemeClr val="bg2">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119C-4E40-8C17-4427AD2DD053}"/>
              </c:ext>
            </c:extLst>
          </c:dPt>
          <c:dPt>
            <c:idx val="1"/>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119C-4E40-8C17-4427AD2DD053}"/>
              </c:ext>
            </c:extLst>
          </c:dPt>
          <c:dPt>
            <c:idx val="2"/>
            <c:bubble3D val="0"/>
            <c:spPr>
              <a:solidFill>
                <a:schemeClr val="accent3">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119C-4E40-8C17-4427AD2DD053}"/>
              </c:ext>
            </c:extLst>
          </c:dPt>
          <c:dPt>
            <c:idx val="3"/>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119C-4E40-8C17-4427AD2DD05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'[PRA KBS thesis.xlsx]paper 3'!$H$17:$H$20</c:f>
              <c:strCache>
                <c:ptCount val="4"/>
                <c:pt idx="0">
                  <c:v>Organo-nitrogen pesticides</c:v>
                </c:pt>
                <c:pt idx="1">
                  <c:v>Organophosphates</c:v>
                </c:pt>
                <c:pt idx="2">
                  <c:v>Organochlorines</c:v>
                </c:pt>
                <c:pt idx="3">
                  <c:v>Synthetic pyrethroids</c:v>
                </c:pt>
              </c:strCache>
            </c:strRef>
          </c:cat>
          <c:val>
            <c:numRef>
              <c:f>'[PRA KBS thesis.xlsx]paper 3'!$I$17:$I$20</c:f>
              <c:numCache>
                <c:formatCode>General</c:formatCode>
                <c:ptCount val="4"/>
                <c:pt idx="0">
                  <c:v>66</c:v>
                </c:pt>
                <c:pt idx="1">
                  <c:v>43</c:v>
                </c:pt>
                <c:pt idx="2">
                  <c:v>39</c:v>
                </c:pt>
                <c:pt idx="3">
                  <c:v>24</c:v>
                </c:pt>
              </c:numCache>
            </c:numRef>
          </c:val>
          <c:extLst>
            <c:ext xmlns:c16="http://schemas.microsoft.com/office/drawing/2014/chart" uri="{C3380CC4-5D6E-409C-BE32-E72D297353CC}">
              <c16:uniqueId val="{00000008-119C-4E40-8C17-4427AD2DD053}"/>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3010134149897934"/>
          <c:y val="0.21038336579814887"/>
          <c:w val="0.36989865850102077"/>
          <c:h val="0.5045845939027228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Sheet9!$A$2</c:f>
              <c:strCache>
                <c:ptCount val="1"/>
                <c:pt idx="0">
                  <c:v>Pesticides</c:v>
                </c:pt>
              </c:strCache>
            </c:strRef>
          </c:tx>
          <c:spPr>
            <a:solidFill>
              <a:schemeClr val="accent1"/>
            </a:solidFill>
            <a:ln>
              <a:noFill/>
            </a:ln>
            <a:effectLst/>
          </c:spPr>
          <c:invertIfNegative val="0"/>
          <c:cat>
            <c:numRef>
              <c:f>Sheet9!$B$1:$H$1</c:f>
              <c:numCache>
                <c:formatCode>0%</c:formatCode>
                <c:ptCount val="7"/>
                <c:pt idx="0">
                  <c:v>1</c:v>
                </c:pt>
                <c:pt idx="1">
                  <c:v>0.83</c:v>
                </c:pt>
                <c:pt idx="2">
                  <c:v>0.67</c:v>
                </c:pt>
                <c:pt idx="3">
                  <c:v>0.5</c:v>
                </c:pt>
                <c:pt idx="4">
                  <c:v>0.33</c:v>
                </c:pt>
                <c:pt idx="5">
                  <c:v>0.17</c:v>
                </c:pt>
                <c:pt idx="6">
                  <c:v>0</c:v>
                </c:pt>
              </c:numCache>
            </c:numRef>
          </c:cat>
          <c:val>
            <c:numRef>
              <c:f>Sheet9!$B$2:$H$2</c:f>
              <c:numCache>
                <c:formatCode>General</c:formatCode>
                <c:ptCount val="7"/>
                <c:pt idx="0">
                  <c:v>21</c:v>
                </c:pt>
                <c:pt idx="1">
                  <c:v>33</c:v>
                </c:pt>
                <c:pt idx="2">
                  <c:v>34</c:v>
                </c:pt>
                <c:pt idx="3">
                  <c:v>38</c:v>
                </c:pt>
                <c:pt idx="4">
                  <c:v>23</c:v>
                </c:pt>
                <c:pt idx="5">
                  <c:v>23</c:v>
                </c:pt>
                <c:pt idx="6">
                  <c:v>13</c:v>
                </c:pt>
              </c:numCache>
            </c:numRef>
          </c:val>
          <c:extLst>
            <c:ext xmlns:c16="http://schemas.microsoft.com/office/drawing/2014/chart" uri="{C3380CC4-5D6E-409C-BE32-E72D297353CC}">
              <c16:uniqueId val="{00000000-A724-4055-B3EC-2E487452E8CE}"/>
            </c:ext>
          </c:extLst>
        </c:ser>
        <c:dLbls>
          <c:showLegendKey val="0"/>
          <c:showVal val="0"/>
          <c:showCatName val="0"/>
          <c:showSerName val="0"/>
          <c:showPercent val="0"/>
          <c:showBubbleSize val="0"/>
        </c:dLbls>
        <c:gapWidth val="219"/>
        <c:overlap val="-27"/>
        <c:axId val="260317568"/>
        <c:axId val="260382720"/>
      </c:barChart>
      <c:catAx>
        <c:axId val="26031756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latin typeface="Times New Roman" panose="02020603050405020304" pitchFamily="18" charset="0"/>
                    <a:cs typeface="Times New Roman" panose="02020603050405020304" pitchFamily="18" charset="0"/>
                  </a:rPr>
                  <a:t>Detection Frequency</a:t>
                </a:r>
              </a:p>
            </c:rich>
          </c:tx>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0382720"/>
        <c:crosses val="autoZero"/>
        <c:auto val="1"/>
        <c:lblAlgn val="ctr"/>
        <c:lblOffset val="100"/>
        <c:noMultiLvlLbl val="0"/>
      </c:catAx>
      <c:valAx>
        <c:axId val="26038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Number</a:t>
                </a:r>
                <a:r>
                  <a:rPr lang="en-IN" b="1" baseline="0">
                    <a:solidFill>
                      <a:sysClr val="windowText" lastClr="000000"/>
                    </a:solidFill>
                  </a:rPr>
                  <a:t> of Pesticides</a:t>
                </a:r>
                <a:endParaRPr lang="en-IN"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0317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8542A-17C8-41DD-9E78-D2C43CD4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12</Pages>
  <Words>12592</Words>
  <Characters>71776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84200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2026-03-19T13:35:00Z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0158dc78-5e7e-452d-87dd-3d1fd4c9146c</vt:lpwstr>
  </property>
</Properties>
</file>