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45796" w14:textId="77777777" w:rsidR="00C90D78" w:rsidRDefault="00306274" w:rsidP="00407D89">
      <w:pPr>
        <w:jc w:val="center"/>
        <w:rPr>
          <w:rFonts w:eastAsia="SimSun" w:cs="Times New Roman"/>
          <w:b/>
          <w:szCs w:val="24"/>
          <w:lang w:eastAsia="zh-CN"/>
        </w:rPr>
      </w:pPr>
      <w:r w:rsidRPr="00651BA4">
        <w:rPr>
          <w:rFonts w:cs="Times New Roman"/>
          <w:b/>
          <w:szCs w:val="24"/>
        </w:rPr>
        <w:t>The Influence of Teacher Parental Leadership on Medical Students’ Learning Burnout</w:t>
      </w:r>
      <w:r w:rsidR="00651BA4" w:rsidRPr="00651BA4">
        <w:rPr>
          <w:rFonts w:eastAsia="SimSun" w:cs="Times New Roman" w:hint="eastAsia"/>
          <w:b/>
          <w:szCs w:val="24"/>
          <w:lang w:eastAsia="zh-CN"/>
        </w:rPr>
        <w:t xml:space="preserve"> in Guangxi, China</w:t>
      </w:r>
    </w:p>
    <w:p w14:paraId="2FEE81ED" w14:textId="1DF58F95" w:rsidR="00EA4B5E" w:rsidRDefault="00EA4B5E" w:rsidP="0068402D">
      <w:pPr>
        <w:rPr>
          <w:rFonts w:eastAsia="SimSun" w:cs="Times New Roman"/>
          <w:b/>
          <w:szCs w:val="24"/>
          <w:lang w:eastAsia="zh-CN"/>
        </w:rPr>
      </w:pPr>
    </w:p>
    <w:p w14:paraId="53023EAB" w14:textId="77777777" w:rsidR="00C90D78" w:rsidRPr="00651BA4" w:rsidRDefault="00306274" w:rsidP="00407D89">
      <w:pPr>
        <w:pStyle w:val="Heading1"/>
        <w:jc w:val="both"/>
        <w:rPr>
          <w:rFonts w:ascii="Times New Roman" w:hAnsi="Times New Roman" w:cs="Times New Roman"/>
          <w:color w:val="auto"/>
          <w:sz w:val="24"/>
          <w:szCs w:val="24"/>
        </w:rPr>
      </w:pPr>
      <w:bookmarkStart w:id="0" w:name="_GoBack"/>
      <w:bookmarkEnd w:id="0"/>
      <w:r w:rsidRPr="00651BA4">
        <w:rPr>
          <w:rFonts w:ascii="Times New Roman" w:hAnsi="Times New Roman" w:cs="Times New Roman"/>
          <w:color w:val="auto"/>
          <w:sz w:val="24"/>
          <w:szCs w:val="24"/>
        </w:rPr>
        <w:t>Abstract</w:t>
      </w:r>
    </w:p>
    <w:p w14:paraId="182AF912" w14:textId="77777777" w:rsidR="00C90D78" w:rsidRDefault="00306274" w:rsidP="00407D89">
      <w:pPr>
        <w:jc w:val="both"/>
        <w:rPr>
          <w:rFonts w:eastAsia="SimSun" w:cs="Times New Roman"/>
          <w:szCs w:val="24"/>
          <w:lang w:eastAsia="zh-CN"/>
        </w:rPr>
      </w:pPr>
      <w:r w:rsidRPr="00651BA4">
        <w:rPr>
          <w:rFonts w:cs="Times New Roman"/>
          <w:szCs w:val="24"/>
        </w:rPr>
        <w:t xml:space="preserve">This study examined whether students’ perceptions of teacher parental leadership were associated with learning burnout among undergraduate medical students in China. Using cross-sectional survey data from 230 students, the analyses focused on three leadership dimensions—benevolent, moral, and authoritarian leadership—and four burnout outcomes: exhaustion, cynicism, reduced academic efficacy, and overall burnout. Pearson correlations and multiple regression models were estimated after controlling for gender and academic year. Benevolent and moral leadership were consistently associated with lower burnout, whereas authoritarian leadership predicted higher exhaustion, reduced academic efficacy, and overall burnout; its association with cynicism was weaker and did not reach the significance threshold in the full model. The final model explained 41.7% of the variance in overall burnout. </w:t>
      </w:r>
      <w:r w:rsidR="00407D89">
        <w:rPr>
          <w:rFonts w:eastAsia="SimSun" w:cs="Times New Roman" w:hint="eastAsia"/>
          <w:szCs w:val="24"/>
          <w:lang w:eastAsia="zh-CN"/>
        </w:rPr>
        <w:t>M</w:t>
      </w:r>
      <w:r w:rsidRPr="00651BA4">
        <w:rPr>
          <w:rFonts w:cs="Times New Roman"/>
          <w:szCs w:val="24"/>
        </w:rPr>
        <w:t>oderation tests did not provide robust evidence that the associations differed by gender</w:t>
      </w:r>
      <w:r w:rsidR="00407D89">
        <w:rPr>
          <w:rFonts w:eastAsia="SimSun" w:cs="Times New Roman" w:hint="eastAsia"/>
          <w:szCs w:val="24"/>
          <w:lang w:eastAsia="zh-CN"/>
        </w:rPr>
        <w:t xml:space="preserve"> and academic year</w:t>
      </w:r>
      <w:r w:rsidRPr="00651BA4">
        <w:rPr>
          <w:rFonts w:cs="Times New Roman"/>
          <w:szCs w:val="24"/>
        </w:rPr>
        <w:t xml:space="preserve">. </w:t>
      </w:r>
      <w:r w:rsidR="00407D89">
        <w:rPr>
          <w:rFonts w:eastAsia="SimSun" w:cs="Times New Roman" w:hint="eastAsia"/>
          <w:szCs w:val="24"/>
          <w:lang w:eastAsia="zh-CN"/>
        </w:rPr>
        <w:t>T</w:t>
      </w:r>
      <w:r w:rsidRPr="00651BA4">
        <w:rPr>
          <w:rFonts w:cs="Times New Roman"/>
          <w:szCs w:val="24"/>
        </w:rPr>
        <w:t>he findings indicate that teacher parental leadership should not be treated as a uniformly beneficial construct in medical education</w:t>
      </w:r>
      <w:r w:rsidR="00407D89">
        <w:rPr>
          <w:rFonts w:eastAsia="SimSun" w:cs="Times New Roman" w:hint="eastAsia"/>
          <w:szCs w:val="24"/>
          <w:lang w:eastAsia="zh-CN"/>
        </w:rPr>
        <w:t xml:space="preserve">. Specially, </w:t>
      </w:r>
      <w:r w:rsidRPr="00651BA4">
        <w:rPr>
          <w:rFonts w:cs="Times New Roman"/>
          <w:szCs w:val="24"/>
        </w:rPr>
        <w:t>care and moral example appear to buffer burnout, whereas control-oriented authority appears to intensify it.</w:t>
      </w:r>
    </w:p>
    <w:p w14:paraId="43A1DDF0" w14:textId="77777777" w:rsidR="00651BA4" w:rsidRPr="00651BA4" w:rsidRDefault="00651BA4" w:rsidP="00407D89">
      <w:pPr>
        <w:jc w:val="both"/>
        <w:rPr>
          <w:rFonts w:eastAsia="SimSun" w:cs="Times New Roman"/>
          <w:szCs w:val="24"/>
          <w:lang w:eastAsia="zh-CN"/>
        </w:rPr>
      </w:pPr>
      <w:r w:rsidRPr="00651BA4">
        <w:rPr>
          <w:rFonts w:eastAsia="SimSun" w:cs="Times New Roman" w:hint="eastAsia"/>
          <w:b/>
          <w:szCs w:val="24"/>
          <w:lang w:eastAsia="zh-CN"/>
        </w:rPr>
        <w:t>Key words</w:t>
      </w:r>
      <w:r>
        <w:rPr>
          <w:rFonts w:eastAsia="SimSun" w:cs="Times New Roman" w:hint="eastAsia"/>
          <w:szCs w:val="24"/>
          <w:lang w:eastAsia="zh-CN"/>
        </w:rPr>
        <w:t>：</w:t>
      </w:r>
      <w:r w:rsidRPr="00651BA4">
        <w:rPr>
          <w:rFonts w:eastAsia="SimSun" w:cs="Times New Roman"/>
          <w:szCs w:val="24"/>
          <w:lang w:eastAsia="zh-CN"/>
        </w:rPr>
        <w:t xml:space="preserve">Teacher </w:t>
      </w:r>
      <w:r>
        <w:rPr>
          <w:rFonts w:eastAsia="SimSun" w:cs="Times New Roman" w:hint="eastAsia"/>
          <w:szCs w:val="24"/>
          <w:lang w:eastAsia="zh-CN"/>
        </w:rPr>
        <w:t>l</w:t>
      </w:r>
      <w:r w:rsidRPr="00651BA4">
        <w:rPr>
          <w:rFonts w:eastAsia="SimSun" w:cs="Times New Roman"/>
          <w:szCs w:val="24"/>
          <w:lang w:eastAsia="zh-CN"/>
        </w:rPr>
        <w:t>eadership</w:t>
      </w:r>
      <w:r>
        <w:rPr>
          <w:rFonts w:eastAsia="SimSun" w:cs="Times New Roman" w:hint="eastAsia"/>
          <w:szCs w:val="24"/>
          <w:lang w:eastAsia="zh-CN"/>
        </w:rPr>
        <w:t xml:space="preserve">; </w:t>
      </w:r>
      <w:r w:rsidRPr="00651BA4">
        <w:rPr>
          <w:rFonts w:cs="Times New Roman"/>
          <w:szCs w:val="24"/>
        </w:rPr>
        <w:t xml:space="preserve">Teacher </w:t>
      </w:r>
      <w:r>
        <w:rPr>
          <w:rFonts w:eastAsia="SimSun" w:cs="Times New Roman" w:hint="eastAsia"/>
          <w:szCs w:val="24"/>
          <w:lang w:eastAsia="zh-CN"/>
        </w:rPr>
        <w:t>p</w:t>
      </w:r>
      <w:r w:rsidRPr="00651BA4">
        <w:rPr>
          <w:rFonts w:cs="Times New Roman"/>
          <w:szCs w:val="24"/>
        </w:rPr>
        <w:t xml:space="preserve">arental </w:t>
      </w:r>
      <w:r>
        <w:rPr>
          <w:rFonts w:eastAsia="SimSun" w:cs="Times New Roman" w:hint="eastAsia"/>
          <w:szCs w:val="24"/>
          <w:lang w:eastAsia="zh-CN"/>
        </w:rPr>
        <w:t>l</w:t>
      </w:r>
      <w:r w:rsidRPr="00651BA4">
        <w:rPr>
          <w:rFonts w:cs="Times New Roman"/>
          <w:szCs w:val="24"/>
        </w:rPr>
        <w:t>eadership</w:t>
      </w:r>
      <w:r>
        <w:rPr>
          <w:rFonts w:eastAsia="SimSun" w:cs="Times New Roman" w:hint="eastAsia"/>
          <w:szCs w:val="24"/>
          <w:lang w:eastAsia="zh-CN"/>
        </w:rPr>
        <w:t xml:space="preserve">; </w:t>
      </w:r>
      <w:r w:rsidRPr="00651BA4">
        <w:rPr>
          <w:rFonts w:cs="Times New Roman"/>
          <w:szCs w:val="24"/>
        </w:rPr>
        <w:t>learning burnout</w:t>
      </w:r>
      <w:r>
        <w:rPr>
          <w:rFonts w:eastAsia="SimSun" w:cs="Times New Roman" w:hint="eastAsia"/>
          <w:szCs w:val="24"/>
          <w:lang w:eastAsia="zh-CN"/>
        </w:rPr>
        <w:t>; medical education;</w:t>
      </w:r>
    </w:p>
    <w:p w14:paraId="33CC1515" w14:textId="77777777" w:rsidR="00C90D78" w:rsidRPr="00651BA4" w:rsidRDefault="00306274" w:rsidP="00407D89">
      <w:pPr>
        <w:pStyle w:val="Heading1"/>
        <w:numPr>
          <w:ilvl w:val="0"/>
          <w:numId w:val="10"/>
        </w:numPr>
        <w:jc w:val="both"/>
        <w:rPr>
          <w:rFonts w:ascii="Times New Roman" w:hAnsi="Times New Roman" w:cs="Times New Roman"/>
          <w:color w:val="auto"/>
          <w:sz w:val="24"/>
          <w:szCs w:val="24"/>
        </w:rPr>
      </w:pPr>
      <w:r w:rsidRPr="00651BA4">
        <w:rPr>
          <w:rFonts w:ascii="Times New Roman" w:hAnsi="Times New Roman" w:cs="Times New Roman"/>
          <w:color w:val="auto"/>
          <w:sz w:val="24"/>
          <w:szCs w:val="24"/>
        </w:rPr>
        <w:t>Introduction</w:t>
      </w:r>
    </w:p>
    <w:p w14:paraId="375198C0" w14:textId="77777777" w:rsidR="00C90D78" w:rsidRPr="00651BA4" w:rsidRDefault="00306274" w:rsidP="00407D89">
      <w:pPr>
        <w:jc w:val="both"/>
        <w:rPr>
          <w:rFonts w:cs="Times New Roman"/>
          <w:szCs w:val="24"/>
        </w:rPr>
      </w:pPr>
      <w:r w:rsidRPr="00651BA4">
        <w:rPr>
          <w:rFonts w:cs="Times New Roman"/>
          <w:szCs w:val="24"/>
        </w:rPr>
        <w:t>Medical training exposes students to sustained academic demands, frequent evaluation, and a learning culture in which mistakes can carry both symbolic and practical consequences. Under these conditions, burnout is not simply a matter of feeling tired. It typically involves emotional exhaustion, psychological distance from learning, and a weakening sense of academic capability, all of which can disrupt persistence and diminish the quality of learning over time (Salmela-Aro &amp; Upadyaya, 2014). Recent evidence suggests that burnout remains common among medical students across settings, even though prevalence estimates vary by context and measurement strategy (Almutairi et al., 2022; Maslach &amp; Leiter, 2016).</w:t>
      </w:r>
    </w:p>
    <w:p w14:paraId="505DDA96" w14:textId="77777777" w:rsidR="00C90D78" w:rsidRPr="00651BA4" w:rsidRDefault="00306274" w:rsidP="00407D89">
      <w:pPr>
        <w:jc w:val="both"/>
        <w:rPr>
          <w:rFonts w:cs="Times New Roman"/>
          <w:szCs w:val="24"/>
        </w:rPr>
      </w:pPr>
      <w:r w:rsidRPr="00651BA4">
        <w:rPr>
          <w:rFonts w:cs="Times New Roman"/>
          <w:szCs w:val="24"/>
        </w:rPr>
        <w:t xml:space="preserve">Although workload and assessment pressure are obvious contributors to burnout, they do not operate in a social vacuum. Students encounter these demands through relationships with teachers, who structure learning tasks, interpret standards, provide feedback, and signal what kinds of struggle are acceptable. Research on teacher leadership has therefore been useful in showing that teachers influence student outcomes not only through instructional technique but also through the relational and normative climate surrounding learning (Roorda et al., 2011; </w:t>
      </w:r>
      <w:r w:rsidRPr="00651BA4">
        <w:rPr>
          <w:rFonts w:cs="Times New Roman"/>
          <w:szCs w:val="24"/>
        </w:rPr>
        <w:lastRenderedPageBreak/>
        <w:t>Wenner &amp; Campbell, 2017). The present study builds on that broader insight but focuses on a more specific form of teacher influence</w:t>
      </w:r>
      <w:r w:rsidR="00E36FE0">
        <w:rPr>
          <w:rFonts w:eastAsia="SimSun" w:cs="Times New Roman" w:hint="eastAsia"/>
          <w:szCs w:val="24"/>
          <w:lang w:eastAsia="zh-CN"/>
        </w:rPr>
        <w:t>-</w:t>
      </w:r>
      <w:r w:rsidRPr="00651BA4">
        <w:rPr>
          <w:rFonts w:cs="Times New Roman"/>
          <w:szCs w:val="24"/>
        </w:rPr>
        <w:t>teacher parental leadership.</w:t>
      </w:r>
    </w:p>
    <w:p w14:paraId="3B97885B" w14:textId="77777777" w:rsidR="00C90D78" w:rsidRPr="00651BA4" w:rsidRDefault="00306274" w:rsidP="00407D89">
      <w:pPr>
        <w:jc w:val="both"/>
        <w:rPr>
          <w:rFonts w:cs="Times New Roman"/>
          <w:szCs w:val="24"/>
        </w:rPr>
      </w:pPr>
      <w:r w:rsidRPr="00651BA4">
        <w:rPr>
          <w:rFonts w:cs="Times New Roman"/>
          <w:szCs w:val="24"/>
        </w:rPr>
        <w:t>That distinction matters because the existing literature leaves two issues unresolved. First, much of the work linking teacher-related factors to student well-being has examined either broad teacher leadership constructs or general forms of support, rather than leadership patterns that explicitly combine authority, care, and moral example. Second, medical education is a setting in which hierarchy and developmental dependence are especially salient, yet relatively little is known about how these relationship features shape students’ burnout experiences. If different dimensions of parental leadership pull in different directions, treating the construct as globally positive or negative may conceal the pattern that matters most.</w:t>
      </w:r>
    </w:p>
    <w:p w14:paraId="3F56D90F" w14:textId="77777777" w:rsidR="00C90D78" w:rsidRPr="00651BA4" w:rsidRDefault="00306274" w:rsidP="00407D89">
      <w:pPr>
        <w:jc w:val="both"/>
        <w:rPr>
          <w:rFonts w:cs="Times New Roman"/>
          <w:szCs w:val="24"/>
        </w:rPr>
      </w:pPr>
      <w:r w:rsidRPr="00651BA4">
        <w:rPr>
          <w:rFonts w:cs="Times New Roman"/>
          <w:szCs w:val="24"/>
        </w:rPr>
        <w:t>Parental leadership emerged from East Asian organizational research and is usually defined through three dimensions: authoritarianism, benevolence, and morality (Cheng et al., 2004). In educational settings, these dimensions capture whether teachers are experienced as control-oriented and obedience-focused, as personally caring and protective, and as fair, principled, and worthy of emulation. The framework is especially relevant in Chinese medical education, where teacher–student relationships are shaped by clear status asymmetries, strong expectations, and teachers’ dual role as academic evaluators and professional exemplars.</w:t>
      </w:r>
    </w:p>
    <w:p w14:paraId="01D1F1AA" w14:textId="77777777" w:rsidR="00C90D78" w:rsidRPr="00651BA4" w:rsidRDefault="00306274" w:rsidP="00407D89">
      <w:pPr>
        <w:jc w:val="both"/>
        <w:rPr>
          <w:rFonts w:cs="Times New Roman"/>
          <w:szCs w:val="24"/>
        </w:rPr>
      </w:pPr>
      <w:r w:rsidRPr="00651BA4">
        <w:rPr>
          <w:rFonts w:cs="Times New Roman"/>
          <w:szCs w:val="24"/>
        </w:rPr>
        <w:t>Existing evidence points in different directions across these dimensions. Authoritarian teacher behavior has been linked to poorer student well-being, with emotional exhaustion identified as one pathway through which such effects may unfold (Peng &amp; Huang, 2024). By contrast, recent studies on teacher leadership suggest that relational and motivational resources—such as autonomy support, self-efficacy, teacher–student relationship quality, and professional commitment—can help reduce academic burnout (Fang, 2025; Xie et al., 2025). What remains unclear is whether these contrasting dynamics can be observed within a single parental leadership framework among medical students.</w:t>
      </w:r>
    </w:p>
    <w:p w14:paraId="6E30B8BC" w14:textId="77777777" w:rsidR="00C90D78" w:rsidRPr="00651BA4" w:rsidRDefault="00306274" w:rsidP="00407D89">
      <w:pPr>
        <w:jc w:val="both"/>
        <w:rPr>
          <w:rFonts w:cs="Times New Roman"/>
          <w:szCs w:val="24"/>
        </w:rPr>
      </w:pPr>
      <w:r w:rsidRPr="00651BA4">
        <w:rPr>
          <w:rFonts w:cs="Times New Roman"/>
          <w:szCs w:val="24"/>
        </w:rPr>
        <w:t>Accordingly, this study examines whether benevolent, moral, and authoritarian dimensions of teacher parental leadership are differentially associated with medical students’ learning burnout. By testing the three dimensions simultaneously, the study aims to clarify whether parental leadership functions as a protective or risk-laden feature of the learning environment and to sharpen the broader discussion of teacher-related influences on student burnout in medical education.</w:t>
      </w:r>
    </w:p>
    <w:p w14:paraId="5E2BE40E" w14:textId="77777777" w:rsidR="00C90D78" w:rsidRPr="00651BA4" w:rsidRDefault="00306274" w:rsidP="00407D89">
      <w:pPr>
        <w:pStyle w:val="Heading1"/>
        <w:numPr>
          <w:ilvl w:val="0"/>
          <w:numId w:val="10"/>
        </w:numPr>
        <w:jc w:val="both"/>
        <w:rPr>
          <w:rFonts w:ascii="Times New Roman" w:hAnsi="Times New Roman" w:cs="Times New Roman"/>
          <w:color w:val="auto"/>
          <w:sz w:val="24"/>
          <w:szCs w:val="24"/>
        </w:rPr>
      </w:pPr>
      <w:r w:rsidRPr="00651BA4">
        <w:rPr>
          <w:rFonts w:ascii="Times New Roman" w:hAnsi="Times New Roman" w:cs="Times New Roman"/>
          <w:color w:val="auto"/>
          <w:sz w:val="24"/>
          <w:szCs w:val="24"/>
        </w:rPr>
        <w:t>Methodology</w:t>
      </w:r>
    </w:p>
    <w:p w14:paraId="54D8E33F" w14:textId="77777777" w:rsidR="00C90D78" w:rsidRPr="00651BA4" w:rsidRDefault="00306274" w:rsidP="00407D89">
      <w:pPr>
        <w:jc w:val="both"/>
        <w:rPr>
          <w:rFonts w:cs="Times New Roman"/>
          <w:szCs w:val="24"/>
        </w:rPr>
      </w:pPr>
      <w:r w:rsidRPr="00651BA4">
        <w:rPr>
          <w:rFonts w:cs="Times New Roman"/>
          <w:szCs w:val="24"/>
        </w:rPr>
        <w:t>This study employed a cross-sectional, questionnaire-based design to examine the relationship between teacher parental leadership and medical students’ learning burnout. A survey design was appropriate because both constructs concern students’ perceptions and learning experiences and are typically assessed through self-report instruments in educational research.</w:t>
      </w:r>
    </w:p>
    <w:p w14:paraId="1F92D2E3" w14:textId="77777777" w:rsidR="00C90D78" w:rsidRPr="00651BA4" w:rsidRDefault="00651BA4" w:rsidP="00407D89">
      <w:pPr>
        <w:pStyle w:val="Heading2"/>
        <w:jc w:val="both"/>
        <w:rPr>
          <w:rFonts w:ascii="Times New Roman" w:hAnsi="Times New Roman" w:cs="Times New Roman"/>
          <w:color w:val="auto"/>
          <w:szCs w:val="24"/>
        </w:rPr>
      </w:pPr>
      <w:r w:rsidRPr="00651BA4">
        <w:rPr>
          <w:rFonts w:ascii="Times New Roman" w:eastAsia="SimSun" w:hAnsi="Times New Roman" w:cs="Times New Roman" w:hint="eastAsia"/>
          <w:color w:val="auto"/>
          <w:szCs w:val="24"/>
          <w:lang w:eastAsia="zh-CN"/>
        </w:rPr>
        <w:lastRenderedPageBreak/>
        <w:t xml:space="preserve">2.1 </w:t>
      </w:r>
      <w:r w:rsidR="00306274" w:rsidRPr="00651BA4">
        <w:rPr>
          <w:rFonts w:ascii="Times New Roman" w:hAnsi="Times New Roman" w:cs="Times New Roman"/>
          <w:color w:val="auto"/>
          <w:szCs w:val="24"/>
        </w:rPr>
        <w:t>Participants and setting</w:t>
      </w:r>
    </w:p>
    <w:p w14:paraId="5EB110A0" w14:textId="77777777" w:rsidR="00C90D78" w:rsidRPr="00651BA4" w:rsidRDefault="00306274" w:rsidP="00407D89">
      <w:pPr>
        <w:jc w:val="both"/>
        <w:rPr>
          <w:rFonts w:cs="Times New Roman"/>
          <w:szCs w:val="24"/>
        </w:rPr>
      </w:pPr>
      <w:r w:rsidRPr="00651BA4">
        <w:rPr>
          <w:rFonts w:cs="Times New Roman"/>
          <w:szCs w:val="24"/>
        </w:rPr>
        <w:t>Participants were full-time undergraduate medical students in mainland China. Medical education in China is commonly characterized by dense curricula, frequent assessments, and sustained performance pressure, all of which may increase students’ vulnerability to burnout. This context makes medical students an appropriate population for examining how teacher-related leadership patterns are associated with learning burnout.</w:t>
      </w:r>
    </w:p>
    <w:p w14:paraId="49D7B2E0" w14:textId="77777777" w:rsidR="00C90D78" w:rsidRPr="00651BA4" w:rsidRDefault="00651BA4" w:rsidP="00407D89">
      <w:pPr>
        <w:pStyle w:val="Heading2"/>
        <w:jc w:val="both"/>
        <w:rPr>
          <w:rFonts w:ascii="Times New Roman" w:hAnsi="Times New Roman" w:cs="Times New Roman"/>
          <w:color w:val="auto"/>
          <w:szCs w:val="24"/>
        </w:rPr>
      </w:pPr>
      <w:r w:rsidRPr="00651BA4">
        <w:rPr>
          <w:rFonts w:ascii="Times New Roman" w:eastAsia="SimSun" w:hAnsi="Times New Roman" w:cs="Times New Roman" w:hint="eastAsia"/>
          <w:color w:val="auto"/>
          <w:szCs w:val="24"/>
          <w:lang w:eastAsia="zh-CN"/>
        </w:rPr>
        <w:t xml:space="preserve">2.2 </w:t>
      </w:r>
      <w:r w:rsidR="00306274" w:rsidRPr="00651BA4">
        <w:rPr>
          <w:rFonts w:ascii="Times New Roman" w:hAnsi="Times New Roman" w:cs="Times New Roman"/>
          <w:color w:val="auto"/>
          <w:szCs w:val="24"/>
        </w:rPr>
        <w:t>Sampling</w:t>
      </w:r>
    </w:p>
    <w:p w14:paraId="72F612AA" w14:textId="77777777" w:rsidR="00C90D78" w:rsidRPr="00651BA4" w:rsidRDefault="00306274" w:rsidP="00407D89">
      <w:pPr>
        <w:jc w:val="both"/>
        <w:rPr>
          <w:rFonts w:cs="Times New Roman"/>
          <w:szCs w:val="24"/>
        </w:rPr>
      </w:pPr>
      <w:r w:rsidRPr="00651BA4">
        <w:rPr>
          <w:rFonts w:cs="Times New Roman"/>
          <w:szCs w:val="24"/>
        </w:rPr>
        <w:t>A cluster-based convenience sampling strategy was used. Two intact classes were recruited from each of three universities. This approach enabled the study to reach students in naturally occurring teaching groups while maintaining feasibility across institutions.</w:t>
      </w:r>
    </w:p>
    <w:p w14:paraId="6536F50C" w14:textId="77777777" w:rsidR="00C90D78" w:rsidRPr="00651BA4" w:rsidRDefault="00651BA4" w:rsidP="00407D89">
      <w:pPr>
        <w:pStyle w:val="Heading2"/>
        <w:jc w:val="both"/>
        <w:rPr>
          <w:rFonts w:ascii="Times New Roman" w:hAnsi="Times New Roman" w:cs="Times New Roman"/>
          <w:color w:val="auto"/>
          <w:szCs w:val="24"/>
        </w:rPr>
      </w:pPr>
      <w:r w:rsidRPr="00651BA4">
        <w:rPr>
          <w:rFonts w:ascii="Times New Roman" w:eastAsia="SimSun" w:hAnsi="Times New Roman" w:cs="Times New Roman" w:hint="eastAsia"/>
          <w:color w:val="auto"/>
          <w:szCs w:val="24"/>
          <w:lang w:eastAsia="zh-CN"/>
        </w:rPr>
        <w:t xml:space="preserve">2.3 </w:t>
      </w:r>
      <w:r w:rsidR="00306274" w:rsidRPr="00651BA4">
        <w:rPr>
          <w:rFonts w:ascii="Times New Roman" w:hAnsi="Times New Roman" w:cs="Times New Roman"/>
          <w:color w:val="auto"/>
          <w:szCs w:val="24"/>
        </w:rPr>
        <w:t>Procedure and data collection</w:t>
      </w:r>
    </w:p>
    <w:p w14:paraId="0863BFC7" w14:textId="77777777" w:rsidR="00C90D78" w:rsidRPr="00651BA4" w:rsidRDefault="00306274" w:rsidP="00407D89">
      <w:pPr>
        <w:jc w:val="both"/>
        <w:rPr>
          <w:rFonts w:cs="Times New Roman"/>
          <w:szCs w:val="24"/>
        </w:rPr>
      </w:pPr>
      <w:r w:rsidRPr="00651BA4">
        <w:rPr>
          <w:rFonts w:cs="Times New Roman"/>
          <w:szCs w:val="24"/>
        </w:rPr>
        <w:t>Data were collected using an anonymous online questionnaire. Participation was voluntary, and no personally identifying information was collected. Before completing the survey, students were informed of the purpose of the study, the voluntary nature of participation, and the confidential handling of their responses. The questionnaire required approximately 10 minutes to complete.</w:t>
      </w:r>
    </w:p>
    <w:p w14:paraId="75C0F6C7" w14:textId="77777777" w:rsidR="00C90D78" w:rsidRPr="00651BA4" w:rsidRDefault="00651BA4" w:rsidP="00407D89">
      <w:pPr>
        <w:pStyle w:val="Heading2"/>
        <w:jc w:val="both"/>
        <w:rPr>
          <w:rFonts w:ascii="Times New Roman" w:hAnsi="Times New Roman" w:cs="Times New Roman"/>
          <w:color w:val="auto"/>
          <w:szCs w:val="24"/>
        </w:rPr>
      </w:pPr>
      <w:r w:rsidRPr="00651BA4">
        <w:rPr>
          <w:rFonts w:ascii="Times New Roman" w:eastAsia="SimSun" w:hAnsi="Times New Roman" w:cs="Times New Roman" w:hint="eastAsia"/>
          <w:color w:val="auto"/>
          <w:szCs w:val="24"/>
          <w:lang w:eastAsia="zh-CN"/>
        </w:rPr>
        <w:t xml:space="preserve">2.4 </w:t>
      </w:r>
      <w:r w:rsidR="00306274" w:rsidRPr="00651BA4">
        <w:rPr>
          <w:rFonts w:ascii="Times New Roman" w:hAnsi="Times New Roman" w:cs="Times New Roman"/>
          <w:color w:val="auto"/>
          <w:szCs w:val="24"/>
        </w:rPr>
        <w:t>Measures</w:t>
      </w:r>
    </w:p>
    <w:p w14:paraId="06C8270F" w14:textId="77777777" w:rsidR="00C90D78" w:rsidRPr="00651BA4" w:rsidRDefault="00306274" w:rsidP="00407D89">
      <w:pPr>
        <w:jc w:val="both"/>
        <w:rPr>
          <w:rFonts w:cs="Times New Roman"/>
          <w:szCs w:val="24"/>
        </w:rPr>
      </w:pPr>
      <w:r w:rsidRPr="00651BA4">
        <w:rPr>
          <w:rFonts w:cs="Times New Roman"/>
          <w:szCs w:val="24"/>
        </w:rPr>
        <w:t>All study variables were measured using a self-administered questionnaire in Chinese. Items were rated on a five-point Likert scale ranging from 1 (strongly disagree) to 5 (strongly agree). Participants were instructed to respond on the basis of their actual learning experiences and their perceptions of the teacher who most frequently taught or supervised them in the current st</w:t>
      </w:r>
      <w:r w:rsidR="006E5A6C" w:rsidRPr="00651BA4">
        <w:rPr>
          <w:rFonts w:eastAsia="SimSun" w:cs="Times New Roman"/>
          <w:szCs w:val="24"/>
          <w:lang w:eastAsia="zh-CN"/>
        </w:rPr>
        <w:t>age</w:t>
      </w:r>
      <w:r w:rsidRPr="00651BA4">
        <w:rPr>
          <w:rFonts w:cs="Times New Roman"/>
          <w:szCs w:val="24"/>
        </w:rPr>
        <w:t xml:space="preserve"> of study. Higher scores indicated higher levels of the corresponding construct after applying the required scoring procedures.</w:t>
      </w:r>
    </w:p>
    <w:p w14:paraId="478F1A2E" w14:textId="77777777" w:rsidR="00C90D78" w:rsidRPr="00651BA4" w:rsidRDefault="00306274" w:rsidP="00407D89">
      <w:pPr>
        <w:pStyle w:val="Heading3"/>
        <w:jc w:val="both"/>
        <w:rPr>
          <w:rFonts w:ascii="Times New Roman" w:hAnsi="Times New Roman" w:cs="Times New Roman"/>
          <w:color w:val="auto"/>
          <w:szCs w:val="24"/>
        </w:rPr>
      </w:pPr>
      <w:r w:rsidRPr="00651BA4">
        <w:rPr>
          <w:rFonts w:ascii="Times New Roman" w:hAnsi="Times New Roman" w:cs="Times New Roman"/>
          <w:color w:val="auto"/>
          <w:szCs w:val="24"/>
        </w:rPr>
        <w:t xml:space="preserve">Teacher parental leadership </w:t>
      </w:r>
    </w:p>
    <w:p w14:paraId="57EC253C" w14:textId="77777777" w:rsidR="00C90D78" w:rsidRPr="00651BA4" w:rsidRDefault="00306274" w:rsidP="00407D89">
      <w:pPr>
        <w:jc w:val="both"/>
        <w:rPr>
          <w:rFonts w:cs="Times New Roman"/>
          <w:szCs w:val="24"/>
        </w:rPr>
      </w:pPr>
      <w:r w:rsidRPr="00651BA4">
        <w:rPr>
          <w:rFonts w:cs="Times New Roman"/>
          <w:szCs w:val="24"/>
        </w:rPr>
        <w:t>Teacher parental leadership was measured as a multidimensional construct comprising authoritarian leadership, benevolent leadership, and moral leadership, in line with the paternalistic leadership framework developed by Cheng et al. (2004). In the educational context, the construct captures the extent to which students perceive teachers as combining authority and discipline with individualized care and moral example.</w:t>
      </w:r>
    </w:p>
    <w:p w14:paraId="195D566D" w14:textId="77777777" w:rsidR="00C90D78" w:rsidRPr="00651BA4" w:rsidRDefault="00306274" w:rsidP="00407D89">
      <w:pPr>
        <w:jc w:val="both"/>
        <w:rPr>
          <w:rFonts w:cs="Times New Roman"/>
          <w:szCs w:val="24"/>
        </w:rPr>
      </w:pPr>
      <w:r w:rsidRPr="00651BA4">
        <w:rPr>
          <w:rFonts w:cs="Times New Roman"/>
          <w:szCs w:val="24"/>
        </w:rPr>
        <w:t>The scale items were adapted from the paternalistic leadership measure validated by Cheng et al. (2004). To ensure conceptual relevance to the present study, references to supervisors or organizational leaders were replaced with teacher-appropriate referents such as “teacher” or “instructor.” Students were asked to rate the teacher who most frequently taught or supervised them during the current semester. This referent-based approach was intended to anchor responses in sustained interaction rather than in diffuse impressions of teachers in general.</w:t>
      </w:r>
    </w:p>
    <w:p w14:paraId="2CC94F18" w14:textId="77777777" w:rsidR="00C90D78" w:rsidRPr="00651BA4" w:rsidRDefault="00306274" w:rsidP="00407D89">
      <w:pPr>
        <w:jc w:val="both"/>
        <w:rPr>
          <w:rFonts w:cs="Times New Roman"/>
          <w:szCs w:val="24"/>
        </w:rPr>
      </w:pPr>
      <w:r w:rsidRPr="00651BA4">
        <w:rPr>
          <w:rFonts w:cs="Times New Roman"/>
          <w:szCs w:val="24"/>
        </w:rPr>
        <w:t xml:space="preserve">Authoritarian leadership reflects the extent to which a teacher emphasizes control, strict discipline, and obedience to authority. Benevolent leadership refers to individualized care and </w:t>
      </w:r>
      <w:r w:rsidRPr="00651BA4">
        <w:rPr>
          <w:rFonts w:cs="Times New Roman"/>
          <w:szCs w:val="24"/>
        </w:rPr>
        <w:lastRenderedPageBreak/>
        <w:t>concern for students’ academic development and well-being. Moral leadership captures teachers’ fairness, integrity, self-discipline, and role-modeling function. Scores for each dimension were computed by averaging the corresponding items.</w:t>
      </w:r>
    </w:p>
    <w:p w14:paraId="41EC07BD" w14:textId="77777777" w:rsidR="00C90D78" w:rsidRPr="00651BA4" w:rsidRDefault="00306274" w:rsidP="00407D89">
      <w:pPr>
        <w:pStyle w:val="Heading3"/>
        <w:jc w:val="both"/>
        <w:rPr>
          <w:rFonts w:ascii="Times New Roman" w:hAnsi="Times New Roman" w:cs="Times New Roman"/>
          <w:color w:val="auto"/>
          <w:szCs w:val="24"/>
        </w:rPr>
      </w:pPr>
      <w:r w:rsidRPr="00651BA4">
        <w:rPr>
          <w:rFonts w:ascii="Times New Roman" w:hAnsi="Times New Roman" w:cs="Times New Roman"/>
          <w:color w:val="auto"/>
          <w:szCs w:val="24"/>
        </w:rPr>
        <w:t>Learning burnout</w:t>
      </w:r>
    </w:p>
    <w:p w14:paraId="16F1A418" w14:textId="77777777" w:rsidR="00C90D78" w:rsidRPr="00651BA4" w:rsidRDefault="00306274" w:rsidP="00407D89">
      <w:pPr>
        <w:jc w:val="both"/>
        <w:rPr>
          <w:rFonts w:cs="Times New Roman"/>
          <w:szCs w:val="24"/>
        </w:rPr>
      </w:pPr>
      <w:r w:rsidRPr="00651BA4">
        <w:rPr>
          <w:rFonts w:cs="Times New Roman"/>
          <w:szCs w:val="24"/>
        </w:rPr>
        <w:t>Learning burnout was conceptualized as a study-related psychological syndrome characterized by exhaustion, cynicism, and reduced academic efficacy, consistent with established student burnout research (Schaufeli et al., 2002). This three-dimensional framework is widely used in higher education research and has shown acceptable factorial validity in Chinese student samples (Hu &amp; Schaufeli, 2009).</w:t>
      </w:r>
    </w:p>
    <w:p w14:paraId="4F30FCAB" w14:textId="77777777" w:rsidR="00C90D78" w:rsidRPr="00651BA4" w:rsidRDefault="00306274" w:rsidP="00407D89">
      <w:pPr>
        <w:jc w:val="both"/>
        <w:rPr>
          <w:rFonts w:cs="Times New Roman"/>
          <w:szCs w:val="24"/>
        </w:rPr>
      </w:pPr>
      <w:r w:rsidRPr="00651BA4">
        <w:rPr>
          <w:rFonts w:cs="Times New Roman"/>
          <w:szCs w:val="24"/>
        </w:rPr>
        <w:t>In this study, learning burnout was assessed through students’ self-reported experiences across the three core dimensions. Exhaustion refers to emotional depletion caused by prolonged study demands. Cynicism reflects a detached or negative attitude toward learning. Reduced academic efficacy captures students’ declining confidence in their ability to meet academic demands successfully. Consistent with standard scoring procedures, items reflecting efficacy were reverse-coded where appropriate so that higher values consistently indicated higher levels of burnout.</w:t>
      </w:r>
    </w:p>
    <w:p w14:paraId="2559FEB2" w14:textId="77777777" w:rsidR="00C90D78" w:rsidRPr="00580EB0" w:rsidRDefault="00580EB0" w:rsidP="00407D89">
      <w:pPr>
        <w:pStyle w:val="Heading2"/>
        <w:jc w:val="both"/>
        <w:rPr>
          <w:rFonts w:ascii="Times New Roman" w:hAnsi="Times New Roman" w:cs="Times New Roman"/>
          <w:color w:val="auto"/>
          <w:szCs w:val="24"/>
        </w:rPr>
      </w:pPr>
      <w:r w:rsidRPr="00580EB0">
        <w:rPr>
          <w:rFonts w:ascii="Times New Roman" w:eastAsia="SimSun" w:hAnsi="Times New Roman" w:cs="Times New Roman" w:hint="eastAsia"/>
          <w:color w:val="auto"/>
          <w:szCs w:val="24"/>
          <w:lang w:eastAsia="zh-CN"/>
        </w:rPr>
        <w:t xml:space="preserve">2.5 </w:t>
      </w:r>
      <w:r w:rsidR="00306274" w:rsidRPr="00580EB0">
        <w:rPr>
          <w:rFonts w:ascii="Times New Roman" w:hAnsi="Times New Roman" w:cs="Times New Roman"/>
          <w:color w:val="auto"/>
          <w:szCs w:val="24"/>
        </w:rPr>
        <w:t>Data analysis</w:t>
      </w:r>
    </w:p>
    <w:p w14:paraId="088CAC96" w14:textId="77777777" w:rsidR="00C90D78" w:rsidRPr="00651BA4" w:rsidRDefault="00306274" w:rsidP="00407D89">
      <w:pPr>
        <w:jc w:val="both"/>
        <w:rPr>
          <w:rFonts w:cs="Times New Roman"/>
          <w:szCs w:val="24"/>
        </w:rPr>
      </w:pPr>
      <w:r w:rsidRPr="00651BA4">
        <w:rPr>
          <w:rFonts w:cs="Times New Roman"/>
          <w:szCs w:val="24"/>
        </w:rPr>
        <w:t>Data were analyzed using descriptive statistics, reliability analysis, Pearson correlation analysis, and multiple regression analysis. Cronbach’s alpha coefficients were computed to evaluate internal consistency. Pearson correlations were used to examine bivariate relationships among the study variables. Multiple regression analyses were then conducted to test the unique effects of benevolent, moral, and authoritarian leadership on burnout after controlling for gender and academic year. Collinearity diagnostics and a Harman single-factor test were used as basic diagnostic checks before the regression analyses.</w:t>
      </w:r>
    </w:p>
    <w:p w14:paraId="17C5B9A1" w14:textId="77777777" w:rsidR="00C90D78" w:rsidRPr="00580EB0" w:rsidRDefault="00306274" w:rsidP="00407D89">
      <w:pPr>
        <w:pStyle w:val="Heading1"/>
        <w:numPr>
          <w:ilvl w:val="0"/>
          <w:numId w:val="10"/>
        </w:numPr>
        <w:jc w:val="both"/>
        <w:rPr>
          <w:rFonts w:ascii="Times New Roman" w:hAnsi="Times New Roman" w:cs="Times New Roman"/>
          <w:color w:val="auto"/>
          <w:sz w:val="24"/>
          <w:szCs w:val="24"/>
        </w:rPr>
      </w:pPr>
      <w:r w:rsidRPr="00580EB0">
        <w:rPr>
          <w:rFonts w:ascii="Times New Roman" w:hAnsi="Times New Roman" w:cs="Times New Roman"/>
          <w:color w:val="auto"/>
          <w:sz w:val="24"/>
          <w:szCs w:val="24"/>
        </w:rPr>
        <w:t>Results</w:t>
      </w:r>
    </w:p>
    <w:p w14:paraId="176F25BD" w14:textId="77777777" w:rsidR="00C90D78" w:rsidRPr="00580EB0" w:rsidRDefault="00306274" w:rsidP="00407D89">
      <w:pPr>
        <w:pStyle w:val="Heading2"/>
        <w:numPr>
          <w:ilvl w:val="1"/>
          <w:numId w:val="10"/>
        </w:numPr>
        <w:jc w:val="both"/>
        <w:rPr>
          <w:rFonts w:ascii="Times New Roman" w:hAnsi="Times New Roman" w:cs="Times New Roman"/>
          <w:color w:val="auto"/>
          <w:szCs w:val="24"/>
        </w:rPr>
      </w:pPr>
      <w:r w:rsidRPr="00580EB0">
        <w:rPr>
          <w:rFonts w:ascii="Times New Roman" w:hAnsi="Times New Roman" w:cs="Times New Roman"/>
          <w:color w:val="auto"/>
          <w:szCs w:val="24"/>
        </w:rPr>
        <w:t>Preliminary analyses</w:t>
      </w:r>
    </w:p>
    <w:p w14:paraId="1E078BBE" w14:textId="77777777" w:rsidR="00C90D78" w:rsidRPr="00651BA4" w:rsidRDefault="00306274" w:rsidP="00407D89">
      <w:pPr>
        <w:jc w:val="both"/>
        <w:rPr>
          <w:rFonts w:cs="Times New Roman"/>
          <w:szCs w:val="24"/>
        </w:rPr>
      </w:pPr>
      <w:r w:rsidRPr="00651BA4">
        <w:rPr>
          <w:rFonts w:cs="Times New Roman"/>
          <w:szCs w:val="24"/>
        </w:rPr>
        <w:t>Internal consistency was first examined for each subscale. The three dimensions of teacher parental leadership showed strong reliability, with Cronbach’s alpha coefficients of .90 for benevolent leadership, .91 for moral leadership, and .90 for authoritarian leadership. The three burnout dimensions also demonstrated satisfactory reliability, with alpha values of .88 for exhaustion, .91 for cynicism, and .90 for reduced academic efficacy. The overall burnout scale showed good internal consistency (α = .90).</w:t>
      </w:r>
    </w:p>
    <w:p w14:paraId="2288C7D3" w14:textId="77777777" w:rsidR="00C90D78" w:rsidRPr="00651BA4" w:rsidRDefault="00306274" w:rsidP="00407D89">
      <w:pPr>
        <w:jc w:val="both"/>
        <w:rPr>
          <w:rFonts w:cs="Times New Roman"/>
          <w:szCs w:val="24"/>
        </w:rPr>
      </w:pPr>
      <w:r w:rsidRPr="00651BA4">
        <w:rPr>
          <w:rFonts w:cs="Times New Roman"/>
          <w:szCs w:val="24"/>
        </w:rPr>
        <w:t>Descriptive statistics indicated that participants reported relatively high levels of benevolent leadership (M = 3.31, SD = 0.87) and moral leadership (M = 3.42, SD = 0.89), whereas authoritarian leadership was rated lower (M = 2.47, SD = 0.89). Burnout scores fell in the moderate range: exhaustion (M = 2.59, SD = 0.66), cynicism (M = 2.32, SD = 0.80), reduced academic efficacy (M = 2.35, SD = 0.76), and overall burnout (M = 2.41, SD = 0.54).</w:t>
      </w:r>
    </w:p>
    <w:p w14:paraId="7466AE49" w14:textId="77777777" w:rsidR="00C90D78" w:rsidRPr="00651BA4" w:rsidRDefault="00306274" w:rsidP="00407D89">
      <w:pPr>
        <w:jc w:val="both"/>
        <w:rPr>
          <w:rFonts w:cs="Times New Roman"/>
          <w:szCs w:val="24"/>
        </w:rPr>
      </w:pPr>
      <w:r w:rsidRPr="00651BA4">
        <w:rPr>
          <w:rFonts w:cs="Times New Roman"/>
          <w:szCs w:val="24"/>
        </w:rPr>
        <w:lastRenderedPageBreak/>
        <w:t>Before hypothesis testing, collinearity among predictors was examined. Variance inflation factors ranged from 1.03 to 1.22, indicating no evidence of problematic multicollinearity. A Harman single-factor test was also conducted as a preliminary diagnostic for common method variance. The first unrotated factor accounted for 30.47% of the total variance, suggesting that common method variance was unlikely to be the dominant explanation for the observed associations, although this test alone cannot fully rule it out.</w:t>
      </w:r>
    </w:p>
    <w:p w14:paraId="22390F0C" w14:textId="77777777" w:rsidR="00C90D78" w:rsidRPr="00651BA4" w:rsidRDefault="00306274" w:rsidP="00407D89">
      <w:pPr>
        <w:jc w:val="both"/>
        <w:rPr>
          <w:rFonts w:cs="Times New Roman"/>
          <w:szCs w:val="24"/>
        </w:rPr>
      </w:pPr>
      <w:r w:rsidRPr="00651BA4">
        <w:rPr>
          <w:rFonts w:cs="Times New Roman"/>
          <w:szCs w:val="24"/>
        </w:rPr>
        <w:t>Table 1. Means, standard deviations, and reliability estimates</w:t>
      </w:r>
    </w:p>
    <w:tbl>
      <w:tblPr>
        <w:tblStyle w:val="TableGrid"/>
        <w:tblW w:w="5000" w:type="pct"/>
        <w:jc w:val="center"/>
        <w:tblLook w:val="04A0" w:firstRow="1" w:lastRow="0" w:firstColumn="1" w:lastColumn="0" w:noHBand="0" w:noVBand="1"/>
      </w:tblPr>
      <w:tblGrid>
        <w:gridCol w:w="3321"/>
        <w:gridCol w:w="2095"/>
        <w:gridCol w:w="2095"/>
        <w:gridCol w:w="2065"/>
      </w:tblGrid>
      <w:tr w:rsidR="00651BA4" w:rsidRPr="00651BA4" w14:paraId="7B4B6380" w14:textId="77777777" w:rsidTr="004B5B36">
        <w:trPr>
          <w:jc w:val="center"/>
        </w:trPr>
        <w:tc>
          <w:tcPr>
            <w:tcW w:w="1734" w:type="pct"/>
            <w:vAlign w:val="center"/>
          </w:tcPr>
          <w:p w14:paraId="020301D3" w14:textId="77777777" w:rsidR="004A4C1C" w:rsidRPr="00651BA4" w:rsidRDefault="004A4C1C" w:rsidP="00407D89">
            <w:pPr>
              <w:jc w:val="both"/>
              <w:rPr>
                <w:rFonts w:cs="Times New Roman"/>
                <w:szCs w:val="24"/>
              </w:rPr>
            </w:pPr>
            <w:r w:rsidRPr="00651BA4">
              <w:rPr>
                <w:rFonts w:cs="Times New Roman"/>
                <w:szCs w:val="24"/>
              </w:rPr>
              <w:t>Variable</w:t>
            </w:r>
          </w:p>
        </w:tc>
        <w:tc>
          <w:tcPr>
            <w:tcW w:w="1094" w:type="pct"/>
            <w:vAlign w:val="center"/>
          </w:tcPr>
          <w:p w14:paraId="4869B38C" w14:textId="77777777" w:rsidR="004A4C1C" w:rsidRPr="00651BA4" w:rsidRDefault="004A4C1C" w:rsidP="00407D89">
            <w:pPr>
              <w:jc w:val="both"/>
              <w:rPr>
                <w:rFonts w:cs="Times New Roman"/>
                <w:szCs w:val="24"/>
              </w:rPr>
            </w:pPr>
            <w:r w:rsidRPr="00651BA4">
              <w:rPr>
                <w:rFonts w:cs="Times New Roman"/>
                <w:szCs w:val="24"/>
              </w:rPr>
              <w:t>M</w:t>
            </w:r>
          </w:p>
        </w:tc>
        <w:tc>
          <w:tcPr>
            <w:tcW w:w="1094" w:type="pct"/>
            <w:vAlign w:val="center"/>
          </w:tcPr>
          <w:p w14:paraId="1A19EF09" w14:textId="77777777" w:rsidR="004A4C1C" w:rsidRPr="00651BA4" w:rsidRDefault="004A4C1C" w:rsidP="00407D89">
            <w:pPr>
              <w:jc w:val="both"/>
              <w:rPr>
                <w:rFonts w:cs="Times New Roman"/>
                <w:szCs w:val="24"/>
              </w:rPr>
            </w:pPr>
            <w:r w:rsidRPr="00651BA4">
              <w:rPr>
                <w:rFonts w:cs="Times New Roman"/>
                <w:szCs w:val="24"/>
              </w:rPr>
              <w:t>SD</w:t>
            </w:r>
          </w:p>
        </w:tc>
        <w:tc>
          <w:tcPr>
            <w:tcW w:w="1078" w:type="pct"/>
            <w:vAlign w:val="center"/>
          </w:tcPr>
          <w:p w14:paraId="6FF3E955" w14:textId="77777777" w:rsidR="004A4C1C" w:rsidRPr="00651BA4" w:rsidRDefault="004A4C1C" w:rsidP="00407D89">
            <w:pPr>
              <w:jc w:val="both"/>
              <w:rPr>
                <w:rFonts w:cs="Times New Roman"/>
                <w:szCs w:val="24"/>
              </w:rPr>
            </w:pPr>
            <w:r w:rsidRPr="00651BA4">
              <w:rPr>
                <w:rFonts w:cs="Times New Roman"/>
                <w:szCs w:val="24"/>
              </w:rPr>
              <w:t>α</w:t>
            </w:r>
          </w:p>
        </w:tc>
      </w:tr>
      <w:tr w:rsidR="00651BA4" w:rsidRPr="00651BA4" w14:paraId="4D98249C" w14:textId="77777777" w:rsidTr="004B5B36">
        <w:trPr>
          <w:jc w:val="center"/>
        </w:trPr>
        <w:tc>
          <w:tcPr>
            <w:tcW w:w="1734" w:type="pct"/>
            <w:vAlign w:val="center"/>
          </w:tcPr>
          <w:p w14:paraId="16352EFF" w14:textId="77777777" w:rsidR="004A4C1C" w:rsidRPr="00651BA4" w:rsidRDefault="004A4C1C" w:rsidP="00407D89">
            <w:pPr>
              <w:jc w:val="both"/>
              <w:rPr>
                <w:rFonts w:cs="Times New Roman"/>
                <w:szCs w:val="24"/>
              </w:rPr>
            </w:pPr>
            <w:r w:rsidRPr="00651BA4">
              <w:rPr>
                <w:rFonts w:cs="Times New Roman"/>
                <w:szCs w:val="24"/>
              </w:rPr>
              <w:t>1. Benevolent leadership</w:t>
            </w:r>
          </w:p>
        </w:tc>
        <w:tc>
          <w:tcPr>
            <w:tcW w:w="1094" w:type="pct"/>
            <w:vAlign w:val="center"/>
          </w:tcPr>
          <w:p w14:paraId="1158AC1B" w14:textId="77777777" w:rsidR="004A4C1C" w:rsidRPr="00651BA4" w:rsidRDefault="004A4C1C" w:rsidP="00407D89">
            <w:pPr>
              <w:jc w:val="both"/>
              <w:rPr>
                <w:rFonts w:cs="Times New Roman"/>
                <w:szCs w:val="24"/>
              </w:rPr>
            </w:pPr>
            <w:r w:rsidRPr="00651BA4">
              <w:rPr>
                <w:rFonts w:cs="Times New Roman"/>
                <w:szCs w:val="24"/>
              </w:rPr>
              <w:t>3.31</w:t>
            </w:r>
          </w:p>
        </w:tc>
        <w:tc>
          <w:tcPr>
            <w:tcW w:w="1094" w:type="pct"/>
            <w:vAlign w:val="center"/>
          </w:tcPr>
          <w:p w14:paraId="11CF3585" w14:textId="77777777" w:rsidR="004A4C1C" w:rsidRPr="00651BA4" w:rsidRDefault="004A4C1C" w:rsidP="00407D89">
            <w:pPr>
              <w:jc w:val="both"/>
              <w:rPr>
                <w:rFonts w:cs="Times New Roman"/>
                <w:szCs w:val="24"/>
              </w:rPr>
            </w:pPr>
            <w:r w:rsidRPr="00651BA4">
              <w:rPr>
                <w:rFonts w:cs="Times New Roman"/>
                <w:szCs w:val="24"/>
              </w:rPr>
              <w:t>0.87</w:t>
            </w:r>
          </w:p>
        </w:tc>
        <w:tc>
          <w:tcPr>
            <w:tcW w:w="1078" w:type="pct"/>
            <w:vAlign w:val="center"/>
          </w:tcPr>
          <w:p w14:paraId="5544DB26" w14:textId="77777777" w:rsidR="004A4C1C" w:rsidRPr="00651BA4" w:rsidRDefault="004A4C1C" w:rsidP="00407D89">
            <w:pPr>
              <w:jc w:val="both"/>
              <w:rPr>
                <w:rFonts w:cs="Times New Roman"/>
                <w:szCs w:val="24"/>
              </w:rPr>
            </w:pPr>
            <w:r w:rsidRPr="00651BA4">
              <w:rPr>
                <w:rFonts w:cs="Times New Roman"/>
                <w:szCs w:val="24"/>
              </w:rPr>
              <w:t>.90</w:t>
            </w:r>
          </w:p>
        </w:tc>
      </w:tr>
      <w:tr w:rsidR="00651BA4" w:rsidRPr="00651BA4" w14:paraId="05076E31" w14:textId="77777777" w:rsidTr="004B5B36">
        <w:trPr>
          <w:jc w:val="center"/>
        </w:trPr>
        <w:tc>
          <w:tcPr>
            <w:tcW w:w="1734" w:type="pct"/>
            <w:vAlign w:val="center"/>
          </w:tcPr>
          <w:p w14:paraId="60C14C69" w14:textId="77777777" w:rsidR="004A4C1C" w:rsidRPr="00651BA4" w:rsidRDefault="004A4C1C" w:rsidP="00407D89">
            <w:pPr>
              <w:jc w:val="both"/>
              <w:rPr>
                <w:rFonts w:cs="Times New Roman"/>
                <w:szCs w:val="24"/>
              </w:rPr>
            </w:pPr>
            <w:r w:rsidRPr="00651BA4">
              <w:rPr>
                <w:rFonts w:cs="Times New Roman"/>
                <w:szCs w:val="24"/>
              </w:rPr>
              <w:t>2. Moral leadership</w:t>
            </w:r>
          </w:p>
        </w:tc>
        <w:tc>
          <w:tcPr>
            <w:tcW w:w="1094" w:type="pct"/>
            <w:vAlign w:val="center"/>
          </w:tcPr>
          <w:p w14:paraId="729D4CE1" w14:textId="77777777" w:rsidR="004A4C1C" w:rsidRPr="00651BA4" w:rsidRDefault="004A4C1C" w:rsidP="00407D89">
            <w:pPr>
              <w:jc w:val="both"/>
              <w:rPr>
                <w:rFonts w:cs="Times New Roman"/>
                <w:szCs w:val="24"/>
              </w:rPr>
            </w:pPr>
            <w:r w:rsidRPr="00651BA4">
              <w:rPr>
                <w:rFonts w:cs="Times New Roman"/>
                <w:szCs w:val="24"/>
              </w:rPr>
              <w:t>3.42</w:t>
            </w:r>
          </w:p>
        </w:tc>
        <w:tc>
          <w:tcPr>
            <w:tcW w:w="1094" w:type="pct"/>
            <w:vAlign w:val="center"/>
          </w:tcPr>
          <w:p w14:paraId="179B53CB" w14:textId="77777777" w:rsidR="004A4C1C" w:rsidRPr="00651BA4" w:rsidRDefault="004A4C1C" w:rsidP="00407D89">
            <w:pPr>
              <w:jc w:val="both"/>
              <w:rPr>
                <w:rFonts w:cs="Times New Roman"/>
                <w:szCs w:val="24"/>
              </w:rPr>
            </w:pPr>
            <w:r w:rsidRPr="00651BA4">
              <w:rPr>
                <w:rFonts w:cs="Times New Roman"/>
                <w:szCs w:val="24"/>
              </w:rPr>
              <w:t>0.89</w:t>
            </w:r>
          </w:p>
        </w:tc>
        <w:tc>
          <w:tcPr>
            <w:tcW w:w="1078" w:type="pct"/>
            <w:vAlign w:val="center"/>
          </w:tcPr>
          <w:p w14:paraId="3CEA568F" w14:textId="77777777" w:rsidR="004A4C1C" w:rsidRPr="00651BA4" w:rsidRDefault="004A4C1C" w:rsidP="00407D89">
            <w:pPr>
              <w:jc w:val="both"/>
              <w:rPr>
                <w:rFonts w:cs="Times New Roman"/>
                <w:szCs w:val="24"/>
              </w:rPr>
            </w:pPr>
            <w:r w:rsidRPr="00651BA4">
              <w:rPr>
                <w:rFonts w:cs="Times New Roman"/>
                <w:szCs w:val="24"/>
              </w:rPr>
              <w:t>.91</w:t>
            </w:r>
          </w:p>
        </w:tc>
      </w:tr>
      <w:tr w:rsidR="00651BA4" w:rsidRPr="00651BA4" w14:paraId="2F0AD57C" w14:textId="77777777" w:rsidTr="004B5B36">
        <w:trPr>
          <w:jc w:val="center"/>
        </w:trPr>
        <w:tc>
          <w:tcPr>
            <w:tcW w:w="1734" w:type="pct"/>
            <w:vAlign w:val="center"/>
          </w:tcPr>
          <w:p w14:paraId="091AF0CC" w14:textId="77777777" w:rsidR="004A4C1C" w:rsidRPr="00651BA4" w:rsidRDefault="004A4C1C" w:rsidP="00407D89">
            <w:pPr>
              <w:jc w:val="both"/>
              <w:rPr>
                <w:rFonts w:cs="Times New Roman"/>
                <w:szCs w:val="24"/>
              </w:rPr>
            </w:pPr>
            <w:r w:rsidRPr="00651BA4">
              <w:rPr>
                <w:rFonts w:cs="Times New Roman"/>
                <w:szCs w:val="24"/>
              </w:rPr>
              <w:t>3. Authoritarian leadership</w:t>
            </w:r>
          </w:p>
        </w:tc>
        <w:tc>
          <w:tcPr>
            <w:tcW w:w="1094" w:type="pct"/>
            <w:vAlign w:val="center"/>
          </w:tcPr>
          <w:p w14:paraId="69946EEA" w14:textId="77777777" w:rsidR="004A4C1C" w:rsidRPr="00651BA4" w:rsidRDefault="004A4C1C" w:rsidP="00407D89">
            <w:pPr>
              <w:jc w:val="both"/>
              <w:rPr>
                <w:rFonts w:cs="Times New Roman"/>
                <w:szCs w:val="24"/>
              </w:rPr>
            </w:pPr>
            <w:r w:rsidRPr="00651BA4">
              <w:rPr>
                <w:rFonts w:cs="Times New Roman"/>
                <w:szCs w:val="24"/>
              </w:rPr>
              <w:t>2.47</w:t>
            </w:r>
          </w:p>
        </w:tc>
        <w:tc>
          <w:tcPr>
            <w:tcW w:w="1094" w:type="pct"/>
            <w:vAlign w:val="center"/>
          </w:tcPr>
          <w:p w14:paraId="7E6FF8AC" w14:textId="77777777" w:rsidR="004A4C1C" w:rsidRPr="00651BA4" w:rsidRDefault="004A4C1C" w:rsidP="00407D89">
            <w:pPr>
              <w:jc w:val="both"/>
              <w:rPr>
                <w:rFonts w:cs="Times New Roman"/>
                <w:szCs w:val="24"/>
              </w:rPr>
            </w:pPr>
            <w:r w:rsidRPr="00651BA4">
              <w:rPr>
                <w:rFonts w:cs="Times New Roman"/>
                <w:szCs w:val="24"/>
              </w:rPr>
              <w:t>0.89</w:t>
            </w:r>
          </w:p>
        </w:tc>
        <w:tc>
          <w:tcPr>
            <w:tcW w:w="1078" w:type="pct"/>
            <w:vAlign w:val="center"/>
          </w:tcPr>
          <w:p w14:paraId="28A3CD61" w14:textId="77777777" w:rsidR="004A4C1C" w:rsidRPr="00651BA4" w:rsidRDefault="004A4C1C" w:rsidP="00407D89">
            <w:pPr>
              <w:jc w:val="both"/>
              <w:rPr>
                <w:rFonts w:cs="Times New Roman"/>
                <w:szCs w:val="24"/>
              </w:rPr>
            </w:pPr>
            <w:r w:rsidRPr="00651BA4">
              <w:rPr>
                <w:rFonts w:cs="Times New Roman"/>
                <w:szCs w:val="24"/>
              </w:rPr>
              <w:t>.90</w:t>
            </w:r>
          </w:p>
        </w:tc>
      </w:tr>
      <w:tr w:rsidR="00651BA4" w:rsidRPr="00651BA4" w14:paraId="2A7963D4" w14:textId="77777777" w:rsidTr="004B5B36">
        <w:trPr>
          <w:jc w:val="center"/>
        </w:trPr>
        <w:tc>
          <w:tcPr>
            <w:tcW w:w="1734" w:type="pct"/>
            <w:vAlign w:val="center"/>
          </w:tcPr>
          <w:p w14:paraId="4DACC851" w14:textId="77777777" w:rsidR="004A4C1C" w:rsidRPr="00651BA4" w:rsidRDefault="004A4C1C" w:rsidP="00407D89">
            <w:pPr>
              <w:jc w:val="both"/>
              <w:rPr>
                <w:rFonts w:cs="Times New Roman"/>
                <w:szCs w:val="24"/>
              </w:rPr>
            </w:pPr>
            <w:r w:rsidRPr="00651BA4">
              <w:rPr>
                <w:rFonts w:cs="Times New Roman"/>
                <w:szCs w:val="24"/>
              </w:rPr>
              <w:t>4. Exhaustion</w:t>
            </w:r>
          </w:p>
        </w:tc>
        <w:tc>
          <w:tcPr>
            <w:tcW w:w="1094" w:type="pct"/>
            <w:vAlign w:val="center"/>
          </w:tcPr>
          <w:p w14:paraId="788DB632" w14:textId="77777777" w:rsidR="004A4C1C" w:rsidRPr="00651BA4" w:rsidRDefault="004A4C1C" w:rsidP="00407D89">
            <w:pPr>
              <w:jc w:val="both"/>
              <w:rPr>
                <w:rFonts w:cs="Times New Roman"/>
                <w:szCs w:val="24"/>
              </w:rPr>
            </w:pPr>
            <w:r w:rsidRPr="00651BA4">
              <w:rPr>
                <w:rFonts w:cs="Times New Roman"/>
                <w:szCs w:val="24"/>
              </w:rPr>
              <w:t>2.59</w:t>
            </w:r>
          </w:p>
        </w:tc>
        <w:tc>
          <w:tcPr>
            <w:tcW w:w="1094" w:type="pct"/>
            <w:vAlign w:val="center"/>
          </w:tcPr>
          <w:p w14:paraId="6F939625" w14:textId="77777777" w:rsidR="004A4C1C" w:rsidRPr="00651BA4" w:rsidRDefault="004A4C1C" w:rsidP="00407D89">
            <w:pPr>
              <w:jc w:val="both"/>
              <w:rPr>
                <w:rFonts w:cs="Times New Roman"/>
                <w:szCs w:val="24"/>
              </w:rPr>
            </w:pPr>
            <w:r w:rsidRPr="00651BA4">
              <w:rPr>
                <w:rFonts w:cs="Times New Roman"/>
                <w:szCs w:val="24"/>
              </w:rPr>
              <w:t>0.66</w:t>
            </w:r>
          </w:p>
        </w:tc>
        <w:tc>
          <w:tcPr>
            <w:tcW w:w="1078" w:type="pct"/>
            <w:vAlign w:val="center"/>
          </w:tcPr>
          <w:p w14:paraId="0BF3FE8F" w14:textId="77777777" w:rsidR="004A4C1C" w:rsidRPr="00651BA4" w:rsidRDefault="004A4C1C" w:rsidP="00407D89">
            <w:pPr>
              <w:jc w:val="both"/>
              <w:rPr>
                <w:rFonts w:cs="Times New Roman"/>
                <w:szCs w:val="24"/>
              </w:rPr>
            </w:pPr>
            <w:r w:rsidRPr="00651BA4">
              <w:rPr>
                <w:rFonts w:cs="Times New Roman"/>
                <w:szCs w:val="24"/>
              </w:rPr>
              <w:t>.88</w:t>
            </w:r>
          </w:p>
        </w:tc>
      </w:tr>
      <w:tr w:rsidR="00651BA4" w:rsidRPr="00651BA4" w14:paraId="3D9E3568" w14:textId="77777777" w:rsidTr="004B5B36">
        <w:trPr>
          <w:jc w:val="center"/>
        </w:trPr>
        <w:tc>
          <w:tcPr>
            <w:tcW w:w="1734" w:type="pct"/>
            <w:vAlign w:val="center"/>
          </w:tcPr>
          <w:p w14:paraId="0DF7987B" w14:textId="77777777" w:rsidR="004A4C1C" w:rsidRPr="00651BA4" w:rsidRDefault="004A4C1C" w:rsidP="00407D89">
            <w:pPr>
              <w:jc w:val="both"/>
              <w:rPr>
                <w:rFonts w:cs="Times New Roman"/>
                <w:szCs w:val="24"/>
              </w:rPr>
            </w:pPr>
            <w:r w:rsidRPr="00651BA4">
              <w:rPr>
                <w:rFonts w:cs="Times New Roman"/>
                <w:szCs w:val="24"/>
              </w:rPr>
              <w:t>5. Cynicism</w:t>
            </w:r>
          </w:p>
        </w:tc>
        <w:tc>
          <w:tcPr>
            <w:tcW w:w="1094" w:type="pct"/>
            <w:vAlign w:val="center"/>
          </w:tcPr>
          <w:p w14:paraId="6EA15FB4" w14:textId="77777777" w:rsidR="004A4C1C" w:rsidRPr="00651BA4" w:rsidRDefault="004A4C1C" w:rsidP="00407D89">
            <w:pPr>
              <w:jc w:val="both"/>
              <w:rPr>
                <w:rFonts w:cs="Times New Roman"/>
                <w:szCs w:val="24"/>
              </w:rPr>
            </w:pPr>
            <w:r w:rsidRPr="00651BA4">
              <w:rPr>
                <w:rFonts w:cs="Times New Roman"/>
                <w:szCs w:val="24"/>
              </w:rPr>
              <w:t>2.32</w:t>
            </w:r>
          </w:p>
        </w:tc>
        <w:tc>
          <w:tcPr>
            <w:tcW w:w="1094" w:type="pct"/>
            <w:vAlign w:val="center"/>
          </w:tcPr>
          <w:p w14:paraId="3FE15EFF" w14:textId="77777777" w:rsidR="004A4C1C" w:rsidRPr="00651BA4" w:rsidRDefault="004A4C1C" w:rsidP="00407D89">
            <w:pPr>
              <w:jc w:val="both"/>
              <w:rPr>
                <w:rFonts w:cs="Times New Roman"/>
                <w:szCs w:val="24"/>
              </w:rPr>
            </w:pPr>
            <w:r w:rsidRPr="00651BA4">
              <w:rPr>
                <w:rFonts w:cs="Times New Roman"/>
                <w:szCs w:val="24"/>
              </w:rPr>
              <w:t>0.80</w:t>
            </w:r>
          </w:p>
        </w:tc>
        <w:tc>
          <w:tcPr>
            <w:tcW w:w="1078" w:type="pct"/>
            <w:vAlign w:val="center"/>
          </w:tcPr>
          <w:p w14:paraId="440637F9" w14:textId="77777777" w:rsidR="004A4C1C" w:rsidRPr="00651BA4" w:rsidRDefault="004A4C1C" w:rsidP="00407D89">
            <w:pPr>
              <w:jc w:val="both"/>
              <w:rPr>
                <w:rFonts w:cs="Times New Roman"/>
                <w:szCs w:val="24"/>
              </w:rPr>
            </w:pPr>
            <w:r w:rsidRPr="00651BA4">
              <w:rPr>
                <w:rFonts w:cs="Times New Roman"/>
                <w:szCs w:val="24"/>
              </w:rPr>
              <w:t>.91</w:t>
            </w:r>
          </w:p>
        </w:tc>
      </w:tr>
      <w:tr w:rsidR="00EC2610" w:rsidRPr="00651BA4" w14:paraId="7FB27D3F" w14:textId="77777777" w:rsidTr="004B5B36">
        <w:trPr>
          <w:jc w:val="center"/>
        </w:trPr>
        <w:tc>
          <w:tcPr>
            <w:tcW w:w="1734" w:type="pct"/>
            <w:vAlign w:val="center"/>
          </w:tcPr>
          <w:p w14:paraId="7973AA79" w14:textId="77777777" w:rsidR="004A4C1C" w:rsidRPr="00651BA4" w:rsidRDefault="004A4C1C" w:rsidP="00407D89">
            <w:pPr>
              <w:jc w:val="both"/>
              <w:rPr>
                <w:rFonts w:cs="Times New Roman"/>
                <w:szCs w:val="24"/>
              </w:rPr>
            </w:pPr>
            <w:r w:rsidRPr="00651BA4">
              <w:rPr>
                <w:rFonts w:cs="Times New Roman"/>
                <w:szCs w:val="24"/>
              </w:rPr>
              <w:t>6. Reduced academic efficacy</w:t>
            </w:r>
          </w:p>
        </w:tc>
        <w:tc>
          <w:tcPr>
            <w:tcW w:w="1094" w:type="pct"/>
            <w:vAlign w:val="center"/>
          </w:tcPr>
          <w:p w14:paraId="655FE009" w14:textId="77777777" w:rsidR="004A4C1C" w:rsidRPr="00651BA4" w:rsidRDefault="004A4C1C" w:rsidP="00407D89">
            <w:pPr>
              <w:jc w:val="both"/>
              <w:rPr>
                <w:rFonts w:cs="Times New Roman"/>
                <w:szCs w:val="24"/>
              </w:rPr>
            </w:pPr>
            <w:r w:rsidRPr="00651BA4">
              <w:rPr>
                <w:rFonts w:cs="Times New Roman"/>
                <w:szCs w:val="24"/>
              </w:rPr>
              <w:t>2.35</w:t>
            </w:r>
          </w:p>
        </w:tc>
        <w:tc>
          <w:tcPr>
            <w:tcW w:w="1094" w:type="pct"/>
            <w:vAlign w:val="center"/>
          </w:tcPr>
          <w:p w14:paraId="2A22B1AE" w14:textId="77777777" w:rsidR="004A4C1C" w:rsidRPr="00651BA4" w:rsidRDefault="004A4C1C" w:rsidP="00407D89">
            <w:pPr>
              <w:jc w:val="both"/>
              <w:rPr>
                <w:rFonts w:cs="Times New Roman"/>
                <w:szCs w:val="24"/>
              </w:rPr>
            </w:pPr>
            <w:r w:rsidRPr="00651BA4">
              <w:rPr>
                <w:rFonts w:cs="Times New Roman"/>
                <w:szCs w:val="24"/>
              </w:rPr>
              <w:t>0.76</w:t>
            </w:r>
          </w:p>
        </w:tc>
        <w:tc>
          <w:tcPr>
            <w:tcW w:w="1078" w:type="pct"/>
            <w:vAlign w:val="center"/>
          </w:tcPr>
          <w:p w14:paraId="10073615" w14:textId="77777777" w:rsidR="004A4C1C" w:rsidRPr="00651BA4" w:rsidRDefault="004A4C1C" w:rsidP="00407D89">
            <w:pPr>
              <w:jc w:val="both"/>
              <w:rPr>
                <w:rFonts w:cs="Times New Roman"/>
                <w:szCs w:val="24"/>
              </w:rPr>
            </w:pPr>
            <w:r w:rsidRPr="00651BA4">
              <w:rPr>
                <w:rFonts w:cs="Times New Roman"/>
                <w:szCs w:val="24"/>
              </w:rPr>
              <w:t>.90</w:t>
            </w:r>
          </w:p>
        </w:tc>
      </w:tr>
    </w:tbl>
    <w:p w14:paraId="7D7BCDDF" w14:textId="77777777" w:rsidR="004B5B36" w:rsidRPr="00651BA4" w:rsidRDefault="004B5B36" w:rsidP="00407D89">
      <w:pPr>
        <w:jc w:val="both"/>
        <w:rPr>
          <w:rFonts w:eastAsia="SimSun" w:cs="Times New Roman"/>
          <w:szCs w:val="24"/>
          <w:lang w:eastAsia="zh-CN"/>
        </w:rPr>
      </w:pPr>
    </w:p>
    <w:p w14:paraId="1195EB1C" w14:textId="77777777" w:rsidR="004B5B36" w:rsidRPr="00580EB0" w:rsidRDefault="00580EB0" w:rsidP="00407D89">
      <w:pPr>
        <w:pStyle w:val="Heading2"/>
        <w:jc w:val="both"/>
        <w:rPr>
          <w:rFonts w:ascii="Times New Roman" w:hAnsi="Times New Roman" w:cs="Times New Roman"/>
          <w:color w:val="auto"/>
          <w:szCs w:val="24"/>
          <w:lang w:eastAsia="zh-CN"/>
        </w:rPr>
      </w:pPr>
      <w:bookmarkStart w:id="1" w:name="OLE_LINK1"/>
      <w:bookmarkStart w:id="2" w:name="OLE_LINK2"/>
      <w:r w:rsidRPr="00580EB0">
        <w:rPr>
          <w:rFonts w:ascii="Times New Roman" w:eastAsia="SimSun" w:hAnsi="Times New Roman" w:cs="Times New Roman" w:hint="eastAsia"/>
          <w:color w:val="auto"/>
          <w:szCs w:val="24"/>
          <w:lang w:eastAsia="zh-CN"/>
        </w:rPr>
        <w:t xml:space="preserve">3.2 </w:t>
      </w:r>
      <w:r w:rsidR="004B5B36" w:rsidRPr="00580EB0">
        <w:rPr>
          <w:rFonts w:ascii="Times New Roman" w:hAnsi="Times New Roman" w:cs="Times New Roman"/>
          <w:color w:val="auto"/>
          <w:szCs w:val="24"/>
          <w:lang w:eastAsia="zh-CN"/>
        </w:rPr>
        <w:t xml:space="preserve">Correlation </w:t>
      </w:r>
      <w:r w:rsidR="000B36D9" w:rsidRPr="00580EB0">
        <w:rPr>
          <w:rFonts w:ascii="Times New Roman" w:hAnsi="Times New Roman" w:cs="Times New Roman"/>
          <w:color w:val="auto"/>
          <w:szCs w:val="24"/>
        </w:rPr>
        <w:t>analyses</w:t>
      </w:r>
    </w:p>
    <w:p w14:paraId="3F6957D4" w14:textId="77777777" w:rsidR="002D3907" w:rsidRPr="00580EB0" w:rsidRDefault="00650A03" w:rsidP="00407D89">
      <w:pPr>
        <w:jc w:val="both"/>
        <w:rPr>
          <w:rFonts w:eastAsia="SimSun" w:cs="Times New Roman"/>
          <w:szCs w:val="24"/>
          <w:lang w:eastAsia="zh-CN"/>
        </w:rPr>
      </w:pPr>
      <w:r w:rsidRPr="00650A03">
        <w:rPr>
          <w:rFonts w:eastAsia="SimSun" w:cs="Times New Roman"/>
          <w:szCs w:val="24"/>
          <w:lang w:eastAsia="zh-CN"/>
        </w:rPr>
        <w:t>A Pearson correlation analysis was conducted to examine the bivariate relationships among the study variables. Table 2 presents the correlations among the three dimensions of teacher parental leadership, the overall parental leadership score, and the dimensions of learning burnout.</w:t>
      </w:r>
    </w:p>
    <w:tbl>
      <w:tblPr>
        <w:tblW w:w="5000" w:type="pct"/>
        <w:tblLook w:val="04A0" w:firstRow="1" w:lastRow="0" w:firstColumn="1" w:lastColumn="0" w:noHBand="0" w:noVBand="1"/>
      </w:tblPr>
      <w:tblGrid>
        <w:gridCol w:w="1384"/>
        <w:gridCol w:w="1474"/>
        <w:gridCol w:w="839"/>
        <w:gridCol w:w="839"/>
        <w:gridCol w:w="839"/>
        <w:gridCol w:w="839"/>
        <w:gridCol w:w="839"/>
        <w:gridCol w:w="839"/>
        <w:gridCol w:w="839"/>
        <w:gridCol w:w="845"/>
      </w:tblGrid>
      <w:tr w:rsidR="00651BA4" w:rsidRPr="00580EB0" w14:paraId="136DE539" w14:textId="77777777" w:rsidTr="004618E9">
        <w:trPr>
          <w:trHeight w:val="300"/>
        </w:trPr>
        <w:tc>
          <w:tcPr>
            <w:tcW w:w="5000" w:type="pct"/>
            <w:gridSpan w:val="10"/>
            <w:tcBorders>
              <w:top w:val="nil"/>
              <w:left w:val="nil"/>
              <w:bottom w:val="single" w:sz="8" w:space="0" w:color="auto"/>
              <w:right w:val="nil"/>
            </w:tcBorders>
            <w:vAlign w:val="center"/>
            <w:hideMark/>
          </w:tcPr>
          <w:p w14:paraId="475B44DE" w14:textId="77777777" w:rsidR="004B5B36" w:rsidRPr="00580EB0" w:rsidRDefault="00580EB0" w:rsidP="00407D89">
            <w:pPr>
              <w:spacing w:after="0" w:line="240" w:lineRule="auto"/>
              <w:jc w:val="both"/>
              <w:rPr>
                <w:rFonts w:eastAsia="SimSun" w:cs="Times New Roman"/>
                <w:bCs/>
                <w:sz w:val="21"/>
                <w:szCs w:val="21"/>
                <w:lang w:eastAsia="zh-CN"/>
              </w:rPr>
            </w:pPr>
            <w:r w:rsidRPr="00580EB0">
              <w:rPr>
                <w:rFonts w:cs="Times New Roman"/>
                <w:sz w:val="21"/>
                <w:szCs w:val="21"/>
              </w:rPr>
              <w:t>Table 2. Correlations among study variables</w:t>
            </w:r>
          </w:p>
        </w:tc>
      </w:tr>
      <w:tr w:rsidR="00651BA4" w:rsidRPr="00580EB0" w14:paraId="741E50E5" w14:textId="77777777" w:rsidTr="004618E9">
        <w:trPr>
          <w:trHeight w:val="300"/>
        </w:trPr>
        <w:tc>
          <w:tcPr>
            <w:tcW w:w="1492" w:type="pct"/>
            <w:gridSpan w:val="2"/>
            <w:tcBorders>
              <w:top w:val="nil"/>
              <w:left w:val="nil"/>
              <w:bottom w:val="single" w:sz="8" w:space="0" w:color="auto"/>
              <w:right w:val="nil"/>
            </w:tcBorders>
            <w:vAlign w:val="bottom"/>
            <w:hideMark/>
          </w:tcPr>
          <w:p w14:paraId="79FF76BF"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 xml:space="preserve">　</w:t>
            </w:r>
          </w:p>
        </w:tc>
        <w:tc>
          <w:tcPr>
            <w:tcW w:w="438" w:type="pct"/>
            <w:tcBorders>
              <w:top w:val="nil"/>
              <w:left w:val="nil"/>
              <w:bottom w:val="single" w:sz="8" w:space="0" w:color="auto"/>
              <w:right w:val="nil"/>
            </w:tcBorders>
            <w:vAlign w:val="bottom"/>
            <w:hideMark/>
          </w:tcPr>
          <w:p w14:paraId="587B82AF"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single" w:sz="8" w:space="0" w:color="auto"/>
              <w:right w:val="nil"/>
            </w:tcBorders>
            <w:vAlign w:val="bottom"/>
            <w:hideMark/>
          </w:tcPr>
          <w:p w14:paraId="155152D0"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w:t>
            </w:r>
          </w:p>
        </w:tc>
        <w:tc>
          <w:tcPr>
            <w:tcW w:w="438" w:type="pct"/>
            <w:tcBorders>
              <w:top w:val="nil"/>
              <w:left w:val="nil"/>
              <w:bottom w:val="single" w:sz="8" w:space="0" w:color="auto"/>
              <w:right w:val="nil"/>
            </w:tcBorders>
            <w:vAlign w:val="bottom"/>
            <w:hideMark/>
          </w:tcPr>
          <w:p w14:paraId="6BE2A3DE"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w:t>
            </w:r>
          </w:p>
        </w:tc>
        <w:tc>
          <w:tcPr>
            <w:tcW w:w="438" w:type="pct"/>
            <w:tcBorders>
              <w:top w:val="nil"/>
              <w:left w:val="nil"/>
              <w:bottom w:val="single" w:sz="8" w:space="0" w:color="auto"/>
              <w:right w:val="nil"/>
            </w:tcBorders>
            <w:vAlign w:val="bottom"/>
            <w:hideMark/>
          </w:tcPr>
          <w:p w14:paraId="70B55F3A"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w:t>
            </w:r>
          </w:p>
        </w:tc>
        <w:tc>
          <w:tcPr>
            <w:tcW w:w="438" w:type="pct"/>
            <w:tcBorders>
              <w:top w:val="nil"/>
              <w:left w:val="nil"/>
              <w:bottom w:val="single" w:sz="8" w:space="0" w:color="auto"/>
              <w:right w:val="nil"/>
            </w:tcBorders>
            <w:vAlign w:val="bottom"/>
            <w:hideMark/>
          </w:tcPr>
          <w:p w14:paraId="79131D5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5</w:t>
            </w:r>
          </w:p>
        </w:tc>
        <w:tc>
          <w:tcPr>
            <w:tcW w:w="438" w:type="pct"/>
            <w:tcBorders>
              <w:top w:val="nil"/>
              <w:left w:val="nil"/>
              <w:bottom w:val="single" w:sz="8" w:space="0" w:color="auto"/>
              <w:right w:val="nil"/>
            </w:tcBorders>
            <w:vAlign w:val="bottom"/>
            <w:hideMark/>
          </w:tcPr>
          <w:p w14:paraId="6D599ABF"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w:t>
            </w:r>
          </w:p>
        </w:tc>
        <w:tc>
          <w:tcPr>
            <w:tcW w:w="438" w:type="pct"/>
            <w:tcBorders>
              <w:top w:val="nil"/>
              <w:left w:val="nil"/>
              <w:bottom w:val="single" w:sz="8" w:space="0" w:color="auto"/>
              <w:right w:val="nil"/>
            </w:tcBorders>
            <w:vAlign w:val="bottom"/>
            <w:hideMark/>
          </w:tcPr>
          <w:p w14:paraId="2192933D"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w:t>
            </w:r>
          </w:p>
        </w:tc>
        <w:tc>
          <w:tcPr>
            <w:tcW w:w="441" w:type="pct"/>
            <w:tcBorders>
              <w:top w:val="nil"/>
              <w:left w:val="nil"/>
              <w:bottom w:val="single" w:sz="8" w:space="0" w:color="auto"/>
              <w:right w:val="nil"/>
            </w:tcBorders>
            <w:vAlign w:val="bottom"/>
            <w:hideMark/>
          </w:tcPr>
          <w:p w14:paraId="0F275CC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8</w:t>
            </w:r>
          </w:p>
        </w:tc>
      </w:tr>
      <w:tr w:rsidR="00651BA4" w:rsidRPr="00580EB0" w14:paraId="0B652421" w14:textId="77777777" w:rsidTr="004618E9">
        <w:trPr>
          <w:trHeight w:val="456"/>
        </w:trPr>
        <w:tc>
          <w:tcPr>
            <w:tcW w:w="723" w:type="pct"/>
            <w:vMerge w:val="restart"/>
            <w:tcBorders>
              <w:top w:val="nil"/>
              <w:left w:val="nil"/>
              <w:bottom w:val="nil"/>
              <w:right w:val="nil"/>
            </w:tcBorders>
            <w:hideMark/>
          </w:tcPr>
          <w:p w14:paraId="4A1259E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1.Benevolent</w:t>
            </w:r>
          </w:p>
        </w:tc>
        <w:tc>
          <w:tcPr>
            <w:tcW w:w="770" w:type="pct"/>
            <w:tcBorders>
              <w:top w:val="nil"/>
              <w:left w:val="nil"/>
              <w:bottom w:val="nil"/>
              <w:right w:val="nil"/>
            </w:tcBorders>
            <w:hideMark/>
          </w:tcPr>
          <w:p w14:paraId="3D0FBE5F"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14:paraId="200718F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14:paraId="4B562030"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.376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421DA475"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-.269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063B003D"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.747</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2084CE9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-.390</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21F5898A"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-.315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63AA2615"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-.349</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14:paraId="1183E141"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-.482</w:t>
            </w:r>
            <w:r w:rsidRPr="00580EB0">
              <w:rPr>
                <w:rFonts w:eastAsia="SimSun" w:cs="Times New Roman"/>
                <w:sz w:val="21"/>
                <w:szCs w:val="21"/>
                <w:vertAlign w:val="superscript"/>
                <w:lang w:eastAsia="zh-CN"/>
              </w:rPr>
              <w:t>**</w:t>
            </w:r>
          </w:p>
        </w:tc>
      </w:tr>
      <w:tr w:rsidR="00651BA4" w:rsidRPr="00580EB0" w14:paraId="41AFC2CA" w14:textId="77777777" w:rsidTr="004618E9">
        <w:trPr>
          <w:trHeight w:val="288"/>
        </w:trPr>
        <w:tc>
          <w:tcPr>
            <w:tcW w:w="723" w:type="pct"/>
            <w:vMerge/>
            <w:tcBorders>
              <w:top w:val="nil"/>
              <w:left w:val="nil"/>
              <w:bottom w:val="nil"/>
              <w:right w:val="nil"/>
            </w:tcBorders>
            <w:vAlign w:val="center"/>
            <w:hideMark/>
          </w:tcPr>
          <w:p w14:paraId="4227AB3A" w14:textId="77777777"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14:paraId="06E0B47A"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hideMark/>
          </w:tcPr>
          <w:p w14:paraId="75786F14" w14:textId="77777777"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14:paraId="284A4C6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4561C1E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525823B0"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1A5E0B4E"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24E4662F"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6930F16A"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nil"/>
              <w:right w:val="nil"/>
            </w:tcBorders>
            <w:noWrap/>
            <w:hideMark/>
          </w:tcPr>
          <w:p w14:paraId="15AA4F45"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14:paraId="347AAF3D" w14:textId="77777777" w:rsidTr="004618E9">
        <w:trPr>
          <w:trHeight w:val="456"/>
        </w:trPr>
        <w:tc>
          <w:tcPr>
            <w:tcW w:w="723" w:type="pct"/>
            <w:vMerge w:val="restart"/>
            <w:tcBorders>
              <w:top w:val="nil"/>
              <w:left w:val="nil"/>
              <w:bottom w:val="nil"/>
              <w:right w:val="nil"/>
            </w:tcBorders>
            <w:hideMark/>
          </w:tcPr>
          <w:p w14:paraId="0ED0861E"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 Moral</w:t>
            </w:r>
          </w:p>
        </w:tc>
        <w:tc>
          <w:tcPr>
            <w:tcW w:w="770" w:type="pct"/>
            <w:tcBorders>
              <w:top w:val="nil"/>
              <w:left w:val="nil"/>
              <w:bottom w:val="nil"/>
              <w:right w:val="nil"/>
            </w:tcBorders>
            <w:hideMark/>
          </w:tcPr>
          <w:p w14:paraId="70B5F25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14:paraId="0F1F758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.376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44EBDE28"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14:paraId="27B68DE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-.248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216DD96A"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.743</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0E3A87D6"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-.466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7679C56D"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-.305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3897D8A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-.318</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14:paraId="345ED0BD"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-.488</w:t>
            </w:r>
            <w:r w:rsidRPr="00580EB0">
              <w:rPr>
                <w:rFonts w:eastAsia="SimSun" w:cs="Times New Roman"/>
                <w:sz w:val="21"/>
                <w:szCs w:val="21"/>
                <w:vertAlign w:val="superscript"/>
                <w:lang w:eastAsia="zh-CN"/>
              </w:rPr>
              <w:t>**</w:t>
            </w:r>
          </w:p>
        </w:tc>
      </w:tr>
      <w:tr w:rsidR="00651BA4" w:rsidRPr="00580EB0" w14:paraId="613C18B1" w14:textId="77777777" w:rsidTr="004618E9">
        <w:trPr>
          <w:trHeight w:val="288"/>
        </w:trPr>
        <w:tc>
          <w:tcPr>
            <w:tcW w:w="723" w:type="pct"/>
            <w:vMerge/>
            <w:tcBorders>
              <w:top w:val="nil"/>
              <w:left w:val="nil"/>
              <w:bottom w:val="nil"/>
              <w:right w:val="nil"/>
            </w:tcBorders>
            <w:vAlign w:val="center"/>
            <w:hideMark/>
          </w:tcPr>
          <w:p w14:paraId="61A18310" w14:textId="77777777"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14:paraId="0C2DD6B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14:paraId="55937636"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hideMark/>
          </w:tcPr>
          <w:p w14:paraId="152ACAE3" w14:textId="77777777"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14:paraId="25B63511"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5A1E9568"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6256948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2E8C6EB6"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5C7FFF0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nil"/>
              <w:right w:val="nil"/>
            </w:tcBorders>
            <w:noWrap/>
            <w:hideMark/>
          </w:tcPr>
          <w:p w14:paraId="35679140"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14:paraId="3FD36A33" w14:textId="77777777" w:rsidTr="004618E9">
        <w:trPr>
          <w:trHeight w:val="456"/>
        </w:trPr>
        <w:tc>
          <w:tcPr>
            <w:tcW w:w="723" w:type="pct"/>
            <w:vMerge w:val="restart"/>
            <w:tcBorders>
              <w:top w:val="nil"/>
              <w:left w:val="nil"/>
              <w:bottom w:val="nil"/>
              <w:right w:val="nil"/>
            </w:tcBorders>
            <w:hideMark/>
          </w:tcPr>
          <w:p w14:paraId="598C3356"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 Authoritarian</w:t>
            </w:r>
          </w:p>
        </w:tc>
        <w:tc>
          <w:tcPr>
            <w:tcW w:w="770" w:type="pct"/>
            <w:tcBorders>
              <w:top w:val="nil"/>
              <w:left w:val="nil"/>
              <w:bottom w:val="nil"/>
              <w:right w:val="nil"/>
            </w:tcBorders>
            <w:hideMark/>
          </w:tcPr>
          <w:p w14:paraId="729A5FCD"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14:paraId="275A3B7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-.269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4BA78DE8"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-.248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75FBE308"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14:paraId="5B419D5F"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-.695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7F3F1BE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331E5751"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.222</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2E08959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.280</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14:paraId="1A5EBF09"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.437</w:t>
            </w:r>
            <w:r w:rsidRPr="00580EB0">
              <w:rPr>
                <w:rFonts w:eastAsia="SimSun" w:cs="Times New Roman"/>
                <w:sz w:val="21"/>
                <w:szCs w:val="21"/>
                <w:vertAlign w:val="superscript"/>
                <w:lang w:eastAsia="zh-CN"/>
              </w:rPr>
              <w:t>**</w:t>
            </w:r>
          </w:p>
        </w:tc>
      </w:tr>
      <w:tr w:rsidR="00651BA4" w:rsidRPr="00580EB0" w14:paraId="281B357B" w14:textId="77777777" w:rsidTr="004618E9">
        <w:trPr>
          <w:trHeight w:val="288"/>
        </w:trPr>
        <w:tc>
          <w:tcPr>
            <w:tcW w:w="723" w:type="pct"/>
            <w:vMerge/>
            <w:tcBorders>
              <w:top w:val="nil"/>
              <w:left w:val="nil"/>
              <w:bottom w:val="nil"/>
              <w:right w:val="nil"/>
            </w:tcBorders>
            <w:vAlign w:val="center"/>
            <w:hideMark/>
          </w:tcPr>
          <w:p w14:paraId="2C9E0DA1" w14:textId="77777777"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14:paraId="467DB0EE"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14:paraId="5EF9735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22CA215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hideMark/>
          </w:tcPr>
          <w:p w14:paraId="3F6D55C1" w14:textId="77777777"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14:paraId="607F967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19BC4CC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67D9C681"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0.001</w:t>
            </w:r>
          </w:p>
        </w:tc>
        <w:tc>
          <w:tcPr>
            <w:tcW w:w="438" w:type="pct"/>
            <w:tcBorders>
              <w:top w:val="nil"/>
              <w:left w:val="nil"/>
              <w:bottom w:val="nil"/>
              <w:right w:val="nil"/>
            </w:tcBorders>
            <w:noWrap/>
            <w:hideMark/>
          </w:tcPr>
          <w:p w14:paraId="28A131C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nil"/>
              <w:right w:val="nil"/>
            </w:tcBorders>
            <w:noWrap/>
            <w:hideMark/>
          </w:tcPr>
          <w:p w14:paraId="4AFEB2B9"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14:paraId="7C8C5FD3" w14:textId="77777777" w:rsidTr="004618E9">
        <w:trPr>
          <w:trHeight w:val="456"/>
        </w:trPr>
        <w:tc>
          <w:tcPr>
            <w:tcW w:w="723" w:type="pct"/>
            <w:vMerge w:val="restart"/>
            <w:tcBorders>
              <w:top w:val="nil"/>
              <w:left w:val="nil"/>
              <w:bottom w:val="nil"/>
              <w:right w:val="nil"/>
            </w:tcBorders>
            <w:hideMark/>
          </w:tcPr>
          <w:p w14:paraId="36DF7418"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4.parental leadership</w:t>
            </w:r>
          </w:p>
        </w:tc>
        <w:tc>
          <w:tcPr>
            <w:tcW w:w="770" w:type="pct"/>
            <w:tcBorders>
              <w:top w:val="nil"/>
              <w:left w:val="nil"/>
              <w:bottom w:val="nil"/>
              <w:right w:val="nil"/>
            </w:tcBorders>
            <w:hideMark/>
          </w:tcPr>
          <w:p w14:paraId="3575905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14:paraId="7A2F285A"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.747</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7E2C0139"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.743</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7937E3B6"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-.695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7027AEA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14:paraId="3D635DE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-.618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281589A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-.385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5D4DE038"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-.441</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14:paraId="0F9FB26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-.649</w:t>
            </w:r>
            <w:r w:rsidRPr="00580EB0">
              <w:rPr>
                <w:rFonts w:eastAsia="SimSun" w:cs="Times New Roman"/>
                <w:sz w:val="21"/>
                <w:szCs w:val="21"/>
                <w:vertAlign w:val="superscript"/>
                <w:lang w:eastAsia="zh-CN"/>
              </w:rPr>
              <w:t>**</w:t>
            </w:r>
          </w:p>
        </w:tc>
      </w:tr>
      <w:tr w:rsidR="00651BA4" w:rsidRPr="00580EB0" w14:paraId="596A1329" w14:textId="77777777" w:rsidTr="004618E9">
        <w:trPr>
          <w:trHeight w:val="288"/>
        </w:trPr>
        <w:tc>
          <w:tcPr>
            <w:tcW w:w="723" w:type="pct"/>
            <w:vMerge/>
            <w:tcBorders>
              <w:top w:val="nil"/>
              <w:left w:val="nil"/>
              <w:bottom w:val="nil"/>
              <w:right w:val="nil"/>
            </w:tcBorders>
            <w:vAlign w:val="center"/>
            <w:hideMark/>
          </w:tcPr>
          <w:p w14:paraId="30452142" w14:textId="77777777"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14:paraId="6719A15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14:paraId="5D4F6191"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495EE525"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5889A4BE"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hideMark/>
          </w:tcPr>
          <w:p w14:paraId="3381E0DF" w14:textId="77777777"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14:paraId="189C884E"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4825E22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706155B1"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nil"/>
              <w:right w:val="nil"/>
            </w:tcBorders>
            <w:noWrap/>
            <w:hideMark/>
          </w:tcPr>
          <w:p w14:paraId="6121669A"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14:paraId="442CCA71" w14:textId="77777777" w:rsidTr="004618E9">
        <w:trPr>
          <w:trHeight w:val="456"/>
        </w:trPr>
        <w:tc>
          <w:tcPr>
            <w:tcW w:w="723" w:type="pct"/>
            <w:vMerge w:val="restart"/>
            <w:tcBorders>
              <w:top w:val="nil"/>
              <w:left w:val="nil"/>
              <w:bottom w:val="nil"/>
              <w:right w:val="nil"/>
            </w:tcBorders>
            <w:hideMark/>
          </w:tcPr>
          <w:p w14:paraId="556DF75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5. Exhaustion</w:t>
            </w:r>
          </w:p>
        </w:tc>
        <w:tc>
          <w:tcPr>
            <w:tcW w:w="770" w:type="pct"/>
            <w:tcBorders>
              <w:top w:val="nil"/>
              <w:left w:val="nil"/>
              <w:bottom w:val="nil"/>
              <w:right w:val="nil"/>
            </w:tcBorders>
            <w:hideMark/>
          </w:tcPr>
          <w:p w14:paraId="76B6B09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14:paraId="59A0EDCA"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-.390</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0DCF37ED"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-.466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61A134E5"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00771F1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-.618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74EF9BE6"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14:paraId="273CC6C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.376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61A1DDC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.389</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14:paraId="19C5612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.771</w:t>
            </w:r>
            <w:r w:rsidRPr="00580EB0">
              <w:rPr>
                <w:rFonts w:eastAsia="SimSun" w:cs="Times New Roman"/>
                <w:sz w:val="21"/>
                <w:szCs w:val="21"/>
                <w:vertAlign w:val="superscript"/>
                <w:lang w:eastAsia="zh-CN"/>
              </w:rPr>
              <w:t>**</w:t>
            </w:r>
          </w:p>
        </w:tc>
      </w:tr>
      <w:tr w:rsidR="00651BA4" w:rsidRPr="00580EB0" w14:paraId="5FBA8962" w14:textId="77777777" w:rsidTr="004618E9">
        <w:trPr>
          <w:trHeight w:val="288"/>
        </w:trPr>
        <w:tc>
          <w:tcPr>
            <w:tcW w:w="723" w:type="pct"/>
            <w:vMerge/>
            <w:tcBorders>
              <w:top w:val="nil"/>
              <w:left w:val="nil"/>
              <w:bottom w:val="nil"/>
              <w:right w:val="nil"/>
            </w:tcBorders>
            <w:vAlign w:val="center"/>
            <w:hideMark/>
          </w:tcPr>
          <w:p w14:paraId="055F3083" w14:textId="77777777"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14:paraId="2FD4D4CD"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14:paraId="12F493B1"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4BD2B14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6CE7278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7AE3B410"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hideMark/>
          </w:tcPr>
          <w:p w14:paraId="0C7FC42D" w14:textId="77777777"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14:paraId="1C95974A"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31D9BA6A"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nil"/>
              <w:right w:val="nil"/>
            </w:tcBorders>
            <w:noWrap/>
            <w:hideMark/>
          </w:tcPr>
          <w:p w14:paraId="08D147C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14:paraId="63624D92" w14:textId="77777777" w:rsidTr="004618E9">
        <w:trPr>
          <w:trHeight w:val="456"/>
        </w:trPr>
        <w:tc>
          <w:tcPr>
            <w:tcW w:w="723" w:type="pct"/>
            <w:vMerge w:val="restart"/>
            <w:tcBorders>
              <w:top w:val="nil"/>
              <w:left w:val="nil"/>
              <w:bottom w:val="nil"/>
              <w:right w:val="nil"/>
            </w:tcBorders>
            <w:hideMark/>
          </w:tcPr>
          <w:p w14:paraId="12355F61"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 Cynicism</w:t>
            </w:r>
          </w:p>
        </w:tc>
        <w:tc>
          <w:tcPr>
            <w:tcW w:w="770" w:type="pct"/>
            <w:tcBorders>
              <w:top w:val="nil"/>
              <w:left w:val="nil"/>
              <w:bottom w:val="nil"/>
              <w:right w:val="nil"/>
            </w:tcBorders>
            <w:hideMark/>
          </w:tcPr>
          <w:p w14:paraId="2498B97F"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14:paraId="12110BE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-.315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3301D9A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-.305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6906F158"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.222</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4A65A079"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-.385</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37CA2430"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.376</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60DB244C"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38" w:type="pct"/>
            <w:tcBorders>
              <w:top w:val="nil"/>
              <w:left w:val="nil"/>
              <w:bottom w:val="nil"/>
              <w:right w:val="nil"/>
            </w:tcBorders>
            <w:noWrap/>
            <w:hideMark/>
          </w:tcPr>
          <w:p w14:paraId="520C4FCD"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.163</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14:paraId="3D5E3D4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.722</w:t>
            </w:r>
            <w:r w:rsidRPr="00580EB0">
              <w:rPr>
                <w:rFonts w:eastAsia="SimSun" w:cs="Times New Roman"/>
                <w:sz w:val="21"/>
                <w:szCs w:val="21"/>
                <w:vertAlign w:val="superscript"/>
                <w:lang w:eastAsia="zh-CN"/>
              </w:rPr>
              <w:t>**</w:t>
            </w:r>
          </w:p>
        </w:tc>
      </w:tr>
      <w:tr w:rsidR="00651BA4" w:rsidRPr="00580EB0" w14:paraId="228485B7" w14:textId="77777777" w:rsidTr="004618E9">
        <w:trPr>
          <w:trHeight w:val="288"/>
        </w:trPr>
        <w:tc>
          <w:tcPr>
            <w:tcW w:w="723" w:type="pct"/>
            <w:vMerge/>
            <w:tcBorders>
              <w:top w:val="nil"/>
              <w:left w:val="nil"/>
              <w:bottom w:val="nil"/>
              <w:right w:val="nil"/>
            </w:tcBorders>
            <w:vAlign w:val="center"/>
            <w:hideMark/>
          </w:tcPr>
          <w:p w14:paraId="4D46C663" w14:textId="77777777"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14:paraId="2F359078"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14:paraId="34F4108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122AE915"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133C7C89"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0.001</w:t>
            </w:r>
          </w:p>
        </w:tc>
        <w:tc>
          <w:tcPr>
            <w:tcW w:w="438" w:type="pct"/>
            <w:tcBorders>
              <w:top w:val="nil"/>
              <w:left w:val="nil"/>
              <w:bottom w:val="nil"/>
              <w:right w:val="nil"/>
            </w:tcBorders>
            <w:noWrap/>
            <w:hideMark/>
          </w:tcPr>
          <w:p w14:paraId="1282463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2ACBCF5F"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hideMark/>
          </w:tcPr>
          <w:p w14:paraId="67DF35DE" w14:textId="77777777" w:rsidR="004B5B36" w:rsidRPr="00580EB0" w:rsidRDefault="004B5B36" w:rsidP="00407D89">
            <w:pPr>
              <w:spacing w:after="0" w:line="240" w:lineRule="auto"/>
              <w:jc w:val="both"/>
              <w:rPr>
                <w:rFonts w:eastAsia="SimSun" w:cs="Times New Roman"/>
                <w:sz w:val="21"/>
                <w:szCs w:val="21"/>
                <w:lang w:eastAsia="zh-CN"/>
              </w:rPr>
            </w:pPr>
          </w:p>
        </w:tc>
        <w:tc>
          <w:tcPr>
            <w:tcW w:w="438" w:type="pct"/>
            <w:tcBorders>
              <w:top w:val="nil"/>
              <w:left w:val="nil"/>
              <w:bottom w:val="nil"/>
              <w:right w:val="nil"/>
            </w:tcBorders>
            <w:noWrap/>
            <w:hideMark/>
          </w:tcPr>
          <w:p w14:paraId="792274FD"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0.013</w:t>
            </w:r>
          </w:p>
        </w:tc>
        <w:tc>
          <w:tcPr>
            <w:tcW w:w="441" w:type="pct"/>
            <w:tcBorders>
              <w:top w:val="nil"/>
              <w:left w:val="nil"/>
              <w:bottom w:val="nil"/>
              <w:right w:val="nil"/>
            </w:tcBorders>
            <w:noWrap/>
            <w:hideMark/>
          </w:tcPr>
          <w:p w14:paraId="39EF0AF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14:paraId="289C8578" w14:textId="77777777" w:rsidTr="004618E9">
        <w:trPr>
          <w:trHeight w:val="456"/>
        </w:trPr>
        <w:tc>
          <w:tcPr>
            <w:tcW w:w="723" w:type="pct"/>
            <w:vMerge w:val="restart"/>
            <w:tcBorders>
              <w:top w:val="nil"/>
              <w:left w:val="nil"/>
              <w:bottom w:val="nil"/>
              <w:right w:val="nil"/>
            </w:tcBorders>
            <w:hideMark/>
          </w:tcPr>
          <w:p w14:paraId="510A8B1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 xml:space="preserve">7. Reduced </w:t>
            </w:r>
            <w:r w:rsidRPr="00580EB0">
              <w:rPr>
                <w:rFonts w:eastAsia="SimSun" w:cs="Times New Roman"/>
                <w:sz w:val="21"/>
                <w:szCs w:val="21"/>
                <w:lang w:eastAsia="zh-CN"/>
              </w:rPr>
              <w:lastRenderedPageBreak/>
              <w:t>academic efficacy</w:t>
            </w:r>
          </w:p>
        </w:tc>
        <w:tc>
          <w:tcPr>
            <w:tcW w:w="770" w:type="pct"/>
            <w:tcBorders>
              <w:top w:val="nil"/>
              <w:left w:val="nil"/>
              <w:bottom w:val="nil"/>
              <w:right w:val="nil"/>
            </w:tcBorders>
            <w:hideMark/>
          </w:tcPr>
          <w:p w14:paraId="1C876B8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lastRenderedPageBreak/>
              <w:t xml:space="preserve">Pearson </w:t>
            </w:r>
            <w:r w:rsidRPr="00580EB0">
              <w:rPr>
                <w:rFonts w:eastAsia="SimSun" w:cs="Times New Roman"/>
                <w:sz w:val="21"/>
                <w:szCs w:val="21"/>
                <w:lang w:eastAsia="zh-CN"/>
              </w:rPr>
              <w:lastRenderedPageBreak/>
              <w:t>Correlation</w:t>
            </w:r>
          </w:p>
        </w:tc>
        <w:tc>
          <w:tcPr>
            <w:tcW w:w="438" w:type="pct"/>
            <w:tcBorders>
              <w:top w:val="nil"/>
              <w:left w:val="nil"/>
              <w:bottom w:val="nil"/>
              <w:right w:val="nil"/>
            </w:tcBorders>
            <w:noWrap/>
            <w:hideMark/>
          </w:tcPr>
          <w:p w14:paraId="12357A15"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lastRenderedPageBreak/>
              <w:t>-.349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28992F2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-.318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17B2B580"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.280</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3DE9AA2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-.441</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4832161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.389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4485CAA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.163</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5BBCCDF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c>
          <w:tcPr>
            <w:tcW w:w="441" w:type="pct"/>
            <w:tcBorders>
              <w:top w:val="nil"/>
              <w:left w:val="nil"/>
              <w:bottom w:val="nil"/>
              <w:right w:val="nil"/>
            </w:tcBorders>
            <w:noWrap/>
            <w:hideMark/>
          </w:tcPr>
          <w:p w14:paraId="7535B638"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.704</w:t>
            </w:r>
            <w:r w:rsidRPr="00580EB0">
              <w:rPr>
                <w:rFonts w:eastAsia="SimSun" w:cs="Times New Roman"/>
                <w:sz w:val="21"/>
                <w:szCs w:val="21"/>
                <w:vertAlign w:val="superscript"/>
                <w:lang w:eastAsia="zh-CN"/>
              </w:rPr>
              <w:t>**</w:t>
            </w:r>
          </w:p>
        </w:tc>
      </w:tr>
      <w:tr w:rsidR="00651BA4" w:rsidRPr="00580EB0" w14:paraId="4A7A60A5" w14:textId="77777777" w:rsidTr="004618E9">
        <w:trPr>
          <w:trHeight w:val="288"/>
        </w:trPr>
        <w:tc>
          <w:tcPr>
            <w:tcW w:w="723" w:type="pct"/>
            <w:vMerge/>
            <w:tcBorders>
              <w:top w:val="nil"/>
              <w:left w:val="nil"/>
              <w:bottom w:val="nil"/>
              <w:right w:val="nil"/>
            </w:tcBorders>
            <w:vAlign w:val="center"/>
            <w:hideMark/>
          </w:tcPr>
          <w:p w14:paraId="17B921A4" w14:textId="77777777"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nil"/>
              <w:right w:val="nil"/>
            </w:tcBorders>
            <w:hideMark/>
          </w:tcPr>
          <w:p w14:paraId="344C4A46"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nil"/>
              <w:right w:val="nil"/>
            </w:tcBorders>
            <w:noWrap/>
            <w:hideMark/>
          </w:tcPr>
          <w:p w14:paraId="6DCA3405"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013AA6CC"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421D80B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00DF53C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129CFAA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nil"/>
              <w:right w:val="nil"/>
            </w:tcBorders>
            <w:noWrap/>
            <w:hideMark/>
          </w:tcPr>
          <w:p w14:paraId="2B4926A6"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0.013</w:t>
            </w:r>
          </w:p>
        </w:tc>
        <w:tc>
          <w:tcPr>
            <w:tcW w:w="438" w:type="pct"/>
            <w:tcBorders>
              <w:top w:val="nil"/>
              <w:left w:val="nil"/>
              <w:bottom w:val="nil"/>
              <w:right w:val="nil"/>
            </w:tcBorders>
            <w:hideMark/>
          </w:tcPr>
          <w:p w14:paraId="305C79F2" w14:textId="77777777" w:rsidR="004B5B36" w:rsidRPr="00580EB0" w:rsidRDefault="004B5B36" w:rsidP="00407D89">
            <w:pPr>
              <w:spacing w:after="0" w:line="240" w:lineRule="auto"/>
              <w:jc w:val="both"/>
              <w:rPr>
                <w:rFonts w:eastAsia="SimSun" w:cs="Times New Roman"/>
                <w:sz w:val="21"/>
                <w:szCs w:val="21"/>
                <w:lang w:eastAsia="zh-CN"/>
              </w:rPr>
            </w:pPr>
          </w:p>
        </w:tc>
        <w:tc>
          <w:tcPr>
            <w:tcW w:w="441" w:type="pct"/>
            <w:tcBorders>
              <w:top w:val="nil"/>
              <w:left w:val="nil"/>
              <w:bottom w:val="nil"/>
              <w:right w:val="nil"/>
            </w:tcBorders>
            <w:noWrap/>
            <w:hideMark/>
          </w:tcPr>
          <w:p w14:paraId="66BF0D9E"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r>
      <w:tr w:rsidR="00651BA4" w:rsidRPr="00580EB0" w14:paraId="503D71EF" w14:textId="77777777" w:rsidTr="004618E9">
        <w:trPr>
          <w:trHeight w:val="456"/>
        </w:trPr>
        <w:tc>
          <w:tcPr>
            <w:tcW w:w="723" w:type="pct"/>
            <w:vMerge w:val="restart"/>
            <w:tcBorders>
              <w:top w:val="nil"/>
              <w:left w:val="nil"/>
              <w:bottom w:val="single" w:sz="8" w:space="0" w:color="000000"/>
              <w:right w:val="nil"/>
            </w:tcBorders>
            <w:hideMark/>
          </w:tcPr>
          <w:p w14:paraId="53DA6DDC"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8. burnout</w:t>
            </w:r>
          </w:p>
        </w:tc>
        <w:tc>
          <w:tcPr>
            <w:tcW w:w="770" w:type="pct"/>
            <w:tcBorders>
              <w:top w:val="nil"/>
              <w:left w:val="nil"/>
              <w:bottom w:val="nil"/>
              <w:right w:val="nil"/>
            </w:tcBorders>
            <w:hideMark/>
          </w:tcPr>
          <w:p w14:paraId="7DB57B8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Pearson Correlation</w:t>
            </w:r>
          </w:p>
        </w:tc>
        <w:tc>
          <w:tcPr>
            <w:tcW w:w="438" w:type="pct"/>
            <w:tcBorders>
              <w:top w:val="nil"/>
              <w:left w:val="nil"/>
              <w:bottom w:val="nil"/>
              <w:right w:val="nil"/>
            </w:tcBorders>
            <w:noWrap/>
            <w:hideMark/>
          </w:tcPr>
          <w:p w14:paraId="36516F8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-.482</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6D30FEA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-.488</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0BA5969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.437</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6A8E337B"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-.649</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6C59EAB8"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.771</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508E8A68"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.722</w:t>
            </w:r>
            <w:r w:rsidRPr="00580EB0">
              <w:rPr>
                <w:rFonts w:eastAsia="SimSun" w:cs="Times New Roman"/>
                <w:sz w:val="21"/>
                <w:szCs w:val="21"/>
                <w:vertAlign w:val="superscript"/>
                <w:lang w:eastAsia="zh-CN"/>
              </w:rPr>
              <w:t>**</w:t>
            </w:r>
          </w:p>
        </w:tc>
        <w:tc>
          <w:tcPr>
            <w:tcW w:w="438" w:type="pct"/>
            <w:tcBorders>
              <w:top w:val="nil"/>
              <w:left w:val="nil"/>
              <w:bottom w:val="nil"/>
              <w:right w:val="nil"/>
            </w:tcBorders>
            <w:noWrap/>
            <w:hideMark/>
          </w:tcPr>
          <w:p w14:paraId="07609179"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.704</w:t>
            </w:r>
            <w:r w:rsidRPr="00580EB0">
              <w:rPr>
                <w:rFonts w:eastAsia="SimSun" w:cs="Times New Roman"/>
                <w:sz w:val="21"/>
                <w:szCs w:val="21"/>
                <w:vertAlign w:val="superscript"/>
                <w:lang w:eastAsia="zh-CN"/>
              </w:rPr>
              <w:t>**</w:t>
            </w:r>
          </w:p>
        </w:tc>
        <w:tc>
          <w:tcPr>
            <w:tcW w:w="441" w:type="pct"/>
            <w:tcBorders>
              <w:top w:val="nil"/>
              <w:left w:val="nil"/>
              <w:bottom w:val="nil"/>
              <w:right w:val="nil"/>
            </w:tcBorders>
            <w:noWrap/>
            <w:hideMark/>
          </w:tcPr>
          <w:p w14:paraId="1EB992B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1</w:t>
            </w:r>
          </w:p>
        </w:tc>
      </w:tr>
      <w:tr w:rsidR="00651BA4" w:rsidRPr="00580EB0" w14:paraId="364576EC" w14:textId="77777777" w:rsidTr="004618E9">
        <w:trPr>
          <w:trHeight w:val="300"/>
        </w:trPr>
        <w:tc>
          <w:tcPr>
            <w:tcW w:w="723" w:type="pct"/>
            <w:vMerge/>
            <w:tcBorders>
              <w:top w:val="nil"/>
              <w:left w:val="nil"/>
              <w:bottom w:val="single" w:sz="8" w:space="0" w:color="000000"/>
              <w:right w:val="nil"/>
            </w:tcBorders>
            <w:vAlign w:val="center"/>
            <w:hideMark/>
          </w:tcPr>
          <w:p w14:paraId="6048AB4C" w14:textId="77777777" w:rsidR="004B5B36" w:rsidRPr="00580EB0" w:rsidRDefault="004B5B36" w:rsidP="00407D89">
            <w:pPr>
              <w:spacing w:after="0" w:line="240" w:lineRule="auto"/>
              <w:jc w:val="both"/>
              <w:rPr>
                <w:rFonts w:eastAsia="SimSun" w:cs="Times New Roman"/>
                <w:sz w:val="21"/>
                <w:szCs w:val="21"/>
                <w:lang w:eastAsia="zh-CN"/>
              </w:rPr>
            </w:pPr>
          </w:p>
        </w:tc>
        <w:tc>
          <w:tcPr>
            <w:tcW w:w="770" w:type="pct"/>
            <w:tcBorders>
              <w:top w:val="nil"/>
              <w:left w:val="nil"/>
              <w:bottom w:val="single" w:sz="8" w:space="0" w:color="auto"/>
              <w:right w:val="nil"/>
            </w:tcBorders>
            <w:hideMark/>
          </w:tcPr>
          <w:p w14:paraId="5EE07BC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Sig. (2-tailed)</w:t>
            </w:r>
          </w:p>
        </w:tc>
        <w:tc>
          <w:tcPr>
            <w:tcW w:w="438" w:type="pct"/>
            <w:tcBorders>
              <w:top w:val="nil"/>
              <w:left w:val="nil"/>
              <w:bottom w:val="single" w:sz="8" w:space="0" w:color="auto"/>
              <w:right w:val="nil"/>
            </w:tcBorders>
            <w:noWrap/>
            <w:hideMark/>
          </w:tcPr>
          <w:p w14:paraId="64F90364"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14:paraId="4003F07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14:paraId="722CD69A"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14:paraId="3D31B5D3"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14:paraId="37193E70"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14:paraId="5E7D1FE9"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38" w:type="pct"/>
            <w:tcBorders>
              <w:top w:val="nil"/>
              <w:left w:val="nil"/>
              <w:bottom w:val="single" w:sz="8" w:space="0" w:color="auto"/>
              <w:right w:val="nil"/>
            </w:tcBorders>
            <w:noWrap/>
            <w:hideMark/>
          </w:tcPr>
          <w:p w14:paraId="013E0397"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0.000</w:t>
            </w:r>
          </w:p>
        </w:tc>
        <w:tc>
          <w:tcPr>
            <w:tcW w:w="441" w:type="pct"/>
            <w:tcBorders>
              <w:top w:val="nil"/>
              <w:left w:val="nil"/>
              <w:bottom w:val="single" w:sz="8" w:space="0" w:color="auto"/>
              <w:right w:val="nil"/>
            </w:tcBorders>
            <w:hideMark/>
          </w:tcPr>
          <w:p w14:paraId="431C7872" w14:textId="77777777" w:rsidR="004B5B36" w:rsidRPr="00580EB0" w:rsidRDefault="004B5B36" w:rsidP="00407D89">
            <w:pPr>
              <w:spacing w:after="0" w:line="240" w:lineRule="auto"/>
              <w:jc w:val="both"/>
              <w:rPr>
                <w:rFonts w:eastAsia="SimSun" w:cs="Times New Roman"/>
                <w:sz w:val="21"/>
                <w:szCs w:val="21"/>
                <w:lang w:eastAsia="zh-CN"/>
              </w:rPr>
            </w:pPr>
          </w:p>
        </w:tc>
      </w:tr>
      <w:tr w:rsidR="00651BA4" w:rsidRPr="00580EB0" w14:paraId="0F875BF6" w14:textId="77777777" w:rsidTr="004618E9">
        <w:trPr>
          <w:trHeight w:val="288"/>
        </w:trPr>
        <w:tc>
          <w:tcPr>
            <w:tcW w:w="5000" w:type="pct"/>
            <w:gridSpan w:val="10"/>
            <w:tcBorders>
              <w:top w:val="nil"/>
              <w:left w:val="nil"/>
              <w:bottom w:val="nil"/>
              <w:right w:val="nil"/>
            </w:tcBorders>
            <w:hideMark/>
          </w:tcPr>
          <w:p w14:paraId="21F001F2"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 Correlation is significant at the 0.01 level (2-tailed).</w:t>
            </w:r>
          </w:p>
        </w:tc>
      </w:tr>
      <w:tr w:rsidR="00651BA4" w:rsidRPr="00580EB0" w14:paraId="6947A608" w14:textId="77777777" w:rsidTr="004618E9">
        <w:trPr>
          <w:trHeight w:val="288"/>
        </w:trPr>
        <w:tc>
          <w:tcPr>
            <w:tcW w:w="5000" w:type="pct"/>
            <w:gridSpan w:val="10"/>
            <w:tcBorders>
              <w:top w:val="nil"/>
              <w:left w:val="nil"/>
              <w:bottom w:val="nil"/>
              <w:right w:val="nil"/>
            </w:tcBorders>
            <w:hideMark/>
          </w:tcPr>
          <w:p w14:paraId="56DFA4F0" w14:textId="77777777" w:rsidR="004B5B36" w:rsidRPr="00580EB0" w:rsidRDefault="004B5B36" w:rsidP="00407D89">
            <w:pPr>
              <w:spacing w:after="0" w:line="240" w:lineRule="auto"/>
              <w:jc w:val="both"/>
              <w:rPr>
                <w:rFonts w:eastAsia="SimSun" w:cs="Times New Roman"/>
                <w:sz w:val="21"/>
                <w:szCs w:val="21"/>
                <w:lang w:eastAsia="zh-CN"/>
              </w:rPr>
            </w:pPr>
            <w:r w:rsidRPr="00580EB0">
              <w:rPr>
                <w:rFonts w:eastAsia="SimSun" w:cs="Times New Roman"/>
                <w:sz w:val="21"/>
                <w:szCs w:val="21"/>
                <w:lang w:eastAsia="zh-CN"/>
              </w:rPr>
              <w:t>*. Correlation is significant at the 0.05 level (2-tailed).</w:t>
            </w:r>
          </w:p>
          <w:p w14:paraId="5CC76A58" w14:textId="77777777" w:rsidR="004618E9" w:rsidRPr="00580EB0" w:rsidRDefault="004618E9" w:rsidP="00407D89">
            <w:pPr>
              <w:spacing w:after="0" w:line="240" w:lineRule="auto"/>
              <w:jc w:val="both"/>
              <w:rPr>
                <w:rFonts w:eastAsia="SimSun" w:cs="Times New Roman"/>
                <w:sz w:val="21"/>
                <w:szCs w:val="21"/>
                <w:lang w:eastAsia="zh-CN"/>
              </w:rPr>
            </w:pPr>
          </w:p>
        </w:tc>
      </w:tr>
    </w:tbl>
    <w:p w14:paraId="7CB9689B" w14:textId="77777777" w:rsidR="004B5B36" w:rsidRPr="00651BA4" w:rsidRDefault="005417C1" w:rsidP="00407D89">
      <w:pPr>
        <w:jc w:val="both"/>
        <w:rPr>
          <w:rFonts w:eastAsia="SimSun" w:cs="Times New Roman"/>
          <w:szCs w:val="24"/>
          <w:lang w:eastAsia="zh-CN"/>
        </w:rPr>
      </w:pPr>
      <w:r w:rsidRPr="00651BA4">
        <w:rPr>
          <w:rFonts w:cs="Times New Roman"/>
          <w:szCs w:val="24"/>
        </w:rPr>
        <w:t xml:space="preserve">Table 2 shows the correlations among the main study variables. Benevolent leadership was positively correlated with moral leadership (r = .376, p &lt; .01) and negatively correlated with authoritarian leadership (r = −.269, p &lt; .01). Moral leadership was likewise negatively correlated with authoritarian leadership (r = −.248, p &lt; .01). The overall parental leadership score was negatively associated with exhaustion (r = −.618, p &lt; .01), cynicism (r = −.385, p &lt; .01), reduced academic efficacy (r = −.441, p &lt; .01), and overall burnout (r = −.649, p &lt; .01). At the dimensional level, benevolent and moral leadership were consistently negatively associated with all burnout indicators, whereas authoritarian leadership was positively associated with all burnout indicators. </w:t>
      </w:r>
    </w:p>
    <w:bookmarkEnd w:id="1"/>
    <w:bookmarkEnd w:id="2"/>
    <w:p w14:paraId="6FEEEB21" w14:textId="77777777" w:rsidR="00C90D78" w:rsidRPr="00580EB0" w:rsidRDefault="00580EB0" w:rsidP="00407D89">
      <w:pPr>
        <w:pStyle w:val="Heading2"/>
        <w:jc w:val="both"/>
        <w:rPr>
          <w:rFonts w:ascii="Times New Roman" w:hAnsi="Times New Roman" w:cs="Times New Roman"/>
          <w:color w:val="auto"/>
          <w:szCs w:val="24"/>
        </w:rPr>
      </w:pPr>
      <w:r w:rsidRPr="00580EB0">
        <w:rPr>
          <w:rFonts w:ascii="Times New Roman" w:eastAsia="SimSun" w:hAnsi="Times New Roman" w:cs="Times New Roman" w:hint="eastAsia"/>
          <w:color w:val="auto"/>
          <w:szCs w:val="24"/>
          <w:lang w:eastAsia="zh-CN"/>
        </w:rPr>
        <w:t xml:space="preserve">3.3 </w:t>
      </w:r>
      <w:r w:rsidR="00306274" w:rsidRPr="00580EB0">
        <w:rPr>
          <w:rFonts w:ascii="Times New Roman" w:hAnsi="Times New Roman" w:cs="Times New Roman"/>
          <w:color w:val="auto"/>
          <w:szCs w:val="24"/>
        </w:rPr>
        <w:t>Regression analyses</w:t>
      </w:r>
    </w:p>
    <w:p w14:paraId="3BBF55B0" w14:textId="77777777" w:rsidR="00C90D78" w:rsidRPr="00651BA4" w:rsidRDefault="00306274" w:rsidP="00407D89">
      <w:pPr>
        <w:jc w:val="both"/>
        <w:rPr>
          <w:rFonts w:cs="Times New Roman"/>
          <w:szCs w:val="24"/>
        </w:rPr>
      </w:pPr>
      <w:r w:rsidRPr="00651BA4">
        <w:rPr>
          <w:rFonts w:cs="Times New Roman"/>
          <w:szCs w:val="24"/>
        </w:rPr>
        <w:t>To examine the unique effects of teacher parental leadership dimensions on burnout, four multiple regression models were estimated. Gender and academic year were entered as control variables, and benevolent leadership, moral leadership, and authoritarian leadership were entered simultaneously as predictors. Separate models were estimated for exhaustion, cynicism, reduced academic efficacy, and overall burnout.</w:t>
      </w:r>
    </w:p>
    <w:p w14:paraId="36470ECA" w14:textId="77777777" w:rsidR="00C90D78" w:rsidRPr="00580EB0" w:rsidRDefault="00306274" w:rsidP="00407D89">
      <w:pPr>
        <w:pStyle w:val="Heading3"/>
        <w:jc w:val="both"/>
        <w:rPr>
          <w:rFonts w:ascii="Times New Roman" w:hAnsi="Times New Roman" w:cs="Times New Roman"/>
          <w:color w:val="auto"/>
          <w:szCs w:val="24"/>
        </w:rPr>
      </w:pPr>
      <w:r w:rsidRPr="00580EB0">
        <w:rPr>
          <w:rFonts w:ascii="Times New Roman" w:hAnsi="Times New Roman" w:cs="Times New Roman"/>
          <w:color w:val="auto"/>
          <w:szCs w:val="24"/>
        </w:rPr>
        <w:t>Predicting exhaustion</w:t>
      </w:r>
    </w:p>
    <w:p w14:paraId="5F0F2AA8" w14:textId="77777777" w:rsidR="00C90D78" w:rsidRPr="00651BA4" w:rsidRDefault="00306274" w:rsidP="00407D89">
      <w:pPr>
        <w:jc w:val="both"/>
        <w:rPr>
          <w:rFonts w:cs="Times New Roman"/>
          <w:szCs w:val="24"/>
        </w:rPr>
      </w:pPr>
      <w:r w:rsidRPr="00651BA4">
        <w:rPr>
          <w:rFonts w:cs="Times New Roman"/>
          <w:szCs w:val="24"/>
        </w:rPr>
        <w:t xml:space="preserve">The regression model for exhaustion was statistically significant, </w:t>
      </w:r>
      <w:proofErr w:type="gramStart"/>
      <w:r w:rsidRPr="00651BA4">
        <w:rPr>
          <w:rFonts w:cs="Times New Roman"/>
          <w:szCs w:val="24"/>
        </w:rPr>
        <w:t>F(</w:t>
      </w:r>
      <w:proofErr w:type="gramEnd"/>
      <w:r w:rsidRPr="00651BA4">
        <w:rPr>
          <w:rFonts w:cs="Times New Roman"/>
          <w:szCs w:val="24"/>
        </w:rPr>
        <w:t>5, 224) = 29.23, p &lt; .001, explaining 39.5% of the variance (R² = .395, adjusted R² = .381). Benevolent leadership significantly and negatively predicted exhaustion (B = −0.132, SE = 0.043, β = −.175, p = .002), as did moral leadership (B = −0.225, SE = 0.042, β = −.306, p &lt; .001). In contrast, authoritarian leadership significantly and positively predicted exhaustion (B = 0.263, SE = 0.040, β = .358, p &lt; .001). Neither control variable was significant.</w:t>
      </w:r>
    </w:p>
    <w:p w14:paraId="63E44F9D" w14:textId="77777777" w:rsidR="00C90D78" w:rsidRPr="00580EB0" w:rsidRDefault="00306274" w:rsidP="00407D89">
      <w:pPr>
        <w:pStyle w:val="Heading3"/>
        <w:jc w:val="both"/>
        <w:rPr>
          <w:rFonts w:ascii="Times New Roman" w:hAnsi="Times New Roman" w:cs="Times New Roman"/>
          <w:color w:val="auto"/>
          <w:szCs w:val="24"/>
        </w:rPr>
      </w:pPr>
      <w:r w:rsidRPr="00580EB0">
        <w:rPr>
          <w:rFonts w:ascii="Times New Roman" w:hAnsi="Times New Roman" w:cs="Times New Roman"/>
          <w:color w:val="auto"/>
          <w:szCs w:val="24"/>
        </w:rPr>
        <w:t>Predicting cynicism</w:t>
      </w:r>
    </w:p>
    <w:p w14:paraId="48CF190B" w14:textId="77777777" w:rsidR="00C90D78" w:rsidRPr="00651BA4" w:rsidRDefault="00306274" w:rsidP="00407D89">
      <w:pPr>
        <w:jc w:val="both"/>
        <w:rPr>
          <w:rFonts w:cs="Times New Roman"/>
          <w:szCs w:val="24"/>
        </w:rPr>
      </w:pPr>
      <w:r w:rsidRPr="00651BA4">
        <w:rPr>
          <w:rFonts w:cs="Times New Roman"/>
          <w:szCs w:val="24"/>
        </w:rPr>
        <w:t xml:space="preserve">The regression model for cynicism was also statistically significant, </w:t>
      </w:r>
      <w:proofErr w:type="gramStart"/>
      <w:r w:rsidRPr="00651BA4">
        <w:rPr>
          <w:rFonts w:cs="Times New Roman"/>
          <w:szCs w:val="24"/>
        </w:rPr>
        <w:t>F(</w:t>
      </w:r>
      <w:proofErr w:type="gramEnd"/>
      <w:r w:rsidRPr="00651BA4">
        <w:rPr>
          <w:rFonts w:cs="Times New Roman"/>
          <w:szCs w:val="24"/>
        </w:rPr>
        <w:t>5, 224) = 8.10, p &lt; .001, explaining 15.3% of the variance (R² = .153, adjusted R² = .134). Benevolent leadership negatively predicted cynicism (B = −0.192, SE = 0.062, β = −.208, p = .002), and moral leadership also showed a significant negative effect (B = −0.173, SE = 0.061, β = −.193, p = .005). Authoritarian leadership was positively related to cynicism, but the coefficient did not reach the conventional .05 threshold (B = 0.109, SE = 0.059, β = .121, p = .065). Gender and academic year were not significant.</w:t>
      </w:r>
    </w:p>
    <w:p w14:paraId="4C00A11F" w14:textId="77777777" w:rsidR="00C90D78" w:rsidRPr="00580EB0" w:rsidRDefault="00306274" w:rsidP="00407D89">
      <w:pPr>
        <w:pStyle w:val="Heading3"/>
        <w:jc w:val="both"/>
        <w:rPr>
          <w:rFonts w:ascii="Times New Roman" w:hAnsi="Times New Roman" w:cs="Times New Roman"/>
          <w:color w:val="auto"/>
          <w:szCs w:val="24"/>
        </w:rPr>
      </w:pPr>
      <w:r w:rsidRPr="00580EB0">
        <w:rPr>
          <w:rFonts w:ascii="Times New Roman" w:hAnsi="Times New Roman" w:cs="Times New Roman"/>
          <w:color w:val="auto"/>
          <w:szCs w:val="24"/>
        </w:rPr>
        <w:lastRenderedPageBreak/>
        <w:t>Predicting reduced academic efficacy</w:t>
      </w:r>
    </w:p>
    <w:p w14:paraId="4F321234" w14:textId="77777777" w:rsidR="00C90D78" w:rsidRPr="00651BA4" w:rsidRDefault="00306274" w:rsidP="00407D89">
      <w:pPr>
        <w:jc w:val="both"/>
        <w:rPr>
          <w:rFonts w:cs="Times New Roman"/>
          <w:szCs w:val="24"/>
        </w:rPr>
      </w:pPr>
      <w:r w:rsidRPr="00651BA4">
        <w:rPr>
          <w:rFonts w:cs="Times New Roman"/>
          <w:szCs w:val="24"/>
        </w:rPr>
        <w:t xml:space="preserve">The model predicting reduced academic efficacy was significant, </w:t>
      </w:r>
      <w:proofErr w:type="gramStart"/>
      <w:r w:rsidRPr="00651BA4">
        <w:rPr>
          <w:rFonts w:cs="Times New Roman"/>
          <w:szCs w:val="24"/>
        </w:rPr>
        <w:t>F(</w:t>
      </w:r>
      <w:proofErr w:type="gramEnd"/>
      <w:r w:rsidRPr="00651BA4">
        <w:rPr>
          <w:rFonts w:cs="Times New Roman"/>
          <w:szCs w:val="24"/>
        </w:rPr>
        <w:t>5, 224) = 11.00, p &lt; .001, explaining 19.7% of the variance (R² = .197, adjusted R² = .179). Benevolent leadership negatively predicted reduced academic efficacy (B = −0.202, SE = 0.058, β = −.231, p = .001), and moral leadership showed a similar negative effect (B = −0.155, SE = 0.056, β = −.181, p = .007). Authoritarian leadership was a significant positive predictor (B = 0.156, SE = 0.054, β = .182, p = .004). Neither control variable was significant.</w:t>
      </w:r>
    </w:p>
    <w:p w14:paraId="4EF13CF7" w14:textId="77777777" w:rsidR="00C90D78" w:rsidRPr="00580EB0" w:rsidRDefault="00306274" w:rsidP="00407D89">
      <w:pPr>
        <w:pStyle w:val="Heading3"/>
        <w:jc w:val="both"/>
        <w:rPr>
          <w:rFonts w:ascii="Times New Roman" w:hAnsi="Times New Roman" w:cs="Times New Roman"/>
          <w:color w:val="auto"/>
          <w:szCs w:val="24"/>
        </w:rPr>
      </w:pPr>
      <w:r w:rsidRPr="00580EB0">
        <w:rPr>
          <w:rFonts w:ascii="Times New Roman" w:hAnsi="Times New Roman" w:cs="Times New Roman"/>
          <w:color w:val="auto"/>
          <w:szCs w:val="24"/>
        </w:rPr>
        <w:t>Predicting overall burnout</w:t>
      </w:r>
    </w:p>
    <w:p w14:paraId="17BCB509" w14:textId="77777777" w:rsidR="00C90D78" w:rsidRPr="00651BA4" w:rsidRDefault="00306274" w:rsidP="00407D89">
      <w:pPr>
        <w:jc w:val="both"/>
        <w:rPr>
          <w:rFonts w:cs="Times New Roman"/>
          <w:szCs w:val="24"/>
        </w:rPr>
      </w:pPr>
      <w:r w:rsidRPr="00651BA4">
        <w:rPr>
          <w:rFonts w:cs="Times New Roman"/>
          <w:szCs w:val="24"/>
        </w:rPr>
        <w:t xml:space="preserve">The model predicting overall burnout was statistically significant, </w:t>
      </w:r>
      <w:proofErr w:type="gramStart"/>
      <w:r w:rsidRPr="00651BA4">
        <w:rPr>
          <w:rFonts w:cs="Times New Roman"/>
          <w:szCs w:val="24"/>
        </w:rPr>
        <w:t>F(</w:t>
      </w:r>
      <w:proofErr w:type="gramEnd"/>
      <w:r w:rsidRPr="00651BA4">
        <w:rPr>
          <w:rFonts w:cs="Times New Roman"/>
          <w:szCs w:val="24"/>
        </w:rPr>
        <w:t>5, 224) = 32.01, p &lt; .001, and accounted for 41.7% of the variance (R² = .417, adjusted R² = .404). Benevolent leadership significantly and negatively predicted overall burnout (B = −0.178, SE = 0.035, β = −.288, p &lt; .001), and moral leadership showed a similarly strong negative effect (B = −0.183, SE = 0.034, β = −.304, p &lt; .001). Authoritarian leadership significantly and positively predicted overall burnout (B = 0.173, SE = 0.033, β = .288, p &lt; .001). Gender and academic year were not significant predictors.</w:t>
      </w:r>
    </w:p>
    <w:p w14:paraId="3D79E3ED" w14:textId="77777777" w:rsidR="00C90D78" w:rsidRPr="00651BA4" w:rsidRDefault="00306274" w:rsidP="00407D89">
      <w:pPr>
        <w:jc w:val="both"/>
        <w:rPr>
          <w:rFonts w:cs="Times New Roman"/>
          <w:szCs w:val="24"/>
        </w:rPr>
      </w:pPr>
      <w:r w:rsidRPr="00651BA4">
        <w:rPr>
          <w:rFonts w:cs="Times New Roman"/>
          <w:szCs w:val="24"/>
        </w:rPr>
        <w:t>Table 3. Multiple regression results for learning burnout outcomes</w:t>
      </w:r>
    </w:p>
    <w:tbl>
      <w:tblPr>
        <w:tblStyle w:val="TableGrid"/>
        <w:tblW w:w="0" w:type="auto"/>
        <w:jc w:val="center"/>
        <w:tblLook w:val="04A0" w:firstRow="1" w:lastRow="0" w:firstColumn="1" w:lastColumn="0" w:noHBand="0" w:noVBand="1"/>
      </w:tblPr>
      <w:tblGrid>
        <w:gridCol w:w="1337"/>
        <w:gridCol w:w="1509"/>
        <w:gridCol w:w="1337"/>
        <w:gridCol w:w="1337"/>
        <w:gridCol w:w="1337"/>
        <w:gridCol w:w="1337"/>
        <w:gridCol w:w="1337"/>
      </w:tblGrid>
      <w:tr w:rsidR="00651BA4" w:rsidRPr="00651BA4" w14:paraId="0D9BD97D" w14:textId="77777777" w:rsidTr="00580EB0">
        <w:trPr>
          <w:jc w:val="center"/>
        </w:trPr>
        <w:tc>
          <w:tcPr>
            <w:tcW w:w="1337" w:type="dxa"/>
            <w:vAlign w:val="center"/>
          </w:tcPr>
          <w:p w14:paraId="0829C3C8" w14:textId="77777777" w:rsidR="00C90D78" w:rsidRPr="00651BA4" w:rsidRDefault="00306274" w:rsidP="00407D89">
            <w:pPr>
              <w:jc w:val="both"/>
              <w:rPr>
                <w:rFonts w:cs="Times New Roman"/>
                <w:szCs w:val="24"/>
              </w:rPr>
            </w:pPr>
            <w:r w:rsidRPr="00651BA4">
              <w:rPr>
                <w:rFonts w:cs="Times New Roman"/>
                <w:szCs w:val="24"/>
              </w:rPr>
              <w:t>Outcome</w:t>
            </w:r>
          </w:p>
        </w:tc>
        <w:tc>
          <w:tcPr>
            <w:tcW w:w="1509" w:type="dxa"/>
            <w:vAlign w:val="center"/>
          </w:tcPr>
          <w:p w14:paraId="45488A7A" w14:textId="77777777" w:rsidR="00C90D78" w:rsidRPr="00651BA4" w:rsidRDefault="00306274" w:rsidP="00407D89">
            <w:pPr>
              <w:jc w:val="both"/>
              <w:rPr>
                <w:rFonts w:cs="Times New Roman"/>
                <w:szCs w:val="24"/>
              </w:rPr>
            </w:pPr>
            <w:r w:rsidRPr="00651BA4">
              <w:rPr>
                <w:rFonts w:cs="Times New Roman"/>
                <w:szCs w:val="24"/>
              </w:rPr>
              <w:t>Predictor</w:t>
            </w:r>
          </w:p>
        </w:tc>
        <w:tc>
          <w:tcPr>
            <w:tcW w:w="1337" w:type="dxa"/>
            <w:vAlign w:val="center"/>
          </w:tcPr>
          <w:p w14:paraId="0AF5345A" w14:textId="77777777" w:rsidR="00C90D78" w:rsidRPr="00651BA4" w:rsidRDefault="00306274" w:rsidP="00407D89">
            <w:pPr>
              <w:jc w:val="both"/>
              <w:rPr>
                <w:rFonts w:cs="Times New Roman"/>
                <w:szCs w:val="24"/>
              </w:rPr>
            </w:pPr>
            <w:r w:rsidRPr="00651BA4">
              <w:rPr>
                <w:rFonts w:cs="Times New Roman"/>
                <w:szCs w:val="24"/>
              </w:rPr>
              <w:t>B</w:t>
            </w:r>
          </w:p>
        </w:tc>
        <w:tc>
          <w:tcPr>
            <w:tcW w:w="1337" w:type="dxa"/>
            <w:vAlign w:val="center"/>
          </w:tcPr>
          <w:p w14:paraId="7BE625DA" w14:textId="77777777" w:rsidR="00C90D78" w:rsidRPr="00651BA4" w:rsidRDefault="00306274" w:rsidP="00407D89">
            <w:pPr>
              <w:jc w:val="both"/>
              <w:rPr>
                <w:rFonts w:cs="Times New Roman"/>
                <w:szCs w:val="24"/>
              </w:rPr>
            </w:pPr>
            <w:r w:rsidRPr="00651BA4">
              <w:rPr>
                <w:rFonts w:cs="Times New Roman"/>
                <w:szCs w:val="24"/>
              </w:rPr>
              <w:t>SE</w:t>
            </w:r>
          </w:p>
        </w:tc>
        <w:tc>
          <w:tcPr>
            <w:tcW w:w="1337" w:type="dxa"/>
            <w:vAlign w:val="center"/>
          </w:tcPr>
          <w:p w14:paraId="47470F23" w14:textId="77777777" w:rsidR="00C90D78" w:rsidRPr="00651BA4" w:rsidRDefault="00306274" w:rsidP="00407D89">
            <w:pPr>
              <w:jc w:val="both"/>
              <w:rPr>
                <w:rFonts w:cs="Times New Roman"/>
                <w:szCs w:val="24"/>
              </w:rPr>
            </w:pPr>
            <w:r w:rsidRPr="00651BA4">
              <w:rPr>
                <w:rFonts w:cs="Times New Roman"/>
                <w:szCs w:val="24"/>
              </w:rPr>
              <w:t>β</w:t>
            </w:r>
          </w:p>
        </w:tc>
        <w:tc>
          <w:tcPr>
            <w:tcW w:w="1337" w:type="dxa"/>
            <w:vAlign w:val="center"/>
          </w:tcPr>
          <w:p w14:paraId="0C1C7DC5" w14:textId="77777777" w:rsidR="00C90D78" w:rsidRPr="00651BA4" w:rsidRDefault="00306274" w:rsidP="00407D89">
            <w:pPr>
              <w:jc w:val="both"/>
              <w:rPr>
                <w:rFonts w:cs="Times New Roman"/>
                <w:szCs w:val="24"/>
              </w:rPr>
            </w:pPr>
            <w:r w:rsidRPr="00651BA4">
              <w:rPr>
                <w:rFonts w:cs="Times New Roman"/>
                <w:szCs w:val="24"/>
              </w:rPr>
              <w:t>t</w:t>
            </w:r>
          </w:p>
        </w:tc>
        <w:tc>
          <w:tcPr>
            <w:tcW w:w="1337" w:type="dxa"/>
            <w:vAlign w:val="center"/>
          </w:tcPr>
          <w:p w14:paraId="3C11B00E" w14:textId="77777777" w:rsidR="00C90D78" w:rsidRPr="00651BA4" w:rsidRDefault="00306274" w:rsidP="00407D89">
            <w:pPr>
              <w:jc w:val="both"/>
              <w:rPr>
                <w:rFonts w:cs="Times New Roman"/>
                <w:szCs w:val="24"/>
              </w:rPr>
            </w:pPr>
            <w:r w:rsidRPr="00651BA4">
              <w:rPr>
                <w:rFonts w:cs="Times New Roman"/>
                <w:szCs w:val="24"/>
              </w:rPr>
              <w:t>p</w:t>
            </w:r>
          </w:p>
        </w:tc>
      </w:tr>
      <w:tr w:rsidR="00580EB0" w:rsidRPr="00651BA4" w14:paraId="1E3858F3" w14:textId="77777777" w:rsidTr="00580EB0">
        <w:trPr>
          <w:jc w:val="center"/>
        </w:trPr>
        <w:tc>
          <w:tcPr>
            <w:tcW w:w="1337" w:type="dxa"/>
            <w:vMerge w:val="restart"/>
            <w:vAlign w:val="center"/>
          </w:tcPr>
          <w:p w14:paraId="2EF34011" w14:textId="77777777" w:rsidR="00580EB0" w:rsidRPr="00651BA4" w:rsidRDefault="00580EB0" w:rsidP="00407D89">
            <w:pPr>
              <w:jc w:val="both"/>
              <w:rPr>
                <w:rFonts w:cs="Times New Roman"/>
                <w:szCs w:val="24"/>
              </w:rPr>
            </w:pPr>
            <w:r w:rsidRPr="00651BA4">
              <w:rPr>
                <w:rFonts w:cs="Times New Roman"/>
                <w:szCs w:val="24"/>
              </w:rPr>
              <w:t>Exhaustion</w:t>
            </w:r>
          </w:p>
        </w:tc>
        <w:tc>
          <w:tcPr>
            <w:tcW w:w="1509" w:type="dxa"/>
            <w:vAlign w:val="center"/>
          </w:tcPr>
          <w:p w14:paraId="44ED93BB" w14:textId="77777777" w:rsidR="00580EB0" w:rsidRPr="00651BA4" w:rsidRDefault="00580EB0" w:rsidP="00407D89">
            <w:pPr>
              <w:jc w:val="both"/>
              <w:rPr>
                <w:rFonts w:cs="Times New Roman"/>
                <w:szCs w:val="24"/>
              </w:rPr>
            </w:pPr>
            <w:r w:rsidRPr="00651BA4">
              <w:rPr>
                <w:rFonts w:cs="Times New Roman"/>
                <w:szCs w:val="24"/>
              </w:rPr>
              <w:t>Benevolent</w:t>
            </w:r>
          </w:p>
        </w:tc>
        <w:tc>
          <w:tcPr>
            <w:tcW w:w="1337" w:type="dxa"/>
            <w:vAlign w:val="center"/>
          </w:tcPr>
          <w:p w14:paraId="694958AE" w14:textId="77777777" w:rsidR="00580EB0" w:rsidRPr="00651BA4" w:rsidRDefault="00580EB0" w:rsidP="00407D89">
            <w:pPr>
              <w:jc w:val="both"/>
              <w:rPr>
                <w:rFonts w:cs="Times New Roman"/>
                <w:szCs w:val="24"/>
              </w:rPr>
            </w:pPr>
            <w:r w:rsidRPr="00651BA4">
              <w:rPr>
                <w:rFonts w:cs="Times New Roman"/>
                <w:szCs w:val="24"/>
              </w:rPr>
              <w:t>-0.132</w:t>
            </w:r>
          </w:p>
        </w:tc>
        <w:tc>
          <w:tcPr>
            <w:tcW w:w="1337" w:type="dxa"/>
            <w:vAlign w:val="center"/>
          </w:tcPr>
          <w:p w14:paraId="3DDBECB1" w14:textId="77777777" w:rsidR="00580EB0" w:rsidRPr="00651BA4" w:rsidRDefault="00580EB0" w:rsidP="00407D89">
            <w:pPr>
              <w:jc w:val="both"/>
              <w:rPr>
                <w:rFonts w:cs="Times New Roman"/>
                <w:szCs w:val="24"/>
              </w:rPr>
            </w:pPr>
            <w:r w:rsidRPr="00651BA4">
              <w:rPr>
                <w:rFonts w:cs="Times New Roman"/>
                <w:szCs w:val="24"/>
              </w:rPr>
              <w:t>0.043</w:t>
            </w:r>
          </w:p>
        </w:tc>
        <w:tc>
          <w:tcPr>
            <w:tcW w:w="1337" w:type="dxa"/>
            <w:vAlign w:val="center"/>
          </w:tcPr>
          <w:p w14:paraId="39142834" w14:textId="77777777" w:rsidR="00580EB0" w:rsidRPr="00651BA4" w:rsidRDefault="00580EB0" w:rsidP="00407D89">
            <w:pPr>
              <w:jc w:val="both"/>
              <w:rPr>
                <w:rFonts w:cs="Times New Roman"/>
                <w:szCs w:val="24"/>
              </w:rPr>
            </w:pPr>
            <w:r w:rsidRPr="00651BA4">
              <w:rPr>
                <w:rFonts w:cs="Times New Roman"/>
                <w:szCs w:val="24"/>
              </w:rPr>
              <w:t>-.175</w:t>
            </w:r>
          </w:p>
        </w:tc>
        <w:tc>
          <w:tcPr>
            <w:tcW w:w="1337" w:type="dxa"/>
            <w:vAlign w:val="center"/>
          </w:tcPr>
          <w:p w14:paraId="55572DED" w14:textId="77777777" w:rsidR="00580EB0" w:rsidRPr="00651BA4" w:rsidRDefault="00580EB0" w:rsidP="00407D89">
            <w:pPr>
              <w:jc w:val="both"/>
              <w:rPr>
                <w:rFonts w:cs="Times New Roman"/>
                <w:szCs w:val="24"/>
              </w:rPr>
            </w:pPr>
            <w:r w:rsidRPr="00651BA4">
              <w:rPr>
                <w:rFonts w:cs="Times New Roman"/>
                <w:szCs w:val="24"/>
              </w:rPr>
              <w:t>-3.06</w:t>
            </w:r>
          </w:p>
        </w:tc>
        <w:tc>
          <w:tcPr>
            <w:tcW w:w="1337" w:type="dxa"/>
            <w:vAlign w:val="center"/>
          </w:tcPr>
          <w:p w14:paraId="0C89D18A" w14:textId="77777777" w:rsidR="00580EB0" w:rsidRPr="00651BA4" w:rsidRDefault="00580EB0" w:rsidP="00407D89">
            <w:pPr>
              <w:jc w:val="both"/>
              <w:rPr>
                <w:rFonts w:cs="Times New Roman"/>
                <w:szCs w:val="24"/>
              </w:rPr>
            </w:pPr>
            <w:r w:rsidRPr="00651BA4">
              <w:rPr>
                <w:rFonts w:cs="Times New Roman"/>
                <w:szCs w:val="24"/>
              </w:rPr>
              <w:t>.002</w:t>
            </w:r>
          </w:p>
        </w:tc>
      </w:tr>
      <w:tr w:rsidR="00580EB0" w:rsidRPr="00651BA4" w14:paraId="147DF78B" w14:textId="77777777" w:rsidTr="00580EB0">
        <w:trPr>
          <w:jc w:val="center"/>
        </w:trPr>
        <w:tc>
          <w:tcPr>
            <w:tcW w:w="1337" w:type="dxa"/>
            <w:vMerge/>
            <w:vAlign w:val="center"/>
          </w:tcPr>
          <w:p w14:paraId="72B9367E" w14:textId="77777777" w:rsidR="00580EB0" w:rsidRPr="00651BA4" w:rsidRDefault="00580EB0" w:rsidP="00407D89">
            <w:pPr>
              <w:jc w:val="both"/>
              <w:rPr>
                <w:rFonts w:cs="Times New Roman"/>
                <w:szCs w:val="24"/>
              </w:rPr>
            </w:pPr>
          </w:p>
        </w:tc>
        <w:tc>
          <w:tcPr>
            <w:tcW w:w="1509" w:type="dxa"/>
            <w:vAlign w:val="center"/>
          </w:tcPr>
          <w:p w14:paraId="466C8645" w14:textId="77777777" w:rsidR="00580EB0" w:rsidRPr="00651BA4" w:rsidRDefault="00580EB0" w:rsidP="00407D89">
            <w:pPr>
              <w:jc w:val="both"/>
              <w:rPr>
                <w:rFonts w:cs="Times New Roman"/>
                <w:szCs w:val="24"/>
              </w:rPr>
            </w:pPr>
            <w:r w:rsidRPr="00651BA4">
              <w:rPr>
                <w:rFonts w:cs="Times New Roman"/>
                <w:szCs w:val="24"/>
              </w:rPr>
              <w:t>Moral</w:t>
            </w:r>
          </w:p>
        </w:tc>
        <w:tc>
          <w:tcPr>
            <w:tcW w:w="1337" w:type="dxa"/>
            <w:vAlign w:val="center"/>
          </w:tcPr>
          <w:p w14:paraId="4C67E0B4" w14:textId="77777777" w:rsidR="00580EB0" w:rsidRPr="00651BA4" w:rsidRDefault="00580EB0" w:rsidP="00407D89">
            <w:pPr>
              <w:jc w:val="both"/>
              <w:rPr>
                <w:rFonts w:cs="Times New Roman"/>
                <w:szCs w:val="24"/>
              </w:rPr>
            </w:pPr>
            <w:r w:rsidRPr="00651BA4">
              <w:rPr>
                <w:rFonts w:cs="Times New Roman"/>
                <w:szCs w:val="24"/>
              </w:rPr>
              <w:t>-0.225</w:t>
            </w:r>
          </w:p>
        </w:tc>
        <w:tc>
          <w:tcPr>
            <w:tcW w:w="1337" w:type="dxa"/>
            <w:vAlign w:val="center"/>
          </w:tcPr>
          <w:p w14:paraId="482438D9" w14:textId="77777777" w:rsidR="00580EB0" w:rsidRPr="00651BA4" w:rsidRDefault="00580EB0" w:rsidP="00407D89">
            <w:pPr>
              <w:jc w:val="both"/>
              <w:rPr>
                <w:rFonts w:cs="Times New Roman"/>
                <w:szCs w:val="24"/>
              </w:rPr>
            </w:pPr>
            <w:r w:rsidRPr="00651BA4">
              <w:rPr>
                <w:rFonts w:cs="Times New Roman"/>
                <w:szCs w:val="24"/>
              </w:rPr>
              <w:t>0.042</w:t>
            </w:r>
          </w:p>
        </w:tc>
        <w:tc>
          <w:tcPr>
            <w:tcW w:w="1337" w:type="dxa"/>
            <w:vAlign w:val="center"/>
          </w:tcPr>
          <w:p w14:paraId="30A5C668" w14:textId="77777777" w:rsidR="00580EB0" w:rsidRPr="00651BA4" w:rsidRDefault="00580EB0" w:rsidP="00407D89">
            <w:pPr>
              <w:jc w:val="both"/>
              <w:rPr>
                <w:rFonts w:cs="Times New Roman"/>
                <w:szCs w:val="24"/>
              </w:rPr>
            </w:pPr>
            <w:r w:rsidRPr="00651BA4">
              <w:rPr>
                <w:rFonts w:cs="Times New Roman"/>
                <w:szCs w:val="24"/>
              </w:rPr>
              <w:t>-.306</w:t>
            </w:r>
          </w:p>
        </w:tc>
        <w:tc>
          <w:tcPr>
            <w:tcW w:w="1337" w:type="dxa"/>
            <w:vAlign w:val="center"/>
          </w:tcPr>
          <w:p w14:paraId="62B95AFF" w14:textId="77777777" w:rsidR="00580EB0" w:rsidRPr="00651BA4" w:rsidRDefault="00580EB0" w:rsidP="00407D89">
            <w:pPr>
              <w:jc w:val="both"/>
              <w:rPr>
                <w:rFonts w:cs="Times New Roman"/>
                <w:szCs w:val="24"/>
              </w:rPr>
            </w:pPr>
            <w:r w:rsidRPr="00651BA4">
              <w:rPr>
                <w:rFonts w:cs="Times New Roman"/>
                <w:szCs w:val="24"/>
              </w:rPr>
              <w:t>-5.35</w:t>
            </w:r>
          </w:p>
        </w:tc>
        <w:tc>
          <w:tcPr>
            <w:tcW w:w="1337" w:type="dxa"/>
            <w:vAlign w:val="center"/>
          </w:tcPr>
          <w:p w14:paraId="7BE4D2F5" w14:textId="77777777" w:rsidR="00580EB0" w:rsidRPr="00651BA4" w:rsidRDefault="00580EB0" w:rsidP="00407D89">
            <w:pPr>
              <w:jc w:val="both"/>
              <w:rPr>
                <w:rFonts w:cs="Times New Roman"/>
                <w:szCs w:val="24"/>
              </w:rPr>
            </w:pPr>
            <w:r w:rsidRPr="00651BA4">
              <w:rPr>
                <w:rFonts w:cs="Times New Roman"/>
                <w:szCs w:val="24"/>
              </w:rPr>
              <w:t>&lt;.001</w:t>
            </w:r>
          </w:p>
        </w:tc>
      </w:tr>
      <w:tr w:rsidR="00580EB0" w:rsidRPr="00651BA4" w14:paraId="365136B9" w14:textId="77777777" w:rsidTr="00580EB0">
        <w:trPr>
          <w:jc w:val="center"/>
        </w:trPr>
        <w:tc>
          <w:tcPr>
            <w:tcW w:w="1337" w:type="dxa"/>
            <w:vMerge/>
            <w:vAlign w:val="center"/>
          </w:tcPr>
          <w:p w14:paraId="3F8E50C2" w14:textId="77777777" w:rsidR="00580EB0" w:rsidRPr="00651BA4" w:rsidRDefault="00580EB0" w:rsidP="00407D89">
            <w:pPr>
              <w:jc w:val="both"/>
              <w:rPr>
                <w:rFonts w:cs="Times New Roman"/>
                <w:szCs w:val="24"/>
              </w:rPr>
            </w:pPr>
          </w:p>
        </w:tc>
        <w:tc>
          <w:tcPr>
            <w:tcW w:w="1509" w:type="dxa"/>
            <w:vAlign w:val="center"/>
          </w:tcPr>
          <w:p w14:paraId="51BD0455" w14:textId="77777777" w:rsidR="00580EB0" w:rsidRPr="00651BA4" w:rsidRDefault="00580EB0" w:rsidP="00407D89">
            <w:pPr>
              <w:jc w:val="both"/>
              <w:rPr>
                <w:rFonts w:cs="Times New Roman"/>
                <w:szCs w:val="24"/>
              </w:rPr>
            </w:pPr>
            <w:r w:rsidRPr="00651BA4">
              <w:rPr>
                <w:rFonts w:cs="Times New Roman"/>
                <w:szCs w:val="24"/>
              </w:rPr>
              <w:t>Authoritarian</w:t>
            </w:r>
          </w:p>
        </w:tc>
        <w:tc>
          <w:tcPr>
            <w:tcW w:w="1337" w:type="dxa"/>
            <w:vAlign w:val="center"/>
          </w:tcPr>
          <w:p w14:paraId="5B5C1342" w14:textId="77777777" w:rsidR="00580EB0" w:rsidRPr="00651BA4" w:rsidRDefault="00580EB0" w:rsidP="00407D89">
            <w:pPr>
              <w:jc w:val="both"/>
              <w:rPr>
                <w:rFonts w:cs="Times New Roman"/>
                <w:szCs w:val="24"/>
              </w:rPr>
            </w:pPr>
            <w:r w:rsidRPr="00651BA4">
              <w:rPr>
                <w:rFonts w:cs="Times New Roman"/>
                <w:szCs w:val="24"/>
              </w:rPr>
              <w:t>0.263</w:t>
            </w:r>
          </w:p>
        </w:tc>
        <w:tc>
          <w:tcPr>
            <w:tcW w:w="1337" w:type="dxa"/>
            <w:vAlign w:val="center"/>
          </w:tcPr>
          <w:p w14:paraId="765BB7C5" w14:textId="77777777" w:rsidR="00580EB0" w:rsidRPr="00651BA4" w:rsidRDefault="00580EB0" w:rsidP="00407D89">
            <w:pPr>
              <w:jc w:val="both"/>
              <w:rPr>
                <w:rFonts w:cs="Times New Roman"/>
                <w:szCs w:val="24"/>
              </w:rPr>
            </w:pPr>
            <w:r w:rsidRPr="00651BA4">
              <w:rPr>
                <w:rFonts w:cs="Times New Roman"/>
                <w:szCs w:val="24"/>
              </w:rPr>
              <w:t>0.040</w:t>
            </w:r>
          </w:p>
        </w:tc>
        <w:tc>
          <w:tcPr>
            <w:tcW w:w="1337" w:type="dxa"/>
            <w:vAlign w:val="center"/>
          </w:tcPr>
          <w:p w14:paraId="37A5F6E1" w14:textId="77777777" w:rsidR="00580EB0" w:rsidRPr="00651BA4" w:rsidRDefault="00580EB0" w:rsidP="00407D89">
            <w:pPr>
              <w:jc w:val="both"/>
              <w:rPr>
                <w:rFonts w:cs="Times New Roman"/>
                <w:szCs w:val="24"/>
              </w:rPr>
            </w:pPr>
            <w:r w:rsidRPr="00651BA4">
              <w:rPr>
                <w:rFonts w:cs="Times New Roman"/>
                <w:szCs w:val="24"/>
              </w:rPr>
              <w:t>.358</w:t>
            </w:r>
          </w:p>
        </w:tc>
        <w:tc>
          <w:tcPr>
            <w:tcW w:w="1337" w:type="dxa"/>
            <w:vAlign w:val="center"/>
          </w:tcPr>
          <w:p w14:paraId="74FCE862" w14:textId="77777777" w:rsidR="00580EB0" w:rsidRPr="00651BA4" w:rsidRDefault="00580EB0" w:rsidP="00407D89">
            <w:pPr>
              <w:jc w:val="both"/>
              <w:rPr>
                <w:rFonts w:cs="Times New Roman"/>
                <w:szCs w:val="24"/>
              </w:rPr>
            </w:pPr>
            <w:r w:rsidRPr="00651BA4">
              <w:rPr>
                <w:rFonts w:cs="Times New Roman"/>
                <w:szCs w:val="24"/>
              </w:rPr>
              <w:t>6.50</w:t>
            </w:r>
          </w:p>
        </w:tc>
        <w:tc>
          <w:tcPr>
            <w:tcW w:w="1337" w:type="dxa"/>
            <w:vAlign w:val="center"/>
          </w:tcPr>
          <w:p w14:paraId="256BDEDB" w14:textId="77777777" w:rsidR="00580EB0" w:rsidRPr="00651BA4" w:rsidRDefault="00580EB0" w:rsidP="00407D89">
            <w:pPr>
              <w:jc w:val="both"/>
              <w:rPr>
                <w:rFonts w:cs="Times New Roman"/>
                <w:szCs w:val="24"/>
              </w:rPr>
            </w:pPr>
            <w:r w:rsidRPr="00651BA4">
              <w:rPr>
                <w:rFonts w:cs="Times New Roman"/>
                <w:szCs w:val="24"/>
              </w:rPr>
              <w:t>&lt;.001</w:t>
            </w:r>
          </w:p>
        </w:tc>
      </w:tr>
      <w:tr w:rsidR="00580EB0" w:rsidRPr="00651BA4" w14:paraId="7923758B" w14:textId="77777777" w:rsidTr="00580EB0">
        <w:trPr>
          <w:jc w:val="center"/>
        </w:trPr>
        <w:tc>
          <w:tcPr>
            <w:tcW w:w="1337" w:type="dxa"/>
            <w:vMerge w:val="restart"/>
            <w:vAlign w:val="center"/>
          </w:tcPr>
          <w:p w14:paraId="64AD35C4" w14:textId="77777777" w:rsidR="00580EB0" w:rsidRPr="00651BA4" w:rsidRDefault="00580EB0" w:rsidP="00407D89">
            <w:pPr>
              <w:jc w:val="both"/>
              <w:rPr>
                <w:rFonts w:cs="Times New Roman"/>
                <w:szCs w:val="24"/>
              </w:rPr>
            </w:pPr>
            <w:r w:rsidRPr="00651BA4">
              <w:rPr>
                <w:rFonts w:cs="Times New Roman"/>
                <w:szCs w:val="24"/>
              </w:rPr>
              <w:t>Cynicism</w:t>
            </w:r>
          </w:p>
        </w:tc>
        <w:tc>
          <w:tcPr>
            <w:tcW w:w="1509" w:type="dxa"/>
            <w:vAlign w:val="center"/>
          </w:tcPr>
          <w:p w14:paraId="63F482E2" w14:textId="77777777" w:rsidR="00580EB0" w:rsidRPr="00651BA4" w:rsidRDefault="00580EB0" w:rsidP="00407D89">
            <w:pPr>
              <w:jc w:val="both"/>
              <w:rPr>
                <w:rFonts w:cs="Times New Roman"/>
                <w:szCs w:val="24"/>
              </w:rPr>
            </w:pPr>
            <w:r w:rsidRPr="00651BA4">
              <w:rPr>
                <w:rFonts w:cs="Times New Roman"/>
                <w:szCs w:val="24"/>
              </w:rPr>
              <w:t>Benevolent</w:t>
            </w:r>
          </w:p>
        </w:tc>
        <w:tc>
          <w:tcPr>
            <w:tcW w:w="1337" w:type="dxa"/>
            <w:vAlign w:val="center"/>
          </w:tcPr>
          <w:p w14:paraId="364DFA69" w14:textId="77777777" w:rsidR="00580EB0" w:rsidRPr="00651BA4" w:rsidRDefault="00580EB0" w:rsidP="00407D89">
            <w:pPr>
              <w:jc w:val="both"/>
              <w:rPr>
                <w:rFonts w:cs="Times New Roman"/>
                <w:szCs w:val="24"/>
              </w:rPr>
            </w:pPr>
            <w:r w:rsidRPr="00651BA4">
              <w:rPr>
                <w:rFonts w:cs="Times New Roman"/>
                <w:szCs w:val="24"/>
              </w:rPr>
              <w:t>-0.192</w:t>
            </w:r>
          </w:p>
        </w:tc>
        <w:tc>
          <w:tcPr>
            <w:tcW w:w="1337" w:type="dxa"/>
            <w:vAlign w:val="center"/>
          </w:tcPr>
          <w:p w14:paraId="688C4D9B" w14:textId="77777777" w:rsidR="00580EB0" w:rsidRPr="00651BA4" w:rsidRDefault="00580EB0" w:rsidP="00407D89">
            <w:pPr>
              <w:jc w:val="both"/>
              <w:rPr>
                <w:rFonts w:cs="Times New Roman"/>
                <w:szCs w:val="24"/>
              </w:rPr>
            </w:pPr>
            <w:r w:rsidRPr="00651BA4">
              <w:rPr>
                <w:rFonts w:cs="Times New Roman"/>
                <w:szCs w:val="24"/>
              </w:rPr>
              <w:t>0.062</w:t>
            </w:r>
          </w:p>
        </w:tc>
        <w:tc>
          <w:tcPr>
            <w:tcW w:w="1337" w:type="dxa"/>
            <w:vAlign w:val="center"/>
          </w:tcPr>
          <w:p w14:paraId="698A2DBD" w14:textId="77777777" w:rsidR="00580EB0" w:rsidRPr="00651BA4" w:rsidRDefault="00580EB0" w:rsidP="00407D89">
            <w:pPr>
              <w:jc w:val="both"/>
              <w:rPr>
                <w:rFonts w:cs="Times New Roman"/>
                <w:szCs w:val="24"/>
              </w:rPr>
            </w:pPr>
            <w:r w:rsidRPr="00651BA4">
              <w:rPr>
                <w:rFonts w:cs="Times New Roman"/>
                <w:szCs w:val="24"/>
              </w:rPr>
              <w:t>-.208</w:t>
            </w:r>
          </w:p>
        </w:tc>
        <w:tc>
          <w:tcPr>
            <w:tcW w:w="1337" w:type="dxa"/>
            <w:vAlign w:val="center"/>
          </w:tcPr>
          <w:p w14:paraId="7509A438" w14:textId="77777777" w:rsidR="00580EB0" w:rsidRPr="00651BA4" w:rsidRDefault="00580EB0" w:rsidP="00407D89">
            <w:pPr>
              <w:jc w:val="both"/>
              <w:rPr>
                <w:rFonts w:cs="Times New Roman"/>
                <w:szCs w:val="24"/>
              </w:rPr>
            </w:pPr>
            <w:r w:rsidRPr="00651BA4">
              <w:rPr>
                <w:rFonts w:cs="Times New Roman"/>
                <w:szCs w:val="24"/>
              </w:rPr>
              <w:t>-3.08</w:t>
            </w:r>
          </w:p>
        </w:tc>
        <w:tc>
          <w:tcPr>
            <w:tcW w:w="1337" w:type="dxa"/>
            <w:vAlign w:val="center"/>
          </w:tcPr>
          <w:p w14:paraId="0DEDDC27" w14:textId="77777777" w:rsidR="00580EB0" w:rsidRPr="00651BA4" w:rsidRDefault="00580EB0" w:rsidP="00407D89">
            <w:pPr>
              <w:jc w:val="both"/>
              <w:rPr>
                <w:rFonts w:cs="Times New Roman"/>
                <w:szCs w:val="24"/>
              </w:rPr>
            </w:pPr>
            <w:r w:rsidRPr="00651BA4">
              <w:rPr>
                <w:rFonts w:cs="Times New Roman"/>
                <w:szCs w:val="24"/>
              </w:rPr>
              <w:t>.002</w:t>
            </w:r>
          </w:p>
        </w:tc>
      </w:tr>
      <w:tr w:rsidR="00580EB0" w:rsidRPr="00651BA4" w14:paraId="69A99929" w14:textId="77777777" w:rsidTr="00580EB0">
        <w:trPr>
          <w:jc w:val="center"/>
        </w:trPr>
        <w:tc>
          <w:tcPr>
            <w:tcW w:w="1337" w:type="dxa"/>
            <w:vMerge/>
            <w:vAlign w:val="center"/>
          </w:tcPr>
          <w:p w14:paraId="60614A3C" w14:textId="77777777" w:rsidR="00580EB0" w:rsidRPr="00651BA4" w:rsidRDefault="00580EB0" w:rsidP="00407D89">
            <w:pPr>
              <w:jc w:val="both"/>
              <w:rPr>
                <w:rFonts w:cs="Times New Roman"/>
                <w:szCs w:val="24"/>
              </w:rPr>
            </w:pPr>
          </w:p>
        </w:tc>
        <w:tc>
          <w:tcPr>
            <w:tcW w:w="1509" w:type="dxa"/>
            <w:vAlign w:val="center"/>
          </w:tcPr>
          <w:p w14:paraId="0F69B9A4" w14:textId="77777777" w:rsidR="00580EB0" w:rsidRPr="00651BA4" w:rsidRDefault="00580EB0" w:rsidP="00407D89">
            <w:pPr>
              <w:jc w:val="both"/>
              <w:rPr>
                <w:rFonts w:cs="Times New Roman"/>
                <w:szCs w:val="24"/>
              </w:rPr>
            </w:pPr>
            <w:r w:rsidRPr="00651BA4">
              <w:rPr>
                <w:rFonts w:cs="Times New Roman"/>
                <w:szCs w:val="24"/>
              </w:rPr>
              <w:t>Moral</w:t>
            </w:r>
          </w:p>
        </w:tc>
        <w:tc>
          <w:tcPr>
            <w:tcW w:w="1337" w:type="dxa"/>
            <w:vAlign w:val="center"/>
          </w:tcPr>
          <w:p w14:paraId="660373E2" w14:textId="77777777" w:rsidR="00580EB0" w:rsidRPr="00651BA4" w:rsidRDefault="00580EB0" w:rsidP="00407D89">
            <w:pPr>
              <w:jc w:val="both"/>
              <w:rPr>
                <w:rFonts w:cs="Times New Roman"/>
                <w:szCs w:val="24"/>
              </w:rPr>
            </w:pPr>
            <w:r w:rsidRPr="00651BA4">
              <w:rPr>
                <w:rFonts w:cs="Times New Roman"/>
                <w:szCs w:val="24"/>
              </w:rPr>
              <w:t>-0.173</w:t>
            </w:r>
          </w:p>
        </w:tc>
        <w:tc>
          <w:tcPr>
            <w:tcW w:w="1337" w:type="dxa"/>
            <w:vAlign w:val="center"/>
          </w:tcPr>
          <w:p w14:paraId="2D81A4DB" w14:textId="77777777" w:rsidR="00580EB0" w:rsidRPr="00651BA4" w:rsidRDefault="00580EB0" w:rsidP="00407D89">
            <w:pPr>
              <w:jc w:val="both"/>
              <w:rPr>
                <w:rFonts w:cs="Times New Roman"/>
                <w:szCs w:val="24"/>
              </w:rPr>
            </w:pPr>
            <w:r w:rsidRPr="00651BA4">
              <w:rPr>
                <w:rFonts w:cs="Times New Roman"/>
                <w:szCs w:val="24"/>
              </w:rPr>
              <w:t>0.061</w:t>
            </w:r>
          </w:p>
        </w:tc>
        <w:tc>
          <w:tcPr>
            <w:tcW w:w="1337" w:type="dxa"/>
            <w:vAlign w:val="center"/>
          </w:tcPr>
          <w:p w14:paraId="619E33C8" w14:textId="77777777" w:rsidR="00580EB0" w:rsidRPr="00651BA4" w:rsidRDefault="00580EB0" w:rsidP="00407D89">
            <w:pPr>
              <w:jc w:val="both"/>
              <w:rPr>
                <w:rFonts w:cs="Times New Roman"/>
                <w:szCs w:val="24"/>
              </w:rPr>
            </w:pPr>
            <w:r w:rsidRPr="00651BA4">
              <w:rPr>
                <w:rFonts w:cs="Times New Roman"/>
                <w:szCs w:val="24"/>
              </w:rPr>
              <w:t>-.193</w:t>
            </w:r>
          </w:p>
        </w:tc>
        <w:tc>
          <w:tcPr>
            <w:tcW w:w="1337" w:type="dxa"/>
            <w:vAlign w:val="center"/>
          </w:tcPr>
          <w:p w14:paraId="0D3571C7" w14:textId="77777777" w:rsidR="00580EB0" w:rsidRPr="00651BA4" w:rsidRDefault="00580EB0" w:rsidP="00407D89">
            <w:pPr>
              <w:jc w:val="both"/>
              <w:rPr>
                <w:rFonts w:cs="Times New Roman"/>
                <w:szCs w:val="24"/>
              </w:rPr>
            </w:pPr>
            <w:r w:rsidRPr="00651BA4">
              <w:rPr>
                <w:rFonts w:cs="Times New Roman"/>
                <w:szCs w:val="24"/>
              </w:rPr>
              <w:t>-2.85</w:t>
            </w:r>
          </w:p>
        </w:tc>
        <w:tc>
          <w:tcPr>
            <w:tcW w:w="1337" w:type="dxa"/>
            <w:vAlign w:val="center"/>
          </w:tcPr>
          <w:p w14:paraId="565A84E8" w14:textId="77777777" w:rsidR="00580EB0" w:rsidRPr="00651BA4" w:rsidRDefault="00580EB0" w:rsidP="00407D89">
            <w:pPr>
              <w:jc w:val="both"/>
              <w:rPr>
                <w:rFonts w:cs="Times New Roman"/>
                <w:szCs w:val="24"/>
              </w:rPr>
            </w:pPr>
            <w:r w:rsidRPr="00651BA4">
              <w:rPr>
                <w:rFonts w:cs="Times New Roman"/>
                <w:szCs w:val="24"/>
              </w:rPr>
              <w:t>.005</w:t>
            </w:r>
          </w:p>
        </w:tc>
      </w:tr>
      <w:tr w:rsidR="00580EB0" w:rsidRPr="00651BA4" w14:paraId="7829831E" w14:textId="77777777" w:rsidTr="00580EB0">
        <w:trPr>
          <w:jc w:val="center"/>
        </w:trPr>
        <w:tc>
          <w:tcPr>
            <w:tcW w:w="1337" w:type="dxa"/>
            <w:vMerge/>
            <w:vAlign w:val="center"/>
          </w:tcPr>
          <w:p w14:paraId="2A65B4C7" w14:textId="77777777" w:rsidR="00580EB0" w:rsidRPr="00651BA4" w:rsidRDefault="00580EB0" w:rsidP="00407D89">
            <w:pPr>
              <w:jc w:val="both"/>
              <w:rPr>
                <w:rFonts w:cs="Times New Roman"/>
                <w:szCs w:val="24"/>
              </w:rPr>
            </w:pPr>
          </w:p>
        </w:tc>
        <w:tc>
          <w:tcPr>
            <w:tcW w:w="1509" w:type="dxa"/>
            <w:vAlign w:val="center"/>
          </w:tcPr>
          <w:p w14:paraId="1AD50BF0" w14:textId="77777777" w:rsidR="00580EB0" w:rsidRPr="00651BA4" w:rsidRDefault="00580EB0" w:rsidP="00407D89">
            <w:pPr>
              <w:jc w:val="both"/>
              <w:rPr>
                <w:rFonts w:cs="Times New Roman"/>
                <w:szCs w:val="24"/>
              </w:rPr>
            </w:pPr>
            <w:r w:rsidRPr="00651BA4">
              <w:rPr>
                <w:rFonts w:cs="Times New Roman"/>
                <w:szCs w:val="24"/>
              </w:rPr>
              <w:t>Authoritarian</w:t>
            </w:r>
          </w:p>
        </w:tc>
        <w:tc>
          <w:tcPr>
            <w:tcW w:w="1337" w:type="dxa"/>
            <w:vAlign w:val="center"/>
          </w:tcPr>
          <w:p w14:paraId="7A37C143" w14:textId="77777777" w:rsidR="00580EB0" w:rsidRPr="00651BA4" w:rsidRDefault="00580EB0" w:rsidP="00407D89">
            <w:pPr>
              <w:jc w:val="both"/>
              <w:rPr>
                <w:rFonts w:cs="Times New Roman"/>
                <w:szCs w:val="24"/>
              </w:rPr>
            </w:pPr>
            <w:r w:rsidRPr="00651BA4">
              <w:rPr>
                <w:rFonts w:cs="Times New Roman"/>
                <w:szCs w:val="24"/>
              </w:rPr>
              <w:t>0.109</w:t>
            </w:r>
          </w:p>
        </w:tc>
        <w:tc>
          <w:tcPr>
            <w:tcW w:w="1337" w:type="dxa"/>
            <w:vAlign w:val="center"/>
          </w:tcPr>
          <w:p w14:paraId="47FE27B1" w14:textId="77777777" w:rsidR="00580EB0" w:rsidRPr="00651BA4" w:rsidRDefault="00580EB0" w:rsidP="00407D89">
            <w:pPr>
              <w:jc w:val="both"/>
              <w:rPr>
                <w:rFonts w:cs="Times New Roman"/>
                <w:szCs w:val="24"/>
              </w:rPr>
            </w:pPr>
            <w:r w:rsidRPr="00651BA4">
              <w:rPr>
                <w:rFonts w:cs="Times New Roman"/>
                <w:szCs w:val="24"/>
              </w:rPr>
              <w:t>0.059</w:t>
            </w:r>
          </w:p>
        </w:tc>
        <w:tc>
          <w:tcPr>
            <w:tcW w:w="1337" w:type="dxa"/>
            <w:vAlign w:val="center"/>
          </w:tcPr>
          <w:p w14:paraId="7C4590FB" w14:textId="77777777" w:rsidR="00580EB0" w:rsidRPr="00651BA4" w:rsidRDefault="00580EB0" w:rsidP="00407D89">
            <w:pPr>
              <w:jc w:val="both"/>
              <w:rPr>
                <w:rFonts w:cs="Times New Roman"/>
                <w:szCs w:val="24"/>
              </w:rPr>
            </w:pPr>
            <w:r w:rsidRPr="00651BA4">
              <w:rPr>
                <w:rFonts w:cs="Times New Roman"/>
                <w:szCs w:val="24"/>
              </w:rPr>
              <w:t>.121</w:t>
            </w:r>
          </w:p>
        </w:tc>
        <w:tc>
          <w:tcPr>
            <w:tcW w:w="1337" w:type="dxa"/>
            <w:vAlign w:val="center"/>
          </w:tcPr>
          <w:p w14:paraId="13D7EBAA" w14:textId="77777777" w:rsidR="00580EB0" w:rsidRPr="00651BA4" w:rsidRDefault="00580EB0" w:rsidP="00407D89">
            <w:pPr>
              <w:jc w:val="both"/>
              <w:rPr>
                <w:rFonts w:cs="Times New Roman"/>
                <w:szCs w:val="24"/>
              </w:rPr>
            </w:pPr>
            <w:r w:rsidRPr="00651BA4">
              <w:rPr>
                <w:rFonts w:cs="Times New Roman"/>
                <w:szCs w:val="24"/>
              </w:rPr>
              <w:t>1.85</w:t>
            </w:r>
          </w:p>
        </w:tc>
        <w:tc>
          <w:tcPr>
            <w:tcW w:w="1337" w:type="dxa"/>
            <w:vAlign w:val="center"/>
          </w:tcPr>
          <w:p w14:paraId="5D78A39C" w14:textId="77777777" w:rsidR="00580EB0" w:rsidRPr="00651BA4" w:rsidRDefault="00580EB0" w:rsidP="00407D89">
            <w:pPr>
              <w:jc w:val="both"/>
              <w:rPr>
                <w:rFonts w:cs="Times New Roman"/>
                <w:szCs w:val="24"/>
              </w:rPr>
            </w:pPr>
            <w:r w:rsidRPr="00651BA4">
              <w:rPr>
                <w:rFonts w:cs="Times New Roman"/>
                <w:szCs w:val="24"/>
              </w:rPr>
              <w:t>.065</w:t>
            </w:r>
          </w:p>
        </w:tc>
      </w:tr>
      <w:tr w:rsidR="00580EB0" w:rsidRPr="00651BA4" w14:paraId="6C2EA56F" w14:textId="77777777" w:rsidTr="00580EB0">
        <w:trPr>
          <w:jc w:val="center"/>
        </w:trPr>
        <w:tc>
          <w:tcPr>
            <w:tcW w:w="1337" w:type="dxa"/>
            <w:vMerge w:val="restart"/>
            <w:vAlign w:val="center"/>
          </w:tcPr>
          <w:p w14:paraId="6B9801DE" w14:textId="77777777" w:rsidR="00580EB0" w:rsidRPr="00651BA4" w:rsidRDefault="00580EB0" w:rsidP="00407D89">
            <w:pPr>
              <w:jc w:val="both"/>
              <w:rPr>
                <w:rFonts w:cs="Times New Roman"/>
                <w:szCs w:val="24"/>
              </w:rPr>
            </w:pPr>
            <w:r w:rsidRPr="00651BA4">
              <w:rPr>
                <w:rFonts w:cs="Times New Roman"/>
                <w:szCs w:val="24"/>
              </w:rPr>
              <w:t>Reduced academic efficacy</w:t>
            </w:r>
          </w:p>
        </w:tc>
        <w:tc>
          <w:tcPr>
            <w:tcW w:w="1509" w:type="dxa"/>
            <w:vAlign w:val="center"/>
          </w:tcPr>
          <w:p w14:paraId="418C981C" w14:textId="77777777" w:rsidR="00580EB0" w:rsidRPr="00651BA4" w:rsidRDefault="00580EB0" w:rsidP="00407D89">
            <w:pPr>
              <w:jc w:val="both"/>
              <w:rPr>
                <w:rFonts w:cs="Times New Roman"/>
                <w:szCs w:val="24"/>
              </w:rPr>
            </w:pPr>
            <w:r w:rsidRPr="00651BA4">
              <w:rPr>
                <w:rFonts w:cs="Times New Roman"/>
                <w:szCs w:val="24"/>
              </w:rPr>
              <w:t>Benevolent</w:t>
            </w:r>
          </w:p>
        </w:tc>
        <w:tc>
          <w:tcPr>
            <w:tcW w:w="1337" w:type="dxa"/>
            <w:vAlign w:val="center"/>
          </w:tcPr>
          <w:p w14:paraId="49B44AC1" w14:textId="77777777" w:rsidR="00580EB0" w:rsidRPr="00651BA4" w:rsidRDefault="00580EB0" w:rsidP="00407D89">
            <w:pPr>
              <w:jc w:val="both"/>
              <w:rPr>
                <w:rFonts w:cs="Times New Roman"/>
                <w:szCs w:val="24"/>
              </w:rPr>
            </w:pPr>
            <w:r w:rsidRPr="00651BA4">
              <w:rPr>
                <w:rFonts w:cs="Times New Roman"/>
                <w:szCs w:val="24"/>
              </w:rPr>
              <w:t>-0.202</w:t>
            </w:r>
          </w:p>
        </w:tc>
        <w:tc>
          <w:tcPr>
            <w:tcW w:w="1337" w:type="dxa"/>
            <w:vAlign w:val="center"/>
          </w:tcPr>
          <w:p w14:paraId="24A4AD20" w14:textId="77777777" w:rsidR="00580EB0" w:rsidRPr="00651BA4" w:rsidRDefault="00580EB0" w:rsidP="00407D89">
            <w:pPr>
              <w:jc w:val="both"/>
              <w:rPr>
                <w:rFonts w:cs="Times New Roman"/>
                <w:szCs w:val="24"/>
              </w:rPr>
            </w:pPr>
            <w:r w:rsidRPr="00651BA4">
              <w:rPr>
                <w:rFonts w:cs="Times New Roman"/>
                <w:szCs w:val="24"/>
              </w:rPr>
              <w:t>0.058</w:t>
            </w:r>
          </w:p>
        </w:tc>
        <w:tc>
          <w:tcPr>
            <w:tcW w:w="1337" w:type="dxa"/>
            <w:vAlign w:val="center"/>
          </w:tcPr>
          <w:p w14:paraId="5C926463" w14:textId="77777777" w:rsidR="00580EB0" w:rsidRPr="00651BA4" w:rsidRDefault="00580EB0" w:rsidP="00407D89">
            <w:pPr>
              <w:jc w:val="both"/>
              <w:rPr>
                <w:rFonts w:cs="Times New Roman"/>
                <w:szCs w:val="24"/>
              </w:rPr>
            </w:pPr>
            <w:r w:rsidRPr="00651BA4">
              <w:rPr>
                <w:rFonts w:cs="Times New Roman"/>
                <w:szCs w:val="24"/>
              </w:rPr>
              <w:t>-.231</w:t>
            </w:r>
          </w:p>
        </w:tc>
        <w:tc>
          <w:tcPr>
            <w:tcW w:w="1337" w:type="dxa"/>
            <w:vAlign w:val="center"/>
          </w:tcPr>
          <w:p w14:paraId="772219E8" w14:textId="77777777" w:rsidR="00580EB0" w:rsidRPr="00651BA4" w:rsidRDefault="00580EB0" w:rsidP="00407D89">
            <w:pPr>
              <w:jc w:val="both"/>
              <w:rPr>
                <w:rFonts w:cs="Times New Roman"/>
                <w:szCs w:val="24"/>
              </w:rPr>
            </w:pPr>
            <w:r w:rsidRPr="00651BA4">
              <w:rPr>
                <w:rFonts w:cs="Times New Roman"/>
                <w:szCs w:val="24"/>
              </w:rPr>
              <w:t>-3.51</w:t>
            </w:r>
          </w:p>
        </w:tc>
        <w:tc>
          <w:tcPr>
            <w:tcW w:w="1337" w:type="dxa"/>
            <w:vAlign w:val="center"/>
          </w:tcPr>
          <w:p w14:paraId="7248C15B" w14:textId="77777777" w:rsidR="00580EB0" w:rsidRPr="00651BA4" w:rsidRDefault="00580EB0" w:rsidP="00407D89">
            <w:pPr>
              <w:jc w:val="both"/>
              <w:rPr>
                <w:rFonts w:cs="Times New Roman"/>
                <w:szCs w:val="24"/>
              </w:rPr>
            </w:pPr>
            <w:r w:rsidRPr="00651BA4">
              <w:rPr>
                <w:rFonts w:cs="Times New Roman"/>
                <w:szCs w:val="24"/>
              </w:rPr>
              <w:t>.001</w:t>
            </w:r>
          </w:p>
        </w:tc>
      </w:tr>
      <w:tr w:rsidR="00580EB0" w:rsidRPr="00651BA4" w14:paraId="12304805" w14:textId="77777777" w:rsidTr="00580EB0">
        <w:trPr>
          <w:jc w:val="center"/>
        </w:trPr>
        <w:tc>
          <w:tcPr>
            <w:tcW w:w="1337" w:type="dxa"/>
            <w:vMerge/>
            <w:vAlign w:val="center"/>
          </w:tcPr>
          <w:p w14:paraId="548D8A62" w14:textId="77777777" w:rsidR="00580EB0" w:rsidRPr="00651BA4" w:rsidRDefault="00580EB0" w:rsidP="00407D89">
            <w:pPr>
              <w:jc w:val="both"/>
              <w:rPr>
                <w:rFonts w:cs="Times New Roman"/>
                <w:szCs w:val="24"/>
              </w:rPr>
            </w:pPr>
          </w:p>
        </w:tc>
        <w:tc>
          <w:tcPr>
            <w:tcW w:w="1509" w:type="dxa"/>
            <w:vAlign w:val="center"/>
          </w:tcPr>
          <w:p w14:paraId="5502C391" w14:textId="77777777" w:rsidR="00580EB0" w:rsidRPr="00651BA4" w:rsidRDefault="00580EB0" w:rsidP="00407D89">
            <w:pPr>
              <w:jc w:val="both"/>
              <w:rPr>
                <w:rFonts w:cs="Times New Roman"/>
                <w:szCs w:val="24"/>
              </w:rPr>
            </w:pPr>
            <w:r w:rsidRPr="00651BA4">
              <w:rPr>
                <w:rFonts w:cs="Times New Roman"/>
                <w:szCs w:val="24"/>
              </w:rPr>
              <w:t>Moral</w:t>
            </w:r>
          </w:p>
        </w:tc>
        <w:tc>
          <w:tcPr>
            <w:tcW w:w="1337" w:type="dxa"/>
            <w:vAlign w:val="center"/>
          </w:tcPr>
          <w:p w14:paraId="66157614" w14:textId="77777777" w:rsidR="00580EB0" w:rsidRPr="00651BA4" w:rsidRDefault="00580EB0" w:rsidP="00407D89">
            <w:pPr>
              <w:jc w:val="both"/>
              <w:rPr>
                <w:rFonts w:cs="Times New Roman"/>
                <w:szCs w:val="24"/>
              </w:rPr>
            </w:pPr>
            <w:r w:rsidRPr="00651BA4">
              <w:rPr>
                <w:rFonts w:cs="Times New Roman"/>
                <w:szCs w:val="24"/>
              </w:rPr>
              <w:t>-0.155</w:t>
            </w:r>
          </w:p>
        </w:tc>
        <w:tc>
          <w:tcPr>
            <w:tcW w:w="1337" w:type="dxa"/>
            <w:vAlign w:val="center"/>
          </w:tcPr>
          <w:p w14:paraId="605FC663" w14:textId="77777777" w:rsidR="00580EB0" w:rsidRPr="00651BA4" w:rsidRDefault="00580EB0" w:rsidP="00407D89">
            <w:pPr>
              <w:jc w:val="both"/>
              <w:rPr>
                <w:rFonts w:cs="Times New Roman"/>
                <w:szCs w:val="24"/>
              </w:rPr>
            </w:pPr>
            <w:r w:rsidRPr="00651BA4">
              <w:rPr>
                <w:rFonts w:cs="Times New Roman"/>
                <w:szCs w:val="24"/>
              </w:rPr>
              <w:t>0.056</w:t>
            </w:r>
          </w:p>
        </w:tc>
        <w:tc>
          <w:tcPr>
            <w:tcW w:w="1337" w:type="dxa"/>
            <w:vAlign w:val="center"/>
          </w:tcPr>
          <w:p w14:paraId="554ABE19" w14:textId="77777777" w:rsidR="00580EB0" w:rsidRPr="00651BA4" w:rsidRDefault="00580EB0" w:rsidP="00407D89">
            <w:pPr>
              <w:jc w:val="both"/>
              <w:rPr>
                <w:rFonts w:cs="Times New Roman"/>
                <w:szCs w:val="24"/>
              </w:rPr>
            </w:pPr>
            <w:r w:rsidRPr="00651BA4">
              <w:rPr>
                <w:rFonts w:cs="Times New Roman"/>
                <w:szCs w:val="24"/>
              </w:rPr>
              <w:t>-.181</w:t>
            </w:r>
          </w:p>
        </w:tc>
        <w:tc>
          <w:tcPr>
            <w:tcW w:w="1337" w:type="dxa"/>
            <w:vAlign w:val="center"/>
          </w:tcPr>
          <w:p w14:paraId="2F6BA1C5" w14:textId="77777777" w:rsidR="00580EB0" w:rsidRPr="00651BA4" w:rsidRDefault="00580EB0" w:rsidP="00407D89">
            <w:pPr>
              <w:jc w:val="both"/>
              <w:rPr>
                <w:rFonts w:cs="Times New Roman"/>
                <w:szCs w:val="24"/>
              </w:rPr>
            </w:pPr>
            <w:r w:rsidRPr="00651BA4">
              <w:rPr>
                <w:rFonts w:cs="Times New Roman"/>
                <w:szCs w:val="24"/>
              </w:rPr>
              <w:t>-2.75</w:t>
            </w:r>
          </w:p>
        </w:tc>
        <w:tc>
          <w:tcPr>
            <w:tcW w:w="1337" w:type="dxa"/>
            <w:vAlign w:val="center"/>
          </w:tcPr>
          <w:p w14:paraId="4F29D07E" w14:textId="77777777" w:rsidR="00580EB0" w:rsidRPr="00651BA4" w:rsidRDefault="00580EB0" w:rsidP="00407D89">
            <w:pPr>
              <w:jc w:val="both"/>
              <w:rPr>
                <w:rFonts w:cs="Times New Roman"/>
                <w:szCs w:val="24"/>
              </w:rPr>
            </w:pPr>
            <w:r w:rsidRPr="00651BA4">
              <w:rPr>
                <w:rFonts w:cs="Times New Roman"/>
                <w:szCs w:val="24"/>
              </w:rPr>
              <w:t>.007</w:t>
            </w:r>
          </w:p>
        </w:tc>
      </w:tr>
      <w:tr w:rsidR="00580EB0" w:rsidRPr="00651BA4" w14:paraId="5CAD0412" w14:textId="77777777" w:rsidTr="00580EB0">
        <w:trPr>
          <w:jc w:val="center"/>
        </w:trPr>
        <w:tc>
          <w:tcPr>
            <w:tcW w:w="1337" w:type="dxa"/>
            <w:vMerge/>
            <w:vAlign w:val="center"/>
          </w:tcPr>
          <w:p w14:paraId="61479DEA" w14:textId="77777777" w:rsidR="00580EB0" w:rsidRPr="00651BA4" w:rsidRDefault="00580EB0" w:rsidP="00407D89">
            <w:pPr>
              <w:jc w:val="both"/>
              <w:rPr>
                <w:rFonts w:cs="Times New Roman"/>
                <w:szCs w:val="24"/>
              </w:rPr>
            </w:pPr>
          </w:p>
        </w:tc>
        <w:tc>
          <w:tcPr>
            <w:tcW w:w="1509" w:type="dxa"/>
            <w:vAlign w:val="center"/>
          </w:tcPr>
          <w:p w14:paraId="1381F965" w14:textId="77777777" w:rsidR="00580EB0" w:rsidRPr="00651BA4" w:rsidRDefault="00580EB0" w:rsidP="00407D89">
            <w:pPr>
              <w:jc w:val="both"/>
              <w:rPr>
                <w:rFonts w:cs="Times New Roman"/>
                <w:szCs w:val="24"/>
              </w:rPr>
            </w:pPr>
            <w:r w:rsidRPr="00651BA4">
              <w:rPr>
                <w:rFonts w:cs="Times New Roman"/>
                <w:szCs w:val="24"/>
              </w:rPr>
              <w:t>Authoritarian</w:t>
            </w:r>
          </w:p>
        </w:tc>
        <w:tc>
          <w:tcPr>
            <w:tcW w:w="1337" w:type="dxa"/>
            <w:vAlign w:val="center"/>
          </w:tcPr>
          <w:p w14:paraId="7C4953EE" w14:textId="77777777" w:rsidR="00580EB0" w:rsidRPr="00651BA4" w:rsidRDefault="00580EB0" w:rsidP="00407D89">
            <w:pPr>
              <w:jc w:val="both"/>
              <w:rPr>
                <w:rFonts w:cs="Times New Roman"/>
                <w:szCs w:val="24"/>
              </w:rPr>
            </w:pPr>
            <w:r w:rsidRPr="00651BA4">
              <w:rPr>
                <w:rFonts w:cs="Times New Roman"/>
                <w:szCs w:val="24"/>
              </w:rPr>
              <w:t>0.156</w:t>
            </w:r>
          </w:p>
        </w:tc>
        <w:tc>
          <w:tcPr>
            <w:tcW w:w="1337" w:type="dxa"/>
            <w:vAlign w:val="center"/>
          </w:tcPr>
          <w:p w14:paraId="2425D32A" w14:textId="77777777" w:rsidR="00580EB0" w:rsidRPr="00651BA4" w:rsidRDefault="00580EB0" w:rsidP="00407D89">
            <w:pPr>
              <w:jc w:val="both"/>
              <w:rPr>
                <w:rFonts w:cs="Times New Roman"/>
                <w:szCs w:val="24"/>
              </w:rPr>
            </w:pPr>
            <w:r w:rsidRPr="00651BA4">
              <w:rPr>
                <w:rFonts w:cs="Times New Roman"/>
                <w:szCs w:val="24"/>
              </w:rPr>
              <w:t>0.054</w:t>
            </w:r>
          </w:p>
        </w:tc>
        <w:tc>
          <w:tcPr>
            <w:tcW w:w="1337" w:type="dxa"/>
            <w:vAlign w:val="center"/>
          </w:tcPr>
          <w:p w14:paraId="5A22B5EB" w14:textId="77777777" w:rsidR="00580EB0" w:rsidRPr="00651BA4" w:rsidRDefault="00580EB0" w:rsidP="00407D89">
            <w:pPr>
              <w:jc w:val="both"/>
              <w:rPr>
                <w:rFonts w:cs="Times New Roman"/>
                <w:szCs w:val="24"/>
              </w:rPr>
            </w:pPr>
            <w:r w:rsidRPr="00651BA4">
              <w:rPr>
                <w:rFonts w:cs="Times New Roman"/>
                <w:szCs w:val="24"/>
              </w:rPr>
              <w:t>.182</w:t>
            </w:r>
          </w:p>
        </w:tc>
        <w:tc>
          <w:tcPr>
            <w:tcW w:w="1337" w:type="dxa"/>
            <w:vAlign w:val="center"/>
          </w:tcPr>
          <w:p w14:paraId="00A9D30A" w14:textId="77777777" w:rsidR="00580EB0" w:rsidRPr="00651BA4" w:rsidRDefault="00580EB0" w:rsidP="00407D89">
            <w:pPr>
              <w:jc w:val="both"/>
              <w:rPr>
                <w:rFonts w:cs="Times New Roman"/>
                <w:szCs w:val="24"/>
              </w:rPr>
            </w:pPr>
            <w:r w:rsidRPr="00651BA4">
              <w:rPr>
                <w:rFonts w:cs="Times New Roman"/>
                <w:szCs w:val="24"/>
              </w:rPr>
              <w:t>2.87</w:t>
            </w:r>
          </w:p>
        </w:tc>
        <w:tc>
          <w:tcPr>
            <w:tcW w:w="1337" w:type="dxa"/>
            <w:vAlign w:val="center"/>
          </w:tcPr>
          <w:p w14:paraId="0E11D1DF" w14:textId="77777777" w:rsidR="00580EB0" w:rsidRPr="00651BA4" w:rsidRDefault="00580EB0" w:rsidP="00407D89">
            <w:pPr>
              <w:jc w:val="both"/>
              <w:rPr>
                <w:rFonts w:cs="Times New Roman"/>
                <w:szCs w:val="24"/>
              </w:rPr>
            </w:pPr>
            <w:r w:rsidRPr="00651BA4">
              <w:rPr>
                <w:rFonts w:cs="Times New Roman"/>
                <w:szCs w:val="24"/>
              </w:rPr>
              <w:t>.004</w:t>
            </w:r>
          </w:p>
        </w:tc>
      </w:tr>
      <w:tr w:rsidR="00580EB0" w:rsidRPr="00651BA4" w14:paraId="3CC6AA13" w14:textId="77777777" w:rsidTr="00580EB0">
        <w:trPr>
          <w:jc w:val="center"/>
        </w:trPr>
        <w:tc>
          <w:tcPr>
            <w:tcW w:w="1337" w:type="dxa"/>
            <w:vMerge w:val="restart"/>
            <w:vAlign w:val="center"/>
          </w:tcPr>
          <w:p w14:paraId="74820462" w14:textId="77777777" w:rsidR="00580EB0" w:rsidRPr="00651BA4" w:rsidRDefault="00580EB0" w:rsidP="00407D89">
            <w:pPr>
              <w:jc w:val="both"/>
              <w:rPr>
                <w:rFonts w:cs="Times New Roman"/>
                <w:szCs w:val="24"/>
              </w:rPr>
            </w:pPr>
            <w:r w:rsidRPr="00651BA4">
              <w:rPr>
                <w:rFonts w:cs="Times New Roman"/>
                <w:szCs w:val="24"/>
              </w:rPr>
              <w:t>Overall burnout</w:t>
            </w:r>
          </w:p>
        </w:tc>
        <w:tc>
          <w:tcPr>
            <w:tcW w:w="1509" w:type="dxa"/>
            <w:vAlign w:val="center"/>
          </w:tcPr>
          <w:p w14:paraId="3AEF2408" w14:textId="77777777" w:rsidR="00580EB0" w:rsidRPr="00651BA4" w:rsidRDefault="00580EB0" w:rsidP="00407D89">
            <w:pPr>
              <w:jc w:val="both"/>
              <w:rPr>
                <w:rFonts w:cs="Times New Roman"/>
                <w:szCs w:val="24"/>
              </w:rPr>
            </w:pPr>
            <w:r w:rsidRPr="00651BA4">
              <w:rPr>
                <w:rFonts w:cs="Times New Roman"/>
                <w:szCs w:val="24"/>
              </w:rPr>
              <w:t>Benevolent</w:t>
            </w:r>
          </w:p>
        </w:tc>
        <w:tc>
          <w:tcPr>
            <w:tcW w:w="1337" w:type="dxa"/>
            <w:vAlign w:val="center"/>
          </w:tcPr>
          <w:p w14:paraId="03460746" w14:textId="77777777" w:rsidR="00580EB0" w:rsidRPr="00651BA4" w:rsidRDefault="00580EB0" w:rsidP="00407D89">
            <w:pPr>
              <w:jc w:val="both"/>
              <w:rPr>
                <w:rFonts w:cs="Times New Roman"/>
                <w:szCs w:val="24"/>
              </w:rPr>
            </w:pPr>
            <w:r w:rsidRPr="00651BA4">
              <w:rPr>
                <w:rFonts w:cs="Times New Roman"/>
                <w:szCs w:val="24"/>
              </w:rPr>
              <w:t>-0.178</w:t>
            </w:r>
          </w:p>
        </w:tc>
        <w:tc>
          <w:tcPr>
            <w:tcW w:w="1337" w:type="dxa"/>
            <w:vAlign w:val="center"/>
          </w:tcPr>
          <w:p w14:paraId="3091BD08" w14:textId="77777777" w:rsidR="00580EB0" w:rsidRPr="00651BA4" w:rsidRDefault="00580EB0" w:rsidP="00407D89">
            <w:pPr>
              <w:jc w:val="both"/>
              <w:rPr>
                <w:rFonts w:cs="Times New Roman"/>
                <w:szCs w:val="24"/>
              </w:rPr>
            </w:pPr>
            <w:r w:rsidRPr="00651BA4">
              <w:rPr>
                <w:rFonts w:cs="Times New Roman"/>
                <w:szCs w:val="24"/>
              </w:rPr>
              <w:t>0.035</w:t>
            </w:r>
          </w:p>
        </w:tc>
        <w:tc>
          <w:tcPr>
            <w:tcW w:w="1337" w:type="dxa"/>
            <w:vAlign w:val="center"/>
          </w:tcPr>
          <w:p w14:paraId="620DA304" w14:textId="77777777" w:rsidR="00580EB0" w:rsidRPr="00651BA4" w:rsidRDefault="00580EB0" w:rsidP="00407D89">
            <w:pPr>
              <w:jc w:val="both"/>
              <w:rPr>
                <w:rFonts w:cs="Times New Roman"/>
                <w:szCs w:val="24"/>
              </w:rPr>
            </w:pPr>
            <w:r w:rsidRPr="00651BA4">
              <w:rPr>
                <w:rFonts w:cs="Times New Roman"/>
                <w:szCs w:val="24"/>
              </w:rPr>
              <w:t>-.288</w:t>
            </w:r>
          </w:p>
        </w:tc>
        <w:tc>
          <w:tcPr>
            <w:tcW w:w="1337" w:type="dxa"/>
            <w:vAlign w:val="center"/>
          </w:tcPr>
          <w:p w14:paraId="4033A965" w14:textId="77777777" w:rsidR="00580EB0" w:rsidRPr="00651BA4" w:rsidRDefault="00580EB0" w:rsidP="00407D89">
            <w:pPr>
              <w:jc w:val="both"/>
              <w:rPr>
                <w:rFonts w:cs="Times New Roman"/>
                <w:szCs w:val="24"/>
              </w:rPr>
            </w:pPr>
            <w:r w:rsidRPr="00651BA4">
              <w:rPr>
                <w:rFonts w:cs="Times New Roman"/>
                <w:szCs w:val="24"/>
              </w:rPr>
              <w:t>-5.12</w:t>
            </w:r>
          </w:p>
        </w:tc>
        <w:tc>
          <w:tcPr>
            <w:tcW w:w="1337" w:type="dxa"/>
            <w:vAlign w:val="center"/>
          </w:tcPr>
          <w:p w14:paraId="18F65279" w14:textId="77777777" w:rsidR="00580EB0" w:rsidRPr="00651BA4" w:rsidRDefault="00580EB0" w:rsidP="00407D89">
            <w:pPr>
              <w:jc w:val="both"/>
              <w:rPr>
                <w:rFonts w:cs="Times New Roman"/>
                <w:szCs w:val="24"/>
              </w:rPr>
            </w:pPr>
            <w:r w:rsidRPr="00651BA4">
              <w:rPr>
                <w:rFonts w:cs="Times New Roman"/>
                <w:szCs w:val="24"/>
              </w:rPr>
              <w:t>&lt;.001</w:t>
            </w:r>
          </w:p>
        </w:tc>
      </w:tr>
      <w:tr w:rsidR="00580EB0" w:rsidRPr="00651BA4" w14:paraId="2CDAD744" w14:textId="77777777" w:rsidTr="00580EB0">
        <w:trPr>
          <w:jc w:val="center"/>
        </w:trPr>
        <w:tc>
          <w:tcPr>
            <w:tcW w:w="1337" w:type="dxa"/>
            <w:vMerge/>
            <w:vAlign w:val="center"/>
          </w:tcPr>
          <w:p w14:paraId="2C7764A2" w14:textId="77777777" w:rsidR="00580EB0" w:rsidRPr="00651BA4" w:rsidRDefault="00580EB0" w:rsidP="00407D89">
            <w:pPr>
              <w:jc w:val="both"/>
              <w:rPr>
                <w:rFonts w:cs="Times New Roman"/>
                <w:szCs w:val="24"/>
              </w:rPr>
            </w:pPr>
          </w:p>
        </w:tc>
        <w:tc>
          <w:tcPr>
            <w:tcW w:w="1509" w:type="dxa"/>
            <w:vAlign w:val="center"/>
          </w:tcPr>
          <w:p w14:paraId="7B5C6A7F" w14:textId="77777777" w:rsidR="00580EB0" w:rsidRPr="00651BA4" w:rsidRDefault="00580EB0" w:rsidP="00407D89">
            <w:pPr>
              <w:jc w:val="both"/>
              <w:rPr>
                <w:rFonts w:cs="Times New Roman"/>
                <w:szCs w:val="24"/>
              </w:rPr>
            </w:pPr>
            <w:r w:rsidRPr="00651BA4">
              <w:rPr>
                <w:rFonts w:cs="Times New Roman"/>
                <w:szCs w:val="24"/>
              </w:rPr>
              <w:t>Moral</w:t>
            </w:r>
          </w:p>
        </w:tc>
        <w:tc>
          <w:tcPr>
            <w:tcW w:w="1337" w:type="dxa"/>
            <w:vAlign w:val="center"/>
          </w:tcPr>
          <w:p w14:paraId="236E8D90" w14:textId="77777777" w:rsidR="00580EB0" w:rsidRPr="00651BA4" w:rsidRDefault="00580EB0" w:rsidP="00407D89">
            <w:pPr>
              <w:jc w:val="both"/>
              <w:rPr>
                <w:rFonts w:cs="Times New Roman"/>
                <w:szCs w:val="24"/>
              </w:rPr>
            </w:pPr>
            <w:r w:rsidRPr="00651BA4">
              <w:rPr>
                <w:rFonts w:cs="Times New Roman"/>
                <w:szCs w:val="24"/>
              </w:rPr>
              <w:t>-0.183</w:t>
            </w:r>
          </w:p>
        </w:tc>
        <w:tc>
          <w:tcPr>
            <w:tcW w:w="1337" w:type="dxa"/>
            <w:vAlign w:val="center"/>
          </w:tcPr>
          <w:p w14:paraId="633997DD" w14:textId="77777777" w:rsidR="00580EB0" w:rsidRPr="00651BA4" w:rsidRDefault="00580EB0" w:rsidP="00407D89">
            <w:pPr>
              <w:jc w:val="both"/>
              <w:rPr>
                <w:rFonts w:cs="Times New Roman"/>
                <w:szCs w:val="24"/>
              </w:rPr>
            </w:pPr>
            <w:r w:rsidRPr="00651BA4">
              <w:rPr>
                <w:rFonts w:cs="Times New Roman"/>
                <w:szCs w:val="24"/>
              </w:rPr>
              <w:t>0.034</w:t>
            </w:r>
          </w:p>
        </w:tc>
        <w:tc>
          <w:tcPr>
            <w:tcW w:w="1337" w:type="dxa"/>
            <w:vAlign w:val="center"/>
          </w:tcPr>
          <w:p w14:paraId="3383EF39" w14:textId="77777777" w:rsidR="00580EB0" w:rsidRPr="00651BA4" w:rsidRDefault="00580EB0" w:rsidP="00407D89">
            <w:pPr>
              <w:jc w:val="both"/>
              <w:rPr>
                <w:rFonts w:cs="Times New Roman"/>
                <w:szCs w:val="24"/>
              </w:rPr>
            </w:pPr>
            <w:r w:rsidRPr="00651BA4">
              <w:rPr>
                <w:rFonts w:cs="Times New Roman"/>
                <w:szCs w:val="24"/>
              </w:rPr>
              <w:t>-.304</w:t>
            </w:r>
          </w:p>
        </w:tc>
        <w:tc>
          <w:tcPr>
            <w:tcW w:w="1337" w:type="dxa"/>
            <w:vAlign w:val="center"/>
          </w:tcPr>
          <w:p w14:paraId="677D33CC" w14:textId="77777777" w:rsidR="00580EB0" w:rsidRPr="00651BA4" w:rsidRDefault="00580EB0" w:rsidP="00407D89">
            <w:pPr>
              <w:jc w:val="both"/>
              <w:rPr>
                <w:rFonts w:cs="Times New Roman"/>
                <w:szCs w:val="24"/>
              </w:rPr>
            </w:pPr>
            <w:r w:rsidRPr="00651BA4">
              <w:rPr>
                <w:rFonts w:cs="Times New Roman"/>
                <w:szCs w:val="24"/>
              </w:rPr>
              <w:t>-5.40</w:t>
            </w:r>
          </w:p>
        </w:tc>
        <w:tc>
          <w:tcPr>
            <w:tcW w:w="1337" w:type="dxa"/>
            <w:vAlign w:val="center"/>
          </w:tcPr>
          <w:p w14:paraId="49390DFF" w14:textId="77777777" w:rsidR="00580EB0" w:rsidRPr="00651BA4" w:rsidRDefault="00580EB0" w:rsidP="00407D89">
            <w:pPr>
              <w:jc w:val="both"/>
              <w:rPr>
                <w:rFonts w:cs="Times New Roman"/>
                <w:szCs w:val="24"/>
              </w:rPr>
            </w:pPr>
            <w:r w:rsidRPr="00651BA4">
              <w:rPr>
                <w:rFonts w:cs="Times New Roman"/>
                <w:szCs w:val="24"/>
              </w:rPr>
              <w:t>&lt;.001</w:t>
            </w:r>
          </w:p>
        </w:tc>
      </w:tr>
      <w:tr w:rsidR="00580EB0" w:rsidRPr="00651BA4" w14:paraId="11D194F4" w14:textId="77777777" w:rsidTr="00580EB0">
        <w:trPr>
          <w:jc w:val="center"/>
        </w:trPr>
        <w:tc>
          <w:tcPr>
            <w:tcW w:w="1337" w:type="dxa"/>
            <w:vMerge/>
            <w:vAlign w:val="center"/>
          </w:tcPr>
          <w:p w14:paraId="62810732" w14:textId="77777777" w:rsidR="00580EB0" w:rsidRPr="00651BA4" w:rsidRDefault="00580EB0" w:rsidP="00407D89">
            <w:pPr>
              <w:jc w:val="both"/>
              <w:rPr>
                <w:rFonts w:cs="Times New Roman"/>
                <w:szCs w:val="24"/>
              </w:rPr>
            </w:pPr>
          </w:p>
        </w:tc>
        <w:tc>
          <w:tcPr>
            <w:tcW w:w="1509" w:type="dxa"/>
            <w:vAlign w:val="center"/>
          </w:tcPr>
          <w:p w14:paraId="0AFDEB8C" w14:textId="77777777" w:rsidR="00580EB0" w:rsidRPr="00651BA4" w:rsidRDefault="00580EB0" w:rsidP="00407D89">
            <w:pPr>
              <w:jc w:val="both"/>
              <w:rPr>
                <w:rFonts w:cs="Times New Roman"/>
                <w:szCs w:val="24"/>
              </w:rPr>
            </w:pPr>
            <w:r w:rsidRPr="00651BA4">
              <w:rPr>
                <w:rFonts w:cs="Times New Roman"/>
                <w:szCs w:val="24"/>
              </w:rPr>
              <w:t>Authoritarian</w:t>
            </w:r>
          </w:p>
        </w:tc>
        <w:tc>
          <w:tcPr>
            <w:tcW w:w="1337" w:type="dxa"/>
            <w:vAlign w:val="center"/>
          </w:tcPr>
          <w:p w14:paraId="4A42204B" w14:textId="77777777" w:rsidR="00580EB0" w:rsidRPr="00651BA4" w:rsidRDefault="00580EB0" w:rsidP="00407D89">
            <w:pPr>
              <w:jc w:val="both"/>
              <w:rPr>
                <w:rFonts w:cs="Times New Roman"/>
                <w:szCs w:val="24"/>
              </w:rPr>
            </w:pPr>
            <w:r w:rsidRPr="00651BA4">
              <w:rPr>
                <w:rFonts w:cs="Times New Roman"/>
                <w:szCs w:val="24"/>
              </w:rPr>
              <w:t>0.173</w:t>
            </w:r>
          </w:p>
        </w:tc>
        <w:tc>
          <w:tcPr>
            <w:tcW w:w="1337" w:type="dxa"/>
            <w:vAlign w:val="center"/>
          </w:tcPr>
          <w:p w14:paraId="65DDAD31" w14:textId="77777777" w:rsidR="00580EB0" w:rsidRPr="00651BA4" w:rsidRDefault="00580EB0" w:rsidP="00407D89">
            <w:pPr>
              <w:jc w:val="both"/>
              <w:rPr>
                <w:rFonts w:cs="Times New Roman"/>
                <w:szCs w:val="24"/>
              </w:rPr>
            </w:pPr>
            <w:r w:rsidRPr="00651BA4">
              <w:rPr>
                <w:rFonts w:cs="Times New Roman"/>
                <w:szCs w:val="24"/>
              </w:rPr>
              <w:t>0.033</w:t>
            </w:r>
          </w:p>
        </w:tc>
        <w:tc>
          <w:tcPr>
            <w:tcW w:w="1337" w:type="dxa"/>
            <w:vAlign w:val="center"/>
          </w:tcPr>
          <w:p w14:paraId="044A29BD" w14:textId="77777777" w:rsidR="00580EB0" w:rsidRPr="00651BA4" w:rsidRDefault="00580EB0" w:rsidP="00407D89">
            <w:pPr>
              <w:jc w:val="both"/>
              <w:rPr>
                <w:rFonts w:cs="Times New Roman"/>
                <w:szCs w:val="24"/>
              </w:rPr>
            </w:pPr>
            <w:r w:rsidRPr="00651BA4">
              <w:rPr>
                <w:rFonts w:cs="Times New Roman"/>
                <w:szCs w:val="24"/>
              </w:rPr>
              <w:t>.288</w:t>
            </w:r>
          </w:p>
        </w:tc>
        <w:tc>
          <w:tcPr>
            <w:tcW w:w="1337" w:type="dxa"/>
            <w:vAlign w:val="center"/>
          </w:tcPr>
          <w:p w14:paraId="2C2FF195" w14:textId="77777777" w:rsidR="00580EB0" w:rsidRPr="00651BA4" w:rsidRDefault="00580EB0" w:rsidP="00407D89">
            <w:pPr>
              <w:jc w:val="both"/>
              <w:rPr>
                <w:rFonts w:cs="Times New Roman"/>
                <w:szCs w:val="24"/>
              </w:rPr>
            </w:pPr>
            <w:r w:rsidRPr="00651BA4">
              <w:rPr>
                <w:rFonts w:cs="Times New Roman"/>
                <w:szCs w:val="24"/>
              </w:rPr>
              <w:t>5.32</w:t>
            </w:r>
          </w:p>
        </w:tc>
        <w:tc>
          <w:tcPr>
            <w:tcW w:w="1337" w:type="dxa"/>
            <w:vAlign w:val="center"/>
          </w:tcPr>
          <w:p w14:paraId="4653A444" w14:textId="77777777" w:rsidR="00580EB0" w:rsidRPr="00651BA4" w:rsidRDefault="00580EB0" w:rsidP="00407D89">
            <w:pPr>
              <w:jc w:val="both"/>
              <w:rPr>
                <w:rFonts w:cs="Times New Roman"/>
                <w:szCs w:val="24"/>
              </w:rPr>
            </w:pPr>
            <w:r w:rsidRPr="00651BA4">
              <w:rPr>
                <w:rFonts w:cs="Times New Roman"/>
                <w:szCs w:val="24"/>
              </w:rPr>
              <w:t>&lt;.001</w:t>
            </w:r>
          </w:p>
        </w:tc>
      </w:tr>
    </w:tbl>
    <w:p w14:paraId="304C1CB9" w14:textId="77777777" w:rsidR="00C90D78" w:rsidRPr="00651BA4" w:rsidRDefault="00306274" w:rsidP="00407D89">
      <w:pPr>
        <w:jc w:val="both"/>
        <w:rPr>
          <w:rFonts w:cs="Times New Roman"/>
          <w:szCs w:val="24"/>
        </w:rPr>
      </w:pPr>
      <w:r w:rsidRPr="00651BA4">
        <w:rPr>
          <w:rFonts w:cs="Times New Roman"/>
          <w:szCs w:val="24"/>
        </w:rPr>
        <w:t xml:space="preserve">Note. Gender and </w:t>
      </w:r>
      <w:r w:rsidR="00DE19C0" w:rsidRPr="00651BA4">
        <w:rPr>
          <w:rFonts w:cs="Times New Roman"/>
          <w:szCs w:val="24"/>
        </w:rPr>
        <w:t>academic year</w:t>
      </w:r>
      <w:r w:rsidRPr="00651BA4">
        <w:rPr>
          <w:rFonts w:cs="Times New Roman"/>
          <w:szCs w:val="24"/>
        </w:rPr>
        <w:t xml:space="preserve"> were included as control variables in all models but were not significant.</w:t>
      </w:r>
    </w:p>
    <w:p w14:paraId="72F6B501" w14:textId="77777777" w:rsidR="00C90D78" w:rsidRPr="00651BA4" w:rsidRDefault="00306274" w:rsidP="00407D89">
      <w:pPr>
        <w:jc w:val="both"/>
        <w:rPr>
          <w:rFonts w:cs="Times New Roman"/>
          <w:szCs w:val="24"/>
        </w:rPr>
      </w:pPr>
      <w:r w:rsidRPr="00651BA4">
        <w:rPr>
          <w:rFonts w:cs="Times New Roman"/>
          <w:szCs w:val="24"/>
        </w:rPr>
        <w:t xml:space="preserve">As a supplementary check, overall parental leadership was also entered as a single composite predictor of overall burnout. The composite score was negatively associated with burnout (B = −0.540, p &lt; .001). This result is directionally consistent with the main analyses, but it is less </w:t>
      </w:r>
      <w:r w:rsidRPr="00651BA4">
        <w:rPr>
          <w:rFonts w:cs="Times New Roman"/>
          <w:szCs w:val="24"/>
        </w:rPr>
        <w:lastRenderedPageBreak/>
        <w:t>informative than the dimension-level models because it masks the fact that benevolent and moral leadership operate differently from authoritarian leadership.</w:t>
      </w:r>
    </w:p>
    <w:p w14:paraId="7D8AD25C" w14:textId="77777777" w:rsidR="00C90D78" w:rsidRPr="00651BA4" w:rsidRDefault="00306274" w:rsidP="00407D89">
      <w:pPr>
        <w:jc w:val="both"/>
        <w:rPr>
          <w:rFonts w:cs="Times New Roman"/>
          <w:szCs w:val="24"/>
        </w:rPr>
      </w:pPr>
      <w:r w:rsidRPr="00651BA4">
        <w:rPr>
          <w:rFonts w:cs="Times New Roman"/>
          <w:szCs w:val="24"/>
        </w:rPr>
        <w:t>Because gender was relatively balanced in the sample and might plausibly shape how students interpret teacher behavior, exploratory moderation analyses were conducted by adding interaction terms between gender and each leadership dimension. None of the interaction terms was robust across model specifications. Accordingly, gender moderation was treated as exploratory and is not emphasized in the interpretation of the main findings.</w:t>
      </w:r>
    </w:p>
    <w:p w14:paraId="51B4FBF2" w14:textId="77777777" w:rsidR="00C90D78" w:rsidRPr="00580EB0" w:rsidRDefault="00306274" w:rsidP="00407D89">
      <w:pPr>
        <w:pStyle w:val="Heading1"/>
        <w:numPr>
          <w:ilvl w:val="0"/>
          <w:numId w:val="10"/>
        </w:numPr>
        <w:jc w:val="both"/>
        <w:rPr>
          <w:rFonts w:ascii="Times New Roman" w:hAnsi="Times New Roman" w:cs="Times New Roman"/>
          <w:color w:val="auto"/>
          <w:sz w:val="24"/>
          <w:szCs w:val="24"/>
        </w:rPr>
      </w:pPr>
      <w:r w:rsidRPr="00580EB0">
        <w:rPr>
          <w:rFonts w:ascii="Times New Roman" w:hAnsi="Times New Roman" w:cs="Times New Roman"/>
          <w:color w:val="auto"/>
          <w:sz w:val="24"/>
          <w:szCs w:val="24"/>
        </w:rPr>
        <w:t>Discussion</w:t>
      </w:r>
    </w:p>
    <w:p w14:paraId="27325BBE" w14:textId="77777777" w:rsidR="00C90D78" w:rsidRPr="00651BA4" w:rsidRDefault="00306274" w:rsidP="00407D89">
      <w:pPr>
        <w:jc w:val="both"/>
        <w:rPr>
          <w:rFonts w:cs="Times New Roman"/>
          <w:szCs w:val="24"/>
        </w:rPr>
      </w:pPr>
      <w:r w:rsidRPr="00651BA4">
        <w:rPr>
          <w:rFonts w:cs="Times New Roman"/>
          <w:szCs w:val="24"/>
        </w:rPr>
        <w:t xml:space="preserve">This study set out to examine whether the three dimensions of teacher parental leadership relate to medical students’ learning burnout in the same way. </w:t>
      </w:r>
    </w:p>
    <w:p w14:paraId="51F63FEB" w14:textId="77777777" w:rsidR="00C90D78" w:rsidRPr="00580EB0" w:rsidRDefault="00580EB0" w:rsidP="00407D89">
      <w:pPr>
        <w:pStyle w:val="Heading2"/>
        <w:jc w:val="both"/>
        <w:rPr>
          <w:rFonts w:ascii="Times New Roman" w:hAnsi="Times New Roman" w:cs="Times New Roman"/>
          <w:color w:val="auto"/>
          <w:szCs w:val="24"/>
        </w:rPr>
      </w:pPr>
      <w:r>
        <w:rPr>
          <w:rFonts w:ascii="Times New Roman" w:eastAsia="SimSun" w:hAnsi="Times New Roman" w:cs="Times New Roman" w:hint="eastAsia"/>
          <w:color w:val="auto"/>
          <w:szCs w:val="24"/>
          <w:lang w:eastAsia="zh-CN"/>
        </w:rPr>
        <w:t xml:space="preserve">4.1 </w:t>
      </w:r>
      <w:r w:rsidR="00306274" w:rsidRPr="00580EB0">
        <w:rPr>
          <w:rFonts w:ascii="Times New Roman" w:hAnsi="Times New Roman" w:cs="Times New Roman"/>
          <w:color w:val="auto"/>
          <w:szCs w:val="24"/>
        </w:rPr>
        <w:t>Benevolent leadership and lower burnout</w:t>
      </w:r>
    </w:p>
    <w:p w14:paraId="6EFF078A" w14:textId="77777777" w:rsidR="00C90D78" w:rsidRPr="00651BA4" w:rsidRDefault="00306274" w:rsidP="00407D89">
      <w:pPr>
        <w:jc w:val="both"/>
        <w:rPr>
          <w:rFonts w:cs="Times New Roman"/>
          <w:szCs w:val="24"/>
        </w:rPr>
      </w:pPr>
      <w:r w:rsidRPr="00651BA4">
        <w:rPr>
          <w:rFonts w:cs="Times New Roman"/>
          <w:szCs w:val="24"/>
        </w:rPr>
        <w:t>Benevolent leadership showed the clearest protective pattern. Students who perceived their teachers as attentive, supportive, and concerned with their development reported lower exhaustion, less cynicism, less reduced academic efficacy, and lower overall burnout. In a demanding learning environment, this makes substantive sense. Benevolence can function as a resource not because it lowers academic standards, but because it changes how students experience those standards.</w:t>
      </w:r>
    </w:p>
    <w:p w14:paraId="48D12BEC" w14:textId="77777777" w:rsidR="00C90D78" w:rsidRPr="00651BA4" w:rsidRDefault="00306274" w:rsidP="00407D89">
      <w:pPr>
        <w:jc w:val="both"/>
        <w:rPr>
          <w:rFonts w:cs="Times New Roman"/>
          <w:szCs w:val="24"/>
        </w:rPr>
      </w:pPr>
      <w:r w:rsidRPr="00651BA4">
        <w:rPr>
          <w:rFonts w:cs="Times New Roman"/>
          <w:szCs w:val="24"/>
        </w:rPr>
        <w:t>This interpretation fits recent work showing that teacher leadership reduces academic burnout partly by strengthening autonomy, self-efficacy, relationship quality, and professional commitment (Fang, 2025; Xie et al., 2025). The present findings suggest that one route through which such resources may enter medical students’ experience is the teacher’s willingness to show concern in concrete, recognizable ways. In other words, support appears to matter most when it is embedded in an ongoing pedagogical relationship rather than treated as a generic interpersonal virtue.</w:t>
      </w:r>
    </w:p>
    <w:p w14:paraId="1B8EE111" w14:textId="77777777" w:rsidR="00C90D78" w:rsidRPr="00651BA4" w:rsidRDefault="00580EB0" w:rsidP="00407D89">
      <w:pPr>
        <w:pStyle w:val="Heading2"/>
        <w:jc w:val="both"/>
        <w:rPr>
          <w:rFonts w:ascii="Times New Roman" w:hAnsi="Times New Roman" w:cs="Times New Roman"/>
          <w:b w:val="0"/>
          <w:color w:val="auto"/>
          <w:szCs w:val="24"/>
        </w:rPr>
      </w:pPr>
      <w:r>
        <w:rPr>
          <w:rFonts w:ascii="Times New Roman" w:eastAsia="SimSun" w:hAnsi="Times New Roman" w:cs="Times New Roman" w:hint="eastAsia"/>
          <w:color w:val="auto"/>
          <w:szCs w:val="24"/>
          <w:lang w:eastAsia="zh-CN"/>
        </w:rPr>
        <w:t xml:space="preserve">4.2 </w:t>
      </w:r>
      <w:r w:rsidR="00306274" w:rsidRPr="00651BA4">
        <w:rPr>
          <w:rFonts w:ascii="Times New Roman" w:hAnsi="Times New Roman" w:cs="Times New Roman"/>
          <w:color w:val="auto"/>
          <w:szCs w:val="24"/>
        </w:rPr>
        <w:t>Moral leadership and lower burnout</w:t>
      </w:r>
    </w:p>
    <w:p w14:paraId="535D04F8" w14:textId="77777777" w:rsidR="00C90D78" w:rsidRPr="00651BA4" w:rsidRDefault="00306274" w:rsidP="00407D89">
      <w:pPr>
        <w:jc w:val="both"/>
        <w:rPr>
          <w:rFonts w:cs="Times New Roman"/>
          <w:szCs w:val="24"/>
        </w:rPr>
      </w:pPr>
      <w:r w:rsidRPr="00651BA4">
        <w:rPr>
          <w:rFonts w:cs="Times New Roman"/>
          <w:szCs w:val="24"/>
        </w:rPr>
        <w:t xml:space="preserve">Moral leadership displayed a similarly consistent negative association with burnout, but its meaning is not identical to benevolence. Moral leadership concerns fairness, integrity, self-restraint, and credibility. In a medical program, those qualities may shape whether demanding expectations are experienced as legitimate. Students can tolerate heavy workloads more readily when they believe that those setting the standards are principled, fair, and accountable to the same norms they impose on others. This may help explain why moral leadership remained significant even after benevolent leadership was controlled. Care and fairness overlap, but they are not interchangeable. A teacher may be personally warm without being perceived as fair, just as a teacher may be fair without being especially nurturing. The present findings suggest that both </w:t>
      </w:r>
      <w:proofErr w:type="gramStart"/>
      <w:r w:rsidRPr="00651BA4">
        <w:rPr>
          <w:rFonts w:cs="Times New Roman"/>
          <w:szCs w:val="24"/>
        </w:rPr>
        <w:t>matter</w:t>
      </w:r>
      <w:proofErr w:type="gramEnd"/>
      <w:r w:rsidRPr="00651BA4">
        <w:rPr>
          <w:rFonts w:cs="Times New Roman"/>
          <w:szCs w:val="24"/>
        </w:rPr>
        <w:t>, albeit for partly different reasons. Benevolence may soften the emotional burden of study, whereas moral leadership may stabilize students’ trust in the learning environment.</w:t>
      </w:r>
    </w:p>
    <w:p w14:paraId="329475FC" w14:textId="77777777" w:rsidR="00C90D78" w:rsidRPr="00651BA4" w:rsidRDefault="00306274" w:rsidP="00407D89">
      <w:pPr>
        <w:jc w:val="both"/>
        <w:rPr>
          <w:rFonts w:cs="Times New Roman"/>
          <w:szCs w:val="24"/>
        </w:rPr>
      </w:pPr>
      <w:r w:rsidRPr="00651BA4">
        <w:rPr>
          <w:rFonts w:cs="Times New Roman"/>
          <w:szCs w:val="24"/>
        </w:rPr>
        <w:lastRenderedPageBreak/>
        <w:t>That distinction is important in medical education, where teachers are not only transmitters of knowledge but also visible representatives of professional norms. The effect of moral leadership in this study therefore points beyond classroom management. It suggests that students’ burnout experiences are shaped, at least in part, by whether authority is exercised in ways they recognize as ethically grounded.</w:t>
      </w:r>
    </w:p>
    <w:p w14:paraId="047F20DD" w14:textId="77777777" w:rsidR="00C90D78" w:rsidRPr="00580EB0" w:rsidRDefault="00580EB0" w:rsidP="00407D89">
      <w:pPr>
        <w:pStyle w:val="Heading2"/>
        <w:jc w:val="both"/>
        <w:rPr>
          <w:rFonts w:ascii="Times New Roman" w:hAnsi="Times New Roman" w:cs="Times New Roman"/>
          <w:color w:val="auto"/>
          <w:szCs w:val="24"/>
        </w:rPr>
      </w:pPr>
      <w:r w:rsidRPr="00580EB0">
        <w:rPr>
          <w:rFonts w:ascii="Times New Roman" w:eastAsia="SimSun" w:hAnsi="Times New Roman" w:cs="Times New Roman" w:hint="eastAsia"/>
          <w:color w:val="auto"/>
          <w:szCs w:val="24"/>
          <w:lang w:eastAsia="zh-CN"/>
        </w:rPr>
        <w:t xml:space="preserve">4.3 </w:t>
      </w:r>
      <w:r w:rsidR="00306274" w:rsidRPr="00580EB0">
        <w:rPr>
          <w:rFonts w:ascii="Times New Roman" w:hAnsi="Times New Roman" w:cs="Times New Roman"/>
          <w:color w:val="auto"/>
          <w:szCs w:val="24"/>
        </w:rPr>
        <w:t>Authoritarian leadership and higher burnout</w:t>
      </w:r>
    </w:p>
    <w:p w14:paraId="1C1C695F" w14:textId="77777777" w:rsidR="00C90D78" w:rsidRPr="00651BA4" w:rsidRDefault="00306274" w:rsidP="00407D89">
      <w:pPr>
        <w:jc w:val="both"/>
        <w:rPr>
          <w:rFonts w:cs="Times New Roman"/>
          <w:szCs w:val="24"/>
        </w:rPr>
      </w:pPr>
      <w:r w:rsidRPr="00651BA4">
        <w:rPr>
          <w:rFonts w:cs="Times New Roman"/>
          <w:szCs w:val="24"/>
        </w:rPr>
        <w:t xml:space="preserve">Authoritarian leadership showed the opposite pattern. Students who perceived their teachers as highly controlling, excessively strict, and strongly obedience-oriented reported higher exhaustion, greater reduced academic efficacy, and higher overall burnout. The coefficient for cynicism was smaller and did not meet the conventional significance threshold in the full model, but the direction remained positive. </w:t>
      </w:r>
    </w:p>
    <w:p w14:paraId="09032600" w14:textId="77777777" w:rsidR="00C90D78" w:rsidRPr="00651BA4" w:rsidRDefault="00306274" w:rsidP="00407D89">
      <w:pPr>
        <w:jc w:val="both"/>
        <w:rPr>
          <w:rFonts w:cs="Times New Roman"/>
          <w:szCs w:val="24"/>
        </w:rPr>
      </w:pPr>
      <w:r w:rsidRPr="00651BA4">
        <w:rPr>
          <w:rFonts w:cs="Times New Roman"/>
          <w:szCs w:val="24"/>
        </w:rPr>
        <w:t>This result aligns with recent evidence that authoritarian teacher behavior is associated with poorer student well-being and that emotional exhaustion may be one pathway linking the two (Peng &amp; Huang, 2024). The present findings extend that point by showing that authoritarianism is not simply the absence of care or morality. Even when benevolent and moral leadership were included in the same model, authoritarian leadership retained an independent positive association with burnout. What seems to matter is not only whether teachers are supportive, but also whether students experience authority as coercive, rigid, or unquestionable.</w:t>
      </w:r>
    </w:p>
    <w:p w14:paraId="58D58239" w14:textId="77777777" w:rsidR="00C90D78" w:rsidRPr="00580EB0" w:rsidRDefault="00580EB0" w:rsidP="00407D89">
      <w:pPr>
        <w:pStyle w:val="Heading2"/>
        <w:jc w:val="both"/>
        <w:rPr>
          <w:rFonts w:ascii="Times New Roman" w:hAnsi="Times New Roman" w:cs="Times New Roman"/>
          <w:color w:val="auto"/>
          <w:szCs w:val="24"/>
        </w:rPr>
      </w:pPr>
      <w:r w:rsidRPr="00580EB0">
        <w:rPr>
          <w:rFonts w:ascii="Times New Roman" w:eastAsia="SimSun" w:hAnsi="Times New Roman" w:cs="Times New Roman" w:hint="eastAsia"/>
          <w:color w:val="auto"/>
          <w:szCs w:val="24"/>
          <w:lang w:eastAsia="zh-CN"/>
        </w:rPr>
        <w:t xml:space="preserve">4.4 </w:t>
      </w:r>
      <w:r w:rsidR="00306274" w:rsidRPr="00580EB0">
        <w:rPr>
          <w:rFonts w:ascii="Times New Roman" w:hAnsi="Times New Roman" w:cs="Times New Roman"/>
          <w:color w:val="auto"/>
          <w:szCs w:val="24"/>
        </w:rPr>
        <w:t>Why the effects differed across burnout dimensions</w:t>
      </w:r>
    </w:p>
    <w:p w14:paraId="11F1B5B4" w14:textId="77777777" w:rsidR="00C90D78" w:rsidRPr="00651BA4" w:rsidRDefault="00306274" w:rsidP="00407D89">
      <w:pPr>
        <w:jc w:val="both"/>
        <w:rPr>
          <w:rFonts w:cs="Times New Roman"/>
          <w:szCs w:val="24"/>
        </w:rPr>
      </w:pPr>
      <w:r w:rsidRPr="00651BA4">
        <w:rPr>
          <w:rFonts w:cs="Times New Roman"/>
          <w:szCs w:val="24"/>
        </w:rPr>
        <w:t>The effects were not equally strong across burnout dimensions. The models accounted for more variance in exhaustion and overall burnout than in cynicism or reduced academic efficacy. This pattern suggests that teacher parental leadership may register most immediately at the level of emotional strain. Daily interactions with teachers can quickly alter whether students feel pressured, supported, respected, or cornered, and those changes are likely to surface first in exhaustion.</w:t>
      </w:r>
    </w:p>
    <w:p w14:paraId="00D46A93" w14:textId="77777777" w:rsidR="00C90D78" w:rsidRPr="00651BA4" w:rsidRDefault="00306274" w:rsidP="00407D89">
      <w:pPr>
        <w:jc w:val="both"/>
        <w:rPr>
          <w:rFonts w:cs="Times New Roman"/>
          <w:szCs w:val="24"/>
        </w:rPr>
      </w:pPr>
      <w:r w:rsidRPr="00651BA4">
        <w:rPr>
          <w:rFonts w:cs="Times New Roman"/>
          <w:szCs w:val="24"/>
        </w:rPr>
        <w:t>Cynicism may be less directly tied to day-to-day teacher behavior because it often reflects a broader withdrawal from learning that develops over time and may depend on factors such as curriculum fit, peer culture, or longer-term disappointment. Reduced academic efficacy may also be shaped by additional influences outside the teacher–student relationship, including prior achievement and repeated performance feedback. The weaker models for these outcomes therefore do not imply that leadership is irrelevant; rather, they suggest that its influence is more direct for some burnout components than for others.</w:t>
      </w:r>
    </w:p>
    <w:p w14:paraId="70093502" w14:textId="77777777" w:rsidR="00C90D78" w:rsidRPr="00580EB0" w:rsidRDefault="00580EB0" w:rsidP="00407D89">
      <w:pPr>
        <w:pStyle w:val="Heading2"/>
        <w:numPr>
          <w:ilvl w:val="1"/>
          <w:numId w:val="11"/>
        </w:numPr>
        <w:jc w:val="both"/>
        <w:rPr>
          <w:rFonts w:ascii="Times New Roman" w:hAnsi="Times New Roman" w:cs="Times New Roman"/>
          <w:color w:val="auto"/>
          <w:szCs w:val="24"/>
        </w:rPr>
      </w:pPr>
      <w:r w:rsidRPr="00580EB0">
        <w:rPr>
          <w:rFonts w:ascii="Times New Roman" w:eastAsia="SimSun" w:hAnsi="Times New Roman" w:cs="Times New Roman" w:hint="eastAsia"/>
          <w:color w:val="auto"/>
          <w:szCs w:val="24"/>
          <w:lang w:eastAsia="zh-CN"/>
        </w:rPr>
        <w:t>I</w:t>
      </w:r>
      <w:r w:rsidR="00306274" w:rsidRPr="00580EB0">
        <w:rPr>
          <w:rFonts w:ascii="Times New Roman" w:hAnsi="Times New Roman" w:cs="Times New Roman"/>
          <w:color w:val="auto"/>
          <w:szCs w:val="24"/>
        </w:rPr>
        <w:t>mplications</w:t>
      </w:r>
    </w:p>
    <w:p w14:paraId="2C4382FE" w14:textId="77777777" w:rsidR="00C90D78" w:rsidRPr="00651BA4" w:rsidRDefault="00306274" w:rsidP="00407D89">
      <w:pPr>
        <w:jc w:val="both"/>
        <w:rPr>
          <w:rFonts w:cs="Times New Roman"/>
          <w:szCs w:val="24"/>
        </w:rPr>
      </w:pPr>
      <w:r w:rsidRPr="00651BA4">
        <w:rPr>
          <w:rFonts w:cs="Times New Roman"/>
          <w:szCs w:val="24"/>
        </w:rPr>
        <w:t xml:space="preserve">The study contributes to the literature in three related ways. First, it narrows the broad category of teacher-related influence to a relationship-specific leadership pattern that is especially relevant in hierarchical educational settings. Second, it shows that the three dimensions of parental leadership should not be collapsed too quickly into a single score. Third, it extends discussion of </w:t>
      </w:r>
      <w:r w:rsidRPr="00651BA4">
        <w:rPr>
          <w:rFonts w:cs="Times New Roman"/>
          <w:szCs w:val="24"/>
        </w:rPr>
        <w:lastRenderedPageBreak/>
        <w:t>teacher effects on student burnout into the context of Chinese medical education, where academic pressure is high and teacher authority is culturally and institutionally salient.</w:t>
      </w:r>
    </w:p>
    <w:p w14:paraId="350513A1" w14:textId="77777777" w:rsidR="00C90D78" w:rsidRPr="00651BA4" w:rsidRDefault="00580EB0" w:rsidP="00407D89">
      <w:pPr>
        <w:jc w:val="both"/>
        <w:rPr>
          <w:rFonts w:cs="Times New Roman"/>
          <w:szCs w:val="24"/>
        </w:rPr>
      </w:pPr>
      <w:r w:rsidRPr="00407D89">
        <w:rPr>
          <w:rFonts w:cs="Times New Roman"/>
          <w:szCs w:val="24"/>
        </w:rPr>
        <w:t>In</w:t>
      </w:r>
      <w:r w:rsidRPr="00407D89">
        <w:rPr>
          <w:rFonts w:eastAsia="SimSun" w:cs="Times New Roman"/>
          <w:szCs w:val="24"/>
          <w:lang w:eastAsia="zh-CN"/>
        </w:rPr>
        <w:t xml:space="preserve"> </w:t>
      </w:r>
      <w:r w:rsidR="00306274" w:rsidRPr="00407D89">
        <w:rPr>
          <w:rFonts w:cs="Times New Roman"/>
          <w:szCs w:val="24"/>
        </w:rPr>
        <w:t>practic</w:t>
      </w:r>
      <w:r w:rsidRPr="00407D89">
        <w:rPr>
          <w:rFonts w:eastAsia="SimSun" w:cs="Times New Roman"/>
          <w:szCs w:val="24"/>
          <w:lang w:eastAsia="zh-CN"/>
        </w:rPr>
        <w:t>e,</w:t>
      </w:r>
      <w:r w:rsidR="00407D89">
        <w:rPr>
          <w:rFonts w:eastAsia="SimSun" w:cs="Times New Roman" w:hint="eastAsia"/>
          <w:szCs w:val="24"/>
          <w:lang w:eastAsia="zh-CN"/>
        </w:rPr>
        <w:t xml:space="preserve"> </w:t>
      </w:r>
      <w:r w:rsidR="00407D89" w:rsidRPr="00407D89">
        <w:rPr>
          <w:rFonts w:eastAsia="SimSun" w:cs="Times New Roman"/>
          <w:szCs w:val="24"/>
          <w:lang w:eastAsia="zh-CN"/>
        </w:rPr>
        <w:t>m</w:t>
      </w:r>
      <w:r w:rsidR="00306274" w:rsidRPr="00407D89">
        <w:rPr>
          <w:rFonts w:cs="Times New Roman"/>
          <w:szCs w:val="24"/>
        </w:rPr>
        <w:t>edical schools should be cautious about equating strong teacher authority with effective educational leadershi</w:t>
      </w:r>
      <w:r w:rsidR="00306274" w:rsidRPr="00651BA4">
        <w:rPr>
          <w:rFonts w:cs="Times New Roman"/>
          <w:szCs w:val="24"/>
        </w:rPr>
        <w:t>p. Authority appears most constructive when students encounter it alongside fairness, consistency, and genuine concern; it becomes more problematic when it is enacted primarily through control and obedience. The issue is therefore not whether teachers should hold authority, but what students experience that authority as doing.</w:t>
      </w:r>
    </w:p>
    <w:p w14:paraId="1ECEDAA9" w14:textId="77777777" w:rsidR="00C90D78" w:rsidRPr="00580EB0" w:rsidRDefault="00306274" w:rsidP="00407D89">
      <w:pPr>
        <w:pStyle w:val="Heading2"/>
        <w:numPr>
          <w:ilvl w:val="1"/>
          <w:numId w:val="11"/>
        </w:numPr>
        <w:jc w:val="both"/>
        <w:rPr>
          <w:rFonts w:ascii="Times New Roman" w:hAnsi="Times New Roman" w:cs="Times New Roman"/>
          <w:color w:val="auto"/>
          <w:szCs w:val="24"/>
        </w:rPr>
      </w:pPr>
      <w:r w:rsidRPr="00580EB0">
        <w:rPr>
          <w:rFonts w:ascii="Times New Roman" w:hAnsi="Times New Roman" w:cs="Times New Roman"/>
          <w:color w:val="auto"/>
          <w:szCs w:val="24"/>
        </w:rPr>
        <w:t>Limitations and future research</w:t>
      </w:r>
    </w:p>
    <w:p w14:paraId="00A750B4" w14:textId="77777777" w:rsidR="00C90D78" w:rsidRPr="00651BA4" w:rsidRDefault="00306274" w:rsidP="00407D89">
      <w:pPr>
        <w:jc w:val="both"/>
        <w:rPr>
          <w:rFonts w:cs="Times New Roman"/>
          <w:szCs w:val="24"/>
        </w:rPr>
      </w:pPr>
      <w:r w:rsidRPr="00651BA4">
        <w:rPr>
          <w:rFonts w:cs="Times New Roman"/>
          <w:szCs w:val="24"/>
        </w:rPr>
        <w:t>Several limitations should be noted. The cross-sectional design does not permit causal inference, so the direction of influence cannot be established with certainty. The study also relied entirely on student self-report, which raises the possibility that some associations reflect shared perceptual bias rather than purely behavioral effects. In addition, the sample was limited to undergraduate medical students in one national context, and the academic-year distribution was uneven across categories. The exploratory moderation analyses should likewise be interpreted cautiously, as they were not theory-driven enough to warrant strong claims.</w:t>
      </w:r>
    </w:p>
    <w:p w14:paraId="2DCFAB8F" w14:textId="77777777" w:rsidR="00C90D78" w:rsidRPr="00651BA4" w:rsidRDefault="00306274" w:rsidP="00407D89">
      <w:pPr>
        <w:jc w:val="both"/>
        <w:rPr>
          <w:rFonts w:cs="Times New Roman"/>
          <w:szCs w:val="24"/>
        </w:rPr>
      </w:pPr>
      <w:r w:rsidRPr="00651BA4">
        <w:rPr>
          <w:rFonts w:cs="Times New Roman"/>
          <w:szCs w:val="24"/>
        </w:rPr>
        <w:t>Future research could strengthen this line of inquiry in at least three ways. Longitudinal designs would help clarify whether parental leadership predicts later burnout or whether burnout changes how students perceive their teachers. Multi-source or observational designs would help distinguish enacted leadership from perceived leadership. It would also be valuable to test mediating processes directly—for example, whether benevolent and moral leadership reduce burnout through self-efficacy, relationship quality, or professional commitment, and whether authoritarian leadership operates through perceived pressure, fear of failure, or emotional exhaustion.</w:t>
      </w:r>
    </w:p>
    <w:p w14:paraId="12F56033" w14:textId="77777777" w:rsidR="00C90D78" w:rsidRPr="003F739B" w:rsidRDefault="00306274" w:rsidP="003F739B">
      <w:pPr>
        <w:pStyle w:val="Heading1"/>
        <w:numPr>
          <w:ilvl w:val="0"/>
          <w:numId w:val="10"/>
        </w:numPr>
        <w:rPr>
          <w:rFonts w:ascii="Times New Roman" w:hAnsi="Times New Roman" w:cs="Times New Roman"/>
          <w:color w:val="auto"/>
          <w:sz w:val="24"/>
          <w:szCs w:val="24"/>
        </w:rPr>
      </w:pPr>
      <w:r w:rsidRPr="003F739B">
        <w:rPr>
          <w:rFonts w:ascii="Times New Roman" w:hAnsi="Times New Roman" w:cs="Times New Roman"/>
          <w:color w:val="auto"/>
          <w:sz w:val="24"/>
          <w:szCs w:val="24"/>
        </w:rPr>
        <w:t>Conclusion</w:t>
      </w:r>
    </w:p>
    <w:p w14:paraId="6A783BEF" w14:textId="77777777" w:rsidR="00C90D78" w:rsidRPr="00651BA4" w:rsidRDefault="00306274" w:rsidP="00407D89">
      <w:pPr>
        <w:jc w:val="both"/>
        <w:rPr>
          <w:rFonts w:cs="Times New Roman"/>
          <w:szCs w:val="24"/>
        </w:rPr>
      </w:pPr>
      <w:r w:rsidRPr="00651BA4">
        <w:rPr>
          <w:rFonts w:cs="Times New Roman"/>
          <w:szCs w:val="24"/>
        </w:rPr>
        <w:t xml:space="preserve">Teacher parental leadership was related to medical students’ learning burnout, but not in a uniform way. Benevolent and moral leadership were associated with lower burnout, whereas authoritarian leadership was associated with higher burnout. The practical lesson </w:t>
      </w:r>
      <w:r w:rsidR="00E36FE0">
        <w:rPr>
          <w:rFonts w:eastAsia="SimSun" w:cs="Times New Roman" w:hint="eastAsia"/>
          <w:szCs w:val="24"/>
          <w:lang w:eastAsia="zh-CN"/>
        </w:rPr>
        <w:t>could be</w:t>
      </w:r>
      <w:r w:rsidRPr="00651BA4">
        <w:rPr>
          <w:rFonts w:cs="Times New Roman"/>
          <w:szCs w:val="24"/>
        </w:rPr>
        <w:t xml:space="preserve"> </w:t>
      </w:r>
      <w:r w:rsidR="00E36FE0">
        <w:rPr>
          <w:rFonts w:eastAsia="SimSun" w:cs="Times New Roman" w:hint="eastAsia"/>
          <w:szCs w:val="24"/>
          <w:lang w:eastAsia="zh-CN"/>
        </w:rPr>
        <w:t>that</w:t>
      </w:r>
      <w:r w:rsidRPr="00651BA4">
        <w:rPr>
          <w:rFonts w:cs="Times New Roman"/>
          <w:szCs w:val="24"/>
        </w:rPr>
        <w:t xml:space="preserve"> authority by itself is not the issue. What matters is whether authority is experienced as caring and principled or as controlling and depleting.</w:t>
      </w:r>
    </w:p>
    <w:p w14:paraId="21A0393F" w14:textId="77777777" w:rsidR="00C90D78" w:rsidRPr="00407D89" w:rsidRDefault="00306274" w:rsidP="00407D89">
      <w:pPr>
        <w:pStyle w:val="Heading1"/>
        <w:jc w:val="both"/>
        <w:rPr>
          <w:rFonts w:ascii="Times New Roman" w:hAnsi="Times New Roman" w:cs="Times New Roman"/>
          <w:color w:val="auto"/>
          <w:sz w:val="24"/>
          <w:szCs w:val="24"/>
        </w:rPr>
      </w:pPr>
      <w:r w:rsidRPr="00407D89">
        <w:rPr>
          <w:rFonts w:ascii="Times New Roman" w:hAnsi="Times New Roman" w:cs="Times New Roman"/>
          <w:color w:val="auto"/>
          <w:sz w:val="24"/>
          <w:szCs w:val="24"/>
        </w:rPr>
        <w:t>References</w:t>
      </w:r>
    </w:p>
    <w:p w14:paraId="1AC0F9F5"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Almutairi, H., Alsubaiei, A., Abduljawad, S., Alshatti, A., Fekih-Romdhane, F., Husni, M., &amp; Jahrami, H. (2022). Prevalence of burnout in medical students: A systematic review and meta-analysis. </w:t>
      </w:r>
      <w:r w:rsidRPr="00651BA4">
        <w:rPr>
          <w:rFonts w:cs="Times New Roman"/>
          <w:i/>
          <w:szCs w:val="24"/>
        </w:rPr>
        <w:t>International Journal of Social Psychiatry, 68</w:t>
      </w:r>
      <w:r w:rsidRPr="00651BA4">
        <w:rPr>
          <w:rFonts w:cs="Times New Roman"/>
          <w:szCs w:val="24"/>
        </w:rPr>
        <w:t>(6), 1157–1170. https://doi.org/10.1177/00207640221106691</w:t>
      </w:r>
    </w:p>
    <w:p w14:paraId="7841FE32"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Cheng, B.-S., Chou, L.-F., Wu, T.-Y., Huang, M.-P., &amp; Farh, J.-L. (2004). Paternalistic leadership and subordinate responses: Establishing a leadership model in Chinese </w:t>
      </w:r>
      <w:r w:rsidRPr="00651BA4">
        <w:rPr>
          <w:rFonts w:cs="Times New Roman"/>
          <w:szCs w:val="24"/>
        </w:rPr>
        <w:lastRenderedPageBreak/>
        <w:t xml:space="preserve">organizations. </w:t>
      </w:r>
      <w:r w:rsidRPr="00651BA4">
        <w:rPr>
          <w:rFonts w:cs="Times New Roman"/>
          <w:i/>
          <w:szCs w:val="24"/>
        </w:rPr>
        <w:t>Asian Journal of Social Psychology, 7</w:t>
      </w:r>
      <w:r w:rsidRPr="00651BA4">
        <w:rPr>
          <w:rFonts w:cs="Times New Roman"/>
          <w:szCs w:val="24"/>
        </w:rPr>
        <w:t>(1), 89–117. https://doi.org/10.1111/j.1467-839X.2004.00137.x</w:t>
      </w:r>
    </w:p>
    <w:p w14:paraId="16C1CE56"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Demerouti, E., Bakker, A. B., Nachreiner, F., &amp; Schaufeli, W. B. (2001). The job demands–resources model of burnout. </w:t>
      </w:r>
      <w:r w:rsidRPr="00651BA4">
        <w:rPr>
          <w:rFonts w:cs="Times New Roman"/>
          <w:i/>
          <w:szCs w:val="24"/>
        </w:rPr>
        <w:t>Journal of Applied Psychology, 86</w:t>
      </w:r>
      <w:r w:rsidRPr="00651BA4">
        <w:rPr>
          <w:rFonts w:cs="Times New Roman"/>
          <w:szCs w:val="24"/>
        </w:rPr>
        <w:t>(3), 499–512. https://doi.org/10.1037/0021-9010.86.3.499</w:t>
      </w:r>
    </w:p>
    <w:p w14:paraId="24156A9F"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Fang, A. (2025). The influence of teacher leadership on students’ academic burnout in China: Potential multiple mediating effects of meeting basic psychological needs. </w:t>
      </w:r>
      <w:r w:rsidRPr="00651BA4">
        <w:rPr>
          <w:rFonts w:cs="Times New Roman"/>
          <w:i/>
          <w:szCs w:val="24"/>
        </w:rPr>
        <w:t>Frontiers in Psychology, 16</w:t>
      </w:r>
      <w:r w:rsidRPr="00651BA4">
        <w:rPr>
          <w:rFonts w:cs="Times New Roman"/>
          <w:szCs w:val="24"/>
        </w:rPr>
        <w:t>, Article 1558159. https://doi.org/10.3389/fpsyg.2025.1558159</w:t>
      </w:r>
    </w:p>
    <w:p w14:paraId="64A82423"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Hu, Q., &amp; Schaufeli, W. B. (2009). The factorial validity of the Maslach Burnout Inventory–Student Survey in China. </w:t>
      </w:r>
      <w:r w:rsidRPr="00651BA4">
        <w:rPr>
          <w:rFonts w:cs="Times New Roman"/>
          <w:i/>
          <w:szCs w:val="24"/>
        </w:rPr>
        <w:t>Psychological Reports, 105</w:t>
      </w:r>
      <w:r w:rsidRPr="00651BA4">
        <w:rPr>
          <w:rFonts w:cs="Times New Roman"/>
          <w:szCs w:val="24"/>
        </w:rPr>
        <w:t>(2), 394–408. https://doi.org/10.2466/PR0.105.2.394-408</w:t>
      </w:r>
    </w:p>
    <w:p w14:paraId="217F2C68"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Mao, Y., Zhang, N., Liu, J., Zhu, B., He, R., &amp; Wang, X. (2019). A systematic review of depression and anxiety in medical students in China. </w:t>
      </w:r>
      <w:r w:rsidRPr="00651BA4">
        <w:rPr>
          <w:rFonts w:cs="Times New Roman"/>
          <w:i/>
          <w:szCs w:val="24"/>
        </w:rPr>
        <w:t>BMC Medical Education, 19</w:t>
      </w:r>
      <w:r w:rsidRPr="00651BA4">
        <w:rPr>
          <w:rFonts w:cs="Times New Roman"/>
          <w:szCs w:val="24"/>
        </w:rPr>
        <w:t>, Article 327. https://doi.org/10.1186/s12909-019-1744-2</w:t>
      </w:r>
    </w:p>
    <w:p w14:paraId="26D75585"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Maslach, C., &amp; Leiter, M. P. (2016). Understanding the burnout experience: Recent research and its implications for psychiatry. </w:t>
      </w:r>
      <w:r w:rsidRPr="00651BA4">
        <w:rPr>
          <w:rFonts w:cs="Times New Roman"/>
          <w:i/>
          <w:szCs w:val="24"/>
        </w:rPr>
        <w:t>World Psychiatry, 15</w:t>
      </w:r>
      <w:r w:rsidRPr="00651BA4">
        <w:rPr>
          <w:rFonts w:cs="Times New Roman"/>
          <w:szCs w:val="24"/>
        </w:rPr>
        <w:t>(2), 103–111. https://doi.org/10.1002/wps.20311</w:t>
      </w:r>
    </w:p>
    <w:p w14:paraId="2DF88A96"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Nguyen, D., Harris, A., &amp; Ng, D. F. S. (2019). A review of the empirical research on teacher leadership (2003–2017): Evidence, patterns and implications. </w:t>
      </w:r>
      <w:r w:rsidRPr="00651BA4">
        <w:rPr>
          <w:rFonts w:cs="Times New Roman"/>
          <w:i/>
          <w:szCs w:val="24"/>
        </w:rPr>
        <w:t>Journal of Educational Administration, 58</w:t>
      </w:r>
      <w:r w:rsidRPr="00651BA4">
        <w:rPr>
          <w:rFonts w:cs="Times New Roman"/>
          <w:szCs w:val="24"/>
        </w:rPr>
        <w:t>(1), 60–80. https://doi.org/10.1108/JEA-02-2018-0023</w:t>
      </w:r>
    </w:p>
    <w:p w14:paraId="32E969F8"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Peng, S., &amp; Huang, Y. (2024). Teachers’ authoritarian leadership and students’ well-being: The role of emotional exhaustion and narcissism. </w:t>
      </w:r>
      <w:r w:rsidRPr="00651BA4">
        <w:rPr>
          <w:rFonts w:cs="Times New Roman"/>
          <w:i/>
          <w:szCs w:val="24"/>
        </w:rPr>
        <w:t>BMC Psychology, 12</w:t>
      </w:r>
      <w:r w:rsidRPr="00651BA4">
        <w:rPr>
          <w:rFonts w:cs="Times New Roman"/>
          <w:szCs w:val="24"/>
        </w:rPr>
        <w:t>, Article 590. https://doi.org/10.1186/s40359-024-01933-5</w:t>
      </w:r>
    </w:p>
    <w:p w14:paraId="3F9321E4"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Roorda, D. L., Koomen, H. M. Y., Spilt, J. L., &amp; Oort, F. J. (2011). The influence of affective teacher–student relationships on students’ school engagement and achievement: A meta-analytic approach. </w:t>
      </w:r>
      <w:r w:rsidRPr="00651BA4">
        <w:rPr>
          <w:rFonts w:cs="Times New Roman"/>
          <w:i/>
          <w:szCs w:val="24"/>
        </w:rPr>
        <w:t>Review of Educational Research, 81</w:t>
      </w:r>
      <w:r w:rsidRPr="00651BA4">
        <w:rPr>
          <w:rFonts w:cs="Times New Roman"/>
          <w:szCs w:val="24"/>
        </w:rPr>
        <w:t>(4), 493–529. https://doi.org/10.3102/0034654311421793</w:t>
      </w:r>
    </w:p>
    <w:p w14:paraId="0A87F6A8"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Salmela-Aro, K., &amp; Upadyaya, K. (2014). School burnout and engagement in the context of the demands–resources model. </w:t>
      </w:r>
      <w:r w:rsidRPr="00651BA4">
        <w:rPr>
          <w:rFonts w:cs="Times New Roman"/>
          <w:i/>
          <w:szCs w:val="24"/>
        </w:rPr>
        <w:t>British Journal of Educational Psychology, 84</w:t>
      </w:r>
      <w:r w:rsidRPr="00651BA4">
        <w:rPr>
          <w:rFonts w:cs="Times New Roman"/>
          <w:szCs w:val="24"/>
        </w:rPr>
        <w:t>(1), 137–151. https://doi.org/10.1111/bjep.12018</w:t>
      </w:r>
    </w:p>
    <w:p w14:paraId="1D0E41CE"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Schaufeli, W. B., Martínez, I. M., Marques Pinto, A., Salanova, M., &amp; Bakker, A. B. (2002). Burnout and engagement in university students: A cross-national study. </w:t>
      </w:r>
      <w:r w:rsidRPr="00651BA4">
        <w:rPr>
          <w:rFonts w:cs="Times New Roman"/>
          <w:i/>
          <w:szCs w:val="24"/>
        </w:rPr>
        <w:t>Journal of Cross-Cultural Psychology, 33</w:t>
      </w:r>
      <w:r w:rsidRPr="00651BA4">
        <w:rPr>
          <w:rFonts w:cs="Times New Roman"/>
          <w:szCs w:val="24"/>
        </w:rPr>
        <w:t>(5), 464–481. https://doi.org/10.1177/0022022102033005003</w:t>
      </w:r>
    </w:p>
    <w:p w14:paraId="46FF4D35"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Wang, W. M. C., Harrison, R., MacIntyre, R., Travaglia, J., &amp; Balasooriya, C. (2017). Burnout in medical students: A systematic review of experiences in Chinese medical schools. </w:t>
      </w:r>
      <w:r w:rsidRPr="00651BA4">
        <w:rPr>
          <w:rFonts w:cs="Times New Roman"/>
          <w:i/>
          <w:szCs w:val="24"/>
        </w:rPr>
        <w:t>BMC Medical Education, 17</w:t>
      </w:r>
      <w:r w:rsidRPr="00651BA4">
        <w:rPr>
          <w:rFonts w:cs="Times New Roman"/>
          <w:szCs w:val="24"/>
        </w:rPr>
        <w:t>, Article 217. https://doi.org/10.1186/s12909-017-1064-3</w:t>
      </w:r>
    </w:p>
    <w:p w14:paraId="4B41CE22"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Wenner, J. A., &amp; Campbell, T. (2017). The theoretical and empirical basis of teacher leadership: A review of the literature. </w:t>
      </w:r>
      <w:r w:rsidRPr="00651BA4">
        <w:rPr>
          <w:rFonts w:cs="Times New Roman"/>
          <w:i/>
          <w:szCs w:val="24"/>
        </w:rPr>
        <w:t>Review of Educational Research, 87</w:t>
      </w:r>
      <w:r w:rsidRPr="00651BA4">
        <w:rPr>
          <w:rFonts w:cs="Times New Roman"/>
          <w:szCs w:val="24"/>
        </w:rPr>
        <w:t>(1), 134–171. https://doi.org/10.3102/0034654316653478</w:t>
      </w:r>
    </w:p>
    <w:p w14:paraId="368DCD10" w14:textId="77777777" w:rsidR="002D3907" w:rsidRPr="00651BA4" w:rsidRDefault="00E36FE0" w:rsidP="00407D89">
      <w:pPr>
        <w:spacing w:line="240" w:lineRule="auto"/>
        <w:ind w:left="720" w:hanging="720"/>
        <w:jc w:val="both"/>
        <w:rPr>
          <w:rFonts w:cs="Times New Roman"/>
          <w:szCs w:val="24"/>
        </w:rPr>
      </w:pPr>
      <w:r w:rsidRPr="00651BA4">
        <w:rPr>
          <w:rFonts w:cs="Times New Roman"/>
          <w:szCs w:val="24"/>
        </w:rPr>
        <w:t xml:space="preserve">Xie, D., Wang, Q., &amp; Wang, D. (2025). A study on the relationships among teacher leadership and medical students’ professional commitment and academic burnout: The mediating </w:t>
      </w:r>
      <w:r w:rsidRPr="00651BA4">
        <w:rPr>
          <w:rFonts w:cs="Times New Roman"/>
          <w:szCs w:val="24"/>
        </w:rPr>
        <w:lastRenderedPageBreak/>
        <w:t xml:space="preserve">role of professional commitment. </w:t>
      </w:r>
      <w:r w:rsidRPr="00651BA4">
        <w:rPr>
          <w:rFonts w:cs="Times New Roman"/>
          <w:i/>
          <w:szCs w:val="24"/>
        </w:rPr>
        <w:t>BMC Medical Education, 25</w:t>
      </w:r>
      <w:r w:rsidRPr="00651BA4">
        <w:rPr>
          <w:rFonts w:cs="Times New Roman"/>
          <w:szCs w:val="24"/>
        </w:rPr>
        <w:t>, Article 241. https://doi.org/10.1186/s12909-025-06689-8</w:t>
      </w:r>
    </w:p>
    <w:sectPr w:rsidR="002D3907" w:rsidRPr="00651BA4"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9D8BB" w14:textId="77777777" w:rsidR="00F05E26" w:rsidRDefault="00F05E26" w:rsidP="00745D99">
      <w:pPr>
        <w:spacing w:after="0" w:line="240" w:lineRule="auto"/>
      </w:pPr>
      <w:r>
        <w:separator/>
      </w:r>
    </w:p>
  </w:endnote>
  <w:endnote w:type="continuationSeparator" w:id="0">
    <w:p w14:paraId="386BFFA9" w14:textId="77777777" w:rsidR="00F05E26" w:rsidRDefault="00F05E26" w:rsidP="0074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1120" w14:textId="77777777" w:rsidR="00745D99" w:rsidRDefault="00745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96514" w14:textId="77777777" w:rsidR="00745D99" w:rsidRDefault="00745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D8B5" w14:textId="77777777" w:rsidR="00745D99" w:rsidRDefault="00745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52405" w14:textId="77777777" w:rsidR="00F05E26" w:rsidRDefault="00F05E26" w:rsidP="00745D99">
      <w:pPr>
        <w:spacing w:after="0" w:line="240" w:lineRule="auto"/>
      </w:pPr>
      <w:r>
        <w:separator/>
      </w:r>
    </w:p>
  </w:footnote>
  <w:footnote w:type="continuationSeparator" w:id="0">
    <w:p w14:paraId="4AB2839E" w14:textId="77777777" w:rsidR="00F05E26" w:rsidRDefault="00F05E26" w:rsidP="00745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AD632" w14:textId="6FCE8210" w:rsidR="00745D99" w:rsidRDefault="00745D99">
    <w:pPr>
      <w:pStyle w:val="Header"/>
    </w:pPr>
    <w:r>
      <w:rPr>
        <w:noProof/>
      </w:rPr>
      <w:pict w14:anchorId="5F7A3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24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C961" w14:textId="6562AB1D" w:rsidR="00745D99" w:rsidRDefault="00745D99">
    <w:pPr>
      <w:pStyle w:val="Header"/>
    </w:pPr>
    <w:r>
      <w:rPr>
        <w:noProof/>
      </w:rPr>
      <w:pict w14:anchorId="7FEA9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24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1C73" w14:textId="5F9E9335" w:rsidR="00745D99" w:rsidRDefault="00745D99">
    <w:pPr>
      <w:pStyle w:val="Header"/>
    </w:pPr>
    <w:r>
      <w:rPr>
        <w:noProof/>
      </w:rPr>
      <w:pict w14:anchorId="6982F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24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2A05CD"/>
    <w:multiLevelType w:val="multilevel"/>
    <w:tmpl w:val="2C309F7A"/>
    <w:lvl w:ilvl="0">
      <w:start w:val="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720" w:hanging="72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080" w:hanging="108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440" w:hanging="144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0" w15:restartNumberingAfterBreak="0">
    <w:nsid w:val="3E94754C"/>
    <w:multiLevelType w:val="hybridMultilevel"/>
    <w:tmpl w:val="ECDC4B6E"/>
    <w:lvl w:ilvl="0" w:tplc="EAF09DD8">
      <w:start w:val="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CD8459C"/>
    <w:multiLevelType w:val="multilevel"/>
    <w:tmpl w:val="6C6A81FC"/>
    <w:lvl w:ilvl="0">
      <w:start w:val="4"/>
      <w:numFmt w:val="decimal"/>
      <w:lvlText w:val="%1"/>
      <w:lvlJc w:val="left"/>
      <w:pPr>
        <w:ind w:left="360" w:hanging="360"/>
      </w:pPr>
      <w:rPr>
        <w:rFonts w:eastAsia="SimSun" w:hint="default"/>
      </w:rPr>
    </w:lvl>
    <w:lvl w:ilvl="1">
      <w:start w:val="5"/>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6D9"/>
    <w:rsid w:val="0015074B"/>
    <w:rsid w:val="00165200"/>
    <w:rsid w:val="001A7E20"/>
    <w:rsid w:val="0029639D"/>
    <w:rsid w:val="002D3907"/>
    <w:rsid w:val="00306274"/>
    <w:rsid w:val="00316CA9"/>
    <w:rsid w:val="00326F90"/>
    <w:rsid w:val="003F739B"/>
    <w:rsid w:val="00407D89"/>
    <w:rsid w:val="004618E9"/>
    <w:rsid w:val="004A4C1C"/>
    <w:rsid w:val="004B5B36"/>
    <w:rsid w:val="004F42F3"/>
    <w:rsid w:val="005417C1"/>
    <w:rsid w:val="005763BB"/>
    <w:rsid w:val="00580EB0"/>
    <w:rsid w:val="005C0434"/>
    <w:rsid w:val="00650A03"/>
    <w:rsid w:val="00651BA4"/>
    <w:rsid w:val="0068402D"/>
    <w:rsid w:val="006E5A6C"/>
    <w:rsid w:val="00745D99"/>
    <w:rsid w:val="00944EEB"/>
    <w:rsid w:val="009B1D5C"/>
    <w:rsid w:val="009F0550"/>
    <w:rsid w:val="00AA1D8D"/>
    <w:rsid w:val="00B47730"/>
    <w:rsid w:val="00C90D78"/>
    <w:rsid w:val="00CB0664"/>
    <w:rsid w:val="00CE478B"/>
    <w:rsid w:val="00D45E93"/>
    <w:rsid w:val="00DE19C0"/>
    <w:rsid w:val="00E36FE0"/>
    <w:rsid w:val="00E87CCD"/>
    <w:rsid w:val="00EA4B5E"/>
    <w:rsid w:val="00EC2610"/>
    <w:rsid w:val="00F05E26"/>
    <w:rsid w:val="00F41C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B1CE46E"/>
  <w14:defaultImageDpi w14:val="300"/>
  <w15:docId w15:val="{B6F45B6E-0E8B-4E44-B8D9-16077314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A4B5E"/>
    <w:rPr>
      <w:color w:val="0000FF" w:themeColor="hyperlink"/>
      <w:u w:val="single"/>
    </w:rPr>
  </w:style>
  <w:style w:type="character" w:styleId="UnresolvedMention">
    <w:name w:val="Unresolved Mention"/>
    <w:basedOn w:val="DefaultParagraphFont"/>
    <w:uiPriority w:val="99"/>
    <w:semiHidden/>
    <w:unhideWhenUsed/>
    <w:rsid w:val="00EA4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67133">
      <w:bodyDiv w:val="1"/>
      <w:marLeft w:val="0"/>
      <w:marRight w:val="0"/>
      <w:marTop w:val="0"/>
      <w:marBottom w:val="0"/>
      <w:divBdr>
        <w:top w:val="none" w:sz="0" w:space="0" w:color="auto"/>
        <w:left w:val="none" w:sz="0" w:space="0" w:color="auto"/>
        <w:bottom w:val="none" w:sz="0" w:space="0" w:color="auto"/>
        <w:right w:val="none" w:sz="0" w:space="0" w:color="auto"/>
      </w:divBdr>
    </w:div>
    <w:div w:id="976758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1188E-4FAD-4B95-BF1A-0B1BE25C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4583</Words>
  <Characters>26127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22</cp:revision>
  <dcterms:created xsi:type="dcterms:W3CDTF">2013-12-23T23:15:00Z</dcterms:created>
  <dcterms:modified xsi:type="dcterms:W3CDTF">2026-03-17T09:15:00Z</dcterms:modified>
  <cp:category/>
</cp:coreProperties>
</file>