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41AAC" w14:textId="77777777" w:rsidR="00D764AF" w:rsidRPr="00D764AF" w:rsidRDefault="00D764AF" w:rsidP="00D764AF">
      <w:pPr>
        <w:pStyle w:val="Title"/>
        <w:jc w:val="both"/>
        <w:rPr>
          <w:rFonts w:ascii="Arial" w:hAnsi="Arial" w:cs="Arial"/>
          <w:bCs/>
          <w:i/>
          <w:iCs/>
          <w:u w:val="single"/>
        </w:rPr>
      </w:pPr>
      <w:r w:rsidRPr="00D764AF">
        <w:rPr>
          <w:rFonts w:ascii="Arial" w:hAnsi="Arial" w:cs="Arial"/>
          <w:bCs/>
          <w:i/>
          <w:iCs/>
          <w:u w:val="single"/>
        </w:rPr>
        <w:t>Original Research Article</w:t>
      </w:r>
    </w:p>
    <w:p w14:paraId="50EC280B" w14:textId="77777777" w:rsidR="00754C9A" w:rsidRPr="00016A65" w:rsidRDefault="00754C9A" w:rsidP="00441B6F">
      <w:pPr>
        <w:pStyle w:val="Title"/>
        <w:spacing w:after="0"/>
        <w:jc w:val="both"/>
        <w:rPr>
          <w:rFonts w:ascii="Arial" w:hAnsi="Arial" w:cs="Arial"/>
        </w:rPr>
      </w:pPr>
    </w:p>
    <w:p w14:paraId="03BD3199" w14:textId="77777777" w:rsidR="00522F56" w:rsidRPr="00016A65" w:rsidRDefault="00522F56" w:rsidP="00522F56">
      <w:pPr>
        <w:pStyle w:val="Author"/>
        <w:rPr>
          <w:rFonts w:ascii="Arial" w:hAnsi="Arial" w:cs="Arial"/>
          <w:bCs/>
          <w:iCs/>
          <w:kern w:val="28"/>
          <w:sz w:val="28"/>
          <w:szCs w:val="16"/>
        </w:rPr>
      </w:pPr>
      <w:r w:rsidRPr="00016A65">
        <w:rPr>
          <w:rFonts w:ascii="Arial" w:hAnsi="Arial" w:cs="Arial"/>
          <w:bCs/>
          <w:iCs/>
          <w:kern w:val="28"/>
          <w:sz w:val="28"/>
          <w:szCs w:val="16"/>
        </w:rPr>
        <w:t xml:space="preserve">The Communal Land Organization Surrounding Forest Use in the </w:t>
      </w:r>
      <w:proofErr w:type="spellStart"/>
      <w:r w:rsidRPr="00016A65">
        <w:rPr>
          <w:rFonts w:ascii="Arial" w:hAnsi="Arial" w:cs="Arial"/>
          <w:bCs/>
          <w:iCs/>
          <w:kern w:val="28"/>
          <w:sz w:val="28"/>
          <w:szCs w:val="16"/>
        </w:rPr>
        <w:t>Chignahuapan-Zacatlán</w:t>
      </w:r>
      <w:proofErr w:type="spellEnd"/>
      <w:r w:rsidRPr="00016A65">
        <w:rPr>
          <w:rFonts w:ascii="Arial" w:hAnsi="Arial" w:cs="Arial"/>
          <w:bCs/>
          <w:iCs/>
          <w:kern w:val="28"/>
          <w:sz w:val="28"/>
          <w:szCs w:val="16"/>
        </w:rPr>
        <w:t xml:space="preserve"> Region in Puebla</w:t>
      </w:r>
    </w:p>
    <w:p w14:paraId="0EC9024B" w14:textId="65411E83" w:rsidR="00163BC4" w:rsidRPr="00016A65" w:rsidRDefault="00163BC4" w:rsidP="00441B6F">
      <w:pPr>
        <w:pStyle w:val="Author"/>
        <w:spacing w:line="240" w:lineRule="auto"/>
        <w:rPr>
          <w:rFonts w:ascii="Arial" w:hAnsi="Arial" w:cs="Arial"/>
          <w:bCs/>
          <w:iCs/>
          <w:kern w:val="28"/>
          <w:sz w:val="36"/>
        </w:rPr>
      </w:pPr>
    </w:p>
    <w:p w14:paraId="5069B7FC" w14:textId="77777777" w:rsidR="00A258C3" w:rsidRPr="00016A65" w:rsidRDefault="00A258C3" w:rsidP="00441B6F">
      <w:pPr>
        <w:pStyle w:val="Author"/>
        <w:spacing w:line="240" w:lineRule="auto"/>
        <w:jc w:val="both"/>
        <w:rPr>
          <w:rFonts w:ascii="Arial" w:hAnsi="Arial" w:cs="Arial"/>
          <w:sz w:val="36"/>
        </w:rPr>
      </w:pPr>
    </w:p>
    <w:p w14:paraId="6625034B" w14:textId="75CF1C49" w:rsidR="002C57D2" w:rsidRDefault="002C57D2" w:rsidP="00441B6F">
      <w:pPr>
        <w:pStyle w:val="Affiliation"/>
        <w:spacing w:after="0" w:line="240" w:lineRule="auto"/>
        <w:jc w:val="both"/>
        <w:rPr>
          <w:rFonts w:ascii="Arial" w:hAnsi="Arial" w:cs="Arial"/>
        </w:rPr>
      </w:pPr>
    </w:p>
    <w:p w14:paraId="257D050C" w14:textId="77777777" w:rsidR="00CB506F" w:rsidRPr="00016A65" w:rsidRDefault="00CB506F" w:rsidP="00441B6F">
      <w:pPr>
        <w:pStyle w:val="Affiliation"/>
        <w:spacing w:after="0" w:line="240" w:lineRule="auto"/>
        <w:jc w:val="both"/>
        <w:rPr>
          <w:rFonts w:ascii="Arial" w:hAnsi="Arial" w:cs="Arial"/>
        </w:rPr>
      </w:pPr>
    </w:p>
    <w:p w14:paraId="34FC4324" w14:textId="77777777" w:rsidR="00B01FCD" w:rsidRPr="00016A65" w:rsidRDefault="00522F56" w:rsidP="00441B6F">
      <w:pPr>
        <w:pStyle w:val="Copyright"/>
        <w:spacing w:after="0" w:line="240" w:lineRule="auto"/>
        <w:jc w:val="both"/>
        <w:rPr>
          <w:rFonts w:ascii="Arial" w:hAnsi="Arial" w:cs="Arial"/>
        </w:rPr>
        <w:sectPr w:rsidR="00B01FCD" w:rsidRPr="00016A65" w:rsidSect="003D29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16A65">
        <w:rPr>
          <w:rFonts w:ascii="Arial" w:hAnsi="Arial" w:cs="Arial"/>
          <w:noProof/>
        </w:rPr>
        <mc:AlternateContent>
          <mc:Choice Requires="wps">
            <w:drawing>
              <wp:inline distT="0" distB="0" distL="0" distR="0" wp14:anchorId="507F96D8" wp14:editId="3E59CAD0">
                <wp:extent cx="5303520" cy="635"/>
                <wp:effectExtent l="0" t="12700" r="5080" b="12065"/>
                <wp:docPr id="140673358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333D9D"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016A65">
        <w:rPr>
          <w:rFonts w:ascii="Arial" w:hAnsi="Arial" w:cs="Arial"/>
        </w:rPr>
        <w:t>.</w:t>
      </w:r>
    </w:p>
    <w:p w14:paraId="4CA88F53" w14:textId="73C78CDD" w:rsidR="00B01FCD" w:rsidRPr="00016A65" w:rsidRDefault="00B01FCD" w:rsidP="00441B6F">
      <w:pPr>
        <w:pStyle w:val="AbstHead"/>
        <w:spacing w:after="0"/>
        <w:jc w:val="both"/>
        <w:rPr>
          <w:rFonts w:ascii="Arial" w:hAnsi="Arial" w:cs="Arial"/>
        </w:rPr>
      </w:pPr>
      <w:r w:rsidRPr="00016A65">
        <w:rPr>
          <w:rFonts w:ascii="Arial" w:hAnsi="Arial" w:cs="Arial"/>
        </w:rPr>
        <w:t>ABSTRACT</w:t>
      </w:r>
      <w:r w:rsidR="0066510A" w:rsidRPr="00016A65">
        <w:rPr>
          <w:rFonts w:ascii="Arial" w:hAnsi="Arial" w:cs="Arial"/>
        </w:rPr>
        <w:t xml:space="preserve"> </w:t>
      </w:r>
    </w:p>
    <w:p w14:paraId="798F356C" w14:textId="77777777" w:rsidR="00790ADA" w:rsidRPr="00016A6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16A65" w14:paraId="60A0E0FF" w14:textId="77777777" w:rsidTr="001E44FE">
        <w:tc>
          <w:tcPr>
            <w:tcW w:w="9576" w:type="dxa"/>
            <w:shd w:val="clear" w:color="auto" w:fill="F2F2F2"/>
          </w:tcPr>
          <w:p w14:paraId="1E96E8A0" w14:textId="77777777" w:rsidR="00522F56" w:rsidRPr="00016A65" w:rsidRDefault="00522F56" w:rsidP="00522F56">
            <w:pPr>
              <w:pStyle w:val="Body"/>
              <w:spacing w:after="0"/>
              <w:ind w:right="877"/>
              <w:rPr>
                <w:rFonts w:ascii="Arial" w:eastAsia="Calibri" w:hAnsi="Arial" w:cs="Arial"/>
                <w:sz w:val="22"/>
                <w:szCs w:val="28"/>
              </w:rPr>
            </w:pPr>
            <w:r w:rsidRPr="00016A65">
              <w:rPr>
                <w:rFonts w:ascii="Arial" w:eastAsia="Calibri" w:hAnsi="Arial" w:cs="Arial"/>
                <w:sz w:val="22"/>
                <w:szCs w:val="28"/>
              </w:rPr>
              <w:t xml:space="preserve">OBJECTIVE: analyze the organization of forest communal lands in the </w:t>
            </w:r>
            <w:proofErr w:type="spellStart"/>
            <w:r w:rsidRPr="00016A65">
              <w:rPr>
                <w:rFonts w:ascii="Arial" w:eastAsia="Calibri" w:hAnsi="Arial" w:cs="Arial"/>
                <w:sz w:val="22"/>
                <w:szCs w:val="28"/>
              </w:rPr>
              <w:t>Chignahuapan-Zacatlan</w:t>
            </w:r>
            <w:proofErr w:type="spellEnd"/>
            <w:r w:rsidRPr="00016A65">
              <w:rPr>
                <w:rFonts w:ascii="Arial" w:eastAsia="Calibri" w:hAnsi="Arial" w:cs="Arial"/>
                <w:sz w:val="22"/>
                <w:szCs w:val="28"/>
              </w:rPr>
              <w:t xml:space="preserve"> region of the state of Puebla, around forest use, management and exploitation. </w:t>
            </w:r>
          </w:p>
          <w:p w14:paraId="1E671154" w14:textId="77777777" w:rsidR="00522F56" w:rsidRPr="00016A65" w:rsidRDefault="00522F56" w:rsidP="00522F56">
            <w:pPr>
              <w:pStyle w:val="Body"/>
              <w:spacing w:after="0"/>
              <w:ind w:right="877"/>
              <w:rPr>
                <w:rFonts w:ascii="Arial" w:eastAsia="Calibri" w:hAnsi="Arial" w:cs="Arial"/>
                <w:sz w:val="22"/>
                <w:szCs w:val="28"/>
              </w:rPr>
            </w:pPr>
            <w:r w:rsidRPr="00016A65">
              <w:rPr>
                <w:rFonts w:ascii="Arial" w:eastAsia="Calibri" w:hAnsi="Arial" w:cs="Arial"/>
                <w:sz w:val="22"/>
                <w:szCs w:val="28"/>
              </w:rPr>
              <w:t xml:space="preserve">METHODOLOGY: it was based on Action Research, applying semi-structured interviews, participatory diagnoses and review of assembly minutes. </w:t>
            </w:r>
          </w:p>
          <w:p w14:paraId="693CE818" w14:textId="731076C4" w:rsidR="00505F06" w:rsidRPr="00016A65" w:rsidRDefault="00522F56" w:rsidP="00522F56">
            <w:pPr>
              <w:pStyle w:val="Body"/>
              <w:spacing w:after="0"/>
              <w:rPr>
                <w:rFonts w:ascii="Arial" w:eastAsia="Calibri" w:hAnsi="Arial" w:cs="Arial"/>
                <w:szCs w:val="22"/>
              </w:rPr>
            </w:pPr>
            <w:r w:rsidRPr="00D82CED">
              <w:rPr>
                <w:rFonts w:ascii="Arial" w:eastAsia="Calibri" w:hAnsi="Arial" w:cs="Arial"/>
                <w:sz w:val="22"/>
                <w:szCs w:val="28"/>
              </w:rPr>
              <w:t>RESULTS: forestry exploitation allows satisfiers such</w:t>
            </w:r>
            <w:r w:rsidRPr="00016A65">
              <w:rPr>
                <w:rFonts w:ascii="Arial" w:eastAsia="Calibri" w:hAnsi="Arial" w:cs="Arial"/>
                <w:sz w:val="22"/>
                <w:szCs w:val="28"/>
              </w:rPr>
              <w:t xml:space="preserve"> as monetary income and firewood. The organization in the forest communal lands occurs through the board of directors and generating work brigades. The internal regulations of the communal land turned out to be an efficient and necessary tool for the organization of the communal land. Value: provides elements to understand and analyze the organizational </w:t>
            </w:r>
            <w:r w:rsidRPr="00D82CED">
              <w:rPr>
                <w:rFonts w:ascii="Arial" w:eastAsia="Calibri" w:hAnsi="Arial" w:cs="Arial"/>
                <w:sz w:val="22"/>
                <w:szCs w:val="28"/>
              </w:rPr>
              <w:t>structure of forest communal lands, the main problems and challenges are identified. Limitations: it is a descriptive case study that does not record the economic impacts of illegal logging. Conclusions: forest</w:t>
            </w:r>
            <w:r w:rsidRPr="00016A65">
              <w:rPr>
                <w:rFonts w:ascii="Arial" w:eastAsia="Calibri" w:hAnsi="Arial" w:cs="Arial"/>
                <w:sz w:val="22"/>
                <w:szCs w:val="28"/>
              </w:rPr>
              <w:t xml:space="preserve"> communal lands face conflicts, therefore, organization is important and allows strengthening collective action among communal landowners.</w:t>
            </w:r>
          </w:p>
        </w:tc>
      </w:tr>
    </w:tbl>
    <w:p w14:paraId="16E46F48" w14:textId="77777777" w:rsidR="00636EB2" w:rsidRPr="00016A65" w:rsidRDefault="00636EB2" w:rsidP="00441B6F">
      <w:pPr>
        <w:pStyle w:val="Body"/>
        <w:spacing w:after="0"/>
        <w:rPr>
          <w:rFonts w:ascii="Arial" w:hAnsi="Arial" w:cs="Arial"/>
          <w:i/>
        </w:rPr>
      </w:pPr>
    </w:p>
    <w:p w14:paraId="731FDE26" w14:textId="77777777" w:rsidR="00522F56" w:rsidRPr="00016A65" w:rsidRDefault="00522F56" w:rsidP="00522F56">
      <w:pPr>
        <w:shd w:val="clear" w:color="auto" w:fill="FFFFFF" w:themeFill="background1"/>
        <w:spacing w:line="276" w:lineRule="auto"/>
        <w:ind w:right="877"/>
        <w:jc w:val="both"/>
        <w:rPr>
          <w:rFonts w:ascii="Arial" w:hAnsi="Arial" w:cs="Arial"/>
          <w:color w:val="000000" w:themeColor="text1"/>
          <w:sz w:val="24"/>
        </w:rPr>
      </w:pPr>
      <w:r w:rsidRPr="00016A65">
        <w:rPr>
          <w:rFonts w:ascii="Arial" w:hAnsi="Arial" w:cs="Arial"/>
          <w:b/>
          <w:color w:val="000000" w:themeColor="text1"/>
          <w:sz w:val="24"/>
        </w:rPr>
        <w:t xml:space="preserve">Keywords: </w:t>
      </w:r>
      <w:r w:rsidRPr="00016A65">
        <w:rPr>
          <w:rFonts w:ascii="Arial" w:hAnsi="Arial" w:cs="Arial"/>
          <w:color w:val="000000" w:themeColor="text1"/>
          <w:sz w:val="24"/>
        </w:rPr>
        <w:t>organization, conflict, identity, collective action</w:t>
      </w:r>
    </w:p>
    <w:p w14:paraId="799E018E" w14:textId="77777777" w:rsidR="0024282C" w:rsidRDefault="0024282C" w:rsidP="00441B6F">
      <w:pPr>
        <w:pStyle w:val="Body"/>
        <w:spacing w:after="0"/>
        <w:rPr>
          <w:rFonts w:ascii="Arial" w:hAnsi="Arial" w:cs="Arial"/>
          <w:i/>
        </w:rPr>
      </w:pPr>
    </w:p>
    <w:p w14:paraId="7999BF2E" w14:textId="77777777" w:rsidR="00016CB9" w:rsidRDefault="00016CB9" w:rsidP="00441B6F">
      <w:pPr>
        <w:pStyle w:val="Body"/>
        <w:spacing w:after="0"/>
        <w:rPr>
          <w:rFonts w:ascii="Arial" w:hAnsi="Arial" w:cs="Arial"/>
          <w:i/>
        </w:rPr>
      </w:pPr>
    </w:p>
    <w:p w14:paraId="07E20546" w14:textId="77777777" w:rsidR="00016CB9" w:rsidRDefault="00016CB9" w:rsidP="00441B6F">
      <w:pPr>
        <w:pStyle w:val="Body"/>
        <w:spacing w:after="0"/>
        <w:rPr>
          <w:rFonts w:ascii="Arial" w:hAnsi="Arial" w:cs="Arial"/>
          <w:i/>
        </w:rPr>
      </w:pPr>
    </w:p>
    <w:p w14:paraId="7CCE3327" w14:textId="77777777" w:rsidR="00016CB9" w:rsidRDefault="00016CB9" w:rsidP="00441B6F">
      <w:pPr>
        <w:pStyle w:val="Body"/>
        <w:spacing w:after="0"/>
        <w:rPr>
          <w:rFonts w:ascii="Arial" w:hAnsi="Arial" w:cs="Arial"/>
          <w:i/>
        </w:rPr>
      </w:pPr>
    </w:p>
    <w:p w14:paraId="19352342" w14:textId="77777777" w:rsidR="00016CB9" w:rsidRDefault="00016CB9" w:rsidP="00441B6F">
      <w:pPr>
        <w:pStyle w:val="Body"/>
        <w:spacing w:after="0"/>
        <w:rPr>
          <w:rFonts w:ascii="Arial" w:hAnsi="Arial" w:cs="Arial"/>
          <w:i/>
        </w:rPr>
      </w:pPr>
    </w:p>
    <w:p w14:paraId="57E49A50" w14:textId="77777777" w:rsidR="00016CB9" w:rsidRDefault="00016CB9" w:rsidP="00441B6F">
      <w:pPr>
        <w:pStyle w:val="Body"/>
        <w:spacing w:after="0"/>
        <w:rPr>
          <w:rFonts w:ascii="Arial" w:hAnsi="Arial" w:cs="Arial"/>
          <w:i/>
        </w:rPr>
      </w:pPr>
    </w:p>
    <w:p w14:paraId="6BD22BE0" w14:textId="77777777" w:rsidR="00016CB9" w:rsidRPr="00016A65" w:rsidRDefault="00016CB9" w:rsidP="00441B6F">
      <w:pPr>
        <w:pStyle w:val="Body"/>
        <w:spacing w:after="0"/>
        <w:rPr>
          <w:rFonts w:ascii="Arial" w:hAnsi="Arial" w:cs="Arial"/>
          <w:i/>
          <w:sz w:val="18"/>
        </w:rPr>
      </w:pPr>
    </w:p>
    <w:p w14:paraId="3DAEA889" w14:textId="77777777" w:rsidR="00505F06" w:rsidRPr="00016A65" w:rsidRDefault="00505F06" w:rsidP="00441B6F">
      <w:pPr>
        <w:pStyle w:val="Body"/>
        <w:spacing w:after="0"/>
        <w:rPr>
          <w:rFonts w:ascii="Arial" w:hAnsi="Arial" w:cs="Arial"/>
          <w:i/>
        </w:rPr>
      </w:pPr>
    </w:p>
    <w:p w14:paraId="708464A9" w14:textId="6E630CAE" w:rsidR="007F7B32" w:rsidRPr="00016A65" w:rsidRDefault="00902823" w:rsidP="00441B6F">
      <w:pPr>
        <w:pStyle w:val="AbstHead"/>
        <w:spacing w:after="0"/>
        <w:jc w:val="both"/>
        <w:rPr>
          <w:rFonts w:ascii="Arial" w:hAnsi="Arial" w:cs="Arial"/>
        </w:rPr>
      </w:pPr>
      <w:r w:rsidRPr="00016A65">
        <w:rPr>
          <w:rFonts w:ascii="Arial" w:hAnsi="Arial" w:cs="Arial"/>
        </w:rPr>
        <w:t xml:space="preserve">1. </w:t>
      </w:r>
      <w:r w:rsidR="00B01FCD" w:rsidRPr="00016A65">
        <w:rPr>
          <w:rFonts w:ascii="Arial" w:hAnsi="Arial" w:cs="Arial"/>
        </w:rPr>
        <w:t>INTRODUCTION</w:t>
      </w:r>
      <w:r w:rsidR="007F7B32" w:rsidRPr="00016A65">
        <w:rPr>
          <w:rFonts w:ascii="Arial" w:hAnsi="Arial" w:cs="Arial"/>
        </w:rPr>
        <w:t xml:space="preserve"> </w:t>
      </w:r>
    </w:p>
    <w:p w14:paraId="22169FE2" w14:textId="77777777" w:rsidR="00790ADA" w:rsidRPr="00016A65" w:rsidRDefault="00790ADA" w:rsidP="00441B6F">
      <w:pPr>
        <w:pStyle w:val="AbstHead"/>
        <w:spacing w:after="0"/>
        <w:jc w:val="both"/>
        <w:rPr>
          <w:rFonts w:ascii="Arial" w:hAnsi="Arial" w:cs="Arial"/>
        </w:rPr>
      </w:pPr>
    </w:p>
    <w:p w14:paraId="7D2C7E43" w14:textId="77777777" w:rsidR="00505F06" w:rsidRPr="00016A65" w:rsidRDefault="00505F06" w:rsidP="00441B6F">
      <w:pPr>
        <w:pStyle w:val="Body"/>
        <w:spacing w:after="0"/>
        <w:rPr>
          <w:rFonts w:ascii="Arial" w:hAnsi="Arial" w:cs="Arial"/>
        </w:rPr>
      </w:pPr>
    </w:p>
    <w:p w14:paraId="02A5BB8C" w14:textId="77777777" w:rsidR="00522F56" w:rsidRPr="00016A65" w:rsidRDefault="00522F56" w:rsidP="00522F56">
      <w:pPr>
        <w:pStyle w:val="Body"/>
        <w:rPr>
          <w:rFonts w:ascii="Arial" w:hAnsi="Arial" w:cs="Arial"/>
        </w:rPr>
      </w:pPr>
      <w:r w:rsidRPr="00016A65">
        <w:rPr>
          <w:rFonts w:ascii="Arial" w:hAnsi="Arial" w:cs="Arial"/>
        </w:rPr>
        <w:t xml:space="preserve">The evolution of the communal land spans the pre-Columbian, colonial, and post-revolutionary periods (Rodríguez, 2010). Since 1935, it was consolidated as a tool for land redistribution and the eradication of </w:t>
      </w:r>
      <w:proofErr w:type="spellStart"/>
      <w:r w:rsidRPr="00016A65">
        <w:rPr>
          <w:rFonts w:ascii="Arial" w:hAnsi="Arial" w:cs="Arial"/>
        </w:rPr>
        <w:t>latifundismo</w:t>
      </w:r>
      <w:proofErr w:type="spellEnd"/>
      <w:r w:rsidRPr="00016A65">
        <w:rPr>
          <w:rFonts w:ascii="Arial" w:hAnsi="Arial" w:cs="Arial"/>
        </w:rPr>
        <w:t xml:space="preserve"> (Wolf, 1999; Hernández, 2017). It is defined as a legal and patrimonial unit (</w:t>
      </w:r>
      <w:proofErr w:type="spellStart"/>
      <w:r w:rsidRPr="00016A65">
        <w:rPr>
          <w:rFonts w:ascii="Arial" w:hAnsi="Arial" w:cs="Arial"/>
        </w:rPr>
        <w:t>Salmón</w:t>
      </w:r>
      <w:proofErr w:type="spellEnd"/>
      <w:r w:rsidRPr="00016A65">
        <w:rPr>
          <w:rFonts w:ascii="Arial" w:hAnsi="Arial" w:cs="Arial"/>
        </w:rPr>
        <w:t xml:space="preserve"> and </w:t>
      </w:r>
      <w:proofErr w:type="spellStart"/>
      <w:r w:rsidRPr="00016A65">
        <w:rPr>
          <w:rFonts w:ascii="Arial" w:hAnsi="Arial" w:cs="Arial"/>
        </w:rPr>
        <w:t>Caldelas</w:t>
      </w:r>
      <w:proofErr w:type="spellEnd"/>
      <w:r w:rsidRPr="00016A65">
        <w:rPr>
          <w:rFonts w:ascii="Arial" w:hAnsi="Arial" w:cs="Arial"/>
        </w:rPr>
        <w:t>, 2012) that integrates the community and collective labor lands (</w:t>
      </w:r>
      <w:proofErr w:type="spellStart"/>
      <w:r w:rsidRPr="00016A65">
        <w:rPr>
          <w:rFonts w:ascii="Arial" w:hAnsi="Arial" w:cs="Arial"/>
        </w:rPr>
        <w:t>Tutino</w:t>
      </w:r>
      <w:proofErr w:type="spellEnd"/>
      <w:r w:rsidRPr="00016A65">
        <w:rPr>
          <w:rFonts w:ascii="Arial" w:hAnsi="Arial" w:cs="Arial"/>
        </w:rPr>
        <w:t xml:space="preserve">, 1992). Although severe legal restrictions existed regarding land use and </w:t>
      </w:r>
      <w:r w:rsidRPr="00016A65">
        <w:rPr>
          <w:rFonts w:ascii="Arial" w:hAnsi="Arial" w:cs="Arial"/>
        </w:rPr>
        <w:lastRenderedPageBreak/>
        <w:t>transfer (</w:t>
      </w:r>
      <w:proofErr w:type="spellStart"/>
      <w:r w:rsidRPr="00016A65">
        <w:rPr>
          <w:rFonts w:ascii="Arial" w:hAnsi="Arial" w:cs="Arial"/>
        </w:rPr>
        <w:t>Braña</w:t>
      </w:r>
      <w:proofErr w:type="spellEnd"/>
      <w:r w:rsidRPr="00016A65">
        <w:rPr>
          <w:rFonts w:ascii="Arial" w:hAnsi="Arial" w:cs="Arial"/>
        </w:rPr>
        <w:t xml:space="preserve"> and Martínez, 2005), in practice, non-compliance prevailed through informal agreements and autonomous assembly-based management.</w:t>
      </w:r>
    </w:p>
    <w:p w14:paraId="6BC5CD7D" w14:textId="4CCFA07F" w:rsidR="00522F56" w:rsidRPr="00016A65" w:rsidRDefault="00522F56" w:rsidP="00522F56">
      <w:pPr>
        <w:pStyle w:val="Body"/>
        <w:rPr>
          <w:rFonts w:ascii="Arial" w:hAnsi="Arial" w:cs="Arial"/>
        </w:rPr>
      </w:pPr>
      <w:r w:rsidRPr="00016A65">
        <w:rPr>
          <w:rFonts w:ascii="Arial" w:hAnsi="Arial" w:cs="Arial"/>
        </w:rPr>
        <w:t xml:space="preserve">Currently, the communal land is structured through the Assembly (supreme body), the </w:t>
      </w:r>
      <w:proofErr w:type="spellStart"/>
      <w:r w:rsidRPr="00016A65">
        <w:rPr>
          <w:rFonts w:ascii="Arial" w:hAnsi="Arial" w:cs="Arial"/>
        </w:rPr>
        <w:t>comissariat</w:t>
      </w:r>
      <w:proofErr w:type="spellEnd"/>
      <w:r w:rsidRPr="00016A65">
        <w:rPr>
          <w:rFonts w:ascii="Arial" w:hAnsi="Arial" w:cs="Arial"/>
        </w:rPr>
        <w:t xml:space="preserve"> (execution and management), and the Vigilance Council (Ley </w:t>
      </w:r>
      <w:proofErr w:type="spellStart"/>
      <w:r w:rsidRPr="00016A65">
        <w:rPr>
          <w:rFonts w:ascii="Arial" w:hAnsi="Arial" w:cs="Arial"/>
        </w:rPr>
        <w:t>Agraria</w:t>
      </w:r>
      <w:proofErr w:type="spellEnd"/>
      <w:r w:rsidRPr="00016A65">
        <w:rPr>
          <w:rFonts w:ascii="Arial" w:hAnsi="Arial" w:cs="Arial"/>
        </w:rPr>
        <w:t>, 2022). By 2022, there were 31,785 communal lands with 5,179,450 communal landowners (74% men, 26% women) (RAN, 2022). Regarding forestry, in 2018, communal lands accounted for 60.7% of authorizations and 57.1% of timber volume (SEMARNAT, 2018). However, Merino and Segura (2021) point out that factors such as population growth, commercial transition, and the lack of definition of property rights hinder regulated exploitation.</w:t>
      </w:r>
    </w:p>
    <w:p w14:paraId="44C3C067" w14:textId="15E67786" w:rsidR="00522F56" w:rsidRPr="00016A65" w:rsidRDefault="00522F56" w:rsidP="00522F56">
      <w:pPr>
        <w:pStyle w:val="Body"/>
        <w:rPr>
          <w:rFonts w:ascii="Arial" w:hAnsi="Arial" w:cs="Arial"/>
        </w:rPr>
      </w:pPr>
      <w:r w:rsidRPr="00016A65">
        <w:rPr>
          <w:rFonts w:ascii="Arial" w:hAnsi="Arial" w:cs="Arial"/>
        </w:rPr>
        <w:t>Economic and population dynamics drive "economic parceling" (</w:t>
      </w:r>
      <w:proofErr w:type="spellStart"/>
      <w:r w:rsidRPr="00016A65">
        <w:rPr>
          <w:rFonts w:ascii="Arial" w:hAnsi="Arial" w:cs="Arial"/>
        </w:rPr>
        <w:t>parcelamiento</w:t>
      </w:r>
      <w:proofErr w:type="spellEnd"/>
      <w:r w:rsidRPr="00016A65">
        <w:rPr>
          <w:rFonts w:ascii="Arial" w:hAnsi="Arial" w:cs="Arial"/>
        </w:rPr>
        <w:t xml:space="preserve"> </w:t>
      </w:r>
      <w:proofErr w:type="spellStart"/>
      <w:r w:rsidRPr="00016A65">
        <w:rPr>
          <w:rFonts w:ascii="Arial" w:hAnsi="Arial" w:cs="Arial"/>
        </w:rPr>
        <w:t>económico</w:t>
      </w:r>
      <w:proofErr w:type="spellEnd"/>
      <w:r w:rsidRPr="00016A65">
        <w:rPr>
          <w:rFonts w:ascii="Arial" w:hAnsi="Arial" w:cs="Arial"/>
        </w:rPr>
        <w:t xml:space="preserve">), generating rivalry and pressure on common lands (Merino, 2014). This leads to disorganization, undefined rights, and conflicts over resource control. However, sustainability requires integrating the economic, ecological, technological-cultural, and social dimensions (INITE, 2011). To this end, communal land organization oriented toward self-management, based on the planning of human and natural resources for coordinated decision-making, is vital (Aguilar, 1978). </w:t>
      </w:r>
    </w:p>
    <w:p w14:paraId="4FE19EA3" w14:textId="3D90EB90" w:rsidR="00016CB9" w:rsidRPr="00016A65" w:rsidRDefault="00522F56" w:rsidP="00522F56">
      <w:pPr>
        <w:pStyle w:val="Body"/>
        <w:rPr>
          <w:rFonts w:ascii="Arial" w:hAnsi="Arial" w:cs="Arial"/>
        </w:rPr>
      </w:pPr>
      <w:r w:rsidRPr="00016A65">
        <w:rPr>
          <w:rFonts w:ascii="Arial" w:hAnsi="Arial" w:cs="Arial"/>
        </w:rPr>
        <w:t>Analyzing communal land organization and its forestry issues is complex, but the literature proposes three fundamental models:</w:t>
      </w:r>
    </w:p>
    <w:p w14:paraId="2C382FBF" w14:textId="77777777" w:rsidR="00522F56" w:rsidRPr="00016A65" w:rsidRDefault="00522F56" w:rsidP="00522F56">
      <w:pPr>
        <w:pStyle w:val="Body"/>
        <w:rPr>
          <w:rFonts w:ascii="Arial" w:hAnsi="Arial" w:cs="Arial"/>
        </w:rPr>
      </w:pPr>
      <w:r w:rsidRPr="00016A65">
        <w:rPr>
          <w:rFonts w:ascii="Arial" w:hAnsi="Arial" w:cs="Arial"/>
          <w:b/>
          <w:bCs/>
        </w:rPr>
        <w:t>Non-institutional political participation:</w:t>
      </w:r>
      <w:r w:rsidRPr="00016A65">
        <w:rPr>
          <w:rFonts w:ascii="Arial" w:hAnsi="Arial" w:cs="Arial"/>
        </w:rPr>
        <w:t xml:space="preserve"> It maintains that the solution to overexploitation only comes through measures imposed by the State or privatization through the market (Hardin, 1998; Osorio et al., 2017).</w:t>
      </w:r>
    </w:p>
    <w:p w14:paraId="028C7C58" w14:textId="77777777" w:rsidR="00522F56" w:rsidRPr="00016A65" w:rsidRDefault="00522F56" w:rsidP="00522F56">
      <w:pPr>
        <w:pStyle w:val="Body"/>
        <w:rPr>
          <w:rFonts w:ascii="Arial" w:hAnsi="Arial" w:cs="Arial"/>
        </w:rPr>
      </w:pPr>
      <w:r w:rsidRPr="00016A65">
        <w:rPr>
          <w:rFonts w:ascii="Arial" w:hAnsi="Arial" w:cs="Arial"/>
          <w:b/>
          <w:bCs/>
        </w:rPr>
        <w:t>Prisoner's Dilemma:</w:t>
      </w:r>
      <w:r w:rsidRPr="00016A65">
        <w:rPr>
          <w:rFonts w:ascii="Arial" w:hAnsi="Arial" w:cs="Arial"/>
        </w:rPr>
        <w:t xml:space="preserve"> Based on game theory, it explains how a lack of communication leads rational individuals to fail to cooperate, resulting in lower benefits and the collapse of common-pool resources (Ostrom, 2008; </w:t>
      </w:r>
      <w:proofErr w:type="spellStart"/>
      <w:r w:rsidRPr="00016A65">
        <w:rPr>
          <w:rFonts w:ascii="Arial" w:hAnsi="Arial" w:cs="Arial"/>
        </w:rPr>
        <w:t>Colín</w:t>
      </w:r>
      <w:proofErr w:type="spellEnd"/>
      <w:r w:rsidRPr="00016A65">
        <w:rPr>
          <w:rFonts w:ascii="Arial" w:hAnsi="Arial" w:cs="Arial"/>
        </w:rPr>
        <w:t>, 2010).</w:t>
      </w:r>
    </w:p>
    <w:p w14:paraId="08ABC799" w14:textId="3C5C79F1" w:rsidR="00522F56" w:rsidRPr="00016A65" w:rsidRDefault="00522F56" w:rsidP="00522F56">
      <w:pPr>
        <w:pStyle w:val="Body"/>
        <w:rPr>
          <w:rFonts w:ascii="Arial" w:hAnsi="Arial" w:cs="Arial"/>
        </w:rPr>
      </w:pPr>
      <w:r w:rsidRPr="00016A65">
        <w:rPr>
          <w:rFonts w:ascii="Arial" w:hAnsi="Arial" w:cs="Arial"/>
          <w:b/>
          <w:bCs/>
        </w:rPr>
        <w:t>Logic of Collective Action:</w:t>
      </w:r>
      <w:r w:rsidRPr="00016A65">
        <w:rPr>
          <w:rFonts w:ascii="Arial" w:hAnsi="Arial" w:cs="Arial"/>
        </w:rPr>
        <w:t xml:space="preserve"> Olson (1992) proposes the process through which individuals coordinate to achieve a collective outcome. Individuals support common interests if they obtain individual welfare gains; under this premise, collective action is generated (Olson, 1992). This approach is key for socio-ecological systems, where the utilization of renewable resources faces the challenge of ensuring sustainability and biodiversity conservation (Rathe, 2017).</w:t>
      </w:r>
    </w:p>
    <w:p w14:paraId="4114F4C0" w14:textId="77777777" w:rsidR="00522F56" w:rsidRPr="00016A65" w:rsidRDefault="00522F56" w:rsidP="00522F56">
      <w:pPr>
        <w:pStyle w:val="Body"/>
        <w:rPr>
          <w:rFonts w:ascii="Arial" w:hAnsi="Arial" w:cs="Arial"/>
        </w:rPr>
      </w:pPr>
      <w:r w:rsidRPr="00016A65">
        <w:rPr>
          <w:rFonts w:ascii="Arial" w:hAnsi="Arial" w:cs="Arial"/>
        </w:rPr>
        <w:t>Achieving this requires articulating the social dimensions of territory management: organization, conflict resolution, capacity building, local governance, and territorial identities.</w:t>
      </w:r>
    </w:p>
    <w:p w14:paraId="5BFE3E1E" w14:textId="77777777" w:rsidR="00522F56" w:rsidRPr="00016A65" w:rsidRDefault="00522F56" w:rsidP="00522F56">
      <w:pPr>
        <w:pStyle w:val="Body"/>
        <w:rPr>
          <w:rFonts w:ascii="Arial" w:hAnsi="Arial" w:cs="Arial"/>
        </w:rPr>
      </w:pPr>
      <w:r w:rsidRPr="00016A65">
        <w:rPr>
          <w:rFonts w:ascii="Arial" w:hAnsi="Arial" w:cs="Arial"/>
        </w:rPr>
        <w:t>The review reveals that communal land organization faces territorial disputes and forestry conflicts with various actors. Therefore, this research adopts Ostrom’s theory (2008), which allows for an analysis of how reciprocity, solidarity, and mutual agreements coexist in the governance of common-pool resources.</w:t>
      </w:r>
    </w:p>
    <w:p w14:paraId="43A1F2F8" w14:textId="77777777" w:rsidR="00522F56" w:rsidRPr="00016A65" w:rsidRDefault="00522F56" w:rsidP="00522F56">
      <w:pPr>
        <w:pStyle w:val="Body"/>
        <w:rPr>
          <w:rFonts w:ascii="Arial" w:hAnsi="Arial" w:cs="Arial"/>
        </w:rPr>
      </w:pPr>
      <w:r w:rsidRPr="00016A65">
        <w:rPr>
          <w:rFonts w:ascii="Arial" w:hAnsi="Arial" w:cs="Arial"/>
        </w:rPr>
        <w:t xml:space="preserve">Under this framework, the objective of this work is to analyze the organization of communal landowners in the </w:t>
      </w:r>
      <w:proofErr w:type="spellStart"/>
      <w:r w:rsidRPr="00016A65">
        <w:rPr>
          <w:rFonts w:ascii="Arial" w:hAnsi="Arial" w:cs="Arial"/>
        </w:rPr>
        <w:t>Chignahuapan-Zacatlan</w:t>
      </w:r>
      <w:proofErr w:type="spellEnd"/>
      <w:r w:rsidRPr="00016A65">
        <w:rPr>
          <w:rFonts w:ascii="Arial" w:hAnsi="Arial" w:cs="Arial"/>
        </w:rPr>
        <w:t xml:space="preserve"> region, Puebla, regarding the use, management, and exploitation of their forestry resources.</w:t>
      </w:r>
    </w:p>
    <w:p w14:paraId="36F2E76A" w14:textId="77777777" w:rsidR="00522F56" w:rsidRPr="00016A65" w:rsidRDefault="00522F56" w:rsidP="00522F56">
      <w:pPr>
        <w:pStyle w:val="Body"/>
        <w:rPr>
          <w:rFonts w:ascii="Arial" w:hAnsi="Arial" w:cs="Arial"/>
        </w:rPr>
      </w:pPr>
    </w:p>
    <w:p w14:paraId="1FA4A6C0" w14:textId="77777777" w:rsidR="00522F56" w:rsidRPr="00016A65" w:rsidRDefault="00522F56" w:rsidP="00522F56">
      <w:pPr>
        <w:pStyle w:val="Body"/>
        <w:rPr>
          <w:rFonts w:ascii="Arial" w:hAnsi="Arial" w:cs="Arial"/>
          <w:b/>
        </w:rPr>
      </w:pPr>
      <w:r w:rsidRPr="00016A65">
        <w:rPr>
          <w:rFonts w:ascii="Arial" w:hAnsi="Arial" w:cs="Arial"/>
          <w:b/>
        </w:rPr>
        <w:t>2. RESEARCH METHODOLOGY AND TECHNIQUES</w:t>
      </w:r>
    </w:p>
    <w:p w14:paraId="0A9DD40B" w14:textId="77777777" w:rsidR="00522F56" w:rsidRPr="00016A65" w:rsidRDefault="00522F56" w:rsidP="00522F56">
      <w:pPr>
        <w:pStyle w:val="Body"/>
        <w:rPr>
          <w:rFonts w:ascii="Arial" w:hAnsi="Arial" w:cs="Arial"/>
        </w:rPr>
      </w:pPr>
      <w:r w:rsidRPr="00016A65">
        <w:rPr>
          <w:rFonts w:ascii="Arial" w:hAnsi="Arial" w:cs="Arial"/>
        </w:rPr>
        <w:lastRenderedPageBreak/>
        <w:t>The study employed Action Research, a democratic and cooperative approach that seeks to intervene in daily life through dialogue to unveil the complexity of problems (</w:t>
      </w:r>
      <w:proofErr w:type="spellStart"/>
      <w:r w:rsidRPr="00016A65">
        <w:rPr>
          <w:rFonts w:ascii="Arial" w:hAnsi="Arial" w:cs="Arial"/>
        </w:rPr>
        <w:t>Saquet</w:t>
      </w:r>
      <w:proofErr w:type="spellEnd"/>
      <w:r w:rsidRPr="00016A65">
        <w:rPr>
          <w:rFonts w:ascii="Arial" w:hAnsi="Arial" w:cs="Arial"/>
        </w:rPr>
        <w:t>, 2017). Under this premise, the human factor is neither controlled nor restricted; instead, it is facilitated, as it is imbued with cultural meanings and commitments (Alves, 2023).</w:t>
      </w:r>
    </w:p>
    <w:p w14:paraId="63DC57A0" w14:textId="77777777" w:rsidR="00522F56" w:rsidRPr="00016A65" w:rsidRDefault="00522F56" w:rsidP="00522F56">
      <w:pPr>
        <w:pStyle w:val="Body"/>
        <w:spacing w:after="0"/>
        <w:rPr>
          <w:rFonts w:ascii="Arial" w:hAnsi="Arial" w:cs="Arial"/>
          <w:b/>
        </w:rPr>
      </w:pPr>
      <w:r w:rsidRPr="00016A65">
        <w:rPr>
          <w:rFonts w:ascii="Arial" w:hAnsi="Arial" w:cs="Arial"/>
          <w:b/>
        </w:rPr>
        <w:t>2.1 Study Area</w:t>
      </w:r>
    </w:p>
    <w:p w14:paraId="6FAF0267" w14:textId="2D93B051" w:rsidR="00522F56" w:rsidRPr="00016A65" w:rsidRDefault="00522F56" w:rsidP="00522F56">
      <w:pPr>
        <w:pStyle w:val="Body"/>
        <w:rPr>
          <w:rFonts w:ascii="Arial" w:hAnsi="Arial" w:cs="Arial"/>
        </w:rPr>
      </w:pPr>
      <w:r w:rsidRPr="00016A65">
        <w:rPr>
          <w:rFonts w:ascii="Arial" w:hAnsi="Arial" w:cs="Arial"/>
        </w:rPr>
        <w:t xml:space="preserve">The study covers eleven communal lands in the </w:t>
      </w:r>
      <w:proofErr w:type="spellStart"/>
      <w:r w:rsidRPr="00016A65">
        <w:rPr>
          <w:rFonts w:ascii="Arial" w:hAnsi="Arial" w:cs="Arial"/>
        </w:rPr>
        <w:t>Chignahuapan-Zacatlán</w:t>
      </w:r>
      <w:proofErr w:type="spellEnd"/>
      <w:r w:rsidRPr="00016A65">
        <w:rPr>
          <w:rFonts w:ascii="Arial" w:hAnsi="Arial" w:cs="Arial"/>
        </w:rPr>
        <w:t xml:space="preserve"> region (see Figure 1), an area that includes 106 agrarian nuclei, 63 of which have community forest management. The UMAFOR 2108 comprises 13 municipalities with a surface area of 268,019.57 ha, while the supply basin includes 7 municipalities representing 7.6% of the state of Puebla (INEGI, 2020). The predominant forest vegetation consists of pine forest (42.74%) and pine-oak forest (15.55%).</w:t>
      </w:r>
    </w:p>
    <w:p w14:paraId="27FC2726" w14:textId="77777777" w:rsidR="00522F56" w:rsidRPr="00016A65" w:rsidRDefault="00522F56" w:rsidP="00522F56">
      <w:pPr>
        <w:pStyle w:val="Body"/>
        <w:rPr>
          <w:rFonts w:ascii="Arial" w:hAnsi="Arial" w:cs="Arial"/>
        </w:rPr>
      </w:pPr>
      <w:r w:rsidRPr="00016A65">
        <w:rPr>
          <w:rFonts w:ascii="Arial" w:hAnsi="Arial" w:cs="Arial"/>
        </w:rPr>
        <w:t xml:space="preserve">Forest exploitation in the area is based on pine forests (Pinus) (CONAFOR, 2019). The area is located in the </w:t>
      </w:r>
      <w:proofErr w:type="spellStart"/>
      <w:r w:rsidRPr="00016A65">
        <w:rPr>
          <w:rFonts w:ascii="Arial" w:hAnsi="Arial" w:cs="Arial"/>
        </w:rPr>
        <w:t>Tecolutla</w:t>
      </w:r>
      <w:proofErr w:type="spellEnd"/>
      <w:r w:rsidRPr="00016A65">
        <w:rPr>
          <w:rFonts w:ascii="Arial" w:hAnsi="Arial" w:cs="Arial"/>
        </w:rPr>
        <w:t xml:space="preserve"> River basin, where temperate sub-humid C(w_1) (w) and humid C(m) climates predominate. Climatic conditions show average temperatures between 12°C and 18°C, annual precipitation ranging from 600 to 2,600 mm, and a low proportion of winter rain (&lt; 5%) (INEGI, 2020).</w:t>
      </w:r>
    </w:p>
    <w:p w14:paraId="0F76AEB4" w14:textId="77777777" w:rsidR="00522F56" w:rsidRPr="00016A65" w:rsidRDefault="00522F56" w:rsidP="00522F56">
      <w:pPr>
        <w:pStyle w:val="Body"/>
        <w:spacing w:after="0"/>
        <w:rPr>
          <w:rFonts w:ascii="Arial" w:hAnsi="Arial" w:cs="Arial"/>
          <w:b/>
        </w:rPr>
      </w:pPr>
      <w:r w:rsidRPr="00016A65">
        <w:rPr>
          <w:rFonts w:ascii="Arial" w:hAnsi="Arial" w:cs="Arial"/>
          <w:b/>
        </w:rPr>
        <w:t>2.2 Research Techniques</w:t>
      </w:r>
    </w:p>
    <w:p w14:paraId="5718F752" w14:textId="77777777" w:rsidR="00522F56" w:rsidRPr="00016A65" w:rsidRDefault="00522F56" w:rsidP="00522F56">
      <w:pPr>
        <w:pStyle w:val="Body"/>
        <w:rPr>
          <w:rFonts w:ascii="Arial" w:hAnsi="Arial" w:cs="Arial"/>
        </w:rPr>
      </w:pPr>
      <w:r w:rsidRPr="00016A65">
        <w:rPr>
          <w:rFonts w:ascii="Arial" w:hAnsi="Arial" w:cs="Arial"/>
        </w:rPr>
        <w:t>Research techniques included the review of secondary sources, in situ observation, and the administration of interviews and questionnaires. These tools allowed for the capturing of the particularities of production processes and the organizational dynamics of forest exploitation.</w:t>
      </w:r>
    </w:p>
    <w:p w14:paraId="73D4ED03" w14:textId="77777777" w:rsidR="00522F56" w:rsidRPr="00016A65" w:rsidRDefault="00522F56" w:rsidP="00522F56">
      <w:pPr>
        <w:pStyle w:val="Body"/>
        <w:spacing w:after="0"/>
        <w:rPr>
          <w:rFonts w:ascii="Arial" w:hAnsi="Arial" w:cs="Arial"/>
          <w:b/>
        </w:rPr>
      </w:pPr>
      <w:r w:rsidRPr="00016A65">
        <w:rPr>
          <w:rFonts w:ascii="Arial" w:hAnsi="Arial" w:cs="Arial"/>
          <w:b/>
        </w:rPr>
        <w:t>2.3 In situ observation of reality</w:t>
      </w:r>
    </w:p>
    <w:p w14:paraId="4A957F54" w14:textId="77777777" w:rsidR="00522F56" w:rsidRPr="00016A65" w:rsidRDefault="00522F56" w:rsidP="00522F56">
      <w:pPr>
        <w:pStyle w:val="Body"/>
        <w:rPr>
          <w:rFonts w:ascii="Arial" w:hAnsi="Arial" w:cs="Arial"/>
        </w:rPr>
      </w:pPr>
      <w:r w:rsidRPr="00016A65">
        <w:rPr>
          <w:rFonts w:ascii="Arial" w:hAnsi="Arial" w:cs="Arial"/>
        </w:rPr>
        <w:t>The success of action lies in the appropriation of reality to identify causes and phenomena. Therefore, the fieldwork began with in situ observation at a 1:1 scale (González, 2005), a technique that allowed for capturing the real dimension of communal land organization, forest exploitation, and its commercialization.</w:t>
      </w:r>
    </w:p>
    <w:p w14:paraId="6442A14A" w14:textId="77777777" w:rsidR="00522F56" w:rsidRPr="00016A65" w:rsidRDefault="00522F56" w:rsidP="00522F56">
      <w:pPr>
        <w:pStyle w:val="Body"/>
        <w:spacing w:after="0"/>
        <w:rPr>
          <w:rFonts w:ascii="Arial" w:hAnsi="Arial" w:cs="Arial"/>
          <w:b/>
        </w:rPr>
      </w:pPr>
      <w:r w:rsidRPr="00016A65">
        <w:rPr>
          <w:rFonts w:ascii="Arial" w:hAnsi="Arial" w:cs="Arial"/>
          <w:b/>
        </w:rPr>
        <w:t>2.4 Sample Size</w:t>
      </w:r>
    </w:p>
    <w:p w14:paraId="6B3283AC" w14:textId="77777777" w:rsidR="00522F56" w:rsidRPr="00016A65" w:rsidRDefault="00522F56" w:rsidP="00522F56">
      <w:pPr>
        <w:pStyle w:val="Body"/>
        <w:rPr>
          <w:rFonts w:ascii="Arial" w:hAnsi="Arial" w:cs="Arial"/>
        </w:rPr>
      </w:pPr>
      <w:r w:rsidRPr="00016A65">
        <w:rPr>
          <w:rFonts w:ascii="Arial" w:hAnsi="Arial" w:cs="Arial"/>
        </w:rPr>
        <w:t>A non-probability sampling was employed (Arias et al, 2016), where the sample size was defined by direct interaction in various collective instances:</w:t>
      </w:r>
    </w:p>
    <w:p w14:paraId="0BF25DFD" w14:textId="77777777" w:rsidR="00522F56" w:rsidRPr="00016A65" w:rsidRDefault="00522F56" w:rsidP="00522F56">
      <w:pPr>
        <w:pStyle w:val="Body"/>
        <w:numPr>
          <w:ilvl w:val="0"/>
          <w:numId w:val="31"/>
        </w:numPr>
        <w:spacing w:after="0"/>
        <w:rPr>
          <w:rFonts w:ascii="Arial" w:hAnsi="Arial" w:cs="Arial"/>
        </w:rPr>
      </w:pPr>
      <w:r w:rsidRPr="00016A65">
        <w:rPr>
          <w:rFonts w:ascii="Arial" w:hAnsi="Arial" w:cs="Arial"/>
          <w:b/>
          <w:bCs/>
        </w:rPr>
        <w:t>2 Assemblies:</w:t>
      </w:r>
      <w:r w:rsidRPr="00016A65">
        <w:rPr>
          <w:rFonts w:ascii="Arial" w:hAnsi="Arial" w:cs="Arial"/>
        </w:rPr>
        <w:t xml:space="preserve"> With a total of 66 representatives from the eleven </w:t>
      </w:r>
      <w:r w:rsidRPr="00016A65">
        <w:rPr>
          <w:rFonts w:ascii="Arial" w:hAnsi="Arial" w:cs="Arial"/>
          <w:i/>
          <w:iCs/>
        </w:rPr>
        <w:t>communal lands</w:t>
      </w:r>
      <w:r w:rsidRPr="00016A65">
        <w:rPr>
          <w:rFonts w:ascii="Arial" w:hAnsi="Arial" w:cs="Arial"/>
        </w:rPr>
        <w:t>.</w:t>
      </w:r>
    </w:p>
    <w:p w14:paraId="6C0C7A2A" w14:textId="77777777" w:rsidR="00522F56" w:rsidRPr="00016A65" w:rsidRDefault="00522F56" w:rsidP="00522F56">
      <w:pPr>
        <w:pStyle w:val="Body"/>
        <w:numPr>
          <w:ilvl w:val="0"/>
          <w:numId w:val="31"/>
        </w:numPr>
        <w:spacing w:after="0"/>
        <w:rPr>
          <w:rFonts w:ascii="Arial" w:hAnsi="Arial" w:cs="Arial"/>
        </w:rPr>
      </w:pPr>
      <w:r w:rsidRPr="00016A65">
        <w:rPr>
          <w:rFonts w:ascii="Arial" w:hAnsi="Arial" w:cs="Arial"/>
          <w:b/>
          <w:bCs/>
        </w:rPr>
        <w:t>12 Work meetings:</w:t>
      </w:r>
      <w:r w:rsidRPr="00016A65">
        <w:rPr>
          <w:rFonts w:ascii="Arial" w:hAnsi="Arial" w:cs="Arial"/>
        </w:rPr>
        <w:t xml:space="preserve"> With 60 members of agrarian committees and forest managers.</w:t>
      </w:r>
    </w:p>
    <w:p w14:paraId="35B7937F" w14:textId="77777777" w:rsidR="00522F56" w:rsidRPr="00016A65" w:rsidRDefault="00522F56" w:rsidP="00522F56">
      <w:pPr>
        <w:pStyle w:val="Body"/>
        <w:numPr>
          <w:ilvl w:val="0"/>
          <w:numId w:val="31"/>
        </w:numPr>
        <w:spacing w:after="0"/>
        <w:rPr>
          <w:rFonts w:ascii="Arial" w:hAnsi="Arial" w:cs="Arial"/>
        </w:rPr>
      </w:pPr>
      <w:r w:rsidRPr="00016A65">
        <w:rPr>
          <w:rFonts w:ascii="Arial" w:hAnsi="Arial" w:cs="Arial"/>
          <w:b/>
          <w:bCs/>
        </w:rPr>
        <w:t>3 Community workshops:</w:t>
      </w:r>
      <w:r w:rsidRPr="00016A65">
        <w:rPr>
          <w:rFonts w:ascii="Arial" w:hAnsi="Arial" w:cs="Arial"/>
        </w:rPr>
        <w:t xml:space="preserve"> With 45 total participants.</w:t>
      </w:r>
    </w:p>
    <w:p w14:paraId="5EA23ABD" w14:textId="77777777" w:rsidR="00522F56" w:rsidRPr="00016A65" w:rsidRDefault="00522F56" w:rsidP="00522F56">
      <w:pPr>
        <w:pStyle w:val="Body"/>
        <w:spacing w:after="0"/>
        <w:rPr>
          <w:rFonts w:ascii="Arial" w:hAnsi="Arial" w:cs="Arial"/>
        </w:rPr>
      </w:pPr>
      <w:r w:rsidRPr="00016A65">
        <w:rPr>
          <w:rFonts w:ascii="Arial" w:hAnsi="Arial" w:cs="Arial"/>
          <w:b/>
          <w:bCs/>
        </w:rPr>
        <w:t>Documentary analysis:</w:t>
      </w:r>
      <w:r w:rsidRPr="00016A65">
        <w:rPr>
          <w:rFonts w:ascii="Arial" w:hAnsi="Arial" w:cs="Arial"/>
        </w:rPr>
        <w:t xml:space="preserve"> To triangulate the information obtained in the field.</w:t>
      </w:r>
    </w:p>
    <w:p w14:paraId="10B44911" w14:textId="77777777" w:rsidR="00522F56" w:rsidRPr="00016A65" w:rsidRDefault="00522F56" w:rsidP="00522F56">
      <w:pPr>
        <w:pStyle w:val="Body"/>
        <w:spacing w:after="0"/>
        <w:rPr>
          <w:rFonts w:ascii="Arial" w:hAnsi="Arial" w:cs="Arial"/>
          <w:b/>
        </w:rPr>
      </w:pPr>
      <w:r w:rsidRPr="00016A65">
        <w:rPr>
          <w:rFonts w:ascii="Arial" w:hAnsi="Arial" w:cs="Arial"/>
          <w:b/>
        </w:rPr>
        <w:t>2.5 Semi-structured Interviews and Questionnaire</w:t>
      </w:r>
    </w:p>
    <w:p w14:paraId="6F63D3EF" w14:textId="77777777" w:rsidR="00522F56" w:rsidRPr="00016A65" w:rsidRDefault="00522F56" w:rsidP="00522F56">
      <w:pPr>
        <w:pStyle w:val="Body"/>
        <w:rPr>
          <w:rFonts w:ascii="Arial" w:hAnsi="Arial" w:cs="Arial"/>
        </w:rPr>
      </w:pPr>
      <w:r w:rsidRPr="00016A65">
        <w:rPr>
          <w:rFonts w:ascii="Arial" w:hAnsi="Arial" w:cs="Arial"/>
        </w:rPr>
        <w:t>Semi-structured interviews were conducted with 33 authorities (the commissioner, secretary, and treasurer of each of the 11 communal lands) along with a closed-ended questionnaire based on Spradley’s three levels (2016):</w:t>
      </w:r>
    </w:p>
    <w:p w14:paraId="63C671F5" w14:textId="77777777" w:rsidR="00522F56" w:rsidRPr="00016A65" w:rsidRDefault="00522F56" w:rsidP="00522F56">
      <w:pPr>
        <w:pStyle w:val="Body"/>
        <w:numPr>
          <w:ilvl w:val="0"/>
          <w:numId w:val="32"/>
        </w:numPr>
        <w:spacing w:after="0"/>
        <w:rPr>
          <w:rFonts w:ascii="Arial" w:hAnsi="Arial" w:cs="Arial"/>
        </w:rPr>
      </w:pPr>
      <w:r w:rsidRPr="00016A65">
        <w:rPr>
          <w:rFonts w:ascii="Arial" w:hAnsi="Arial" w:cs="Arial"/>
          <w:b/>
          <w:bCs/>
        </w:rPr>
        <w:t>Descriptive:</w:t>
      </w:r>
      <w:r w:rsidRPr="00016A65">
        <w:rPr>
          <w:rFonts w:ascii="Arial" w:hAnsi="Arial" w:cs="Arial"/>
        </w:rPr>
        <w:t xml:space="preserve"> regarding daily activities and the relationship with the forestry environment.</w:t>
      </w:r>
    </w:p>
    <w:p w14:paraId="4F0EA0B1" w14:textId="77777777" w:rsidR="00522F56" w:rsidRPr="00016A65" w:rsidRDefault="00522F56" w:rsidP="00522F56">
      <w:pPr>
        <w:pStyle w:val="Body"/>
        <w:numPr>
          <w:ilvl w:val="0"/>
          <w:numId w:val="32"/>
        </w:numPr>
        <w:spacing w:after="0"/>
        <w:rPr>
          <w:rFonts w:ascii="Arial" w:hAnsi="Arial" w:cs="Arial"/>
        </w:rPr>
      </w:pPr>
      <w:r w:rsidRPr="00016A65">
        <w:rPr>
          <w:rFonts w:ascii="Arial" w:hAnsi="Arial" w:cs="Arial"/>
          <w:b/>
          <w:bCs/>
        </w:rPr>
        <w:t>Structural:</w:t>
      </w:r>
      <w:r w:rsidRPr="00016A65">
        <w:rPr>
          <w:rFonts w:ascii="Arial" w:hAnsi="Arial" w:cs="Arial"/>
        </w:rPr>
        <w:t xml:space="preserve"> concerning production, finances, sales, and marketing.</w:t>
      </w:r>
    </w:p>
    <w:p w14:paraId="7F377439" w14:textId="77777777" w:rsidR="00522F56" w:rsidRPr="00016A65" w:rsidRDefault="00522F56" w:rsidP="00522F56">
      <w:pPr>
        <w:pStyle w:val="Body"/>
        <w:numPr>
          <w:ilvl w:val="0"/>
          <w:numId w:val="32"/>
        </w:numPr>
        <w:spacing w:after="0"/>
        <w:rPr>
          <w:rFonts w:ascii="Arial" w:hAnsi="Arial" w:cs="Arial"/>
        </w:rPr>
      </w:pPr>
      <w:r w:rsidRPr="00016A65">
        <w:rPr>
          <w:rFonts w:ascii="Arial" w:hAnsi="Arial" w:cs="Arial"/>
          <w:b/>
          <w:bCs/>
        </w:rPr>
        <w:t>Contrast:</w:t>
      </w:r>
      <w:r w:rsidRPr="00016A65">
        <w:rPr>
          <w:rFonts w:ascii="Arial" w:hAnsi="Arial" w:cs="Arial"/>
        </w:rPr>
        <w:t xml:space="preserve"> to identify terminological differences and the understanding of specific concepts among the informants.</w:t>
      </w:r>
    </w:p>
    <w:p w14:paraId="0D72AB51" w14:textId="77777777" w:rsidR="00522F56" w:rsidRPr="00016A65" w:rsidRDefault="00522F56" w:rsidP="00522F56">
      <w:pPr>
        <w:pStyle w:val="Body"/>
        <w:rPr>
          <w:rFonts w:ascii="Arial" w:hAnsi="Arial" w:cs="Arial"/>
        </w:rPr>
      </w:pPr>
    </w:p>
    <w:p w14:paraId="0322F89A" w14:textId="77777777" w:rsidR="00522F56" w:rsidRPr="00016A65" w:rsidRDefault="00522F56" w:rsidP="00522F56">
      <w:pPr>
        <w:pStyle w:val="Body"/>
        <w:rPr>
          <w:rFonts w:ascii="Arial" w:hAnsi="Arial" w:cs="Arial"/>
        </w:rPr>
      </w:pPr>
    </w:p>
    <w:p w14:paraId="6FA7EBEE" w14:textId="77777777" w:rsidR="00522F56" w:rsidRPr="00016A65" w:rsidRDefault="00522F56" w:rsidP="00522F56">
      <w:pPr>
        <w:pStyle w:val="Body"/>
        <w:rPr>
          <w:rFonts w:ascii="Arial" w:hAnsi="Arial" w:cs="Arial"/>
          <w:b/>
          <w:bCs/>
        </w:rPr>
      </w:pPr>
      <w:r w:rsidRPr="00016A65">
        <w:rPr>
          <w:rFonts w:ascii="Arial" w:hAnsi="Arial" w:cs="Arial"/>
          <w:b/>
          <w:bCs/>
        </w:rPr>
        <w:t>Table 1. Set of questions, description, and variables considered in the interviews</w:t>
      </w:r>
    </w:p>
    <w:tbl>
      <w:tblPr>
        <w:tblStyle w:val="TableGrid"/>
        <w:tblW w:w="83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4853"/>
      </w:tblGrid>
      <w:tr w:rsidR="00522F56" w:rsidRPr="00016A65" w14:paraId="0B3FC2DF" w14:textId="77777777" w:rsidTr="00522F56">
        <w:trPr>
          <w:trHeight w:val="469"/>
        </w:trPr>
        <w:tc>
          <w:tcPr>
            <w:tcW w:w="3495" w:type="dxa"/>
            <w:tcBorders>
              <w:top w:val="single" w:sz="4" w:space="0" w:color="auto"/>
              <w:bottom w:val="single" w:sz="4" w:space="0" w:color="auto"/>
            </w:tcBorders>
            <w:vAlign w:val="center"/>
          </w:tcPr>
          <w:p w14:paraId="18130E50"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b/>
                <w:bCs/>
                <w:sz w:val="20"/>
                <w:szCs w:val="20"/>
                <w:lang w:val="es-MX"/>
              </w:rPr>
              <w:lastRenderedPageBreak/>
              <w:t xml:space="preserve">Set </w:t>
            </w:r>
            <w:proofErr w:type="spellStart"/>
            <w:r w:rsidRPr="00016A65">
              <w:rPr>
                <w:rFonts w:ascii="Arial" w:eastAsia="Times New Roman" w:hAnsi="Arial" w:cs="Arial"/>
                <w:b/>
                <w:bCs/>
                <w:sz w:val="20"/>
                <w:szCs w:val="20"/>
                <w:lang w:val="es-MX"/>
              </w:rPr>
              <w:t>of</w:t>
            </w:r>
            <w:proofErr w:type="spellEnd"/>
            <w:r w:rsidRPr="00016A65">
              <w:rPr>
                <w:rFonts w:ascii="Arial" w:eastAsia="Times New Roman" w:hAnsi="Arial" w:cs="Arial"/>
                <w:b/>
                <w:bCs/>
                <w:sz w:val="20"/>
                <w:szCs w:val="20"/>
                <w:lang w:val="es-MX"/>
              </w:rPr>
              <w:t xml:space="preserve"> </w:t>
            </w:r>
            <w:proofErr w:type="spellStart"/>
            <w:r w:rsidRPr="00016A65">
              <w:rPr>
                <w:rFonts w:ascii="Arial" w:eastAsia="Times New Roman" w:hAnsi="Arial" w:cs="Arial"/>
                <w:b/>
                <w:bCs/>
                <w:sz w:val="20"/>
                <w:szCs w:val="20"/>
                <w:lang w:val="es-MX"/>
              </w:rPr>
              <w:t>questions</w:t>
            </w:r>
            <w:proofErr w:type="spellEnd"/>
          </w:p>
        </w:tc>
        <w:tc>
          <w:tcPr>
            <w:tcW w:w="4853" w:type="dxa"/>
            <w:tcBorders>
              <w:top w:val="single" w:sz="4" w:space="0" w:color="auto"/>
              <w:bottom w:val="single" w:sz="4" w:space="0" w:color="auto"/>
            </w:tcBorders>
          </w:tcPr>
          <w:p w14:paraId="2E18DF6A"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b/>
                <w:bCs/>
                <w:sz w:val="20"/>
                <w:szCs w:val="20"/>
              </w:rPr>
              <w:t>Variables considered during the interviews</w:t>
            </w:r>
          </w:p>
        </w:tc>
      </w:tr>
      <w:tr w:rsidR="00522F56" w:rsidRPr="00016A65" w14:paraId="594739DE" w14:textId="77777777" w:rsidTr="00522F56">
        <w:trPr>
          <w:trHeight w:val="687"/>
        </w:trPr>
        <w:tc>
          <w:tcPr>
            <w:tcW w:w="3495" w:type="dxa"/>
            <w:tcBorders>
              <w:top w:val="single" w:sz="4" w:space="0" w:color="auto"/>
              <w:bottom w:val="single" w:sz="4" w:space="0" w:color="auto"/>
            </w:tcBorders>
            <w:vAlign w:val="center"/>
          </w:tcPr>
          <w:p w14:paraId="2823A4ED"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b/>
                <w:bCs/>
                <w:sz w:val="20"/>
                <w:szCs w:val="20"/>
              </w:rPr>
              <w:t>Characterization of the forest producer</w:t>
            </w:r>
          </w:p>
        </w:tc>
        <w:tc>
          <w:tcPr>
            <w:tcW w:w="4853" w:type="dxa"/>
            <w:tcBorders>
              <w:top w:val="single" w:sz="4" w:space="0" w:color="auto"/>
              <w:bottom w:val="single" w:sz="4" w:space="0" w:color="auto"/>
            </w:tcBorders>
            <w:vAlign w:val="center"/>
          </w:tcPr>
          <w:p w14:paraId="7A7AEF9C"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sz w:val="20"/>
                <w:szCs w:val="20"/>
              </w:rPr>
              <w:t>Location, size, number of communal landowners, family members, schooling.</w:t>
            </w:r>
          </w:p>
        </w:tc>
      </w:tr>
      <w:tr w:rsidR="00522F56" w:rsidRPr="00016A65" w14:paraId="6CD7B916" w14:textId="77777777" w:rsidTr="00522F56">
        <w:trPr>
          <w:trHeight w:val="1607"/>
        </w:trPr>
        <w:tc>
          <w:tcPr>
            <w:tcW w:w="3495" w:type="dxa"/>
            <w:tcBorders>
              <w:top w:val="single" w:sz="4" w:space="0" w:color="auto"/>
              <w:bottom w:val="single" w:sz="4" w:space="0" w:color="auto"/>
            </w:tcBorders>
            <w:vAlign w:val="center"/>
          </w:tcPr>
          <w:p w14:paraId="1C83DFC7" w14:textId="77777777" w:rsidR="00522F56" w:rsidRPr="00016A65" w:rsidRDefault="00522F56" w:rsidP="00522F56">
            <w:pPr>
              <w:pStyle w:val="Body"/>
              <w:rPr>
                <w:rFonts w:ascii="Arial" w:eastAsia="Times New Roman" w:hAnsi="Arial" w:cs="Arial"/>
                <w:sz w:val="20"/>
                <w:szCs w:val="20"/>
              </w:rPr>
            </w:pPr>
            <w:proofErr w:type="spellStart"/>
            <w:r w:rsidRPr="00016A65">
              <w:rPr>
                <w:rFonts w:ascii="Arial" w:eastAsia="Times New Roman" w:hAnsi="Arial" w:cs="Arial"/>
                <w:b/>
                <w:bCs/>
                <w:sz w:val="20"/>
                <w:szCs w:val="20"/>
                <w:lang w:val="es-MX"/>
              </w:rPr>
              <w:t>Organization</w:t>
            </w:r>
            <w:proofErr w:type="spellEnd"/>
            <w:r w:rsidRPr="00016A65">
              <w:rPr>
                <w:rFonts w:ascii="Arial" w:eastAsia="Times New Roman" w:hAnsi="Arial" w:cs="Arial"/>
                <w:b/>
                <w:bCs/>
                <w:sz w:val="20"/>
                <w:szCs w:val="20"/>
                <w:lang w:val="es-MX"/>
              </w:rPr>
              <w:t xml:space="preserve"> and </w:t>
            </w:r>
            <w:proofErr w:type="spellStart"/>
            <w:r w:rsidRPr="00016A65">
              <w:rPr>
                <w:rFonts w:ascii="Arial" w:eastAsia="Times New Roman" w:hAnsi="Arial" w:cs="Arial"/>
                <w:b/>
                <w:bCs/>
                <w:sz w:val="20"/>
                <w:szCs w:val="20"/>
                <w:lang w:val="es-MX"/>
              </w:rPr>
              <w:t>decision-making</w:t>
            </w:r>
            <w:proofErr w:type="spellEnd"/>
          </w:p>
        </w:tc>
        <w:tc>
          <w:tcPr>
            <w:tcW w:w="4853" w:type="dxa"/>
            <w:tcBorders>
              <w:top w:val="single" w:sz="4" w:space="0" w:color="auto"/>
              <w:bottom w:val="single" w:sz="4" w:space="0" w:color="auto"/>
            </w:tcBorders>
            <w:vAlign w:val="center"/>
          </w:tcPr>
          <w:p w14:paraId="0A2C9EE0"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sz w:val="20"/>
                <w:szCs w:val="20"/>
              </w:rPr>
              <w:t>Types of problems faced in the communal land organization (illegal logging, organization for forest exploitation, social and religious activities within the communal land). Conflict resolution, frequency of assemblies, internal regulations, collaboration with governmental and academic institutions.</w:t>
            </w:r>
          </w:p>
        </w:tc>
      </w:tr>
    </w:tbl>
    <w:p w14:paraId="2AE4664C" w14:textId="77777777" w:rsidR="00522F56" w:rsidRPr="00016A65" w:rsidRDefault="00522F56" w:rsidP="00522F56">
      <w:pPr>
        <w:pStyle w:val="Body"/>
        <w:rPr>
          <w:rFonts w:ascii="Arial" w:hAnsi="Arial" w:cs="Arial"/>
        </w:rPr>
      </w:pPr>
      <w:r w:rsidRPr="00016A65">
        <w:rPr>
          <w:rFonts w:ascii="Arial" w:hAnsi="Arial" w:cs="Arial"/>
        </w:rPr>
        <w:t>Source: Own elaboration, 2024.</w:t>
      </w:r>
    </w:p>
    <w:p w14:paraId="17353B44" w14:textId="77777777" w:rsidR="00522F56" w:rsidRPr="00016A65" w:rsidRDefault="00522F56" w:rsidP="00522F56">
      <w:pPr>
        <w:pStyle w:val="Body"/>
        <w:spacing w:after="0"/>
        <w:rPr>
          <w:rFonts w:ascii="Arial" w:hAnsi="Arial" w:cs="Arial"/>
          <w:b/>
        </w:rPr>
      </w:pPr>
      <w:r w:rsidRPr="00016A65">
        <w:rPr>
          <w:rFonts w:ascii="Arial" w:hAnsi="Arial" w:cs="Arial"/>
          <w:b/>
        </w:rPr>
        <w:t xml:space="preserve">2.6 Participatory Diagnosis </w:t>
      </w:r>
    </w:p>
    <w:p w14:paraId="702F6862" w14:textId="77777777" w:rsidR="00522F56" w:rsidRPr="00016A65" w:rsidRDefault="00522F56" w:rsidP="00522F56">
      <w:pPr>
        <w:pStyle w:val="Body"/>
        <w:spacing w:after="0"/>
        <w:rPr>
          <w:rFonts w:ascii="Arial" w:hAnsi="Arial" w:cs="Arial"/>
        </w:rPr>
      </w:pPr>
      <w:r w:rsidRPr="00016A65">
        <w:rPr>
          <w:rFonts w:ascii="Arial" w:hAnsi="Arial" w:cs="Arial"/>
        </w:rPr>
        <w:t xml:space="preserve">Four participatory diagnoses were conducted (each integrating three </w:t>
      </w:r>
      <w:r w:rsidRPr="00016A65">
        <w:rPr>
          <w:rFonts w:ascii="Arial" w:hAnsi="Arial" w:cs="Arial"/>
          <w:i/>
          <w:iCs/>
        </w:rPr>
        <w:t>communal lands</w:t>
      </w:r>
      <w:r w:rsidRPr="00016A65">
        <w:rPr>
          <w:rFonts w:ascii="Arial" w:hAnsi="Arial" w:cs="Arial"/>
        </w:rPr>
        <w:t>) to identify power relations, conflicts, and the importance of organization. In this systematic process, the actors reflected on their forests under key axes: from the sense of appropriation and forest conservation to transparent administration and accountability as the foundations of governance and internal trust.</w:t>
      </w:r>
    </w:p>
    <w:p w14:paraId="7F2B0AAC" w14:textId="77777777" w:rsidR="00790ADA" w:rsidRPr="00016A65" w:rsidRDefault="00790ADA" w:rsidP="00441B6F">
      <w:pPr>
        <w:pStyle w:val="Body"/>
        <w:spacing w:after="0"/>
        <w:rPr>
          <w:rFonts w:ascii="Arial" w:hAnsi="Arial" w:cs="Arial"/>
        </w:rPr>
      </w:pPr>
    </w:p>
    <w:p w14:paraId="55DA9C7B" w14:textId="77777777" w:rsidR="00790ADA" w:rsidRPr="00016A65" w:rsidRDefault="00790ADA" w:rsidP="00441B6F">
      <w:pPr>
        <w:pStyle w:val="Body"/>
        <w:spacing w:after="0"/>
        <w:rPr>
          <w:rFonts w:ascii="Arial" w:hAnsi="Arial" w:cs="Arial"/>
        </w:rPr>
      </w:pPr>
    </w:p>
    <w:p w14:paraId="3EB1EC0E" w14:textId="77777777" w:rsidR="00902823" w:rsidRPr="00016A65" w:rsidRDefault="00000F8F" w:rsidP="00441B6F">
      <w:pPr>
        <w:pStyle w:val="Head1"/>
        <w:spacing w:after="0"/>
        <w:jc w:val="both"/>
        <w:rPr>
          <w:rFonts w:ascii="Arial" w:hAnsi="Arial" w:cs="Arial"/>
        </w:rPr>
      </w:pPr>
      <w:r w:rsidRPr="00016A65">
        <w:rPr>
          <w:rFonts w:ascii="Arial" w:hAnsi="Arial" w:cs="Arial"/>
        </w:rPr>
        <w:t>3</w:t>
      </w:r>
      <w:r w:rsidR="00902823" w:rsidRPr="00016A65">
        <w:rPr>
          <w:rFonts w:ascii="Arial" w:hAnsi="Arial" w:cs="Arial"/>
        </w:rPr>
        <w:t xml:space="preserve">. </w:t>
      </w:r>
      <w:r w:rsidRPr="00016A65">
        <w:rPr>
          <w:rFonts w:ascii="Arial" w:hAnsi="Arial" w:cs="Arial"/>
        </w:rPr>
        <w:t>results and discussion</w:t>
      </w:r>
    </w:p>
    <w:p w14:paraId="4AB9B8F7" w14:textId="77777777" w:rsidR="00790ADA" w:rsidRPr="00016A65" w:rsidRDefault="00790ADA" w:rsidP="00441B6F">
      <w:pPr>
        <w:pStyle w:val="Head1"/>
        <w:spacing w:after="0"/>
        <w:jc w:val="both"/>
        <w:rPr>
          <w:rFonts w:ascii="Arial" w:hAnsi="Arial" w:cs="Arial"/>
        </w:rPr>
      </w:pPr>
    </w:p>
    <w:p w14:paraId="1AD2DA1E" w14:textId="77777777" w:rsidR="00522F56" w:rsidRPr="00016A65" w:rsidRDefault="00E053D0" w:rsidP="00522F56">
      <w:pPr>
        <w:jc w:val="both"/>
        <w:rPr>
          <w:rFonts w:ascii="Arial" w:hAnsi="Arial" w:cs="Arial"/>
        </w:rPr>
      </w:pPr>
      <w:r w:rsidRPr="00016A65">
        <w:rPr>
          <w:rFonts w:ascii="Arial" w:hAnsi="Arial" w:cs="Arial"/>
          <w:lang w:val="en-GB" w:eastAsia="en-GB"/>
        </w:rPr>
        <w:br/>
      </w:r>
      <w:r w:rsidR="00522F56" w:rsidRPr="00016A65">
        <w:rPr>
          <w:rFonts w:ascii="Arial" w:hAnsi="Arial" w:cs="Arial"/>
        </w:rPr>
        <w:t xml:space="preserve">Table 2 indicates that the eleven communal lands (communal lands) total 672 communal landowners (communal landowners) and 5,483 hectares, allocating 57% to forest exploitation. San José Corral Blanco covers the largest area (37%), while </w:t>
      </w:r>
      <w:proofErr w:type="spellStart"/>
      <w:r w:rsidR="00522F56" w:rsidRPr="00016A65">
        <w:rPr>
          <w:rFonts w:ascii="Arial" w:hAnsi="Arial" w:cs="Arial"/>
        </w:rPr>
        <w:t>Túliman</w:t>
      </w:r>
      <w:proofErr w:type="spellEnd"/>
      <w:r w:rsidR="00522F56" w:rsidRPr="00016A65">
        <w:rPr>
          <w:rFonts w:ascii="Arial" w:hAnsi="Arial" w:cs="Arial"/>
        </w:rPr>
        <w:t xml:space="preserve"> represents the smallest extent (2%).</w:t>
      </w:r>
    </w:p>
    <w:p w14:paraId="7EA444BB" w14:textId="77777777" w:rsidR="00522F56" w:rsidRPr="00016A65" w:rsidRDefault="00522F56" w:rsidP="00522F56">
      <w:pPr>
        <w:jc w:val="both"/>
        <w:rPr>
          <w:rFonts w:ascii="Arial" w:hAnsi="Arial" w:cs="Arial"/>
        </w:rPr>
      </w:pPr>
    </w:p>
    <w:p w14:paraId="26067B01" w14:textId="77777777" w:rsidR="00522F56" w:rsidRPr="00016A65" w:rsidRDefault="00522F56" w:rsidP="00522F56">
      <w:pPr>
        <w:jc w:val="both"/>
        <w:rPr>
          <w:rFonts w:ascii="Arial" w:hAnsi="Arial" w:cs="Arial"/>
          <w:b/>
          <w:bCs/>
        </w:rPr>
      </w:pPr>
      <w:r w:rsidRPr="00016A65">
        <w:rPr>
          <w:rFonts w:ascii="Arial" w:hAnsi="Arial" w:cs="Arial"/>
          <w:b/>
          <w:bCs/>
        </w:rPr>
        <w:t xml:space="preserve">Table 2. Municipalities, Communal lands (communal lands), number of communal landowners (communal landowners), and surface area of the communal lands (communal lands) under study in the </w:t>
      </w:r>
      <w:proofErr w:type="spellStart"/>
      <w:r w:rsidRPr="00016A65">
        <w:rPr>
          <w:rFonts w:ascii="Arial" w:hAnsi="Arial" w:cs="Arial"/>
          <w:b/>
          <w:bCs/>
        </w:rPr>
        <w:t>Chignahuapan-Zacatlan</w:t>
      </w:r>
      <w:proofErr w:type="spellEnd"/>
      <w:r w:rsidRPr="00016A65">
        <w:rPr>
          <w:rFonts w:ascii="Arial" w:hAnsi="Arial" w:cs="Arial"/>
          <w:b/>
          <w:bCs/>
        </w:rPr>
        <w:t xml:space="preserve"> Region.</w:t>
      </w:r>
    </w:p>
    <w:p w14:paraId="7877A51B" w14:textId="61A9A17D" w:rsidR="00502516" w:rsidRPr="00016A65" w:rsidRDefault="00502516" w:rsidP="00522F56">
      <w:pPr>
        <w:rPr>
          <w:rFonts w:ascii="Arial" w:hAnsi="Arial" w:cs="Arial"/>
        </w:rPr>
      </w:pPr>
    </w:p>
    <w:p w14:paraId="2106022F" w14:textId="77777777" w:rsidR="00790ADA" w:rsidRPr="00016A65" w:rsidRDefault="00790ADA" w:rsidP="00441B6F">
      <w:pPr>
        <w:pStyle w:val="Body"/>
        <w:spacing w:after="0"/>
        <w:rPr>
          <w:rFonts w:ascii="Arial" w:hAnsi="Arial" w:cs="Arial"/>
        </w:rPr>
      </w:pPr>
    </w:p>
    <w:tbl>
      <w:tblPr>
        <w:tblStyle w:val="TableGrid"/>
        <w:tblW w:w="83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326"/>
        <w:gridCol w:w="1444"/>
        <w:gridCol w:w="1245"/>
        <w:gridCol w:w="1569"/>
      </w:tblGrid>
      <w:tr w:rsidR="00522F56" w:rsidRPr="00016A65" w14:paraId="6B453662" w14:textId="77777777" w:rsidTr="00522F56">
        <w:trPr>
          <w:trHeight w:val="536"/>
        </w:trPr>
        <w:tc>
          <w:tcPr>
            <w:tcW w:w="1774" w:type="dxa"/>
            <w:tcBorders>
              <w:top w:val="single" w:sz="4" w:space="0" w:color="auto"/>
              <w:bottom w:val="single" w:sz="4" w:space="0" w:color="auto"/>
            </w:tcBorders>
            <w:vAlign w:val="center"/>
          </w:tcPr>
          <w:p w14:paraId="11FAF843"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sz w:val="24"/>
                <w:szCs w:val="24"/>
              </w:rPr>
              <w:t>Municipality</w:t>
            </w:r>
          </w:p>
        </w:tc>
        <w:tc>
          <w:tcPr>
            <w:tcW w:w="2406" w:type="dxa"/>
            <w:tcBorders>
              <w:top w:val="single" w:sz="4" w:space="0" w:color="auto"/>
              <w:bottom w:val="single" w:sz="4" w:space="0" w:color="auto"/>
            </w:tcBorders>
            <w:vAlign w:val="center"/>
          </w:tcPr>
          <w:p w14:paraId="6412D6A3" w14:textId="77777777" w:rsidR="00522F56" w:rsidRPr="00016A65" w:rsidRDefault="00522F56" w:rsidP="00714961">
            <w:pPr>
              <w:shd w:val="clear" w:color="auto" w:fill="FFFFFF" w:themeFill="background1"/>
              <w:rPr>
                <w:rFonts w:ascii="Arial" w:hAnsi="Arial" w:cs="Arial"/>
                <w:color w:val="000000" w:themeColor="text1"/>
                <w:sz w:val="24"/>
                <w:szCs w:val="24"/>
              </w:rPr>
            </w:pPr>
            <w:r w:rsidRPr="00016A65">
              <w:rPr>
                <w:rFonts w:ascii="Arial" w:hAnsi="Arial" w:cs="Arial"/>
                <w:color w:val="000000" w:themeColor="text1"/>
                <w:sz w:val="24"/>
                <w:szCs w:val="24"/>
              </w:rPr>
              <w:t>Communal Land</w:t>
            </w:r>
          </w:p>
        </w:tc>
        <w:tc>
          <w:tcPr>
            <w:tcW w:w="1323" w:type="dxa"/>
            <w:tcBorders>
              <w:top w:val="single" w:sz="4" w:space="0" w:color="auto"/>
              <w:bottom w:val="single" w:sz="4" w:space="0" w:color="auto"/>
            </w:tcBorders>
            <w:vAlign w:val="center"/>
          </w:tcPr>
          <w:p w14:paraId="41C1232D" w14:textId="7B79CE8D"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Number of communal landowners</w:t>
            </w:r>
          </w:p>
        </w:tc>
        <w:tc>
          <w:tcPr>
            <w:tcW w:w="1261" w:type="dxa"/>
            <w:tcBorders>
              <w:top w:val="single" w:sz="4" w:space="0" w:color="auto"/>
              <w:bottom w:val="single" w:sz="4" w:space="0" w:color="auto"/>
            </w:tcBorders>
          </w:tcPr>
          <w:p w14:paraId="296F47C5"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Total area (ha)</w:t>
            </w:r>
          </w:p>
        </w:tc>
        <w:tc>
          <w:tcPr>
            <w:tcW w:w="1598" w:type="dxa"/>
            <w:tcBorders>
              <w:top w:val="single" w:sz="4" w:space="0" w:color="auto"/>
              <w:bottom w:val="single" w:sz="4" w:space="0" w:color="auto"/>
            </w:tcBorders>
            <w:vAlign w:val="center"/>
          </w:tcPr>
          <w:p w14:paraId="2D2122EA"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Common-use area (ha)</w:t>
            </w:r>
          </w:p>
        </w:tc>
      </w:tr>
      <w:tr w:rsidR="00522F56" w:rsidRPr="00016A65" w14:paraId="5A42EADD" w14:textId="77777777" w:rsidTr="00522F56">
        <w:trPr>
          <w:trHeight w:hRule="exact" w:val="283"/>
        </w:trPr>
        <w:tc>
          <w:tcPr>
            <w:tcW w:w="1774" w:type="dxa"/>
            <w:tcBorders>
              <w:top w:val="single" w:sz="4" w:space="0" w:color="auto"/>
            </w:tcBorders>
          </w:tcPr>
          <w:p w14:paraId="59444376"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Chignahuapan</w:t>
            </w:r>
            <w:proofErr w:type="spellEnd"/>
          </w:p>
        </w:tc>
        <w:tc>
          <w:tcPr>
            <w:tcW w:w="2406" w:type="dxa"/>
            <w:tcBorders>
              <w:top w:val="single" w:sz="4" w:space="0" w:color="auto"/>
            </w:tcBorders>
          </w:tcPr>
          <w:p w14:paraId="2ADCFB6E"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San J. Corral Blanco</w:t>
            </w:r>
          </w:p>
        </w:tc>
        <w:tc>
          <w:tcPr>
            <w:tcW w:w="1323" w:type="dxa"/>
            <w:tcBorders>
              <w:top w:val="single" w:sz="4" w:space="0" w:color="auto"/>
            </w:tcBorders>
            <w:vAlign w:val="center"/>
          </w:tcPr>
          <w:p w14:paraId="7AA68492"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118</w:t>
            </w:r>
          </w:p>
        </w:tc>
        <w:tc>
          <w:tcPr>
            <w:tcW w:w="1261" w:type="dxa"/>
            <w:tcBorders>
              <w:top w:val="single" w:sz="4" w:space="0" w:color="auto"/>
            </w:tcBorders>
          </w:tcPr>
          <w:p w14:paraId="6138DE88"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2,052.7</w:t>
            </w:r>
          </w:p>
        </w:tc>
        <w:tc>
          <w:tcPr>
            <w:tcW w:w="1598" w:type="dxa"/>
            <w:tcBorders>
              <w:top w:val="single" w:sz="4" w:space="0" w:color="auto"/>
            </w:tcBorders>
            <w:vAlign w:val="center"/>
          </w:tcPr>
          <w:p w14:paraId="5DBDED3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1,206.60</w:t>
            </w:r>
          </w:p>
        </w:tc>
      </w:tr>
      <w:tr w:rsidR="00522F56" w:rsidRPr="00016A65" w14:paraId="43522C58" w14:textId="77777777" w:rsidTr="00522F56">
        <w:trPr>
          <w:trHeight w:hRule="exact" w:val="283"/>
        </w:trPr>
        <w:tc>
          <w:tcPr>
            <w:tcW w:w="1774" w:type="dxa"/>
          </w:tcPr>
          <w:p w14:paraId="543918D8"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Zacatlan</w:t>
            </w:r>
            <w:proofErr w:type="spellEnd"/>
          </w:p>
        </w:tc>
        <w:tc>
          <w:tcPr>
            <w:tcW w:w="2406" w:type="dxa"/>
          </w:tcPr>
          <w:p w14:paraId="2D7AFA46"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Atotonilco</w:t>
            </w:r>
            <w:proofErr w:type="spellEnd"/>
            <w:r w:rsidRPr="00016A65">
              <w:rPr>
                <w:rFonts w:ascii="Arial" w:hAnsi="Arial" w:cs="Arial"/>
                <w:color w:val="000000" w:themeColor="text1"/>
                <w:sz w:val="24"/>
                <w:szCs w:val="24"/>
              </w:rPr>
              <w:t xml:space="preserve"> </w:t>
            </w:r>
          </w:p>
        </w:tc>
        <w:tc>
          <w:tcPr>
            <w:tcW w:w="1323" w:type="dxa"/>
            <w:vAlign w:val="center"/>
          </w:tcPr>
          <w:p w14:paraId="61E0272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30</w:t>
            </w:r>
          </w:p>
        </w:tc>
        <w:tc>
          <w:tcPr>
            <w:tcW w:w="1261" w:type="dxa"/>
          </w:tcPr>
          <w:p w14:paraId="6F4B915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163.45</w:t>
            </w:r>
          </w:p>
        </w:tc>
        <w:tc>
          <w:tcPr>
            <w:tcW w:w="1598" w:type="dxa"/>
            <w:vAlign w:val="center"/>
          </w:tcPr>
          <w:p w14:paraId="4114501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84.32</w:t>
            </w:r>
          </w:p>
        </w:tc>
      </w:tr>
      <w:tr w:rsidR="00522F56" w:rsidRPr="00016A65" w14:paraId="36D4D636" w14:textId="77777777" w:rsidTr="00522F56">
        <w:trPr>
          <w:trHeight w:hRule="exact" w:val="283"/>
        </w:trPr>
        <w:tc>
          <w:tcPr>
            <w:tcW w:w="1774" w:type="dxa"/>
          </w:tcPr>
          <w:p w14:paraId="427C1492"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Chignahuapan</w:t>
            </w:r>
            <w:proofErr w:type="spellEnd"/>
          </w:p>
        </w:tc>
        <w:tc>
          <w:tcPr>
            <w:tcW w:w="2406" w:type="dxa"/>
          </w:tcPr>
          <w:p w14:paraId="2D2DEE65"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Rio </w:t>
            </w:r>
            <w:proofErr w:type="spellStart"/>
            <w:r w:rsidRPr="00016A65">
              <w:rPr>
                <w:rFonts w:ascii="Arial" w:hAnsi="Arial" w:cs="Arial"/>
                <w:color w:val="000000" w:themeColor="text1"/>
                <w:sz w:val="24"/>
                <w:szCs w:val="24"/>
              </w:rPr>
              <w:t>blanco</w:t>
            </w:r>
            <w:proofErr w:type="spellEnd"/>
          </w:p>
        </w:tc>
        <w:tc>
          <w:tcPr>
            <w:tcW w:w="1323" w:type="dxa"/>
            <w:vAlign w:val="center"/>
          </w:tcPr>
          <w:p w14:paraId="561F6BD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44</w:t>
            </w:r>
          </w:p>
        </w:tc>
        <w:tc>
          <w:tcPr>
            <w:tcW w:w="1261" w:type="dxa"/>
          </w:tcPr>
          <w:p w14:paraId="0E79C897"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211.3</w:t>
            </w:r>
          </w:p>
        </w:tc>
        <w:tc>
          <w:tcPr>
            <w:tcW w:w="1598" w:type="dxa"/>
            <w:vAlign w:val="center"/>
          </w:tcPr>
          <w:p w14:paraId="71111162"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185.38</w:t>
            </w:r>
          </w:p>
        </w:tc>
      </w:tr>
      <w:tr w:rsidR="00522F56" w:rsidRPr="00016A65" w14:paraId="524E2DAD" w14:textId="77777777" w:rsidTr="00522F56">
        <w:trPr>
          <w:trHeight w:hRule="exact" w:val="283"/>
        </w:trPr>
        <w:tc>
          <w:tcPr>
            <w:tcW w:w="1774" w:type="dxa"/>
          </w:tcPr>
          <w:p w14:paraId="1E2AA7F7"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Chignahuapan</w:t>
            </w:r>
            <w:proofErr w:type="spellEnd"/>
            <w:r w:rsidRPr="00016A65">
              <w:rPr>
                <w:rFonts w:ascii="Arial" w:hAnsi="Arial" w:cs="Arial"/>
                <w:color w:val="000000" w:themeColor="text1"/>
                <w:sz w:val="24"/>
                <w:szCs w:val="24"/>
              </w:rPr>
              <w:t xml:space="preserve"> </w:t>
            </w:r>
          </w:p>
        </w:tc>
        <w:tc>
          <w:tcPr>
            <w:tcW w:w="2406" w:type="dxa"/>
          </w:tcPr>
          <w:p w14:paraId="657A7A1B"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Ixtlahuaca</w:t>
            </w:r>
            <w:proofErr w:type="spellEnd"/>
            <w:r w:rsidRPr="00016A65">
              <w:rPr>
                <w:rFonts w:ascii="Arial" w:hAnsi="Arial" w:cs="Arial"/>
                <w:color w:val="000000" w:themeColor="text1"/>
                <w:sz w:val="24"/>
                <w:szCs w:val="24"/>
              </w:rPr>
              <w:t xml:space="preserve"> </w:t>
            </w:r>
          </w:p>
        </w:tc>
        <w:tc>
          <w:tcPr>
            <w:tcW w:w="1323" w:type="dxa"/>
            <w:vAlign w:val="center"/>
          </w:tcPr>
          <w:p w14:paraId="26AB53A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25</w:t>
            </w:r>
          </w:p>
        </w:tc>
        <w:tc>
          <w:tcPr>
            <w:tcW w:w="1261" w:type="dxa"/>
          </w:tcPr>
          <w:p w14:paraId="15B5BC9D"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308.73</w:t>
            </w:r>
          </w:p>
        </w:tc>
        <w:tc>
          <w:tcPr>
            <w:tcW w:w="1598" w:type="dxa"/>
            <w:vAlign w:val="center"/>
          </w:tcPr>
          <w:p w14:paraId="78117F51"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161.39</w:t>
            </w:r>
          </w:p>
        </w:tc>
      </w:tr>
      <w:tr w:rsidR="00522F56" w:rsidRPr="00016A65" w14:paraId="3281CA9C" w14:textId="77777777" w:rsidTr="00522F56">
        <w:trPr>
          <w:trHeight w:hRule="exact" w:val="283"/>
        </w:trPr>
        <w:tc>
          <w:tcPr>
            <w:tcW w:w="1774" w:type="dxa"/>
          </w:tcPr>
          <w:p w14:paraId="1C3B2B3A"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Zacatlan</w:t>
            </w:r>
            <w:proofErr w:type="spellEnd"/>
          </w:p>
        </w:tc>
        <w:tc>
          <w:tcPr>
            <w:tcW w:w="2406" w:type="dxa"/>
          </w:tcPr>
          <w:p w14:paraId="24F620B2"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Eloxochitlan</w:t>
            </w:r>
            <w:proofErr w:type="spellEnd"/>
          </w:p>
        </w:tc>
        <w:tc>
          <w:tcPr>
            <w:tcW w:w="1323" w:type="dxa"/>
            <w:vAlign w:val="center"/>
          </w:tcPr>
          <w:p w14:paraId="1151113A"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85</w:t>
            </w:r>
          </w:p>
        </w:tc>
        <w:tc>
          <w:tcPr>
            <w:tcW w:w="1261" w:type="dxa"/>
          </w:tcPr>
          <w:p w14:paraId="6E0E9943"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255.98</w:t>
            </w:r>
          </w:p>
        </w:tc>
        <w:tc>
          <w:tcPr>
            <w:tcW w:w="1598" w:type="dxa"/>
            <w:vAlign w:val="center"/>
          </w:tcPr>
          <w:p w14:paraId="411A8C36"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190.69</w:t>
            </w:r>
          </w:p>
        </w:tc>
      </w:tr>
      <w:tr w:rsidR="00522F56" w:rsidRPr="00016A65" w14:paraId="4623A2CD" w14:textId="77777777" w:rsidTr="00522F56">
        <w:trPr>
          <w:trHeight w:hRule="exact" w:val="283"/>
        </w:trPr>
        <w:tc>
          <w:tcPr>
            <w:tcW w:w="1774" w:type="dxa"/>
          </w:tcPr>
          <w:p w14:paraId="38469817"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Zacatlán</w:t>
            </w:r>
            <w:proofErr w:type="spellEnd"/>
          </w:p>
        </w:tc>
        <w:tc>
          <w:tcPr>
            <w:tcW w:w="2406" w:type="dxa"/>
          </w:tcPr>
          <w:p w14:paraId="074586E5"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Túliman</w:t>
            </w:r>
            <w:proofErr w:type="spellEnd"/>
            <w:r w:rsidRPr="00016A65">
              <w:rPr>
                <w:rFonts w:ascii="Arial" w:hAnsi="Arial" w:cs="Arial"/>
                <w:color w:val="000000" w:themeColor="text1"/>
                <w:sz w:val="24"/>
                <w:szCs w:val="24"/>
              </w:rPr>
              <w:t xml:space="preserve"> </w:t>
            </w:r>
          </w:p>
        </w:tc>
        <w:tc>
          <w:tcPr>
            <w:tcW w:w="1323" w:type="dxa"/>
            <w:vAlign w:val="center"/>
          </w:tcPr>
          <w:p w14:paraId="1154BF2F"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21</w:t>
            </w:r>
          </w:p>
        </w:tc>
        <w:tc>
          <w:tcPr>
            <w:tcW w:w="1261" w:type="dxa"/>
          </w:tcPr>
          <w:p w14:paraId="7B372631"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119.76</w:t>
            </w:r>
          </w:p>
        </w:tc>
        <w:tc>
          <w:tcPr>
            <w:tcW w:w="1598" w:type="dxa"/>
            <w:vAlign w:val="center"/>
          </w:tcPr>
          <w:p w14:paraId="0DC127E1"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92.06</w:t>
            </w:r>
          </w:p>
        </w:tc>
      </w:tr>
      <w:tr w:rsidR="00522F56" w:rsidRPr="00016A65" w14:paraId="138A7D92" w14:textId="77777777" w:rsidTr="00522F56">
        <w:trPr>
          <w:trHeight w:hRule="exact" w:val="283"/>
        </w:trPr>
        <w:tc>
          <w:tcPr>
            <w:tcW w:w="1774" w:type="dxa"/>
          </w:tcPr>
          <w:p w14:paraId="602977ED"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Zacatlan</w:t>
            </w:r>
            <w:proofErr w:type="spellEnd"/>
            <w:r w:rsidRPr="00016A65">
              <w:rPr>
                <w:rFonts w:ascii="Arial" w:hAnsi="Arial" w:cs="Arial"/>
                <w:color w:val="000000" w:themeColor="text1"/>
                <w:sz w:val="24"/>
                <w:szCs w:val="24"/>
              </w:rPr>
              <w:t xml:space="preserve"> </w:t>
            </w:r>
          </w:p>
        </w:tc>
        <w:tc>
          <w:tcPr>
            <w:tcW w:w="2406" w:type="dxa"/>
          </w:tcPr>
          <w:p w14:paraId="31EA96B1"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Jicolapa</w:t>
            </w:r>
            <w:proofErr w:type="spellEnd"/>
            <w:r w:rsidRPr="00016A65">
              <w:rPr>
                <w:rFonts w:ascii="Arial" w:hAnsi="Arial" w:cs="Arial"/>
                <w:color w:val="000000" w:themeColor="text1"/>
                <w:sz w:val="24"/>
                <w:szCs w:val="24"/>
              </w:rPr>
              <w:t xml:space="preserve"> </w:t>
            </w:r>
          </w:p>
        </w:tc>
        <w:tc>
          <w:tcPr>
            <w:tcW w:w="1323" w:type="dxa"/>
            <w:vAlign w:val="center"/>
          </w:tcPr>
          <w:p w14:paraId="0FA3C4BE"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89</w:t>
            </w:r>
          </w:p>
        </w:tc>
        <w:tc>
          <w:tcPr>
            <w:tcW w:w="1261" w:type="dxa"/>
          </w:tcPr>
          <w:p w14:paraId="18BF6898"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509.704</w:t>
            </w:r>
          </w:p>
        </w:tc>
        <w:tc>
          <w:tcPr>
            <w:tcW w:w="1598" w:type="dxa"/>
            <w:vAlign w:val="center"/>
          </w:tcPr>
          <w:p w14:paraId="021C5235"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399.36</w:t>
            </w:r>
          </w:p>
        </w:tc>
      </w:tr>
      <w:tr w:rsidR="00522F56" w:rsidRPr="00016A65" w14:paraId="2CAEF722" w14:textId="77777777" w:rsidTr="00522F56">
        <w:trPr>
          <w:trHeight w:hRule="exact" w:val="283"/>
        </w:trPr>
        <w:tc>
          <w:tcPr>
            <w:tcW w:w="1774" w:type="dxa"/>
          </w:tcPr>
          <w:p w14:paraId="42FFF400"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Aquixtla</w:t>
            </w:r>
            <w:proofErr w:type="spellEnd"/>
          </w:p>
        </w:tc>
        <w:tc>
          <w:tcPr>
            <w:tcW w:w="2406" w:type="dxa"/>
          </w:tcPr>
          <w:p w14:paraId="70408A0D"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Coayuca</w:t>
            </w:r>
            <w:proofErr w:type="spellEnd"/>
            <w:r w:rsidRPr="00016A65">
              <w:rPr>
                <w:rFonts w:ascii="Arial" w:hAnsi="Arial" w:cs="Arial"/>
                <w:color w:val="000000" w:themeColor="text1"/>
                <w:sz w:val="24"/>
                <w:szCs w:val="24"/>
              </w:rPr>
              <w:t xml:space="preserve"> </w:t>
            </w:r>
          </w:p>
        </w:tc>
        <w:tc>
          <w:tcPr>
            <w:tcW w:w="1323" w:type="dxa"/>
            <w:vAlign w:val="center"/>
          </w:tcPr>
          <w:p w14:paraId="76FCFDB2"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28</w:t>
            </w:r>
          </w:p>
        </w:tc>
        <w:tc>
          <w:tcPr>
            <w:tcW w:w="1261" w:type="dxa"/>
          </w:tcPr>
          <w:p w14:paraId="629D81EF"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170.17</w:t>
            </w:r>
          </w:p>
        </w:tc>
        <w:tc>
          <w:tcPr>
            <w:tcW w:w="1598" w:type="dxa"/>
            <w:vAlign w:val="center"/>
          </w:tcPr>
          <w:p w14:paraId="4F8E99C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116.17</w:t>
            </w:r>
          </w:p>
        </w:tc>
      </w:tr>
      <w:tr w:rsidR="00522F56" w:rsidRPr="00016A65" w14:paraId="60503BBE" w14:textId="77777777" w:rsidTr="00522F56">
        <w:trPr>
          <w:trHeight w:hRule="exact" w:val="283"/>
        </w:trPr>
        <w:tc>
          <w:tcPr>
            <w:tcW w:w="1774" w:type="dxa"/>
          </w:tcPr>
          <w:p w14:paraId="4F4BACE4"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Ahuazotepec</w:t>
            </w:r>
            <w:proofErr w:type="spellEnd"/>
          </w:p>
        </w:tc>
        <w:tc>
          <w:tcPr>
            <w:tcW w:w="2406" w:type="dxa"/>
          </w:tcPr>
          <w:p w14:paraId="253482FE"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Tenejaque</w:t>
            </w:r>
            <w:proofErr w:type="spellEnd"/>
          </w:p>
        </w:tc>
        <w:tc>
          <w:tcPr>
            <w:tcW w:w="1323" w:type="dxa"/>
            <w:vAlign w:val="center"/>
          </w:tcPr>
          <w:p w14:paraId="6A920DC8"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74</w:t>
            </w:r>
          </w:p>
        </w:tc>
        <w:tc>
          <w:tcPr>
            <w:tcW w:w="1261" w:type="dxa"/>
          </w:tcPr>
          <w:p w14:paraId="0027A4C0"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488.77</w:t>
            </w:r>
          </w:p>
        </w:tc>
        <w:tc>
          <w:tcPr>
            <w:tcW w:w="1598" w:type="dxa"/>
            <w:vAlign w:val="center"/>
          </w:tcPr>
          <w:p w14:paraId="0BE80D3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283.14</w:t>
            </w:r>
          </w:p>
        </w:tc>
      </w:tr>
      <w:tr w:rsidR="00522F56" w:rsidRPr="00016A65" w14:paraId="404C8758" w14:textId="77777777" w:rsidTr="00522F56">
        <w:trPr>
          <w:trHeight w:hRule="exact" w:val="283"/>
        </w:trPr>
        <w:tc>
          <w:tcPr>
            <w:tcW w:w="1774" w:type="dxa"/>
          </w:tcPr>
          <w:p w14:paraId="0110CFCB"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Aquixtla</w:t>
            </w:r>
            <w:proofErr w:type="spellEnd"/>
            <w:r w:rsidRPr="00016A65">
              <w:rPr>
                <w:rFonts w:ascii="Arial" w:hAnsi="Arial" w:cs="Arial"/>
                <w:color w:val="000000" w:themeColor="text1"/>
                <w:sz w:val="24"/>
                <w:szCs w:val="24"/>
              </w:rPr>
              <w:t xml:space="preserve"> </w:t>
            </w:r>
          </w:p>
        </w:tc>
        <w:tc>
          <w:tcPr>
            <w:tcW w:w="2406" w:type="dxa"/>
          </w:tcPr>
          <w:p w14:paraId="7D0058E3"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El </w:t>
            </w:r>
            <w:proofErr w:type="spellStart"/>
            <w:r w:rsidRPr="00016A65">
              <w:rPr>
                <w:rFonts w:ascii="Arial" w:hAnsi="Arial" w:cs="Arial"/>
                <w:color w:val="000000" w:themeColor="text1"/>
                <w:sz w:val="24"/>
                <w:szCs w:val="24"/>
              </w:rPr>
              <w:t>terrero</w:t>
            </w:r>
            <w:proofErr w:type="spellEnd"/>
          </w:p>
        </w:tc>
        <w:tc>
          <w:tcPr>
            <w:tcW w:w="1323" w:type="dxa"/>
            <w:vAlign w:val="center"/>
          </w:tcPr>
          <w:p w14:paraId="115EFAE0"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122</w:t>
            </w:r>
          </w:p>
        </w:tc>
        <w:tc>
          <w:tcPr>
            <w:tcW w:w="1261" w:type="dxa"/>
          </w:tcPr>
          <w:p w14:paraId="03CB0C5D"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930</w:t>
            </w:r>
          </w:p>
        </w:tc>
        <w:tc>
          <w:tcPr>
            <w:tcW w:w="1598" w:type="dxa"/>
            <w:vAlign w:val="center"/>
          </w:tcPr>
          <w:p w14:paraId="1FA60CFA"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832.51</w:t>
            </w:r>
          </w:p>
        </w:tc>
      </w:tr>
      <w:tr w:rsidR="00522F56" w:rsidRPr="00016A65" w14:paraId="310867D5" w14:textId="77777777" w:rsidTr="00522F56">
        <w:trPr>
          <w:trHeight w:hRule="exact" w:val="283"/>
        </w:trPr>
        <w:tc>
          <w:tcPr>
            <w:tcW w:w="1774" w:type="dxa"/>
          </w:tcPr>
          <w:p w14:paraId="52F12178"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Ahuazotepec</w:t>
            </w:r>
            <w:proofErr w:type="spellEnd"/>
            <w:r w:rsidRPr="00016A65">
              <w:rPr>
                <w:rFonts w:ascii="Arial" w:hAnsi="Arial" w:cs="Arial"/>
                <w:color w:val="000000" w:themeColor="text1"/>
                <w:sz w:val="24"/>
                <w:szCs w:val="24"/>
              </w:rPr>
              <w:t xml:space="preserve"> </w:t>
            </w:r>
          </w:p>
        </w:tc>
        <w:tc>
          <w:tcPr>
            <w:tcW w:w="2406" w:type="dxa"/>
          </w:tcPr>
          <w:p w14:paraId="079DE505"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Mesa </w:t>
            </w:r>
            <w:proofErr w:type="spellStart"/>
            <w:r w:rsidRPr="00016A65">
              <w:rPr>
                <w:rFonts w:ascii="Arial" w:hAnsi="Arial" w:cs="Arial"/>
                <w:color w:val="000000" w:themeColor="text1"/>
                <w:sz w:val="24"/>
                <w:szCs w:val="24"/>
              </w:rPr>
              <w:t>chica</w:t>
            </w:r>
            <w:proofErr w:type="spellEnd"/>
          </w:p>
        </w:tc>
        <w:tc>
          <w:tcPr>
            <w:tcW w:w="1323" w:type="dxa"/>
            <w:vAlign w:val="center"/>
          </w:tcPr>
          <w:p w14:paraId="4F679DE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36</w:t>
            </w:r>
          </w:p>
        </w:tc>
        <w:tc>
          <w:tcPr>
            <w:tcW w:w="1261" w:type="dxa"/>
          </w:tcPr>
          <w:p w14:paraId="55224DE9"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271</w:t>
            </w:r>
          </w:p>
        </w:tc>
        <w:tc>
          <w:tcPr>
            <w:tcW w:w="1598" w:type="dxa"/>
            <w:vAlign w:val="center"/>
          </w:tcPr>
          <w:p w14:paraId="2013C20E"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139.98</w:t>
            </w:r>
          </w:p>
        </w:tc>
      </w:tr>
    </w:tbl>
    <w:p w14:paraId="49859DB4" w14:textId="33D53C5D" w:rsidR="00522F56" w:rsidRPr="00016A65" w:rsidRDefault="00522F56" w:rsidP="00522F56">
      <w:pPr>
        <w:shd w:val="clear" w:color="auto" w:fill="FFFFFF" w:themeFill="background1"/>
        <w:ind w:right="877"/>
        <w:jc w:val="both"/>
        <w:rPr>
          <w:rFonts w:ascii="Arial" w:hAnsi="Arial" w:cs="Arial"/>
          <w:color w:val="000000" w:themeColor="text1"/>
        </w:rPr>
      </w:pPr>
      <w:r w:rsidRPr="00016A65">
        <w:rPr>
          <w:rFonts w:ascii="Arial" w:hAnsi="Arial" w:cs="Arial"/>
        </w:rPr>
        <w:t xml:space="preserve">Source: Own elaboration with data from the RAN (National Agrarian Registry), </w:t>
      </w:r>
      <w:r w:rsidRPr="00016A65">
        <w:rPr>
          <w:rFonts w:ascii="Arial" w:hAnsi="Arial" w:cs="Arial"/>
          <w:color w:val="000000" w:themeColor="text1"/>
        </w:rPr>
        <w:t>2024.</w:t>
      </w:r>
    </w:p>
    <w:p w14:paraId="17005196" w14:textId="77777777" w:rsidR="00E053D0" w:rsidRPr="00016A65" w:rsidRDefault="00E053D0" w:rsidP="00441B6F">
      <w:pPr>
        <w:pStyle w:val="Body"/>
        <w:spacing w:after="0"/>
        <w:rPr>
          <w:rFonts w:ascii="Arial" w:hAnsi="Arial" w:cs="Arial"/>
        </w:rPr>
      </w:pPr>
    </w:p>
    <w:p w14:paraId="5FAE4285" w14:textId="77777777" w:rsidR="00522F56" w:rsidRPr="00016A65" w:rsidRDefault="00522F56" w:rsidP="00522F56">
      <w:pPr>
        <w:pStyle w:val="Body"/>
        <w:spacing w:after="0"/>
        <w:rPr>
          <w:rFonts w:ascii="Arial" w:hAnsi="Arial" w:cs="Arial"/>
        </w:rPr>
      </w:pPr>
      <w:r w:rsidRPr="00016A65">
        <w:rPr>
          <w:rFonts w:ascii="Arial" w:hAnsi="Arial" w:cs="Arial"/>
        </w:rPr>
        <w:t>The communal landowners (53.7±10.5 years old; 6.1±3.2 years of schooling) head families with 5.71±1.73 members, reflecting maturity and productive capacity. Sánchez et al. (2018) confirm that these demographic characteristics impact the efficiency of forest management.</w:t>
      </w:r>
    </w:p>
    <w:p w14:paraId="3B3ADD21" w14:textId="77777777" w:rsidR="00522F56" w:rsidRPr="00016A65" w:rsidRDefault="00522F56" w:rsidP="00522F56">
      <w:pPr>
        <w:pStyle w:val="Body"/>
        <w:spacing w:after="0"/>
        <w:rPr>
          <w:rFonts w:ascii="Arial" w:hAnsi="Arial" w:cs="Arial"/>
        </w:rPr>
      </w:pPr>
      <w:r w:rsidRPr="00016A65">
        <w:rPr>
          <w:rFonts w:ascii="Arial" w:hAnsi="Arial" w:cs="Arial"/>
        </w:rPr>
        <w:t xml:space="preserve">Table 3 highlights </w:t>
      </w:r>
      <w:proofErr w:type="spellStart"/>
      <w:r w:rsidRPr="00016A65">
        <w:rPr>
          <w:rFonts w:ascii="Arial" w:hAnsi="Arial" w:cs="Arial"/>
        </w:rPr>
        <w:t>Jicolapa</w:t>
      </w:r>
      <w:proofErr w:type="spellEnd"/>
      <w:r w:rsidRPr="00016A65">
        <w:rPr>
          <w:rFonts w:ascii="Arial" w:hAnsi="Arial" w:cs="Arial"/>
        </w:rPr>
        <w:t xml:space="preserve"> and San José Corral Blanco as having the largest surface area. The management of Pinus </w:t>
      </w:r>
      <w:proofErr w:type="spellStart"/>
      <w:r w:rsidRPr="00016A65">
        <w:rPr>
          <w:rFonts w:ascii="Arial" w:hAnsi="Arial" w:cs="Arial"/>
        </w:rPr>
        <w:t>patula</w:t>
      </w:r>
      <w:proofErr w:type="spellEnd"/>
      <w:r w:rsidRPr="00016A65">
        <w:rPr>
          <w:rFonts w:ascii="Arial" w:hAnsi="Arial" w:cs="Arial"/>
        </w:rPr>
        <w:t xml:space="preserve"> allows for an understanding of ecological processes and treatments for local sustainability. </w:t>
      </w:r>
      <w:proofErr w:type="spellStart"/>
      <w:r w:rsidRPr="00016A65">
        <w:rPr>
          <w:rFonts w:ascii="Arial" w:hAnsi="Arial" w:cs="Arial"/>
        </w:rPr>
        <w:t>Tadeo</w:t>
      </w:r>
      <w:proofErr w:type="spellEnd"/>
      <w:r w:rsidRPr="00016A65">
        <w:rPr>
          <w:rFonts w:ascii="Arial" w:hAnsi="Arial" w:cs="Arial"/>
        </w:rPr>
        <w:t xml:space="preserve"> et al. (2019) add that this favors structural and biological diversity, maintaining continuous cover.</w:t>
      </w:r>
    </w:p>
    <w:p w14:paraId="7A998EF4" w14:textId="77777777" w:rsidR="00522F56" w:rsidRPr="00016A65" w:rsidRDefault="00522F56" w:rsidP="00522F56">
      <w:pPr>
        <w:pStyle w:val="Body"/>
        <w:spacing w:after="0"/>
        <w:rPr>
          <w:rFonts w:ascii="Arial" w:hAnsi="Arial" w:cs="Arial"/>
        </w:rPr>
      </w:pPr>
    </w:p>
    <w:p w14:paraId="5C421BA5" w14:textId="77777777" w:rsidR="00522F56" w:rsidRPr="00016A65" w:rsidRDefault="00522F56" w:rsidP="00522F56">
      <w:pPr>
        <w:pStyle w:val="Body"/>
        <w:rPr>
          <w:rFonts w:ascii="Arial" w:hAnsi="Arial" w:cs="Arial"/>
          <w:b/>
          <w:bCs/>
        </w:rPr>
      </w:pPr>
      <w:r w:rsidRPr="00016A65">
        <w:rPr>
          <w:rFonts w:ascii="Arial" w:hAnsi="Arial" w:cs="Arial"/>
          <w:b/>
          <w:bCs/>
        </w:rPr>
        <w:t xml:space="preserve">Table 3. Forest area, exploitation, production volume, and commercial measures by </w:t>
      </w:r>
      <w:r w:rsidRPr="00016A65">
        <w:rPr>
          <w:rFonts w:ascii="Arial" w:hAnsi="Arial" w:cs="Arial"/>
          <w:b/>
          <w:bCs/>
          <w:i/>
          <w:iCs/>
        </w:rPr>
        <w:t>communal land</w:t>
      </w:r>
      <w:r w:rsidRPr="00016A65">
        <w:rPr>
          <w:rFonts w:ascii="Arial" w:hAnsi="Arial" w:cs="Arial"/>
          <w:b/>
          <w:bCs/>
        </w:rPr>
        <w:t xml:space="preserve"> for 2022.</w:t>
      </w:r>
    </w:p>
    <w:tbl>
      <w:tblPr>
        <w:tblStyle w:val="TableGrid"/>
        <w:tblW w:w="836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261"/>
        <w:gridCol w:w="2055"/>
        <w:gridCol w:w="1671"/>
        <w:gridCol w:w="1729"/>
      </w:tblGrid>
      <w:tr w:rsidR="00522F56" w:rsidRPr="00016A65" w14:paraId="184D5B5F" w14:textId="77777777" w:rsidTr="00522F56">
        <w:trPr>
          <w:trHeight w:hRule="exact" w:val="951"/>
        </w:trPr>
        <w:tc>
          <w:tcPr>
            <w:tcW w:w="1647" w:type="dxa"/>
            <w:tcBorders>
              <w:top w:val="single" w:sz="4" w:space="0" w:color="auto"/>
              <w:left w:val="nil"/>
              <w:bottom w:val="single" w:sz="4" w:space="0" w:color="auto"/>
              <w:right w:val="nil"/>
            </w:tcBorders>
            <w:vAlign w:val="center"/>
          </w:tcPr>
          <w:p w14:paraId="1F75BAE0" w14:textId="77777777" w:rsidR="00522F56" w:rsidRPr="00016A65" w:rsidRDefault="00522F56" w:rsidP="00714961">
            <w:pPr>
              <w:shd w:val="clear" w:color="auto" w:fill="FFFFFF" w:themeFill="background1"/>
              <w:jc w:val="center"/>
              <w:rPr>
                <w:rFonts w:ascii="Arial" w:hAnsi="Arial" w:cs="Arial"/>
                <w:color w:val="EE0000"/>
                <w:sz w:val="20"/>
                <w:szCs w:val="20"/>
              </w:rPr>
            </w:pPr>
            <w:r w:rsidRPr="00016A65">
              <w:rPr>
                <w:rFonts w:ascii="Arial" w:hAnsi="Arial" w:cs="Arial"/>
                <w:sz w:val="20"/>
                <w:szCs w:val="20"/>
              </w:rPr>
              <w:t>Communal Land</w:t>
            </w:r>
          </w:p>
        </w:tc>
        <w:tc>
          <w:tcPr>
            <w:tcW w:w="1261" w:type="dxa"/>
            <w:tcBorders>
              <w:top w:val="single" w:sz="4" w:space="0" w:color="auto"/>
              <w:left w:val="nil"/>
              <w:bottom w:val="single" w:sz="4" w:space="0" w:color="auto"/>
              <w:right w:val="nil"/>
            </w:tcBorders>
            <w:vAlign w:val="center"/>
          </w:tcPr>
          <w:p w14:paraId="028EE17F" w14:textId="77777777" w:rsidR="00522F56" w:rsidRPr="00016A65" w:rsidRDefault="00522F56" w:rsidP="00714961">
            <w:pPr>
              <w:shd w:val="clear" w:color="auto" w:fill="FFFFFF" w:themeFill="background1"/>
              <w:jc w:val="center"/>
              <w:rPr>
                <w:rFonts w:ascii="Arial" w:hAnsi="Arial" w:cs="Arial"/>
                <w:sz w:val="20"/>
                <w:szCs w:val="20"/>
              </w:rPr>
            </w:pPr>
            <w:r w:rsidRPr="00016A65">
              <w:rPr>
                <w:rFonts w:ascii="Arial" w:hAnsi="Arial" w:cs="Arial"/>
                <w:sz w:val="20"/>
                <w:szCs w:val="20"/>
              </w:rPr>
              <w:t>Forest Area (Ha)</w:t>
            </w:r>
          </w:p>
        </w:tc>
        <w:tc>
          <w:tcPr>
            <w:tcW w:w="2055" w:type="dxa"/>
            <w:tcBorders>
              <w:top w:val="single" w:sz="4" w:space="0" w:color="auto"/>
              <w:left w:val="nil"/>
              <w:bottom w:val="single" w:sz="4" w:space="0" w:color="auto"/>
              <w:right w:val="nil"/>
            </w:tcBorders>
            <w:vAlign w:val="center"/>
          </w:tcPr>
          <w:p w14:paraId="3E6D6881" w14:textId="77777777" w:rsidR="00522F56" w:rsidRPr="00016A65" w:rsidRDefault="00522F56" w:rsidP="00714961">
            <w:pPr>
              <w:shd w:val="clear" w:color="auto" w:fill="FFFFFF" w:themeFill="background1"/>
              <w:jc w:val="center"/>
              <w:rPr>
                <w:rFonts w:ascii="Arial" w:hAnsi="Arial" w:cs="Arial"/>
                <w:sz w:val="20"/>
                <w:szCs w:val="20"/>
              </w:rPr>
            </w:pPr>
            <w:r w:rsidRPr="00016A65">
              <w:rPr>
                <w:rFonts w:ascii="Arial" w:hAnsi="Arial" w:cs="Arial"/>
                <w:sz w:val="20"/>
                <w:szCs w:val="20"/>
              </w:rPr>
              <w:t>Area under forestry use (ha)</w:t>
            </w:r>
          </w:p>
        </w:tc>
        <w:tc>
          <w:tcPr>
            <w:tcW w:w="1671" w:type="dxa"/>
            <w:tcBorders>
              <w:top w:val="single" w:sz="4" w:space="0" w:color="auto"/>
              <w:left w:val="nil"/>
              <w:bottom w:val="single" w:sz="4" w:space="0" w:color="auto"/>
              <w:right w:val="nil"/>
            </w:tcBorders>
            <w:vAlign w:val="center"/>
          </w:tcPr>
          <w:p w14:paraId="064EEC85" w14:textId="77777777" w:rsidR="00522F56" w:rsidRPr="00016A65" w:rsidRDefault="00522F56" w:rsidP="00714961">
            <w:pPr>
              <w:shd w:val="clear" w:color="auto" w:fill="FFFFFF" w:themeFill="background1"/>
              <w:jc w:val="center"/>
              <w:rPr>
                <w:rFonts w:ascii="Arial" w:hAnsi="Arial" w:cs="Arial"/>
                <w:sz w:val="20"/>
                <w:szCs w:val="20"/>
              </w:rPr>
            </w:pPr>
            <w:r w:rsidRPr="00016A65">
              <w:rPr>
                <w:rFonts w:ascii="Arial" w:hAnsi="Arial" w:cs="Arial"/>
                <w:sz w:val="20"/>
                <w:szCs w:val="20"/>
              </w:rPr>
              <w:t>Volume of forest utilization (m</w:t>
            </w:r>
            <w:r w:rsidRPr="00016A65">
              <w:rPr>
                <w:rFonts w:ascii="Arial" w:hAnsi="Arial" w:cs="Arial"/>
                <w:sz w:val="20"/>
                <w:szCs w:val="20"/>
                <w:vertAlign w:val="superscript"/>
              </w:rPr>
              <w:t>3</w:t>
            </w:r>
            <w:r w:rsidRPr="00016A65">
              <w:rPr>
                <w:rFonts w:ascii="Arial" w:hAnsi="Arial" w:cs="Arial"/>
                <w:sz w:val="20"/>
                <w:szCs w:val="20"/>
              </w:rPr>
              <w:t xml:space="preserve">) </w:t>
            </w:r>
          </w:p>
        </w:tc>
        <w:tc>
          <w:tcPr>
            <w:tcW w:w="1729" w:type="dxa"/>
            <w:tcBorders>
              <w:top w:val="single" w:sz="4" w:space="0" w:color="auto"/>
              <w:left w:val="nil"/>
              <w:bottom w:val="single" w:sz="4" w:space="0" w:color="auto"/>
              <w:right w:val="nil"/>
            </w:tcBorders>
            <w:vAlign w:val="center"/>
          </w:tcPr>
          <w:p w14:paraId="1CD451A8" w14:textId="77777777" w:rsidR="00522F56" w:rsidRPr="00016A65" w:rsidRDefault="00522F56" w:rsidP="00714961">
            <w:pPr>
              <w:shd w:val="clear" w:color="auto" w:fill="FFFFFF" w:themeFill="background1"/>
              <w:autoSpaceDE w:val="0"/>
              <w:autoSpaceDN w:val="0"/>
              <w:adjustRightInd w:val="0"/>
              <w:jc w:val="center"/>
              <w:rPr>
                <w:rFonts w:ascii="Arial" w:hAnsi="Arial" w:cs="Arial"/>
                <w:sz w:val="20"/>
                <w:szCs w:val="20"/>
              </w:rPr>
            </w:pPr>
            <w:r w:rsidRPr="00016A65">
              <w:rPr>
                <w:rFonts w:ascii="Arial" w:eastAsia="Times New Roman" w:hAnsi="Arial" w:cs="Arial"/>
                <w:bCs/>
                <w:sz w:val="20"/>
                <w:szCs w:val="20"/>
                <w:lang w:eastAsia="es-MX"/>
              </w:rPr>
              <w:t xml:space="preserve">Volume by commercial categories </w:t>
            </w:r>
            <w:r w:rsidRPr="00016A65">
              <w:rPr>
                <w:rFonts w:ascii="Arial" w:hAnsi="Arial" w:cs="Arial"/>
                <w:sz w:val="20"/>
                <w:szCs w:val="20"/>
              </w:rPr>
              <w:t>(m</w:t>
            </w:r>
            <w:r w:rsidRPr="00016A65">
              <w:rPr>
                <w:rFonts w:ascii="Arial" w:hAnsi="Arial" w:cs="Arial"/>
                <w:sz w:val="20"/>
                <w:szCs w:val="20"/>
                <w:vertAlign w:val="superscript"/>
              </w:rPr>
              <w:t>3</w:t>
            </w:r>
            <w:r w:rsidRPr="00016A65">
              <w:rPr>
                <w:rFonts w:ascii="Arial" w:hAnsi="Arial" w:cs="Arial"/>
                <w:sz w:val="20"/>
                <w:szCs w:val="20"/>
              </w:rPr>
              <w:t>)</w:t>
            </w:r>
          </w:p>
        </w:tc>
      </w:tr>
      <w:tr w:rsidR="00522F56" w:rsidRPr="00016A65" w14:paraId="28E21698" w14:textId="77777777" w:rsidTr="00522F56">
        <w:trPr>
          <w:trHeight w:hRule="exact" w:val="286"/>
        </w:trPr>
        <w:tc>
          <w:tcPr>
            <w:tcW w:w="1647" w:type="dxa"/>
            <w:tcBorders>
              <w:top w:val="single" w:sz="4" w:space="0" w:color="auto"/>
              <w:left w:val="nil"/>
              <w:bottom w:val="nil"/>
              <w:right w:val="nil"/>
            </w:tcBorders>
          </w:tcPr>
          <w:p w14:paraId="6AB70DF9"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Corral Blanco</w:t>
            </w:r>
          </w:p>
        </w:tc>
        <w:tc>
          <w:tcPr>
            <w:tcW w:w="1261" w:type="dxa"/>
            <w:tcBorders>
              <w:top w:val="single" w:sz="4" w:space="0" w:color="auto"/>
              <w:left w:val="nil"/>
              <w:bottom w:val="nil"/>
              <w:right w:val="nil"/>
            </w:tcBorders>
            <w:vAlign w:val="center"/>
          </w:tcPr>
          <w:p w14:paraId="0B9FE7B8"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389.50</w:t>
            </w:r>
          </w:p>
        </w:tc>
        <w:tc>
          <w:tcPr>
            <w:tcW w:w="2055" w:type="dxa"/>
            <w:tcBorders>
              <w:top w:val="single" w:sz="4" w:space="0" w:color="auto"/>
              <w:left w:val="nil"/>
              <w:bottom w:val="nil"/>
              <w:right w:val="nil"/>
            </w:tcBorders>
            <w:vAlign w:val="center"/>
          </w:tcPr>
          <w:p w14:paraId="108944A7"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81.87</w:t>
            </w:r>
          </w:p>
        </w:tc>
        <w:tc>
          <w:tcPr>
            <w:tcW w:w="1671" w:type="dxa"/>
            <w:tcBorders>
              <w:top w:val="single" w:sz="4" w:space="0" w:color="auto"/>
              <w:left w:val="nil"/>
              <w:bottom w:val="nil"/>
              <w:right w:val="nil"/>
            </w:tcBorders>
            <w:vAlign w:val="center"/>
          </w:tcPr>
          <w:p w14:paraId="7D1B8717"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728.34</w:t>
            </w:r>
          </w:p>
        </w:tc>
        <w:tc>
          <w:tcPr>
            <w:tcW w:w="1729" w:type="dxa"/>
            <w:tcBorders>
              <w:top w:val="single" w:sz="4" w:space="0" w:color="auto"/>
              <w:left w:val="nil"/>
              <w:right w:val="nil"/>
            </w:tcBorders>
            <w:vAlign w:val="center"/>
          </w:tcPr>
          <w:p w14:paraId="241A880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473.42</w:t>
            </w:r>
          </w:p>
        </w:tc>
      </w:tr>
      <w:tr w:rsidR="00522F56" w:rsidRPr="00016A65" w14:paraId="3302EC87" w14:textId="77777777" w:rsidTr="00522F56">
        <w:trPr>
          <w:trHeight w:hRule="exact" w:val="286"/>
        </w:trPr>
        <w:tc>
          <w:tcPr>
            <w:tcW w:w="1647" w:type="dxa"/>
            <w:tcBorders>
              <w:top w:val="nil"/>
              <w:left w:val="nil"/>
              <w:bottom w:val="nil"/>
              <w:right w:val="nil"/>
            </w:tcBorders>
          </w:tcPr>
          <w:p w14:paraId="04897DB8"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Atotonilco</w:t>
            </w:r>
            <w:proofErr w:type="spellEnd"/>
            <w:r w:rsidRPr="00016A65">
              <w:rPr>
                <w:rFonts w:ascii="Arial" w:hAnsi="Arial" w:cs="Arial"/>
                <w:color w:val="000000" w:themeColor="text1"/>
                <w:sz w:val="20"/>
                <w:szCs w:val="20"/>
              </w:rPr>
              <w:t xml:space="preserve"> </w:t>
            </w:r>
          </w:p>
        </w:tc>
        <w:tc>
          <w:tcPr>
            <w:tcW w:w="1261" w:type="dxa"/>
            <w:tcBorders>
              <w:top w:val="nil"/>
              <w:left w:val="nil"/>
              <w:bottom w:val="nil"/>
              <w:right w:val="nil"/>
            </w:tcBorders>
            <w:vAlign w:val="center"/>
          </w:tcPr>
          <w:p w14:paraId="29A8ADA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84.32</w:t>
            </w:r>
          </w:p>
        </w:tc>
        <w:tc>
          <w:tcPr>
            <w:tcW w:w="2055" w:type="dxa"/>
            <w:tcBorders>
              <w:top w:val="nil"/>
              <w:left w:val="nil"/>
              <w:bottom w:val="nil"/>
              <w:right w:val="nil"/>
            </w:tcBorders>
            <w:vAlign w:val="center"/>
          </w:tcPr>
          <w:p w14:paraId="471B714E"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76.16</w:t>
            </w:r>
          </w:p>
        </w:tc>
        <w:tc>
          <w:tcPr>
            <w:tcW w:w="1671" w:type="dxa"/>
            <w:tcBorders>
              <w:top w:val="nil"/>
              <w:left w:val="nil"/>
              <w:bottom w:val="nil"/>
              <w:right w:val="nil"/>
            </w:tcBorders>
            <w:vAlign w:val="bottom"/>
          </w:tcPr>
          <w:p w14:paraId="02D6A4AB"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659.94</w:t>
            </w:r>
          </w:p>
        </w:tc>
        <w:tc>
          <w:tcPr>
            <w:tcW w:w="1729" w:type="dxa"/>
            <w:tcBorders>
              <w:left w:val="nil"/>
              <w:right w:val="nil"/>
            </w:tcBorders>
            <w:vAlign w:val="bottom"/>
          </w:tcPr>
          <w:p w14:paraId="7F77D3B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428.96</w:t>
            </w:r>
          </w:p>
        </w:tc>
      </w:tr>
      <w:tr w:rsidR="00522F56" w:rsidRPr="00016A65" w14:paraId="3C269F9D" w14:textId="77777777" w:rsidTr="00522F56">
        <w:trPr>
          <w:trHeight w:hRule="exact" w:val="286"/>
        </w:trPr>
        <w:tc>
          <w:tcPr>
            <w:tcW w:w="1647" w:type="dxa"/>
            <w:tcBorders>
              <w:top w:val="nil"/>
              <w:left w:val="nil"/>
              <w:bottom w:val="nil"/>
              <w:right w:val="nil"/>
            </w:tcBorders>
          </w:tcPr>
          <w:p w14:paraId="1238D2FC"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Rio Blanco</w:t>
            </w:r>
          </w:p>
        </w:tc>
        <w:tc>
          <w:tcPr>
            <w:tcW w:w="1261" w:type="dxa"/>
            <w:tcBorders>
              <w:top w:val="nil"/>
              <w:left w:val="nil"/>
              <w:bottom w:val="nil"/>
              <w:right w:val="nil"/>
            </w:tcBorders>
            <w:vAlign w:val="center"/>
          </w:tcPr>
          <w:p w14:paraId="2902BC27"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179.60</w:t>
            </w:r>
          </w:p>
        </w:tc>
        <w:tc>
          <w:tcPr>
            <w:tcW w:w="2055" w:type="dxa"/>
            <w:tcBorders>
              <w:top w:val="nil"/>
              <w:left w:val="nil"/>
              <w:bottom w:val="nil"/>
              <w:right w:val="nil"/>
            </w:tcBorders>
            <w:vAlign w:val="center"/>
          </w:tcPr>
          <w:p w14:paraId="68F8FD41"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174.09</w:t>
            </w:r>
          </w:p>
        </w:tc>
        <w:tc>
          <w:tcPr>
            <w:tcW w:w="1671" w:type="dxa"/>
            <w:tcBorders>
              <w:top w:val="nil"/>
              <w:left w:val="nil"/>
              <w:bottom w:val="nil"/>
              <w:right w:val="nil"/>
            </w:tcBorders>
            <w:vAlign w:val="bottom"/>
          </w:tcPr>
          <w:p w14:paraId="3318A5B1"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1,786.02</w:t>
            </w:r>
          </w:p>
        </w:tc>
        <w:tc>
          <w:tcPr>
            <w:tcW w:w="1729" w:type="dxa"/>
            <w:tcBorders>
              <w:left w:val="nil"/>
              <w:right w:val="nil"/>
            </w:tcBorders>
            <w:vAlign w:val="bottom"/>
          </w:tcPr>
          <w:p w14:paraId="53995389"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1,160.91</w:t>
            </w:r>
          </w:p>
        </w:tc>
      </w:tr>
      <w:tr w:rsidR="00522F56" w:rsidRPr="00016A65" w14:paraId="3D838EE6" w14:textId="77777777" w:rsidTr="00522F56">
        <w:trPr>
          <w:trHeight w:hRule="exact" w:val="286"/>
        </w:trPr>
        <w:tc>
          <w:tcPr>
            <w:tcW w:w="1647" w:type="dxa"/>
            <w:tcBorders>
              <w:top w:val="nil"/>
              <w:left w:val="nil"/>
              <w:bottom w:val="nil"/>
              <w:right w:val="nil"/>
            </w:tcBorders>
          </w:tcPr>
          <w:p w14:paraId="30C612A4"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Ixtlahuaca</w:t>
            </w:r>
            <w:proofErr w:type="spellEnd"/>
            <w:r w:rsidRPr="00016A65">
              <w:rPr>
                <w:rFonts w:ascii="Arial" w:hAnsi="Arial" w:cs="Arial"/>
                <w:color w:val="000000" w:themeColor="text1"/>
                <w:sz w:val="20"/>
                <w:szCs w:val="20"/>
              </w:rPr>
              <w:t xml:space="preserve"> </w:t>
            </w:r>
          </w:p>
        </w:tc>
        <w:tc>
          <w:tcPr>
            <w:tcW w:w="1261" w:type="dxa"/>
            <w:tcBorders>
              <w:top w:val="nil"/>
              <w:left w:val="nil"/>
              <w:bottom w:val="nil"/>
              <w:right w:val="nil"/>
            </w:tcBorders>
            <w:vAlign w:val="center"/>
          </w:tcPr>
          <w:p w14:paraId="39C5F7CB"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157.22</w:t>
            </w:r>
          </w:p>
        </w:tc>
        <w:tc>
          <w:tcPr>
            <w:tcW w:w="2055" w:type="dxa"/>
            <w:tcBorders>
              <w:top w:val="nil"/>
              <w:left w:val="nil"/>
              <w:bottom w:val="nil"/>
              <w:right w:val="nil"/>
            </w:tcBorders>
            <w:vAlign w:val="center"/>
          </w:tcPr>
          <w:p w14:paraId="7ABFF4E5"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150.63</w:t>
            </w:r>
          </w:p>
        </w:tc>
        <w:tc>
          <w:tcPr>
            <w:tcW w:w="1671" w:type="dxa"/>
            <w:tcBorders>
              <w:top w:val="nil"/>
              <w:left w:val="nil"/>
              <w:bottom w:val="nil"/>
              <w:right w:val="nil"/>
            </w:tcBorders>
            <w:vAlign w:val="bottom"/>
          </w:tcPr>
          <w:p w14:paraId="3122E057"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850.36</w:t>
            </w:r>
          </w:p>
        </w:tc>
        <w:tc>
          <w:tcPr>
            <w:tcW w:w="1729" w:type="dxa"/>
            <w:tcBorders>
              <w:left w:val="nil"/>
              <w:right w:val="nil"/>
            </w:tcBorders>
            <w:vAlign w:val="bottom"/>
          </w:tcPr>
          <w:p w14:paraId="220539B5"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552.73</w:t>
            </w:r>
          </w:p>
        </w:tc>
      </w:tr>
      <w:tr w:rsidR="00522F56" w:rsidRPr="00016A65" w14:paraId="213913C2" w14:textId="77777777" w:rsidTr="00522F56">
        <w:trPr>
          <w:trHeight w:hRule="exact" w:val="286"/>
        </w:trPr>
        <w:tc>
          <w:tcPr>
            <w:tcW w:w="1647" w:type="dxa"/>
            <w:tcBorders>
              <w:top w:val="nil"/>
              <w:left w:val="nil"/>
              <w:bottom w:val="nil"/>
              <w:right w:val="nil"/>
            </w:tcBorders>
          </w:tcPr>
          <w:p w14:paraId="7B0DE598"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Eloxochitlan</w:t>
            </w:r>
            <w:proofErr w:type="spellEnd"/>
          </w:p>
        </w:tc>
        <w:tc>
          <w:tcPr>
            <w:tcW w:w="1261" w:type="dxa"/>
            <w:tcBorders>
              <w:top w:val="nil"/>
              <w:left w:val="nil"/>
              <w:bottom w:val="nil"/>
              <w:right w:val="nil"/>
            </w:tcBorders>
            <w:vAlign w:val="center"/>
          </w:tcPr>
          <w:p w14:paraId="5F2DE277"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174.80</w:t>
            </w:r>
          </w:p>
        </w:tc>
        <w:tc>
          <w:tcPr>
            <w:tcW w:w="2055" w:type="dxa"/>
            <w:tcBorders>
              <w:top w:val="nil"/>
              <w:left w:val="nil"/>
              <w:bottom w:val="nil"/>
              <w:right w:val="nil"/>
            </w:tcBorders>
            <w:vAlign w:val="center"/>
          </w:tcPr>
          <w:p w14:paraId="7E55DEC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174.80</w:t>
            </w:r>
          </w:p>
        </w:tc>
        <w:tc>
          <w:tcPr>
            <w:tcW w:w="1671" w:type="dxa"/>
            <w:tcBorders>
              <w:top w:val="nil"/>
              <w:left w:val="nil"/>
              <w:bottom w:val="nil"/>
              <w:right w:val="nil"/>
            </w:tcBorders>
            <w:vAlign w:val="bottom"/>
          </w:tcPr>
          <w:p w14:paraId="3F5123B5"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1,208.47</w:t>
            </w:r>
          </w:p>
        </w:tc>
        <w:tc>
          <w:tcPr>
            <w:tcW w:w="1729" w:type="dxa"/>
            <w:tcBorders>
              <w:left w:val="nil"/>
              <w:right w:val="nil"/>
            </w:tcBorders>
            <w:vAlign w:val="bottom"/>
          </w:tcPr>
          <w:p w14:paraId="26D3AA4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785.50</w:t>
            </w:r>
          </w:p>
        </w:tc>
      </w:tr>
      <w:tr w:rsidR="00522F56" w:rsidRPr="00016A65" w14:paraId="5FA7D455" w14:textId="77777777" w:rsidTr="00522F56">
        <w:trPr>
          <w:trHeight w:hRule="exact" w:val="286"/>
        </w:trPr>
        <w:tc>
          <w:tcPr>
            <w:tcW w:w="1647" w:type="dxa"/>
            <w:tcBorders>
              <w:top w:val="nil"/>
              <w:left w:val="nil"/>
              <w:bottom w:val="nil"/>
              <w:right w:val="nil"/>
            </w:tcBorders>
          </w:tcPr>
          <w:p w14:paraId="25B7AD67"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Tuliman</w:t>
            </w:r>
            <w:proofErr w:type="spellEnd"/>
            <w:r w:rsidRPr="00016A65">
              <w:rPr>
                <w:rFonts w:ascii="Arial" w:hAnsi="Arial" w:cs="Arial"/>
                <w:color w:val="000000" w:themeColor="text1"/>
                <w:sz w:val="20"/>
                <w:szCs w:val="20"/>
              </w:rPr>
              <w:t xml:space="preserve"> </w:t>
            </w:r>
          </w:p>
        </w:tc>
        <w:tc>
          <w:tcPr>
            <w:tcW w:w="1261" w:type="dxa"/>
            <w:tcBorders>
              <w:top w:val="nil"/>
              <w:left w:val="nil"/>
              <w:bottom w:val="nil"/>
              <w:right w:val="nil"/>
            </w:tcBorders>
            <w:vAlign w:val="center"/>
          </w:tcPr>
          <w:p w14:paraId="12841D8A"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93.84</w:t>
            </w:r>
          </w:p>
        </w:tc>
        <w:tc>
          <w:tcPr>
            <w:tcW w:w="2055" w:type="dxa"/>
            <w:tcBorders>
              <w:top w:val="nil"/>
              <w:left w:val="nil"/>
              <w:bottom w:val="nil"/>
              <w:right w:val="nil"/>
            </w:tcBorders>
            <w:vAlign w:val="center"/>
          </w:tcPr>
          <w:p w14:paraId="716DF7CB"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34.13</w:t>
            </w:r>
          </w:p>
        </w:tc>
        <w:tc>
          <w:tcPr>
            <w:tcW w:w="1671" w:type="dxa"/>
            <w:tcBorders>
              <w:top w:val="nil"/>
              <w:left w:val="nil"/>
              <w:bottom w:val="nil"/>
              <w:right w:val="nil"/>
            </w:tcBorders>
            <w:vAlign w:val="bottom"/>
          </w:tcPr>
          <w:p w14:paraId="22C81D96"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163.27</w:t>
            </w:r>
          </w:p>
        </w:tc>
        <w:tc>
          <w:tcPr>
            <w:tcW w:w="1729" w:type="dxa"/>
            <w:tcBorders>
              <w:left w:val="nil"/>
              <w:right w:val="nil"/>
            </w:tcBorders>
            <w:vAlign w:val="bottom"/>
          </w:tcPr>
          <w:p w14:paraId="7223BA1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106.12</w:t>
            </w:r>
          </w:p>
        </w:tc>
      </w:tr>
      <w:tr w:rsidR="00522F56" w:rsidRPr="00016A65" w14:paraId="2F2D8069" w14:textId="77777777" w:rsidTr="00522F56">
        <w:trPr>
          <w:trHeight w:hRule="exact" w:val="286"/>
        </w:trPr>
        <w:tc>
          <w:tcPr>
            <w:tcW w:w="1647" w:type="dxa"/>
            <w:tcBorders>
              <w:top w:val="nil"/>
              <w:left w:val="nil"/>
              <w:bottom w:val="nil"/>
              <w:right w:val="nil"/>
            </w:tcBorders>
          </w:tcPr>
          <w:p w14:paraId="4489AD00"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Jicolapa</w:t>
            </w:r>
            <w:proofErr w:type="spellEnd"/>
            <w:r w:rsidRPr="00016A65">
              <w:rPr>
                <w:rFonts w:ascii="Arial" w:hAnsi="Arial" w:cs="Arial"/>
                <w:color w:val="000000" w:themeColor="text1"/>
                <w:sz w:val="20"/>
                <w:szCs w:val="20"/>
              </w:rPr>
              <w:t xml:space="preserve"> </w:t>
            </w:r>
          </w:p>
        </w:tc>
        <w:tc>
          <w:tcPr>
            <w:tcW w:w="1261" w:type="dxa"/>
            <w:tcBorders>
              <w:top w:val="nil"/>
              <w:left w:val="nil"/>
              <w:bottom w:val="nil"/>
              <w:right w:val="nil"/>
            </w:tcBorders>
            <w:vAlign w:val="center"/>
          </w:tcPr>
          <w:p w14:paraId="70BEB6F5"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390.94</w:t>
            </w:r>
          </w:p>
        </w:tc>
        <w:tc>
          <w:tcPr>
            <w:tcW w:w="2055" w:type="dxa"/>
            <w:tcBorders>
              <w:top w:val="nil"/>
              <w:left w:val="nil"/>
              <w:bottom w:val="nil"/>
              <w:right w:val="nil"/>
            </w:tcBorders>
            <w:vAlign w:val="center"/>
          </w:tcPr>
          <w:p w14:paraId="5F7DCCAA"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365.46</w:t>
            </w:r>
          </w:p>
        </w:tc>
        <w:tc>
          <w:tcPr>
            <w:tcW w:w="1671" w:type="dxa"/>
            <w:tcBorders>
              <w:top w:val="nil"/>
              <w:left w:val="nil"/>
              <w:bottom w:val="nil"/>
              <w:right w:val="nil"/>
            </w:tcBorders>
            <w:vAlign w:val="bottom"/>
          </w:tcPr>
          <w:p w14:paraId="782172BE"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2,316.38</w:t>
            </w:r>
          </w:p>
        </w:tc>
        <w:tc>
          <w:tcPr>
            <w:tcW w:w="1729" w:type="dxa"/>
            <w:tcBorders>
              <w:left w:val="nil"/>
              <w:right w:val="nil"/>
            </w:tcBorders>
            <w:vAlign w:val="bottom"/>
          </w:tcPr>
          <w:p w14:paraId="363BCCD3"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1,505.65</w:t>
            </w:r>
          </w:p>
        </w:tc>
      </w:tr>
      <w:tr w:rsidR="00522F56" w:rsidRPr="00016A65" w14:paraId="06F60F5D" w14:textId="77777777" w:rsidTr="00522F56">
        <w:trPr>
          <w:trHeight w:hRule="exact" w:val="286"/>
        </w:trPr>
        <w:tc>
          <w:tcPr>
            <w:tcW w:w="1647" w:type="dxa"/>
            <w:tcBorders>
              <w:top w:val="nil"/>
              <w:left w:val="nil"/>
              <w:bottom w:val="nil"/>
              <w:right w:val="nil"/>
            </w:tcBorders>
          </w:tcPr>
          <w:p w14:paraId="7FA41A1A"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Coayuca</w:t>
            </w:r>
            <w:proofErr w:type="spellEnd"/>
            <w:r w:rsidRPr="00016A65">
              <w:rPr>
                <w:rFonts w:ascii="Arial" w:hAnsi="Arial" w:cs="Arial"/>
                <w:color w:val="000000" w:themeColor="text1"/>
                <w:sz w:val="20"/>
                <w:szCs w:val="20"/>
              </w:rPr>
              <w:t xml:space="preserve"> </w:t>
            </w:r>
          </w:p>
        </w:tc>
        <w:tc>
          <w:tcPr>
            <w:tcW w:w="1261" w:type="dxa"/>
            <w:tcBorders>
              <w:top w:val="nil"/>
              <w:left w:val="nil"/>
              <w:bottom w:val="nil"/>
              <w:right w:val="nil"/>
            </w:tcBorders>
            <w:vAlign w:val="center"/>
          </w:tcPr>
          <w:p w14:paraId="558A4F1B"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112.88</w:t>
            </w:r>
          </w:p>
        </w:tc>
        <w:tc>
          <w:tcPr>
            <w:tcW w:w="2055" w:type="dxa"/>
            <w:tcBorders>
              <w:top w:val="nil"/>
              <w:left w:val="nil"/>
              <w:bottom w:val="nil"/>
              <w:right w:val="nil"/>
            </w:tcBorders>
            <w:vAlign w:val="center"/>
          </w:tcPr>
          <w:p w14:paraId="36099BC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109.43</w:t>
            </w:r>
          </w:p>
        </w:tc>
        <w:tc>
          <w:tcPr>
            <w:tcW w:w="1671" w:type="dxa"/>
            <w:tcBorders>
              <w:top w:val="nil"/>
              <w:left w:val="nil"/>
              <w:bottom w:val="nil"/>
              <w:right w:val="nil"/>
            </w:tcBorders>
            <w:vAlign w:val="bottom"/>
          </w:tcPr>
          <w:p w14:paraId="29AAA48C"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393.93</w:t>
            </w:r>
          </w:p>
        </w:tc>
        <w:tc>
          <w:tcPr>
            <w:tcW w:w="1729" w:type="dxa"/>
            <w:tcBorders>
              <w:left w:val="nil"/>
              <w:right w:val="nil"/>
            </w:tcBorders>
            <w:vAlign w:val="bottom"/>
          </w:tcPr>
          <w:p w14:paraId="1277549F"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256.05</w:t>
            </w:r>
          </w:p>
        </w:tc>
      </w:tr>
      <w:tr w:rsidR="00522F56" w:rsidRPr="00016A65" w14:paraId="2721F9C6" w14:textId="77777777" w:rsidTr="00522F56">
        <w:trPr>
          <w:trHeight w:hRule="exact" w:val="286"/>
        </w:trPr>
        <w:tc>
          <w:tcPr>
            <w:tcW w:w="1647" w:type="dxa"/>
            <w:tcBorders>
              <w:top w:val="nil"/>
              <w:left w:val="nil"/>
              <w:bottom w:val="nil"/>
              <w:right w:val="nil"/>
            </w:tcBorders>
          </w:tcPr>
          <w:p w14:paraId="28B80DB9"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Tenejaque</w:t>
            </w:r>
            <w:proofErr w:type="spellEnd"/>
          </w:p>
        </w:tc>
        <w:tc>
          <w:tcPr>
            <w:tcW w:w="1261" w:type="dxa"/>
            <w:tcBorders>
              <w:top w:val="nil"/>
              <w:left w:val="nil"/>
              <w:bottom w:val="nil"/>
              <w:right w:val="nil"/>
            </w:tcBorders>
            <w:vAlign w:val="center"/>
          </w:tcPr>
          <w:p w14:paraId="37F328C1"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274.54</w:t>
            </w:r>
          </w:p>
        </w:tc>
        <w:tc>
          <w:tcPr>
            <w:tcW w:w="2055" w:type="dxa"/>
            <w:tcBorders>
              <w:top w:val="nil"/>
              <w:left w:val="nil"/>
              <w:bottom w:val="nil"/>
              <w:right w:val="nil"/>
            </w:tcBorders>
            <w:vAlign w:val="center"/>
          </w:tcPr>
          <w:p w14:paraId="066F56F3"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0</w:t>
            </w:r>
          </w:p>
        </w:tc>
        <w:tc>
          <w:tcPr>
            <w:tcW w:w="1671" w:type="dxa"/>
            <w:tcBorders>
              <w:top w:val="nil"/>
              <w:left w:val="nil"/>
              <w:bottom w:val="nil"/>
              <w:right w:val="nil"/>
            </w:tcBorders>
            <w:vAlign w:val="bottom"/>
          </w:tcPr>
          <w:p w14:paraId="78674BCA"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0.00</w:t>
            </w:r>
          </w:p>
        </w:tc>
        <w:tc>
          <w:tcPr>
            <w:tcW w:w="1729" w:type="dxa"/>
            <w:tcBorders>
              <w:left w:val="nil"/>
              <w:right w:val="nil"/>
            </w:tcBorders>
            <w:vAlign w:val="bottom"/>
          </w:tcPr>
          <w:p w14:paraId="2DD38855"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0.00</w:t>
            </w:r>
          </w:p>
        </w:tc>
      </w:tr>
      <w:tr w:rsidR="00522F56" w:rsidRPr="00016A65" w14:paraId="5758DE05" w14:textId="77777777" w:rsidTr="00522F56">
        <w:trPr>
          <w:trHeight w:hRule="exact" w:val="286"/>
        </w:trPr>
        <w:tc>
          <w:tcPr>
            <w:tcW w:w="1647" w:type="dxa"/>
            <w:tcBorders>
              <w:top w:val="nil"/>
              <w:left w:val="nil"/>
              <w:bottom w:val="nil"/>
              <w:right w:val="nil"/>
            </w:tcBorders>
          </w:tcPr>
          <w:p w14:paraId="5D77F30D"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 xml:space="preserve">El </w:t>
            </w:r>
            <w:proofErr w:type="spellStart"/>
            <w:r w:rsidRPr="00016A65">
              <w:rPr>
                <w:rFonts w:ascii="Arial" w:hAnsi="Arial" w:cs="Arial"/>
                <w:color w:val="000000" w:themeColor="text1"/>
                <w:sz w:val="20"/>
                <w:szCs w:val="20"/>
              </w:rPr>
              <w:t>Terrero</w:t>
            </w:r>
            <w:proofErr w:type="spellEnd"/>
          </w:p>
        </w:tc>
        <w:tc>
          <w:tcPr>
            <w:tcW w:w="1261" w:type="dxa"/>
            <w:tcBorders>
              <w:top w:val="nil"/>
              <w:left w:val="nil"/>
              <w:bottom w:val="nil"/>
              <w:right w:val="nil"/>
            </w:tcBorders>
            <w:vAlign w:val="center"/>
          </w:tcPr>
          <w:p w14:paraId="5DB4168F"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534.13</w:t>
            </w:r>
          </w:p>
        </w:tc>
        <w:tc>
          <w:tcPr>
            <w:tcW w:w="2055" w:type="dxa"/>
            <w:tcBorders>
              <w:top w:val="nil"/>
              <w:left w:val="nil"/>
              <w:bottom w:val="nil"/>
              <w:right w:val="nil"/>
            </w:tcBorders>
            <w:vAlign w:val="center"/>
          </w:tcPr>
          <w:p w14:paraId="60D247CF"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930.00</w:t>
            </w:r>
          </w:p>
        </w:tc>
        <w:tc>
          <w:tcPr>
            <w:tcW w:w="1671" w:type="dxa"/>
            <w:tcBorders>
              <w:top w:val="nil"/>
              <w:left w:val="nil"/>
              <w:bottom w:val="nil"/>
              <w:right w:val="nil"/>
            </w:tcBorders>
            <w:vAlign w:val="bottom"/>
          </w:tcPr>
          <w:p w14:paraId="7E19C48F"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1,585.08</w:t>
            </w:r>
          </w:p>
        </w:tc>
        <w:tc>
          <w:tcPr>
            <w:tcW w:w="1729" w:type="dxa"/>
            <w:tcBorders>
              <w:left w:val="nil"/>
              <w:right w:val="nil"/>
            </w:tcBorders>
            <w:vAlign w:val="bottom"/>
          </w:tcPr>
          <w:p w14:paraId="3D96A586"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1,030.30</w:t>
            </w:r>
          </w:p>
        </w:tc>
      </w:tr>
      <w:tr w:rsidR="00522F56" w:rsidRPr="00016A65" w14:paraId="6796E925" w14:textId="77777777" w:rsidTr="00522F56">
        <w:trPr>
          <w:trHeight w:hRule="exact" w:val="286"/>
        </w:trPr>
        <w:tc>
          <w:tcPr>
            <w:tcW w:w="1647" w:type="dxa"/>
            <w:tcBorders>
              <w:top w:val="nil"/>
              <w:left w:val="nil"/>
              <w:bottom w:val="single" w:sz="4" w:space="0" w:color="auto"/>
              <w:right w:val="nil"/>
            </w:tcBorders>
          </w:tcPr>
          <w:p w14:paraId="074A4594"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Mesa Chica</w:t>
            </w:r>
          </w:p>
        </w:tc>
        <w:tc>
          <w:tcPr>
            <w:tcW w:w="1261" w:type="dxa"/>
            <w:tcBorders>
              <w:top w:val="nil"/>
              <w:left w:val="nil"/>
              <w:bottom w:val="single" w:sz="4" w:space="0" w:color="auto"/>
              <w:right w:val="nil"/>
            </w:tcBorders>
            <w:vAlign w:val="center"/>
          </w:tcPr>
          <w:p w14:paraId="475BF77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130.28</w:t>
            </w:r>
          </w:p>
        </w:tc>
        <w:tc>
          <w:tcPr>
            <w:tcW w:w="2055" w:type="dxa"/>
            <w:tcBorders>
              <w:top w:val="nil"/>
              <w:left w:val="nil"/>
              <w:bottom w:val="single" w:sz="4" w:space="0" w:color="auto"/>
              <w:right w:val="nil"/>
            </w:tcBorders>
            <w:vAlign w:val="center"/>
          </w:tcPr>
          <w:p w14:paraId="2E323D25"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114.37</w:t>
            </w:r>
          </w:p>
        </w:tc>
        <w:tc>
          <w:tcPr>
            <w:tcW w:w="1671" w:type="dxa"/>
            <w:tcBorders>
              <w:top w:val="nil"/>
              <w:left w:val="nil"/>
              <w:bottom w:val="single" w:sz="4" w:space="0" w:color="auto"/>
              <w:right w:val="nil"/>
            </w:tcBorders>
            <w:vAlign w:val="bottom"/>
          </w:tcPr>
          <w:p w14:paraId="586079E6"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683.33</w:t>
            </w:r>
          </w:p>
        </w:tc>
        <w:tc>
          <w:tcPr>
            <w:tcW w:w="1729" w:type="dxa"/>
            <w:tcBorders>
              <w:left w:val="nil"/>
              <w:bottom w:val="single" w:sz="4" w:space="0" w:color="auto"/>
              <w:right w:val="nil"/>
            </w:tcBorders>
            <w:vAlign w:val="bottom"/>
          </w:tcPr>
          <w:p w14:paraId="08315502"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444.16</w:t>
            </w:r>
          </w:p>
        </w:tc>
      </w:tr>
    </w:tbl>
    <w:p w14:paraId="4EF9DEF3" w14:textId="77777777" w:rsidR="00522F56" w:rsidRPr="00016A65" w:rsidRDefault="00522F56" w:rsidP="00522F56">
      <w:pPr>
        <w:shd w:val="clear" w:color="auto" w:fill="FFFFFF" w:themeFill="background1"/>
        <w:spacing w:line="480" w:lineRule="auto"/>
        <w:ind w:right="877"/>
        <w:jc w:val="both"/>
        <w:rPr>
          <w:rFonts w:ascii="Arial" w:hAnsi="Arial" w:cs="Arial"/>
          <w:color w:val="000000" w:themeColor="text1"/>
        </w:rPr>
      </w:pPr>
      <w:r w:rsidRPr="00016A65">
        <w:rPr>
          <w:rFonts w:ascii="Arial" w:hAnsi="Arial" w:cs="Arial"/>
          <w:color w:val="000000" w:themeColor="text1"/>
        </w:rPr>
        <w:t>Source: Own elaboration, 2024.</w:t>
      </w:r>
    </w:p>
    <w:p w14:paraId="358ECBE7" w14:textId="77777777" w:rsidR="00522F56" w:rsidRPr="00016A65" w:rsidRDefault="00522F56" w:rsidP="00522F56">
      <w:pPr>
        <w:pStyle w:val="Body"/>
        <w:spacing w:after="0"/>
        <w:rPr>
          <w:rFonts w:ascii="Arial" w:hAnsi="Arial" w:cs="Arial"/>
        </w:rPr>
      </w:pPr>
      <w:r w:rsidRPr="00016A65">
        <w:rPr>
          <w:rFonts w:ascii="Arial" w:hAnsi="Arial" w:cs="Arial"/>
        </w:rPr>
        <w:t xml:space="preserve">Forest management mimics natural disturbances, favoring aesthetics and structural diversity (Franklin et al., 2002; </w:t>
      </w:r>
      <w:proofErr w:type="spellStart"/>
      <w:r w:rsidRPr="00016A65">
        <w:rPr>
          <w:rFonts w:ascii="Arial" w:hAnsi="Arial" w:cs="Arial"/>
        </w:rPr>
        <w:t>Lähde</w:t>
      </w:r>
      <w:proofErr w:type="spellEnd"/>
      <w:r w:rsidRPr="00016A65">
        <w:rPr>
          <w:rFonts w:ascii="Arial" w:hAnsi="Arial" w:cs="Arial"/>
        </w:rPr>
        <w:t xml:space="preserve"> et al., 2002). In contrast, the absence of exploitation simplifies the stand structure, reducing arboreal variability, diversity, and ecosystem functions (Ishii et al., 2004). Therefore, Franklin et al. (2002) and Rossi et al. (2009) indicate that these systems differ from replacement disturbances, except for providing light to intolerant species.</w:t>
      </w:r>
    </w:p>
    <w:p w14:paraId="6982BF74" w14:textId="77777777" w:rsidR="00522F56" w:rsidRPr="00016A65" w:rsidRDefault="00522F56" w:rsidP="00522F56">
      <w:pPr>
        <w:pStyle w:val="Body"/>
        <w:spacing w:after="0"/>
        <w:rPr>
          <w:rFonts w:ascii="Arial" w:hAnsi="Arial" w:cs="Arial"/>
        </w:rPr>
      </w:pPr>
    </w:p>
    <w:p w14:paraId="42313B2E" w14:textId="4930A04E" w:rsidR="00522F56" w:rsidRPr="00016A65" w:rsidRDefault="00522F56" w:rsidP="00522F56">
      <w:pPr>
        <w:pStyle w:val="Body"/>
        <w:spacing w:after="0"/>
        <w:rPr>
          <w:rFonts w:ascii="Arial" w:hAnsi="Arial" w:cs="Arial"/>
        </w:rPr>
      </w:pPr>
      <w:r w:rsidRPr="00016A65">
        <w:rPr>
          <w:rFonts w:ascii="Arial" w:hAnsi="Arial" w:cs="Arial"/>
        </w:rPr>
        <w:t xml:space="preserve">Table 4 shows that 70% of communal land income from forest exploitation comes from commercial timber. There is a positive correlation (r=0.495) between the authorized volume and income, confirming the economic preponderance of this activity. Nonetheless, educational backwardness (30%) and poverty (70%) persist, although extreme poverty is low (8%) (CONEVAL, 2020). </w:t>
      </w:r>
      <w:proofErr w:type="spellStart"/>
      <w:r w:rsidRPr="00016A65">
        <w:rPr>
          <w:rFonts w:ascii="Arial" w:hAnsi="Arial" w:cs="Arial"/>
        </w:rPr>
        <w:t>Guadarrama</w:t>
      </w:r>
      <w:proofErr w:type="spellEnd"/>
      <w:r w:rsidRPr="00016A65">
        <w:rPr>
          <w:rFonts w:ascii="Arial" w:hAnsi="Arial" w:cs="Arial"/>
        </w:rPr>
        <w:t xml:space="preserve"> et al. (2012) attribute these gaps and imbalances to accelerated urban growth. Finally, the lower food insecurity is explained by the procurement of resources from the forest, the milpa, and backyard farming (Gonzalez et al., 2023).</w:t>
      </w:r>
    </w:p>
    <w:p w14:paraId="1D74A23D" w14:textId="77777777" w:rsidR="00522F56" w:rsidRPr="00016A65" w:rsidRDefault="00522F56" w:rsidP="00522F56">
      <w:pPr>
        <w:pStyle w:val="Body"/>
        <w:rPr>
          <w:rFonts w:ascii="Arial" w:hAnsi="Arial" w:cs="Arial"/>
          <w:b/>
          <w:bCs/>
        </w:rPr>
      </w:pPr>
    </w:p>
    <w:p w14:paraId="75B81A84" w14:textId="77414157" w:rsidR="00522F56" w:rsidRPr="00016A65" w:rsidRDefault="00522F56" w:rsidP="00522F56">
      <w:pPr>
        <w:pStyle w:val="Body"/>
        <w:rPr>
          <w:rFonts w:ascii="Arial" w:hAnsi="Arial" w:cs="Arial"/>
          <w:b/>
          <w:bCs/>
        </w:rPr>
      </w:pPr>
      <w:r w:rsidRPr="00016A65">
        <w:rPr>
          <w:rFonts w:ascii="Arial" w:hAnsi="Arial" w:cs="Arial"/>
          <w:b/>
          <w:bCs/>
        </w:rPr>
        <w:t>Table 4. Approximate annual income from forestry activities in Mexican pesos (</w:t>
      </w:r>
      <w:proofErr w:type="spellStart"/>
      <w:r w:rsidRPr="00016A65">
        <w:rPr>
          <w:rFonts w:ascii="Arial" w:hAnsi="Arial" w:cs="Arial"/>
          <w:b/>
          <w:bCs/>
        </w:rPr>
        <w:t>kMXN</w:t>
      </w:r>
      <w:proofErr w:type="spellEnd"/>
      <w:r w:rsidRPr="00016A65">
        <w:rPr>
          <w:rFonts w:ascii="Arial" w:hAnsi="Arial" w:cs="Arial"/>
          <w:b/>
          <w:bCs/>
        </w:rPr>
        <w:t xml:space="preserve">) for forest </w:t>
      </w:r>
      <w:r w:rsidRPr="00016A65">
        <w:rPr>
          <w:rFonts w:ascii="Arial" w:hAnsi="Arial" w:cs="Arial"/>
          <w:b/>
          <w:bCs/>
          <w:i/>
          <w:iCs/>
        </w:rPr>
        <w:t>communal lands</w:t>
      </w:r>
      <w:r w:rsidRPr="00016A65">
        <w:rPr>
          <w:rFonts w:ascii="Arial" w:hAnsi="Arial" w:cs="Arial"/>
          <w:b/>
          <w:bCs/>
        </w:rPr>
        <w:t xml:space="preserve"> in the </w:t>
      </w:r>
      <w:proofErr w:type="spellStart"/>
      <w:r w:rsidRPr="00016A65">
        <w:rPr>
          <w:rFonts w:ascii="Arial" w:hAnsi="Arial" w:cs="Arial"/>
          <w:b/>
          <w:bCs/>
        </w:rPr>
        <w:t>Chignahuapan-Zacatlan</w:t>
      </w:r>
      <w:proofErr w:type="spellEnd"/>
      <w:r w:rsidRPr="00016A65">
        <w:rPr>
          <w:rFonts w:ascii="Arial" w:hAnsi="Arial" w:cs="Arial"/>
          <w:b/>
          <w:bCs/>
        </w:rPr>
        <w:t xml:space="preserve"> Region.</w:t>
      </w:r>
    </w:p>
    <w:tbl>
      <w:tblPr>
        <w:tblW w:w="8314" w:type="dxa"/>
        <w:tblInd w:w="70"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993"/>
        <w:gridCol w:w="1637"/>
        <w:gridCol w:w="1454"/>
        <w:gridCol w:w="1456"/>
        <w:gridCol w:w="1774"/>
      </w:tblGrid>
      <w:tr w:rsidR="00522F56" w:rsidRPr="00016A65" w14:paraId="686A5E23" w14:textId="77777777" w:rsidTr="00522F56">
        <w:trPr>
          <w:trHeight w:hRule="exact" w:val="307"/>
        </w:trPr>
        <w:tc>
          <w:tcPr>
            <w:tcW w:w="1993" w:type="dxa"/>
            <w:vMerge w:val="restart"/>
            <w:tcBorders>
              <w:top w:val="single" w:sz="4" w:space="0" w:color="auto"/>
              <w:bottom w:val="single" w:sz="4" w:space="0" w:color="auto"/>
            </w:tcBorders>
            <w:noWrap/>
            <w:vAlign w:val="center"/>
            <w:hideMark/>
          </w:tcPr>
          <w:p w14:paraId="605C8981" w14:textId="77777777" w:rsidR="00522F56" w:rsidRPr="00016A65" w:rsidRDefault="00522F56" w:rsidP="00714961">
            <w:pPr>
              <w:shd w:val="clear" w:color="auto" w:fill="FFFFFF" w:themeFill="background1"/>
              <w:rPr>
                <w:rFonts w:ascii="Arial" w:hAnsi="Arial" w:cs="Arial"/>
                <w:bCs/>
                <w:lang w:eastAsia="es-MX"/>
              </w:rPr>
            </w:pPr>
            <w:r w:rsidRPr="00016A65">
              <w:rPr>
                <w:rFonts w:ascii="Arial" w:hAnsi="Arial" w:cs="Arial"/>
                <w:bCs/>
                <w:lang w:eastAsia="es-MX"/>
              </w:rPr>
              <w:t>Communal Land</w:t>
            </w:r>
          </w:p>
        </w:tc>
        <w:tc>
          <w:tcPr>
            <w:tcW w:w="4547" w:type="dxa"/>
            <w:gridSpan w:val="3"/>
            <w:tcBorders>
              <w:top w:val="single" w:sz="4" w:space="0" w:color="auto"/>
              <w:bottom w:val="single" w:sz="4" w:space="0" w:color="auto"/>
            </w:tcBorders>
            <w:noWrap/>
            <w:vAlign w:val="center"/>
            <w:hideMark/>
          </w:tcPr>
          <w:p w14:paraId="5913F5CD"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Average income by business category</w:t>
            </w:r>
          </w:p>
        </w:tc>
        <w:tc>
          <w:tcPr>
            <w:tcW w:w="1774" w:type="dxa"/>
            <w:vMerge w:val="restart"/>
            <w:tcBorders>
              <w:top w:val="single" w:sz="4" w:space="0" w:color="auto"/>
              <w:bottom w:val="single" w:sz="4" w:space="0" w:color="auto"/>
            </w:tcBorders>
            <w:noWrap/>
            <w:vAlign w:val="bottom"/>
            <w:hideMark/>
          </w:tcPr>
          <w:p w14:paraId="6DC98E70"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Average total income 2022 ($)</w:t>
            </w:r>
          </w:p>
        </w:tc>
      </w:tr>
      <w:tr w:rsidR="00522F56" w:rsidRPr="00016A65" w14:paraId="415A4DE0" w14:textId="77777777" w:rsidTr="00522F56">
        <w:trPr>
          <w:trHeight w:hRule="exact" w:val="307"/>
        </w:trPr>
        <w:tc>
          <w:tcPr>
            <w:tcW w:w="1993" w:type="dxa"/>
            <w:vMerge/>
            <w:tcBorders>
              <w:top w:val="single" w:sz="4" w:space="0" w:color="auto"/>
              <w:bottom w:val="single" w:sz="4" w:space="0" w:color="auto"/>
            </w:tcBorders>
            <w:vAlign w:val="center"/>
            <w:hideMark/>
          </w:tcPr>
          <w:p w14:paraId="53AA63DE" w14:textId="77777777" w:rsidR="00522F56" w:rsidRPr="00016A65" w:rsidRDefault="00522F56" w:rsidP="00714961">
            <w:pPr>
              <w:shd w:val="clear" w:color="auto" w:fill="FFFFFF" w:themeFill="background1"/>
              <w:rPr>
                <w:rFonts w:ascii="Arial" w:hAnsi="Arial" w:cs="Arial"/>
                <w:b/>
                <w:bCs/>
                <w:lang w:eastAsia="es-MX"/>
              </w:rPr>
            </w:pPr>
          </w:p>
        </w:tc>
        <w:tc>
          <w:tcPr>
            <w:tcW w:w="1637" w:type="dxa"/>
            <w:tcBorders>
              <w:top w:val="single" w:sz="4" w:space="0" w:color="auto"/>
              <w:bottom w:val="single" w:sz="4" w:space="0" w:color="auto"/>
            </w:tcBorders>
            <w:noWrap/>
            <w:vAlign w:val="center"/>
            <w:hideMark/>
          </w:tcPr>
          <w:p w14:paraId="4AC61EDA"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*MRMC ($)</w:t>
            </w:r>
          </w:p>
        </w:tc>
        <w:tc>
          <w:tcPr>
            <w:tcW w:w="1454" w:type="dxa"/>
            <w:tcBorders>
              <w:top w:val="single" w:sz="4" w:space="0" w:color="auto"/>
              <w:bottom w:val="single" w:sz="4" w:space="0" w:color="auto"/>
            </w:tcBorders>
            <w:noWrap/>
            <w:vAlign w:val="center"/>
            <w:hideMark/>
          </w:tcPr>
          <w:p w14:paraId="2D9A7DEB"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**MRCD ($)</w:t>
            </w:r>
          </w:p>
        </w:tc>
        <w:tc>
          <w:tcPr>
            <w:tcW w:w="1456" w:type="dxa"/>
            <w:tcBorders>
              <w:top w:val="single" w:sz="4" w:space="0" w:color="auto"/>
              <w:bottom w:val="single" w:sz="4" w:space="0" w:color="auto"/>
            </w:tcBorders>
            <w:noWrap/>
            <w:vAlign w:val="center"/>
            <w:hideMark/>
          </w:tcPr>
          <w:p w14:paraId="1ADD695B" w14:textId="77777777" w:rsidR="00522F56" w:rsidRPr="00016A65" w:rsidRDefault="00522F56" w:rsidP="00714961">
            <w:pPr>
              <w:shd w:val="clear" w:color="auto" w:fill="FFFFFF" w:themeFill="background1"/>
              <w:jc w:val="center"/>
              <w:rPr>
                <w:rFonts w:ascii="Arial" w:hAnsi="Arial" w:cs="Arial"/>
                <w:bCs/>
                <w:lang w:eastAsia="es-MX"/>
              </w:rPr>
            </w:pPr>
            <w:proofErr w:type="spellStart"/>
            <w:r w:rsidRPr="00016A65">
              <w:rPr>
                <w:rFonts w:ascii="Arial" w:hAnsi="Arial" w:cs="Arial"/>
                <w:bCs/>
                <w:lang w:eastAsia="es-MX"/>
              </w:rPr>
              <w:t>Leña</w:t>
            </w:r>
            <w:proofErr w:type="spellEnd"/>
            <w:r w:rsidRPr="00016A65">
              <w:rPr>
                <w:rFonts w:ascii="Arial" w:hAnsi="Arial" w:cs="Arial"/>
                <w:bCs/>
                <w:lang w:eastAsia="es-MX"/>
              </w:rPr>
              <w:t xml:space="preserve"> ($)</w:t>
            </w:r>
          </w:p>
        </w:tc>
        <w:tc>
          <w:tcPr>
            <w:tcW w:w="1774" w:type="dxa"/>
            <w:vMerge/>
            <w:tcBorders>
              <w:top w:val="single" w:sz="4" w:space="0" w:color="auto"/>
              <w:bottom w:val="single" w:sz="4" w:space="0" w:color="auto"/>
            </w:tcBorders>
            <w:vAlign w:val="center"/>
            <w:hideMark/>
          </w:tcPr>
          <w:p w14:paraId="3B1F7863" w14:textId="77777777" w:rsidR="00522F56" w:rsidRPr="00016A65" w:rsidRDefault="00522F56" w:rsidP="00714961">
            <w:pPr>
              <w:shd w:val="clear" w:color="auto" w:fill="FFFFFF" w:themeFill="background1"/>
              <w:rPr>
                <w:rFonts w:ascii="Arial" w:hAnsi="Arial" w:cs="Arial"/>
                <w:b/>
                <w:bCs/>
                <w:lang w:eastAsia="es-MX"/>
              </w:rPr>
            </w:pPr>
          </w:p>
        </w:tc>
      </w:tr>
      <w:tr w:rsidR="00522F56" w:rsidRPr="00016A65" w14:paraId="4F9237E0" w14:textId="77777777" w:rsidTr="00522F56">
        <w:trPr>
          <w:trHeight w:hRule="exact" w:val="307"/>
        </w:trPr>
        <w:tc>
          <w:tcPr>
            <w:tcW w:w="1993" w:type="dxa"/>
            <w:tcBorders>
              <w:top w:val="single" w:sz="4" w:space="0" w:color="auto"/>
            </w:tcBorders>
            <w:noWrap/>
          </w:tcPr>
          <w:p w14:paraId="406A5108"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lastRenderedPageBreak/>
              <w:t>Corral Blanco</w:t>
            </w:r>
          </w:p>
        </w:tc>
        <w:tc>
          <w:tcPr>
            <w:tcW w:w="1637" w:type="dxa"/>
            <w:tcBorders>
              <w:top w:val="single" w:sz="4" w:space="0" w:color="auto"/>
            </w:tcBorders>
            <w:noWrap/>
            <w:vAlign w:val="center"/>
            <w:hideMark/>
          </w:tcPr>
          <w:p w14:paraId="49B384C2"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984 715 68</w:t>
            </w:r>
          </w:p>
        </w:tc>
        <w:tc>
          <w:tcPr>
            <w:tcW w:w="1454" w:type="dxa"/>
            <w:tcBorders>
              <w:top w:val="single" w:sz="4" w:space="0" w:color="auto"/>
            </w:tcBorders>
            <w:noWrap/>
            <w:vAlign w:val="center"/>
            <w:hideMark/>
          </w:tcPr>
          <w:p w14:paraId="06F8F30D"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142 754 64</w:t>
            </w:r>
          </w:p>
        </w:tc>
        <w:tc>
          <w:tcPr>
            <w:tcW w:w="1456" w:type="dxa"/>
            <w:tcBorders>
              <w:top w:val="single" w:sz="4" w:space="0" w:color="auto"/>
            </w:tcBorders>
            <w:noWrap/>
            <w:vAlign w:val="center"/>
            <w:hideMark/>
          </w:tcPr>
          <w:p w14:paraId="1790F4C5"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43 154 15</w:t>
            </w:r>
          </w:p>
        </w:tc>
        <w:tc>
          <w:tcPr>
            <w:tcW w:w="1774" w:type="dxa"/>
            <w:tcBorders>
              <w:top w:val="single" w:sz="4" w:space="0" w:color="auto"/>
            </w:tcBorders>
            <w:noWrap/>
            <w:vAlign w:val="center"/>
            <w:hideMark/>
          </w:tcPr>
          <w:p w14:paraId="2F0AE223"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1 170 624 47</w:t>
            </w:r>
          </w:p>
        </w:tc>
      </w:tr>
      <w:tr w:rsidR="00522F56" w:rsidRPr="00016A65" w14:paraId="48B4A314" w14:textId="77777777" w:rsidTr="00522F56">
        <w:trPr>
          <w:trHeight w:hRule="exact" w:val="307"/>
        </w:trPr>
        <w:tc>
          <w:tcPr>
            <w:tcW w:w="1993" w:type="dxa"/>
            <w:noWrap/>
          </w:tcPr>
          <w:p w14:paraId="37765A14"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Atotonilco</w:t>
            </w:r>
            <w:proofErr w:type="spellEnd"/>
            <w:r w:rsidRPr="00016A65">
              <w:rPr>
                <w:rFonts w:ascii="Arial" w:hAnsi="Arial" w:cs="Arial"/>
                <w:color w:val="000000" w:themeColor="text1"/>
              </w:rPr>
              <w:t xml:space="preserve"> </w:t>
            </w:r>
          </w:p>
        </w:tc>
        <w:tc>
          <w:tcPr>
            <w:tcW w:w="1637" w:type="dxa"/>
            <w:noWrap/>
            <w:vAlign w:val="bottom"/>
            <w:hideMark/>
          </w:tcPr>
          <w:p w14:paraId="526A729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909 397 32</w:t>
            </w:r>
          </w:p>
        </w:tc>
        <w:tc>
          <w:tcPr>
            <w:tcW w:w="1454" w:type="dxa"/>
            <w:noWrap/>
            <w:vAlign w:val="bottom"/>
            <w:hideMark/>
          </w:tcPr>
          <w:p w14:paraId="58BB66C5"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138 851 38</w:t>
            </w:r>
          </w:p>
        </w:tc>
        <w:tc>
          <w:tcPr>
            <w:tcW w:w="1456" w:type="dxa"/>
            <w:noWrap/>
            <w:vAlign w:val="bottom"/>
            <w:hideMark/>
          </w:tcPr>
          <w:p w14:paraId="286271D4"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39 596 40</w:t>
            </w:r>
          </w:p>
        </w:tc>
        <w:tc>
          <w:tcPr>
            <w:tcW w:w="1774" w:type="dxa"/>
            <w:noWrap/>
            <w:vAlign w:val="bottom"/>
            <w:hideMark/>
          </w:tcPr>
          <w:p w14:paraId="63B598D2"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1 087 845 10</w:t>
            </w:r>
          </w:p>
        </w:tc>
      </w:tr>
      <w:tr w:rsidR="00522F56" w:rsidRPr="00016A65" w14:paraId="1ED248E8" w14:textId="77777777" w:rsidTr="00522F56">
        <w:trPr>
          <w:trHeight w:hRule="exact" w:val="307"/>
        </w:trPr>
        <w:tc>
          <w:tcPr>
            <w:tcW w:w="1993" w:type="dxa"/>
            <w:noWrap/>
          </w:tcPr>
          <w:p w14:paraId="54E11A98"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Rio Blanco</w:t>
            </w:r>
          </w:p>
        </w:tc>
        <w:tc>
          <w:tcPr>
            <w:tcW w:w="1637" w:type="dxa"/>
            <w:noWrap/>
            <w:vAlign w:val="bottom"/>
            <w:hideMark/>
          </w:tcPr>
          <w:p w14:paraId="5AC61B6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2 542 399 47</w:t>
            </w:r>
          </w:p>
        </w:tc>
        <w:tc>
          <w:tcPr>
            <w:tcW w:w="1454" w:type="dxa"/>
            <w:noWrap/>
            <w:vAlign w:val="bottom"/>
            <w:hideMark/>
          </w:tcPr>
          <w:p w14:paraId="7D1509C3"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367 920 12</w:t>
            </w:r>
          </w:p>
        </w:tc>
        <w:tc>
          <w:tcPr>
            <w:tcW w:w="1456" w:type="dxa"/>
            <w:noWrap/>
            <w:vAlign w:val="bottom"/>
            <w:hideMark/>
          </w:tcPr>
          <w:p w14:paraId="2B248084"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111 179 75</w:t>
            </w:r>
          </w:p>
        </w:tc>
        <w:tc>
          <w:tcPr>
            <w:tcW w:w="1774" w:type="dxa"/>
            <w:noWrap/>
            <w:vAlign w:val="bottom"/>
            <w:hideMark/>
          </w:tcPr>
          <w:p w14:paraId="32631967"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3 021 499 34</w:t>
            </w:r>
          </w:p>
        </w:tc>
      </w:tr>
      <w:tr w:rsidR="00522F56" w:rsidRPr="00016A65" w14:paraId="2523F0AC" w14:textId="77777777" w:rsidTr="00522F56">
        <w:trPr>
          <w:trHeight w:hRule="exact" w:val="307"/>
        </w:trPr>
        <w:tc>
          <w:tcPr>
            <w:tcW w:w="1993" w:type="dxa"/>
            <w:noWrap/>
          </w:tcPr>
          <w:p w14:paraId="0443A083"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Ixtlahuaca</w:t>
            </w:r>
            <w:proofErr w:type="spellEnd"/>
            <w:r w:rsidRPr="00016A65">
              <w:rPr>
                <w:rFonts w:ascii="Arial" w:hAnsi="Arial" w:cs="Arial"/>
                <w:color w:val="000000" w:themeColor="text1"/>
              </w:rPr>
              <w:t xml:space="preserve"> </w:t>
            </w:r>
          </w:p>
        </w:tc>
        <w:tc>
          <w:tcPr>
            <w:tcW w:w="1637" w:type="dxa"/>
            <w:noWrap/>
            <w:vAlign w:val="bottom"/>
            <w:hideMark/>
          </w:tcPr>
          <w:p w14:paraId="317165DB"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1 133 104 70</w:t>
            </w:r>
          </w:p>
        </w:tc>
        <w:tc>
          <w:tcPr>
            <w:tcW w:w="1454" w:type="dxa"/>
            <w:noWrap/>
            <w:vAlign w:val="bottom"/>
            <w:hideMark/>
          </w:tcPr>
          <w:p w14:paraId="665D5919"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181 977 04</w:t>
            </w:r>
          </w:p>
        </w:tc>
        <w:tc>
          <w:tcPr>
            <w:tcW w:w="1456" w:type="dxa"/>
            <w:noWrap/>
            <w:vAlign w:val="bottom"/>
            <w:hideMark/>
          </w:tcPr>
          <w:p w14:paraId="26300C6B"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49 746 06</w:t>
            </w:r>
          </w:p>
        </w:tc>
        <w:tc>
          <w:tcPr>
            <w:tcW w:w="1774" w:type="dxa"/>
            <w:noWrap/>
            <w:vAlign w:val="bottom"/>
            <w:hideMark/>
          </w:tcPr>
          <w:p w14:paraId="1C5933C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1,364,827 80</w:t>
            </w:r>
          </w:p>
        </w:tc>
      </w:tr>
      <w:tr w:rsidR="00522F56" w:rsidRPr="00016A65" w14:paraId="57F24774" w14:textId="77777777" w:rsidTr="00522F56">
        <w:trPr>
          <w:trHeight w:hRule="exact" w:val="307"/>
        </w:trPr>
        <w:tc>
          <w:tcPr>
            <w:tcW w:w="1993" w:type="dxa"/>
            <w:noWrap/>
          </w:tcPr>
          <w:p w14:paraId="6ED4C3BC"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Eloxochitlan</w:t>
            </w:r>
            <w:proofErr w:type="spellEnd"/>
          </w:p>
        </w:tc>
        <w:tc>
          <w:tcPr>
            <w:tcW w:w="1637" w:type="dxa"/>
            <w:noWrap/>
            <w:vAlign w:val="bottom"/>
            <w:hideMark/>
          </w:tcPr>
          <w:p w14:paraId="7365E78C"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1,657 413 86</w:t>
            </w:r>
          </w:p>
        </w:tc>
        <w:tc>
          <w:tcPr>
            <w:tcW w:w="1454" w:type="dxa"/>
            <w:noWrap/>
            <w:vAlign w:val="bottom"/>
            <w:hideMark/>
          </w:tcPr>
          <w:p w14:paraId="2770E76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222 358 11</w:t>
            </w:r>
          </w:p>
        </w:tc>
        <w:tc>
          <w:tcPr>
            <w:tcW w:w="1456" w:type="dxa"/>
            <w:noWrap/>
            <w:vAlign w:val="bottom"/>
            <w:hideMark/>
          </w:tcPr>
          <w:p w14:paraId="316A833C"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72 508 08</w:t>
            </w:r>
          </w:p>
        </w:tc>
        <w:tc>
          <w:tcPr>
            <w:tcW w:w="1774" w:type="dxa"/>
            <w:noWrap/>
            <w:vAlign w:val="bottom"/>
            <w:hideMark/>
          </w:tcPr>
          <w:p w14:paraId="5E39515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1 952 280 05</w:t>
            </w:r>
          </w:p>
        </w:tc>
      </w:tr>
      <w:tr w:rsidR="00522F56" w:rsidRPr="00016A65" w14:paraId="155C50B8" w14:textId="77777777" w:rsidTr="00522F56">
        <w:trPr>
          <w:trHeight w:hRule="exact" w:val="307"/>
        </w:trPr>
        <w:tc>
          <w:tcPr>
            <w:tcW w:w="1993" w:type="dxa"/>
            <w:noWrap/>
          </w:tcPr>
          <w:p w14:paraId="04AC069C"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Tuliman</w:t>
            </w:r>
            <w:proofErr w:type="spellEnd"/>
            <w:r w:rsidRPr="00016A65">
              <w:rPr>
                <w:rFonts w:ascii="Arial" w:hAnsi="Arial" w:cs="Arial"/>
                <w:color w:val="000000" w:themeColor="text1"/>
              </w:rPr>
              <w:t xml:space="preserve"> </w:t>
            </w:r>
          </w:p>
        </w:tc>
        <w:tc>
          <w:tcPr>
            <w:tcW w:w="1637" w:type="dxa"/>
            <w:noWrap/>
            <w:vAlign w:val="bottom"/>
            <w:hideMark/>
          </w:tcPr>
          <w:p w14:paraId="56863D8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228 693 45</w:t>
            </w:r>
          </w:p>
        </w:tc>
        <w:tc>
          <w:tcPr>
            <w:tcW w:w="1454" w:type="dxa"/>
            <w:noWrap/>
            <w:vAlign w:val="bottom"/>
            <w:hideMark/>
          </w:tcPr>
          <w:p w14:paraId="76F2457E"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33 991 77</w:t>
            </w:r>
          </w:p>
        </w:tc>
        <w:tc>
          <w:tcPr>
            <w:tcW w:w="1456" w:type="dxa"/>
            <w:noWrap/>
            <w:vAlign w:val="bottom"/>
            <w:hideMark/>
          </w:tcPr>
          <w:p w14:paraId="4760E57D"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10 040 80</w:t>
            </w:r>
          </w:p>
        </w:tc>
        <w:tc>
          <w:tcPr>
            <w:tcW w:w="1774" w:type="dxa"/>
            <w:noWrap/>
            <w:vAlign w:val="bottom"/>
            <w:hideMark/>
          </w:tcPr>
          <w:p w14:paraId="6B50C9D8"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272 726 02</w:t>
            </w:r>
          </w:p>
        </w:tc>
      </w:tr>
      <w:tr w:rsidR="00522F56" w:rsidRPr="00016A65" w14:paraId="07AE9CF8" w14:textId="77777777" w:rsidTr="00522F56">
        <w:trPr>
          <w:trHeight w:hRule="exact" w:val="307"/>
        </w:trPr>
        <w:tc>
          <w:tcPr>
            <w:tcW w:w="1993" w:type="dxa"/>
            <w:noWrap/>
          </w:tcPr>
          <w:p w14:paraId="11914FE1"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Jicolapa</w:t>
            </w:r>
            <w:proofErr w:type="spellEnd"/>
            <w:r w:rsidRPr="00016A65">
              <w:rPr>
                <w:rFonts w:ascii="Arial" w:hAnsi="Arial" w:cs="Arial"/>
                <w:color w:val="000000" w:themeColor="text1"/>
              </w:rPr>
              <w:t xml:space="preserve"> </w:t>
            </w:r>
          </w:p>
        </w:tc>
        <w:tc>
          <w:tcPr>
            <w:tcW w:w="1637" w:type="dxa"/>
            <w:noWrap/>
            <w:vAlign w:val="bottom"/>
            <w:hideMark/>
          </w:tcPr>
          <w:p w14:paraId="0EB2249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3 191 971 64</w:t>
            </w:r>
          </w:p>
        </w:tc>
        <w:tc>
          <w:tcPr>
            <w:tcW w:w="1454" w:type="dxa"/>
            <w:noWrap/>
            <w:vAlign w:val="bottom"/>
            <w:hideMark/>
          </w:tcPr>
          <w:p w14:paraId="63324AA8"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468 835 31</w:t>
            </w:r>
          </w:p>
        </w:tc>
        <w:tc>
          <w:tcPr>
            <w:tcW w:w="1456" w:type="dxa"/>
            <w:noWrap/>
            <w:vAlign w:val="bottom"/>
            <w:hideMark/>
          </w:tcPr>
          <w:p w14:paraId="1B6709C4"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138 982 80</w:t>
            </w:r>
          </w:p>
        </w:tc>
        <w:tc>
          <w:tcPr>
            <w:tcW w:w="1774" w:type="dxa"/>
            <w:noWrap/>
            <w:vAlign w:val="bottom"/>
            <w:hideMark/>
          </w:tcPr>
          <w:p w14:paraId="5AEE6BE8"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3 799 789 75</w:t>
            </w:r>
          </w:p>
        </w:tc>
      </w:tr>
      <w:tr w:rsidR="00522F56" w:rsidRPr="00016A65" w14:paraId="3C1471EB" w14:textId="77777777" w:rsidTr="00522F56">
        <w:trPr>
          <w:trHeight w:hRule="exact" w:val="307"/>
        </w:trPr>
        <w:tc>
          <w:tcPr>
            <w:tcW w:w="1993" w:type="dxa"/>
            <w:noWrap/>
          </w:tcPr>
          <w:p w14:paraId="50C888F8"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Coayuca</w:t>
            </w:r>
            <w:proofErr w:type="spellEnd"/>
            <w:r w:rsidRPr="00016A65">
              <w:rPr>
                <w:rFonts w:ascii="Arial" w:hAnsi="Arial" w:cs="Arial"/>
                <w:color w:val="000000" w:themeColor="text1"/>
              </w:rPr>
              <w:t xml:space="preserve"> </w:t>
            </w:r>
          </w:p>
        </w:tc>
        <w:tc>
          <w:tcPr>
            <w:tcW w:w="1637" w:type="dxa"/>
            <w:noWrap/>
            <w:vAlign w:val="bottom"/>
            <w:hideMark/>
          </w:tcPr>
          <w:p w14:paraId="383B78BF"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545 396 09</w:t>
            </w:r>
          </w:p>
        </w:tc>
        <w:tc>
          <w:tcPr>
            <w:tcW w:w="1454" w:type="dxa"/>
            <w:noWrap/>
            <w:vAlign w:val="bottom"/>
            <w:hideMark/>
          </w:tcPr>
          <w:p w14:paraId="5C940B61"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73 901 27</w:t>
            </w:r>
          </w:p>
        </w:tc>
        <w:tc>
          <w:tcPr>
            <w:tcW w:w="1456" w:type="dxa"/>
            <w:noWrap/>
            <w:vAlign w:val="bottom"/>
            <w:hideMark/>
          </w:tcPr>
          <w:p w14:paraId="368579D5"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23 931 25</w:t>
            </w:r>
          </w:p>
        </w:tc>
        <w:tc>
          <w:tcPr>
            <w:tcW w:w="1774" w:type="dxa"/>
            <w:noWrap/>
            <w:vAlign w:val="bottom"/>
            <w:hideMark/>
          </w:tcPr>
          <w:p w14:paraId="399FA1F1"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643 228 60</w:t>
            </w:r>
          </w:p>
        </w:tc>
      </w:tr>
      <w:tr w:rsidR="00522F56" w:rsidRPr="00016A65" w14:paraId="72AAE0E9" w14:textId="77777777" w:rsidTr="00522F56">
        <w:trPr>
          <w:trHeight w:hRule="exact" w:val="307"/>
        </w:trPr>
        <w:tc>
          <w:tcPr>
            <w:tcW w:w="1993" w:type="dxa"/>
            <w:noWrap/>
          </w:tcPr>
          <w:p w14:paraId="77631644"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Tenejaque</w:t>
            </w:r>
            <w:proofErr w:type="spellEnd"/>
          </w:p>
        </w:tc>
        <w:tc>
          <w:tcPr>
            <w:tcW w:w="1637" w:type="dxa"/>
            <w:noWrap/>
            <w:vAlign w:val="bottom"/>
            <w:hideMark/>
          </w:tcPr>
          <w:p w14:paraId="2F5A1D0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c>
          <w:tcPr>
            <w:tcW w:w="1454" w:type="dxa"/>
            <w:noWrap/>
            <w:vAlign w:val="bottom"/>
            <w:hideMark/>
          </w:tcPr>
          <w:p w14:paraId="2F174ADD"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c>
          <w:tcPr>
            <w:tcW w:w="1456" w:type="dxa"/>
            <w:noWrap/>
            <w:vAlign w:val="bottom"/>
            <w:hideMark/>
          </w:tcPr>
          <w:p w14:paraId="2B9FCD2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c>
          <w:tcPr>
            <w:tcW w:w="1774" w:type="dxa"/>
            <w:noWrap/>
            <w:vAlign w:val="bottom"/>
            <w:hideMark/>
          </w:tcPr>
          <w:p w14:paraId="2C8E85AC"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r>
      <w:tr w:rsidR="00522F56" w:rsidRPr="00016A65" w14:paraId="02977EE6" w14:textId="77777777" w:rsidTr="00522F56">
        <w:trPr>
          <w:trHeight w:hRule="exact" w:val="307"/>
        </w:trPr>
        <w:tc>
          <w:tcPr>
            <w:tcW w:w="1993" w:type="dxa"/>
            <w:noWrap/>
          </w:tcPr>
          <w:p w14:paraId="20834B26"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 xml:space="preserve">El </w:t>
            </w:r>
            <w:proofErr w:type="spellStart"/>
            <w:r w:rsidRPr="00016A65">
              <w:rPr>
                <w:rFonts w:ascii="Arial" w:hAnsi="Arial" w:cs="Arial"/>
                <w:color w:val="000000" w:themeColor="text1"/>
              </w:rPr>
              <w:t>Terrero</w:t>
            </w:r>
            <w:proofErr w:type="spellEnd"/>
          </w:p>
        </w:tc>
        <w:tc>
          <w:tcPr>
            <w:tcW w:w="1637" w:type="dxa"/>
            <w:noWrap/>
            <w:vAlign w:val="bottom"/>
            <w:hideMark/>
          </w:tcPr>
          <w:p w14:paraId="67E6B80F"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2 179 085 98</w:t>
            </w:r>
          </w:p>
        </w:tc>
        <w:tc>
          <w:tcPr>
            <w:tcW w:w="1454" w:type="dxa"/>
            <w:noWrap/>
            <w:vAlign w:val="bottom"/>
            <w:hideMark/>
          </w:tcPr>
          <w:p w14:paraId="19300DB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305 920 05</w:t>
            </w:r>
          </w:p>
        </w:tc>
        <w:tc>
          <w:tcPr>
            <w:tcW w:w="1456" w:type="dxa"/>
            <w:noWrap/>
            <w:vAlign w:val="bottom"/>
            <w:hideMark/>
          </w:tcPr>
          <w:p w14:paraId="6389E48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95 104 68</w:t>
            </w:r>
          </w:p>
        </w:tc>
        <w:tc>
          <w:tcPr>
            <w:tcW w:w="1774" w:type="dxa"/>
            <w:noWrap/>
            <w:vAlign w:val="bottom"/>
            <w:hideMark/>
          </w:tcPr>
          <w:p w14:paraId="3C11668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2 580 110 71</w:t>
            </w:r>
          </w:p>
        </w:tc>
      </w:tr>
      <w:tr w:rsidR="00522F56" w:rsidRPr="00016A65" w14:paraId="52A10A81" w14:textId="77777777" w:rsidTr="00522F56">
        <w:trPr>
          <w:trHeight w:hRule="exact" w:val="307"/>
        </w:trPr>
        <w:tc>
          <w:tcPr>
            <w:tcW w:w="1993" w:type="dxa"/>
            <w:noWrap/>
          </w:tcPr>
          <w:p w14:paraId="08EBEAF7"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Mesa Chica</w:t>
            </w:r>
          </w:p>
        </w:tc>
        <w:tc>
          <w:tcPr>
            <w:tcW w:w="1637" w:type="dxa"/>
            <w:noWrap/>
            <w:vAlign w:val="bottom"/>
            <w:hideMark/>
          </w:tcPr>
          <w:p w14:paraId="5DA1BC0E"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997 149 30</w:t>
            </w:r>
          </w:p>
        </w:tc>
        <w:tc>
          <w:tcPr>
            <w:tcW w:w="1454" w:type="dxa"/>
            <w:noWrap/>
            <w:vAlign w:val="bottom"/>
            <w:hideMark/>
          </w:tcPr>
          <w:p w14:paraId="20B84A02"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105 574 49</w:t>
            </w:r>
          </w:p>
        </w:tc>
        <w:tc>
          <w:tcPr>
            <w:tcW w:w="1456" w:type="dxa"/>
            <w:noWrap/>
            <w:vAlign w:val="bottom"/>
            <w:hideMark/>
          </w:tcPr>
          <w:p w14:paraId="58FBEC9E"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43 562 29</w:t>
            </w:r>
          </w:p>
        </w:tc>
        <w:tc>
          <w:tcPr>
            <w:tcW w:w="1774" w:type="dxa"/>
            <w:noWrap/>
            <w:vAlign w:val="bottom"/>
            <w:hideMark/>
          </w:tcPr>
          <w:p w14:paraId="53B1449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1 146 286 08</w:t>
            </w:r>
          </w:p>
        </w:tc>
      </w:tr>
    </w:tbl>
    <w:p w14:paraId="3AB15244" w14:textId="77777777" w:rsidR="00522F56" w:rsidRPr="00016A65" w:rsidRDefault="00522F56" w:rsidP="00522F56">
      <w:pPr>
        <w:pStyle w:val="Body"/>
        <w:rPr>
          <w:rFonts w:ascii="Arial" w:hAnsi="Arial" w:cs="Arial"/>
        </w:rPr>
      </w:pPr>
      <w:r w:rsidRPr="00016A65">
        <w:rPr>
          <w:rFonts w:ascii="Arial" w:hAnsi="Arial" w:cs="Arial"/>
        </w:rPr>
        <w:t>Source: Own elaboration, with data obtained in the field, 2024. * MRMC = Roundwood in commercial sizes; MRCD = Small-dimension roundwood.</w:t>
      </w:r>
    </w:p>
    <w:p w14:paraId="3FADD1D8" w14:textId="77777777" w:rsidR="00522F56" w:rsidRPr="00016A65" w:rsidRDefault="00522F56" w:rsidP="00522F56">
      <w:pPr>
        <w:pStyle w:val="Body"/>
        <w:rPr>
          <w:rFonts w:ascii="Arial" w:hAnsi="Arial" w:cs="Arial"/>
        </w:rPr>
      </w:pPr>
      <w:r w:rsidRPr="00016A65">
        <w:rPr>
          <w:rFonts w:ascii="Arial" w:hAnsi="Arial" w:cs="Arial"/>
        </w:rPr>
        <w:t>After deducting operating expenses (averaging 33%), benefits are distributed equitably, with 27% allocated to social activities. Transparent management strengthens governance and social capital, while also increasing competitive efficiency and promoting new markets (Gómez, 2011).</w:t>
      </w:r>
    </w:p>
    <w:p w14:paraId="76E32778" w14:textId="77777777" w:rsidR="00522F56" w:rsidRPr="00016A65" w:rsidRDefault="00522F56" w:rsidP="00522F56">
      <w:pPr>
        <w:pStyle w:val="Body"/>
        <w:rPr>
          <w:rFonts w:ascii="Arial" w:hAnsi="Arial" w:cs="Arial"/>
        </w:rPr>
      </w:pPr>
      <w:r w:rsidRPr="00016A65">
        <w:rPr>
          <w:rFonts w:ascii="Arial" w:hAnsi="Arial" w:cs="Arial"/>
          <w:b/>
          <w:bCs/>
        </w:rPr>
        <w:t>Communal Land Organization</w:t>
      </w:r>
    </w:p>
    <w:p w14:paraId="036E248E" w14:textId="77777777" w:rsidR="00522F56" w:rsidRPr="00016A65" w:rsidRDefault="00522F56" w:rsidP="00522F56">
      <w:pPr>
        <w:pStyle w:val="Body"/>
        <w:rPr>
          <w:rFonts w:ascii="Arial" w:hAnsi="Arial" w:cs="Arial"/>
        </w:rPr>
      </w:pPr>
      <w:r w:rsidRPr="00016A65">
        <w:rPr>
          <w:rFonts w:ascii="Arial" w:hAnsi="Arial" w:cs="Arial"/>
        </w:rPr>
        <w:t>Forest exploitation structures the communal land organization and encourages participation, ensuring the equitable distribution of tasks and benefits. Cervantes et al. (2020) confirm that such participation is vital for resource management and territorial appropriation. Figure 2 illustrates this structure, based on authorities democratically elected by the assembly (50% + 1). Generally, these positions are unpaid and are sustained through community work to maintain infrastructure and public services.</w:t>
      </w:r>
    </w:p>
    <w:p w14:paraId="337D0120" w14:textId="77777777" w:rsidR="00522F56" w:rsidRPr="00016A65" w:rsidRDefault="00522F56" w:rsidP="00522F56">
      <w:pPr>
        <w:pStyle w:val="Body"/>
        <w:rPr>
          <w:rFonts w:ascii="Arial" w:hAnsi="Arial" w:cs="Arial"/>
          <w:b/>
          <w:bCs/>
        </w:rPr>
      </w:pPr>
      <w:r w:rsidRPr="00016A65">
        <w:rPr>
          <w:rFonts w:ascii="Arial" w:hAnsi="Arial" w:cs="Arial"/>
          <w:b/>
          <w:bCs/>
        </w:rPr>
        <w:t xml:space="preserve">Figure 2. Organizational structure of the forest communal lands in the </w:t>
      </w:r>
      <w:proofErr w:type="spellStart"/>
      <w:r w:rsidRPr="00016A65">
        <w:rPr>
          <w:rFonts w:ascii="Arial" w:hAnsi="Arial" w:cs="Arial"/>
          <w:b/>
          <w:bCs/>
        </w:rPr>
        <w:t>Chignahuapan-Zacatlan</w:t>
      </w:r>
      <w:proofErr w:type="spellEnd"/>
      <w:r w:rsidRPr="00016A65">
        <w:rPr>
          <w:rFonts w:ascii="Arial" w:hAnsi="Arial" w:cs="Arial"/>
          <w:b/>
          <w:bCs/>
        </w:rPr>
        <w:t xml:space="preserve"> region.</w:t>
      </w:r>
    </w:p>
    <w:p w14:paraId="73EC3AA3" w14:textId="0F0AE912" w:rsidR="00522F56" w:rsidRPr="00016A65" w:rsidRDefault="00522F56" w:rsidP="00522F56">
      <w:pPr>
        <w:pStyle w:val="Body"/>
        <w:rPr>
          <w:rFonts w:ascii="Arial" w:hAnsi="Arial" w:cs="Arial"/>
        </w:rPr>
      </w:pPr>
      <w:r w:rsidRPr="00016A65">
        <w:rPr>
          <w:rFonts w:ascii="Arial" w:hAnsi="Arial" w:cs="Arial"/>
          <w:noProof/>
        </w:rPr>
        <w:drawing>
          <wp:inline distT="0" distB="0" distL="0" distR="0" wp14:anchorId="309C2085" wp14:editId="39C1D96C">
            <wp:extent cx="5212080" cy="2508102"/>
            <wp:effectExtent l="0" t="0" r="0" b="0"/>
            <wp:docPr id="1792860651"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60651" name="Imagen 1792860651"/>
                    <pic:cNvPicPr/>
                  </pic:nvPicPr>
                  <pic:blipFill>
                    <a:blip r:embed="rId14">
                      <a:extLst>
                        <a:ext uri="{28A0092B-C50C-407E-A947-70E740481C1C}">
                          <a14:useLocalDpi xmlns:a14="http://schemas.microsoft.com/office/drawing/2010/main" val="0"/>
                        </a:ext>
                      </a:extLst>
                    </a:blip>
                    <a:stretch>
                      <a:fillRect/>
                    </a:stretch>
                  </pic:blipFill>
                  <pic:spPr>
                    <a:xfrm>
                      <a:off x="0" y="0"/>
                      <a:ext cx="5212080" cy="2508102"/>
                    </a:xfrm>
                    <a:prstGeom prst="rect">
                      <a:avLst/>
                    </a:prstGeom>
                  </pic:spPr>
                </pic:pic>
              </a:graphicData>
            </a:graphic>
          </wp:inline>
        </w:drawing>
      </w:r>
    </w:p>
    <w:p w14:paraId="3963A9C7" w14:textId="619D4136" w:rsidR="00522F56" w:rsidRPr="00016A65" w:rsidRDefault="00522F56" w:rsidP="00522F56">
      <w:pPr>
        <w:pStyle w:val="Body"/>
        <w:rPr>
          <w:rFonts w:ascii="Arial" w:hAnsi="Arial" w:cs="Arial"/>
        </w:rPr>
      </w:pPr>
      <w:r w:rsidRPr="00016A65">
        <w:rPr>
          <w:rFonts w:ascii="Arial" w:hAnsi="Arial" w:cs="Arial"/>
        </w:rPr>
        <w:lastRenderedPageBreak/>
        <w:t>Source: Own elaboration based on fieldwork conducted, 2024.</w:t>
      </w:r>
    </w:p>
    <w:p w14:paraId="02851B84" w14:textId="77777777" w:rsidR="00522F56" w:rsidRPr="00016A65" w:rsidRDefault="00522F56" w:rsidP="00522F56">
      <w:pPr>
        <w:pStyle w:val="Body"/>
        <w:rPr>
          <w:rFonts w:ascii="Arial" w:hAnsi="Arial" w:cs="Arial"/>
        </w:rPr>
      </w:pPr>
      <w:r w:rsidRPr="00016A65">
        <w:rPr>
          <w:rFonts w:ascii="Arial" w:hAnsi="Arial" w:cs="Arial"/>
        </w:rPr>
        <w:t xml:space="preserve">Forest exploitation implements protection and conservation actions through work brigades, highlighting those </w:t>
      </w:r>
      <w:proofErr w:type="gramStart"/>
      <w:r w:rsidRPr="00016A65">
        <w:rPr>
          <w:rFonts w:ascii="Arial" w:hAnsi="Arial" w:cs="Arial"/>
        </w:rPr>
        <w:t>focused on</w:t>
      </w:r>
      <w:proofErr w:type="gramEnd"/>
      <w:r w:rsidRPr="00016A65">
        <w:rPr>
          <w:rFonts w:ascii="Arial" w:hAnsi="Arial" w:cs="Arial"/>
        </w:rPr>
        <w:t xml:space="preserve"> fires, reforestation, and harvesting (see Figure 2). Table 5 details the temporality of these activities (from collection to marketing), which can be simultaneous or alternating. Since many of these tasks conclude within one or two months, the communal landowner needs to seek alternative income sources to meet their needs (</w:t>
      </w:r>
      <w:proofErr w:type="spellStart"/>
      <w:r w:rsidRPr="00016A65">
        <w:rPr>
          <w:rFonts w:ascii="Arial" w:hAnsi="Arial" w:cs="Arial"/>
        </w:rPr>
        <w:t>Boltvinik</w:t>
      </w:r>
      <w:proofErr w:type="spellEnd"/>
      <w:r w:rsidRPr="00016A65">
        <w:rPr>
          <w:rFonts w:ascii="Arial" w:hAnsi="Arial" w:cs="Arial"/>
        </w:rPr>
        <w:t>, 2012).</w:t>
      </w:r>
    </w:p>
    <w:p w14:paraId="477D4841" w14:textId="77777777" w:rsidR="00522F56" w:rsidRPr="00016A65" w:rsidRDefault="00522F56" w:rsidP="00522F56">
      <w:pPr>
        <w:pStyle w:val="Body"/>
        <w:rPr>
          <w:rFonts w:ascii="Arial" w:hAnsi="Arial" w:cs="Arial"/>
        </w:rPr>
      </w:pPr>
    </w:p>
    <w:p w14:paraId="2C49D363" w14:textId="77777777" w:rsidR="00522F56" w:rsidRPr="00016A65" w:rsidRDefault="00522F56" w:rsidP="00522F56">
      <w:pPr>
        <w:pStyle w:val="Body"/>
        <w:rPr>
          <w:rFonts w:ascii="Arial" w:hAnsi="Arial" w:cs="Arial"/>
          <w:b/>
          <w:bCs/>
        </w:rPr>
      </w:pPr>
      <w:r w:rsidRPr="00016A65">
        <w:rPr>
          <w:rFonts w:ascii="Arial" w:hAnsi="Arial" w:cs="Arial"/>
          <w:b/>
          <w:bCs/>
        </w:rPr>
        <w:t>Table 5. Activities performed by communal landowners and temporality in forest exploitation.</w:t>
      </w:r>
    </w:p>
    <w:tbl>
      <w:tblPr>
        <w:tblW w:w="8236" w:type="dxa"/>
        <w:tblInd w:w="108" w:type="dxa"/>
        <w:tblLayout w:type="fixed"/>
        <w:tblLook w:val="01E0" w:firstRow="1" w:lastRow="1" w:firstColumn="1" w:lastColumn="1" w:noHBand="0" w:noVBand="0"/>
      </w:tblPr>
      <w:tblGrid>
        <w:gridCol w:w="3425"/>
        <w:gridCol w:w="369"/>
        <w:gridCol w:w="405"/>
        <w:gridCol w:w="452"/>
        <w:gridCol w:w="428"/>
        <w:gridCol w:w="449"/>
        <w:gridCol w:w="391"/>
        <w:gridCol w:w="398"/>
        <w:gridCol w:w="430"/>
        <w:gridCol w:w="420"/>
        <w:gridCol w:w="398"/>
        <w:gridCol w:w="435"/>
        <w:gridCol w:w="236"/>
      </w:tblGrid>
      <w:tr w:rsidR="00522F56" w:rsidRPr="00016A65" w14:paraId="4B82BCCF" w14:textId="77777777" w:rsidTr="00C6792D">
        <w:trPr>
          <w:trHeight w:val="284"/>
        </w:trPr>
        <w:tc>
          <w:tcPr>
            <w:tcW w:w="3425" w:type="dxa"/>
            <w:vMerge w:val="restart"/>
            <w:tcBorders>
              <w:top w:val="single" w:sz="4" w:space="0" w:color="000000"/>
              <w:left w:val="nil"/>
              <w:right w:val="nil"/>
            </w:tcBorders>
            <w:vAlign w:val="center"/>
            <w:hideMark/>
          </w:tcPr>
          <w:p w14:paraId="10CB01D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Activity</w:t>
            </w:r>
            <w:r w:rsidRPr="00016A65">
              <w:rPr>
                <w:rFonts w:ascii="Arial" w:hAnsi="Arial" w:cs="Arial"/>
              </w:rPr>
              <w:tab/>
            </w:r>
            <w:r w:rsidRPr="00016A65">
              <w:rPr>
                <w:rFonts w:ascii="Arial" w:hAnsi="Arial" w:cs="Arial"/>
                <w:u w:val="single"/>
              </w:rPr>
              <w:t xml:space="preserve"> </w:t>
            </w:r>
          </w:p>
        </w:tc>
        <w:tc>
          <w:tcPr>
            <w:tcW w:w="369" w:type="dxa"/>
            <w:tcBorders>
              <w:top w:val="single" w:sz="4" w:space="0" w:color="000000"/>
              <w:left w:val="nil"/>
              <w:bottom w:val="nil"/>
              <w:right w:val="nil"/>
            </w:tcBorders>
          </w:tcPr>
          <w:p w14:paraId="57137498" w14:textId="77777777" w:rsidR="00522F56" w:rsidRPr="00016A65" w:rsidRDefault="00522F56" w:rsidP="00C6792D">
            <w:pPr>
              <w:pStyle w:val="Body"/>
              <w:spacing w:line="0" w:lineRule="atLeast"/>
              <w:contextualSpacing/>
              <w:rPr>
                <w:rFonts w:ascii="Arial" w:hAnsi="Arial" w:cs="Arial"/>
              </w:rPr>
            </w:pPr>
          </w:p>
        </w:tc>
        <w:tc>
          <w:tcPr>
            <w:tcW w:w="405" w:type="dxa"/>
            <w:tcBorders>
              <w:top w:val="single" w:sz="4" w:space="0" w:color="000000"/>
              <w:left w:val="nil"/>
              <w:bottom w:val="nil"/>
              <w:right w:val="nil"/>
            </w:tcBorders>
          </w:tcPr>
          <w:p w14:paraId="206CC7FB" w14:textId="77777777" w:rsidR="00522F56" w:rsidRPr="00016A65" w:rsidRDefault="00522F56" w:rsidP="00C6792D">
            <w:pPr>
              <w:pStyle w:val="Body"/>
              <w:spacing w:line="0" w:lineRule="atLeast"/>
              <w:contextualSpacing/>
              <w:rPr>
                <w:rFonts w:ascii="Arial" w:hAnsi="Arial" w:cs="Arial"/>
              </w:rPr>
            </w:pPr>
          </w:p>
        </w:tc>
        <w:tc>
          <w:tcPr>
            <w:tcW w:w="452" w:type="dxa"/>
            <w:tcBorders>
              <w:top w:val="single" w:sz="4" w:space="0" w:color="000000"/>
              <w:left w:val="nil"/>
              <w:bottom w:val="nil"/>
              <w:right w:val="nil"/>
            </w:tcBorders>
          </w:tcPr>
          <w:p w14:paraId="0840BD15" w14:textId="77777777" w:rsidR="00522F56" w:rsidRPr="00016A65" w:rsidRDefault="00522F56" w:rsidP="00C6792D">
            <w:pPr>
              <w:pStyle w:val="Body"/>
              <w:spacing w:line="0" w:lineRule="atLeast"/>
              <w:contextualSpacing/>
              <w:rPr>
                <w:rFonts w:ascii="Arial" w:hAnsi="Arial" w:cs="Arial"/>
              </w:rPr>
            </w:pPr>
          </w:p>
        </w:tc>
        <w:tc>
          <w:tcPr>
            <w:tcW w:w="2516" w:type="dxa"/>
            <w:gridSpan w:val="6"/>
            <w:tcBorders>
              <w:top w:val="single" w:sz="4" w:space="0" w:color="000000"/>
              <w:left w:val="nil"/>
              <w:bottom w:val="nil"/>
              <w:right w:val="nil"/>
            </w:tcBorders>
          </w:tcPr>
          <w:p w14:paraId="36A27A6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u w:val="single"/>
              </w:rPr>
              <w:t>Months of the year</w:t>
            </w:r>
          </w:p>
        </w:tc>
        <w:tc>
          <w:tcPr>
            <w:tcW w:w="398" w:type="dxa"/>
            <w:tcBorders>
              <w:top w:val="single" w:sz="4" w:space="0" w:color="000000"/>
              <w:left w:val="nil"/>
              <w:bottom w:val="nil"/>
              <w:right w:val="nil"/>
            </w:tcBorders>
          </w:tcPr>
          <w:p w14:paraId="123E04CE" w14:textId="77777777" w:rsidR="00522F56" w:rsidRPr="00016A65" w:rsidRDefault="00522F56" w:rsidP="00C6792D">
            <w:pPr>
              <w:pStyle w:val="Body"/>
              <w:spacing w:line="0" w:lineRule="atLeast"/>
              <w:contextualSpacing/>
              <w:rPr>
                <w:rFonts w:ascii="Arial" w:hAnsi="Arial" w:cs="Arial"/>
              </w:rPr>
            </w:pPr>
          </w:p>
        </w:tc>
        <w:tc>
          <w:tcPr>
            <w:tcW w:w="435" w:type="dxa"/>
            <w:tcBorders>
              <w:top w:val="single" w:sz="4" w:space="0" w:color="000000"/>
              <w:left w:val="nil"/>
              <w:bottom w:val="nil"/>
              <w:right w:val="nil"/>
            </w:tcBorders>
          </w:tcPr>
          <w:p w14:paraId="704B0855" w14:textId="77777777" w:rsidR="00522F56" w:rsidRPr="00016A65" w:rsidRDefault="00522F56" w:rsidP="00C6792D">
            <w:pPr>
              <w:pStyle w:val="Body"/>
              <w:spacing w:line="0" w:lineRule="atLeast"/>
              <w:contextualSpacing/>
              <w:rPr>
                <w:rFonts w:ascii="Arial" w:hAnsi="Arial" w:cs="Arial"/>
              </w:rPr>
            </w:pPr>
          </w:p>
        </w:tc>
        <w:tc>
          <w:tcPr>
            <w:tcW w:w="236" w:type="dxa"/>
            <w:tcBorders>
              <w:top w:val="single" w:sz="4" w:space="0" w:color="000000"/>
              <w:left w:val="nil"/>
              <w:bottom w:val="nil"/>
              <w:right w:val="nil"/>
            </w:tcBorders>
          </w:tcPr>
          <w:p w14:paraId="098B993F" w14:textId="77777777" w:rsidR="00522F56" w:rsidRPr="00016A65" w:rsidRDefault="00522F56" w:rsidP="00C6792D">
            <w:pPr>
              <w:pStyle w:val="Body"/>
              <w:spacing w:line="0" w:lineRule="atLeast"/>
              <w:contextualSpacing/>
              <w:rPr>
                <w:rFonts w:ascii="Arial" w:hAnsi="Arial" w:cs="Arial"/>
              </w:rPr>
            </w:pPr>
          </w:p>
        </w:tc>
      </w:tr>
      <w:tr w:rsidR="00522F56" w:rsidRPr="00016A65" w14:paraId="66DD9A16" w14:textId="77777777" w:rsidTr="00C6792D">
        <w:trPr>
          <w:trHeight w:val="87"/>
        </w:trPr>
        <w:tc>
          <w:tcPr>
            <w:tcW w:w="3425" w:type="dxa"/>
            <w:vMerge/>
            <w:tcBorders>
              <w:left w:val="nil"/>
              <w:bottom w:val="single" w:sz="4" w:space="0" w:color="000000"/>
              <w:right w:val="nil"/>
            </w:tcBorders>
          </w:tcPr>
          <w:p w14:paraId="71923081" w14:textId="77777777" w:rsidR="00522F56" w:rsidRPr="00016A65" w:rsidRDefault="00522F56" w:rsidP="00C6792D">
            <w:pPr>
              <w:pStyle w:val="Body"/>
              <w:spacing w:line="0" w:lineRule="atLeast"/>
              <w:contextualSpacing/>
              <w:rPr>
                <w:rFonts w:ascii="Arial" w:hAnsi="Arial" w:cs="Arial"/>
              </w:rPr>
            </w:pPr>
          </w:p>
        </w:tc>
        <w:tc>
          <w:tcPr>
            <w:tcW w:w="369" w:type="dxa"/>
            <w:tcBorders>
              <w:top w:val="nil"/>
              <w:left w:val="nil"/>
              <w:bottom w:val="single" w:sz="4" w:space="0" w:color="000000"/>
              <w:right w:val="nil"/>
            </w:tcBorders>
            <w:hideMark/>
          </w:tcPr>
          <w:p w14:paraId="105BC6DE" w14:textId="5B388882" w:rsidR="00522F56" w:rsidRPr="00016A65" w:rsidRDefault="00016A65" w:rsidP="00C6792D">
            <w:pPr>
              <w:pStyle w:val="Body"/>
              <w:spacing w:line="0" w:lineRule="atLeast"/>
              <w:contextualSpacing/>
              <w:rPr>
                <w:rFonts w:ascii="Arial" w:hAnsi="Arial" w:cs="Arial"/>
              </w:rPr>
            </w:pPr>
            <w:r>
              <w:rPr>
                <w:rFonts w:ascii="Arial" w:hAnsi="Arial" w:cs="Arial"/>
              </w:rPr>
              <w:t>J</w:t>
            </w:r>
          </w:p>
        </w:tc>
        <w:tc>
          <w:tcPr>
            <w:tcW w:w="405" w:type="dxa"/>
            <w:tcBorders>
              <w:top w:val="nil"/>
              <w:left w:val="nil"/>
              <w:bottom w:val="single" w:sz="4" w:space="0" w:color="000000"/>
              <w:right w:val="nil"/>
            </w:tcBorders>
            <w:hideMark/>
          </w:tcPr>
          <w:p w14:paraId="2BE8EBD2"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F</w:t>
            </w:r>
          </w:p>
        </w:tc>
        <w:tc>
          <w:tcPr>
            <w:tcW w:w="452" w:type="dxa"/>
            <w:tcBorders>
              <w:top w:val="nil"/>
              <w:left w:val="nil"/>
              <w:bottom w:val="single" w:sz="4" w:space="0" w:color="000000"/>
              <w:right w:val="nil"/>
            </w:tcBorders>
            <w:hideMark/>
          </w:tcPr>
          <w:p w14:paraId="21ABA17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M</w:t>
            </w:r>
          </w:p>
        </w:tc>
        <w:tc>
          <w:tcPr>
            <w:tcW w:w="428" w:type="dxa"/>
            <w:tcBorders>
              <w:top w:val="nil"/>
              <w:left w:val="nil"/>
              <w:bottom w:val="single" w:sz="4" w:space="0" w:color="000000"/>
              <w:right w:val="nil"/>
            </w:tcBorders>
            <w:hideMark/>
          </w:tcPr>
          <w:p w14:paraId="505E4BB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A</w:t>
            </w:r>
          </w:p>
        </w:tc>
        <w:tc>
          <w:tcPr>
            <w:tcW w:w="449" w:type="dxa"/>
            <w:tcBorders>
              <w:top w:val="nil"/>
              <w:left w:val="nil"/>
              <w:bottom w:val="single" w:sz="4" w:space="0" w:color="000000"/>
              <w:right w:val="nil"/>
            </w:tcBorders>
            <w:hideMark/>
          </w:tcPr>
          <w:p w14:paraId="4C8A89A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M</w:t>
            </w:r>
          </w:p>
        </w:tc>
        <w:tc>
          <w:tcPr>
            <w:tcW w:w="391" w:type="dxa"/>
            <w:tcBorders>
              <w:top w:val="nil"/>
              <w:left w:val="nil"/>
              <w:bottom w:val="single" w:sz="4" w:space="0" w:color="000000"/>
              <w:right w:val="nil"/>
            </w:tcBorders>
            <w:hideMark/>
          </w:tcPr>
          <w:p w14:paraId="79CEFED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J</w:t>
            </w:r>
          </w:p>
        </w:tc>
        <w:tc>
          <w:tcPr>
            <w:tcW w:w="398" w:type="dxa"/>
            <w:tcBorders>
              <w:top w:val="nil"/>
              <w:left w:val="nil"/>
              <w:bottom w:val="single" w:sz="4" w:space="0" w:color="000000"/>
              <w:right w:val="nil"/>
            </w:tcBorders>
            <w:hideMark/>
          </w:tcPr>
          <w:p w14:paraId="15145D86"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J</w:t>
            </w:r>
          </w:p>
        </w:tc>
        <w:tc>
          <w:tcPr>
            <w:tcW w:w="430" w:type="dxa"/>
            <w:tcBorders>
              <w:top w:val="nil"/>
              <w:left w:val="nil"/>
              <w:bottom w:val="single" w:sz="4" w:space="0" w:color="000000"/>
              <w:right w:val="nil"/>
            </w:tcBorders>
            <w:hideMark/>
          </w:tcPr>
          <w:p w14:paraId="49548D1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A</w:t>
            </w:r>
          </w:p>
        </w:tc>
        <w:tc>
          <w:tcPr>
            <w:tcW w:w="420" w:type="dxa"/>
            <w:tcBorders>
              <w:top w:val="nil"/>
              <w:left w:val="nil"/>
              <w:bottom w:val="single" w:sz="4" w:space="0" w:color="000000"/>
              <w:right w:val="nil"/>
            </w:tcBorders>
            <w:hideMark/>
          </w:tcPr>
          <w:p w14:paraId="4BB6443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S</w:t>
            </w:r>
          </w:p>
        </w:tc>
        <w:tc>
          <w:tcPr>
            <w:tcW w:w="398" w:type="dxa"/>
            <w:tcBorders>
              <w:top w:val="nil"/>
              <w:left w:val="nil"/>
              <w:bottom w:val="single" w:sz="4" w:space="0" w:color="000000"/>
              <w:right w:val="nil"/>
            </w:tcBorders>
            <w:hideMark/>
          </w:tcPr>
          <w:p w14:paraId="2A62B73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O</w:t>
            </w:r>
          </w:p>
        </w:tc>
        <w:tc>
          <w:tcPr>
            <w:tcW w:w="435" w:type="dxa"/>
            <w:tcBorders>
              <w:top w:val="nil"/>
              <w:left w:val="nil"/>
              <w:bottom w:val="single" w:sz="4" w:space="0" w:color="000000"/>
              <w:right w:val="nil"/>
            </w:tcBorders>
            <w:hideMark/>
          </w:tcPr>
          <w:p w14:paraId="281A666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N</w:t>
            </w:r>
          </w:p>
        </w:tc>
        <w:tc>
          <w:tcPr>
            <w:tcW w:w="236" w:type="dxa"/>
            <w:tcBorders>
              <w:top w:val="nil"/>
              <w:left w:val="nil"/>
              <w:bottom w:val="single" w:sz="4" w:space="0" w:color="000000"/>
              <w:right w:val="nil"/>
            </w:tcBorders>
            <w:hideMark/>
          </w:tcPr>
          <w:p w14:paraId="17D87A6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D</w:t>
            </w:r>
          </w:p>
        </w:tc>
      </w:tr>
      <w:tr w:rsidR="00522F56" w:rsidRPr="00016A65" w14:paraId="387567CF" w14:textId="77777777" w:rsidTr="00C6792D">
        <w:trPr>
          <w:trHeight w:val="268"/>
        </w:trPr>
        <w:tc>
          <w:tcPr>
            <w:tcW w:w="3425" w:type="dxa"/>
            <w:tcBorders>
              <w:top w:val="single" w:sz="4" w:space="0" w:color="000000"/>
              <w:left w:val="nil"/>
              <w:bottom w:val="nil"/>
              <w:right w:val="nil"/>
            </w:tcBorders>
            <w:hideMark/>
          </w:tcPr>
          <w:p w14:paraId="5E6D2CC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Nursery (planting, transplanting, watering)</w:t>
            </w:r>
          </w:p>
        </w:tc>
        <w:tc>
          <w:tcPr>
            <w:tcW w:w="369" w:type="dxa"/>
            <w:tcBorders>
              <w:top w:val="single" w:sz="4" w:space="0" w:color="000000"/>
              <w:left w:val="nil"/>
              <w:bottom w:val="nil"/>
              <w:right w:val="nil"/>
            </w:tcBorders>
            <w:hideMark/>
          </w:tcPr>
          <w:p w14:paraId="1D5CF3D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tcBorders>
              <w:top w:val="single" w:sz="4" w:space="0" w:color="000000"/>
              <w:left w:val="nil"/>
              <w:bottom w:val="nil"/>
              <w:right w:val="nil"/>
            </w:tcBorders>
            <w:hideMark/>
          </w:tcPr>
          <w:p w14:paraId="1203558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tcBorders>
              <w:top w:val="single" w:sz="4" w:space="0" w:color="000000"/>
              <w:left w:val="nil"/>
              <w:bottom w:val="nil"/>
              <w:right w:val="nil"/>
            </w:tcBorders>
            <w:hideMark/>
          </w:tcPr>
          <w:p w14:paraId="24F3D38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tcBorders>
              <w:top w:val="single" w:sz="4" w:space="0" w:color="000000"/>
              <w:left w:val="nil"/>
              <w:bottom w:val="nil"/>
              <w:right w:val="nil"/>
            </w:tcBorders>
            <w:hideMark/>
          </w:tcPr>
          <w:p w14:paraId="390705E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tcBorders>
              <w:top w:val="single" w:sz="4" w:space="0" w:color="000000"/>
              <w:left w:val="nil"/>
              <w:bottom w:val="nil"/>
              <w:right w:val="nil"/>
            </w:tcBorders>
            <w:hideMark/>
          </w:tcPr>
          <w:p w14:paraId="5D7A9EF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tcBorders>
              <w:top w:val="single" w:sz="4" w:space="0" w:color="000000"/>
              <w:left w:val="nil"/>
              <w:bottom w:val="nil"/>
              <w:right w:val="nil"/>
            </w:tcBorders>
            <w:hideMark/>
          </w:tcPr>
          <w:p w14:paraId="4432974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single" w:sz="4" w:space="0" w:color="000000"/>
              <w:left w:val="nil"/>
              <w:bottom w:val="nil"/>
              <w:right w:val="nil"/>
            </w:tcBorders>
            <w:hideMark/>
          </w:tcPr>
          <w:p w14:paraId="63E2FF5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tcBorders>
              <w:top w:val="single" w:sz="4" w:space="0" w:color="000000"/>
              <w:left w:val="nil"/>
              <w:bottom w:val="nil"/>
              <w:right w:val="nil"/>
            </w:tcBorders>
            <w:hideMark/>
          </w:tcPr>
          <w:p w14:paraId="166AD0C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tcBorders>
              <w:top w:val="single" w:sz="4" w:space="0" w:color="000000"/>
              <w:left w:val="nil"/>
              <w:bottom w:val="nil"/>
              <w:right w:val="nil"/>
            </w:tcBorders>
            <w:hideMark/>
          </w:tcPr>
          <w:p w14:paraId="1AD814C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single" w:sz="4" w:space="0" w:color="000000"/>
              <w:left w:val="nil"/>
              <w:bottom w:val="nil"/>
              <w:right w:val="nil"/>
            </w:tcBorders>
            <w:hideMark/>
          </w:tcPr>
          <w:p w14:paraId="6EA299E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Borders>
              <w:top w:val="single" w:sz="4" w:space="0" w:color="000000"/>
              <w:left w:val="nil"/>
              <w:bottom w:val="nil"/>
              <w:right w:val="nil"/>
            </w:tcBorders>
            <w:hideMark/>
          </w:tcPr>
          <w:p w14:paraId="6EF7B4F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tcBorders>
              <w:top w:val="single" w:sz="4" w:space="0" w:color="000000"/>
              <w:left w:val="nil"/>
              <w:bottom w:val="nil"/>
              <w:right w:val="nil"/>
            </w:tcBorders>
            <w:hideMark/>
          </w:tcPr>
          <w:p w14:paraId="2FE67DD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3FB43C96" w14:textId="77777777" w:rsidTr="00C6792D">
        <w:trPr>
          <w:trHeight w:val="283"/>
        </w:trPr>
        <w:tc>
          <w:tcPr>
            <w:tcW w:w="3425" w:type="dxa"/>
            <w:hideMark/>
          </w:tcPr>
          <w:p w14:paraId="0B1C427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Reforestation</w:t>
            </w:r>
          </w:p>
        </w:tc>
        <w:tc>
          <w:tcPr>
            <w:tcW w:w="369" w:type="dxa"/>
          </w:tcPr>
          <w:p w14:paraId="562EE05E" w14:textId="77777777" w:rsidR="00522F56" w:rsidRPr="00016A65" w:rsidRDefault="00522F56" w:rsidP="00C6792D">
            <w:pPr>
              <w:pStyle w:val="Body"/>
              <w:spacing w:line="0" w:lineRule="atLeast"/>
              <w:contextualSpacing/>
              <w:rPr>
                <w:rFonts w:ascii="Arial" w:hAnsi="Arial" w:cs="Arial"/>
              </w:rPr>
            </w:pPr>
          </w:p>
        </w:tc>
        <w:tc>
          <w:tcPr>
            <w:tcW w:w="405" w:type="dxa"/>
          </w:tcPr>
          <w:p w14:paraId="5F6249C4" w14:textId="77777777" w:rsidR="00522F56" w:rsidRPr="00016A65" w:rsidRDefault="00522F56" w:rsidP="00C6792D">
            <w:pPr>
              <w:pStyle w:val="Body"/>
              <w:spacing w:line="0" w:lineRule="atLeast"/>
              <w:contextualSpacing/>
              <w:rPr>
                <w:rFonts w:ascii="Arial" w:hAnsi="Arial" w:cs="Arial"/>
              </w:rPr>
            </w:pPr>
          </w:p>
        </w:tc>
        <w:tc>
          <w:tcPr>
            <w:tcW w:w="452" w:type="dxa"/>
          </w:tcPr>
          <w:p w14:paraId="58B4D951" w14:textId="77777777" w:rsidR="00522F56" w:rsidRPr="00016A65" w:rsidRDefault="00522F56" w:rsidP="00C6792D">
            <w:pPr>
              <w:pStyle w:val="Body"/>
              <w:spacing w:line="0" w:lineRule="atLeast"/>
              <w:contextualSpacing/>
              <w:rPr>
                <w:rFonts w:ascii="Arial" w:hAnsi="Arial" w:cs="Arial"/>
              </w:rPr>
            </w:pPr>
          </w:p>
        </w:tc>
        <w:tc>
          <w:tcPr>
            <w:tcW w:w="428" w:type="dxa"/>
          </w:tcPr>
          <w:p w14:paraId="2D01CE98" w14:textId="77777777" w:rsidR="00522F56" w:rsidRPr="00016A65" w:rsidRDefault="00522F56" w:rsidP="00C6792D">
            <w:pPr>
              <w:pStyle w:val="Body"/>
              <w:spacing w:line="0" w:lineRule="atLeast"/>
              <w:contextualSpacing/>
              <w:rPr>
                <w:rFonts w:ascii="Arial" w:hAnsi="Arial" w:cs="Arial"/>
              </w:rPr>
            </w:pPr>
          </w:p>
        </w:tc>
        <w:tc>
          <w:tcPr>
            <w:tcW w:w="449" w:type="dxa"/>
          </w:tcPr>
          <w:p w14:paraId="395F72B6" w14:textId="77777777" w:rsidR="00522F56" w:rsidRPr="00016A65" w:rsidRDefault="00522F56" w:rsidP="00C6792D">
            <w:pPr>
              <w:pStyle w:val="Body"/>
              <w:spacing w:line="0" w:lineRule="atLeast"/>
              <w:contextualSpacing/>
              <w:rPr>
                <w:rFonts w:ascii="Arial" w:hAnsi="Arial" w:cs="Arial"/>
              </w:rPr>
            </w:pPr>
          </w:p>
        </w:tc>
        <w:tc>
          <w:tcPr>
            <w:tcW w:w="391" w:type="dxa"/>
            <w:hideMark/>
          </w:tcPr>
          <w:p w14:paraId="1DC093A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7FEC1CF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20211B2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311ABF8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Pr>
          <w:p w14:paraId="6A330951" w14:textId="77777777" w:rsidR="00522F56" w:rsidRPr="00016A65" w:rsidRDefault="00522F56" w:rsidP="00C6792D">
            <w:pPr>
              <w:pStyle w:val="Body"/>
              <w:spacing w:line="0" w:lineRule="atLeast"/>
              <w:contextualSpacing/>
              <w:rPr>
                <w:rFonts w:ascii="Arial" w:hAnsi="Arial" w:cs="Arial"/>
              </w:rPr>
            </w:pPr>
          </w:p>
        </w:tc>
        <w:tc>
          <w:tcPr>
            <w:tcW w:w="435" w:type="dxa"/>
          </w:tcPr>
          <w:p w14:paraId="42F94FC1" w14:textId="77777777" w:rsidR="00522F56" w:rsidRPr="00016A65" w:rsidRDefault="00522F56" w:rsidP="00C6792D">
            <w:pPr>
              <w:pStyle w:val="Body"/>
              <w:spacing w:line="0" w:lineRule="atLeast"/>
              <w:contextualSpacing/>
              <w:rPr>
                <w:rFonts w:ascii="Arial" w:hAnsi="Arial" w:cs="Arial"/>
              </w:rPr>
            </w:pPr>
          </w:p>
        </w:tc>
        <w:tc>
          <w:tcPr>
            <w:tcW w:w="236" w:type="dxa"/>
          </w:tcPr>
          <w:p w14:paraId="71756518" w14:textId="77777777" w:rsidR="00522F56" w:rsidRPr="00016A65" w:rsidRDefault="00522F56" w:rsidP="00C6792D">
            <w:pPr>
              <w:pStyle w:val="Body"/>
              <w:spacing w:line="0" w:lineRule="atLeast"/>
              <w:contextualSpacing/>
              <w:rPr>
                <w:rFonts w:ascii="Arial" w:hAnsi="Arial" w:cs="Arial"/>
              </w:rPr>
            </w:pPr>
          </w:p>
        </w:tc>
      </w:tr>
      <w:tr w:rsidR="00522F56" w:rsidRPr="00016A65" w14:paraId="61BAA5F6" w14:textId="77777777" w:rsidTr="00C6792D">
        <w:trPr>
          <w:trHeight w:val="288"/>
        </w:trPr>
        <w:tc>
          <w:tcPr>
            <w:tcW w:w="3425" w:type="dxa"/>
            <w:hideMark/>
          </w:tcPr>
          <w:p w14:paraId="00850B8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Clearing of reforested areas</w:t>
            </w:r>
          </w:p>
        </w:tc>
        <w:tc>
          <w:tcPr>
            <w:tcW w:w="369" w:type="dxa"/>
          </w:tcPr>
          <w:p w14:paraId="0B171282" w14:textId="77777777" w:rsidR="00522F56" w:rsidRPr="00016A65" w:rsidRDefault="00522F56" w:rsidP="00C6792D">
            <w:pPr>
              <w:pStyle w:val="Body"/>
              <w:spacing w:line="0" w:lineRule="atLeast"/>
              <w:contextualSpacing/>
              <w:rPr>
                <w:rFonts w:ascii="Arial" w:hAnsi="Arial" w:cs="Arial"/>
              </w:rPr>
            </w:pPr>
          </w:p>
        </w:tc>
        <w:tc>
          <w:tcPr>
            <w:tcW w:w="405" w:type="dxa"/>
          </w:tcPr>
          <w:p w14:paraId="0F2DB303" w14:textId="77777777" w:rsidR="00522F56" w:rsidRPr="00016A65" w:rsidRDefault="00522F56" w:rsidP="00C6792D">
            <w:pPr>
              <w:pStyle w:val="Body"/>
              <w:spacing w:line="0" w:lineRule="atLeast"/>
              <w:contextualSpacing/>
              <w:rPr>
                <w:rFonts w:ascii="Arial" w:hAnsi="Arial" w:cs="Arial"/>
              </w:rPr>
            </w:pPr>
          </w:p>
        </w:tc>
        <w:tc>
          <w:tcPr>
            <w:tcW w:w="452" w:type="dxa"/>
          </w:tcPr>
          <w:p w14:paraId="67393864" w14:textId="77777777" w:rsidR="00522F56" w:rsidRPr="00016A65" w:rsidRDefault="00522F56" w:rsidP="00C6792D">
            <w:pPr>
              <w:pStyle w:val="Body"/>
              <w:spacing w:line="0" w:lineRule="atLeast"/>
              <w:contextualSpacing/>
              <w:rPr>
                <w:rFonts w:ascii="Arial" w:hAnsi="Arial" w:cs="Arial"/>
              </w:rPr>
            </w:pPr>
          </w:p>
        </w:tc>
        <w:tc>
          <w:tcPr>
            <w:tcW w:w="428" w:type="dxa"/>
          </w:tcPr>
          <w:p w14:paraId="193542AA" w14:textId="77777777" w:rsidR="00522F56" w:rsidRPr="00016A65" w:rsidRDefault="00522F56" w:rsidP="00C6792D">
            <w:pPr>
              <w:pStyle w:val="Body"/>
              <w:spacing w:line="0" w:lineRule="atLeast"/>
              <w:contextualSpacing/>
              <w:rPr>
                <w:rFonts w:ascii="Arial" w:hAnsi="Arial" w:cs="Arial"/>
              </w:rPr>
            </w:pPr>
          </w:p>
        </w:tc>
        <w:tc>
          <w:tcPr>
            <w:tcW w:w="449" w:type="dxa"/>
          </w:tcPr>
          <w:p w14:paraId="2B4B25F6" w14:textId="77777777" w:rsidR="00522F56" w:rsidRPr="00016A65" w:rsidRDefault="00522F56" w:rsidP="00C6792D">
            <w:pPr>
              <w:pStyle w:val="Body"/>
              <w:spacing w:line="0" w:lineRule="atLeast"/>
              <w:contextualSpacing/>
              <w:rPr>
                <w:rFonts w:ascii="Arial" w:hAnsi="Arial" w:cs="Arial"/>
              </w:rPr>
            </w:pPr>
          </w:p>
        </w:tc>
        <w:tc>
          <w:tcPr>
            <w:tcW w:w="391" w:type="dxa"/>
            <w:hideMark/>
          </w:tcPr>
          <w:p w14:paraId="7CFC1CA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6EE49ED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53AE8C5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6A4A2D7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Pr>
          <w:p w14:paraId="3ABFC603" w14:textId="77777777" w:rsidR="00522F56" w:rsidRPr="00016A65" w:rsidRDefault="00522F56" w:rsidP="00C6792D">
            <w:pPr>
              <w:pStyle w:val="Body"/>
              <w:spacing w:line="0" w:lineRule="atLeast"/>
              <w:contextualSpacing/>
              <w:rPr>
                <w:rFonts w:ascii="Arial" w:hAnsi="Arial" w:cs="Arial"/>
              </w:rPr>
            </w:pPr>
          </w:p>
        </w:tc>
        <w:tc>
          <w:tcPr>
            <w:tcW w:w="435" w:type="dxa"/>
          </w:tcPr>
          <w:p w14:paraId="6A1C445E" w14:textId="77777777" w:rsidR="00522F56" w:rsidRPr="00016A65" w:rsidRDefault="00522F56" w:rsidP="00C6792D">
            <w:pPr>
              <w:pStyle w:val="Body"/>
              <w:spacing w:line="0" w:lineRule="atLeast"/>
              <w:contextualSpacing/>
              <w:rPr>
                <w:rFonts w:ascii="Arial" w:hAnsi="Arial" w:cs="Arial"/>
              </w:rPr>
            </w:pPr>
          </w:p>
        </w:tc>
        <w:tc>
          <w:tcPr>
            <w:tcW w:w="236" w:type="dxa"/>
          </w:tcPr>
          <w:p w14:paraId="5977BDD6" w14:textId="77777777" w:rsidR="00522F56" w:rsidRPr="00016A65" w:rsidRDefault="00522F56" w:rsidP="00C6792D">
            <w:pPr>
              <w:pStyle w:val="Body"/>
              <w:spacing w:line="0" w:lineRule="atLeast"/>
              <w:contextualSpacing/>
              <w:rPr>
                <w:rFonts w:ascii="Arial" w:hAnsi="Arial" w:cs="Arial"/>
              </w:rPr>
            </w:pPr>
          </w:p>
        </w:tc>
      </w:tr>
      <w:tr w:rsidR="00522F56" w:rsidRPr="00016A65" w14:paraId="11884AEF" w14:textId="77777777" w:rsidTr="00C6792D">
        <w:trPr>
          <w:trHeight w:val="287"/>
        </w:trPr>
        <w:tc>
          <w:tcPr>
            <w:tcW w:w="3425" w:type="dxa"/>
            <w:hideMark/>
          </w:tcPr>
          <w:p w14:paraId="507DCBC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Pruning</w:t>
            </w:r>
          </w:p>
        </w:tc>
        <w:tc>
          <w:tcPr>
            <w:tcW w:w="369" w:type="dxa"/>
          </w:tcPr>
          <w:p w14:paraId="05002D80" w14:textId="77777777" w:rsidR="00522F56" w:rsidRPr="00016A65" w:rsidRDefault="00522F56" w:rsidP="00C6792D">
            <w:pPr>
              <w:pStyle w:val="Body"/>
              <w:spacing w:line="0" w:lineRule="atLeast"/>
              <w:contextualSpacing/>
              <w:rPr>
                <w:rFonts w:ascii="Arial" w:hAnsi="Arial" w:cs="Arial"/>
              </w:rPr>
            </w:pPr>
          </w:p>
        </w:tc>
        <w:tc>
          <w:tcPr>
            <w:tcW w:w="405" w:type="dxa"/>
          </w:tcPr>
          <w:p w14:paraId="72DE398D" w14:textId="77777777" w:rsidR="00522F56" w:rsidRPr="00016A65" w:rsidRDefault="00522F56" w:rsidP="00C6792D">
            <w:pPr>
              <w:pStyle w:val="Body"/>
              <w:spacing w:line="0" w:lineRule="atLeast"/>
              <w:contextualSpacing/>
              <w:rPr>
                <w:rFonts w:ascii="Arial" w:hAnsi="Arial" w:cs="Arial"/>
              </w:rPr>
            </w:pPr>
          </w:p>
        </w:tc>
        <w:tc>
          <w:tcPr>
            <w:tcW w:w="452" w:type="dxa"/>
          </w:tcPr>
          <w:p w14:paraId="5252BCF3" w14:textId="77777777" w:rsidR="00522F56" w:rsidRPr="00016A65" w:rsidRDefault="00522F56" w:rsidP="00C6792D">
            <w:pPr>
              <w:pStyle w:val="Body"/>
              <w:spacing w:line="0" w:lineRule="atLeast"/>
              <w:contextualSpacing/>
              <w:rPr>
                <w:rFonts w:ascii="Arial" w:hAnsi="Arial" w:cs="Arial"/>
              </w:rPr>
            </w:pPr>
          </w:p>
        </w:tc>
        <w:tc>
          <w:tcPr>
            <w:tcW w:w="428" w:type="dxa"/>
          </w:tcPr>
          <w:p w14:paraId="4B279151" w14:textId="77777777" w:rsidR="00522F56" w:rsidRPr="00016A65" w:rsidRDefault="00522F56" w:rsidP="00C6792D">
            <w:pPr>
              <w:pStyle w:val="Body"/>
              <w:spacing w:line="0" w:lineRule="atLeast"/>
              <w:contextualSpacing/>
              <w:rPr>
                <w:rFonts w:ascii="Arial" w:hAnsi="Arial" w:cs="Arial"/>
              </w:rPr>
            </w:pPr>
          </w:p>
        </w:tc>
        <w:tc>
          <w:tcPr>
            <w:tcW w:w="449" w:type="dxa"/>
          </w:tcPr>
          <w:p w14:paraId="47FE9E80" w14:textId="77777777" w:rsidR="00522F56" w:rsidRPr="00016A65" w:rsidRDefault="00522F56" w:rsidP="00C6792D">
            <w:pPr>
              <w:pStyle w:val="Body"/>
              <w:spacing w:line="0" w:lineRule="atLeast"/>
              <w:contextualSpacing/>
              <w:rPr>
                <w:rFonts w:ascii="Arial" w:hAnsi="Arial" w:cs="Arial"/>
              </w:rPr>
            </w:pPr>
          </w:p>
        </w:tc>
        <w:tc>
          <w:tcPr>
            <w:tcW w:w="391" w:type="dxa"/>
          </w:tcPr>
          <w:p w14:paraId="0E1378AF" w14:textId="77777777" w:rsidR="00522F56" w:rsidRPr="00016A65" w:rsidRDefault="00522F56" w:rsidP="00C6792D">
            <w:pPr>
              <w:pStyle w:val="Body"/>
              <w:spacing w:line="0" w:lineRule="atLeast"/>
              <w:contextualSpacing/>
              <w:rPr>
                <w:rFonts w:ascii="Arial" w:hAnsi="Arial" w:cs="Arial"/>
              </w:rPr>
            </w:pPr>
          </w:p>
        </w:tc>
        <w:tc>
          <w:tcPr>
            <w:tcW w:w="398" w:type="dxa"/>
          </w:tcPr>
          <w:p w14:paraId="1C097F6F" w14:textId="77777777" w:rsidR="00522F56" w:rsidRPr="00016A65" w:rsidRDefault="00522F56" w:rsidP="00C6792D">
            <w:pPr>
              <w:pStyle w:val="Body"/>
              <w:spacing w:line="0" w:lineRule="atLeast"/>
              <w:contextualSpacing/>
              <w:rPr>
                <w:rFonts w:ascii="Arial" w:hAnsi="Arial" w:cs="Arial"/>
              </w:rPr>
            </w:pPr>
          </w:p>
        </w:tc>
        <w:tc>
          <w:tcPr>
            <w:tcW w:w="430" w:type="dxa"/>
            <w:hideMark/>
          </w:tcPr>
          <w:p w14:paraId="336A7F1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179A974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20AA7DA6"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hideMark/>
          </w:tcPr>
          <w:p w14:paraId="47A310A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hideMark/>
          </w:tcPr>
          <w:p w14:paraId="55C2140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78D5D411" w14:textId="77777777" w:rsidTr="00C6792D">
        <w:trPr>
          <w:trHeight w:val="288"/>
        </w:trPr>
        <w:tc>
          <w:tcPr>
            <w:tcW w:w="3425" w:type="dxa"/>
            <w:hideMark/>
          </w:tcPr>
          <w:p w14:paraId="34AF713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Thinning</w:t>
            </w:r>
          </w:p>
        </w:tc>
        <w:tc>
          <w:tcPr>
            <w:tcW w:w="369" w:type="dxa"/>
          </w:tcPr>
          <w:p w14:paraId="499816C3" w14:textId="77777777" w:rsidR="00522F56" w:rsidRPr="00016A65" w:rsidRDefault="00522F56" w:rsidP="00C6792D">
            <w:pPr>
              <w:pStyle w:val="Body"/>
              <w:spacing w:line="0" w:lineRule="atLeast"/>
              <w:contextualSpacing/>
              <w:rPr>
                <w:rFonts w:ascii="Arial" w:hAnsi="Arial" w:cs="Arial"/>
              </w:rPr>
            </w:pPr>
          </w:p>
        </w:tc>
        <w:tc>
          <w:tcPr>
            <w:tcW w:w="405" w:type="dxa"/>
          </w:tcPr>
          <w:p w14:paraId="6AAE1C5E" w14:textId="77777777" w:rsidR="00522F56" w:rsidRPr="00016A65" w:rsidRDefault="00522F56" w:rsidP="00C6792D">
            <w:pPr>
              <w:pStyle w:val="Body"/>
              <w:spacing w:line="0" w:lineRule="atLeast"/>
              <w:contextualSpacing/>
              <w:rPr>
                <w:rFonts w:ascii="Arial" w:hAnsi="Arial" w:cs="Arial"/>
              </w:rPr>
            </w:pPr>
          </w:p>
        </w:tc>
        <w:tc>
          <w:tcPr>
            <w:tcW w:w="452" w:type="dxa"/>
          </w:tcPr>
          <w:p w14:paraId="348320B5" w14:textId="77777777" w:rsidR="00522F56" w:rsidRPr="00016A65" w:rsidRDefault="00522F56" w:rsidP="00C6792D">
            <w:pPr>
              <w:pStyle w:val="Body"/>
              <w:spacing w:line="0" w:lineRule="atLeast"/>
              <w:contextualSpacing/>
              <w:rPr>
                <w:rFonts w:ascii="Arial" w:hAnsi="Arial" w:cs="Arial"/>
              </w:rPr>
            </w:pPr>
          </w:p>
        </w:tc>
        <w:tc>
          <w:tcPr>
            <w:tcW w:w="428" w:type="dxa"/>
          </w:tcPr>
          <w:p w14:paraId="258AA270" w14:textId="77777777" w:rsidR="00522F56" w:rsidRPr="00016A65" w:rsidRDefault="00522F56" w:rsidP="00C6792D">
            <w:pPr>
              <w:pStyle w:val="Body"/>
              <w:spacing w:line="0" w:lineRule="atLeast"/>
              <w:contextualSpacing/>
              <w:rPr>
                <w:rFonts w:ascii="Arial" w:hAnsi="Arial" w:cs="Arial"/>
              </w:rPr>
            </w:pPr>
          </w:p>
        </w:tc>
        <w:tc>
          <w:tcPr>
            <w:tcW w:w="449" w:type="dxa"/>
          </w:tcPr>
          <w:p w14:paraId="52865EA1" w14:textId="77777777" w:rsidR="00522F56" w:rsidRPr="00016A65" w:rsidRDefault="00522F56" w:rsidP="00C6792D">
            <w:pPr>
              <w:pStyle w:val="Body"/>
              <w:spacing w:line="0" w:lineRule="atLeast"/>
              <w:contextualSpacing/>
              <w:rPr>
                <w:rFonts w:ascii="Arial" w:hAnsi="Arial" w:cs="Arial"/>
              </w:rPr>
            </w:pPr>
          </w:p>
        </w:tc>
        <w:tc>
          <w:tcPr>
            <w:tcW w:w="391" w:type="dxa"/>
          </w:tcPr>
          <w:p w14:paraId="07E92C52" w14:textId="77777777" w:rsidR="00522F56" w:rsidRPr="00016A65" w:rsidRDefault="00522F56" w:rsidP="00C6792D">
            <w:pPr>
              <w:pStyle w:val="Body"/>
              <w:spacing w:line="0" w:lineRule="atLeast"/>
              <w:contextualSpacing/>
              <w:rPr>
                <w:rFonts w:ascii="Arial" w:hAnsi="Arial" w:cs="Arial"/>
              </w:rPr>
            </w:pPr>
          </w:p>
        </w:tc>
        <w:tc>
          <w:tcPr>
            <w:tcW w:w="398" w:type="dxa"/>
          </w:tcPr>
          <w:p w14:paraId="1755F380" w14:textId="77777777" w:rsidR="00522F56" w:rsidRPr="00016A65" w:rsidRDefault="00522F56" w:rsidP="00C6792D">
            <w:pPr>
              <w:pStyle w:val="Body"/>
              <w:spacing w:line="0" w:lineRule="atLeast"/>
              <w:contextualSpacing/>
              <w:rPr>
                <w:rFonts w:ascii="Arial" w:hAnsi="Arial" w:cs="Arial"/>
              </w:rPr>
            </w:pPr>
          </w:p>
        </w:tc>
        <w:tc>
          <w:tcPr>
            <w:tcW w:w="430" w:type="dxa"/>
            <w:hideMark/>
          </w:tcPr>
          <w:p w14:paraId="576B2155"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43EA9DA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1AB01A5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hideMark/>
          </w:tcPr>
          <w:p w14:paraId="70EE63C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hideMark/>
          </w:tcPr>
          <w:p w14:paraId="0477892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65A32776" w14:textId="77777777" w:rsidTr="00C6792D">
        <w:trPr>
          <w:trHeight w:val="288"/>
        </w:trPr>
        <w:tc>
          <w:tcPr>
            <w:tcW w:w="3425" w:type="dxa"/>
            <w:hideMark/>
          </w:tcPr>
          <w:p w14:paraId="3E3578C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Firebreaks</w:t>
            </w:r>
          </w:p>
        </w:tc>
        <w:tc>
          <w:tcPr>
            <w:tcW w:w="369" w:type="dxa"/>
          </w:tcPr>
          <w:p w14:paraId="246733A6"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hideMark/>
          </w:tcPr>
          <w:p w14:paraId="26353A7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6311259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23DD33A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78138746" w14:textId="77777777" w:rsidR="00522F56" w:rsidRPr="00016A65" w:rsidRDefault="00522F56" w:rsidP="00C6792D">
            <w:pPr>
              <w:pStyle w:val="Body"/>
              <w:spacing w:line="0" w:lineRule="atLeast"/>
              <w:contextualSpacing/>
              <w:rPr>
                <w:rFonts w:ascii="Arial" w:hAnsi="Arial" w:cs="Arial"/>
              </w:rPr>
            </w:pPr>
          </w:p>
        </w:tc>
        <w:tc>
          <w:tcPr>
            <w:tcW w:w="391" w:type="dxa"/>
            <w:hideMark/>
          </w:tcPr>
          <w:p w14:paraId="20398111" w14:textId="77777777" w:rsidR="00522F56" w:rsidRPr="00016A65" w:rsidRDefault="00522F56" w:rsidP="00C6792D">
            <w:pPr>
              <w:pStyle w:val="Body"/>
              <w:spacing w:line="0" w:lineRule="atLeast"/>
              <w:contextualSpacing/>
              <w:rPr>
                <w:rFonts w:ascii="Arial" w:hAnsi="Arial" w:cs="Arial"/>
              </w:rPr>
            </w:pPr>
          </w:p>
        </w:tc>
        <w:tc>
          <w:tcPr>
            <w:tcW w:w="398" w:type="dxa"/>
          </w:tcPr>
          <w:p w14:paraId="59192D96" w14:textId="77777777" w:rsidR="00522F56" w:rsidRPr="00016A65" w:rsidRDefault="00522F56" w:rsidP="00C6792D">
            <w:pPr>
              <w:pStyle w:val="Body"/>
              <w:spacing w:line="0" w:lineRule="atLeast"/>
              <w:contextualSpacing/>
              <w:rPr>
                <w:rFonts w:ascii="Arial" w:hAnsi="Arial" w:cs="Arial"/>
              </w:rPr>
            </w:pPr>
          </w:p>
        </w:tc>
        <w:tc>
          <w:tcPr>
            <w:tcW w:w="430" w:type="dxa"/>
          </w:tcPr>
          <w:p w14:paraId="35F6A71D" w14:textId="77777777" w:rsidR="00522F56" w:rsidRPr="00016A65" w:rsidRDefault="00522F56" w:rsidP="00C6792D">
            <w:pPr>
              <w:pStyle w:val="Body"/>
              <w:spacing w:line="0" w:lineRule="atLeast"/>
              <w:contextualSpacing/>
              <w:rPr>
                <w:rFonts w:ascii="Arial" w:hAnsi="Arial" w:cs="Arial"/>
              </w:rPr>
            </w:pPr>
          </w:p>
        </w:tc>
        <w:tc>
          <w:tcPr>
            <w:tcW w:w="420" w:type="dxa"/>
          </w:tcPr>
          <w:p w14:paraId="5275D249" w14:textId="77777777" w:rsidR="00522F56" w:rsidRPr="00016A65" w:rsidRDefault="00522F56" w:rsidP="00C6792D">
            <w:pPr>
              <w:pStyle w:val="Body"/>
              <w:spacing w:line="0" w:lineRule="atLeast"/>
              <w:contextualSpacing/>
              <w:rPr>
                <w:rFonts w:ascii="Arial" w:hAnsi="Arial" w:cs="Arial"/>
              </w:rPr>
            </w:pPr>
          </w:p>
        </w:tc>
        <w:tc>
          <w:tcPr>
            <w:tcW w:w="398" w:type="dxa"/>
          </w:tcPr>
          <w:p w14:paraId="0D1110B1" w14:textId="77777777" w:rsidR="00522F56" w:rsidRPr="00016A65" w:rsidRDefault="00522F56" w:rsidP="00C6792D">
            <w:pPr>
              <w:pStyle w:val="Body"/>
              <w:spacing w:line="0" w:lineRule="atLeast"/>
              <w:contextualSpacing/>
              <w:rPr>
                <w:rFonts w:ascii="Arial" w:hAnsi="Arial" w:cs="Arial"/>
              </w:rPr>
            </w:pPr>
          </w:p>
        </w:tc>
        <w:tc>
          <w:tcPr>
            <w:tcW w:w="435" w:type="dxa"/>
          </w:tcPr>
          <w:p w14:paraId="62BA056E" w14:textId="77777777" w:rsidR="00522F56" w:rsidRPr="00016A65" w:rsidRDefault="00522F56" w:rsidP="00C6792D">
            <w:pPr>
              <w:pStyle w:val="Body"/>
              <w:spacing w:line="0" w:lineRule="atLeast"/>
              <w:contextualSpacing/>
              <w:rPr>
                <w:rFonts w:ascii="Arial" w:hAnsi="Arial" w:cs="Arial"/>
              </w:rPr>
            </w:pPr>
          </w:p>
        </w:tc>
        <w:tc>
          <w:tcPr>
            <w:tcW w:w="236" w:type="dxa"/>
          </w:tcPr>
          <w:p w14:paraId="156F307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50054E41" w14:textId="77777777" w:rsidTr="00C6792D">
        <w:trPr>
          <w:trHeight w:val="287"/>
        </w:trPr>
        <w:tc>
          <w:tcPr>
            <w:tcW w:w="3425" w:type="dxa"/>
            <w:hideMark/>
          </w:tcPr>
          <w:p w14:paraId="3F2DB8B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Marking and delimitation of the cutting area</w:t>
            </w:r>
          </w:p>
        </w:tc>
        <w:tc>
          <w:tcPr>
            <w:tcW w:w="369" w:type="dxa"/>
          </w:tcPr>
          <w:p w14:paraId="58148FC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tcPr>
          <w:p w14:paraId="27DBFDA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tcPr>
          <w:p w14:paraId="3D9F23B9" w14:textId="77777777" w:rsidR="00522F56" w:rsidRPr="00016A65" w:rsidRDefault="00522F56" w:rsidP="00C6792D">
            <w:pPr>
              <w:pStyle w:val="Body"/>
              <w:spacing w:line="0" w:lineRule="atLeast"/>
              <w:contextualSpacing/>
              <w:rPr>
                <w:rFonts w:ascii="Arial" w:hAnsi="Arial" w:cs="Arial"/>
              </w:rPr>
            </w:pPr>
          </w:p>
        </w:tc>
        <w:tc>
          <w:tcPr>
            <w:tcW w:w="428" w:type="dxa"/>
          </w:tcPr>
          <w:p w14:paraId="1D2A3631" w14:textId="77777777" w:rsidR="00522F56" w:rsidRPr="00016A65" w:rsidRDefault="00522F56" w:rsidP="00C6792D">
            <w:pPr>
              <w:pStyle w:val="Body"/>
              <w:spacing w:line="0" w:lineRule="atLeast"/>
              <w:contextualSpacing/>
              <w:rPr>
                <w:rFonts w:ascii="Arial" w:hAnsi="Arial" w:cs="Arial"/>
              </w:rPr>
            </w:pPr>
          </w:p>
        </w:tc>
        <w:tc>
          <w:tcPr>
            <w:tcW w:w="449" w:type="dxa"/>
          </w:tcPr>
          <w:p w14:paraId="776DC24D" w14:textId="77777777" w:rsidR="00522F56" w:rsidRPr="00016A65" w:rsidRDefault="00522F56" w:rsidP="00C6792D">
            <w:pPr>
              <w:pStyle w:val="Body"/>
              <w:spacing w:line="0" w:lineRule="atLeast"/>
              <w:contextualSpacing/>
              <w:rPr>
                <w:rFonts w:ascii="Arial" w:hAnsi="Arial" w:cs="Arial"/>
              </w:rPr>
            </w:pPr>
          </w:p>
        </w:tc>
        <w:tc>
          <w:tcPr>
            <w:tcW w:w="391" w:type="dxa"/>
          </w:tcPr>
          <w:p w14:paraId="48C3EF45" w14:textId="77777777" w:rsidR="00522F56" w:rsidRPr="00016A65" w:rsidRDefault="00522F56" w:rsidP="00C6792D">
            <w:pPr>
              <w:pStyle w:val="Body"/>
              <w:spacing w:line="0" w:lineRule="atLeast"/>
              <w:contextualSpacing/>
              <w:rPr>
                <w:rFonts w:ascii="Arial" w:hAnsi="Arial" w:cs="Arial"/>
              </w:rPr>
            </w:pPr>
          </w:p>
        </w:tc>
        <w:tc>
          <w:tcPr>
            <w:tcW w:w="398" w:type="dxa"/>
          </w:tcPr>
          <w:p w14:paraId="1FBF081B" w14:textId="77777777" w:rsidR="00522F56" w:rsidRPr="00016A65" w:rsidRDefault="00522F56" w:rsidP="00C6792D">
            <w:pPr>
              <w:pStyle w:val="Body"/>
              <w:spacing w:line="0" w:lineRule="atLeast"/>
              <w:contextualSpacing/>
              <w:rPr>
                <w:rFonts w:ascii="Arial" w:hAnsi="Arial" w:cs="Arial"/>
              </w:rPr>
            </w:pPr>
          </w:p>
        </w:tc>
        <w:tc>
          <w:tcPr>
            <w:tcW w:w="430" w:type="dxa"/>
          </w:tcPr>
          <w:p w14:paraId="7EA6A5B5" w14:textId="77777777" w:rsidR="00522F56" w:rsidRPr="00016A65" w:rsidRDefault="00522F56" w:rsidP="00C6792D">
            <w:pPr>
              <w:pStyle w:val="Body"/>
              <w:spacing w:line="0" w:lineRule="atLeast"/>
              <w:contextualSpacing/>
              <w:rPr>
                <w:rFonts w:ascii="Arial" w:hAnsi="Arial" w:cs="Arial"/>
              </w:rPr>
            </w:pPr>
          </w:p>
        </w:tc>
        <w:tc>
          <w:tcPr>
            <w:tcW w:w="420" w:type="dxa"/>
          </w:tcPr>
          <w:p w14:paraId="5A300FE8" w14:textId="77777777" w:rsidR="00522F56" w:rsidRPr="00016A65" w:rsidRDefault="00522F56" w:rsidP="00C6792D">
            <w:pPr>
              <w:pStyle w:val="Body"/>
              <w:spacing w:line="0" w:lineRule="atLeast"/>
              <w:contextualSpacing/>
              <w:rPr>
                <w:rFonts w:ascii="Arial" w:hAnsi="Arial" w:cs="Arial"/>
              </w:rPr>
            </w:pPr>
          </w:p>
        </w:tc>
        <w:tc>
          <w:tcPr>
            <w:tcW w:w="398" w:type="dxa"/>
          </w:tcPr>
          <w:p w14:paraId="00DF1A91" w14:textId="77777777" w:rsidR="00522F56" w:rsidRPr="00016A65" w:rsidRDefault="00522F56" w:rsidP="00C6792D">
            <w:pPr>
              <w:pStyle w:val="Body"/>
              <w:spacing w:line="0" w:lineRule="atLeast"/>
              <w:contextualSpacing/>
              <w:rPr>
                <w:rFonts w:ascii="Arial" w:hAnsi="Arial" w:cs="Arial"/>
              </w:rPr>
            </w:pPr>
          </w:p>
        </w:tc>
        <w:tc>
          <w:tcPr>
            <w:tcW w:w="435" w:type="dxa"/>
          </w:tcPr>
          <w:p w14:paraId="0A0AD3A4" w14:textId="77777777" w:rsidR="00522F56" w:rsidRPr="00016A65" w:rsidRDefault="00522F56" w:rsidP="00C6792D">
            <w:pPr>
              <w:pStyle w:val="Body"/>
              <w:spacing w:line="0" w:lineRule="atLeast"/>
              <w:contextualSpacing/>
              <w:rPr>
                <w:rFonts w:ascii="Arial" w:hAnsi="Arial" w:cs="Arial"/>
              </w:rPr>
            </w:pPr>
          </w:p>
        </w:tc>
        <w:tc>
          <w:tcPr>
            <w:tcW w:w="236" w:type="dxa"/>
          </w:tcPr>
          <w:p w14:paraId="5C65FF70" w14:textId="77777777" w:rsidR="00522F56" w:rsidRPr="00016A65" w:rsidRDefault="00522F56" w:rsidP="00C6792D">
            <w:pPr>
              <w:pStyle w:val="Body"/>
              <w:spacing w:line="0" w:lineRule="atLeast"/>
              <w:contextualSpacing/>
              <w:rPr>
                <w:rFonts w:ascii="Arial" w:hAnsi="Arial" w:cs="Arial"/>
              </w:rPr>
            </w:pPr>
          </w:p>
        </w:tc>
      </w:tr>
      <w:tr w:rsidR="00522F56" w:rsidRPr="00016A65" w14:paraId="230E406A" w14:textId="77777777" w:rsidTr="00C6792D">
        <w:trPr>
          <w:trHeight w:val="288"/>
        </w:trPr>
        <w:tc>
          <w:tcPr>
            <w:tcW w:w="3425" w:type="dxa"/>
            <w:hideMark/>
          </w:tcPr>
          <w:p w14:paraId="7697FEA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Felling, cutting, stacking, and clearing</w:t>
            </w:r>
          </w:p>
        </w:tc>
        <w:tc>
          <w:tcPr>
            <w:tcW w:w="369" w:type="dxa"/>
          </w:tcPr>
          <w:p w14:paraId="40126F11" w14:textId="77777777" w:rsidR="00522F56" w:rsidRPr="00016A65" w:rsidRDefault="00522F56" w:rsidP="00C6792D">
            <w:pPr>
              <w:pStyle w:val="Body"/>
              <w:spacing w:line="0" w:lineRule="atLeast"/>
              <w:contextualSpacing/>
              <w:rPr>
                <w:rFonts w:ascii="Arial" w:hAnsi="Arial" w:cs="Arial"/>
              </w:rPr>
            </w:pPr>
          </w:p>
        </w:tc>
        <w:tc>
          <w:tcPr>
            <w:tcW w:w="405" w:type="dxa"/>
            <w:hideMark/>
          </w:tcPr>
          <w:p w14:paraId="1E3BC3C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75D38D8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4FE85545"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1F1C15F4"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hideMark/>
          </w:tcPr>
          <w:p w14:paraId="1382FBF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23093A2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tcPr>
          <w:p w14:paraId="3407C015" w14:textId="77777777" w:rsidR="00522F56" w:rsidRPr="00016A65" w:rsidRDefault="00522F56" w:rsidP="00C6792D">
            <w:pPr>
              <w:pStyle w:val="Body"/>
              <w:spacing w:line="0" w:lineRule="atLeast"/>
              <w:contextualSpacing/>
              <w:rPr>
                <w:rFonts w:ascii="Arial" w:hAnsi="Arial" w:cs="Arial"/>
              </w:rPr>
            </w:pPr>
          </w:p>
        </w:tc>
        <w:tc>
          <w:tcPr>
            <w:tcW w:w="420" w:type="dxa"/>
          </w:tcPr>
          <w:p w14:paraId="2860B308" w14:textId="77777777" w:rsidR="00522F56" w:rsidRPr="00016A65" w:rsidRDefault="00522F56" w:rsidP="00C6792D">
            <w:pPr>
              <w:pStyle w:val="Body"/>
              <w:spacing w:line="0" w:lineRule="atLeast"/>
              <w:contextualSpacing/>
              <w:rPr>
                <w:rFonts w:ascii="Arial" w:hAnsi="Arial" w:cs="Arial"/>
              </w:rPr>
            </w:pPr>
          </w:p>
        </w:tc>
        <w:tc>
          <w:tcPr>
            <w:tcW w:w="398" w:type="dxa"/>
          </w:tcPr>
          <w:p w14:paraId="20C105BC" w14:textId="77777777" w:rsidR="00522F56" w:rsidRPr="00016A65" w:rsidRDefault="00522F56" w:rsidP="00C6792D">
            <w:pPr>
              <w:pStyle w:val="Body"/>
              <w:spacing w:line="0" w:lineRule="atLeast"/>
              <w:contextualSpacing/>
              <w:rPr>
                <w:rFonts w:ascii="Arial" w:hAnsi="Arial" w:cs="Arial"/>
              </w:rPr>
            </w:pPr>
          </w:p>
        </w:tc>
        <w:tc>
          <w:tcPr>
            <w:tcW w:w="435" w:type="dxa"/>
          </w:tcPr>
          <w:p w14:paraId="2805D03F" w14:textId="77777777" w:rsidR="00522F56" w:rsidRPr="00016A65" w:rsidRDefault="00522F56" w:rsidP="00C6792D">
            <w:pPr>
              <w:pStyle w:val="Body"/>
              <w:spacing w:line="0" w:lineRule="atLeast"/>
              <w:contextualSpacing/>
              <w:rPr>
                <w:rFonts w:ascii="Arial" w:hAnsi="Arial" w:cs="Arial"/>
              </w:rPr>
            </w:pPr>
          </w:p>
        </w:tc>
        <w:tc>
          <w:tcPr>
            <w:tcW w:w="236" w:type="dxa"/>
          </w:tcPr>
          <w:p w14:paraId="0212B74A" w14:textId="77777777" w:rsidR="00522F56" w:rsidRPr="00016A65" w:rsidRDefault="00522F56" w:rsidP="00C6792D">
            <w:pPr>
              <w:pStyle w:val="Body"/>
              <w:spacing w:line="0" w:lineRule="atLeast"/>
              <w:contextualSpacing/>
              <w:rPr>
                <w:rFonts w:ascii="Arial" w:hAnsi="Arial" w:cs="Arial"/>
              </w:rPr>
            </w:pPr>
          </w:p>
        </w:tc>
      </w:tr>
      <w:tr w:rsidR="00522F56" w:rsidRPr="00016A65" w14:paraId="4F2183D5" w14:textId="77777777" w:rsidTr="00C6792D">
        <w:trPr>
          <w:trHeight w:val="287"/>
        </w:trPr>
        <w:tc>
          <w:tcPr>
            <w:tcW w:w="3425" w:type="dxa"/>
            <w:hideMark/>
          </w:tcPr>
          <w:p w14:paraId="74C9F4A1" w14:textId="77777777" w:rsidR="00522F56" w:rsidRPr="00016A65" w:rsidRDefault="00522F56" w:rsidP="00C6792D">
            <w:pPr>
              <w:pStyle w:val="Body"/>
              <w:spacing w:line="0" w:lineRule="atLeast"/>
              <w:contextualSpacing/>
              <w:rPr>
                <w:rFonts w:ascii="Arial" w:hAnsi="Arial" w:cs="Arial"/>
                <w:lang w:val="es-MX"/>
              </w:rPr>
            </w:pPr>
            <w:proofErr w:type="spellStart"/>
            <w:r w:rsidRPr="00016A65">
              <w:rPr>
                <w:rFonts w:ascii="Arial" w:hAnsi="Arial" w:cs="Arial"/>
                <w:lang w:val="es-MX"/>
              </w:rPr>
              <w:t>Shipping</w:t>
            </w:r>
            <w:proofErr w:type="spellEnd"/>
            <w:r w:rsidRPr="00016A65">
              <w:rPr>
                <w:rFonts w:ascii="Arial" w:hAnsi="Arial" w:cs="Arial"/>
                <w:lang w:val="es-MX"/>
              </w:rPr>
              <w:t xml:space="preserve"> and </w:t>
            </w:r>
            <w:proofErr w:type="spellStart"/>
            <w:r w:rsidRPr="00016A65">
              <w:rPr>
                <w:rFonts w:ascii="Arial" w:hAnsi="Arial" w:cs="Arial"/>
                <w:lang w:val="es-MX"/>
              </w:rPr>
              <w:t>transportation</w:t>
            </w:r>
            <w:proofErr w:type="spellEnd"/>
            <w:r w:rsidRPr="00016A65">
              <w:rPr>
                <w:rFonts w:ascii="Arial" w:hAnsi="Arial" w:cs="Arial"/>
                <w:lang w:val="es-MX"/>
              </w:rPr>
              <w:t xml:space="preserve"> </w:t>
            </w:r>
            <w:proofErr w:type="spellStart"/>
            <w:r w:rsidRPr="00016A65">
              <w:rPr>
                <w:rFonts w:ascii="Arial" w:hAnsi="Arial" w:cs="Arial"/>
                <w:lang w:val="es-MX"/>
              </w:rPr>
              <w:t>organization</w:t>
            </w:r>
            <w:proofErr w:type="spellEnd"/>
          </w:p>
        </w:tc>
        <w:tc>
          <w:tcPr>
            <w:tcW w:w="369" w:type="dxa"/>
          </w:tcPr>
          <w:p w14:paraId="02BAB855" w14:textId="77777777" w:rsidR="00522F56" w:rsidRPr="00016A65" w:rsidRDefault="00522F56" w:rsidP="00C6792D">
            <w:pPr>
              <w:pStyle w:val="Body"/>
              <w:spacing w:line="0" w:lineRule="atLeast"/>
              <w:contextualSpacing/>
              <w:rPr>
                <w:rFonts w:ascii="Arial" w:hAnsi="Arial" w:cs="Arial"/>
                <w:lang w:val="es-MX"/>
              </w:rPr>
            </w:pPr>
          </w:p>
        </w:tc>
        <w:tc>
          <w:tcPr>
            <w:tcW w:w="405" w:type="dxa"/>
            <w:hideMark/>
          </w:tcPr>
          <w:p w14:paraId="503E415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7F5C68E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1730C09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4459C29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hideMark/>
          </w:tcPr>
          <w:p w14:paraId="428BE5B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0BF9624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793CC0E4"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2AC0EF6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46AC1C2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Pr>
          <w:p w14:paraId="53C0DBAF" w14:textId="77777777" w:rsidR="00522F56" w:rsidRPr="00016A65" w:rsidRDefault="00522F56" w:rsidP="00C6792D">
            <w:pPr>
              <w:pStyle w:val="Body"/>
              <w:spacing w:line="0" w:lineRule="atLeast"/>
              <w:contextualSpacing/>
              <w:rPr>
                <w:rFonts w:ascii="Arial" w:hAnsi="Arial" w:cs="Arial"/>
              </w:rPr>
            </w:pPr>
          </w:p>
        </w:tc>
        <w:tc>
          <w:tcPr>
            <w:tcW w:w="236" w:type="dxa"/>
          </w:tcPr>
          <w:p w14:paraId="28B8A869" w14:textId="77777777" w:rsidR="00522F56" w:rsidRPr="00016A65" w:rsidRDefault="00522F56" w:rsidP="00C6792D">
            <w:pPr>
              <w:pStyle w:val="Body"/>
              <w:spacing w:line="0" w:lineRule="atLeast"/>
              <w:contextualSpacing/>
              <w:rPr>
                <w:rFonts w:ascii="Arial" w:hAnsi="Arial" w:cs="Arial"/>
              </w:rPr>
            </w:pPr>
          </w:p>
        </w:tc>
      </w:tr>
      <w:tr w:rsidR="00522F56" w:rsidRPr="00016A65" w14:paraId="7B21DB05" w14:textId="77777777" w:rsidTr="00C6792D">
        <w:trPr>
          <w:trHeight w:val="288"/>
        </w:trPr>
        <w:tc>
          <w:tcPr>
            <w:tcW w:w="3425" w:type="dxa"/>
            <w:hideMark/>
          </w:tcPr>
          <w:p w14:paraId="53CB6B5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Sawn wood documentation</w:t>
            </w:r>
          </w:p>
        </w:tc>
        <w:tc>
          <w:tcPr>
            <w:tcW w:w="369" w:type="dxa"/>
          </w:tcPr>
          <w:p w14:paraId="3DE247E4" w14:textId="77777777" w:rsidR="00522F56" w:rsidRPr="00016A65" w:rsidRDefault="00522F56" w:rsidP="00C6792D">
            <w:pPr>
              <w:pStyle w:val="Body"/>
              <w:spacing w:line="0" w:lineRule="atLeast"/>
              <w:contextualSpacing/>
              <w:rPr>
                <w:rFonts w:ascii="Arial" w:hAnsi="Arial" w:cs="Arial"/>
              </w:rPr>
            </w:pPr>
          </w:p>
        </w:tc>
        <w:tc>
          <w:tcPr>
            <w:tcW w:w="405" w:type="dxa"/>
            <w:hideMark/>
          </w:tcPr>
          <w:p w14:paraId="2CECDAC2"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159111A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795F10F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4F1A3FF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hideMark/>
          </w:tcPr>
          <w:p w14:paraId="3D1428E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4972787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478456C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3B02F40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7B59810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Pr>
          <w:p w14:paraId="33B87989" w14:textId="77777777" w:rsidR="00522F56" w:rsidRPr="00016A65" w:rsidRDefault="00522F56" w:rsidP="00C6792D">
            <w:pPr>
              <w:pStyle w:val="Body"/>
              <w:spacing w:line="0" w:lineRule="atLeast"/>
              <w:contextualSpacing/>
              <w:rPr>
                <w:rFonts w:ascii="Arial" w:hAnsi="Arial" w:cs="Arial"/>
              </w:rPr>
            </w:pPr>
          </w:p>
        </w:tc>
        <w:tc>
          <w:tcPr>
            <w:tcW w:w="236" w:type="dxa"/>
          </w:tcPr>
          <w:p w14:paraId="471B3DE2" w14:textId="77777777" w:rsidR="00522F56" w:rsidRPr="00016A65" w:rsidRDefault="00522F56" w:rsidP="00C6792D">
            <w:pPr>
              <w:pStyle w:val="Body"/>
              <w:spacing w:line="0" w:lineRule="atLeast"/>
              <w:contextualSpacing/>
              <w:rPr>
                <w:rFonts w:ascii="Arial" w:hAnsi="Arial" w:cs="Arial"/>
              </w:rPr>
            </w:pPr>
          </w:p>
        </w:tc>
      </w:tr>
      <w:tr w:rsidR="00522F56" w:rsidRPr="00016A65" w14:paraId="75016C2A" w14:textId="77777777" w:rsidTr="00C6792D">
        <w:trPr>
          <w:trHeight w:val="303"/>
        </w:trPr>
        <w:tc>
          <w:tcPr>
            <w:tcW w:w="3425" w:type="dxa"/>
            <w:tcBorders>
              <w:top w:val="nil"/>
              <w:left w:val="nil"/>
              <w:bottom w:val="single" w:sz="4" w:space="0" w:color="000000"/>
              <w:right w:val="nil"/>
            </w:tcBorders>
            <w:hideMark/>
          </w:tcPr>
          <w:p w14:paraId="5CDC3970" w14:textId="77777777" w:rsidR="00522F56" w:rsidRPr="00016A65" w:rsidRDefault="00522F56" w:rsidP="00C6792D">
            <w:pPr>
              <w:pStyle w:val="Body"/>
              <w:spacing w:line="0" w:lineRule="atLeast"/>
              <w:contextualSpacing/>
              <w:rPr>
                <w:rFonts w:ascii="Arial" w:hAnsi="Arial" w:cs="Arial"/>
                <w:lang w:val="es-MX"/>
              </w:rPr>
            </w:pPr>
            <w:proofErr w:type="spellStart"/>
            <w:r w:rsidRPr="00016A65">
              <w:rPr>
                <w:rFonts w:ascii="Arial" w:hAnsi="Arial" w:cs="Arial"/>
                <w:lang w:val="es-MX"/>
              </w:rPr>
              <w:t>Administration</w:t>
            </w:r>
            <w:proofErr w:type="spellEnd"/>
            <w:r w:rsidRPr="00016A65">
              <w:rPr>
                <w:rFonts w:ascii="Arial" w:hAnsi="Arial" w:cs="Arial"/>
                <w:lang w:val="es-MX"/>
              </w:rPr>
              <w:t xml:space="preserve"> and </w:t>
            </w:r>
            <w:proofErr w:type="spellStart"/>
            <w:r w:rsidRPr="00016A65">
              <w:rPr>
                <w:rFonts w:ascii="Arial" w:hAnsi="Arial" w:cs="Arial"/>
                <w:lang w:val="es-MX"/>
              </w:rPr>
              <w:t>reporting</w:t>
            </w:r>
            <w:proofErr w:type="spellEnd"/>
          </w:p>
        </w:tc>
        <w:tc>
          <w:tcPr>
            <w:tcW w:w="369" w:type="dxa"/>
            <w:tcBorders>
              <w:top w:val="nil"/>
              <w:left w:val="nil"/>
              <w:bottom w:val="single" w:sz="4" w:space="0" w:color="000000"/>
              <w:right w:val="nil"/>
            </w:tcBorders>
          </w:tcPr>
          <w:p w14:paraId="079469D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tcBorders>
              <w:top w:val="nil"/>
              <w:left w:val="nil"/>
              <w:bottom w:val="single" w:sz="4" w:space="0" w:color="000000"/>
              <w:right w:val="nil"/>
            </w:tcBorders>
            <w:hideMark/>
          </w:tcPr>
          <w:p w14:paraId="63AC082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tcBorders>
              <w:top w:val="nil"/>
              <w:left w:val="nil"/>
              <w:bottom w:val="single" w:sz="4" w:space="0" w:color="000000"/>
              <w:right w:val="nil"/>
            </w:tcBorders>
            <w:hideMark/>
          </w:tcPr>
          <w:p w14:paraId="59C1DE3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tcBorders>
              <w:top w:val="nil"/>
              <w:left w:val="nil"/>
              <w:bottom w:val="single" w:sz="4" w:space="0" w:color="000000"/>
              <w:right w:val="nil"/>
            </w:tcBorders>
            <w:hideMark/>
          </w:tcPr>
          <w:p w14:paraId="7D75DAB5"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tcBorders>
              <w:top w:val="nil"/>
              <w:left w:val="nil"/>
              <w:bottom w:val="single" w:sz="4" w:space="0" w:color="000000"/>
              <w:right w:val="nil"/>
            </w:tcBorders>
            <w:hideMark/>
          </w:tcPr>
          <w:p w14:paraId="2D545AF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tcBorders>
              <w:top w:val="nil"/>
              <w:left w:val="nil"/>
              <w:bottom w:val="single" w:sz="4" w:space="0" w:color="000000"/>
              <w:right w:val="nil"/>
            </w:tcBorders>
            <w:hideMark/>
          </w:tcPr>
          <w:p w14:paraId="1831E63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nil"/>
              <w:left w:val="nil"/>
              <w:bottom w:val="single" w:sz="4" w:space="0" w:color="000000"/>
              <w:right w:val="nil"/>
            </w:tcBorders>
            <w:hideMark/>
          </w:tcPr>
          <w:p w14:paraId="4D5A49F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tcBorders>
              <w:top w:val="nil"/>
              <w:left w:val="nil"/>
              <w:bottom w:val="single" w:sz="4" w:space="0" w:color="000000"/>
              <w:right w:val="nil"/>
            </w:tcBorders>
            <w:hideMark/>
          </w:tcPr>
          <w:p w14:paraId="1BD53F9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tcBorders>
              <w:top w:val="nil"/>
              <w:left w:val="nil"/>
              <w:bottom w:val="single" w:sz="4" w:space="0" w:color="000000"/>
              <w:right w:val="nil"/>
            </w:tcBorders>
            <w:hideMark/>
          </w:tcPr>
          <w:p w14:paraId="5EF60F3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nil"/>
              <w:left w:val="nil"/>
              <w:bottom w:val="single" w:sz="4" w:space="0" w:color="000000"/>
              <w:right w:val="nil"/>
            </w:tcBorders>
            <w:hideMark/>
          </w:tcPr>
          <w:p w14:paraId="20B1F4F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Borders>
              <w:top w:val="nil"/>
              <w:left w:val="nil"/>
              <w:bottom w:val="single" w:sz="4" w:space="0" w:color="000000"/>
              <w:right w:val="nil"/>
            </w:tcBorders>
            <w:hideMark/>
          </w:tcPr>
          <w:p w14:paraId="660F6E9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tcBorders>
              <w:top w:val="nil"/>
              <w:left w:val="nil"/>
              <w:bottom w:val="single" w:sz="4" w:space="0" w:color="000000"/>
              <w:right w:val="nil"/>
            </w:tcBorders>
            <w:hideMark/>
          </w:tcPr>
          <w:p w14:paraId="7913506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bl>
    <w:p w14:paraId="7FC1BA1B" w14:textId="5608F6DF" w:rsidR="00C6792D" w:rsidRPr="00016A65" w:rsidRDefault="00C6792D" w:rsidP="00C6792D">
      <w:pPr>
        <w:pStyle w:val="Sinespaciado1"/>
        <w:shd w:val="clear" w:color="auto" w:fill="FFFFFF" w:themeFill="background1"/>
        <w:spacing w:line="480" w:lineRule="auto"/>
        <w:jc w:val="both"/>
        <w:rPr>
          <w:rFonts w:ascii="Arial" w:hAnsi="Arial" w:cs="Arial"/>
          <w:sz w:val="24"/>
          <w:lang w:val="en-US"/>
        </w:rPr>
      </w:pPr>
      <w:r w:rsidRPr="00016A65">
        <w:rPr>
          <w:rFonts w:ascii="Arial" w:hAnsi="Arial" w:cs="Arial"/>
          <w:sz w:val="24"/>
          <w:szCs w:val="24"/>
          <w:lang w:val="en-US"/>
        </w:rPr>
        <w:t>So</w:t>
      </w:r>
      <w:r w:rsidR="00377FA3">
        <w:rPr>
          <w:rFonts w:ascii="Arial" w:hAnsi="Arial" w:cs="Arial"/>
          <w:sz w:val="24"/>
          <w:szCs w:val="24"/>
          <w:lang w:val="en-US"/>
        </w:rPr>
        <w:t>u</w:t>
      </w:r>
      <w:r w:rsidRPr="00016A65">
        <w:rPr>
          <w:rFonts w:ascii="Arial" w:hAnsi="Arial" w:cs="Arial"/>
          <w:sz w:val="24"/>
          <w:szCs w:val="24"/>
          <w:lang w:val="en-US"/>
        </w:rPr>
        <w:t xml:space="preserve">rce: Own elaboration based on fieldwork conducted, 2024. </w:t>
      </w:r>
    </w:p>
    <w:p w14:paraId="597CAA8F" w14:textId="77777777" w:rsidR="00C6792D" w:rsidRPr="00016A65" w:rsidRDefault="00C6792D" w:rsidP="00C6792D">
      <w:pPr>
        <w:pStyle w:val="Body"/>
        <w:rPr>
          <w:rFonts w:ascii="Arial" w:hAnsi="Arial" w:cs="Arial"/>
        </w:rPr>
      </w:pPr>
      <w:r w:rsidRPr="00016A65">
        <w:rPr>
          <w:rFonts w:ascii="Arial" w:hAnsi="Arial" w:cs="Arial"/>
        </w:rPr>
        <w:t>Labor temporality depends on the activity, generally planned in the Forest Management Plan (FMP) by the PST, or specifically scheduled in assemblies for assignment to brigades (see Figure 2). These assemblies concentrate participation to decide on management, rules of use, distribution of tasks and profits, conflicts, and government programs.</w:t>
      </w:r>
    </w:p>
    <w:p w14:paraId="1EA80D76" w14:textId="77777777" w:rsidR="00C6792D" w:rsidRPr="00016A65" w:rsidRDefault="00C6792D" w:rsidP="00C6792D">
      <w:pPr>
        <w:pStyle w:val="Body"/>
        <w:rPr>
          <w:rFonts w:ascii="Arial" w:hAnsi="Arial" w:cs="Arial"/>
        </w:rPr>
      </w:pPr>
      <w:r w:rsidRPr="00016A65">
        <w:rPr>
          <w:rFonts w:ascii="Arial" w:hAnsi="Arial" w:cs="Arial"/>
        </w:rPr>
        <w:t>Table 6 details this dynamic: 91% of communal landowners participate in forest management (mandatory by regulation), highlighting activities such as thinning (78%) and the communal land committee (73%). This creates a labor market for day-wages: 45% work their own area to avoid costs, while 55% sub-contract with third parties to obtain additional income.</w:t>
      </w:r>
    </w:p>
    <w:p w14:paraId="301935B8" w14:textId="77777777" w:rsidR="00C6792D" w:rsidRPr="00016A65" w:rsidRDefault="00C6792D" w:rsidP="00C6792D">
      <w:pPr>
        <w:pStyle w:val="Body"/>
        <w:rPr>
          <w:rFonts w:ascii="Arial" w:hAnsi="Arial" w:cs="Arial"/>
        </w:rPr>
      </w:pPr>
      <w:r w:rsidRPr="00016A65">
        <w:rPr>
          <w:rFonts w:ascii="Arial" w:hAnsi="Arial" w:cs="Arial"/>
        </w:rPr>
        <w:lastRenderedPageBreak/>
        <w:t xml:space="preserve">Field research confirms that communal landowners know the location of their resources thanks to their experience and historical link with the forest. </w:t>
      </w:r>
      <w:proofErr w:type="spellStart"/>
      <w:r w:rsidRPr="00016A65">
        <w:rPr>
          <w:rFonts w:ascii="Arial" w:hAnsi="Arial" w:cs="Arial"/>
        </w:rPr>
        <w:t>Grimson</w:t>
      </w:r>
      <w:proofErr w:type="spellEnd"/>
      <w:r w:rsidRPr="00016A65">
        <w:rPr>
          <w:rFonts w:ascii="Arial" w:hAnsi="Arial" w:cs="Arial"/>
        </w:rPr>
        <w:t xml:space="preserve"> (2020) defines this relationship as a sense of cultural belonging. In the communal lands studied, identity is based on this connection and on obtaining vital supplies such as firewood and food. Thus, the land-forest relationship defines the communal landowner, involving traditional knowledge, cultural codes, and beliefs that, when shared collectively, constitute the identity of the territory.</w:t>
      </w:r>
    </w:p>
    <w:p w14:paraId="522EA31E" w14:textId="77777777" w:rsidR="00C6792D" w:rsidRPr="00016A65" w:rsidRDefault="00C6792D" w:rsidP="00C6792D">
      <w:pPr>
        <w:pStyle w:val="Body"/>
        <w:rPr>
          <w:rFonts w:ascii="Arial" w:hAnsi="Arial" w:cs="Arial"/>
        </w:rPr>
      </w:pPr>
      <w:r w:rsidRPr="00016A65">
        <w:rPr>
          <w:rFonts w:ascii="Arial" w:hAnsi="Arial" w:cs="Arial"/>
        </w:rPr>
        <w:t xml:space="preserve">Forestry families consolidate their identity by sharing knowledge and cultural experiences; however, youth migration weakens this sense of belonging. Revaluing this identity becomes transcendental in the face of </w:t>
      </w:r>
      <w:proofErr w:type="spellStart"/>
      <w:r w:rsidRPr="00016A65">
        <w:rPr>
          <w:rFonts w:ascii="Arial" w:hAnsi="Arial" w:cs="Arial"/>
        </w:rPr>
        <w:t>pluriactivity</w:t>
      </w:r>
      <w:proofErr w:type="spellEnd"/>
      <w:r w:rsidRPr="00016A65">
        <w:rPr>
          <w:rFonts w:ascii="Arial" w:hAnsi="Arial" w:cs="Arial"/>
        </w:rPr>
        <w:t xml:space="preserve"> and the sector's difficulties. In other contexts, these conditions have generated negative representations, either due to a lack of rewards or the introjection of stigmas imposed by dominant groups (</w:t>
      </w:r>
      <w:proofErr w:type="spellStart"/>
      <w:r w:rsidRPr="00016A65">
        <w:rPr>
          <w:rFonts w:ascii="Arial" w:hAnsi="Arial" w:cs="Arial"/>
        </w:rPr>
        <w:t>Giménez</w:t>
      </w:r>
      <w:proofErr w:type="spellEnd"/>
      <w:r w:rsidRPr="00016A65">
        <w:rPr>
          <w:rFonts w:ascii="Arial" w:hAnsi="Arial" w:cs="Arial"/>
        </w:rPr>
        <w:t>, 2019).</w:t>
      </w:r>
    </w:p>
    <w:p w14:paraId="6234967B" w14:textId="77777777" w:rsidR="00C6792D" w:rsidRPr="00016A65" w:rsidRDefault="00C6792D" w:rsidP="00C6792D">
      <w:pPr>
        <w:pStyle w:val="Body"/>
        <w:rPr>
          <w:rFonts w:ascii="Arial" w:hAnsi="Arial" w:cs="Arial"/>
        </w:rPr>
      </w:pPr>
    </w:p>
    <w:p w14:paraId="7FF2E651" w14:textId="130B4DCD" w:rsidR="00C6792D" w:rsidRPr="00016A65" w:rsidRDefault="00C6792D" w:rsidP="00522F56">
      <w:pPr>
        <w:pStyle w:val="Body"/>
        <w:rPr>
          <w:rFonts w:ascii="Arial" w:hAnsi="Arial" w:cs="Arial"/>
          <w:b/>
          <w:bCs/>
        </w:rPr>
      </w:pPr>
      <w:r w:rsidRPr="00016A65">
        <w:rPr>
          <w:rFonts w:ascii="Arial" w:hAnsi="Arial" w:cs="Arial"/>
          <w:b/>
          <w:bCs/>
        </w:rPr>
        <w:t xml:space="preserve">Table 6. Agreements, training, participation, and decision-making in the communal lands of the </w:t>
      </w:r>
      <w:proofErr w:type="spellStart"/>
      <w:r w:rsidRPr="00016A65">
        <w:rPr>
          <w:rFonts w:ascii="Arial" w:hAnsi="Arial" w:cs="Arial"/>
          <w:b/>
          <w:bCs/>
        </w:rPr>
        <w:t>Chignahuapan-Zacatlan</w:t>
      </w:r>
      <w:proofErr w:type="spellEnd"/>
      <w:r w:rsidRPr="00016A65">
        <w:rPr>
          <w:rFonts w:ascii="Arial" w:hAnsi="Arial" w:cs="Arial"/>
          <w:b/>
          <w:bCs/>
        </w:rPr>
        <w:t xml:space="preserve"> region.</w:t>
      </w:r>
    </w:p>
    <w:tbl>
      <w:tblPr>
        <w:tblStyle w:val="TableNormal1"/>
        <w:tblW w:w="8246" w:type="dxa"/>
        <w:tblBorders>
          <w:top w:val="single" w:sz="4" w:space="0" w:color="auto"/>
          <w:bottom w:val="single" w:sz="4" w:space="0" w:color="auto"/>
        </w:tblBorders>
        <w:tblLayout w:type="fixed"/>
        <w:tblLook w:val="01E0" w:firstRow="1" w:lastRow="1" w:firstColumn="1" w:lastColumn="1" w:noHBand="0" w:noVBand="0"/>
      </w:tblPr>
      <w:tblGrid>
        <w:gridCol w:w="5749"/>
        <w:gridCol w:w="1248"/>
        <w:gridCol w:w="1249"/>
      </w:tblGrid>
      <w:tr w:rsidR="00C6792D" w:rsidRPr="00016A65" w14:paraId="2EFEBC6A" w14:textId="77777777" w:rsidTr="00C6792D">
        <w:trPr>
          <w:trHeight w:val="506"/>
        </w:trPr>
        <w:tc>
          <w:tcPr>
            <w:tcW w:w="5749" w:type="dxa"/>
            <w:tcBorders>
              <w:top w:val="single" w:sz="4" w:space="0" w:color="auto"/>
              <w:bottom w:val="single" w:sz="4" w:space="0" w:color="auto"/>
            </w:tcBorders>
            <w:vAlign w:val="center"/>
          </w:tcPr>
          <w:p w14:paraId="6516E2A0" w14:textId="77777777" w:rsidR="00C6792D" w:rsidRPr="00016A65" w:rsidRDefault="00C6792D" w:rsidP="00714961">
            <w:pPr>
              <w:pStyle w:val="Sinespaciado1"/>
              <w:shd w:val="clear" w:color="auto" w:fill="FFFFFF" w:themeFill="background1"/>
              <w:jc w:val="both"/>
              <w:rPr>
                <w:rFonts w:ascii="Arial" w:hAnsi="Arial" w:cs="Arial"/>
                <w:b/>
                <w:bCs/>
                <w:sz w:val="20"/>
                <w:szCs w:val="20"/>
              </w:rPr>
            </w:pPr>
            <w:proofErr w:type="spellStart"/>
            <w:r w:rsidRPr="00016A65">
              <w:rPr>
                <w:rFonts w:ascii="Arial" w:hAnsi="Arial" w:cs="Arial"/>
                <w:b/>
                <w:bCs/>
                <w:sz w:val="20"/>
                <w:szCs w:val="20"/>
              </w:rPr>
              <w:t>Surveyed</w:t>
            </w:r>
            <w:proofErr w:type="spellEnd"/>
            <w:r w:rsidRPr="00016A65">
              <w:rPr>
                <w:rFonts w:ascii="Arial" w:hAnsi="Arial" w:cs="Arial"/>
                <w:b/>
                <w:bCs/>
                <w:sz w:val="20"/>
                <w:szCs w:val="20"/>
              </w:rPr>
              <w:t xml:space="preserve"> </w:t>
            </w:r>
            <w:proofErr w:type="spellStart"/>
            <w:r w:rsidRPr="00016A65">
              <w:rPr>
                <w:rFonts w:ascii="Arial" w:hAnsi="Arial" w:cs="Arial"/>
                <w:b/>
                <w:bCs/>
                <w:sz w:val="20"/>
                <w:szCs w:val="20"/>
              </w:rPr>
              <w:t>Communal</w:t>
            </w:r>
            <w:proofErr w:type="spellEnd"/>
            <w:r w:rsidRPr="00016A65">
              <w:rPr>
                <w:rFonts w:ascii="Arial" w:hAnsi="Arial" w:cs="Arial"/>
                <w:b/>
                <w:bCs/>
                <w:sz w:val="20"/>
                <w:szCs w:val="20"/>
              </w:rPr>
              <w:t xml:space="preserve"> </w:t>
            </w:r>
            <w:proofErr w:type="spellStart"/>
            <w:r w:rsidRPr="00016A65">
              <w:rPr>
                <w:rFonts w:ascii="Arial" w:hAnsi="Arial" w:cs="Arial"/>
                <w:b/>
                <w:bCs/>
                <w:sz w:val="20"/>
                <w:szCs w:val="20"/>
              </w:rPr>
              <w:t>Land</w:t>
            </w:r>
            <w:proofErr w:type="spellEnd"/>
            <w:r w:rsidRPr="00016A65">
              <w:rPr>
                <w:rFonts w:ascii="Arial" w:hAnsi="Arial" w:cs="Arial"/>
                <w:b/>
                <w:bCs/>
                <w:sz w:val="20"/>
                <w:szCs w:val="20"/>
              </w:rPr>
              <w:t xml:space="preserve"> </w:t>
            </w:r>
            <w:proofErr w:type="spellStart"/>
            <w:r w:rsidRPr="00016A65">
              <w:rPr>
                <w:rFonts w:ascii="Arial" w:hAnsi="Arial" w:cs="Arial"/>
                <w:b/>
                <w:bCs/>
                <w:sz w:val="20"/>
                <w:szCs w:val="20"/>
              </w:rPr>
              <w:t>Members</w:t>
            </w:r>
            <w:proofErr w:type="spellEnd"/>
          </w:p>
        </w:tc>
        <w:tc>
          <w:tcPr>
            <w:tcW w:w="1248" w:type="dxa"/>
            <w:tcBorders>
              <w:top w:val="single" w:sz="4" w:space="0" w:color="auto"/>
              <w:bottom w:val="single" w:sz="4" w:space="0" w:color="auto"/>
            </w:tcBorders>
            <w:vAlign w:val="center"/>
          </w:tcPr>
          <w:p w14:paraId="3A0102CB" w14:textId="77777777" w:rsidR="00C6792D" w:rsidRPr="00016A65" w:rsidRDefault="00C6792D" w:rsidP="00714961">
            <w:pPr>
              <w:pStyle w:val="Sinespaciado1"/>
              <w:shd w:val="clear" w:color="auto" w:fill="FFFFFF" w:themeFill="background1"/>
              <w:jc w:val="center"/>
              <w:rPr>
                <w:rFonts w:ascii="Arial" w:hAnsi="Arial" w:cs="Arial"/>
                <w:b/>
                <w:bCs/>
                <w:sz w:val="20"/>
                <w:szCs w:val="20"/>
              </w:rPr>
            </w:pPr>
            <w:proofErr w:type="spellStart"/>
            <w:r w:rsidRPr="00016A65">
              <w:rPr>
                <w:rFonts w:ascii="Arial" w:hAnsi="Arial" w:cs="Arial"/>
                <w:b/>
                <w:bCs/>
                <w:sz w:val="20"/>
                <w:szCs w:val="20"/>
              </w:rPr>
              <w:t>Frequency</w:t>
            </w:r>
            <w:proofErr w:type="spellEnd"/>
            <w:r w:rsidRPr="00016A65">
              <w:rPr>
                <w:rFonts w:ascii="Arial" w:hAnsi="Arial" w:cs="Arial"/>
                <w:b/>
                <w:bCs/>
                <w:sz w:val="20"/>
                <w:szCs w:val="20"/>
              </w:rPr>
              <w:t xml:space="preserve"> </w:t>
            </w:r>
          </w:p>
        </w:tc>
        <w:tc>
          <w:tcPr>
            <w:tcW w:w="1249" w:type="dxa"/>
            <w:tcBorders>
              <w:top w:val="single" w:sz="4" w:space="0" w:color="auto"/>
              <w:bottom w:val="single" w:sz="4" w:space="0" w:color="auto"/>
            </w:tcBorders>
            <w:vAlign w:val="center"/>
          </w:tcPr>
          <w:p w14:paraId="53D50A73" w14:textId="77777777" w:rsidR="00C6792D" w:rsidRPr="00016A65" w:rsidRDefault="00C6792D" w:rsidP="00714961">
            <w:pPr>
              <w:pStyle w:val="Sinespaciado1"/>
              <w:shd w:val="clear" w:color="auto" w:fill="FFFFFF" w:themeFill="background1"/>
              <w:jc w:val="center"/>
              <w:rPr>
                <w:rFonts w:ascii="Arial" w:hAnsi="Arial" w:cs="Arial"/>
                <w:b/>
                <w:bCs/>
                <w:sz w:val="20"/>
                <w:szCs w:val="20"/>
              </w:rPr>
            </w:pPr>
            <w:proofErr w:type="spellStart"/>
            <w:r w:rsidRPr="00016A65">
              <w:rPr>
                <w:rFonts w:ascii="Arial" w:hAnsi="Arial" w:cs="Arial"/>
                <w:b/>
                <w:bCs/>
                <w:sz w:val="20"/>
                <w:szCs w:val="20"/>
              </w:rPr>
              <w:t>Percentage</w:t>
            </w:r>
            <w:proofErr w:type="spellEnd"/>
            <w:r w:rsidRPr="00016A65">
              <w:rPr>
                <w:rFonts w:ascii="Arial" w:hAnsi="Arial" w:cs="Arial"/>
                <w:b/>
                <w:bCs/>
                <w:sz w:val="20"/>
                <w:szCs w:val="20"/>
              </w:rPr>
              <w:t xml:space="preserve"> </w:t>
            </w:r>
          </w:p>
        </w:tc>
      </w:tr>
      <w:tr w:rsidR="00C6792D" w:rsidRPr="00016A65" w14:paraId="35218041" w14:textId="77777777" w:rsidTr="00C6792D">
        <w:trPr>
          <w:trHeight w:val="738"/>
        </w:trPr>
        <w:tc>
          <w:tcPr>
            <w:tcW w:w="5749" w:type="dxa"/>
            <w:tcBorders>
              <w:top w:val="single" w:sz="4" w:space="0" w:color="auto"/>
            </w:tcBorders>
          </w:tcPr>
          <w:p w14:paraId="7D8EF1CA" w14:textId="77777777" w:rsidR="00C6792D" w:rsidRPr="00016A65" w:rsidRDefault="00C6792D" w:rsidP="00714961">
            <w:pPr>
              <w:pStyle w:val="Sinespaciado1"/>
              <w:shd w:val="clear" w:color="auto" w:fill="FFFFFF" w:themeFill="background1"/>
              <w:jc w:val="both"/>
              <w:rPr>
                <w:rFonts w:ascii="Arial" w:hAnsi="Arial" w:cs="Arial"/>
                <w:color w:val="EE0000"/>
                <w:sz w:val="20"/>
                <w:szCs w:val="20"/>
              </w:rPr>
            </w:pPr>
            <w:proofErr w:type="spellStart"/>
            <w:r w:rsidRPr="00016A65">
              <w:rPr>
                <w:rFonts w:ascii="Arial" w:hAnsi="Arial" w:cs="Arial"/>
                <w:sz w:val="20"/>
                <w:szCs w:val="20"/>
              </w:rPr>
              <w:t>They</w:t>
            </w:r>
            <w:proofErr w:type="spellEnd"/>
            <w:r w:rsidRPr="00016A65">
              <w:rPr>
                <w:rFonts w:ascii="Arial" w:hAnsi="Arial" w:cs="Arial"/>
                <w:sz w:val="20"/>
                <w:szCs w:val="20"/>
              </w:rPr>
              <w:t xml:space="preserve"> </w:t>
            </w:r>
            <w:proofErr w:type="spellStart"/>
            <w:r w:rsidRPr="00016A65">
              <w:rPr>
                <w:rFonts w:ascii="Arial" w:hAnsi="Arial" w:cs="Arial"/>
                <w:sz w:val="20"/>
                <w:szCs w:val="20"/>
              </w:rPr>
              <w:t>have</w:t>
            </w:r>
            <w:proofErr w:type="spellEnd"/>
            <w:r w:rsidRPr="00016A65">
              <w:rPr>
                <w:rFonts w:ascii="Arial" w:hAnsi="Arial" w:cs="Arial"/>
                <w:sz w:val="20"/>
                <w:szCs w:val="20"/>
              </w:rPr>
              <w:t xml:space="preserve"> </w:t>
            </w:r>
            <w:proofErr w:type="spellStart"/>
            <w:r w:rsidRPr="00016A65">
              <w:rPr>
                <w:rFonts w:ascii="Arial" w:hAnsi="Arial" w:cs="Arial"/>
                <w:sz w:val="20"/>
                <w:szCs w:val="20"/>
              </w:rPr>
              <w:t>joined</w:t>
            </w:r>
            <w:proofErr w:type="spellEnd"/>
            <w:r w:rsidRPr="00016A65">
              <w:rPr>
                <w:rFonts w:ascii="Arial" w:hAnsi="Arial" w:cs="Arial"/>
                <w:sz w:val="20"/>
                <w:szCs w:val="20"/>
              </w:rPr>
              <w:t xml:space="preserve"> </w:t>
            </w:r>
            <w:proofErr w:type="spellStart"/>
            <w:r w:rsidRPr="00016A65">
              <w:rPr>
                <w:rFonts w:ascii="Arial" w:hAnsi="Arial" w:cs="Arial"/>
                <w:sz w:val="20"/>
                <w:szCs w:val="20"/>
              </w:rPr>
              <w:t>crews</w:t>
            </w:r>
            <w:proofErr w:type="spellEnd"/>
            <w:r w:rsidRPr="00016A65">
              <w:rPr>
                <w:rFonts w:ascii="Arial" w:hAnsi="Arial" w:cs="Arial"/>
                <w:sz w:val="20"/>
                <w:szCs w:val="20"/>
              </w:rPr>
              <w:t xml:space="preserve"> </w:t>
            </w:r>
            <w:proofErr w:type="spellStart"/>
            <w:r w:rsidRPr="00016A65">
              <w:rPr>
                <w:rFonts w:ascii="Arial" w:hAnsi="Arial" w:cs="Arial"/>
                <w:sz w:val="20"/>
                <w:szCs w:val="20"/>
              </w:rPr>
              <w:t>working</w:t>
            </w:r>
            <w:proofErr w:type="spellEnd"/>
            <w:r w:rsidRPr="00016A65">
              <w:rPr>
                <w:rFonts w:ascii="Arial" w:hAnsi="Arial" w:cs="Arial"/>
                <w:sz w:val="20"/>
                <w:szCs w:val="20"/>
              </w:rPr>
              <w:t xml:space="preserve"> </w:t>
            </w:r>
            <w:proofErr w:type="spellStart"/>
            <w:r w:rsidRPr="00016A65">
              <w:rPr>
                <w:rFonts w:ascii="Arial" w:hAnsi="Arial" w:cs="Arial"/>
                <w:sz w:val="20"/>
                <w:szCs w:val="20"/>
              </w:rPr>
              <w:t>on</w:t>
            </w:r>
            <w:proofErr w:type="spellEnd"/>
            <w:r w:rsidRPr="00016A65">
              <w:rPr>
                <w:rFonts w:ascii="Arial" w:hAnsi="Arial" w:cs="Arial"/>
                <w:sz w:val="20"/>
                <w:szCs w:val="20"/>
              </w:rPr>
              <w:t xml:space="preserve"> </w:t>
            </w:r>
            <w:proofErr w:type="spellStart"/>
            <w:r w:rsidRPr="00016A65">
              <w:rPr>
                <w:rFonts w:ascii="Arial" w:hAnsi="Arial" w:cs="Arial"/>
                <w:sz w:val="20"/>
                <w:szCs w:val="20"/>
              </w:rPr>
              <w:t>cleaning</w:t>
            </w:r>
            <w:proofErr w:type="spellEnd"/>
            <w:r w:rsidRPr="00016A65">
              <w:rPr>
                <w:rFonts w:ascii="Arial" w:hAnsi="Arial" w:cs="Arial"/>
                <w:sz w:val="20"/>
                <w:szCs w:val="20"/>
              </w:rPr>
              <w:t xml:space="preserve">, </w:t>
            </w:r>
            <w:proofErr w:type="spellStart"/>
            <w:r w:rsidRPr="00016A65">
              <w:rPr>
                <w:rFonts w:ascii="Arial" w:hAnsi="Arial" w:cs="Arial"/>
                <w:sz w:val="20"/>
                <w:szCs w:val="20"/>
              </w:rPr>
              <w:t>reforestation</w:t>
            </w:r>
            <w:proofErr w:type="spellEnd"/>
            <w:r w:rsidRPr="00016A65">
              <w:rPr>
                <w:rFonts w:ascii="Arial" w:hAnsi="Arial" w:cs="Arial"/>
                <w:sz w:val="20"/>
                <w:szCs w:val="20"/>
              </w:rPr>
              <w:t xml:space="preserve">, </w:t>
            </w:r>
            <w:proofErr w:type="spellStart"/>
            <w:r w:rsidRPr="00016A65">
              <w:rPr>
                <w:rFonts w:ascii="Arial" w:hAnsi="Arial" w:cs="Arial"/>
                <w:sz w:val="20"/>
                <w:szCs w:val="20"/>
              </w:rPr>
              <w:t>pruning</w:t>
            </w:r>
            <w:proofErr w:type="spellEnd"/>
            <w:r w:rsidRPr="00016A65">
              <w:rPr>
                <w:rFonts w:ascii="Arial" w:hAnsi="Arial" w:cs="Arial"/>
                <w:sz w:val="20"/>
                <w:szCs w:val="20"/>
              </w:rPr>
              <w:t xml:space="preserve">, </w:t>
            </w:r>
            <w:proofErr w:type="spellStart"/>
            <w:r w:rsidRPr="00016A65">
              <w:rPr>
                <w:rFonts w:ascii="Arial" w:hAnsi="Arial" w:cs="Arial"/>
                <w:sz w:val="20"/>
                <w:szCs w:val="20"/>
              </w:rPr>
              <w:t>thinning</w:t>
            </w:r>
            <w:proofErr w:type="spellEnd"/>
            <w:r w:rsidRPr="00016A65">
              <w:rPr>
                <w:rFonts w:ascii="Arial" w:hAnsi="Arial" w:cs="Arial"/>
                <w:sz w:val="20"/>
                <w:szCs w:val="20"/>
              </w:rPr>
              <w:t xml:space="preserve">, </w:t>
            </w:r>
            <w:proofErr w:type="spellStart"/>
            <w:r w:rsidRPr="00016A65">
              <w:rPr>
                <w:rFonts w:ascii="Arial" w:hAnsi="Arial" w:cs="Arial"/>
                <w:sz w:val="20"/>
                <w:szCs w:val="20"/>
              </w:rPr>
              <w:t>construction</w:t>
            </w:r>
            <w:proofErr w:type="spellEnd"/>
            <w:r w:rsidRPr="00016A65">
              <w:rPr>
                <w:rFonts w:ascii="Arial" w:hAnsi="Arial" w:cs="Arial"/>
                <w:sz w:val="20"/>
                <w:szCs w:val="20"/>
              </w:rPr>
              <w:t xml:space="preserve"> </w:t>
            </w:r>
            <w:proofErr w:type="spellStart"/>
            <w:r w:rsidRPr="00016A65">
              <w:rPr>
                <w:rFonts w:ascii="Arial" w:hAnsi="Arial" w:cs="Arial"/>
                <w:sz w:val="20"/>
                <w:szCs w:val="20"/>
              </w:rPr>
              <w:t>of</w:t>
            </w:r>
            <w:proofErr w:type="spellEnd"/>
            <w:r w:rsidRPr="00016A65">
              <w:rPr>
                <w:rFonts w:ascii="Arial" w:hAnsi="Arial" w:cs="Arial"/>
                <w:sz w:val="20"/>
                <w:szCs w:val="20"/>
              </w:rPr>
              <w:t xml:space="preserve"> </w:t>
            </w:r>
            <w:proofErr w:type="spellStart"/>
            <w:r w:rsidRPr="00016A65">
              <w:rPr>
                <w:rFonts w:ascii="Arial" w:hAnsi="Arial" w:cs="Arial"/>
                <w:sz w:val="20"/>
                <w:szCs w:val="20"/>
              </w:rPr>
              <w:t>soil</w:t>
            </w:r>
            <w:proofErr w:type="spellEnd"/>
            <w:r w:rsidRPr="00016A65">
              <w:rPr>
                <w:rFonts w:ascii="Arial" w:hAnsi="Arial" w:cs="Arial"/>
                <w:sz w:val="20"/>
                <w:szCs w:val="20"/>
              </w:rPr>
              <w:t xml:space="preserve"> and </w:t>
            </w:r>
            <w:proofErr w:type="spellStart"/>
            <w:r w:rsidRPr="00016A65">
              <w:rPr>
                <w:rFonts w:ascii="Arial" w:hAnsi="Arial" w:cs="Arial"/>
                <w:sz w:val="20"/>
                <w:szCs w:val="20"/>
              </w:rPr>
              <w:t>water</w:t>
            </w:r>
            <w:proofErr w:type="spellEnd"/>
            <w:r w:rsidRPr="00016A65">
              <w:rPr>
                <w:rFonts w:ascii="Arial" w:hAnsi="Arial" w:cs="Arial"/>
                <w:sz w:val="20"/>
                <w:szCs w:val="20"/>
              </w:rPr>
              <w:t xml:space="preserve"> </w:t>
            </w:r>
            <w:proofErr w:type="spellStart"/>
            <w:r w:rsidRPr="00016A65">
              <w:rPr>
                <w:rFonts w:ascii="Arial" w:hAnsi="Arial" w:cs="Arial"/>
                <w:sz w:val="20"/>
                <w:szCs w:val="20"/>
              </w:rPr>
              <w:t>conservation</w:t>
            </w:r>
            <w:proofErr w:type="spellEnd"/>
            <w:r w:rsidRPr="00016A65">
              <w:rPr>
                <w:rFonts w:ascii="Arial" w:hAnsi="Arial" w:cs="Arial"/>
                <w:sz w:val="20"/>
                <w:szCs w:val="20"/>
              </w:rPr>
              <w:t xml:space="preserve"> </w:t>
            </w:r>
            <w:proofErr w:type="spellStart"/>
            <w:r w:rsidRPr="00016A65">
              <w:rPr>
                <w:rFonts w:ascii="Arial" w:hAnsi="Arial" w:cs="Arial"/>
                <w:sz w:val="20"/>
                <w:szCs w:val="20"/>
              </w:rPr>
              <w:t>works</w:t>
            </w:r>
            <w:proofErr w:type="spellEnd"/>
            <w:r w:rsidRPr="00016A65">
              <w:rPr>
                <w:rFonts w:ascii="Arial" w:hAnsi="Arial" w:cs="Arial"/>
                <w:sz w:val="20"/>
                <w:szCs w:val="20"/>
              </w:rPr>
              <w:t xml:space="preserve">, and </w:t>
            </w:r>
            <w:proofErr w:type="spellStart"/>
            <w:r w:rsidRPr="00016A65">
              <w:rPr>
                <w:rFonts w:ascii="Arial" w:hAnsi="Arial" w:cs="Arial"/>
                <w:sz w:val="20"/>
                <w:szCs w:val="20"/>
              </w:rPr>
              <w:t>fire</w:t>
            </w:r>
            <w:proofErr w:type="spellEnd"/>
            <w:r w:rsidRPr="00016A65">
              <w:rPr>
                <w:rFonts w:ascii="Arial" w:hAnsi="Arial" w:cs="Arial"/>
                <w:sz w:val="20"/>
                <w:szCs w:val="20"/>
              </w:rPr>
              <w:t xml:space="preserve"> </w:t>
            </w:r>
            <w:proofErr w:type="spellStart"/>
            <w:r w:rsidRPr="00016A65">
              <w:rPr>
                <w:rFonts w:ascii="Arial" w:hAnsi="Arial" w:cs="Arial"/>
                <w:sz w:val="20"/>
                <w:szCs w:val="20"/>
              </w:rPr>
              <w:t>prevention</w:t>
            </w:r>
            <w:proofErr w:type="spellEnd"/>
            <w:r w:rsidRPr="00016A65">
              <w:rPr>
                <w:rFonts w:ascii="Arial" w:hAnsi="Arial" w:cs="Arial"/>
                <w:sz w:val="20"/>
                <w:szCs w:val="20"/>
              </w:rPr>
              <w:t xml:space="preserve"> and control.</w:t>
            </w:r>
          </w:p>
        </w:tc>
        <w:tc>
          <w:tcPr>
            <w:tcW w:w="1248" w:type="dxa"/>
            <w:tcBorders>
              <w:top w:val="single" w:sz="4" w:space="0" w:color="auto"/>
            </w:tcBorders>
            <w:vAlign w:val="center"/>
          </w:tcPr>
          <w:p w14:paraId="6FDED6E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612</w:t>
            </w:r>
          </w:p>
        </w:tc>
        <w:tc>
          <w:tcPr>
            <w:tcW w:w="1249" w:type="dxa"/>
            <w:tcBorders>
              <w:top w:val="single" w:sz="4" w:space="0" w:color="auto"/>
            </w:tcBorders>
            <w:vAlign w:val="center"/>
          </w:tcPr>
          <w:p w14:paraId="52E84EB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91</w:t>
            </w:r>
          </w:p>
        </w:tc>
      </w:tr>
      <w:tr w:rsidR="00C6792D" w:rsidRPr="00016A65" w14:paraId="45581C21" w14:textId="77777777" w:rsidTr="00C6792D">
        <w:trPr>
          <w:trHeight w:val="495"/>
        </w:trPr>
        <w:tc>
          <w:tcPr>
            <w:tcW w:w="5749" w:type="dxa"/>
          </w:tcPr>
          <w:p w14:paraId="6141FE0D" w14:textId="77777777" w:rsidR="00C6792D" w:rsidRPr="00016A65" w:rsidRDefault="00C6792D" w:rsidP="00714961">
            <w:pPr>
              <w:pStyle w:val="Sinespaciado1"/>
              <w:shd w:val="clear" w:color="auto" w:fill="FFFFFF" w:themeFill="background1"/>
              <w:jc w:val="both"/>
              <w:rPr>
                <w:rFonts w:ascii="Arial" w:hAnsi="Arial" w:cs="Arial"/>
                <w:color w:val="EE0000"/>
                <w:sz w:val="20"/>
                <w:szCs w:val="20"/>
              </w:rPr>
            </w:pPr>
            <w:proofErr w:type="spellStart"/>
            <w:r w:rsidRPr="00016A65">
              <w:rPr>
                <w:rFonts w:ascii="Arial" w:hAnsi="Arial" w:cs="Arial"/>
                <w:sz w:val="20"/>
                <w:szCs w:val="20"/>
              </w:rPr>
              <w:t>Participation</w:t>
            </w:r>
            <w:proofErr w:type="spellEnd"/>
            <w:r w:rsidRPr="00016A65">
              <w:rPr>
                <w:rFonts w:ascii="Arial" w:hAnsi="Arial" w:cs="Arial"/>
                <w:sz w:val="20"/>
                <w:szCs w:val="20"/>
              </w:rPr>
              <w:t xml:space="preserve"> in meetings, </w:t>
            </w:r>
            <w:proofErr w:type="spellStart"/>
            <w:r w:rsidRPr="00016A65">
              <w:rPr>
                <w:rFonts w:ascii="Arial" w:hAnsi="Arial" w:cs="Arial"/>
                <w:sz w:val="20"/>
                <w:szCs w:val="20"/>
              </w:rPr>
              <w:t>contribute</w:t>
            </w:r>
            <w:proofErr w:type="spellEnd"/>
            <w:r w:rsidRPr="00016A65">
              <w:rPr>
                <w:rFonts w:ascii="Arial" w:hAnsi="Arial" w:cs="Arial"/>
                <w:sz w:val="20"/>
                <w:szCs w:val="20"/>
              </w:rPr>
              <w:t xml:space="preserve"> </w:t>
            </w:r>
            <w:proofErr w:type="spellStart"/>
            <w:r w:rsidRPr="00016A65">
              <w:rPr>
                <w:rFonts w:ascii="Arial" w:hAnsi="Arial" w:cs="Arial"/>
                <w:sz w:val="20"/>
                <w:szCs w:val="20"/>
              </w:rPr>
              <w:t>on</w:t>
            </w:r>
            <w:proofErr w:type="spellEnd"/>
            <w:r w:rsidRPr="00016A65">
              <w:rPr>
                <w:rFonts w:ascii="Arial" w:hAnsi="Arial" w:cs="Arial"/>
                <w:sz w:val="20"/>
                <w:szCs w:val="20"/>
              </w:rPr>
              <w:t xml:space="preserve"> </w:t>
            </w:r>
            <w:proofErr w:type="spellStart"/>
            <w:r w:rsidRPr="00016A65">
              <w:rPr>
                <w:rFonts w:ascii="Arial" w:hAnsi="Arial" w:cs="Arial"/>
                <w:sz w:val="20"/>
                <w:szCs w:val="20"/>
              </w:rPr>
              <w:t>cooperation</w:t>
            </w:r>
            <w:proofErr w:type="spellEnd"/>
            <w:r w:rsidRPr="00016A65">
              <w:rPr>
                <w:rFonts w:ascii="Arial" w:hAnsi="Arial" w:cs="Arial"/>
                <w:sz w:val="20"/>
                <w:szCs w:val="20"/>
              </w:rPr>
              <w:t xml:space="preserve">, and </w:t>
            </w:r>
            <w:proofErr w:type="spellStart"/>
            <w:r w:rsidRPr="00016A65">
              <w:rPr>
                <w:rFonts w:ascii="Arial" w:hAnsi="Arial" w:cs="Arial"/>
                <w:sz w:val="20"/>
                <w:szCs w:val="20"/>
              </w:rPr>
              <w:t>support</w:t>
            </w:r>
            <w:proofErr w:type="spellEnd"/>
            <w:r w:rsidRPr="00016A65">
              <w:rPr>
                <w:rFonts w:ascii="Arial" w:hAnsi="Arial" w:cs="Arial"/>
                <w:sz w:val="20"/>
                <w:szCs w:val="20"/>
              </w:rPr>
              <w:t xml:space="preserve"> </w:t>
            </w:r>
            <w:proofErr w:type="spellStart"/>
            <w:r w:rsidRPr="00016A65">
              <w:rPr>
                <w:rFonts w:ascii="Arial" w:hAnsi="Arial" w:cs="Arial"/>
                <w:sz w:val="20"/>
                <w:szCs w:val="20"/>
              </w:rPr>
              <w:t>management</w:t>
            </w:r>
            <w:proofErr w:type="spellEnd"/>
          </w:p>
        </w:tc>
        <w:tc>
          <w:tcPr>
            <w:tcW w:w="1248" w:type="dxa"/>
            <w:vAlign w:val="center"/>
          </w:tcPr>
          <w:p w14:paraId="3BBC1AA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490</w:t>
            </w:r>
          </w:p>
        </w:tc>
        <w:tc>
          <w:tcPr>
            <w:tcW w:w="1249" w:type="dxa"/>
            <w:vAlign w:val="center"/>
          </w:tcPr>
          <w:p w14:paraId="3A57620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73</w:t>
            </w:r>
          </w:p>
        </w:tc>
      </w:tr>
      <w:tr w:rsidR="00C6792D" w:rsidRPr="00016A65" w14:paraId="21D6E8FE" w14:textId="77777777" w:rsidTr="00C6792D">
        <w:trPr>
          <w:trHeight w:val="251"/>
        </w:trPr>
        <w:tc>
          <w:tcPr>
            <w:tcW w:w="5749" w:type="dxa"/>
          </w:tcPr>
          <w:p w14:paraId="603BEE4F"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Participation</w:t>
            </w:r>
            <w:proofErr w:type="spellEnd"/>
            <w:r w:rsidRPr="00016A65">
              <w:rPr>
                <w:rFonts w:ascii="Arial" w:hAnsi="Arial" w:cs="Arial"/>
                <w:sz w:val="20"/>
                <w:szCs w:val="20"/>
              </w:rPr>
              <w:t xml:space="preserve"> in </w:t>
            </w:r>
            <w:proofErr w:type="spellStart"/>
            <w:r w:rsidRPr="00016A65">
              <w:rPr>
                <w:rFonts w:ascii="Arial" w:hAnsi="Arial" w:cs="Arial"/>
                <w:sz w:val="20"/>
                <w:szCs w:val="20"/>
              </w:rPr>
              <w:t>communal</w:t>
            </w:r>
            <w:proofErr w:type="spellEnd"/>
            <w:r w:rsidRPr="00016A65">
              <w:rPr>
                <w:rFonts w:ascii="Arial" w:hAnsi="Arial" w:cs="Arial"/>
                <w:sz w:val="20"/>
                <w:szCs w:val="20"/>
              </w:rPr>
              <w:t xml:space="preserve"> </w:t>
            </w:r>
            <w:proofErr w:type="spellStart"/>
            <w:r w:rsidRPr="00016A65">
              <w:rPr>
                <w:rFonts w:ascii="Arial" w:hAnsi="Arial" w:cs="Arial"/>
                <w:sz w:val="20"/>
                <w:szCs w:val="20"/>
              </w:rPr>
              <w:t>land</w:t>
            </w:r>
            <w:proofErr w:type="spellEnd"/>
            <w:r w:rsidRPr="00016A65">
              <w:rPr>
                <w:rFonts w:ascii="Arial" w:hAnsi="Arial" w:cs="Arial"/>
                <w:sz w:val="20"/>
                <w:szCs w:val="20"/>
              </w:rPr>
              <w:t xml:space="preserve"> </w:t>
            </w:r>
            <w:proofErr w:type="spellStart"/>
            <w:r w:rsidRPr="00016A65">
              <w:rPr>
                <w:rFonts w:ascii="Arial" w:hAnsi="Arial" w:cs="Arial"/>
                <w:sz w:val="20"/>
                <w:szCs w:val="20"/>
              </w:rPr>
              <w:t>commissions</w:t>
            </w:r>
            <w:proofErr w:type="spellEnd"/>
            <w:r w:rsidRPr="00016A65">
              <w:rPr>
                <w:rFonts w:ascii="Arial" w:hAnsi="Arial" w:cs="Arial"/>
                <w:sz w:val="20"/>
                <w:szCs w:val="20"/>
              </w:rPr>
              <w:t>.</w:t>
            </w:r>
          </w:p>
        </w:tc>
        <w:tc>
          <w:tcPr>
            <w:tcW w:w="1248" w:type="dxa"/>
            <w:vAlign w:val="center"/>
          </w:tcPr>
          <w:p w14:paraId="7632421C"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144</w:t>
            </w:r>
          </w:p>
        </w:tc>
        <w:tc>
          <w:tcPr>
            <w:tcW w:w="1249" w:type="dxa"/>
            <w:vAlign w:val="center"/>
          </w:tcPr>
          <w:p w14:paraId="011F1E3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21</w:t>
            </w:r>
          </w:p>
        </w:tc>
      </w:tr>
      <w:tr w:rsidR="00C6792D" w:rsidRPr="00016A65" w14:paraId="00C912B8" w14:textId="77777777" w:rsidTr="00C6792D">
        <w:trPr>
          <w:trHeight w:val="507"/>
        </w:trPr>
        <w:tc>
          <w:tcPr>
            <w:tcW w:w="5749" w:type="dxa"/>
          </w:tcPr>
          <w:p w14:paraId="4CB516EA"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They</w:t>
            </w:r>
            <w:proofErr w:type="spellEnd"/>
            <w:r w:rsidRPr="00016A65">
              <w:rPr>
                <w:rFonts w:ascii="Arial" w:hAnsi="Arial" w:cs="Arial"/>
                <w:sz w:val="20"/>
                <w:szCs w:val="20"/>
              </w:rPr>
              <w:t xml:space="preserve"> </w:t>
            </w:r>
            <w:proofErr w:type="spellStart"/>
            <w:r w:rsidRPr="00016A65">
              <w:rPr>
                <w:rFonts w:ascii="Arial" w:hAnsi="Arial" w:cs="Arial"/>
                <w:sz w:val="20"/>
                <w:szCs w:val="20"/>
              </w:rPr>
              <w:t>indicate</w:t>
            </w:r>
            <w:proofErr w:type="spellEnd"/>
            <w:r w:rsidRPr="00016A65">
              <w:rPr>
                <w:rFonts w:ascii="Arial" w:hAnsi="Arial" w:cs="Arial"/>
                <w:sz w:val="20"/>
                <w:szCs w:val="20"/>
              </w:rPr>
              <w:t xml:space="preserve"> </w:t>
            </w:r>
            <w:proofErr w:type="spellStart"/>
            <w:r w:rsidRPr="00016A65">
              <w:rPr>
                <w:rFonts w:ascii="Arial" w:hAnsi="Arial" w:cs="Arial"/>
                <w:sz w:val="20"/>
                <w:szCs w:val="20"/>
              </w:rPr>
              <w:t>that</w:t>
            </w:r>
            <w:proofErr w:type="spellEnd"/>
            <w:r w:rsidRPr="00016A65">
              <w:rPr>
                <w:rFonts w:ascii="Arial" w:hAnsi="Arial" w:cs="Arial"/>
                <w:sz w:val="20"/>
                <w:szCs w:val="20"/>
              </w:rPr>
              <w:t xml:space="preserve"> </w:t>
            </w:r>
            <w:proofErr w:type="spellStart"/>
            <w:r w:rsidRPr="00016A65">
              <w:rPr>
                <w:rFonts w:ascii="Arial" w:hAnsi="Arial" w:cs="Arial"/>
                <w:sz w:val="20"/>
                <w:szCs w:val="20"/>
              </w:rPr>
              <w:t>communal</w:t>
            </w:r>
            <w:proofErr w:type="spellEnd"/>
            <w:r w:rsidRPr="00016A65">
              <w:rPr>
                <w:rFonts w:ascii="Arial" w:hAnsi="Arial" w:cs="Arial"/>
                <w:sz w:val="20"/>
                <w:szCs w:val="20"/>
              </w:rPr>
              <w:t xml:space="preserve"> </w:t>
            </w:r>
            <w:proofErr w:type="spellStart"/>
            <w:r w:rsidRPr="00016A65">
              <w:rPr>
                <w:rFonts w:ascii="Arial" w:hAnsi="Arial" w:cs="Arial"/>
                <w:sz w:val="20"/>
                <w:szCs w:val="20"/>
              </w:rPr>
              <w:t>land</w:t>
            </w:r>
            <w:proofErr w:type="spellEnd"/>
            <w:r w:rsidRPr="00016A65">
              <w:rPr>
                <w:rFonts w:ascii="Arial" w:hAnsi="Arial" w:cs="Arial"/>
                <w:sz w:val="20"/>
                <w:szCs w:val="20"/>
              </w:rPr>
              <w:t xml:space="preserve"> </w:t>
            </w:r>
            <w:proofErr w:type="spellStart"/>
            <w:r w:rsidRPr="00016A65">
              <w:rPr>
                <w:rFonts w:ascii="Arial" w:hAnsi="Arial" w:cs="Arial"/>
                <w:sz w:val="20"/>
                <w:szCs w:val="20"/>
              </w:rPr>
              <w:t>authorities</w:t>
            </w:r>
            <w:proofErr w:type="spellEnd"/>
            <w:r w:rsidRPr="00016A65">
              <w:rPr>
                <w:rFonts w:ascii="Arial" w:hAnsi="Arial" w:cs="Arial"/>
                <w:sz w:val="20"/>
                <w:szCs w:val="20"/>
              </w:rPr>
              <w:t xml:space="preserve"> </w:t>
            </w:r>
            <w:proofErr w:type="spellStart"/>
            <w:r w:rsidRPr="00016A65">
              <w:rPr>
                <w:rFonts w:ascii="Arial" w:hAnsi="Arial" w:cs="Arial"/>
                <w:sz w:val="20"/>
                <w:szCs w:val="20"/>
              </w:rPr>
              <w:t>encourage</w:t>
            </w:r>
            <w:proofErr w:type="spellEnd"/>
            <w:r w:rsidRPr="00016A65">
              <w:rPr>
                <w:rFonts w:ascii="Arial" w:hAnsi="Arial" w:cs="Arial"/>
                <w:sz w:val="20"/>
                <w:szCs w:val="20"/>
              </w:rPr>
              <w:t xml:space="preserve"> </w:t>
            </w:r>
            <w:proofErr w:type="spellStart"/>
            <w:r w:rsidRPr="00016A65">
              <w:rPr>
                <w:rFonts w:ascii="Arial" w:hAnsi="Arial" w:cs="Arial"/>
                <w:sz w:val="20"/>
                <w:szCs w:val="20"/>
              </w:rPr>
              <w:t>participation</w:t>
            </w:r>
            <w:proofErr w:type="spellEnd"/>
            <w:r w:rsidRPr="00016A65">
              <w:rPr>
                <w:rFonts w:ascii="Arial" w:hAnsi="Arial" w:cs="Arial"/>
                <w:sz w:val="20"/>
                <w:szCs w:val="20"/>
              </w:rPr>
              <w:t xml:space="preserve"> in </w:t>
            </w:r>
            <w:proofErr w:type="spellStart"/>
            <w:r w:rsidRPr="00016A65">
              <w:rPr>
                <w:rFonts w:ascii="Arial" w:hAnsi="Arial" w:cs="Arial"/>
                <w:sz w:val="20"/>
                <w:szCs w:val="20"/>
              </w:rPr>
              <w:t>assemblies</w:t>
            </w:r>
            <w:proofErr w:type="spellEnd"/>
            <w:r w:rsidRPr="00016A65">
              <w:rPr>
                <w:rFonts w:ascii="Arial" w:hAnsi="Arial" w:cs="Arial"/>
                <w:sz w:val="20"/>
                <w:szCs w:val="20"/>
              </w:rPr>
              <w:t>.</w:t>
            </w:r>
          </w:p>
        </w:tc>
        <w:tc>
          <w:tcPr>
            <w:tcW w:w="1248" w:type="dxa"/>
            <w:vAlign w:val="center"/>
          </w:tcPr>
          <w:p w14:paraId="5A3CEEA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585</w:t>
            </w:r>
          </w:p>
        </w:tc>
        <w:tc>
          <w:tcPr>
            <w:tcW w:w="1249" w:type="dxa"/>
            <w:vAlign w:val="center"/>
          </w:tcPr>
          <w:p w14:paraId="6E9C6484"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87</w:t>
            </w:r>
          </w:p>
        </w:tc>
      </w:tr>
      <w:tr w:rsidR="00C6792D" w:rsidRPr="00016A65" w14:paraId="49B27F47" w14:textId="77777777" w:rsidTr="00C6792D">
        <w:trPr>
          <w:trHeight w:val="126"/>
        </w:trPr>
        <w:tc>
          <w:tcPr>
            <w:tcW w:w="5749" w:type="dxa"/>
          </w:tcPr>
          <w:p w14:paraId="3CDFCC93"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They</w:t>
            </w:r>
            <w:proofErr w:type="spellEnd"/>
            <w:r w:rsidRPr="00016A65">
              <w:rPr>
                <w:rFonts w:ascii="Arial" w:hAnsi="Arial" w:cs="Arial"/>
                <w:sz w:val="20"/>
                <w:szCs w:val="20"/>
              </w:rPr>
              <w:t xml:space="preserve"> listen </w:t>
            </w:r>
            <w:proofErr w:type="spellStart"/>
            <w:r w:rsidRPr="00016A65">
              <w:rPr>
                <w:rFonts w:ascii="Arial" w:hAnsi="Arial" w:cs="Arial"/>
                <w:sz w:val="20"/>
                <w:szCs w:val="20"/>
              </w:rPr>
              <w:t>to</w:t>
            </w:r>
            <w:proofErr w:type="spellEnd"/>
            <w:r w:rsidRPr="00016A65">
              <w:rPr>
                <w:rFonts w:ascii="Arial" w:hAnsi="Arial" w:cs="Arial"/>
                <w:sz w:val="20"/>
                <w:szCs w:val="20"/>
              </w:rPr>
              <w:t xml:space="preserve"> </w:t>
            </w:r>
            <w:proofErr w:type="spellStart"/>
            <w:r w:rsidRPr="00016A65">
              <w:rPr>
                <w:rFonts w:ascii="Arial" w:hAnsi="Arial" w:cs="Arial"/>
                <w:sz w:val="20"/>
                <w:szCs w:val="20"/>
              </w:rPr>
              <w:t>suggestions</w:t>
            </w:r>
            <w:proofErr w:type="spellEnd"/>
            <w:r w:rsidRPr="00016A65">
              <w:rPr>
                <w:rFonts w:ascii="Arial" w:hAnsi="Arial" w:cs="Arial"/>
                <w:sz w:val="20"/>
                <w:szCs w:val="20"/>
              </w:rPr>
              <w:t xml:space="preserve"> </w:t>
            </w:r>
            <w:proofErr w:type="spellStart"/>
            <w:r w:rsidRPr="00016A65">
              <w:rPr>
                <w:rFonts w:ascii="Arial" w:hAnsi="Arial" w:cs="Arial"/>
                <w:sz w:val="20"/>
                <w:szCs w:val="20"/>
              </w:rPr>
              <w:t>but</w:t>
            </w:r>
            <w:proofErr w:type="spellEnd"/>
            <w:r w:rsidRPr="00016A65">
              <w:rPr>
                <w:rFonts w:ascii="Arial" w:hAnsi="Arial" w:cs="Arial"/>
                <w:sz w:val="20"/>
                <w:szCs w:val="20"/>
              </w:rPr>
              <w:t xml:space="preserve"> do </w:t>
            </w:r>
            <w:proofErr w:type="spellStart"/>
            <w:r w:rsidRPr="00016A65">
              <w:rPr>
                <w:rFonts w:ascii="Arial" w:hAnsi="Arial" w:cs="Arial"/>
                <w:sz w:val="20"/>
                <w:szCs w:val="20"/>
              </w:rPr>
              <w:t>not</w:t>
            </w:r>
            <w:proofErr w:type="spellEnd"/>
            <w:r w:rsidRPr="00016A65">
              <w:rPr>
                <w:rFonts w:ascii="Arial" w:hAnsi="Arial" w:cs="Arial"/>
                <w:sz w:val="20"/>
                <w:szCs w:val="20"/>
              </w:rPr>
              <w:t xml:space="preserve"> </w:t>
            </w:r>
            <w:proofErr w:type="spellStart"/>
            <w:r w:rsidRPr="00016A65">
              <w:rPr>
                <w:rFonts w:ascii="Arial" w:hAnsi="Arial" w:cs="Arial"/>
                <w:sz w:val="20"/>
                <w:szCs w:val="20"/>
              </w:rPr>
              <w:t>take</w:t>
            </w:r>
            <w:proofErr w:type="spellEnd"/>
            <w:r w:rsidRPr="00016A65">
              <w:rPr>
                <w:rFonts w:ascii="Arial" w:hAnsi="Arial" w:cs="Arial"/>
                <w:sz w:val="20"/>
                <w:szCs w:val="20"/>
              </w:rPr>
              <w:t xml:space="preserve"> </w:t>
            </w:r>
            <w:proofErr w:type="spellStart"/>
            <w:r w:rsidRPr="00016A65">
              <w:rPr>
                <w:rFonts w:ascii="Arial" w:hAnsi="Arial" w:cs="Arial"/>
                <w:sz w:val="20"/>
                <w:szCs w:val="20"/>
              </w:rPr>
              <w:t>them</w:t>
            </w:r>
            <w:proofErr w:type="spellEnd"/>
            <w:r w:rsidRPr="00016A65">
              <w:rPr>
                <w:rFonts w:ascii="Arial" w:hAnsi="Arial" w:cs="Arial"/>
                <w:sz w:val="20"/>
                <w:szCs w:val="20"/>
              </w:rPr>
              <w:t xml:space="preserve"> </w:t>
            </w:r>
            <w:proofErr w:type="spellStart"/>
            <w:r w:rsidRPr="00016A65">
              <w:rPr>
                <w:rFonts w:ascii="Arial" w:hAnsi="Arial" w:cs="Arial"/>
                <w:sz w:val="20"/>
                <w:szCs w:val="20"/>
              </w:rPr>
              <w:t>into</w:t>
            </w:r>
            <w:proofErr w:type="spellEnd"/>
            <w:r w:rsidRPr="00016A65">
              <w:rPr>
                <w:rFonts w:ascii="Arial" w:hAnsi="Arial" w:cs="Arial"/>
                <w:sz w:val="20"/>
                <w:szCs w:val="20"/>
              </w:rPr>
              <w:t xml:space="preserve"> </w:t>
            </w:r>
            <w:proofErr w:type="spellStart"/>
            <w:r w:rsidRPr="00016A65">
              <w:rPr>
                <w:rFonts w:ascii="Arial" w:hAnsi="Arial" w:cs="Arial"/>
                <w:sz w:val="20"/>
                <w:szCs w:val="20"/>
              </w:rPr>
              <w:t>account</w:t>
            </w:r>
            <w:proofErr w:type="spellEnd"/>
            <w:r w:rsidRPr="00016A65">
              <w:rPr>
                <w:rFonts w:ascii="Arial" w:hAnsi="Arial" w:cs="Arial"/>
                <w:sz w:val="20"/>
                <w:szCs w:val="20"/>
              </w:rPr>
              <w:t>.</w:t>
            </w:r>
          </w:p>
        </w:tc>
        <w:tc>
          <w:tcPr>
            <w:tcW w:w="1248" w:type="dxa"/>
            <w:vAlign w:val="center"/>
          </w:tcPr>
          <w:p w14:paraId="70B7F1E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12</w:t>
            </w:r>
          </w:p>
        </w:tc>
        <w:tc>
          <w:tcPr>
            <w:tcW w:w="1249" w:type="dxa"/>
            <w:vAlign w:val="center"/>
          </w:tcPr>
          <w:p w14:paraId="5BC90430"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w:t>
            </w:r>
          </w:p>
        </w:tc>
      </w:tr>
      <w:tr w:rsidR="00C6792D" w:rsidRPr="00016A65" w14:paraId="50A3C8A9" w14:textId="77777777" w:rsidTr="00C6792D">
        <w:trPr>
          <w:trHeight w:val="261"/>
        </w:trPr>
        <w:tc>
          <w:tcPr>
            <w:tcW w:w="5749" w:type="dxa"/>
          </w:tcPr>
          <w:p w14:paraId="5FC99877"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Their</w:t>
            </w:r>
            <w:proofErr w:type="spellEnd"/>
            <w:r w:rsidRPr="00016A65">
              <w:rPr>
                <w:rFonts w:ascii="Arial" w:hAnsi="Arial" w:cs="Arial"/>
                <w:sz w:val="20"/>
                <w:szCs w:val="20"/>
              </w:rPr>
              <w:t xml:space="preserve"> </w:t>
            </w:r>
            <w:proofErr w:type="spellStart"/>
            <w:r w:rsidRPr="00016A65">
              <w:rPr>
                <w:rFonts w:ascii="Arial" w:hAnsi="Arial" w:cs="Arial"/>
                <w:sz w:val="20"/>
                <w:szCs w:val="20"/>
              </w:rPr>
              <w:t>suggestions</w:t>
            </w:r>
            <w:proofErr w:type="spellEnd"/>
            <w:r w:rsidRPr="00016A65">
              <w:rPr>
                <w:rFonts w:ascii="Arial" w:hAnsi="Arial" w:cs="Arial"/>
                <w:sz w:val="20"/>
                <w:szCs w:val="20"/>
              </w:rPr>
              <w:t xml:space="preserve"> are </w:t>
            </w:r>
            <w:proofErr w:type="spellStart"/>
            <w:r w:rsidRPr="00016A65">
              <w:rPr>
                <w:rFonts w:ascii="Arial" w:hAnsi="Arial" w:cs="Arial"/>
                <w:sz w:val="20"/>
                <w:szCs w:val="20"/>
              </w:rPr>
              <w:t>heard</w:t>
            </w:r>
            <w:proofErr w:type="spellEnd"/>
            <w:r w:rsidRPr="00016A65">
              <w:rPr>
                <w:rFonts w:ascii="Arial" w:hAnsi="Arial" w:cs="Arial"/>
                <w:sz w:val="20"/>
                <w:szCs w:val="20"/>
              </w:rPr>
              <w:t xml:space="preserve"> and </w:t>
            </w:r>
            <w:proofErr w:type="spellStart"/>
            <w:r w:rsidRPr="00016A65">
              <w:rPr>
                <w:rFonts w:ascii="Arial" w:hAnsi="Arial" w:cs="Arial"/>
                <w:sz w:val="20"/>
                <w:szCs w:val="20"/>
              </w:rPr>
              <w:t>put</w:t>
            </w:r>
            <w:proofErr w:type="spellEnd"/>
            <w:r w:rsidRPr="00016A65">
              <w:rPr>
                <w:rFonts w:ascii="Arial" w:hAnsi="Arial" w:cs="Arial"/>
                <w:sz w:val="20"/>
                <w:szCs w:val="20"/>
              </w:rPr>
              <w:t xml:space="preserve"> </w:t>
            </w:r>
            <w:proofErr w:type="spellStart"/>
            <w:r w:rsidRPr="00016A65">
              <w:rPr>
                <w:rFonts w:ascii="Arial" w:hAnsi="Arial" w:cs="Arial"/>
                <w:sz w:val="20"/>
                <w:szCs w:val="20"/>
              </w:rPr>
              <w:t>into</w:t>
            </w:r>
            <w:proofErr w:type="spellEnd"/>
            <w:r w:rsidRPr="00016A65">
              <w:rPr>
                <w:rFonts w:ascii="Arial" w:hAnsi="Arial" w:cs="Arial"/>
                <w:sz w:val="20"/>
                <w:szCs w:val="20"/>
              </w:rPr>
              <w:t xml:space="preserve"> </w:t>
            </w:r>
            <w:proofErr w:type="spellStart"/>
            <w:r w:rsidRPr="00016A65">
              <w:rPr>
                <w:rFonts w:ascii="Arial" w:hAnsi="Arial" w:cs="Arial"/>
                <w:sz w:val="20"/>
                <w:szCs w:val="20"/>
              </w:rPr>
              <w:t>practice</w:t>
            </w:r>
            <w:proofErr w:type="spellEnd"/>
            <w:r w:rsidRPr="00016A65">
              <w:rPr>
                <w:rFonts w:ascii="Arial" w:hAnsi="Arial" w:cs="Arial"/>
                <w:sz w:val="20"/>
                <w:szCs w:val="20"/>
              </w:rPr>
              <w:t>.</w:t>
            </w:r>
          </w:p>
        </w:tc>
        <w:tc>
          <w:tcPr>
            <w:tcW w:w="1248" w:type="dxa"/>
            <w:vAlign w:val="center"/>
          </w:tcPr>
          <w:p w14:paraId="53EAE69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323</w:t>
            </w:r>
          </w:p>
        </w:tc>
        <w:tc>
          <w:tcPr>
            <w:tcW w:w="1249" w:type="dxa"/>
            <w:vAlign w:val="center"/>
          </w:tcPr>
          <w:p w14:paraId="759E2FFC"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48</w:t>
            </w:r>
          </w:p>
        </w:tc>
      </w:tr>
      <w:tr w:rsidR="00C6792D" w:rsidRPr="00016A65" w14:paraId="3EAC0848" w14:textId="77777777" w:rsidTr="00C6792D">
        <w:trPr>
          <w:trHeight w:val="503"/>
        </w:trPr>
        <w:tc>
          <w:tcPr>
            <w:tcW w:w="5749" w:type="dxa"/>
          </w:tcPr>
          <w:p w14:paraId="3655EDD0"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Considers</w:t>
            </w:r>
            <w:proofErr w:type="spellEnd"/>
            <w:r w:rsidRPr="00016A65">
              <w:rPr>
                <w:rFonts w:ascii="Arial" w:hAnsi="Arial" w:cs="Arial"/>
                <w:sz w:val="20"/>
                <w:szCs w:val="20"/>
              </w:rPr>
              <w:t xml:space="preserve"> </w:t>
            </w:r>
            <w:proofErr w:type="spellStart"/>
            <w:r w:rsidRPr="00016A65">
              <w:rPr>
                <w:rFonts w:ascii="Arial" w:hAnsi="Arial" w:cs="Arial"/>
                <w:sz w:val="20"/>
                <w:szCs w:val="20"/>
              </w:rPr>
              <w:t>that</w:t>
            </w:r>
            <w:proofErr w:type="spellEnd"/>
            <w:r w:rsidRPr="00016A65">
              <w:rPr>
                <w:rFonts w:ascii="Arial" w:hAnsi="Arial" w:cs="Arial"/>
                <w:sz w:val="20"/>
                <w:szCs w:val="20"/>
              </w:rPr>
              <w:t xml:space="preserve"> </w:t>
            </w:r>
            <w:proofErr w:type="spellStart"/>
            <w:r w:rsidRPr="00016A65">
              <w:rPr>
                <w:rFonts w:ascii="Arial" w:hAnsi="Arial" w:cs="Arial"/>
                <w:sz w:val="20"/>
                <w:szCs w:val="20"/>
              </w:rPr>
              <w:t>political</w:t>
            </w:r>
            <w:proofErr w:type="spellEnd"/>
            <w:r w:rsidRPr="00016A65">
              <w:rPr>
                <w:rFonts w:ascii="Arial" w:hAnsi="Arial" w:cs="Arial"/>
                <w:sz w:val="20"/>
                <w:szCs w:val="20"/>
              </w:rPr>
              <w:t xml:space="preserve"> </w:t>
            </w:r>
            <w:proofErr w:type="spellStart"/>
            <w:r w:rsidRPr="00016A65">
              <w:rPr>
                <w:rFonts w:ascii="Arial" w:hAnsi="Arial" w:cs="Arial"/>
                <w:sz w:val="20"/>
                <w:szCs w:val="20"/>
              </w:rPr>
              <w:t>ideologies</w:t>
            </w:r>
            <w:proofErr w:type="spellEnd"/>
            <w:r w:rsidRPr="00016A65">
              <w:rPr>
                <w:rFonts w:ascii="Arial" w:hAnsi="Arial" w:cs="Arial"/>
                <w:sz w:val="20"/>
                <w:szCs w:val="20"/>
              </w:rPr>
              <w:t xml:space="preserve"> </w:t>
            </w:r>
            <w:proofErr w:type="spellStart"/>
            <w:r w:rsidRPr="00016A65">
              <w:rPr>
                <w:rFonts w:ascii="Arial" w:hAnsi="Arial" w:cs="Arial"/>
                <w:sz w:val="20"/>
                <w:szCs w:val="20"/>
              </w:rPr>
              <w:t>have</w:t>
            </w:r>
            <w:proofErr w:type="spellEnd"/>
            <w:r w:rsidRPr="00016A65">
              <w:rPr>
                <w:rFonts w:ascii="Arial" w:hAnsi="Arial" w:cs="Arial"/>
                <w:sz w:val="20"/>
                <w:szCs w:val="20"/>
              </w:rPr>
              <w:t xml:space="preserve"> no </w:t>
            </w:r>
            <w:proofErr w:type="spellStart"/>
            <w:r w:rsidRPr="00016A65">
              <w:rPr>
                <w:rFonts w:ascii="Arial" w:hAnsi="Arial" w:cs="Arial"/>
                <w:sz w:val="20"/>
                <w:szCs w:val="20"/>
              </w:rPr>
              <w:t>influence</w:t>
            </w:r>
            <w:proofErr w:type="spellEnd"/>
            <w:r w:rsidRPr="00016A65">
              <w:rPr>
                <w:rFonts w:ascii="Arial" w:hAnsi="Arial" w:cs="Arial"/>
                <w:sz w:val="20"/>
                <w:szCs w:val="20"/>
              </w:rPr>
              <w:t xml:space="preserve"> </w:t>
            </w:r>
            <w:proofErr w:type="spellStart"/>
            <w:r w:rsidRPr="00016A65">
              <w:rPr>
                <w:rFonts w:ascii="Arial" w:hAnsi="Arial" w:cs="Arial"/>
                <w:sz w:val="20"/>
                <w:szCs w:val="20"/>
              </w:rPr>
              <w:t>on</w:t>
            </w:r>
            <w:proofErr w:type="spellEnd"/>
            <w:r w:rsidRPr="00016A65">
              <w:rPr>
                <w:rFonts w:ascii="Arial" w:hAnsi="Arial" w:cs="Arial"/>
                <w:sz w:val="20"/>
                <w:szCs w:val="20"/>
              </w:rPr>
              <w:t xml:space="preserve"> </w:t>
            </w:r>
            <w:proofErr w:type="spellStart"/>
            <w:r w:rsidRPr="00016A65">
              <w:rPr>
                <w:rFonts w:ascii="Arial" w:hAnsi="Arial" w:cs="Arial"/>
                <w:sz w:val="20"/>
                <w:szCs w:val="20"/>
              </w:rPr>
              <w:t>decision-making</w:t>
            </w:r>
            <w:proofErr w:type="spellEnd"/>
            <w:r w:rsidRPr="00016A65">
              <w:rPr>
                <w:rFonts w:ascii="Arial" w:hAnsi="Arial" w:cs="Arial"/>
                <w:sz w:val="20"/>
                <w:szCs w:val="20"/>
              </w:rPr>
              <w:t xml:space="preserve"> in </w:t>
            </w:r>
            <w:proofErr w:type="spellStart"/>
            <w:r w:rsidRPr="00016A65">
              <w:rPr>
                <w:rFonts w:ascii="Arial" w:hAnsi="Arial" w:cs="Arial"/>
                <w:sz w:val="20"/>
                <w:szCs w:val="20"/>
              </w:rPr>
              <w:t>forest</w:t>
            </w:r>
            <w:proofErr w:type="spellEnd"/>
            <w:r w:rsidRPr="00016A65">
              <w:rPr>
                <w:rFonts w:ascii="Arial" w:hAnsi="Arial" w:cs="Arial"/>
                <w:sz w:val="20"/>
                <w:szCs w:val="20"/>
              </w:rPr>
              <w:t xml:space="preserve"> </w:t>
            </w:r>
            <w:proofErr w:type="spellStart"/>
            <w:r w:rsidRPr="00016A65">
              <w:rPr>
                <w:rFonts w:ascii="Arial" w:hAnsi="Arial" w:cs="Arial"/>
                <w:sz w:val="20"/>
                <w:szCs w:val="20"/>
              </w:rPr>
              <w:t>management</w:t>
            </w:r>
            <w:proofErr w:type="spellEnd"/>
            <w:r w:rsidRPr="00016A65">
              <w:rPr>
                <w:rFonts w:ascii="Arial" w:hAnsi="Arial" w:cs="Arial"/>
                <w:sz w:val="20"/>
                <w:szCs w:val="20"/>
              </w:rPr>
              <w:t>.</w:t>
            </w:r>
          </w:p>
        </w:tc>
        <w:tc>
          <w:tcPr>
            <w:tcW w:w="1248" w:type="dxa"/>
            <w:vAlign w:val="center"/>
          </w:tcPr>
          <w:p w14:paraId="1991060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212</w:t>
            </w:r>
          </w:p>
        </w:tc>
        <w:tc>
          <w:tcPr>
            <w:tcW w:w="1249" w:type="dxa"/>
            <w:vAlign w:val="center"/>
          </w:tcPr>
          <w:p w14:paraId="6BA1F11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32</w:t>
            </w:r>
          </w:p>
        </w:tc>
      </w:tr>
      <w:tr w:rsidR="00C6792D" w:rsidRPr="00016A65" w14:paraId="31DDBE1B" w14:textId="77777777" w:rsidTr="00C6792D">
        <w:trPr>
          <w:trHeight w:val="503"/>
        </w:trPr>
        <w:tc>
          <w:tcPr>
            <w:tcW w:w="5749" w:type="dxa"/>
          </w:tcPr>
          <w:p w14:paraId="68C679B6"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Considers</w:t>
            </w:r>
            <w:proofErr w:type="spellEnd"/>
            <w:r w:rsidRPr="00016A65">
              <w:rPr>
                <w:rFonts w:ascii="Arial" w:hAnsi="Arial" w:cs="Arial"/>
                <w:sz w:val="20"/>
                <w:szCs w:val="20"/>
              </w:rPr>
              <w:t xml:space="preserve"> </w:t>
            </w:r>
            <w:proofErr w:type="spellStart"/>
            <w:r w:rsidRPr="00016A65">
              <w:rPr>
                <w:rFonts w:ascii="Arial" w:hAnsi="Arial" w:cs="Arial"/>
                <w:sz w:val="20"/>
                <w:szCs w:val="20"/>
              </w:rPr>
              <w:t>that</w:t>
            </w:r>
            <w:proofErr w:type="spellEnd"/>
            <w:r w:rsidRPr="00016A65">
              <w:rPr>
                <w:rFonts w:ascii="Arial" w:hAnsi="Arial" w:cs="Arial"/>
                <w:sz w:val="20"/>
                <w:szCs w:val="20"/>
              </w:rPr>
              <w:t xml:space="preserve"> </w:t>
            </w:r>
            <w:proofErr w:type="spellStart"/>
            <w:r w:rsidRPr="00016A65">
              <w:rPr>
                <w:rFonts w:ascii="Arial" w:hAnsi="Arial" w:cs="Arial"/>
                <w:sz w:val="20"/>
                <w:szCs w:val="20"/>
              </w:rPr>
              <w:t>there</w:t>
            </w:r>
            <w:proofErr w:type="spellEnd"/>
            <w:r w:rsidRPr="00016A65">
              <w:rPr>
                <w:rFonts w:ascii="Arial" w:hAnsi="Arial" w:cs="Arial"/>
                <w:sz w:val="20"/>
                <w:szCs w:val="20"/>
              </w:rPr>
              <w:t xml:space="preserve"> </w:t>
            </w:r>
            <w:proofErr w:type="spellStart"/>
            <w:r w:rsidRPr="00016A65">
              <w:rPr>
                <w:rFonts w:ascii="Arial" w:hAnsi="Arial" w:cs="Arial"/>
                <w:sz w:val="20"/>
                <w:szCs w:val="20"/>
              </w:rPr>
              <w:t>is</w:t>
            </w:r>
            <w:proofErr w:type="spellEnd"/>
            <w:r w:rsidRPr="00016A65">
              <w:rPr>
                <w:rFonts w:ascii="Arial" w:hAnsi="Arial" w:cs="Arial"/>
                <w:sz w:val="20"/>
                <w:szCs w:val="20"/>
              </w:rPr>
              <w:t xml:space="preserve"> no </w:t>
            </w:r>
            <w:proofErr w:type="spellStart"/>
            <w:r w:rsidRPr="00016A65">
              <w:rPr>
                <w:rFonts w:ascii="Arial" w:hAnsi="Arial" w:cs="Arial"/>
                <w:sz w:val="20"/>
                <w:szCs w:val="20"/>
              </w:rPr>
              <w:t>predominance</w:t>
            </w:r>
            <w:proofErr w:type="spellEnd"/>
            <w:r w:rsidRPr="00016A65">
              <w:rPr>
                <w:rFonts w:ascii="Arial" w:hAnsi="Arial" w:cs="Arial"/>
                <w:sz w:val="20"/>
                <w:szCs w:val="20"/>
              </w:rPr>
              <w:t xml:space="preserve"> </w:t>
            </w:r>
            <w:proofErr w:type="spellStart"/>
            <w:r w:rsidRPr="00016A65">
              <w:rPr>
                <w:rFonts w:ascii="Arial" w:hAnsi="Arial" w:cs="Arial"/>
                <w:sz w:val="20"/>
                <w:szCs w:val="20"/>
              </w:rPr>
              <w:t>of</w:t>
            </w:r>
            <w:proofErr w:type="spellEnd"/>
            <w:r w:rsidRPr="00016A65">
              <w:rPr>
                <w:rFonts w:ascii="Arial" w:hAnsi="Arial" w:cs="Arial"/>
                <w:sz w:val="20"/>
                <w:szCs w:val="20"/>
              </w:rPr>
              <w:t xml:space="preserve"> </w:t>
            </w:r>
            <w:proofErr w:type="spellStart"/>
            <w:r w:rsidRPr="00016A65">
              <w:rPr>
                <w:rFonts w:ascii="Arial" w:hAnsi="Arial" w:cs="Arial"/>
                <w:sz w:val="20"/>
                <w:szCs w:val="20"/>
              </w:rPr>
              <w:t>religious</w:t>
            </w:r>
            <w:proofErr w:type="spellEnd"/>
            <w:r w:rsidRPr="00016A65">
              <w:rPr>
                <w:rFonts w:ascii="Arial" w:hAnsi="Arial" w:cs="Arial"/>
                <w:sz w:val="20"/>
                <w:szCs w:val="20"/>
              </w:rPr>
              <w:t xml:space="preserve"> </w:t>
            </w:r>
            <w:proofErr w:type="spellStart"/>
            <w:r w:rsidRPr="00016A65">
              <w:rPr>
                <w:rFonts w:ascii="Arial" w:hAnsi="Arial" w:cs="Arial"/>
                <w:sz w:val="20"/>
                <w:szCs w:val="20"/>
              </w:rPr>
              <w:t>organizations</w:t>
            </w:r>
            <w:proofErr w:type="spellEnd"/>
            <w:r w:rsidRPr="00016A65">
              <w:rPr>
                <w:rFonts w:ascii="Arial" w:hAnsi="Arial" w:cs="Arial"/>
                <w:sz w:val="20"/>
                <w:szCs w:val="20"/>
              </w:rPr>
              <w:t xml:space="preserve"> in </w:t>
            </w:r>
            <w:proofErr w:type="spellStart"/>
            <w:r w:rsidRPr="00016A65">
              <w:rPr>
                <w:rFonts w:ascii="Arial" w:hAnsi="Arial" w:cs="Arial"/>
                <w:sz w:val="20"/>
                <w:szCs w:val="20"/>
              </w:rPr>
              <w:t>forest</w:t>
            </w:r>
            <w:proofErr w:type="spellEnd"/>
            <w:r w:rsidRPr="00016A65">
              <w:rPr>
                <w:rFonts w:ascii="Arial" w:hAnsi="Arial" w:cs="Arial"/>
                <w:sz w:val="20"/>
                <w:szCs w:val="20"/>
              </w:rPr>
              <w:t xml:space="preserve"> </w:t>
            </w:r>
            <w:proofErr w:type="spellStart"/>
            <w:r w:rsidRPr="00016A65">
              <w:rPr>
                <w:rFonts w:ascii="Arial" w:hAnsi="Arial" w:cs="Arial"/>
                <w:sz w:val="20"/>
                <w:szCs w:val="20"/>
              </w:rPr>
              <w:t>management</w:t>
            </w:r>
            <w:proofErr w:type="spellEnd"/>
            <w:r w:rsidRPr="00016A65">
              <w:rPr>
                <w:rFonts w:ascii="Arial" w:hAnsi="Arial" w:cs="Arial"/>
                <w:sz w:val="20"/>
                <w:szCs w:val="20"/>
              </w:rPr>
              <w:t>.</w:t>
            </w:r>
          </w:p>
        </w:tc>
        <w:tc>
          <w:tcPr>
            <w:tcW w:w="1248" w:type="dxa"/>
            <w:vAlign w:val="center"/>
          </w:tcPr>
          <w:p w14:paraId="213826D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123</w:t>
            </w:r>
          </w:p>
        </w:tc>
        <w:tc>
          <w:tcPr>
            <w:tcW w:w="1249" w:type="dxa"/>
            <w:vAlign w:val="center"/>
          </w:tcPr>
          <w:p w14:paraId="0237CDC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18</w:t>
            </w:r>
          </w:p>
        </w:tc>
      </w:tr>
      <w:tr w:rsidR="00C6792D" w:rsidRPr="00016A65" w14:paraId="416D8585" w14:textId="77777777" w:rsidTr="00C6792D">
        <w:trPr>
          <w:trHeight w:val="503"/>
        </w:trPr>
        <w:tc>
          <w:tcPr>
            <w:tcW w:w="5749" w:type="dxa"/>
          </w:tcPr>
          <w:p w14:paraId="22D2ECDA"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Assignment</w:t>
            </w:r>
            <w:proofErr w:type="spellEnd"/>
            <w:r w:rsidRPr="00016A65">
              <w:rPr>
                <w:rFonts w:ascii="Arial" w:hAnsi="Arial" w:cs="Arial"/>
                <w:sz w:val="20"/>
                <w:szCs w:val="20"/>
              </w:rPr>
              <w:t xml:space="preserve"> </w:t>
            </w:r>
            <w:proofErr w:type="spellStart"/>
            <w:r w:rsidRPr="00016A65">
              <w:rPr>
                <w:rFonts w:ascii="Arial" w:hAnsi="Arial" w:cs="Arial"/>
                <w:sz w:val="20"/>
                <w:szCs w:val="20"/>
              </w:rPr>
              <w:t>of</w:t>
            </w:r>
            <w:proofErr w:type="spellEnd"/>
            <w:r w:rsidRPr="00016A65">
              <w:rPr>
                <w:rFonts w:ascii="Arial" w:hAnsi="Arial" w:cs="Arial"/>
                <w:sz w:val="20"/>
                <w:szCs w:val="20"/>
              </w:rPr>
              <w:t xml:space="preserve"> </w:t>
            </w:r>
            <w:proofErr w:type="spellStart"/>
            <w:r w:rsidRPr="00016A65">
              <w:rPr>
                <w:rFonts w:ascii="Arial" w:hAnsi="Arial" w:cs="Arial"/>
                <w:sz w:val="20"/>
                <w:szCs w:val="20"/>
              </w:rPr>
              <w:t>government</w:t>
            </w:r>
            <w:proofErr w:type="spellEnd"/>
            <w:r w:rsidRPr="00016A65">
              <w:rPr>
                <w:rFonts w:ascii="Arial" w:hAnsi="Arial" w:cs="Arial"/>
                <w:sz w:val="20"/>
                <w:szCs w:val="20"/>
              </w:rPr>
              <w:t xml:space="preserve"> agencies </w:t>
            </w:r>
            <w:proofErr w:type="spellStart"/>
            <w:r w:rsidRPr="00016A65">
              <w:rPr>
                <w:rFonts w:ascii="Arial" w:hAnsi="Arial" w:cs="Arial"/>
                <w:sz w:val="20"/>
                <w:szCs w:val="20"/>
              </w:rPr>
              <w:t>solely</w:t>
            </w:r>
            <w:proofErr w:type="spellEnd"/>
            <w:r w:rsidRPr="00016A65">
              <w:rPr>
                <w:rFonts w:ascii="Arial" w:hAnsi="Arial" w:cs="Arial"/>
                <w:sz w:val="20"/>
                <w:szCs w:val="20"/>
              </w:rPr>
              <w:t xml:space="preserve"> </w:t>
            </w:r>
            <w:proofErr w:type="spellStart"/>
            <w:r w:rsidRPr="00016A65">
              <w:rPr>
                <w:rFonts w:ascii="Arial" w:hAnsi="Arial" w:cs="Arial"/>
                <w:sz w:val="20"/>
                <w:szCs w:val="20"/>
              </w:rPr>
              <w:t>to</w:t>
            </w:r>
            <w:proofErr w:type="spellEnd"/>
            <w:r w:rsidRPr="00016A65">
              <w:rPr>
                <w:rFonts w:ascii="Arial" w:hAnsi="Arial" w:cs="Arial"/>
                <w:sz w:val="20"/>
                <w:szCs w:val="20"/>
              </w:rPr>
              <w:t xml:space="preserve"> </w:t>
            </w:r>
            <w:proofErr w:type="spellStart"/>
            <w:r w:rsidRPr="00016A65">
              <w:rPr>
                <w:rFonts w:ascii="Arial" w:hAnsi="Arial" w:cs="Arial"/>
                <w:sz w:val="20"/>
                <w:szCs w:val="20"/>
              </w:rPr>
              <w:t>regulatory</w:t>
            </w:r>
            <w:proofErr w:type="spellEnd"/>
            <w:r w:rsidRPr="00016A65">
              <w:rPr>
                <w:rFonts w:ascii="Arial" w:hAnsi="Arial" w:cs="Arial"/>
                <w:sz w:val="20"/>
                <w:szCs w:val="20"/>
              </w:rPr>
              <w:t xml:space="preserve"> and </w:t>
            </w:r>
            <w:proofErr w:type="spellStart"/>
            <w:r w:rsidRPr="00016A65">
              <w:rPr>
                <w:rFonts w:ascii="Arial" w:hAnsi="Arial" w:cs="Arial"/>
                <w:sz w:val="20"/>
                <w:szCs w:val="20"/>
              </w:rPr>
              <w:t>support</w:t>
            </w:r>
            <w:proofErr w:type="spellEnd"/>
            <w:r w:rsidRPr="00016A65">
              <w:rPr>
                <w:rFonts w:ascii="Arial" w:hAnsi="Arial" w:cs="Arial"/>
                <w:sz w:val="20"/>
                <w:szCs w:val="20"/>
              </w:rPr>
              <w:t xml:space="preserve"> </w:t>
            </w:r>
            <w:proofErr w:type="spellStart"/>
            <w:r w:rsidRPr="00016A65">
              <w:rPr>
                <w:rFonts w:ascii="Arial" w:hAnsi="Arial" w:cs="Arial"/>
                <w:sz w:val="20"/>
                <w:szCs w:val="20"/>
              </w:rPr>
              <w:t>matters</w:t>
            </w:r>
            <w:proofErr w:type="spellEnd"/>
            <w:r w:rsidRPr="00016A65">
              <w:rPr>
                <w:rFonts w:ascii="Arial" w:hAnsi="Arial" w:cs="Arial"/>
                <w:sz w:val="20"/>
                <w:szCs w:val="20"/>
              </w:rPr>
              <w:t>.</w:t>
            </w:r>
          </w:p>
        </w:tc>
        <w:tc>
          <w:tcPr>
            <w:tcW w:w="1248" w:type="dxa"/>
            <w:vAlign w:val="center"/>
          </w:tcPr>
          <w:p w14:paraId="10D525EA"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452</w:t>
            </w:r>
          </w:p>
        </w:tc>
        <w:tc>
          <w:tcPr>
            <w:tcW w:w="1249" w:type="dxa"/>
            <w:vAlign w:val="center"/>
          </w:tcPr>
          <w:p w14:paraId="5C1C36C2"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67</w:t>
            </w:r>
          </w:p>
        </w:tc>
      </w:tr>
      <w:tr w:rsidR="00C6792D" w:rsidRPr="00016A65" w14:paraId="7FD2FA35" w14:textId="77777777" w:rsidTr="00C6792D">
        <w:trPr>
          <w:trHeight w:val="348"/>
        </w:trPr>
        <w:tc>
          <w:tcPr>
            <w:tcW w:w="5749" w:type="dxa"/>
          </w:tcPr>
          <w:p w14:paraId="21A81F60"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Sporadic</w:t>
            </w:r>
            <w:proofErr w:type="spellEnd"/>
            <w:r w:rsidRPr="00016A65">
              <w:rPr>
                <w:rFonts w:ascii="Arial" w:hAnsi="Arial" w:cs="Arial"/>
                <w:sz w:val="20"/>
                <w:szCs w:val="20"/>
              </w:rPr>
              <w:t xml:space="preserve"> </w:t>
            </w:r>
            <w:proofErr w:type="spellStart"/>
            <w:r w:rsidRPr="00016A65">
              <w:rPr>
                <w:rFonts w:ascii="Arial" w:hAnsi="Arial" w:cs="Arial"/>
                <w:sz w:val="20"/>
                <w:szCs w:val="20"/>
              </w:rPr>
              <w:t>participation</w:t>
            </w:r>
            <w:proofErr w:type="spellEnd"/>
            <w:r w:rsidRPr="00016A65">
              <w:rPr>
                <w:rFonts w:ascii="Arial" w:hAnsi="Arial" w:cs="Arial"/>
                <w:sz w:val="20"/>
                <w:szCs w:val="20"/>
              </w:rPr>
              <w:t xml:space="preserve"> in </w:t>
            </w:r>
            <w:proofErr w:type="spellStart"/>
            <w:r w:rsidRPr="00016A65">
              <w:rPr>
                <w:rFonts w:ascii="Arial" w:hAnsi="Arial" w:cs="Arial"/>
                <w:sz w:val="20"/>
                <w:szCs w:val="20"/>
              </w:rPr>
              <w:t>financing</w:t>
            </w:r>
            <w:proofErr w:type="spellEnd"/>
            <w:r w:rsidRPr="00016A65">
              <w:rPr>
                <w:rFonts w:ascii="Arial" w:hAnsi="Arial" w:cs="Arial"/>
                <w:sz w:val="20"/>
                <w:szCs w:val="20"/>
              </w:rPr>
              <w:t xml:space="preserve"> </w:t>
            </w:r>
            <w:proofErr w:type="spellStart"/>
            <w:r w:rsidRPr="00016A65">
              <w:rPr>
                <w:rFonts w:ascii="Arial" w:hAnsi="Arial" w:cs="Arial"/>
                <w:sz w:val="20"/>
                <w:szCs w:val="20"/>
              </w:rPr>
              <w:t>certain</w:t>
            </w:r>
            <w:proofErr w:type="spellEnd"/>
            <w:r w:rsidRPr="00016A65">
              <w:rPr>
                <w:rFonts w:ascii="Arial" w:hAnsi="Arial" w:cs="Arial"/>
                <w:sz w:val="20"/>
                <w:szCs w:val="20"/>
              </w:rPr>
              <w:t xml:space="preserve"> </w:t>
            </w:r>
            <w:proofErr w:type="spellStart"/>
            <w:r w:rsidRPr="00016A65">
              <w:rPr>
                <w:rFonts w:ascii="Arial" w:hAnsi="Arial" w:cs="Arial"/>
                <w:sz w:val="20"/>
                <w:szCs w:val="20"/>
              </w:rPr>
              <w:t>timber</w:t>
            </w:r>
            <w:proofErr w:type="spellEnd"/>
            <w:r w:rsidRPr="00016A65">
              <w:rPr>
                <w:rFonts w:ascii="Arial" w:hAnsi="Arial" w:cs="Arial"/>
                <w:sz w:val="20"/>
                <w:szCs w:val="20"/>
              </w:rPr>
              <w:t xml:space="preserve"> </w:t>
            </w:r>
            <w:proofErr w:type="spellStart"/>
            <w:r w:rsidRPr="00016A65">
              <w:rPr>
                <w:rFonts w:ascii="Arial" w:hAnsi="Arial" w:cs="Arial"/>
                <w:sz w:val="20"/>
                <w:szCs w:val="20"/>
              </w:rPr>
              <w:t>forestry</w:t>
            </w:r>
            <w:proofErr w:type="spellEnd"/>
            <w:r w:rsidRPr="00016A65">
              <w:rPr>
                <w:rFonts w:ascii="Arial" w:hAnsi="Arial" w:cs="Arial"/>
                <w:sz w:val="20"/>
                <w:szCs w:val="20"/>
              </w:rPr>
              <w:t xml:space="preserve"> </w:t>
            </w:r>
            <w:proofErr w:type="spellStart"/>
            <w:r w:rsidRPr="00016A65">
              <w:rPr>
                <w:rFonts w:ascii="Arial" w:hAnsi="Arial" w:cs="Arial"/>
                <w:sz w:val="20"/>
                <w:szCs w:val="20"/>
              </w:rPr>
              <w:t>activities</w:t>
            </w:r>
            <w:proofErr w:type="spellEnd"/>
          </w:p>
        </w:tc>
        <w:tc>
          <w:tcPr>
            <w:tcW w:w="1248" w:type="dxa"/>
            <w:vAlign w:val="center"/>
          </w:tcPr>
          <w:p w14:paraId="49C87A7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123</w:t>
            </w:r>
          </w:p>
        </w:tc>
        <w:tc>
          <w:tcPr>
            <w:tcW w:w="1249" w:type="dxa"/>
            <w:vAlign w:val="center"/>
          </w:tcPr>
          <w:p w14:paraId="2B0F2A3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18</w:t>
            </w:r>
          </w:p>
        </w:tc>
      </w:tr>
      <w:tr w:rsidR="00C6792D" w:rsidRPr="00016A65" w14:paraId="4E92A64E" w14:textId="77777777" w:rsidTr="00C6792D">
        <w:trPr>
          <w:trHeight w:val="331"/>
        </w:trPr>
        <w:tc>
          <w:tcPr>
            <w:tcW w:w="5749" w:type="dxa"/>
          </w:tcPr>
          <w:p w14:paraId="5BD5C3FB"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 xml:space="preserve">Training </w:t>
            </w:r>
            <w:proofErr w:type="spellStart"/>
            <w:r w:rsidRPr="00016A65">
              <w:rPr>
                <w:rFonts w:ascii="Arial" w:hAnsi="Arial" w:cs="Arial"/>
                <w:sz w:val="20"/>
                <w:szCs w:val="20"/>
              </w:rPr>
              <w:t>on</w:t>
            </w:r>
            <w:proofErr w:type="spellEnd"/>
            <w:r w:rsidRPr="00016A65">
              <w:rPr>
                <w:rFonts w:ascii="Arial" w:hAnsi="Arial" w:cs="Arial"/>
                <w:sz w:val="20"/>
                <w:szCs w:val="20"/>
              </w:rPr>
              <w:t xml:space="preserve"> </w:t>
            </w:r>
            <w:proofErr w:type="spellStart"/>
            <w:r w:rsidRPr="00016A65">
              <w:rPr>
                <w:rFonts w:ascii="Arial" w:hAnsi="Arial" w:cs="Arial"/>
                <w:sz w:val="20"/>
                <w:szCs w:val="20"/>
              </w:rPr>
              <w:t>their</w:t>
            </w:r>
            <w:proofErr w:type="spellEnd"/>
            <w:r w:rsidRPr="00016A65">
              <w:rPr>
                <w:rFonts w:ascii="Arial" w:hAnsi="Arial" w:cs="Arial"/>
                <w:sz w:val="20"/>
                <w:szCs w:val="20"/>
              </w:rPr>
              <w:t xml:space="preserve"> </w:t>
            </w:r>
            <w:proofErr w:type="spellStart"/>
            <w:r w:rsidRPr="00016A65">
              <w:rPr>
                <w:rFonts w:ascii="Arial" w:hAnsi="Arial" w:cs="Arial"/>
                <w:sz w:val="20"/>
                <w:szCs w:val="20"/>
              </w:rPr>
              <w:t>own</w:t>
            </w:r>
            <w:proofErr w:type="spellEnd"/>
            <w:r w:rsidRPr="00016A65">
              <w:rPr>
                <w:rFonts w:ascii="Arial" w:hAnsi="Arial" w:cs="Arial"/>
                <w:sz w:val="20"/>
                <w:szCs w:val="20"/>
              </w:rPr>
              <w:t xml:space="preserve"> </w:t>
            </w:r>
            <w:proofErr w:type="spellStart"/>
            <w:r w:rsidRPr="00016A65">
              <w:rPr>
                <w:rFonts w:ascii="Arial" w:hAnsi="Arial" w:cs="Arial"/>
                <w:sz w:val="20"/>
                <w:szCs w:val="20"/>
              </w:rPr>
              <w:t>initiative</w:t>
            </w:r>
            <w:proofErr w:type="spellEnd"/>
            <w:r w:rsidRPr="00016A65">
              <w:rPr>
                <w:rFonts w:ascii="Arial" w:hAnsi="Arial" w:cs="Arial"/>
                <w:sz w:val="20"/>
                <w:szCs w:val="20"/>
              </w:rPr>
              <w:t xml:space="preserve"> and </w:t>
            </w:r>
            <w:proofErr w:type="spellStart"/>
            <w:r w:rsidRPr="00016A65">
              <w:rPr>
                <w:rFonts w:ascii="Arial" w:hAnsi="Arial" w:cs="Arial"/>
                <w:sz w:val="20"/>
                <w:szCs w:val="20"/>
              </w:rPr>
              <w:t>based</w:t>
            </w:r>
            <w:proofErr w:type="spellEnd"/>
            <w:r w:rsidRPr="00016A65">
              <w:rPr>
                <w:rFonts w:ascii="Arial" w:hAnsi="Arial" w:cs="Arial"/>
                <w:sz w:val="20"/>
                <w:szCs w:val="20"/>
              </w:rPr>
              <w:t xml:space="preserve"> </w:t>
            </w:r>
            <w:proofErr w:type="spellStart"/>
            <w:r w:rsidRPr="00016A65">
              <w:rPr>
                <w:rFonts w:ascii="Arial" w:hAnsi="Arial" w:cs="Arial"/>
                <w:sz w:val="20"/>
                <w:szCs w:val="20"/>
              </w:rPr>
              <w:t>on</w:t>
            </w:r>
            <w:proofErr w:type="spellEnd"/>
            <w:r w:rsidRPr="00016A65">
              <w:rPr>
                <w:rFonts w:ascii="Arial" w:hAnsi="Arial" w:cs="Arial"/>
                <w:sz w:val="20"/>
                <w:szCs w:val="20"/>
              </w:rPr>
              <w:t xml:space="preserve"> </w:t>
            </w:r>
            <w:proofErr w:type="spellStart"/>
            <w:r w:rsidRPr="00016A65">
              <w:rPr>
                <w:rFonts w:ascii="Arial" w:hAnsi="Arial" w:cs="Arial"/>
                <w:sz w:val="20"/>
                <w:szCs w:val="20"/>
              </w:rPr>
              <w:t>work</w:t>
            </w:r>
            <w:proofErr w:type="spellEnd"/>
            <w:r w:rsidRPr="00016A65">
              <w:rPr>
                <w:rFonts w:ascii="Arial" w:hAnsi="Arial" w:cs="Arial"/>
                <w:sz w:val="20"/>
                <w:szCs w:val="20"/>
              </w:rPr>
              <w:t xml:space="preserve"> </w:t>
            </w:r>
            <w:proofErr w:type="spellStart"/>
            <w:r w:rsidRPr="00016A65">
              <w:rPr>
                <w:rFonts w:ascii="Arial" w:hAnsi="Arial" w:cs="Arial"/>
                <w:sz w:val="20"/>
                <w:szCs w:val="20"/>
              </w:rPr>
              <w:t>needs</w:t>
            </w:r>
            <w:proofErr w:type="spellEnd"/>
          </w:p>
        </w:tc>
        <w:tc>
          <w:tcPr>
            <w:tcW w:w="1248" w:type="dxa"/>
            <w:vAlign w:val="center"/>
          </w:tcPr>
          <w:p w14:paraId="32CC5046"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210</w:t>
            </w:r>
          </w:p>
        </w:tc>
        <w:tc>
          <w:tcPr>
            <w:tcW w:w="1249" w:type="dxa"/>
            <w:vAlign w:val="center"/>
          </w:tcPr>
          <w:p w14:paraId="633049F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31</w:t>
            </w:r>
          </w:p>
        </w:tc>
      </w:tr>
      <w:tr w:rsidR="00C6792D" w:rsidRPr="00016A65" w14:paraId="5EBAEB56" w14:textId="77777777" w:rsidTr="00C6792D">
        <w:trPr>
          <w:trHeight w:val="310"/>
        </w:trPr>
        <w:tc>
          <w:tcPr>
            <w:tcW w:w="5749" w:type="dxa"/>
          </w:tcPr>
          <w:p w14:paraId="6B02D7CC"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 xml:space="preserve">Training </w:t>
            </w:r>
            <w:proofErr w:type="spellStart"/>
            <w:r w:rsidRPr="00016A65">
              <w:rPr>
                <w:rFonts w:ascii="Arial" w:hAnsi="Arial" w:cs="Arial"/>
                <w:sz w:val="20"/>
                <w:szCs w:val="20"/>
              </w:rPr>
              <w:t>through</w:t>
            </w:r>
            <w:proofErr w:type="spellEnd"/>
            <w:r w:rsidRPr="00016A65">
              <w:rPr>
                <w:rFonts w:ascii="Arial" w:hAnsi="Arial" w:cs="Arial"/>
                <w:sz w:val="20"/>
                <w:szCs w:val="20"/>
              </w:rPr>
              <w:t xml:space="preserve"> </w:t>
            </w:r>
            <w:proofErr w:type="spellStart"/>
            <w:r w:rsidRPr="00016A65">
              <w:rPr>
                <w:rFonts w:ascii="Arial" w:hAnsi="Arial" w:cs="Arial"/>
                <w:sz w:val="20"/>
                <w:szCs w:val="20"/>
              </w:rPr>
              <w:t>communal</w:t>
            </w:r>
            <w:proofErr w:type="spellEnd"/>
            <w:r w:rsidRPr="00016A65">
              <w:rPr>
                <w:rFonts w:ascii="Arial" w:hAnsi="Arial" w:cs="Arial"/>
                <w:sz w:val="20"/>
                <w:szCs w:val="20"/>
              </w:rPr>
              <w:t xml:space="preserve"> </w:t>
            </w:r>
            <w:proofErr w:type="spellStart"/>
            <w:r w:rsidRPr="00016A65">
              <w:rPr>
                <w:rFonts w:ascii="Arial" w:hAnsi="Arial" w:cs="Arial"/>
                <w:sz w:val="20"/>
                <w:szCs w:val="20"/>
              </w:rPr>
              <w:t>land</w:t>
            </w:r>
            <w:proofErr w:type="spellEnd"/>
            <w:r w:rsidRPr="00016A65">
              <w:rPr>
                <w:rFonts w:ascii="Arial" w:hAnsi="Arial" w:cs="Arial"/>
                <w:sz w:val="20"/>
                <w:szCs w:val="20"/>
              </w:rPr>
              <w:t xml:space="preserve"> </w:t>
            </w:r>
            <w:proofErr w:type="spellStart"/>
            <w:r w:rsidRPr="00016A65">
              <w:rPr>
                <w:rFonts w:ascii="Arial" w:hAnsi="Arial" w:cs="Arial"/>
                <w:sz w:val="20"/>
                <w:szCs w:val="20"/>
              </w:rPr>
              <w:t>authorities</w:t>
            </w:r>
            <w:proofErr w:type="spellEnd"/>
          </w:p>
        </w:tc>
        <w:tc>
          <w:tcPr>
            <w:tcW w:w="1248" w:type="dxa"/>
            <w:vAlign w:val="center"/>
          </w:tcPr>
          <w:p w14:paraId="671DA8AA"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469</w:t>
            </w:r>
          </w:p>
        </w:tc>
        <w:tc>
          <w:tcPr>
            <w:tcW w:w="1249" w:type="dxa"/>
            <w:vAlign w:val="center"/>
          </w:tcPr>
          <w:p w14:paraId="77DC6FD3"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70</w:t>
            </w:r>
          </w:p>
        </w:tc>
      </w:tr>
      <w:tr w:rsidR="00C6792D" w:rsidRPr="00016A65" w14:paraId="1E79AE77" w14:textId="77777777" w:rsidTr="00C6792D">
        <w:trPr>
          <w:trHeight w:val="304"/>
        </w:trPr>
        <w:tc>
          <w:tcPr>
            <w:tcW w:w="5749" w:type="dxa"/>
          </w:tcPr>
          <w:p w14:paraId="43E31B7B"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 xml:space="preserve">Training </w:t>
            </w:r>
            <w:proofErr w:type="spellStart"/>
            <w:r w:rsidRPr="00016A65">
              <w:rPr>
                <w:rFonts w:ascii="Arial" w:hAnsi="Arial" w:cs="Arial"/>
                <w:sz w:val="20"/>
                <w:szCs w:val="20"/>
              </w:rPr>
              <w:t>through</w:t>
            </w:r>
            <w:proofErr w:type="spellEnd"/>
            <w:r w:rsidRPr="00016A65">
              <w:rPr>
                <w:rFonts w:ascii="Arial" w:hAnsi="Arial" w:cs="Arial"/>
                <w:sz w:val="20"/>
                <w:szCs w:val="20"/>
              </w:rPr>
              <w:t xml:space="preserve"> </w:t>
            </w:r>
            <w:proofErr w:type="spellStart"/>
            <w:r w:rsidRPr="00016A65">
              <w:rPr>
                <w:rFonts w:ascii="Arial" w:hAnsi="Arial" w:cs="Arial"/>
                <w:sz w:val="20"/>
                <w:szCs w:val="20"/>
              </w:rPr>
              <w:t>government</w:t>
            </w:r>
            <w:proofErr w:type="spellEnd"/>
            <w:r w:rsidRPr="00016A65">
              <w:rPr>
                <w:rFonts w:ascii="Arial" w:hAnsi="Arial" w:cs="Arial"/>
                <w:sz w:val="20"/>
                <w:szCs w:val="20"/>
              </w:rPr>
              <w:t xml:space="preserve"> </w:t>
            </w:r>
            <w:proofErr w:type="spellStart"/>
            <w:r w:rsidRPr="00016A65">
              <w:rPr>
                <w:rFonts w:ascii="Arial" w:hAnsi="Arial" w:cs="Arial"/>
                <w:sz w:val="20"/>
                <w:szCs w:val="20"/>
              </w:rPr>
              <w:t>institutions</w:t>
            </w:r>
            <w:proofErr w:type="spellEnd"/>
          </w:p>
        </w:tc>
        <w:tc>
          <w:tcPr>
            <w:tcW w:w="1248" w:type="dxa"/>
            <w:vAlign w:val="center"/>
          </w:tcPr>
          <w:p w14:paraId="7AA2245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602</w:t>
            </w:r>
          </w:p>
        </w:tc>
        <w:tc>
          <w:tcPr>
            <w:tcW w:w="1249" w:type="dxa"/>
            <w:vAlign w:val="center"/>
          </w:tcPr>
          <w:p w14:paraId="3958CB3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90</w:t>
            </w:r>
          </w:p>
        </w:tc>
      </w:tr>
      <w:tr w:rsidR="00C6792D" w:rsidRPr="00016A65" w14:paraId="16DF661E" w14:textId="77777777" w:rsidTr="00C6792D">
        <w:trPr>
          <w:trHeight w:val="183"/>
        </w:trPr>
        <w:tc>
          <w:tcPr>
            <w:tcW w:w="5749" w:type="dxa"/>
          </w:tcPr>
          <w:p w14:paraId="3D26D3C3"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 xml:space="preserve">Training </w:t>
            </w:r>
            <w:proofErr w:type="spellStart"/>
            <w:r w:rsidRPr="00016A65">
              <w:rPr>
                <w:rFonts w:ascii="Arial" w:hAnsi="Arial" w:cs="Arial"/>
                <w:sz w:val="20"/>
                <w:szCs w:val="20"/>
              </w:rPr>
              <w:t>through</w:t>
            </w:r>
            <w:proofErr w:type="spellEnd"/>
            <w:r w:rsidRPr="00016A65">
              <w:rPr>
                <w:rFonts w:ascii="Arial" w:hAnsi="Arial" w:cs="Arial"/>
                <w:sz w:val="20"/>
                <w:szCs w:val="20"/>
              </w:rPr>
              <w:t xml:space="preserve"> </w:t>
            </w:r>
            <w:proofErr w:type="spellStart"/>
            <w:r w:rsidRPr="00016A65">
              <w:rPr>
                <w:rFonts w:ascii="Arial" w:hAnsi="Arial" w:cs="Arial"/>
                <w:sz w:val="20"/>
                <w:szCs w:val="20"/>
              </w:rPr>
              <w:t>forestry</w:t>
            </w:r>
            <w:proofErr w:type="spellEnd"/>
            <w:r w:rsidRPr="00016A65">
              <w:rPr>
                <w:rFonts w:ascii="Arial" w:hAnsi="Arial" w:cs="Arial"/>
                <w:sz w:val="20"/>
                <w:szCs w:val="20"/>
              </w:rPr>
              <w:t xml:space="preserve"> </w:t>
            </w:r>
            <w:proofErr w:type="spellStart"/>
            <w:r w:rsidRPr="00016A65">
              <w:rPr>
                <w:rFonts w:ascii="Arial" w:hAnsi="Arial" w:cs="Arial"/>
                <w:sz w:val="20"/>
                <w:szCs w:val="20"/>
              </w:rPr>
              <w:t>technicians</w:t>
            </w:r>
            <w:proofErr w:type="spellEnd"/>
          </w:p>
        </w:tc>
        <w:tc>
          <w:tcPr>
            <w:tcW w:w="1248" w:type="dxa"/>
            <w:vAlign w:val="center"/>
          </w:tcPr>
          <w:p w14:paraId="1596B31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622</w:t>
            </w:r>
          </w:p>
        </w:tc>
        <w:tc>
          <w:tcPr>
            <w:tcW w:w="1249" w:type="dxa"/>
            <w:vAlign w:val="center"/>
          </w:tcPr>
          <w:p w14:paraId="51612543"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93</w:t>
            </w:r>
          </w:p>
        </w:tc>
      </w:tr>
      <w:tr w:rsidR="00C6792D" w:rsidRPr="00016A65" w14:paraId="0EAC7CA6" w14:textId="77777777" w:rsidTr="00C6792D">
        <w:trPr>
          <w:trHeight w:val="122"/>
        </w:trPr>
        <w:tc>
          <w:tcPr>
            <w:tcW w:w="5749" w:type="dxa"/>
          </w:tcPr>
          <w:p w14:paraId="135D3A28"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eastAsia="Times New Roman" w:hAnsi="Arial" w:cs="Arial"/>
                <w:bCs/>
                <w:sz w:val="20"/>
                <w:szCs w:val="20"/>
                <w:lang w:eastAsia="es-MX"/>
              </w:rPr>
              <w:t>They</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reach</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common</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agreements</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easily</w:t>
            </w:r>
            <w:proofErr w:type="spellEnd"/>
          </w:p>
        </w:tc>
        <w:tc>
          <w:tcPr>
            <w:tcW w:w="1248" w:type="dxa"/>
            <w:vAlign w:val="center"/>
          </w:tcPr>
          <w:p w14:paraId="7A8CDF4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452</w:t>
            </w:r>
          </w:p>
        </w:tc>
        <w:tc>
          <w:tcPr>
            <w:tcW w:w="1249" w:type="dxa"/>
            <w:vAlign w:val="center"/>
          </w:tcPr>
          <w:p w14:paraId="095EA354"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67</w:t>
            </w:r>
          </w:p>
        </w:tc>
      </w:tr>
      <w:tr w:rsidR="00C6792D" w:rsidRPr="00016A65" w14:paraId="715F04A9" w14:textId="77777777" w:rsidTr="00C6792D">
        <w:trPr>
          <w:trHeight w:val="325"/>
        </w:trPr>
        <w:tc>
          <w:tcPr>
            <w:tcW w:w="5749" w:type="dxa"/>
          </w:tcPr>
          <w:p w14:paraId="0A36A973"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eastAsia="Times New Roman" w:hAnsi="Arial" w:cs="Arial"/>
                <w:bCs/>
                <w:sz w:val="20"/>
                <w:szCs w:val="20"/>
                <w:lang w:eastAsia="es-MX"/>
              </w:rPr>
              <w:t>Decisions</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made</w:t>
            </w:r>
            <w:proofErr w:type="spellEnd"/>
            <w:r w:rsidRPr="00016A65">
              <w:rPr>
                <w:rFonts w:ascii="Arial" w:eastAsia="Times New Roman" w:hAnsi="Arial" w:cs="Arial"/>
                <w:bCs/>
                <w:sz w:val="20"/>
                <w:szCs w:val="20"/>
                <w:lang w:eastAsia="es-MX"/>
              </w:rPr>
              <w:t xml:space="preserve"> in </w:t>
            </w:r>
            <w:proofErr w:type="spellStart"/>
            <w:r w:rsidRPr="00016A65">
              <w:rPr>
                <w:rFonts w:ascii="Arial" w:eastAsia="Times New Roman" w:hAnsi="Arial" w:cs="Arial"/>
                <w:bCs/>
                <w:sz w:val="20"/>
                <w:szCs w:val="20"/>
                <w:lang w:eastAsia="es-MX"/>
              </w:rPr>
              <w:t>the</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assembly</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reflect</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the</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needs</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of</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the</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communal</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land</w:t>
            </w:r>
            <w:proofErr w:type="spellEnd"/>
          </w:p>
        </w:tc>
        <w:tc>
          <w:tcPr>
            <w:tcW w:w="1248" w:type="dxa"/>
            <w:vAlign w:val="center"/>
          </w:tcPr>
          <w:p w14:paraId="6E0F5CA4"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563</w:t>
            </w:r>
          </w:p>
        </w:tc>
        <w:tc>
          <w:tcPr>
            <w:tcW w:w="1249" w:type="dxa"/>
            <w:vAlign w:val="center"/>
          </w:tcPr>
          <w:p w14:paraId="5E6204C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84</w:t>
            </w:r>
          </w:p>
        </w:tc>
      </w:tr>
      <w:tr w:rsidR="00C6792D" w:rsidRPr="00016A65" w14:paraId="4AA023E4" w14:textId="77777777" w:rsidTr="00C6792D">
        <w:trPr>
          <w:trHeight w:val="325"/>
        </w:trPr>
        <w:tc>
          <w:tcPr>
            <w:tcW w:w="5749" w:type="dxa"/>
          </w:tcPr>
          <w:p w14:paraId="6542BF94"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eastAsia="Times New Roman" w:hAnsi="Arial" w:cs="Arial"/>
                <w:bCs/>
                <w:sz w:val="20"/>
                <w:szCs w:val="20"/>
                <w:lang w:eastAsia="es-MX"/>
              </w:rPr>
              <w:t>All</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UDFs</w:t>
            </w:r>
            <w:proofErr w:type="spellEnd"/>
            <w:r w:rsidRPr="00016A65">
              <w:rPr>
                <w:rFonts w:ascii="Arial" w:eastAsia="Times New Roman" w:hAnsi="Arial" w:cs="Arial"/>
                <w:bCs/>
                <w:sz w:val="20"/>
                <w:szCs w:val="20"/>
                <w:lang w:eastAsia="es-MX"/>
              </w:rPr>
              <w:t xml:space="preserve"> in </w:t>
            </w:r>
            <w:proofErr w:type="spellStart"/>
            <w:r w:rsidRPr="00016A65">
              <w:rPr>
                <w:rFonts w:ascii="Arial" w:eastAsia="Times New Roman" w:hAnsi="Arial" w:cs="Arial"/>
                <w:bCs/>
                <w:sz w:val="20"/>
                <w:szCs w:val="20"/>
                <w:lang w:eastAsia="es-MX"/>
              </w:rPr>
              <w:t>the</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communal</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land</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obtain</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benefits</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from</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the</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forest</w:t>
            </w:r>
            <w:proofErr w:type="spellEnd"/>
          </w:p>
        </w:tc>
        <w:tc>
          <w:tcPr>
            <w:tcW w:w="1248" w:type="dxa"/>
            <w:vAlign w:val="center"/>
          </w:tcPr>
          <w:p w14:paraId="4CBC781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550</w:t>
            </w:r>
          </w:p>
        </w:tc>
        <w:tc>
          <w:tcPr>
            <w:tcW w:w="1249" w:type="dxa"/>
            <w:vAlign w:val="center"/>
          </w:tcPr>
          <w:p w14:paraId="7557F6B3"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82</w:t>
            </w:r>
          </w:p>
        </w:tc>
      </w:tr>
    </w:tbl>
    <w:p w14:paraId="072FDD53" w14:textId="77777777" w:rsidR="00C6792D" w:rsidRPr="00016A65" w:rsidRDefault="00C6792D" w:rsidP="00C6792D">
      <w:pPr>
        <w:pStyle w:val="Body"/>
        <w:rPr>
          <w:rFonts w:ascii="Arial" w:hAnsi="Arial" w:cs="Arial"/>
        </w:rPr>
      </w:pPr>
      <w:r w:rsidRPr="00016A65">
        <w:rPr>
          <w:rFonts w:ascii="Arial" w:hAnsi="Arial" w:cs="Arial"/>
        </w:rPr>
        <w:t>Source: Own elaboration based on attendance lists and documented participation by communal land boards (commissariats) in assemblies and communal land work logs, 2024.</w:t>
      </w:r>
    </w:p>
    <w:p w14:paraId="524A74A5" w14:textId="77777777" w:rsidR="00C6792D" w:rsidRPr="00016A65" w:rsidRDefault="00C6792D" w:rsidP="00C6792D">
      <w:pPr>
        <w:pStyle w:val="Body"/>
        <w:rPr>
          <w:rFonts w:ascii="Arial" w:hAnsi="Arial" w:cs="Arial"/>
        </w:rPr>
      </w:pPr>
      <w:r w:rsidRPr="00016A65">
        <w:rPr>
          <w:rFonts w:ascii="Arial" w:hAnsi="Arial" w:cs="Arial"/>
        </w:rPr>
        <w:lastRenderedPageBreak/>
        <w:t xml:space="preserve">Collective knowledge, participation, and training legitimize local rules, allowing for the coordination of institutions when necessary (Merino and Segura, 2021). In the region, these norms regulate communal land operations and resource extraction (see Table 5). </w:t>
      </w:r>
      <w:proofErr w:type="spellStart"/>
      <w:r w:rsidRPr="00016A65">
        <w:rPr>
          <w:rFonts w:ascii="Arial" w:hAnsi="Arial" w:cs="Arial"/>
        </w:rPr>
        <w:t>Chápela</w:t>
      </w:r>
      <w:proofErr w:type="spellEnd"/>
      <w:r w:rsidRPr="00016A65">
        <w:rPr>
          <w:rFonts w:ascii="Arial" w:hAnsi="Arial" w:cs="Arial"/>
        </w:rPr>
        <w:t xml:space="preserve"> (2021) emphasizes the importance of supporting local decisions with actions and innovations for forest exploitation.</w:t>
      </w:r>
    </w:p>
    <w:p w14:paraId="0D69C053" w14:textId="77777777" w:rsidR="00C6792D" w:rsidRPr="00016A65" w:rsidRDefault="00C6792D" w:rsidP="00C6792D">
      <w:pPr>
        <w:pStyle w:val="Body"/>
        <w:rPr>
          <w:rFonts w:ascii="Arial" w:hAnsi="Arial" w:cs="Arial"/>
        </w:rPr>
      </w:pPr>
      <w:r w:rsidRPr="00016A65">
        <w:rPr>
          <w:rFonts w:ascii="Arial" w:hAnsi="Arial" w:cs="Arial"/>
        </w:rPr>
        <w:t>Figure 3 demonstrates a positive correlation between internal regulations and organization. This instrument optimizes decision-making in forest management and improves the control of pressures over the area, making it essential for organizational efficiency.</w:t>
      </w:r>
    </w:p>
    <w:p w14:paraId="2D03F696" w14:textId="77777777" w:rsidR="00C6792D" w:rsidRPr="00016A65" w:rsidRDefault="00C6792D" w:rsidP="00C6792D">
      <w:pPr>
        <w:pStyle w:val="Body"/>
        <w:rPr>
          <w:rFonts w:ascii="Arial" w:hAnsi="Arial" w:cs="Arial"/>
        </w:rPr>
      </w:pPr>
      <w:r w:rsidRPr="00016A65">
        <w:rPr>
          <w:rFonts w:ascii="Arial" w:hAnsi="Arial" w:cs="Arial"/>
        </w:rPr>
        <w:t>Collective discussion and decision-making are frequent when common interests exist, although external institutions also exert influence. The capacity to reach agreements depends on the complexity of problems such as illegal logging, fires, and pests. Merino (2014) notes that economic expansion and productive diversification increase the demand for solid rules and more complex institutional development.</w:t>
      </w:r>
    </w:p>
    <w:p w14:paraId="0C17A872" w14:textId="77777777" w:rsidR="00C6792D" w:rsidRPr="00016A65" w:rsidRDefault="00C6792D" w:rsidP="00C6792D">
      <w:pPr>
        <w:pStyle w:val="Body"/>
        <w:rPr>
          <w:rFonts w:ascii="Arial" w:hAnsi="Arial" w:cs="Arial"/>
        </w:rPr>
      </w:pPr>
      <w:r w:rsidRPr="00016A65">
        <w:rPr>
          <w:rFonts w:ascii="Arial" w:hAnsi="Arial" w:cs="Arial"/>
        </w:rPr>
        <w:t xml:space="preserve">Under clear rules, communal landowners strengthen their relationship with the environment through social capital and various organizational schemes. This interaction with natural capital is one of close dependency, as it serves as a source of employment and well-being (Rodríguez, 2010; </w:t>
      </w:r>
      <w:proofErr w:type="spellStart"/>
      <w:r w:rsidRPr="00016A65">
        <w:rPr>
          <w:rFonts w:ascii="Arial" w:hAnsi="Arial" w:cs="Arial"/>
        </w:rPr>
        <w:t>Boltvinik</w:t>
      </w:r>
      <w:proofErr w:type="spellEnd"/>
      <w:r w:rsidRPr="00016A65">
        <w:rPr>
          <w:rFonts w:ascii="Arial" w:hAnsi="Arial" w:cs="Arial"/>
        </w:rPr>
        <w:t>, 2012).</w:t>
      </w:r>
    </w:p>
    <w:p w14:paraId="02A5C9A0" w14:textId="77777777" w:rsidR="00C6792D" w:rsidRPr="00016A65" w:rsidRDefault="00C6792D" w:rsidP="00C6792D">
      <w:pPr>
        <w:pStyle w:val="Body"/>
        <w:rPr>
          <w:rFonts w:ascii="Arial" w:hAnsi="Arial" w:cs="Arial"/>
        </w:rPr>
      </w:pPr>
      <w:r w:rsidRPr="00016A65">
        <w:rPr>
          <w:rFonts w:ascii="Arial" w:hAnsi="Arial" w:cs="Arial"/>
        </w:rPr>
        <w:t>Likewise, the enforcement of internal regulations reduces pressures through the monitoring of pests, fires, and illegal extractions. In contrast, weak institutions and internal conflicts are associated with a higher incidence of forestry pressures (Merino, 2014).</w:t>
      </w:r>
    </w:p>
    <w:p w14:paraId="2D34B90C" w14:textId="77777777" w:rsidR="00C6792D" w:rsidRPr="00016A65" w:rsidRDefault="00C6792D" w:rsidP="00C6792D">
      <w:pPr>
        <w:pStyle w:val="Body"/>
        <w:rPr>
          <w:rFonts w:ascii="Arial" w:hAnsi="Arial" w:cs="Arial"/>
          <w:b/>
          <w:bCs/>
        </w:rPr>
      </w:pPr>
      <w:r w:rsidRPr="00016A65">
        <w:rPr>
          <w:rFonts w:ascii="Arial" w:hAnsi="Arial" w:cs="Arial"/>
          <w:b/>
          <w:bCs/>
        </w:rPr>
        <w:t>Figure 3. Correlation between organization and the enforcement of internal regulations in the communal lands</w:t>
      </w:r>
    </w:p>
    <w:p w14:paraId="5AABC47F" w14:textId="77777777" w:rsidR="00C6792D" w:rsidRPr="00016A65" w:rsidRDefault="00C6792D" w:rsidP="00C6792D">
      <w:pPr>
        <w:pStyle w:val="Body"/>
        <w:rPr>
          <w:rFonts w:ascii="Arial" w:hAnsi="Arial" w:cs="Arial"/>
        </w:rPr>
      </w:pPr>
    </w:p>
    <w:p w14:paraId="0A9E2364" w14:textId="77777777" w:rsidR="00C6792D" w:rsidRPr="00016A65" w:rsidRDefault="00C6792D" w:rsidP="00C6792D">
      <w:pPr>
        <w:pStyle w:val="Body"/>
        <w:rPr>
          <w:rFonts w:ascii="Arial" w:hAnsi="Arial" w:cs="Arial"/>
        </w:rPr>
      </w:pPr>
      <w:r w:rsidRPr="00016A65">
        <w:rPr>
          <w:rFonts w:ascii="Arial" w:hAnsi="Arial" w:cs="Arial"/>
          <w:noProof/>
        </w:rPr>
        <w:drawing>
          <wp:inline distT="0" distB="0" distL="0" distR="0" wp14:anchorId="5346ADB4" wp14:editId="5982A94E">
            <wp:extent cx="4960782" cy="1206230"/>
            <wp:effectExtent l="0" t="0" r="0" b="0"/>
            <wp:docPr id="1657413939"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13939" name="Imagen 1657413939"/>
                    <pic:cNvPicPr/>
                  </pic:nvPicPr>
                  <pic:blipFill rotWithShape="1">
                    <a:blip r:embed="rId15">
                      <a:extLst>
                        <a:ext uri="{28A0092B-C50C-407E-A947-70E740481C1C}">
                          <a14:useLocalDpi xmlns:a14="http://schemas.microsoft.com/office/drawing/2010/main" val="0"/>
                        </a:ext>
                      </a:extLst>
                    </a:blip>
                    <a:srcRect l="2041" t="7567" b="6141"/>
                    <a:stretch>
                      <a:fillRect/>
                    </a:stretch>
                  </pic:blipFill>
                  <pic:spPr bwMode="auto">
                    <a:xfrm>
                      <a:off x="0" y="0"/>
                      <a:ext cx="5076826" cy="1234447"/>
                    </a:xfrm>
                    <a:prstGeom prst="rect">
                      <a:avLst/>
                    </a:prstGeom>
                    <a:ln>
                      <a:noFill/>
                    </a:ln>
                    <a:extLst>
                      <a:ext uri="{53640926-AAD7-44D8-BBD7-CCE9431645EC}">
                        <a14:shadowObscured xmlns:a14="http://schemas.microsoft.com/office/drawing/2010/main"/>
                      </a:ext>
                    </a:extLst>
                  </pic:spPr>
                </pic:pic>
              </a:graphicData>
            </a:graphic>
          </wp:inline>
        </w:drawing>
      </w:r>
    </w:p>
    <w:p w14:paraId="6FC07257" w14:textId="77777777" w:rsidR="00C6792D" w:rsidRPr="00016A65" w:rsidRDefault="00C6792D" w:rsidP="00C6792D">
      <w:pPr>
        <w:pStyle w:val="Body"/>
        <w:rPr>
          <w:rFonts w:ascii="Arial" w:hAnsi="Arial" w:cs="Arial"/>
        </w:rPr>
      </w:pPr>
    </w:p>
    <w:p w14:paraId="44EF6A97" w14:textId="77777777" w:rsidR="00C6792D" w:rsidRPr="00016A65" w:rsidRDefault="00C6792D" w:rsidP="00C6792D">
      <w:pPr>
        <w:pStyle w:val="Body"/>
        <w:rPr>
          <w:rFonts w:ascii="Arial" w:hAnsi="Arial" w:cs="Arial"/>
        </w:rPr>
      </w:pPr>
      <w:r w:rsidRPr="00016A65">
        <w:rPr>
          <w:rFonts w:ascii="Arial" w:hAnsi="Arial" w:cs="Arial"/>
        </w:rPr>
        <w:t>*Source: Own elaboration with 2024 data. The correlation is a function of the number of meetings held, participation, assertively made decisions, and conflict resolution.</w:t>
      </w:r>
    </w:p>
    <w:p w14:paraId="2FD90DC8" w14:textId="77777777" w:rsidR="00C6792D" w:rsidRPr="00016A65" w:rsidRDefault="00C6792D" w:rsidP="00C6792D">
      <w:pPr>
        <w:pStyle w:val="Body"/>
        <w:rPr>
          <w:rFonts w:ascii="Arial" w:hAnsi="Arial" w:cs="Arial"/>
        </w:rPr>
      </w:pPr>
      <w:r w:rsidRPr="00016A65">
        <w:rPr>
          <w:rFonts w:ascii="Arial" w:hAnsi="Arial" w:cs="Arial"/>
        </w:rPr>
        <w:t xml:space="preserve">Communal lands face conflicts such as mining, illegal logging, and fires, whose multi-factorial dynamics depend on internal and external factors. </w:t>
      </w:r>
      <w:proofErr w:type="spellStart"/>
      <w:r w:rsidRPr="00016A65">
        <w:rPr>
          <w:rFonts w:ascii="Arial" w:hAnsi="Arial" w:cs="Arial"/>
        </w:rPr>
        <w:t>Chapela</w:t>
      </w:r>
      <w:proofErr w:type="spellEnd"/>
      <w:r w:rsidRPr="00016A65">
        <w:rPr>
          <w:rFonts w:ascii="Arial" w:hAnsi="Arial" w:cs="Arial"/>
        </w:rPr>
        <w:t xml:space="preserve"> and Merino (2019) and Torres et al. (2022) point out that increasing pressures demand adapted local rules and greater collective organization. In the region, this collective construction is a continuous process that transcends simple meetings; it requires an “established and shared social objective” (Jiménez and Ramírez, 2010), constituting one of the multiple spaces for stakeholder participation.</w:t>
      </w:r>
    </w:p>
    <w:p w14:paraId="34F26CDA" w14:textId="77777777" w:rsidR="00C6792D" w:rsidRPr="00016A65" w:rsidRDefault="00C6792D" w:rsidP="00C6792D">
      <w:pPr>
        <w:pStyle w:val="Body"/>
        <w:rPr>
          <w:rFonts w:ascii="Arial" w:hAnsi="Arial" w:cs="Arial"/>
        </w:rPr>
      </w:pPr>
      <w:r w:rsidRPr="00016A65">
        <w:rPr>
          <w:rFonts w:ascii="Arial" w:hAnsi="Arial" w:cs="Arial"/>
        </w:rPr>
        <w:t xml:space="preserve">Figure 4 shows the structure of the union of eleven communal lands (2023), sustained in the face of pressures such as logging, mining, and real estate growth. This reflects collective </w:t>
      </w:r>
      <w:r w:rsidRPr="00016A65">
        <w:rPr>
          <w:rFonts w:ascii="Arial" w:hAnsi="Arial" w:cs="Arial"/>
        </w:rPr>
        <w:lastRenderedPageBreak/>
        <w:t>action among actors with diverse interests in a shared social field (Touraine, 2006). Within this field, power relations and conflicts are reproduced and, when resolved through dialogue, generate social capital and agreements for forest management and certification. Cervantes et al. (2020) indicate that building this social capital is vital for transitioning from individual action to coordinated and sustainable cooperation.</w:t>
      </w:r>
    </w:p>
    <w:p w14:paraId="6179B6B2" w14:textId="77777777" w:rsidR="00C6792D" w:rsidRPr="00016A65" w:rsidRDefault="00C6792D" w:rsidP="00C6792D">
      <w:pPr>
        <w:pStyle w:val="Body"/>
        <w:rPr>
          <w:rFonts w:ascii="Arial" w:hAnsi="Arial" w:cs="Arial"/>
          <w:b/>
          <w:bCs/>
        </w:rPr>
      </w:pPr>
      <w:r w:rsidRPr="00016A65">
        <w:rPr>
          <w:rFonts w:ascii="Arial" w:hAnsi="Arial" w:cs="Arial"/>
          <w:b/>
          <w:bCs/>
        </w:rPr>
        <w:t>Figure 4. Organizational chart of the structure of the Union of Forest Communal Lands of the Sierra Norte.</w:t>
      </w:r>
    </w:p>
    <w:p w14:paraId="3443F948" w14:textId="7D085B78" w:rsidR="00C6792D" w:rsidRPr="00016A65" w:rsidRDefault="00C6792D" w:rsidP="00522F56">
      <w:pPr>
        <w:pStyle w:val="Body"/>
        <w:rPr>
          <w:rFonts w:ascii="Arial" w:hAnsi="Arial" w:cs="Arial"/>
        </w:rPr>
      </w:pPr>
    </w:p>
    <w:p w14:paraId="0246B340" w14:textId="667E4E2E" w:rsidR="00790ADA" w:rsidRPr="00016A65" w:rsidRDefault="00C6792D" w:rsidP="00441B6F">
      <w:pPr>
        <w:pStyle w:val="Body"/>
        <w:spacing w:after="0"/>
        <w:rPr>
          <w:rFonts w:ascii="Arial" w:hAnsi="Arial" w:cs="Arial"/>
        </w:rPr>
      </w:pPr>
      <w:r w:rsidRPr="00016A65">
        <w:rPr>
          <w:rFonts w:ascii="Arial" w:hAnsi="Arial" w:cs="Arial"/>
          <w:noProof/>
          <w:color w:val="EE0000"/>
          <w:sz w:val="24"/>
          <w:lang w:eastAsia="es-MX"/>
        </w:rPr>
        <w:drawing>
          <wp:inline distT="0" distB="0" distL="0" distR="0" wp14:anchorId="168A3B71" wp14:editId="2E702BFC">
            <wp:extent cx="5212080" cy="3882390"/>
            <wp:effectExtent l="0" t="0" r="0" b="0"/>
            <wp:docPr id="85083478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34782" name="Imagen 850834782"/>
                    <pic:cNvPicPr/>
                  </pic:nvPicPr>
                  <pic:blipFill>
                    <a:blip r:embed="rId16">
                      <a:extLst>
                        <a:ext uri="{28A0092B-C50C-407E-A947-70E740481C1C}">
                          <a14:useLocalDpi xmlns:a14="http://schemas.microsoft.com/office/drawing/2010/main" val="0"/>
                        </a:ext>
                      </a:extLst>
                    </a:blip>
                    <a:stretch>
                      <a:fillRect/>
                    </a:stretch>
                  </pic:blipFill>
                  <pic:spPr>
                    <a:xfrm>
                      <a:off x="0" y="0"/>
                      <a:ext cx="5212080" cy="3882390"/>
                    </a:xfrm>
                    <a:prstGeom prst="rect">
                      <a:avLst/>
                    </a:prstGeom>
                  </pic:spPr>
                </pic:pic>
              </a:graphicData>
            </a:graphic>
          </wp:inline>
        </w:drawing>
      </w:r>
    </w:p>
    <w:p w14:paraId="07AB11E6" w14:textId="77777777" w:rsidR="00C6792D" w:rsidRPr="00016A65" w:rsidRDefault="00C6792D" w:rsidP="00C6792D">
      <w:pPr>
        <w:pStyle w:val="Body"/>
        <w:rPr>
          <w:rFonts w:ascii="Arial" w:hAnsi="Arial" w:cs="Arial"/>
        </w:rPr>
      </w:pPr>
      <w:r w:rsidRPr="00016A65">
        <w:rPr>
          <w:rFonts w:ascii="Arial" w:hAnsi="Arial" w:cs="Arial"/>
        </w:rPr>
        <w:t>Source: Own elaboration, 2024</w:t>
      </w:r>
    </w:p>
    <w:p w14:paraId="48DA6345" w14:textId="77777777" w:rsidR="00C6792D" w:rsidRPr="00016A65" w:rsidRDefault="00C6792D" w:rsidP="00C6792D">
      <w:pPr>
        <w:pStyle w:val="Body"/>
        <w:rPr>
          <w:rFonts w:ascii="Arial" w:hAnsi="Arial" w:cs="Arial"/>
        </w:rPr>
      </w:pPr>
      <w:r w:rsidRPr="00016A65">
        <w:rPr>
          <w:rFonts w:ascii="Arial" w:hAnsi="Arial" w:cs="Arial"/>
        </w:rPr>
        <w:t>Collective action evolves in the face of confrontation and repression (</w:t>
      </w:r>
      <w:proofErr w:type="spellStart"/>
      <w:r w:rsidRPr="00016A65">
        <w:rPr>
          <w:rFonts w:ascii="Arial" w:hAnsi="Arial" w:cs="Arial"/>
        </w:rPr>
        <w:t>Kuri</w:t>
      </w:r>
      <w:proofErr w:type="spellEnd"/>
      <w:r w:rsidRPr="00016A65">
        <w:rPr>
          <w:rFonts w:ascii="Arial" w:hAnsi="Arial" w:cs="Arial"/>
        </w:rPr>
        <w:t>, 2016). Conflict, understood as competition for valued resources (</w:t>
      </w:r>
      <w:proofErr w:type="spellStart"/>
      <w:r w:rsidRPr="00016A65">
        <w:rPr>
          <w:rFonts w:ascii="Arial" w:hAnsi="Arial" w:cs="Arial"/>
        </w:rPr>
        <w:t>Melucci</w:t>
      </w:r>
      <w:proofErr w:type="spellEnd"/>
      <w:r w:rsidRPr="00016A65">
        <w:rPr>
          <w:rFonts w:ascii="Arial" w:hAnsi="Arial" w:cs="Arial"/>
        </w:rPr>
        <w:t>, 1990), originates these actions which, in the long term, diversify their resistance based on cultural and ideological aspects (</w:t>
      </w:r>
      <w:proofErr w:type="spellStart"/>
      <w:r w:rsidRPr="00016A65">
        <w:rPr>
          <w:rFonts w:ascii="Arial" w:hAnsi="Arial" w:cs="Arial"/>
        </w:rPr>
        <w:t>Svampa</w:t>
      </w:r>
      <w:proofErr w:type="spellEnd"/>
      <w:r w:rsidRPr="00016A65">
        <w:rPr>
          <w:rFonts w:ascii="Arial" w:hAnsi="Arial" w:cs="Arial"/>
        </w:rPr>
        <w:t>, 2009; Fry, 2020).</w:t>
      </w:r>
    </w:p>
    <w:p w14:paraId="7D1F292D" w14:textId="77777777" w:rsidR="00C6792D" w:rsidRPr="00016A65" w:rsidRDefault="00C6792D" w:rsidP="00C6792D">
      <w:pPr>
        <w:pStyle w:val="Body"/>
        <w:rPr>
          <w:rFonts w:ascii="Arial" w:hAnsi="Arial" w:cs="Arial"/>
        </w:rPr>
      </w:pPr>
      <w:r w:rsidRPr="00016A65">
        <w:rPr>
          <w:rFonts w:ascii="Arial" w:hAnsi="Arial" w:cs="Arial"/>
        </w:rPr>
        <w:t>For its part, Figure 5 (SWOT analysis) reveals opportunities for sustained growth. It highlights the worldview (</w:t>
      </w:r>
      <w:proofErr w:type="spellStart"/>
      <w:r w:rsidRPr="00016A65">
        <w:rPr>
          <w:rFonts w:ascii="Arial" w:hAnsi="Arial" w:cs="Arial"/>
        </w:rPr>
        <w:t>cosmovisión</w:t>
      </w:r>
      <w:proofErr w:type="spellEnd"/>
      <w:r w:rsidRPr="00016A65">
        <w:rPr>
          <w:rFonts w:ascii="Arial" w:hAnsi="Arial" w:cs="Arial"/>
        </w:rPr>
        <w:t xml:space="preserve">) of nature care as a strength, aligned with the four pillars of Martínez and Santos (2020): land (identity), </w:t>
      </w:r>
      <w:proofErr w:type="spellStart"/>
      <w:r w:rsidRPr="00016A65">
        <w:rPr>
          <w:rFonts w:ascii="Arial" w:hAnsi="Arial" w:cs="Arial"/>
        </w:rPr>
        <w:t>tequio</w:t>
      </w:r>
      <w:proofErr w:type="spellEnd"/>
      <w:r w:rsidRPr="00016A65">
        <w:rPr>
          <w:rFonts w:ascii="Arial" w:hAnsi="Arial" w:cs="Arial"/>
        </w:rPr>
        <w:t xml:space="preserve"> (communal work), assembly, and communal enjoyment. Thus, the land transcends the economic: it is sacred, cultural, and the foundation of ethnic identity.</w:t>
      </w:r>
    </w:p>
    <w:p w14:paraId="2F7B9EC2" w14:textId="77777777" w:rsidR="00C6792D" w:rsidRPr="00016A65" w:rsidRDefault="00C6792D" w:rsidP="00C6792D">
      <w:pPr>
        <w:pStyle w:val="Body"/>
        <w:rPr>
          <w:rFonts w:ascii="Arial" w:hAnsi="Arial" w:cs="Arial"/>
        </w:rPr>
      </w:pPr>
      <w:r w:rsidRPr="00016A65">
        <w:rPr>
          <w:rFonts w:ascii="Arial" w:hAnsi="Arial" w:cs="Arial"/>
        </w:rPr>
        <w:t>Among the main challenges are institutional changes, the lack of commitment from sawmills, and environmental conditions (fires, rains, deficient infrastructure) that reduce productivity.</w:t>
      </w:r>
    </w:p>
    <w:p w14:paraId="3486323F" w14:textId="77777777" w:rsidR="00C6792D" w:rsidRPr="00016A65" w:rsidRDefault="00C6792D" w:rsidP="00C6792D">
      <w:pPr>
        <w:pStyle w:val="Body"/>
        <w:rPr>
          <w:rFonts w:ascii="Arial" w:hAnsi="Arial" w:cs="Arial"/>
        </w:rPr>
      </w:pPr>
      <w:r w:rsidRPr="00016A65">
        <w:rPr>
          <w:rFonts w:ascii="Arial" w:hAnsi="Arial" w:cs="Arial"/>
        </w:rPr>
        <w:lastRenderedPageBreak/>
        <w:t>On the other hand, communal lands with sustainable exploitation drive local development (</w:t>
      </w:r>
      <w:proofErr w:type="spellStart"/>
      <w:r w:rsidRPr="00016A65">
        <w:rPr>
          <w:rFonts w:ascii="Arial" w:hAnsi="Arial" w:cs="Arial"/>
        </w:rPr>
        <w:t>Chapela</w:t>
      </w:r>
      <w:proofErr w:type="spellEnd"/>
      <w:r w:rsidRPr="00016A65">
        <w:rPr>
          <w:rFonts w:ascii="Arial" w:hAnsi="Arial" w:cs="Arial"/>
        </w:rPr>
        <w:t>, 2021) and maintain their socio-cultural roots. Although human capital requires greater specialization, there is clear collaboration and transmission of forestry knowledge among communal landowners.</w:t>
      </w:r>
    </w:p>
    <w:p w14:paraId="1B427674" w14:textId="77777777" w:rsidR="00C6792D" w:rsidRPr="00016A65" w:rsidRDefault="00C6792D" w:rsidP="00C6792D">
      <w:pPr>
        <w:pStyle w:val="Body"/>
        <w:rPr>
          <w:rFonts w:ascii="Arial" w:hAnsi="Arial" w:cs="Arial"/>
          <w:b/>
          <w:bCs/>
        </w:rPr>
      </w:pPr>
      <w:r w:rsidRPr="00016A65">
        <w:rPr>
          <w:rFonts w:ascii="Arial" w:hAnsi="Arial" w:cs="Arial"/>
          <w:b/>
          <w:bCs/>
        </w:rPr>
        <w:t xml:space="preserve">Figure 5. Analysis of Strengths, Opportunities, Weaknesses, and Threats (SWOT) detected in the forest communal lands of the </w:t>
      </w:r>
      <w:proofErr w:type="spellStart"/>
      <w:r w:rsidRPr="00016A65">
        <w:rPr>
          <w:rFonts w:ascii="Arial" w:hAnsi="Arial" w:cs="Arial"/>
          <w:b/>
          <w:bCs/>
        </w:rPr>
        <w:t>Chignahuapan-Zacatlan</w:t>
      </w:r>
      <w:proofErr w:type="spellEnd"/>
      <w:r w:rsidRPr="00016A65">
        <w:rPr>
          <w:rFonts w:ascii="Arial" w:hAnsi="Arial" w:cs="Arial"/>
          <w:b/>
          <w:bCs/>
        </w:rPr>
        <w:t xml:space="preserve"> region.</w:t>
      </w:r>
    </w:p>
    <w:p w14:paraId="1766126C" w14:textId="1FB7EF14" w:rsidR="00C6792D" w:rsidRPr="00016A65" w:rsidRDefault="00C6792D" w:rsidP="00441B6F">
      <w:pPr>
        <w:pStyle w:val="ConcHead"/>
        <w:spacing w:after="0"/>
        <w:jc w:val="both"/>
        <w:rPr>
          <w:rFonts w:ascii="Arial" w:hAnsi="Arial" w:cs="Arial"/>
        </w:rPr>
      </w:pPr>
      <w:r w:rsidRPr="00016A65">
        <w:rPr>
          <w:rFonts w:ascii="Arial" w:hAnsi="Arial" w:cs="Arial"/>
          <w:b w:val="0"/>
          <w:bCs/>
          <w:noProof/>
          <w:sz w:val="24"/>
        </w:rPr>
        <w:drawing>
          <wp:inline distT="0" distB="0" distL="0" distR="0" wp14:anchorId="6E5BA3C9" wp14:editId="0FCB4C4F">
            <wp:extent cx="5212080" cy="3109350"/>
            <wp:effectExtent l="0" t="0" r="0" b="0"/>
            <wp:docPr id="131550926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09269" name="Imagen 1315509269"/>
                    <pic:cNvPicPr/>
                  </pic:nvPicPr>
                  <pic:blipFill>
                    <a:blip r:embed="rId17">
                      <a:extLst>
                        <a:ext uri="{28A0092B-C50C-407E-A947-70E740481C1C}">
                          <a14:useLocalDpi xmlns:a14="http://schemas.microsoft.com/office/drawing/2010/main" val="0"/>
                        </a:ext>
                      </a:extLst>
                    </a:blip>
                    <a:stretch>
                      <a:fillRect/>
                    </a:stretch>
                  </pic:blipFill>
                  <pic:spPr>
                    <a:xfrm>
                      <a:off x="0" y="0"/>
                      <a:ext cx="5212080" cy="3109350"/>
                    </a:xfrm>
                    <a:prstGeom prst="rect">
                      <a:avLst/>
                    </a:prstGeom>
                  </pic:spPr>
                </pic:pic>
              </a:graphicData>
            </a:graphic>
          </wp:inline>
        </w:drawing>
      </w:r>
    </w:p>
    <w:p w14:paraId="1F529EEE" w14:textId="77777777" w:rsidR="00C6792D" w:rsidRPr="00016A65" w:rsidRDefault="00C6792D" w:rsidP="00C6792D">
      <w:pPr>
        <w:pStyle w:val="ConcHead"/>
        <w:spacing w:after="0"/>
        <w:jc w:val="both"/>
        <w:rPr>
          <w:rFonts w:ascii="Arial" w:hAnsi="Arial" w:cs="Arial"/>
          <w:b w:val="0"/>
          <w:caps w:val="0"/>
          <w:sz w:val="20"/>
          <w:lang w:eastAsia="es-MX"/>
        </w:rPr>
      </w:pPr>
      <w:r w:rsidRPr="00016A65">
        <w:rPr>
          <w:rFonts w:ascii="Arial" w:hAnsi="Arial" w:cs="Arial"/>
          <w:b w:val="0"/>
          <w:caps w:val="0"/>
          <w:sz w:val="20"/>
          <w:lang w:eastAsia="es-MX"/>
        </w:rPr>
        <w:t>Source: Own elaboration based on workshops conducted with the communal lands, 2022.</w:t>
      </w:r>
    </w:p>
    <w:p w14:paraId="49494942" w14:textId="77777777" w:rsidR="00C6792D" w:rsidRPr="00016A65" w:rsidRDefault="00C6792D" w:rsidP="00441B6F">
      <w:pPr>
        <w:pStyle w:val="ConcHead"/>
        <w:spacing w:after="0"/>
        <w:jc w:val="both"/>
        <w:rPr>
          <w:rFonts w:ascii="Arial" w:hAnsi="Arial" w:cs="Arial"/>
        </w:rPr>
      </w:pPr>
    </w:p>
    <w:p w14:paraId="5CF16632" w14:textId="77777777" w:rsidR="00C6792D" w:rsidRPr="00016A65" w:rsidRDefault="00C6792D" w:rsidP="00441B6F">
      <w:pPr>
        <w:pStyle w:val="ConcHead"/>
        <w:spacing w:after="0"/>
        <w:jc w:val="both"/>
        <w:rPr>
          <w:rFonts w:ascii="Arial" w:hAnsi="Arial" w:cs="Arial"/>
        </w:rPr>
      </w:pPr>
    </w:p>
    <w:p w14:paraId="6D5743DD" w14:textId="46704AC6" w:rsidR="00B01FCD" w:rsidRPr="00016A65" w:rsidRDefault="00000F8F" w:rsidP="00441B6F">
      <w:pPr>
        <w:pStyle w:val="ConcHead"/>
        <w:spacing w:after="0"/>
        <w:jc w:val="both"/>
        <w:rPr>
          <w:rFonts w:ascii="Arial" w:hAnsi="Arial" w:cs="Arial"/>
        </w:rPr>
      </w:pPr>
      <w:r w:rsidRPr="00016A65">
        <w:rPr>
          <w:rFonts w:ascii="Arial" w:hAnsi="Arial" w:cs="Arial"/>
        </w:rPr>
        <w:t xml:space="preserve">4. </w:t>
      </w:r>
      <w:r w:rsidR="00B01FCD" w:rsidRPr="00016A65">
        <w:rPr>
          <w:rFonts w:ascii="Arial" w:hAnsi="Arial" w:cs="Arial"/>
        </w:rPr>
        <w:t>Conclusion</w:t>
      </w:r>
    </w:p>
    <w:p w14:paraId="47D3562B" w14:textId="77777777" w:rsidR="00790ADA" w:rsidRPr="00016A65" w:rsidRDefault="00790ADA" w:rsidP="00441B6F">
      <w:pPr>
        <w:pStyle w:val="ConcHead"/>
        <w:spacing w:after="0"/>
        <w:jc w:val="both"/>
        <w:rPr>
          <w:rFonts w:ascii="Arial" w:hAnsi="Arial" w:cs="Arial"/>
        </w:rPr>
      </w:pPr>
    </w:p>
    <w:p w14:paraId="1641E59E" w14:textId="77777777" w:rsidR="00C6792D" w:rsidRPr="00016A65" w:rsidRDefault="00C6792D" w:rsidP="00C6792D">
      <w:pPr>
        <w:pStyle w:val="Body"/>
        <w:spacing w:after="0"/>
        <w:rPr>
          <w:rFonts w:ascii="Arial" w:hAnsi="Arial" w:cs="Arial"/>
        </w:rPr>
      </w:pPr>
      <w:r w:rsidRPr="00016A65">
        <w:rPr>
          <w:rFonts w:ascii="Arial" w:hAnsi="Arial" w:cs="Arial"/>
        </w:rPr>
        <w:t xml:space="preserve">Forest exploitation structures the communal land organization and encourages participation for an equitable distribution of benefits. Collective knowledge and training legitimize internal rules; however, the ability to reach agreements depends on the complexity of conflicts such </w:t>
      </w:r>
      <w:r w:rsidRPr="00D82CED">
        <w:rPr>
          <w:rFonts w:ascii="Arial" w:hAnsi="Arial" w:cs="Arial"/>
        </w:rPr>
        <w:t>as illegal logging or fires, which demands more robust regulations. Thus, the construction of the "collective" in the region is a continuous process, sustained in the face of external pressures (real estate, mining, and water-related) that drive joint action among diverse stakeholders.</w:t>
      </w:r>
    </w:p>
    <w:p w14:paraId="77C67FCA" w14:textId="77777777" w:rsidR="00315186" w:rsidRPr="00016A65" w:rsidRDefault="00315186" w:rsidP="00441B6F">
      <w:pPr>
        <w:rPr>
          <w:rFonts w:ascii="Arial" w:hAnsi="Arial" w:cs="Arial"/>
        </w:rPr>
      </w:pPr>
    </w:p>
    <w:p w14:paraId="283B8F41" w14:textId="77777777" w:rsidR="001A29D8" w:rsidRPr="00016A65" w:rsidRDefault="001A29D8" w:rsidP="00441B6F">
      <w:pPr>
        <w:pStyle w:val="ReferHead"/>
        <w:spacing w:after="0"/>
        <w:jc w:val="both"/>
        <w:rPr>
          <w:rFonts w:ascii="Arial" w:hAnsi="Arial" w:cs="Arial"/>
          <w:b w:val="0"/>
          <w:caps w:val="0"/>
          <w:sz w:val="20"/>
        </w:rPr>
      </w:pPr>
    </w:p>
    <w:p w14:paraId="0FF37A92" w14:textId="77777777" w:rsidR="005C784C" w:rsidRPr="00016A65" w:rsidRDefault="005C784C" w:rsidP="00441B6F">
      <w:pPr>
        <w:pStyle w:val="ReferHead"/>
        <w:spacing w:after="0"/>
        <w:jc w:val="both"/>
        <w:rPr>
          <w:rFonts w:ascii="Arial" w:hAnsi="Arial" w:cs="Arial"/>
          <w:b w:val="0"/>
          <w:caps w:val="0"/>
          <w:sz w:val="20"/>
        </w:rPr>
      </w:pPr>
    </w:p>
    <w:p w14:paraId="520676C3" w14:textId="4B7E0E70" w:rsidR="00860000" w:rsidRPr="00016A65" w:rsidRDefault="00C6792D" w:rsidP="00441B6F">
      <w:pPr>
        <w:pStyle w:val="ReferHead"/>
        <w:spacing w:after="0"/>
        <w:jc w:val="both"/>
        <w:rPr>
          <w:rFonts w:ascii="Arial" w:hAnsi="Arial" w:cs="Arial"/>
        </w:rPr>
      </w:pPr>
      <w:r w:rsidRPr="00016A65">
        <w:rPr>
          <w:rFonts w:ascii="Arial" w:hAnsi="Arial" w:cs="Arial"/>
        </w:rPr>
        <w:t>References</w:t>
      </w:r>
    </w:p>
    <w:p w14:paraId="74B561D5" w14:textId="77777777" w:rsidR="00C6792D" w:rsidRPr="00016A65" w:rsidRDefault="00C6792D" w:rsidP="00441B6F">
      <w:pPr>
        <w:pStyle w:val="ReferHead"/>
        <w:spacing w:after="0"/>
        <w:jc w:val="both"/>
        <w:rPr>
          <w:rFonts w:ascii="Arial" w:hAnsi="Arial" w:cs="Arial"/>
        </w:rPr>
      </w:pPr>
    </w:p>
    <w:p w14:paraId="7A5D5D24"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Rodríguez, H. B. (2010). </w:t>
      </w:r>
      <w:proofErr w:type="spellStart"/>
      <w:r w:rsidRPr="00991386">
        <w:rPr>
          <w:rFonts w:ascii="Arial" w:eastAsia="Calibri" w:hAnsi="Arial" w:cs="Arial"/>
          <w:color w:val="000000" w:themeColor="text1"/>
          <w:shd w:val="clear" w:color="auto" w:fill="FFFFFF"/>
          <w:lang w:val="es-MX"/>
        </w:rPr>
        <w:t>Sustainable</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Organizations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Success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Factors</w:t>
      </w:r>
      <w:proofErr w:type="spellEnd"/>
      <w:r w:rsidRPr="00991386">
        <w:rPr>
          <w:rFonts w:ascii="Arial" w:eastAsia="Calibri" w:hAnsi="Arial" w:cs="Arial"/>
          <w:color w:val="000000" w:themeColor="text1"/>
          <w:shd w:val="clear" w:color="auto" w:fill="FFFFFF"/>
          <w:lang w:val="es-MX"/>
        </w:rPr>
        <w:t>. In N. García Melchor (</w:t>
      </w:r>
      <w:proofErr w:type="spellStart"/>
      <w:r w:rsidRPr="00991386">
        <w:rPr>
          <w:rFonts w:ascii="Arial" w:eastAsia="Calibri" w:hAnsi="Arial" w:cs="Arial"/>
          <w:color w:val="000000" w:themeColor="text1"/>
          <w:shd w:val="clear" w:color="auto" w:fill="FFFFFF"/>
          <w:lang w:val="es-MX"/>
        </w:rPr>
        <w:t>Coordinator</w:t>
      </w:r>
      <w:proofErr w:type="spellEnd"/>
      <w:r w:rsidRPr="00991386">
        <w:rPr>
          <w:rFonts w:ascii="Arial" w:eastAsia="Calibri" w:hAnsi="Arial" w:cs="Arial"/>
          <w:color w:val="000000" w:themeColor="text1"/>
          <w:shd w:val="clear" w:color="auto" w:fill="FFFFFF"/>
          <w:lang w:val="es-MX"/>
        </w:rPr>
        <w:t xml:space="preserve">), *Cultural </w:t>
      </w:r>
      <w:proofErr w:type="spellStart"/>
      <w:r w:rsidRPr="00991386">
        <w:rPr>
          <w:rFonts w:ascii="Arial" w:eastAsia="Calibri" w:hAnsi="Arial" w:cs="Arial"/>
          <w:color w:val="000000" w:themeColor="text1"/>
          <w:shd w:val="clear" w:color="auto" w:fill="FFFFFF"/>
          <w:lang w:val="es-MX"/>
        </w:rPr>
        <w:t>Diversity</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Sustainability</w:t>
      </w:r>
      <w:proofErr w:type="spellEnd"/>
      <w:r w:rsidRPr="00991386">
        <w:rPr>
          <w:rFonts w:ascii="Arial" w:eastAsia="Calibri" w:hAnsi="Arial" w:cs="Arial"/>
          <w:color w:val="000000" w:themeColor="text1"/>
          <w:shd w:val="clear" w:color="auto" w:fill="FFFFFF"/>
          <w:lang w:val="es-MX"/>
        </w:rPr>
        <w:t xml:space="preserve">*, Vol. I (pp. 121–129). </w:t>
      </w:r>
      <w:proofErr w:type="spellStart"/>
      <w:r w:rsidRPr="00991386">
        <w:rPr>
          <w:rFonts w:ascii="Arial" w:eastAsia="Calibri" w:hAnsi="Arial" w:cs="Arial"/>
          <w:color w:val="000000" w:themeColor="text1"/>
          <w:shd w:val="clear" w:color="auto" w:fill="FFFFFF"/>
          <w:lang w:val="es-MX"/>
        </w:rPr>
        <w:t>University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Guanajuato, Celaya–Salvatierra Campus, Guanajuato,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https://www.eumed.net/libros-gratis/2010e/833/Organizaciones%20sociales%20sustentables%20factores%20de%20exito.</w:t>
      </w:r>
      <w:bookmarkStart w:id="0" w:name="_GoBack"/>
      <w:r w:rsidRPr="00991386">
        <w:rPr>
          <w:rFonts w:ascii="Arial" w:eastAsia="Calibri" w:hAnsi="Arial" w:cs="Arial"/>
          <w:color w:val="000000" w:themeColor="text1"/>
          <w:shd w:val="clear" w:color="auto" w:fill="FFFFFF"/>
          <w:lang w:val="es-MX"/>
        </w:rPr>
        <w:t>htm</w:t>
      </w:r>
    </w:p>
    <w:bookmarkEnd w:id="0"/>
    <w:p w14:paraId="6ACB29DB"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lastRenderedPageBreak/>
        <w:t>Wolf, E. R. (1999). *</w:t>
      </w:r>
      <w:proofErr w:type="spellStart"/>
      <w:r w:rsidRPr="00991386">
        <w:rPr>
          <w:rFonts w:ascii="Arial" w:eastAsia="Calibri" w:hAnsi="Arial" w:cs="Arial"/>
          <w:color w:val="000000" w:themeColor="text1"/>
          <w:shd w:val="clear" w:color="auto" w:fill="FFFFFF"/>
          <w:lang w:val="es-MX"/>
        </w:rPr>
        <w:t>Peasant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Struggles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20th Century*. Siglo XXI.</w:t>
      </w:r>
    </w:p>
    <w:p w14:paraId="0F11B976"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Hernández, B. D. (2017). *</w:t>
      </w:r>
      <w:proofErr w:type="spellStart"/>
      <w:r w:rsidRPr="00991386">
        <w:rPr>
          <w:rFonts w:ascii="Arial" w:eastAsia="Calibri" w:hAnsi="Arial" w:cs="Arial"/>
          <w:color w:val="000000" w:themeColor="text1"/>
          <w:shd w:val="clear" w:color="auto" w:fill="FFFFFF"/>
          <w:lang w:val="es-MX"/>
        </w:rPr>
        <w:t>Land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Tenure</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State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Neoliberal </w:t>
      </w:r>
      <w:proofErr w:type="spellStart"/>
      <w:r w:rsidRPr="00991386">
        <w:rPr>
          <w:rFonts w:ascii="Arial" w:eastAsia="Calibri" w:hAnsi="Arial" w:cs="Arial"/>
          <w:color w:val="000000" w:themeColor="text1"/>
          <w:shd w:val="clear" w:color="auto" w:fill="FFFFFF"/>
          <w:lang w:val="es-MX"/>
        </w:rPr>
        <w:t>State</w:t>
      </w:r>
      <w:proofErr w:type="spellEnd"/>
      <w:r w:rsidRPr="00991386">
        <w:rPr>
          <w:rFonts w:ascii="Arial" w:eastAsia="Calibri" w:hAnsi="Arial" w:cs="Arial"/>
          <w:color w:val="000000" w:themeColor="text1"/>
          <w:shd w:val="clear" w:color="auto" w:fill="FFFFFF"/>
          <w:lang w:val="es-MX"/>
        </w:rPr>
        <w:t xml:space="preserve">* (Doctoral </w:t>
      </w:r>
      <w:proofErr w:type="spellStart"/>
      <w:r w:rsidRPr="00991386">
        <w:rPr>
          <w:rFonts w:ascii="Arial" w:eastAsia="Calibri" w:hAnsi="Arial" w:cs="Arial"/>
          <w:color w:val="000000" w:themeColor="text1"/>
          <w:shd w:val="clear" w:color="auto" w:fill="FFFFFF"/>
          <w:lang w:val="es-MX"/>
        </w:rPr>
        <w:t>Dissertation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http://repositorioinstitucionaluacm.mx/jspui/handle/123456789/559</w:t>
      </w:r>
    </w:p>
    <w:p w14:paraId="3604A3EF"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6B11C6E9"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Salmón, C. Á. P., &amp; Caldelas, R. I. R. (2012).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Landscape</w:t>
      </w:r>
      <w:proofErr w:type="spellEnd"/>
      <w:r w:rsidRPr="00991386">
        <w:rPr>
          <w:rFonts w:ascii="Arial" w:eastAsia="Calibri" w:hAnsi="Arial" w:cs="Arial"/>
          <w:color w:val="000000" w:themeColor="text1"/>
          <w:shd w:val="clear" w:color="auto" w:fill="FFFFFF"/>
          <w:lang w:val="es-MX"/>
        </w:rPr>
        <w:t xml:space="preserve">: A </w:t>
      </w:r>
      <w:proofErr w:type="spellStart"/>
      <w:r w:rsidRPr="00991386">
        <w:rPr>
          <w:rFonts w:ascii="Arial" w:eastAsia="Calibri" w:hAnsi="Arial" w:cs="Arial"/>
          <w:color w:val="000000" w:themeColor="text1"/>
          <w:shd w:val="clear" w:color="auto" w:fill="FFFFFF"/>
          <w:lang w:val="es-MX"/>
        </w:rPr>
        <w:t>Resource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That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Must</w:t>
      </w:r>
      <w:proofErr w:type="spellEnd"/>
      <w:r w:rsidRPr="00991386">
        <w:rPr>
          <w:rFonts w:ascii="Arial" w:eastAsia="Calibri" w:hAnsi="Arial" w:cs="Arial"/>
          <w:color w:val="000000" w:themeColor="text1"/>
          <w:shd w:val="clear" w:color="auto" w:fill="FFFFFF"/>
          <w:lang w:val="es-MX"/>
        </w:rPr>
        <w:t xml:space="preserve"> Be </w:t>
      </w:r>
      <w:proofErr w:type="spellStart"/>
      <w:r w:rsidRPr="00991386">
        <w:rPr>
          <w:rFonts w:ascii="Arial" w:eastAsia="Calibri" w:hAnsi="Arial" w:cs="Arial"/>
          <w:color w:val="000000" w:themeColor="text1"/>
          <w:shd w:val="clear" w:color="auto" w:fill="FFFFFF"/>
          <w:lang w:val="es-MX"/>
        </w:rPr>
        <w:t>Legislated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Today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to</w:t>
      </w:r>
      <w:proofErr w:type="spellEnd"/>
      <w:r w:rsidRPr="00991386">
        <w:rPr>
          <w:rFonts w:ascii="Arial" w:eastAsia="Calibri" w:hAnsi="Arial" w:cs="Arial"/>
          <w:color w:val="000000" w:themeColor="text1"/>
          <w:shd w:val="clear" w:color="auto" w:fill="FFFFFF"/>
          <w:lang w:val="es-MX"/>
        </w:rPr>
        <w:t xml:space="preserve"> Be </w:t>
      </w:r>
      <w:proofErr w:type="spellStart"/>
      <w:r w:rsidRPr="00991386">
        <w:rPr>
          <w:rFonts w:ascii="Arial" w:eastAsia="Calibri" w:hAnsi="Arial" w:cs="Arial"/>
          <w:color w:val="000000" w:themeColor="text1"/>
          <w:shd w:val="clear" w:color="auto" w:fill="FFFFFF"/>
          <w:lang w:val="es-MX"/>
        </w:rPr>
        <w:t>Conserved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Tomorrow</w:t>
      </w:r>
      <w:proofErr w:type="spellEnd"/>
      <w:r w:rsidRPr="00991386">
        <w:rPr>
          <w:rFonts w:ascii="Arial" w:eastAsia="Calibri" w:hAnsi="Arial" w:cs="Arial"/>
          <w:color w:val="000000" w:themeColor="text1"/>
          <w:shd w:val="clear" w:color="auto" w:fill="FFFFFF"/>
          <w:lang w:val="es-MX"/>
        </w:rPr>
        <w:t>. *</w:t>
      </w:r>
      <w:proofErr w:type="spellStart"/>
      <w:r w:rsidRPr="00991386">
        <w:rPr>
          <w:rFonts w:ascii="Arial" w:eastAsia="Calibri" w:hAnsi="Arial" w:cs="Arial"/>
          <w:color w:val="000000" w:themeColor="text1"/>
          <w:shd w:val="clear" w:color="auto" w:fill="FFFFFF"/>
          <w:lang w:val="es-MX"/>
        </w:rPr>
        <w:t>Legislative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Journal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Studies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Public</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Opinion</w:t>
      </w:r>
      <w:proofErr w:type="spellEnd"/>
      <w:r w:rsidRPr="00991386">
        <w:rPr>
          <w:rFonts w:ascii="Arial" w:eastAsia="Calibri" w:hAnsi="Arial" w:cs="Arial"/>
          <w:color w:val="000000" w:themeColor="text1"/>
          <w:shd w:val="clear" w:color="auto" w:fill="FFFFFF"/>
          <w:lang w:val="es-MX"/>
        </w:rPr>
        <w:t>*, 5(10), 147–176.</w:t>
      </w:r>
    </w:p>
    <w:p w14:paraId="2408D69A"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Tutino</w:t>
      </w:r>
      <w:proofErr w:type="spellEnd"/>
      <w:r w:rsidRPr="00991386">
        <w:rPr>
          <w:rFonts w:ascii="Arial" w:eastAsia="Calibri" w:hAnsi="Arial" w:cs="Arial"/>
          <w:color w:val="000000" w:themeColor="text1"/>
          <w:shd w:val="clear" w:color="auto" w:fill="FFFFFF"/>
          <w:lang w:val="es-MX"/>
        </w:rPr>
        <w:t xml:space="preserve">, J., &amp; Vega, M. A. Z. (1992). Histories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Agrarian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w:t>
      </w:r>
      <w:proofErr w:type="spellStart"/>
      <w:r w:rsidRPr="00991386">
        <w:rPr>
          <w:rFonts w:ascii="Arial" w:eastAsia="Calibri" w:hAnsi="Arial" w:cs="Arial"/>
          <w:color w:val="000000" w:themeColor="text1"/>
          <w:shd w:val="clear" w:color="auto" w:fill="FFFFFF"/>
          <w:lang w:val="es-MX"/>
        </w:rPr>
        <w:t>Mexican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History</w:t>
      </w:r>
      <w:proofErr w:type="spellEnd"/>
      <w:r w:rsidRPr="00991386">
        <w:rPr>
          <w:rFonts w:ascii="Arial" w:eastAsia="Calibri" w:hAnsi="Arial" w:cs="Arial"/>
          <w:color w:val="000000" w:themeColor="text1"/>
          <w:shd w:val="clear" w:color="auto" w:fill="FFFFFF"/>
          <w:lang w:val="es-MX"/>
        </w:rPr>
        <w:t xml:space="preserve">*, Vol. 42 (166), 177–220.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https://historiamexicana.colmex.mx/index.php/RHM/article/view/2218/2954</w:t>
      </w:r>
    </w:p>
    <w:p w14:paraId="021D9276"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Braña, V. J., &amp; Martínez, A. (2005). </w:t>
      </w:r>
      <w:proofErr w:type="spellStart"/>
      <w:r w:rsidRPr="00991386">
        <w:rPr>
          <w:rFonts w:ascii="Arial" w:eastAsia="Calibri" w:hAnsi="Arial" w:cs="Arial"/>
          <w:color w:val="000000" w:themeColor="text1"/>
          <w:shd w:val="clear" w:color="auto" w:fill="FFFFFF"/>
          <w:lang w:val="es-MX"/>
        </w:rPr>
        <w:t>Land</w:t>
      </w:r>
      <w:proofErr w:type="spellEnd"/>
      <w:r w:rsidRPr="00991386">
        <w:rPr>
          <w:rFonts w:ascii="Arial" w:eastAsia="Calibri" w:hAnsi="Arial" w:cs="Arial"/>
          <w:color w:val="000000" w:themeColor="text1"/>
          <w:shd w:val="clear" w:color="auto" w:fill="FFFFFF"/>
          <w:lang w:val="es-MX"/>
        </w:rPr>
        <w:t xml:space="preserve">-Use Change: A </w:t>
      </w:r>
      <w:proofErr w:type="spellStart"/>
      <w:r w:rsidRPr="00991386">
        <w:rPr>
          <w:rFonts w:ascii="Arial" w:eastAsia="Calibri" w:hAnsi="Arial" w:cs="Arial"/>
          <w:color w:val="000000" w:themeColor="text1"/>
          <w:shd w:val="clear" w:color="auto" w:fill="FFFFFF"/>
          <w:lang w:val="es-MX"/>
        </w:rPr>
        <w:t>Study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Impact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PROCEDE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Common</w:t>
      </w:r>
      <w:proofErr w:type="spellEnd"/>
      <w:r w:rsidRPr="00991386">
        <w:rPr>
          <w:rFonts w:ascii="Arial" w:eastAsia="Calibri" w:hAnsi="Arial" w:cs="Arial"/>
          <w:color w:val="000000" w:themeColor="text1"/>
          <w:shd w:val="clear" w:color="auto" w:fill="FFFFFF"/>
          <w:lang w:val="es-MX"/>
        </w:rPr>
        <w:t xml:space="preserve">-Use </w:t>
      </w:r>
      <w:proofErr w:type="spellStart"/>
      <w:r w:rsidRPr="00991386">
        <w:rPr>
          <w:rFonts w:ascii="Arial" w:eastAsia="Calibri" w:hAnsi="Arial" w:cs="Arial"/>
          <w:color w:val="000000" w:themeColor="text1"/>
          <w:shd w:val="clear" w:color="auto" w:fill="FFFFFF"/>
          <w:lang w:val="es-MX"/>
        </w:rPr>
        <w:t>Decision-Making</w:t>
      </w:r>
      <w:proofErr w:type="spellEnd"/>
      <w:r w:rsidRPr="00991386">
        <w:rPr>
          <w:rFonts w:ascii="Arial" w:eastAsia="Calibri" w:hAnsi="Arial" w:cs="Arial"/>
          <w:color w:val="000000" w:themeColor="text1"/>
          <w:shd w:val="clear" w:color="auto" w:fill="FFFFFF"/>
          <w:lang w:val="es-MX"/>
        </w:rPr>
        <w:t>. *</w:t>
      </w:r>
      <w:proofErr w:type="spellStart"/>
      <w:r w:rsidRPr="00991386">
        <w:rPr>
          <w:rFonts w:ascii="Arial" w:eastAsia="Calibri" w:hAnsi="Arial" w:cs="Arial"/>
          <w:color w:val="000000" w:themeColor="text1"/>
          <w:shd w:val="clear" w:color="auto" w:fill="FFFFFF"/>
          <w:lang w:val="es-MX"/>
        </w:rPr>
        <w:t>Agronuevo</w:t>
      </w:r>
      <w:proofErr w:type="spellEnd"/>
      <w:r w:rsidRPr="00991386">
        <w:rPr>
          <w:rFonts w:ascii="Arial" w:eastAsia="Calibri" w:hAnsi="Arial" w:cs="Arial"/>
          <w:color w:val="000000" w:themeColor="text1"/>
          <w:shd w:val="clear" w:color="auto" w:fill="FFFFFF"/>
          <w:lang w:val="es-MX"/>
        </w:rPr>
        <w:t xml:space="preserve">*, 1, 45–68.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https://hdl.handle.net/10535/867</w:t>
      </w:r>
    </w:p>
    <w:p w14:paraId="43887B67"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65F303A5"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Agrarian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Law</w:t>
      </w:r>
      <w:proofErr w:type="spellEnd"/>
      <w:r w:rsidRPr="00991386">
        <w:rPr>
          <w:rFonts w:ascii="Arial" w:eastAsia="Calibri" w:hAnsi="Arial" w:cs="Arial"/>
          <w:color w:val="000000" w:themeColor="text1"/>
          <w:shd w:val="clear" w:color="auto" w:fill="FFFFFF"/>
          <w:lang w:val="es-MX"/>
        </w:rPr>
        <w:t xml:space="preserve">. (2022). </w:t>
      </w:r>
      <w:proofErr w:type="spellStart"/>
      <w:r w:rsidRPr="00991386">
        <w:rPr>
          <w:rFonts w:ascii="Arial" w:eastAsia="Calibri" w:hAnsi="Arial" w:cs="Arial"/>
          <w:color w:val="000000" w:themeColor="text1"/>
          <w:shd w:val="clear" w:color="auto" w:fill="FFFFFF"/>
          <w:lang w:val="es-MX"/>
        </w:rPr>
        <w:t>Decree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amending</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adding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various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provisions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Organic</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Law</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Agrarian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Tribunals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Agrarian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Law</w:t>
      </w:r>
      <w:proofErr w:type="spellEnd"/>
      <w:r w:rsidRPr="00991386">
        <w:rPr>
          <w:rFonts w:ascii="Arial" w:eastAsia="Calibri" w:hAnsi="Arial" w:cs="Arial"/>
          <w:color w:val="000000" w:themeColor="text1"/>
          <w:shd w:val="clear" w:color="auto" w:fill="FFFFFF"/>
          <w:lang w:val="es-MX"/>
        </w:rPr>
        <w:t xml:space="preserve">. DOF 09-07-1993.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https://www.diputados.gob.mx/LeyesBiblio/pdf/159.pdf.</w:t>
      </w:r>
    </w:p>
    <w:p w14:paraId="36DFD0FF"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National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Agrarian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Registry</w:t>
      </w:r>
      <w:proofErr w:type="spellEnd"/>
      <w:r w:rsidRPr="00991386">
        <w:rPr>
          <w:rFonts w:ascii="Arial" w:eastAsia="Calibri" w:hAnsi="Arial" w:cs="Arial"/>
          <w:color w:val="000000" w:themeColor="text1"/>
          <w:shd w:val="clear" w:color="auto" w:fill="FFFFFF"/>
          <w:lang w:val="es-MX"/>
        </w:rPr>
        <w:t xml:space="preserve"> (RAN). (2022). </w:t>
      </w:r>
      <w:proofErr w:type="spellStart"/>
      <w:r w:rsidRPr="00991386">
        <w:rPr>
          <w:rFonts w:ascii="Arial" w:eastAsia="Calibri" w:hAnsi="Arial" w:cs="Arial"/>
          <w:color w:val="000000" w:themeColor="text1"/>
          <w:shd w:val="clear" w:color="auto" w:fill="FFFFFF"/>
          <w:lang w:val="es-MX"/>
        </w:rPr>
        <w:t>Consultation</w:t>
      </w:r>
      <w:proofErr w:type="spellEnd"/>
      <w:r w:rsidRPr="00991386">
        <w:rPr>
          <w:rFonts w:ascii="Arial" w:eastAsia="Calibri" w:hAnsi="Arial" w:cs="Arial"/>
          <w:color w:val="000000" w:themeColor="text1"/>
          <w:shd w:val="clear" w:color="auto" w:fill="FFFFFF"/>
          <w:lang w:val="es-MX"/>
        </w:rPr>
        <w:t xml:space="preserve"> Module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Comprehensive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Cadastral</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Registry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Modernization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System</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https://www.gob.mx/ran/articulos/que-es-el-sistema-integral-de-modernizacion-catastral-y-registral-simcr?idiom=es</w:t>
      </w:r>
    </w:p>
    <w:p w14:paraId="43618A5F"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10064026"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Secretariat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Environment</w:t>
      </w:r>
      <w:proofErr w:type="spellEnd"/>
      <w:r w:rsidRPr="00991386">
        <w:rPr>
          <w:rFonts w:ascii="Arial" w:eastAsia="Calibri" w:hAnsi="Arial" w:cs="Arial"/>
          <w:color w:val="000000" w:themeColor="text1"/>
          <w:shd w:val="clear" w:color="auto" w:fill="FFFFFF"/>
          <w:lang w:val="es-MX"/>
        </w:rPr>
        <w:t xml:space="preserve"> and Natural </w:t>
      </w:r>
      <w:proofErr w:type="spellStart"/>
      <w:r w:rsidRPr="00991386">
        <w:rPr>
          <w:rFonts w:ascii="Arial" w:eastAsia="Calibri" w:hAnsi="Arial" w:cs="Arial"/>
          <w:color w:val="000000" w:themeColor="text1"/>
          <w:shd w:val="clear" w:color="auto" w:fill="FFFFFF"/>
          <w:lang w:val="es-MX"/>
        </w:rPr>
        <w:t>Resources</w:t>
      </w:r>
      <w:proofErr w:type="spellEnd"/>
      <w:r w:rsidRPr="00991386">
        <w:rPr>
          <w:rFonts w:ascii="Arial" w:eastAsia="Calibri" w:hAnsi="Arial" w:cs="Arial"/>
          <w:color w:val="000000" w:themeColor="text1"/>
          <w:shd w:val="clear" w:color="auto" w:fill="FFFFFF"/>
          <w:lang w:val="es-MX"/>
        </w:rPr>
        <w:t xml:space="preserve"> (SEMARNAT). (2018). </w:t>
      </w:r>
      <w:proofErr w:type="spellStart"/>
      <w:r w:rsidRPr="00991386">
        <w:rPr>
          <w:rFonts w:ascii="Arial" w:eastAsia="Calibri" w:hAnsi="Arial" w:cs="Arial"/>
          <w:color w:val="000000" w:themeColor="text1"/>
          <w:shd w:val="clear" w:color="auto" w:fill="FFFFFF"/>
          <w:lang w:val="es-MX"/>
        </w:rPr>
        <w:t>Statistical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Yearbook</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Forest </w:t>
      </w:r>
      <w:proofErr w:type="spellStart"/>
      <w:r w:rsidRPr="00991386">
        <w:rPr>
          <w:rFonts w:ascii="Arial" w:eastAsia="Calibri" w:hAnsi="Arial" w:cs="Arial"/>
          <w:color w:val="000000" w:themeColor="text1"/>
          <w:shd w:val="clear" w:color="auto" w:fill="FFFFFF"/>
          <w:lang w:val="es-MX"/>
        </w:rPr>
        <w:t>Production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https://dsiappsdev.semarnat.gob.mx/datos/portal/publicaciones/2021/2018.pdf.</w:t>
      </w:r>
    </w:p>
    <w:p w14:paraId="5AD798EA"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Merino, P. L., and W. G. Segura. (2021). Forest and </w:t>
      </w:r>
      <w:proofErr w:type="spellStart"/>
      <w:r w:rsidRPr="00991386">
        <w:rPr>
          <w:rFonts w:ascii="Arial" w:eastAsia="Calibri" w:hAnsi="Arial" w:cs="Arial"/>
          <w:color w:val="000000" w:themeColor="text1"/>
          <w:shd w:val="clear" w:color="auto" w:fill="FFFFFF"/>
          <w:lang w:val="es-MX"/>
        </w:rPr>
        <w:t>conservation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policies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their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impact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communities</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In David Barton Bray, Merino Leticia, and Deborah Barry (Eds.),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Community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(pp. 49–70). </w:t>
      </w:r>
      <w:proofErr w:type="spellStart"/>
      <w:r w:rsidRPr="00991386">
        <w:rPr>
          <w:rFonts w:ascii="Arial" w:eastAsia="Calibri" w:hAnsi="Arial" w:cs="Arial"/>
          <w:color w:val="000000" w:themeColor="text1"/>
          <w:shd w:val="clear" w:color="auto" w:fill="FFFFFF"/>
          <w:lang w:val="es-MX"/>
        </w:rPr>
        <w:t>University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Texas </w:t>
      </w:r>
      <w:proofErr w:type="spellStart"/>
      <w:r w:rsidRPr="00991386">
        <w:rPr>
          <w:rFonts w:ascii="Arial" w:eastAsia="Calibri" w:hAnsi="Arial" w:cs="Arial"/>
          <w:color w:val="000000" w:themeColor="text1"/>
          <w:shd w:val="clear" w:color="auto" w:fill="FFFFFF"/>
          <w:lang w:val="es-MX"/>
        </w:rPr>
        <w:t>Press</w:t>
      </w:r>
      <w:proofErr w:type="spellEnd"/>
      <w:r w:rsidRPr="00991386">
        <w:rPr>
          <w:rFonts w:ascii="Arial" w:eastAsia="Calibri" w:hAnsi="Arial" w:cs="Arial"/>
          <w:color w:val="000000" w:themeColor="text1"/>
          <w:shd w:val="clear" w:color="auto" w:fill="FFFFFF"/>
          <w:lang w:val="es-MX"/>
        </w:rPr>
        <w:t xml:space="preserve">. Austin, Texas, </w:t>
      </w:r>
      <w:proofErr w:type="spellStart"/>
      <w:r w:rsidRPr="00991386">
        <w:rPr>
          <w:rFonts w:ascii="Arial" w:eastAsia="Calibri" w:hAnsi="Arial" w:cs="Arial"/>
          <w:color w:val="000000" w:themeColor="text1"/>
          <w:shd w:val="clear" w:color="auto" w:fill="FFFFFF"/>
          <w:lang w:val="es-MX"/>
        </w:rPr>
        <w:t>United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States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University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Texas </w:t>
      </w:r>
      <w:proofErr w:type="spellStart"/>
      <w:r w:rsidRPr="00991386">
        <w:rPr>
          <w:rFonts w:ascii="Arial" w:eastAsia="Calibri" w:hAnsi="Arial" w:cs="Arial"/>
          <w:color w:val="000000" w:themeColor="text1"/>
          <w:shd w:val="clear" w:color="auto" w:fill="FFFFFF"/>
          <w:lang w:val="es-MX"/>
        </w:rPr>
        <w:t>Press</w:t>
      </w:r>
      <w:proofErr w:type="spellEnd"/>
      <w:r w:rsidRPr="00991386">
        <w:rPr>
          <w:rFonts w:ascii="Arial" w:eastAsia="Calibri" w:hAnsi="Arial" w:cs="Arial"/>
          <w:color w:val="000000" w:themeColor="text1"/>
          <w:shd w:val="clear" w:color="auto" w:fill="FFFFFF"/>
          <w:lang w:val="es-MX"/>
        </w:rPr>
        <w:t>.</w:t>
      </w:r>
    </w:p>
    <w:p w14:paraId="1C12422B"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Merino, P. L. (2014). </w:t>
      </w:r>
      <w:proofErr w:type="spellStart"/>
      <w:r w:rsidRPr="00991386">
        <w:rPr>
          <w:rFonts w:ascii="Arial" w:eastAsia="Calibri" w:hAnsi="Arial" w:cs="Arial"/>
          <w:color w:val="000000" w:themeColor="text1"/>
          <w:shd w:val="clear" w:color="auto" w:fill="FFFFFF"/>
          <w:lang w:val="es-MX"/>
        </w:rPr>
        <w:t>Perspectives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governance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common</w:t>
      </w:r>
      <w:proofErr w:type="spellEnd"/>
      <w:r w:rsidRPr="00991386">
        <w:rPr>
          <w:rFonts w:ascii="Arial" w:eastAsia="Calibri" w:hAnsi="Arial" w:cs="Arial"/>
          <w:color w:val="000000" w:themeColor="text1"/>
          <w:shd w:val="clear" w:color="auto" w:fill="FFFFFF"/>
          <w:lang w:val="es-MX"/>
        </w:rPr>
        <w:t xml:space="preserve">-pool </w:t>
      </w:r>
      <w:proofErr w:type="spellStart"/>
      <w:r w:rsidRPr="00991386">
        <w:rPr>
          <w:rFonts w:ascii="Arial" w:eastAsia="Calibri" w:hAnsi="Arial" w:cs="Arial"/>
          <w:color w:val="000000" w:themeColor="text1"/>
          <w:shd w:val="clear" w:color="auto" w:fill="FFFFFF"/>
          <w:lang w:val="es-MX"/>
        </w:rPr>
        <w:t>resources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citizenship</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work</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Elinor</w:t>
      </w:r>
      <w:proofErr w:type="spellEnd"/>
      <w:r w:rsidRPr="00991386">
        <w:rPr>
          <w:rFonts w:ascii="Arial" w:eastAsia="Calibri" w:hAnsi="Arial" w:cs="Arial"/>
          <w:color w:val="000000" w:themeColor="text1"/>
          <w:shd w:val="clear" w:color="auto" w:fill="FFFFFF"/>
          <w:lang w:val="es-MX"/>
        </w:rPr>
        <w:t xml:space="preserve"> Ostrom. *Revista Mexicana de Sociología*, 76(63), 77–104.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https://www.ingentaconnect.com/content.</w:t>
      </w:r>
    </w:p>
    <w:p w14:paraId="03813A7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International </w:t>
      </w:r>
      <w:proofErr w:type="spellStart"/>
      <w:r w:rsidRPr="00991386">
        <w:rPr>
          <w:rFonts w:ascii="Arial" w:eastAsia="Calibri" w:hAnsi="Arial" w:cs="Arial"/>
          <w:color w:val="000000" w:themeColor="text1"/>
          <w:shd w:val="clear" w:color="auto" w:fill="FFFFFF"/>
          <w:lang w:val="es-MX"/>
        </w:rPr>
        <w:t>Institute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Research</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Educational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Technology</w:t>
      </w:r>
      <w:proofErr w:type="spellEnd"/>
      <w:r w:rsidRPr="00991386">
        <w:rPr>
          <w:rFonts w:ascii="Arial" w:eastAsia="Calibri" w:hAnsi="Arial" w:cs="Arial"/>
          <w:color w:val="000000" w:themeColor="text1"/>
          <w:shd w:val="clear" w:color="auto" w:fill="FFFFFF"/>
          <w:lang w:val="es-MX"/>
        </w:rPr>
        <w:t xml:space="preserve"> (INITE). (2011). </w:t>
      </w:r>
      <w:proofErr w:type="spellStart"/>
      <w:r w:rsidRPr="00991386">
        <w:rPr>
          <w:rFonts w:ascii="Arial" w:eastAsia="Calibri" w:hAnsi="Arial" w:cs="Arial"/>
          <w:color w:val="000000" w:themeColor="text1"/>
          <w:shd w:val="clear" w:color="auto" w:fill="FFFFFF"/>
          <w:lang w:val="es-MX"/>
        </w:rPr>
        <w:t>Sustainable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International </w:t>
      </w:r>
      <w:proofErr w:type="spellStart"/>
      <w:r w:rsidRPr="00991386">
        <w:rPr>
          <w:rFonts w:ascii="Arial" w:eastAsia="Calibri" w:hAnsi="Arial" w:cs="Arial"/>
          <w:color w:val="000000" w:themeColor="text1"/>
          <w:shd w:val="clear" w:color="auto" w:fill="FFFFFF"/>
          <w:lang w:val="es-MX"/>
        </w:rPr>
        <w:t>Institute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Research</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Educational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Technology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w:t>
      </w:r>
    </w:p>
    <w:p w14:paraId="0FAC048E"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Aguilar, S. E. (1978). </w:t>
      </w:r>
      <w:proofErr w:type="spellStart"/>
      <w:r w:rsidRPr="00991386">
        <w:rPr>
          <w:rFonts w:ascii="Arial" w:eastAsia="Calibri" w:hAnsi="Arial" w:cs="Arial"/>
          <w:color w:val="000000" w:themeColor="text1"/>
          <w:shd w:val="clear" w:color="auto" w:fill="FFFFFF"/>
          <w:lang w:val="es-MX"/>
        </w:rPr>
        <w:t>Guide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Agricultural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xml:space="preserve">, and Social </w:t>
      </w:r>
      <w:proofErr w:type="spellStart"/>
      <w:r w:rsidRPr="00991386">
        <w:rPr>
          <w:rFonts w:ascii="Arial" w:eastAsia="Calibri" w:hAnsi="Arial" w:cs="Arial"/>
          <w:color w:val="000000" w:themeColor="text1"/>
          <w:shd w:val="clear" w:color="auto" w:fill="FFFFFF"/>
          <w:lang w:val="es-MX"/>
        </w:rPr>
        <w:t>Extension</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Forested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Areas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Pamphlet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Number</w:t>
      </w:r>
      <w:proofErr w:type="spellEnd"/>
      <w:r w:rsidRPr="00991386">
        <w:rPr>
          <w:rFonts w:ascii="Arial" w:eastAsia="Calibri" w:hAnsi="Arial" w:cs="Arial"/>
          <w:color w:val="000000" w:themeColor="text1"/>
          <w:shd w:val="clear" w:color="auto" w:fill="FFFFFF"/>
          <w:lang w:val="es-MX"/>
        </w:rPr>
        <w:t xml:space="preserve"> 4905.</w:t>
      </w:r>
    </w:p>
    <w:p w14:paraId="55376698"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lastRenderedPageBreak/>
        <w:t xml:space="preserve">Hardin, G. (1998). </w:t>
      </w:r>
      <w:proofErr w:type="spellStart"/>
      <w:r w:rsidRPr="00991386">
        <w:rPr>
          <w:rFonts w:ascii="Arial" w:eastAsia="Calibri" w:hAnsi="Arial" w:cs="Arial"/>
          <w:color w:val="000000" w:themeColor="text1"/>
          <w:shd w:val="clear" w:color="auto" w:fill="FFFFFF"/>
          <w:lang w:val="es-MX"/>
        </w:rPr>
        <w:t>Extensions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tragedy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Science</w:t>
      </w:r>
      <w:proofErr w:type="spellEnd"/>
      <w:r w:rsidRPr="00991386">
        <w:rPr>
          <w:rFonts w:ascii="Arial" w:eastAsia="Calibri" w:hAnsi="Arial" w:cs="Arial"/>
          <w:color w:val="000000" w:themeColor="text1"/>
          <w:shd w:val="clear" w:color="auto" w:fill="FFFFFF"/>
          <w:lang w:val="es-MX"/>
        </w:rPr>
        <w:t xml:space="preserve"> 280 (5364), 682-683.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10.1126/science.280.5.</w:t>
      </w:r>
    </w:p>
    <w:p w14:paraId="4967B919"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Osorio, C. T., L. J. Escobar, and F. Trujillo. (2017). </w:t>
      </w:r>
      <w:proofErr w:type="spellStart"/>
      <w:r w:rsidRPr="00991386">
        <w:rPr>
          <w:rFonts w:ascii="Arial" w:eastAsia="Calibri" w:hAnsi="Arial" w:cs="Arial"/>
          <w:color w:val="000000" w:themeColor="text1"/>
          <w:shd w:val="clear" w:color="auto" w:fill="FFFFFF"/>
          <w:lang w:val="es-MX"/>
        </w:rPr>
        <w:t>Fishing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Agreements</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Tarapoto </w:t>
      </w:r>
      <w:proofErr w:type="spellStart"/>
      <w:r w:rsidRPr="00991386">
        <w:rPr>
          <w:rFonts w:ascii="Arial" w:eastAsia="Calibri" w:hAnsi="Arial" w:cs="Arial"/>
          <w:color w:val="000000" w:themeColor="text1"/>
          <w:shd w:val="clear" w:color="auto" w:fill="FFFFFF"/>
          <w:lang w:val="es-MX"/>
        </w:rPr>
        <w:t>Lakes</w:t>
      </w:r>
      <w:proofErr w:type="spellEnd"/>
      <w:r w:rsidRPr="00991386">
        <w:rPr>
          <w:rFonts w:ascii="Arial" w:eastAsia="Calibri" w:hAnsi="Arial" w:cs="Arial"/>
          <w:color w:val="000000" w:themeColor="text1"/>
          <w:shd w:val="clear" w:color="auto" w:fill="FFFFFF"/>
          <w:lang w:val="es-MX"/>
        </w:rPr>
        <w:t xml:space="preserve">: A Management </w:t>
      </w:r>
      <w:proofErr w:type="spellStart"/>
      <w:r w:rsidRPr="00991386">
        <w:rPr>
          <w:rFonts w:ascii="Arial" w:eastAsia="Calibri" w:hAnsi="Arial" w:cs="Arial"/>
          <w:color w:val="000000" w:themeColor="text1"/>
          <w:shd w:val="clear" w:color="auto" w:fill="FFFFFF"/>
          <w:lang w:val="es-MX"/>
        </w:rPr>
        <w:t>Alternative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Common</w:t>
      </w:r>
      <w:proofErr w:type="spellEnd"/>
      <w:r w:rsidRPr="00991386">
        <w:rPr>
          <w:rFonts w:ascii="Arial" w:eastAsia="Calibri" w:hAnsi="Arial" w:cs="Arial"/>
          <w:color w:val="000000" w:themeColor="text1"/>
          <w:shd w:val="clear" w:color="auto" w:fill="FFFFFF"/>
          <w:lang w:val="es-MX"/>
        </w:rPr>
        <w:t xml:space="preserve">-Pool </w:t>
      </w:r>
      <w:proofErr w:type="spellStart"/>
      <w:r w:rsidRPr="00991386">
        <w:rPr>
          <w:rFonts w:ascii="Arial" w:eastAsia="Calibri" w:hAnsi="Arial" w:cs="Arial"/>
          <w:color w:val="000000" w:themeColor="text1"/>
          <w:shd w:val="clear" w:color="auto" w:fill="FFFFFF"/>
          <w:lang w:val="es-MX"/>
        </w:rPr>
        <w:t>Resources</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Colombian</w:t>
      </w:r>
      <w:proofErr w:type="spellEnd"/>
      <w:r w:rsidRPr="00991386">
        <w:rPr>
          <w:rFonts w:ascii="Arial" w:eastAsia="Calibri" w:hAnsi="Arial" w:cs="Arial"/>
          <w:color w:val="000000" w:themeColor="text1"/>
          <w:shd w:val="clear" w:color="auto" w:fill="FFFFFF"/>
          <w:lang w:val="es-MX"/>
        </w:rPr>
        <w:t xml:space="preserve"> Amazon. Revista de Investigación Agraria 8(2), 37-49.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10.15446/</w:t>
      </w:r>
      <w:proofErr w:type="gramStart"/>
      <w:r w:rsidRPr="00991386">
        <w:rPr>
          <w:rFonts w:ascii="Arial" w:eastAsia="Calibri" w:hAnsi="Arial" w:cs="Arial"/>
          <w:color w:val="000000" w:themeColor="text1"/>
          <w:shd w:val="clear" w:color="auto" w:fill="FFFFFF"/>
          <w:lang w:val="es-MX"/>
        </w:rPr>
        <w:t>ma.v</w:t>
      </w:r>
      <w:proofErr w:type="gramEnd"/>
      <w:r w:rsidRPr="00991386">
        <w:rPr>
          <w:rFonts w:ascii="Arial" w:eastAsia="Calibri" w:hAnsi="Arial" w:cs="Arial"/>
          <w:color w:val="000000" w:themeColor="text1"/>
          <w:shd w:val="clear" w:color="auto" w:fill="FFFFFF"/>
          <w:lang w:val="es-MX"/>
        </w:rPr>
        <w:t>14n1.99753.</w:t>
      </w:r>
    </w:p>
    <w:p w14:paraId="2B34D2CB"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Ostrom, E. (2008). </w:t>
      </w:r>
      <w:proofErr w:type="spellStart"/>
      <w:r w:rsidRPr="00991386">
        <w:rPr>
          <w:rFonts w:ascii="Arial" w:eastAsia="Calibri" w:hAnsi="Arial" w:cs="Arial"/>
          <w:color w:val="000000" w:themeColor="text1"/>
          <w:shd w:val="clear" w:color="auto" w:fill="FFFFFF"/>
          <w:lang w:val="es-MX"/>
        </w:rPr>
        <w:t>Tragedy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New </w:t>
      </w:r>
      <w:proofErr w:type="spellStart"/>
      <w:r w:rsidRPr="00991386">
        <w:rPr>
          <w:rFonts w:ascii="Arial" w:eastAsia="Calibri" w:hAnsi="Arial" w:cs="Arial"/>
          <w:color w:val="000000" w:themeColor="text1"/>
          <w:shd w:val="clear" w:color="auto" w:fill="FFFFFF"/>
          <w:lang w:val="es-MX"/>
        </w:rPr>
        <w:t>Palgrave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Dictionary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Economics</w:t>
      </w:r>
      <w:proofErr w:type="spellEnd"/>
      <w:r w:rsidRPr="00991386">
        <w:rPr>
          <w:rFonts w:ascii="Arial" w:eastAsia="Calibri" w:hAnsi="Arial" w:cs="Arial"/>
          <w:color w:val="000000" w:themeColor="text1"/>
          <w:shd w:val="clear" w:color="auto" w:fill="FFFFFF"/>
          <w:lang w:val="es-MX"/>
        </w:rPr>
        <w:t xml:space="preserve">, 2:1-4.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https://www.researchgate.net/publication/311907030_Tragedy_of_the_Commons.</w:t>
      </w:r>
    </w:p>
    <w:p w14:paraId="24878001"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Colin, B. A. R. (2010). </w:t>
      </w:r>
      <w:proofErr w:type="spellStart"/>
      <w:r w:rsidRPr="00991386">
        <w:rPr>
          <w:rFonts w:ascii="Arial" w:eastAsia="Calibri" w:hAnsi="Arial" w:cs="Arial"/>
          <w:color w:val="000000" w:themeColor="text1"/>
          <w:shd w:val="clear" w:color="auto" w:fill="FFFFFF"/>
          <w:lang w:val="es-MX"/>
        </w:rPr>
        <w:t>Disability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Politics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Poverty</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Context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Majority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World</w:t>
      </w:r>
      <w:proofErr w:type="spellEnd"/>
      <w:r w:rsidRPr="00991386">
        <w:rPr>
          <w:rFonts w:ascii="Arial" w:eastAsia="Calibri" w:hAnsi="Arial" w:cs="Arial"/>
          <w:color w:val="000000" w:themeColor="text1"/>
          <w:shd w:val="clear" w:color="auto" w:fill="FFFFFF"/>
          <w:lang w:val="es-MX"/>
        </w:rPr>
        <w:t xml:space="preserve">." Política y Sociedad 47(1), 11-25.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https://core.ac.uk/download/pdf/38818693.pdf.</w:t>
      </w:r>
    </w:p>
    <w:p w14:paraId="7D465A0F"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Olson, M. (1992).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Logic</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Collective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Action</w:t>
      </w:r>
      <w:proofErr w:type="spellEnd"/>
      <w:r w:rsidRPr="00991386">
        <w:rPr>
          <w:rFonts w:ascii="Arial" w:eastAsia="Calibri" w:hAnsi="Arial" w:cs="Arial"/>
          <w:color w:val="000000" w:themeColor="text1"/>
          <w:shd w:val="clear" w:color="auto" w:fill="FFFFFF"/>
          <w:lang w:val="es-MX"/>
        </w:rPr>
        <w:t xml:space="preserve">. Diez textos básicos de ciencia política [Ten Basic </w:t>
      </w:r>
      <w:proofErr w:type="spellStart"/>
      <w:r w:rsidRPr="00991386">
        <w:rPr>
          <w:rFonts w:ascii="Arial" w:eastAsia="Calibri" w:hAnsi="Arial" w:cs="Arial"/>
          <w:color w:val="000000" w:themeColor="text1"/>
          <w:shd w:val="clear" w:color="auto" w:fill="FFFFFF"/>
          <w:lang w:val="es-MX"/>
        </w:rPr>
        <w:t>Texts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Political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Science</w:t>
      </w:r>
      <w:proofErr w:type="spellEnd"/>
      <w:r w:rsidRPr="00991386">
        <w:rPr>
          <w:rFonts w:ascii="Arial" w:eastAsia="Calibri" w:hAnsi="Arial" w:cs="Arial"/>
          <w:color w:val="000000" w:themeColor="text1"/>
          <w:shd w:val="clear" w:color="auto" w:fill="FFFFFF"/>
          <w:lang w:val="es-MX"/>
        </w:rPr>
        <w:t xml:space="preserve">], 203-220.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https://ses.unam.mx/docencia/2018II/OlsonMarcur1985_LaLogicaDeLaAccionColectiva.pdf.</w:t>
      </w:r>
    </w:p>
    <w:p w14:paraId="0EF9FE65"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Rathe</w:t>
      </w:r>
      <w:proofErr w:type="spellEnd"/>
      <w:r w:rsidRPr="00991386">
        <w:rPr>
          <w:rFonts w:ascii="Arial" w:eastAsia="Calibri" w:hAnsi="Arial" w:cs="Arial"/>
          <w:color w:val="000000" w:themeColor="text1"/>
          <w:shd w:val="clear" w:color="auto" w:fill="FFFFFF"/>
          <w:lang w:val="es-MX"/>
        </w:rPr>
        <w:t xml:space="preserve">, L. (2017). </w:t>
      </w:r>
      <w:proofErr w:type="spellStart"/>
      <w:r w:rsidRPr="00991386">
        <w:rPr>
          <w:rFonts w:ascii="Arial" w:eastAsia="Calibri" w:hAnsi="Arial" w:cs="Arial"/>
          <w:color w:val="000000" w:themeColor="text1"/>
          <w:shd w:val="clear" w:color="auto" w:fill="FFFFFF"/>
          <w:lang w:val="es-MX"/>
        </w:rPr>
        <w:t>Sustainability</w:t>
      </w:r>
      <w:proofErr w:type="spellEnd"/>
      <w:r w:rsidRPr="00991386">
        <w:rPr>
          <w:rFonts w:ascii="Arial" w:eastAsia="Calibri" w:hAnsi="Arial" w:cs="Arial"/>
          <w:color w:val="000000" w:themeColor="text1"/>
          <w:shd w:val="clear" w:color="auto" w:fill="FFFFFF"/>
          <w:lang w:val="es-MX"/>
        </w:rPr>
        <w:t xml:space="preserve"> in Socio-</w:t>
      </w:r>
      <w:proofErr w:type="spellStart"/>
      <w:r w:rsidRPr="00991386">
        <w:rPr>
          <w:rFonts w:ascii="Arial" w:eastAsia="Calibri" w:hAnsi="Arial" w:cs="Arial"/>
          <w:color w:val="000000" w:themeColor="text1"/>
          <w:shd w:val="clear" w:color="auto" w:fill="FFFFFF"/>
          <w:lang w:val="es-MX"/>
        </w:rPr>
        <w:t>Ecological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Systems</w:t>
      </w:r>
      <w:proofErr w:type="spellEnd"/>
      <w:r w:rsidRPr="00991386">
        <w:rPr>
          <w:rFonts w:ascii="Arial" w:eastAsia="Calibri" w:hAnsi="Arial" w:cs="Arial"/>
          <w:color w:val="000000" w:themeColor="text1"/>
          <w:shd w:val="clear" w:color="auto" w:fill="FFFFFF"/>
          <w:lang w:val="es-MX"/>
        </w:rPr>
        <w:t xml:space="preserve">. Utopía y Praxis Latinoamericana: Revista Internacional de Filosofía Iberoamericana y Teoría Social (78), 65-78.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https://www.redalyc.org/journal/279/27952381006/html/</w:t>
      </w:r>
    </w:p>
    <w:p w14:paraId="27A10F6E"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Saquet</w:t>
      </w:r>
      <w:proofErr w:type="spellEnd"/>
      <w:r w:rsidRPr="00991386">
        <w:rPr>
          <w:rFonts w:ascii="Arial" w:eastAsia="Calibri" w:hAnsi="Arial" w:cs="Arial"/>
          <w:color w:val="000000" w:themeColor="text1"/>
          <w:shd w:val="clear" w:color="auto" w:fill="FFFFFF"/>
          <w:lang w:val="es-MX"/>
        </w:rPr>
        <w:t xml:space="preserve">, M. A. (2017). </w:t>
      </w:r>
      <w:proofErr w:type="spellStart"/>
      <w:r w:rsidRPr="00991386">
        <w:rPr>
          <w:rFonts w:ascii="Arial" w:eastAsia="Calibri" w:hAnsi="Arial" w:cs="Arial"/>
          <w:color w:val="000000" w:themeColor="text1"/>
          <w:shd w:val="clear" w:color="auto" w:fill="FFFFFF"/>
          <w:lang w:val="es-MX"/>
        </w:rPr>
        <w:t>Territory</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class</w:t>
      </w:r>
      <w:proofErr w:type="spellEnd"/>
      <w:r w:rsidRPr="00991386">
        <w:rPr>
          <w:rFonts w:ascii="Arial" w:eastAsia="Calibri" w:hAnsi="Arial" w:cs="Arial"/>
          <w:color w:val="000000" w:themeColor="text1"/>
          <w:shd w:val="clear" w:color="auto" w:fill="FFFFFF"/>
          <w:lang w:val="es-MX"/>
        </w:rPr>
        <w:t xml:space="preserve">, and place: Fundamental </w:t>
      </w:r>
      <w:proofErr w:type="spellStart"/>
      <w:r w:rsidRPr="00991386">
        <w:rPr>
          <w:rFonts w:ascii="Arial" w:eastAsia="Calibri" w:hAnsi="Arial" w:cs="Arial"/>
          <w:color w:val="000000" w:themeColor="text1"/>
          <w:shd w:val="clear" w:color="auto" w:fill="FFFFFF"/>
          <w:lang w:val="es-MX"/>
        </w:rPr>
        <w:t>premises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local, </w:t>
      </w:r>
      <w:proofErr w:type="spellStart"/>
      <w:r w:rsidRPr="00991386">
        <w:rPr>
          <w:rFonts w:ascii="Arial" w:eastAsia="Calibri" w:hAnsi="Arial" w:cs="Arial"/>
          <w:color w:val="000000" w:themeColor="text1"/>
          <w:shd w:val="clear" w:color="auto" w:fill="FFFFFF"/>
          <w:lang w:val="es-MX"/>
        </w:rPr>
        <w:t>ecological</w:t>
      </w:r>
      <w:proofErr w:type="spellEnd"/>
      <w:r w:rsidRPr="00991386">
        <w:rPr>
          <w:rFonts w:ascii="Arial" w:eastAsia="Calibri" w:hAnsi="Arial" w:cs="Arial"/>
          <w:color w:val="000000" w:themeColor="text1"/>
          <w:shd w:val="clear" w:color="auto" w:fill="FFFFFF"/>
          <w:lang w:val="es-MX"/>
        </w:rPr>
        <w:t>, and cultural-</w:t>
      </w:r>
      <w:proofErr w:type="spellStart"/>
      <w:r w:rsidRPr="00991386">
        <w:rPr>
          <w:rFonts w:ascii="Arial" w:eastAsia="Calibri" w:hAnsi="Arial" w:cs="Arial"/>
          <w:color w:val="000000" w:themeColor="text1"/>
          <w:shd w:val="clear" w:color="auto" w:fill="FFFFFF"/>
          <w:lang w:val="es-MX"/>
        </w:rPr>
        <w:t>based</w:t>
      </w:r>
      <w:proofErr w:type="spellEnd"/>
      <w:r w:rsidRPr="00991386">
        <w:rPr>
          <w:rFonts w:ascii="Arial" w:eastAsia="Calibri" w:hAnsi="Arial" w:cs="Arial"/>
          <w:color w:val="000000" w:themeColor="text1"/>
          <w:shd w:val="clear" w:color="auto" w:fill="FFFFFF"/>
          <w:lang w:val="es-MX"/>
        </w:rPr>
        <w:t xml:space="preserve"> territorial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Arquetipo (15), 39-70.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https://dialnet.unirioja.es/servlet/articulo?codigo=6739639.</w:t>
      </w:r>
    </w:p>
    <w:p w14:paraId="68D9C547"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Alves, O. F. (2023). </w:t>
      </w:r>
      <w:proofErr w:type="spellStart"/>
      <w:r w:rsidRPr="00991386">
        <w:rPr>
          <w:rFonts w:ascii="Arial" w:eastAsia="Calibri" w:hAnsi="Arial" w:cs="Arial"/>
          <w:color w:val="000000" w:themeColor="text1"/>
          <w:shd w:val="clear" w:color="auto" w:fill="FFFFFF"/>
          <w:lang w:val="es-MX"/>
        </w:rPr>
        <w:t>Organizational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Behavior</w:t>
      </w:r>
      <w:proofErr w:type="spellEnd"/>
      <w:r w:rsidRPr="00991386">
        <w:rPr>
          <w:rFonts w:ascii="Arial" w:eastAsia="Calibri" w:hAnsi="Arial" w:cs="Arial"/>
          <w:color w:val="000000" w:themeColor="text1"/>
          <w:shd w:val="clear" w:color="auto" w:fill="FFFFFF"/>
          <w:lang w:val="es-MX"/>
        </w:rPr>
        <w:t>. CITY: Freitas Bastos Editorial.</w:t>
      </w:r>
    </w:p>
    <w:p w14:paraId="0572183A"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National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Institute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Statistics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Geography</w:t>
      </w:r>
      <w:proofErr w:type="spellEnd"/>
      <w:r w:rsidRPr="00991386">
        <w:rPr>
          <w:rFonts w:ascii="Arial" w:eastAsia="Calibri" w:hAnsi="Arial" w:cs="Arial"/>
          <w:color w:val="000000" w:themeColor="text1"/>
          <w:shd w:val="clear" w:color="auto" w:fill="FFFFFF"/>
          <w:lang w:val="es-MX"/>
        </w:rPr>
        <w:t xml:space="preserve"> (INEGI). (2020). </w:t>
      </w:r>
      <w:proofErr w:type="spellStart"/>
      <w:r w:rsidRPr="00991386">
        <w:rPr>
          <w:rFonts w:ascii="Arial" w:eastAsia="Calibri" w:hAnsi="Arial" w:cs="Arial"/>
          <w:color w:val="000000" w:themeColor="text1"/>
          <w:shd w:val="clear" w:color="auto" w:fill="FFFFFF"/>
          <w:lang w:val="es-MX"/>
        </w:rPr>
        <w:t>Statistical</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Geographical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Yearbook</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by</w:t>
      </w:r>
      <w:proofErr w:type="spellEnd"/>
      <w:r w:rsidRPr="00991386">
        <w:rPr>
          <w:rFonts w:ascii="Arial" w:eastAsia="Calibri" w:hAnsi="Arial" w:cs="Arial"/>
          <w:color w:val="000000" w:themeColor="text1"/>
          <w:shd w:val="clear" w:color="auto" w:fill="FFFFFF"/>
          <w:lang w:val="es-MX"/>
        </w:rPr>
        <w:t xml:space="preserve"> Federal </w:t>
      </w:r>
      <w:proofErr w:type="spellStart"/>
      <w:r w:rsidRPr="00991386">
        <w:rPr>
          <w:rFonts w:ascii="Arial" w:eastAsia="Calibri" w:hAnsi="Arial" w:cs="Arial"/>
          <w:color w:val="000000" w:themeColor="text1"/>
          <w:shd w:val="clear" w:color="auto" w:fill="FFFFFF"/>
          <w:lang w:val="es-MX"/>
        </w:rPr>
        <w:t>Entity</w:t>
      </w:r>
      <w:proofErr w:type="spellEnd"/>
      <w:r w:rsidRPr="00991386">
        <w:rPr>
          <w:rFonts w:ascii="Arial" w:eastAsia="Calibri" w:hAnsi="Arial" w:cs="Arial"/>
          <w:color w:val="000000" w:themeColor="text1"/>
          <w:shd w:val="clear" w:color="auto" w:fill="FFFFFF"/>
          <w:lang w:val="es-MX"/>
        </w:rPr>
        <w:t xml:space="preserve"> 2020.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https://www.inegi.org.mx/contenidos/productos/prod_serv/contenidos/espanol/bvinegi/productos/nueva_estruc/702825197513.pdf.</w:t>
      </w:r>
    </w:p>
    <w:p w14:paraId="05181DF9"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National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Commission</w:t>
      </w:r>
      <w:proofErr w:type="spellEnd"/>
      <w:r w:rsidRPr="00991386">
        <w:rPr>
          <w:rFonts w:ascii="Arial" w:eastAsia="Calibri" w:hAnsi="Arial" w:cs="Arial"/>
          <w:color w:val="000000" w:themeColor="text1"/>
          <w:shd w:val="clear" w:color="auto" w:fill="FFFFFF"/>
          <w:lang w:val="es-MX"/>
        </w:rPr>
        <w:t xml:space="preserve"> (CONAFOR). (2019). Status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xml:space="preserve"> Sector in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https://www.gob.mx/conafor/es/documentos/estado-que-guarda-el-sector-forestal-en-mexico-2019?idiom=es.</w:t>
      </w:r>
    </w:p>
    <w:p w14:paraId="09429614"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González, E. (2005). Direct </w:t>
      </w:r>
      <w:proofErr w:type="spellStart"/>
      <w:r w:rsidRPr="00991386">
        <w:rPr>
          <w:rFonts w:ascii="Arial" w:eastAsia="Calibri" w:hAnsi="Arial" w:cs="Arial"/>
          <w:color w:val="000000" w:themeColor="text1"/>
          <w:shd w:val="clear" w:color="auto" w:fill="FFFFFF"/>
          <w:lang w:val="es-MX"/>
        </w:rPr>
        <w:t>Observation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Geoenseñanza</w:t>
      </w:r>
      <w:proofErr w:type="spellEnd"/>
      <w:r w:rsidRPr="00991386">
        <w:rPr>
          <w:rFonts w:ascii="Arial" w:eastAsia="Calibri" w:hAnsi="Arial" w:cs="Arial"/>
          <w:color w:val="000000" w:themeColor="text1"/>
          <w:shd w:val="clear" w:color="auto" w:fill="FFFFFF"/>
          <w:lang w:val="es-MX"/>
        </w:rPr>
        <w:t xml:space="preserve"> 10(1), 101-105.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https://www.redalyc.org/pdf/360/36010107.pdf.</w:t>
      </w:r>
    </w:p>
    <w:p w14:paraId="1CF8E3C2" w14:textId="3EB9A626"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Arias, G. J., M. A. </w:t>
      </w:r>
      <w:proofErr w:type="spellStart"/>
      <w:r w:rsidRPr="00991386">
        <w:rPr>
          <w:rFonts w:ascii="Arial" w:eastAsia="Calibri" w:hAnsi="Arial" w:cs="Arial"/>
          <w:color w:val="000000" w:themeColor="text1"/>
          <w:shd w:val="clear" w:color="auto" w:fill="FFFFFF"/>
          <w:lang w:val="es-MX"/>
        </w:rPr>
        <w:t>Villasís</w:t>
      </w:r>
      <w:proofErr w:type="spellEnd"/>
      <w:r w:rsidRPr="00991386">
        <w:rPr>
          <w:rFonts w:ascii="Arial" w:eastAsia="Calibri" w:hAnsi="Arial" w:cs="Arial"/>
          <w:color w:val="000000" w:themeColor="text1"/>
          <w:shd w:val="clear" w:color="auto" w:fill="FFFFFF"/>
          <w:lang w:val="es-MX"/>
        </w:rPr>
        <w:t xml:space="preserve"> K., and M. G. Novales, M. (201</w:t>
      </w:r>
      <w:r w:rsidRPr="00991386">
        <w:t xml:space="preserve"> </w:t>
      </w:r>
      <w:r w:rsidRPr="00991386">
        <w:rPr>
          <w:rFonts w:ascii="Arial" w:eastAsia="Calibri" w:hAnsi="Arial" w:cs="Arial"/>
          <w:color w:val="000000" w:themeColor="text1"/>
          <w:shd w:val="clear" w:color="auto" w:fill="FFFFFF"/>
          <w:lang w:val="es-MX"/>
        </w:rPr>
        <w:t xml:space="preserve">6).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Research</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Protocol</w:t>
      </w:r>
      <w:proofErr w:type="spellEnd"/>
      <w:r w:rsidRPr="00991386">
        <w:rPr>
          <w:rFonts w:ascii="Arial" w:eastAsia="Calibri" w:hAnsi="Arial" w:cs="Arial"/>
          <w:color w:val="000000" w:themeColor="text1"/>
          <w:shd w:val="clear" w:color="auto" w:fill="FFFFFF"/>
          <w:lang w:val="es-MX"/>
        </w:rPr>
        <w:t xml:space="preserve"> III: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Study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Population</w:t>
      </w:r>
      <w:proofErr w:type="spellEnd"/>
      <w:r w:rsidRPr="00991386">
        <w:rPr>
          <w:rFonts w:ascii="Arial" w:eastAsia="Calibri" w:hAnsi="Arial" w:cs="Arial"/>
          <w:color w:val="000000" w:themeColor="text1"/>
          <w:shd w:val="clear" w:color="auto" w:fill="FFFFFF"/>
          <w:lang w:val="es-MX"/>
        </w:rPr>
        <w:t xml:space="preserve">. *Revista Alergia México*, 63(2), 201-206.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https://www.redalyc.org/articulo.oa?id=486755023011</w:t>
      </w:r>
    </w:p>
    <w:p w14:paraId="13465515"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Spradley</w:t>
      </w:r>
      <w:proofErr w:type="spellEnd"/>
      <w:r w:rsidRPr="00991386">
        <w:rPr>
          <w:rFonts w:ascii="Arial" w:eastAsia="Calibri" w:hAnsi="Arial" w:cs="Arial"/>
          <w:color w:val="000000" w:themeColor="text1"/>
          <w:shd w:val="clear" w:color="auto" w:fill="FFFFFF"/>
          <w:lang w:val="es-MX"/>
        </w:rPr>
        <w:t>, J. P. (2016).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Ethnographic</w:t>
      </w:r>
      <w:proofErr w:type="spellEnd"/>
      <w:r w:rsidRPr="00991386">
        <w:rPr>
          <w:rFonts w:ascii="Arial" w:eastAsia="Calibri" w:hAnsi="Arial" w:cs="Arial"/>
          <w:color w:val="000000" w:themeColor="text1"/>
          <w:shd w:val="clear" w:color="auto" w:fill="FFFFFF"/>
          <w:lang w:val="es-MX"/>
        </w:rPr>
        <w:t xml:space="preserve"> Interview*. </w:t>
      </w:r>
      <w:proofErr w:type="spellStart"/>
      <w:r w:rsidRPr="00991386">
        <w:rPr>
          <w:rFonts w:ascii="Arial" w:eastAsia="Calibri" w:hAnsi="Arial" w:cs="Arial"/>
          <w:color w:val="000000" w:themeColor="text1"/>
          <w:shd w:val="clear" w:color="auto" w:fill="FFFFFF"/>
          <w:lang w:val="es-MX"/>
        </w:rPr>
        <w:t>Waveland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Press</w:t>
      </w:r>
      <w:proofErr w:type="spellEnd"/>
      <w:r w:rsidRPr="00991386">
        <w:rPr>
          <w:rFonts w:ascii="Arial" w:eastAsia="Calibri" w:hAnsi="Arial" w:cs="Arial"/>
          <w:color w:val="000000" w:themeColor="text1"/>
          <w:shd w:val="clear" w:color="auto" w:fill="FFFFFF"/>
          <w:lang w:val="es-MX"/>
        </w:rPr>
        <w:t xml:space="preserve">. Long Grove, Illinois, </w:t>
      </w:r>
      <w:proofErr w:type="spellStart"/>
      <w:r w:rsidRPr="00991386">
        <w:rPr>
          <w:rFonts w:ascii="Arial" w:eastAsia="Calibri" w:hAnsi="Arial" w:cs="Arial"/>
          <w:color w:val="000000" w:themeColor="text1"/>
          <w:shd w:val="clear" w:color="auto" w:fill="FFFFFF"/>
          <w:lang w:val="es-MX"/>
        </w:rPr>
        <w:t>United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States</w:t>
      </w:r>
      <w:proofErr w:type="spellEnd"/>
      <w:r w:rsidRPr="00991386">
        <w:rPr>
          <w:rFonts w:ascii="Arial" w:eastAsia="Calibri" w:hAnsi="Arial" w:cs="Arial"/>
          <w:color w:val="000000" w:themeColor="text1"/>
          <w:shd w:val="clear" w:color="auto" w:fill="FFFFFF"/>
          <w:lang w:val="es-MX"/>
        </w:rPr>
        <w:t>.</w:t>
      </w:r>
    </w:p>
    <w:p w14:paraId="0C3AC4AC"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Sánchez V., D., L. Valtierra P. E., G. M. González J., and M. A. León. (2018). Human Capital and </w:t>
      </w:r>
      <w:proofErr w:type="spellStart"/>
      <w:r w:rsidRPr="00991386">
        <w:rPr>
          <w:rFonts w:ascii="Arial" w:eastAsia="Calibri" w:hAnsi="Arial" w:cs="Arial"/>
          <w:color w:val="000000" w:themeColor="text1"/>
          <w:shd w:val="clear" w:color="auto" w:fill="FFFFFF"/>
          <w:lang w:val="es-MX"/>
        </w:rPr>
        <w:t>Innovation</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Integration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Process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Timber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Harvesting</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Gómez </w:t>
      </w:r>
      <w:proofErr w:type="spellStart"/>
      <w:r w:rsidRPr="00991386">
        <w:rPr>
          <w:rFonts w:ascii="Arial" w:eastAsia="Calibri" w:hAnsi="Arial" w:cs="Arial"/>
          <w:color w:val="000000" w:themeColor="text1"/>
          <w:shd w:val="clear" w:color="auto" w:fill="FFFFFF"/>
          <w:lang w:val="es-MX"/>
        </w:rPr>
        <w:t>Tepeteno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Communal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Land</w:t>
      </w:r>
      <w:proofErr w:type="spellEnd"/>
      <w:r w:rsidRPr="00991386">
        <w:rPr>
          <w:rFonts w:ascii="Arial" w:eastAsia="Calibri" w:hAnsi="Arial" w:cs="Arial"/>
          <w:color w:val="000000" w:themeColor="text1"/>
          <w:shd w:val="clear" w:color="auto" w:fill="FFFFFF"/>
          <w:lang w:val="es-MX"/>
        </w:rPr>
        <w:t xml:space="preserve">, Tlatlauquitepec, Puebla. *Madera y Bosques*, 24(3):1-16.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10.21829/myb.2018.2431654.</w:t>
      </w:r>
    </w:p>
    <w:p w14:paraId="4597BD3F"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lastRenderedPageBreak/>
        <w:t xml:space="preserve">Tadeo, N. A. E., Valdez H., J. I., Beltrán R., L., and García M., E. (2019). </w:t>
      </w:r>
      <w:proofErr w:type="spellStart"/>
      <w:r w:rsidRPr="00991386">
        <w:rPr>
          <w:rFonts w:ascii="Arial" w:eastAsia="Calibri" w:hAnsi="Arial" w:cs="Arial"/>
          <w:color w:val="000000" w:themeColor="text1"/>
          <w:shd w:val="clear" w:color="auto" w:fill="FFFFFF"/>
          <w:lang w:val="es-MX"/>
        </w:rPr>
        <w:t>Effect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Timber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Harvesting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Tree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Structure</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Diversity</w:t>
      </w:r>
      <w:proofErr w:type="spellEnd"/>
      <w:r w:rsidRPr="00991386">
        <w:rPr>
          <w:rFonts w:ascii="Arial" w:eastAsia="Calibri" w:hAnsi="Arial" w:cs="Arial"/>
          <w:color w:val="000000" w:themeColor="text1"/>
          <w:shd w:val="clear" w:color="auto" w:fill="FFFFFF"/>
          <w:lang w:val="es-MX"/>
        </w:rPr>
        <w:t xml:space="preserve"> in Tropical </w:t>
      </w:r>
      <w:proofErr w:type="spellStart"/>
      <w:r w:rsidRPr="00991386">
        <w:rPr>
          <w:rFonts w:ascii="Arial" w:eastAsia="Calibri" w:hAnsi="Arial" w:cs="Arial"/>
          <w:color w:val="000000" w:themeColor="text1"/>
          <w:shd w:val="clear" w:color="auto" w:fill="FFFFFF"/>
          <w:lang w:val="es-MX"/>
        </w:rPr>
        <w:t>Forests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Quintana Roo,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*Bosque (Valdivia)*, 40(2), 129-140.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10.4067/S0717-92002019000200129</w:t>
      </w:r>
    </w:p>
    <w:p w14:paraId="6943EDA8"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Franklin, J. F., T. A. </w:t>
      </w:r>
      <w:proofErr w:type="spellStart"/>
      <w:r w:rsidRPr="00991386">
        <w:rPr>
          <w:rFonts w:ascii="Arial" w:eastAsia="Calibri" w:hAnsi="Arial" w:cs="Arial"/>
          <w:color w:val="000000" w:themeColor="text1"/>
          <w:shd w:val="clear" w:color="auto" w:fill="FFFFFF"/>
          <w:lang w:val="es-MX"/>
        </w:rPr>
        <w:t>Spies</w:t>
      </w:r>
      <w:proofErr w:type="spellEnd"/>
      <w:r w:rsidRPr="00991386">
        <w:rPr>
          <w:rFonts w:ascii="Arial" w:eastAsia="Calibri" w:hAnsi="Arial" w:cs="Arial"/>
          <w:color w:val="000000" w:themeColor="text1"/>
          <w:shd w:val="clear" w:color="auto" w:fill="FFFFFF"/>
          <w:lang w:val="es-MX"/>
        </w:rPr>
        <w:t xml:space="preserve">, R. Van </w:t>
      </w:r>
      <w:proofErr w:type="spellStart"/>
      <w:r w:rsidRPr="00991386">
        <w:rPr>
          <w:rFonts w:ascii="Arial" w:eastAsia="Calibri" w:hAnsi="Arial" w:cs="Arial"/>
          <w:color w:val="000000" w:themeColor="text1"/>
          <w:shd w:val="clear" w:color="auto" w:fill="FFFFFF"/>
          <w:lang w:val="es-MX"/>
        </w:rPr>
        <w:t>Pelt</w:t>
      </w:r>
      <w:proofErr w:type="spellEnd"/>
      <w:r w:rsidRPr="00991386">
        <w:rPr>
          <w:rFonts w:ascii="Arial" w:eastAsia="Calibri" w:hAnsi="Arial" w:cs="Arial"/>
          <w:color w:val="000000" w:themeColor="text1"/>
          <w:shd w:val="clear" w:color="auto" w:fill="FFFFFF"/>
          <w:lang w:val="es-MX"/>
        </w:rPr>
        <w:t xml:space="preserve">, A. B. Carey, D. A. </w:t>
      </w:r>
      <w:proofErr w:type="spellStart"/>
      <w:r w:rsidRPr="00991386">
        <w:rPr>
          <w:rFonts w:ascii="Arial" w:eastAsia="Calibri" w:hAnsi="Arial" w:cs="Arial"/>
          <w:color w:val="000000" w:themeColor="text1"/>
          <w:shd w:val="clear" w:color="auto" w:fill="FFFFFF"/>
          <w:lang w:val="es-MX"/>
        </w:rPr>
        <w:t>Thornburgh</w:t>
      </w:r>
      <w:proofErr w:type="spellEnd"/>
      <w:r w:rsidRPr="00991386">
        <w:rPr>
          <w:rFonts w:ascii="Arial" w:eastAsia="Calibri" w:hAnsi="Arial" w:cs="Arial"/>
          <w:color w:val="000000" w:themeColor="text1"/>
          <w:shd w:val="clear" w:color="auto" w:fill="FFFFFF"/>
          <w:lang w:val="es-MX"/>
        </w:rPr>
        <w:t xml:space="preserve">, D. R. </w:t>
      </w:r>
      <w:proofErr w:type="spellStart"/>
      <w:r w:rsidRPr="00991386">
        <w:rPr>
          <w:rFonts w:ascii="Arial" w:eastAsia="Calibri" w:hAnsi="Arial" w:cs="Arial"/>
          <w:color w:val="000000" w:themeColor="text1"/>
          <w:shd w:val="clear" w:color="auto" w:fill="FFFFFF"/>
          <w:lang w:val="es-MX"/>
        </w:rPr>
        <w:t>Berg</w:t>
      </w:r>
      <w:proofErr w:type="spellEnd"/>
      <w:r w:rsidRPr="00991386">
        <w:rPr>
          <w:rFonts w:ascii="Arial" w:eastAsia="Calibri" w:hAnsi="Arial" w:cs="Arial"/>
          <w:color w:val="000000" w:themeColor="text1"/>
          <w:shd w:val="clear" w:color="auto" w:fill="FFFFFF"/>
          <w:lang w:val="es-MX"/>
        </w:rPr>
        <w:t xml:space="preserve">, D. B. </w:t>
      </w:r>
      <w:proofErr w:type="spellStart"/>
      <w:r w:rsidRPr="00991386">
        <w:rPr>
          <w:rFonts w:ascii="Arial" w:eastAsia="Calibri" w:hAnsi="Arial" w:cs="Arial"/>
          <w:color w:val="000000" w:themeColor="text1"/>
          <w:shd w:val="clear" w:color="auto" w:fill="FFFFFF"/>
          <w:lang w:val="es-MX"/>
        </w:rPr>
        <w:t>Lindenmayer</w:t>
      </w:r>
      <w:proofErr w:type="spellEnd"/>
      <w:r w:rsidRPr="00991386">
        <w:rPr>
          <w:rFonts w:ascii="Arial" w:eastAsia="Calibri" w:hAnsi="Arial" w:cs="Arial"/>
          <w:color w:val="000000" w:themeColor="text1"/>
          <w:shd w:val="clear" w:color="auto" w:fill="FFFFFF"/>
          <w:lang w:val="es-MX"/>
        </w:rPr>
        <w:t xml:space="preserve">, M. E. Harmon, W. S. Keaton, D. C. Shaw, K. </w:t>
      </w:r>
      <w:proofErr w:type="spellStart"/>
      <w:r w:rsidRPr="00991386">
        <w:rPr>
          <w:rFonts w:ascii="Arial" w:eastAsia="Calibri" w:hAnsi="Arial" w:cs="Arial"/>
          <w:color w:val="000000" w:themeColor="text1"/>
          <w:shd w:val="clear" w:color="auto" w:fill="FFFFFF"/>
          <w:lang w:val="es-MX"/>
        </w:rPr>
        <w:t>Bible</w:t>
      </w:r>
      <w:proofErr w:type="spellEnd"/>
      <w:r w:rsidRPr="00991386">
        <w:rPr>
          <w:rFonts w:ascii="Arial" w:eastAsia="Calibri" w:hAnsi="Arial" w:cs="Arial"/>
          <w:color w:val="000000" w:themeColor="text1"/>
          <w:shd w:val="clear" w:color="auto" w:fill="FFFFFF"/>
          <w:lang w:val="es-MX"/>
        </w:rPr>
        <w:t xml:space="preserve">, and Chen, J. (2002). </w:t>
      </w:r>
      <w:proofErr w:type="spellStart"/>
      <w:r w:rsidRPr="00991386">
        <w:rPr>
          <w:rFonts w:ascii="Arial" w:eastAsia="Calibri" w:hAnsi="Arial" w:cs="Arial"/>
          <w:color w:val="000000" w:themeColor="text1"/>
          <w:shd w:val="clear" w:color="auto" w:fill="FFFFFF"/>
          <w:lang w:val="es-MX"/>
        </w:rPr>
        <w:t>Disturbances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Structural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Natural Forest </w:t>
      </w:r>
      <w:proofErr w:type="spellStart"/>
      <w:r w:rsidRPr="00991386">
        <w:rPr>
          <w:rFonts w:ascii="Arial" w:eastAsia="Calibri" w:hAnsi="Arial" w:cs="Arial"/>
          <w:color w:val="000000" w:themeColor="text1"/>
          <w:shd w:val="clear" w:color="auto" w:fill="FFFFFF"/>
          <w:lang w:val="es-MX"/>
        </w:rPr>
        <w:t>Ecosystems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with</w:t>
      </w:r>
      <w:proofErr w:type="spellEnd"/>
      <w:r w:rsidRPr="00991386">
        <w:rPr>
          <w:rFonts w:ascii="Arial" w:eastAsia="Calibri" w:hAnsi="Arial" w:cs="Arial"/>
          <w:color w:val="000000" w:themeColor="text1"/>
          <w:shd w:val="clear" w:color="auto" w:fill="FFFFFF"/>
          <w:lang w:val="es-MX"/>
        </w:rPr>
        <w:t xml:space="preserve"> Silvicultural </w:t>
      </w:r>
      <w:proofErr w:type="spellStart"/>
      <w:r w:rsidRPr="00991386">
        <w:rPr>
          <w:rFonts w:ascii="Arial" w:eastAsia="Calibri" w:hAnsi="Arial" w:cs="Arial"/>
          <w:color w:val="000000" w:themeColor="text1"/>
          <w:shd w:val="clear" w:color="auto" w:fill="FFFFFF"/>
          <w:lang w:val="es-MX"/>
        </w:rPr>
        <w:t>Implications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Using</w:t>
      </w:r>
      <w:proofErr w:type="spellEnd"/>
      <w:r w:rsidRPr="00991386">
        <w:rPr>
          <w:rFonts w:ascii="Arial" w:eastAsia="Calibri" w:hAnsi="Arial" w:cs="Arial"/>
          <w:color w:val="000000" w:themeColor="text1"/>
          <w:shd w:val="clear" w:color="auto" w:fill="FFFFFF"/>
          <w:lang w:val="es-MX"/>
        </w:rPr>
        <w:t xml:space="preserve"> Douglas-</w:t>
      </w:r>
      <w:proofErr w:type="spellStart"/>
      <w:r w:rsidRPr="00991386">
        <w:rPr>
          <w:rFonts w:ascii="Arial" w:eastAsia="Calibri" w:hAnsi="Arial" w:cs="Arial"/>
          <w:color w:val="000000" w:themeColor="text1"/>
          <w:shd w:val="clear" w:color="auto" w:fill="FFFFFF"/>
          <w:lang w:val="es-MX"/>
        </w:rPr>
        <w:t>fir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Forests</w:t>
      </w:r>
      <w:proofErr w:type="spellEnd"/>
      <w:r w:rsidRPr="00991386">
        <w:rPr>
          <w:rFonts w:ascii="Arial" w:eastAsia="Calibri" w:hAnsi="Arial" w:cs="Arial"/>
          <w:color w:val="000000" w:themeColor="text1"/>
          <w:shd w:val="clear" w:color="auto" w:fill="FFFFFF"/>
          <w:lang w:val="es-MX"/>
        </w:rPr>
        <w:t xml:space="preserve"> as </w:t>
      </w:r>
      <w:proofErr w:type="spellStart"/>
      <w:r w:rsidRPr="00991386">
        <w:rPr>
          <w:rFonts w:ascii="Arial" w:eastAsia="Calibri" w:hAnsi="Arial" w:cs="Arial"/>
          <w:color w:val="000000" w:themeColor="text1"/>
          <w:shd w:val="clear" w:color="auto" w:fill="FFFFFF"/>
          <w:lang w:val="es-MX"/>
        </w:rPr>
        <w:t>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Example</w:t>
      </w:r>
      <w:proofErr w:type="spellEnd"/>
      <w:r w:rsidRPr="00991386">
        <w:rPr>
          <w:rFonts w:ascii="Arial" w:eastAsia="Calibri" w:hAnsi="Arial" w:cs="Arial"/>
          <w:color w:val="000000" w:themeColor="text1"/>
          <w:shd w:val="clear" w:color="auto" w:fill="FFFFFF"/>
          <w:lang w:val="es-MX"/>
        </w:rPr>
        <w:t xml:space="preserve">. *Forest </w:t>
      </w:r>
      <w:proofErr w:type="spellStart"/>
      <w:r w:rsidRPr="00991386">
        <w:rPr>
          <w:rFonts w:ascii="Arial" w:eastAsia="Calibri" w:hAnsi="Arial" w:cs="Arial"/>
          <w:color w:val="000000" w:themeColor="text1"/>
          <w:shd w:val="clear" w:color="auto" w:fill="FFFFFF"/>
          <w:lang w:val="es-MX"/>
        </w:rPr>
        <w:t>Ecology</w:t>
      </w:r>
      <w:proofErr w:type="spellEnd"/>
      <w:r w:rsidRPr="00991386">
        <w:rPr>
          <w:rFonts w:ascii="Arial" w:eastAsia="Calibri" w:hAnsi="Arial" w:cs="Arial"/>
          <w:color w:val="000000" w:themeColor="text1"/>
          <w:shd w:val="clear" w:color="auto" w:fill="FFFFFF"/>
          <w:lang w:val="es-MX"/>
        </w:rPr>
        <w:t xml:space="preserve"> and Management*, 155(1-3), 399-423. DOI: 10.1016/S0378-1127(01)00575-8.</w:t>
      </w:r>
    </w:p>
    <w:p w14:paraId="6E0122B7"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Lähde</w:t>
      </w:r>
      <w:proofErr w:type="spellEnd"/>
      <w:r w:rsidRPr="00991386">
        <w:rPr>
          <w:rFonts w:ascii="Arial" w:eastAsia="Calibri" w:hAnsi="Arial" w:cs="Arial"/>
          <w:color w:val="000000" w:themeColor="text1"/>
          <w:shd w:val="clear" w:color="auto" w:fill="FFFFFF"/>
          <w:lang w:val="es-MX"/>
        </w:rPr>
        <w:t xml:space="preserve">, T. E., T. </w:t>
      </w:r>
      <w:proofErr w:type="spellStart"/>
      <w:r w:rsidRPr="00991386">
        <w:rPr>
          <w:rFonts w:ascii="Arial" w:eastAsia="Calibri" w:hAnsi="Arial" w:cs="Arial"/>
          <w:color w:val="000000" w:themeColor="text1"/>
          <w:shd w:val="clear" w:color="auto" w:fill="FFFFFF"/>
          <w:lang w:val="es-MX"/>
        </w:rPr>
        <w:t>Eskelinen</w:t>
      </w:r>
      <w:proofErr w:type="spellEnd"/>
      <w:r w:rsidRPr="00991386">
        <w:rPr>
          <w:rFonts w:ascii="Arial" w:eastAsia="Calibri" w:hAnsi="Arial" w:cs="Arial"/>
          <w:color w:val="000000" w:themeColor="text1"/>
          <w:shd w:val="clear" w:color="auto" w:fill="FFFFFF"/>
          <w:lang w:val="es-MX"/>
        </w:rPr>
        <w:t xml:space="preserve">, and A. </w:t>
      </w:r>
      <w:proofErr w:type="spellStart"/>
      <w:r w:rsidRPr="00991386">
        <w:rPr>
          <w:rFonts w:ascii="Arial" w:eastAsia="Calibri" w:hAnsi="Arial" w:cs="Arial"/>
          <w:color w:val="000000" w:themeColor="text1"/>
          <w:shd w:val="clear" w:color="auto" w:fill="FFFFFF"/>
          <w:lang w:val="es-MX"/>
        </w:rPr>
        <w:t>Väänänen</w:t>
      </w:r>
      <w:proofErr w:type="spellEnd"/>
      <w:r w:rsidRPr="00991386">
        <w:rPr>
          <w:rFonts w:ascii="Arial" w:eastAsia="Calibri" w:hAnsi="Arial" w:cs="Arial"/>
          <w:color w:val="000000" w:themeColor="text1"/>
          <w:shd w:val="clear" w:color="auto" w:fill="FFFFFF"/>
          <w:lang w:val="es-MX"/>
        </w:rPr>
        <w:t xml:space="preserve">. (2002). </w:t>
      </w:r>
      <w:proofErr w:type="spellStart"/>
      <w:r w:rsidRPr="00991386">
        <w:rPr>
          <w:rFonts w:ascii="Arial" w:eastAsia="Calibri" w:hAnsi="Arial" w:cs="Arial"/>
          <w:color w:val="000000" w:themeColor="text1"/>
          <w:shd w:val="clear" w:color="auto" w:fill="FFFFFF"/>
          <w:lang w:val="es-MX"/>
        </w:rPr>
        <w:t>Growth</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diversity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effects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silvicultural </w:t>
      </w:r>
      <w:proofErr w:type="spellStart"/>
      <w:r w:rsidRPr="00991386">
        <w:rPr>
          <w:rFonts w:ascii="Arial" w:eastAsia="Calibri" w:hAnsi="Arial" w:cs="Arial"/>
          <w:color w:val="000000" w:themeColor="text1"/>
          <w:shd w:val="clear" w:color="auto" w:fill="FFFFFF"/>
          <w:lang w:val="es-MX"/>
        </w:rPr>
        <w:t>alternatives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old-growth</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Finland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75(4), 395-400. DOI: 10.1093/</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/75.4.395.</w:t>
      </w:r>
    </w:p>
    <w:p w14:paraId="3C9DBAC5"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Ishii</w:t>
      </w:r>
      <w:proofErr w:type="spellEnd"/>
      <w:r w:rsidRPr="00991386">
        <w:rPr>
          <w:rFonts w:ascii="Arial" w:eastAsia="Calibri" w:hAnsi="Arial" w:cs="Arial"/>
          <w:color w:val="000000" w:themeColor="text1"/>
          <w:shd w:val="clear" w:color="auto" w:fill="FFFFFF"/>
          <w:lang w:val="es-MX"/>
        </w:rPr>
        <w:t xml:space="preserve">, H. T., </w:t>
      </w:r>
      <w:proofErr w:type="spellStart"/>
      <w:r w:rsidRPr="00991386">
        <w:rPr>
          <w:rFonts w:ascii="Arial" w:eastAsia="Calibri" w:hAnsi="Arial" w:cs="Arial"/>
          <w:color w:val="000000" w:themeColor="text1"/>
          <w:shd w:val="clear" w:color="auto" w:fill="FFFFFF"/>
          <w:lang w:val="es-MX"/>
        </w:rPr>
        <w:t>Tanabe</w:t>
      </w:r>
      <w:proofErr w:type="spellEnd"/>
      <w:r w:rsidRPr="00991386">
        <w:rPr>
          <w:rFonts w:ascii="Arial" w:eastAsia="Calibri" w:hAnsi="Arial" w:cs="Arial"/>
          <w:color w:val="000000" w:themeColor="text1"/>
          <w:shd w:val="clear" w:color="auto" w:fill="FFFFFF"/>
          <w:lang w:val="es-MX"/>
        </w:rPr>
        <w:t xml:space="preserve">, S., and </w:t>
      </w:r>
      <w:proofErr w:type="spellStart"/>
      <w:r w:rsidRPr="00991386">
        <w:rPr>
          <w:rFonts w:ascii="Arial" w:eastAsia="Calibri" w:hAnsi="Arial" w:cs="Arial"/>
          <w:color w:val="000000" w:themeColor="text1"/>
          <w:shd w:val="clear" w:color="auto" w:fill="FFFFFF"/>
          <w:lang w:val="es-MX"/>
        </w:rPr>
        <w:t>Hiura</w:t>
      </w:r>
      <w:proofErr w:type="spellEnd"/>
      <w:r w:rsidRPr="00991386">
        <w:rPr>
          <w:rFonts w:ascii="Arial" w:eastAsia="Calibri" w:hAnsi="Arial" w:cs="Arial"/>
          <w:color w:val="000000" w:themeColor="text1"/>
          <w:shd w:val="clear" w:color="auto" w:fill="FFFFFF"/>
          <w:lang w:val="es-MX"/>
        </w:rPr>
        <w:t xml:space="preserve">, T. (2004). </w:t>
      </w:r>
      <w:proofErr w:type="spellStart"/>
      <w:r w:rsidRPr="00991386">
        <w:rPr>
          <w:rFonts w:ascii="Arial" w:eastAsia="Calibri" w:hAnsi="Arial" w:cs="Arial"/>
          <w:color w:val="000000" w:themeColor="text1"/>
          <w:shd w:val="clear" w:color="auto" w:fill="FFFFFF"/>
          <w:lang w:val="es-MX"/>
        </w:rPr>
        <w:t>Exploring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relationships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among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canopy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structure</w:t>
      </w:r>
      <w:proofErr w:type="spellEnd"/>
      <w:r w:rsidRPr="00991386">
        <w:rPr>
          <w:rFonts w:ascii="Arial" w:eastAsia="Calibri" w:hAnsi="Arial" w:cs="Arial"/>
          <w:color w:val="000000" w:themeColor="text1"/>
          <w:shd w:val="clear" w:color="auto" w:fill="FFFFFF"/>
          <w:lang w:val="es-MX"/>
        </w:rPr>
        <w:t xml:space="preserve">, stand </w:t>
      </w:r>
      <w:proofErr w:type="spellStart"/>
      <w:r w:rsidRPr="00991386">
        <w:rPr>
          <w:rFonts w:ascii="Arial" w:eastAsia="Calibri" w:hAnsi="Arial" w:cs="Arial"/>
          <w:color w:val="000000" w:themeColor="text1"/>
          <w:shd w:val="clear" w:color="auto" w:fill="FFFFFF"/>
          <w:lang w:val="es-MX"/>
        </w:rPr>
        <w:t>productivity</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biodiversity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temperate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ecosystems</w:t>
      </w:r>
      <w:proofErr w:type="spellEnd"/>
      <w:r w:rsidRPr="00991386">
        <w:rPr>
          <w:rFonts w:ascii="Arial" w:eastAsia="Calibri" w:hAnsi="Arial" w:cs="Arial"/>
          <w:color w:val="000000" w:themeColor="text1"/>
          <w:shd w:val="clear" w:color="auto" w:fill="FFFFFF"/>
          <w:lang w:val="es-MX"/>
        </w:rPr>
        <w:t xml:space="preserve">. Forest </w:t>
      </w:r>
      <w:proofErr w:type="spellStart"/>
      <w:r w:rsidRPr="00991386">
        <w:rPr>
          <w:rFonts w:ascii="Arial" w:eastAsia="Calibri" w:hAnsi="Arial" w:cs="Arial"/>
          <w:color w:val="000000" w:themeColor="text1"/>
          <w:shd w:val="clear" w:color="auto" w:fill="FFFFFF"/>
          <w:lang w:val="es-MX"/>
        </w:rPr>
        <w:t>Science</w:t>
      </w:r>
      <w:proofErr w:type="spellEnd"/>
      <w:r w:rsidRPr="00991386">
        <w:rPr>
          <w:rFonts w:ascii="Arial" w:eastAsia="Calibri" w:hAnsi="Arial" w:cs="Arial"/>
          <w:color w:val="000000" w:themeColor="text1"/>
          <w:shd w:val="clear" w:color="auto" w:fill="FFFFFF"/>
          <w:lang w:val="es-MX"/>
        </w:rPr>
        <w:t>, 50(3), 342-355. DOI: 10.1093/</w:t>
      </w:r>
      <w:proofErr w:type="spellStart"/>
      <w:r w:rsidRPr="00991386">
        <w:rPr>
          <w:rFonts w:ascii="Arial" w:eastAsia="Calibri" w:hAnsi="Arial" w:cs="Arial"/>
          <w:color w:val="000000" w:themeColor="text1"/>
          <w:shd w:val="clear" w:color="auto" w:fill="FFFFFF"/>
          <w:lang w:val="es-MX"/>
        </w:rPr>
        <w:t>forestscience</w:t>
      </w:r>
      <w:proofErr w:type="spellEnd"/>
      <w:r w:rsidRPr="00991386">
        <w:rPr>
          <w:rFonts w:ascii="Arial" w:eastAsia="Calibri" w:hAnsi="Arial" w:cs="Arial"/>
          <w:color w:val="000000" w:themeColor="text1"/>
          <w:shd w:val="clear" w:color="auto" w:fill="FFFFFF"/>
          <w:lang w:val="es-MX"/>
        </w:rPr>
        <w:t>/50.3.342.</w:t>
      </w:r>
    </w:p>
    <w:p w14:paraId="0A12EDD0"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Rossi, S., Tremblay, M. J., Morin, H., &amp; </w:t>
      </w:r>
      <w:proofErr w:type="spellStart"/>
      <w:r w:rsidRPr="00991386">
        <w:rPr>
          <w:rFonts w:ascii="Arial" w:eastAsia="Calibri" w:hAnsi="Arial" w:cs="Arial"/>
          <w:color w:val="000000" w:themeColor="text1"/>
          <w:shd w:val="clear" w:color="auto" w:fill="FFFFFF"/>
          <w:lang w:val="es-MX"/>
        </w:rPr>
        <w:t>Savard</w:t>
      </w:r>
      <w:proofErr w:type="spellEnd"/>
      <w:r w:rsidRPr="00991386">
        <w:rPr>
          <w:rFonts w:ascii="Arial" w:eastAsia="Calibri" w:hAnsi="Arial" w:cs="Arial"/>
          <w:color w:val="000000" w:themeColor="text1"/>
          <w:shd w:val="clear" w:color="auto" w:fill="FFFFFF"/>
          <w:lang w:val="es-MX"/>
        </w:rPr>
        <w:t xml:space="preserve">, G. (2009). </w:t>
      </w:r>
      <w:proofErr w:type="spellStart"/>
      <w:r w:rsidRPr="00991386">
        <w:rPr>
          <w:rFonts w:ascii="Arial" w:eastAsia="Calibri" w:hAnsi="Arial" w:cs="Arial"/>
          <w:color w:val="000000" w:themeColor="text1"/>
          <w:shd w:val="clear" w:color="auto" w:fill="FFFFFF"/>
          <w:lang w:val="es-MX"/>
        </w:rPr>
        <w:t>Growth</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productivity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black</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spruce</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even</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uneven-aged</w:t>
      </w:r>
      <w:proofErr w:type="spellEnd"/>
      <w:r w:rsidRPr="00991386">
        <w:rPr>
          <w:rFonts w:ascii="Arial" w:eastAsia="Calibri" w:hAnsi="Arial" w:cs="Arial"/>
          <w:color w:val="000000" w:themeColor="text1"/>
          <w:shd w:val="clear" w:color="auto" w:fill="FFFFFF"/>
          <w:lang w:val="es-MX"/>
        </w:rPr>
        <w:t xml:space="preserve"> stands at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limit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closed</w:t>
      </w:r>
      <w:proofErr w:type="spellEnd"/>
      <w:r w:rsidRPr="00991386">
        <w:rPr>
          <w:rFonts w:ascii="Arial" w:eastAsia="Calibri" w:hAnsi="Arial" w:cs="Arial"/>
          <w:color w:val="000000" w:themeColor="text1"/>
          <w:shd w:val="clear" w:color="auto" w:fill="FFFFFF"/>
          <w:lang w:val="es-MX"/>
        </w:rPr>
        <w:t xml:space="preserve"> boreal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Forest </w:t>
      </w:r>
      <w:proofErr w:type="spellStart"/>
      <w:r w:rsidRPr="00991386">
        <w:rPr>
          <w:rFonts w:ascii="Arial" w:eastAsia="Calibri" w:hAnsi="Arial" w:cs="Arial"/>
          <w:color w:val="000000" w:themeColor="text1"/>
          <w:shd w:val="clear" w:color="auto" w:fill="FFFFFF"/>
          <w:lang w:val="es-MX"/>
        </w:rPr>
        <w:t>Ecology</w:t>
      </w:r>
      <w:proofErr w:type="spellEnd"/>
      <w:r w:rsidRPr="00991386">
        <w:rPr>
          <w:rFonts w:ascii="Arial" w:eastAsia="Calibri" w:hAnsi="Arial" w:cs="Arial"/>
          <w:color w:val="000000" w:themeColor="text1"/>
          <w:shd w:val="clear" w:color="auto" w:fill="FFFFFF"/>
          <w:lang w:val="es-MX"/>
        </w:rPr>
        <w:t xml:space="preserve"> and Management, 258(9), 2153-2161. DOI: 10.1016/j.foreco.2009.08.023</w:t>
      </w:r>
    </w:p>
    <w:p w14:paraId="1339FAAA"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National</w:t>
      </w:r>
      <w:proofErr w:type="spellEnd"/>
      <w:r w:rsidRPr="00991386">
        <w:rPr>
          <w:rFonts w:ascii="Arial" w:eastAsia="Calibri" w:hAnsi="Arial" w:cs="Arial"/>
          <w:color w:val="000000" w:themeColor="text1"/>
          <w:shd w:val="clear" w:color="auto" w:fill="FFFFFF"/>
          <w:lang w:val="es-MX"/>
        </w:rPr>
        <w:t xml:space="preserve"> Council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Evaluation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Policy</w:t>
      </w:r>
      <w:proofErr w:type="spellEnd"/>
      <w:r w:rsidRPr="00991386">
        <w:rPr>
          <w:rFonts w:ascii="Arial" w:eastAsia="Calibri" w:hAnsi="Arial" w:cs="Arial"/>
          <w:color w:val="000000" w:themeColor="text1"/>
          <w:shd w:val="clear" w:color="auto" w:fill="FFFFFF"/>
          <w:lang w:val="es-MX"/>
        </w:rPr>
        <w:t xml:space="preserve"> (Coneval). (2020). Multidimensional </w:t>
      </w:r>
      <w:proofErr w:type="spellStart"/>
      <w:r w:rsidRPr="00991386">
        <w:rPr>
          <w:rFonts w:ascii="Arial" w:eastAsia="Calibri" w:hAnsi="Arial" w:cs="Arial"/>
          <w:color w:val="000000" w:themeColor="text1"/>
          <w:shd w:val="clear" w:color="auto" w:fill="FFFFFF"/>
          <w:lang w:val="es-MX"/>
        </w:rPr>
        <w:t>Measurement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Poverty</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Approach</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Based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Economic</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Well-being</w:t>
      </w:r>
      <w:proofErr w:type="spellEnd"/>
      <w:r w:rsidRPr="00991386">
        <w:rPr>
          <w:rFonts w:ascii="Arial" w:eastAsia="Calibri" w:hAnsi="Arial" w:cs="Arial"/>
          <w:color w:val="000000" w:themeColor="text1"/>
          <w:shd w:val="clear" w:color="auto" w:fill="FFFFFF"/>
          <w:lang w:val="es-MX"/>
        </w:rPr>
        <w:t xml:space="preserve"> and Social </w:t>
      </w:r>
      <w:proofErr w:type="spellStart"/>
      <w:r w:rsidRPr="00991386">
        <w:rPr>
          <w:rFonts w:ascii="Arial" w:eastAsia="Calibri" w:hAnsi="Arial" w:cs="Arial"/>
          <w:color w:val="000000" w:themeColor="text1"/>
          <w:shd w:val="clear" w:color="auto" w:fill="FFFFFF"/>
          <w:lang w:val="es-MX"/>
        </w:rPr>
        <w:t>Rights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Coneval.</w:t>
      </w:r>
    </w:p>
    <w:p w14:paraId="325204C8"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Guadarrama, O. R., Hualde, A. A., and López, E. S. (2012). Labor </w:t>
      </w:r>
      <w:proofErr w:type="spellStart"/>
      <w:r w:rsidRPr="00991386">
        <w:rPr>
          <w:rFonts w:ascii="Arial" w:eastAsia="Calibri" w:hAnsi="Arial" w:cs="Arial"/>
          <w:color w:val="000000" w:themeColor="text1"/>
          <w:shd w:val="clear" w:color="auto" w:fill="FFFFFF"/>
          <w:lang w:val="es-MX"/>
        </w:rPr>
        <w:t>Precariousness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Occupational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Heterogeneity</w:t>
      </w:r>
      <w:proofErr w:type="spellEnd"/>
      <w:r w:rsidRPr="00991386">
        <w:rPr>
          <w:rFonts w:ascii="Arial" w:eastAsia="Calibri" w:hAnsi="Arial" w:cs="Arial"/>
          <w:color w:val="000000" w:themeColor="text1"/>
          <w:shd w:val="clear" w:color="auto" w:fill="FFFFFF"/>
          <w:lang w:val="es-MX"/>
        </w:rPr>
        <w:t xml:space="preserve">: A </w:t>
      </w:r>
      <w:proofErr w:type="spellStart"/>
      <w:r w:rsidRPr="00991386">
        <w:rPr>
          <w:rFonts w:ascii="Arial" w:eastAsia="Calibri" w:hAnsi="Arial" w:cs="Arial"/>
          <w:color w:val="000000" w:themeColor="text1"/>
          <w:shd w:val="clear" w:color="auto" w:fill="FFFFFF"/>
          <w:lang w:val="es-MX"/>
        </w:rPr>
        <w:t>Theoretical-Methodological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Proposal</w:t>
      </w:r>
      <w:proofErr w:type="spellEnd"/>
      <w:r w:rsidRPr="00991386">
        <w:rPr>
          <w:rFonts w:ascii="Arial" w:eastAsia="Calibri" w:hAnsi="Arial" w:cs="Arial"/>
          <w:color w:val="000000" w:themeColor="text1"/>
          <w:shd w:val="clear" w:color="auto" w:fill="FFFFFF"/>
          <w:lang w:val="es-MX"/>
        </w:rPr>
        <w:t xml:space="preserve">. Revista Mexicana de Sociología, 74(2), 213-243.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http://www.scielo.org.mx/scielo.php?script=sci_arttext&amp;pid=S0188-25032012000200002&amp;lng=es&amp;tlng=es.</w:t>
      </w:r>
    </w:p>
    <w:p w14:paraId="0F8E28E7"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González, J. L. L., Villavicencio, E. S., Cadena, J. F. A., &amp; Espinosa, J. A. M. (2023). Rain-</w:t>
      </w:r>
      <w:proofErr w:type="spellStart"/>
      <w:r w:rsidRPr="00991386">
        <w:rPr>
          <w:rFonts w:ascii="Arial" w:eastAsia="Calibri" w:hAnsi="Arial" w:cs="Arial"/>
          <w:color w:val="000000" w:themeColor="text1"/>
          <w:shd w:val="clear" w:color="auto" w:fill="FFFFFF"/>
          <w:lang w:val="es-MX"/>
        </w:rPr>
        <w:t>fed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agriculture</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food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security</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peasant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families</w:t>
      </w:r>
      <w:proofErr w:type="spellEnd"/>
      <w:r w:rsidRPr="00991386">
        <w:rPr>
          <w:rFonts w:ascii="Arial" w:eastAsia="Calibri" w:hAnsi="Arial" w:cs="Arial"/>
          <w:color w:val="000000" w:themeColor="text1"/>
          <w:shd w:val="clear" w:color="auto" w:fill="FFFFFF"/>
          <w:lang w:val="es-MX"/>
        </w:rPr>
        <w:t xml:space="preserve">: A case </w:t>
      </w:r>
      <w:proofErr w:type="spellStart"/>
      <w:r w:rsidRPr="00991386">
        <w:rPr>
          <w:rFonts w:ascii="Arial" w:eastAsia="Calibri" w:hAnsi="Arial" w:cs="Arial"/>
          <w:color w:val="000000" w:themeColor="text1"/>
          <w:shd w:val="clear" w:color="auto" w:fill="FFFFFF"/>
          <w:lang w:val="es-MX"/>
        </w:rPr>
        <w:t>study</w:t>
      </w:r>
      <w:proofErr w:type="spellEnd"/>
      <w:r w:rsidRPr="00991386">
        <w:rPr>
          <w:rFonts w:ascii="Arial" w:eastAsia="Calibri" w:hAnsi="Arial" w:cs="Arial"/>
          <w:color w:val="000000" w:themeColor="text1"/>
          <w:shd w:val="clear" w:color="auto" w:fill="FFFFFF"/>
          <w:lang w:val="es-MX"/>
        </w:rPr>
        <w:t xml:space="preserve"> in Puebla,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*Agricultura, Sociedad y Desarrollo*, 20(1), 109–124.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10.22231/</w:t>
      </w:r>
      <w:proofErr w:type="gramStart"/>
      <w:r w:rsidRPr="00991386">
        <w:rPr>
          <w:rFonts w:ascii="Arial" w:eastAsia="Calibri" w:hAnsi="Arial" w:cs="Arial"/>
          <w:color w:val="000000" w:themeColor="text1"/>
          <w:shd w:val="clear" w:color="auto" w:fill="FFFFFF"/>
          <w:lang w:val="es-MX"/>
        </w:rPr>
        <w:t>asyd.v</w:t>
      </w:r>
      <w:proofErr w:type="gramEnd"/>
      <w:r w:rsidRPr="00991386">
        <w:rPr>
          <w:rFonts w:ascii="Arial" w:eastAsia="Calibri" w:hAnsi="Arial" w:cs="Arial"/>
          <w:color w:val="000000" w:themeColor="text1"/>
          <w:shd w:val="clear" w:color="auto" w:fill="FFFFFF"/>
          <w:lang w:val="es-MX"/>
        </w:rPr>
        <w:t>20i1.1531</w:t>
      </w:r>
    </w:p>
    <w:p w14:paraId="5BC3DAE4"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Gómez, H. D. L. (2011). Business </w:t>
      </w:r>
      <w:proofErr w:type="spellStart"/>
      <w:r w:rsidRPr="00991386">
        <w:rPr>
          <w:rFonts w:ascii="Arial" w:eastAsia="Calibri" w:hAnsi="Arial" w:cs="Arial"/>
          <w:color w:val="000000" w:themeColor="text1"/>
          <w:shd w:val="clear" w:color="auto" w:fill="FFFFFF"/>
          <w:lang w:val="es-MX"/>
        </w:rPr>
        <w:t>associativity</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appropriation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production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chain</w:t>
      </w:r>
      <w:proofErr w:type="spellEnd"/>
      <w:r w:rsidRPr="00991386">
        <w:rPr>
          <w:rFonts w:ascii="Arial" w:eastAsia="Calibri" w:hAnsi="Arial" w:cs="Arial"/>
          <w:color w:val="000000" w:themeColor="text1"/>
          <w:shd w:val="clear" w:color="auto" w:fill="FFFFFF"/>
          <w:lang w:val="es-MX"/>
        </w:rPr>
        <w:t xml:space="preserve"> as </w:t>
      </w:r>
      <w:proofErr w:type="spellStart"/>
      <w:r w:rsidRPr="00991386">
        <w:rPr>
          <w:rFonts w:ascii="Arial" w:eastAsia="Calibri" w:hAnsi="Arial" w:cs="Arial"/>
          <w:color w:val="000000" w:themeColor="text1"/>
          <w:shd w:val="clear" w:color="auto" w:fill="FFFFFF"/>
          <w:lang w:val="es-MX"/>
        </w:rPr>
        <w:t>factors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driving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competitiveness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micro, </w:t>
      </w:r>
      <w:proofErr w:type="spellStart"/>
      <w:r w:rsidRPr="00991386">
        <w:rPr>
          <w:rFonts w:ascii="Arial" w:eastAsia="Calibri" w:hAnsi="Arial" w:cs="Arial"/>
          <w:color w:val="000000" w:themeColor="text1"/>
          <w:shd w:val="clear" w:color="auto" w:fill="FFFFFF"/>
          <w:lang w:val="es-MX"/>
        </w:rPr>
        <w:t>small</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medium-sized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enterprises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Three</w:t>
      </w:r>
      <w:proofErr w:type="spellEnd"/>
      <w:r w:rsidRPr="00991386">
        <w:rPr>
          <w:rFonts w:ascii="Arial" w:eastAsia="Calibri" w:hAnsi="Arial" w:cs="Arial"/>
          <w:color w:val="000000" w:themeColor="text1"/>
          <w:shd w:val="clear" w:color="auto" w:fill="FFFFFF"/>
          <w:lang w:val="es-MX"/>
        </w:rPr>
        <w:t xml:space="preserve"> case </w:t>
      </w:r>
      <w:proofErr w:type="spellStart"/>
      <w:r w:rsidRPr="00991386">
        <w:rPr>
          <w:rFonts w:ascii="Arial" w:eastAsia="Calibri" w:hAnsi="Arial" w:cs="Arial"/>
          <w:color w:val="000000" w:themeColor="text1"/>
          <w:shd w:val="clear" w:color="auto" w:fill="FFFFFF"/>
          <w:lang w:val="es-MX"/>
        </w:rPr>
        <w:t>studies</w:t>
      </w:r>
      <w:proofErr w:type="spellEnd"/>
      <w:r w:rsidRPr="00991386">
        <w:rPr>
          <w:rFonts w:ascii="Arial" w:eastAsia="Calibri" w:hAnsi="Arial" w:cs="Arial"/>
          <w:color w:val="000000" w:themeColor="text1"/>
          <w:shd w:val="clear" w:color="auto" w:fill="FFFFFF"/>
          <w:lang w:val="es-MX"/>
        </w:rPr>
        <w:t xml:space="preserve">. *Estudios Agrarios*, (17) 47, 133–144.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https://www.pa.gob.mx/publica/rev_47/an%C3%A1lisis/asociatividad_empresarial.pdf</w:t>
      </w:r>
    </w:p>
    <w:p w14:paraId="03B146C8"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42F513FD"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Cervantes, S. M. P., Aguilar, R. A., López L., D. M., &amp; Saavedra, G. A. (2020). </w:t>
      </w:r>
      <w:proofErr w:type="spellStart"/>
      <w:r w:rsidRPr="00991386">
        <w:rPr>
          <w:rFonts w:ascii="Arial" w:eastAsia="Calibri" w:hAnsi="Arial" w:cs="Arial"/>
          <w:color w:val="000000" w:themeColor="text1"/>
          <w:shd w:val="clear" w:color="auto" w:fill="FFFFFF"/>
          <w:lang w:val="es-MX"/>
        </w:rPr>
        <w:t>Territorialization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social capital: </w:t>
      </w:r>
      <w:proofErr w:type="spellStart"/>
      <w:r w:rsidRPr="00991386">
        <w:rPr>
          <w:rFonts w:ascii="Arial" w:eastAsia="Calibri" w:hAnsi="Arial" w:cs="Arial"/>
          <w:color w:val="000000" w:themeColor="text1"/>
          <w:shd w:val="clear" w:color="auto" w:fill="FFFFFF"/>
          <w:lang w:val="es-MX"/>
        </w:rPr>
        <w:t>Community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appropriation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Tabasco–Chiapas </w:t>
      </w:r>
      <w:proofErr w:type="spellStart"/>
      <w:r w:rsidRPr="00991386">
        <w:rPr>
          <w:rFonts w:ascii="Arial" w:eastAsia="Calibri" w:hAnsi="Arial" w:cs="Arial"/>
          <w:color w:val="000000" w:themeColor="text1"/>
          <w:shd w:val="clear" w:color="auto" w:fill="FFFFFF"/>
          <w:lang w:val="es-MX"/>
        </w:rPr>
        <w:t>border</w:t>
      </w:r>
      <w:proofErr w:type="spellEnd"/>
      <w:r w:rsidRPr="00991386">
        <w:rPr>
          <w:rFonts w:ascii="Arial" w:eastAsia="Calibri" w:hAnsi="Arial" w:cs="Arial"/>
          <w:color w:val="000000" w:themeColor="text1"/>
          <w:shd w:val="clear" w:color="auto" w:fill="FFFFFF"/>
          <w:lang w:val="es-MX"/>
        </w:rPr>
        <w:t xml:space="preserve">. *Estudios Demográficos y Urbanos*, 35(1), 9–50.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10.24201/</w:t>
      </w:r>
      <w:proofErr w:type="gramStart"/>
      <w:r w:rsidRPr="00991386">
        <w:rPr>
          <w:rFonts w:ascii="Arial" w:eastAsia="Calibri" w:hAnsi="Arial" w:cs="Arial"/>
          <w:color w:val="000000" w:themeColor="text1"/>
          <w:shd w:val="clear" w:color="auto" w:fill="FFFFFF"/>
          <w:lang w:val="es-MX"/>
        </w:rPr>
        <w:t>edu.v</w:t>
      </w:r>
      <w:proofErr w:type="gramEnd"/>
      <w:r w:rsidRPr="00991386">
        <w:rPr>
          <w:rFonts w:ascii="Arial" w:eastAsia="Calibri" w:hAnsi="Arial" w:cs="Arial"/>
          <w:color w:val="000000" w:themeColor="text1"/>
          <w:shd w:val="clear" w:color="auto" w:fill="FFFFFF"/>
          <w:lang w:val="es-MX"/>
        </w:rPr>
        <w:t>35i1.1846</w:t>
      </w:r>
    </w:p>
    <w:p w14:paraId="4F0CA6A1"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Boltvinik</w:t>
      </w:r>
      <w:proofErr w:type="spellEnd"/>
      <w:r w:rsidRPr="00991386">
        <w:rPr>
          <w:rFonts w:ascii="Arial" w:eastAsia="Calibri" w:hAnsi="Arial" w:cs="Arial"/>
          <w:color w:val="000000" w:themeColor="text1"/>
          <w:shd w:val="clear" w:color="auto" w:fill="FFFFFF"/>
          <w:lang w:val="es-MX"/>
        </w:rPr>
        <w:t>, J. (2012). *</w:t>
      </w:r>
      <w:proofErr w:type="spellStart"/>
      <w:r w:rsidRPr="00991386">
        <w:rPr>
          <w:rFonts w:ascii="Arial" w:eastAsia="Calibri" w:hAnsi="Arial" w:cs="Arial"/>
          <w:color w:val="000000" w:themeColor="text1"/>
          <w:shd w:val="clear" w:color="auto" w:fill="FFFFFF"/>
          <w:lang w:val="es-MX"/>
        </w:rPr>
        <w:t>Poverty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and social </w:t>
      </w:r>
      <w:proofErr w:type="spellStart"/>
      <w:r w:rsidRPr="00991386">
        <w:rPr>
          <w:rFonts w:ascii="Arial" w:eastAsia="Calibri" w:hAnsi="Arial" w:cs="Arial"/>
          <w:color w:val="000000" w:themeColor="text1"/>
          <w:shd w:val="clear" w:color="auto" w:fill="FFFFFF"/>
          <w:lang w:val="es-MX"/>
        </w:rPr>
        <w:t>policy</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Málaga, </w:t>
      </w:r>
      <w:proofErr w:type="spellStart"/>
      <w:r w:rsidRPr="00991386">
        <w:rPr>
          <w:rFonts w:ascii="Arial" w:eastAsia="Calibri" w:hAnsi="Arial" w:cs="Arial"/>
          <w:color w:val="000000" w:themeColor="text1"/>
          <w:shd w:val="clear" w:color="auto" w:fill="FFFFFF"/>
          <w:lang w:val="es-MX"/>
        </w:rPr>
        <w:t>Spain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University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Málaga.</w:t>
      </w:r>
    </w:p>
    <w:p w14:paraId="33614089"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Grimson</w:t>
      </w:r>
      <w:proofErr w:type="spellEnd"/>
      <w:r w:rsidRPr="00991386">
        <w:rPr>
          <w:rFonts w:ascii="Arial" w:eastAsia="Calibri" w:hAnsi="Arial" w:cs="Arial"/>
          <w:color w:val="000000" w:themeColor="text1"/>
          <w:shd w:val="clear" w:color="auto" w:fill="FFFFFF"/>
          <w:lang w:val="es-MX"/>
        </w:rPr>
        <w:t>, A. (2020).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limits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culture: A critique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identity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theories</w:t>
      </w:r>
      <w:proofErr w:type="spellEnd"/>
      <w:r w:rsidRPr="00991386">
        <w:rPr>
          <w:rFonts w:ascii="Arial" w:eastAsia="Calibri" w:hAnsi="Arial" w:cs="Arial"/>
          <w:color w:val="000000" w:themeColor="text1"/>
          <w:shd w:val="clear" w:color="auto" w:fill="FFFFFF"/>
          <w:lang w:val="es-MX"/>
        </w:rPr>
        <w:t xml:space="preserve">*. Siglo XXI Editores. Giménez, M. G. (2019). *Cultura, identidad y procesos de individualización* [Culture, </w:t>
      </w:r>
      <w:proofErr w:type="spellStart"/>
      <w:r w:rsidRPr="00991386">
        <w:rPr>
          <w:rFonts w:ascii="Arial" w:eastAsia="Calibri" w:hAnsi="Arial" w:cs="Arial"/>
          <w:color w:val="000000" w:themeColor="text1"/>
          <w:shd w:val="clear" w:color="auto" w:fill="FFFFFF"/>
          <w:lang w:val="es-MX"/>
        </w:rPr>
        <w:t>Identity</w:t>
      </w:r>
      <w:proofErr w:type="spellEnd"/>
      <w:r w:rsidRPr="00991386">
        <w:rPr>
          <w:rFonts w:ascii="Arial" w:eastAsia="Calibri" w:hAnsi="Arial" w:cs="Arial"/>
          <w:color w:val="000000" w:themeColor="text1"/>
          <w:shd w:val="clear" w:color="auto" w:fill="FFFFFF"/>
          <w:lang w:val="es-MX"/>
        </w:rPr>
        <w:t xml:space="preserve">, </w:t>
      </w:r>
      <w:r w:rsidRPr="00991386">
        <w:rPr>
          <w:rFonts w:ascii="Arial" w:eastAsia="Calibri" w:hAnsi="Arial" w:cs="Arial"/>
          <w:color w:val="000000" w:themeColor="text1"/>
          <w:shd w:val="clear" w:color="auto" w:fill="FFFFFF"/>
          <w:lang w:val="es-MX"/>
        </w:rPr>
        <w:lastRenderedPageBreak/>
        <w:t xml:space="preserve">and </w:t>
      </w:r>
      <w:proofErr w:type="spellStart"/>
      <w:r w:rsidRPr="00991386">
        <w:rPr>
          <w:rFonts w:ascii="Arial" w:eastAsia="Calibri" w:hAnsi="Arial" w:cs="Arial"/>
          <w:color w:val="000000" w:themeColor="text1"/>
          <w:shd w:val="clear" w:color="auto" w:fill="FFFFFF"/>
          <w:lang w:val="es-MX"/>
        </w:rPr>
        <w:t>Processes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Individualization</w:t>
      </w:r>
      <w:proofErr w:type="spellEnd"/>
      <w:r w:rsidRPr="00991386">
        <w:rPr>
          <w:rFonts w:ascii="Arial" w:eastAsia="Calibri" w:hAnsi="Arial" w:cs="Arial"/>
          <w:color w:val="000000" w:themeColor="text1"/>
          <w:shd w:val="clear" w:color="auto" w:fill="FFFFFF"/>
          <w:lang w:val="es-MX"/>
        </w:rPr>
        <w:t xml:space="preserve">]. Center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Interdisciplinary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Research</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Sciences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Humanities</w:t>
      </w:r>
      <w:proofErr w:type="spellEnd"/>
      <w:r w:rsidRPr="00991386">
        <w:rPr>
          <w:rFonts w:ascii="Arial" w:eastAsia="Calibri" w:hAnsi="Arial" w:cs="Arial"/>
          <w:color w:val="000000" w:themeColor="text1"/>
          <w:shd w:val="clear" w:color="auto" w:fill="FFFFFF"/>
          <w:lang w:val="es-MX"/>
        </w:rPr>
        <w:t xml:space="preserve">, UNAM,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w:t>
      </w:r>
    </w:p>
    <w:p w14:paraId="34F59DA3"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Chapela</w:t>
      </w:r>
      <w:proofErr w:type="spellEnd"/>
      <w:r w:rsidRPr="00991386">
        <w:rPr>
          <w:rFonts w:ascii="Arial" w:eastAsia="Calibri" w:hAnsi="Arial" w:cs="Arial"/>
          <w:color w:val="000000" w:themeColor="text1"/>
          <w:shd w:val="clear" w:color="auto" w:fill="FFFFFF"/>
          <w:lang w:val="es-MX"/>
        </w:rPr>
        <w:t xml:space="preserve">, F. (2021). </w:t>
      </w:r>
      <w:proofErr w:type="spellStart"/>
      <w:r w:rsidRPr="00991386">
        <w:rPr>
          <w:rFonts w:ascii="Arial" w:eastAsia="Calibri" w:hAnsi="Arial" w:cs="Arial"/>
          <w:color w:val="000000" w:themeColor="text1"/>
          <w:shd w:val="clear" w:color="auto" w:fill="FFFFFF"/>
          <w:lang w:val="es-MX"/>
        </w:rPr>
        <w:t>Indigenous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community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management</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Sierra </w:t>
      </w:r>
      <w:proofErr w:type="spellStart"/>
      <w:r w:rsidRPr="00991386">
        <w:rPr>
          <w:rFonts w:ascii="Arial" w:eastAsia="Calibri" w:hAnsi="Arial" w:cs="Arial"/>
          <w:color w:val="000000" w:themeColor="text1"/>
          <w:shd w:val="clear" w:color="auto" w:fill="FFFFFF"/>
          <w:lang w:val="es-MX"/>
        </w:rPr>
        <w:t>Juarez</w:t>
      </w:r>
      <w:proofErr w:type="spellEnd"/>
      <w:r w:rsidRPr="00991386">
        <w:rPr>
          <w:rFonts w:ascii="Arial" w:eastAsia="Calibri" w:hAnsi="Arial" w:cs="Arial"/>
          <w:color w:val="000000" w:themeColor="text1"/>
          <w:shd w:val="clear" w:color="auto" w:fill="FFFFFF"/>
          <w:lang w:val="es-MX"/>
        </w:rPr>
        <w:t>, Oaxaca. In D. Barton, L. Merino, &amp; D. Barry (Eds.),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Community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(pp. 89–110). Austin: </w:t>
      </w:r>
      <w:proofErr w:type="spellStart"/>
      <w:r w:rsidRPr="00991386">
        <w:rPr>
          <w:rFonts w:ascii="Arial" w:eastAsia="Calibri" w:hAnsi="Arial" w:cs="Arial"/>
          <w:color w:val="000000" w:themeColor="text1"/>
          <w:shd w:val="clear" w:color="auto" w:fill="FFFFFF"/>
          <w:lang w:val="es-MX"/>
        </w:rPr>
        <w:t>University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Texas </w:t>
      </w:r>
      <w:proofErr w:type="spellStart"/>
      <w:r w:rsidRPr="00991386">
        <w:rPr>
          <w:rFonts w:ascii="Arial" w:eastAsia="Calibri" w:hAnsi="Arial" w:cs="Arial"/>
          <w:color w:val="000000" w:themeColor="text1"/>
          <w:shd w:val="clear" w:color="auto" w:fill="FFFFFF"/>
          <w:lang w:val="es-MX"/>
        </w:rPr>
        <w:t>Press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10.7560/706378-007.</w:t>
      </w:r>
    </w:p>
    <w:p w14:paraId="4DAD563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Torres R., J., Carrillo A., F., Acosta M., M., Flores A., E., &amp; </w:t>
      </w:r>
      <w:proofErr w:type="spellStart"/>
      <w:r w:rsidRPr="00991386">
        <w:rPr>
          <w:rFonts w:ascii="Arial" w:eastAsia="Calibri" w:hAnsi="Arial" w:cs="Arial"/>
          <w:color w:val="000000" w:themeColor="text1"/>
          <w:shd w:val="clear" w:color="auto" w:fill="FFFFFF"/>
          <w:lang w:val="es-MX"/>
        </w:rPr>
        <w:t>Sangerman</w:t>
      </w:r>
      <w:proofErr w:type="spellEnd"/>
      <w:r w:rsidRPr="00991386">
        <w:rPr>
          <w:rFonts w:ascii="Arial" w:eastAsia="Calibri" w:hAnsi="Arial" w:cs="Arial"/>
          <w:color w:val="000000" w:themeColor="text1"/>
          <w:shd w:val="clear" w:color="auto" w:fill="FFFFFF"/>
          <w:lang w:val="es-MX"/>
        </w:rPr>
        <w:t xml:space="preserve"> J., D. M. (2022). </w:t>
      </w:r>
      <w:proofErr w:type="spellStart"/>
      <w:r w:rsidRPr="00991386">
        <w:rPr>
          <w:rFonts w:ascii="Arial" w:eastAsia="Calibri" w:hAnsi="Arial" w:cs="Arial"/>
          <w:color w:val="000000" w:themeColor="text1"/>
          <w:shd w:val="clear" w:color="auto" w:fill="FFFFFF"/>
          <w:lang w:val="es-MX"/>
        </w:rPr>
        <w:t>Characteristics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private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producers</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*Revista Mexicana de Ciencias Agrícolas*, *13*(5), 841–852.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10.29312/</w:t>
      </w:r>
      <w:proofErr w:type="gramStart"/>
      <w:r w:rsidRPr="00991386">
        <w:rPr>
          <w:rFonts w:ascii="Arial" w:eastAsia="Calibri" w:hAnsi="Arial" w:cs="Arial"/>
          <w:color w:val="000000" w:themeColor="text1"/>
          <w:shd w:val="clear" w:color="auto" w:fill="FFFFFF"/>
          <w:lang w:val="es-MX"/>
        </w:rPr>
        <w:t>remexca.v</w:t>
      </w:r>
      <w:proofErr w:type="gramEnd"/>
      <w:r w:rsidRPr="00991386">
        <w:rPr>
          <w:rFonts w:ascii="Arial" w:eastAsia="Calibri" w:hAnsi="Arial" w:cs="Arial"/>
          <w:color w:val="000000" w:themeColor="text1"/>
          <w:shd w:val="clear" w:color="auto" w:fill="FFFFFF"/>
          <w:lang w:val="es-MX"/>
        </w:rPr>
        <w:t>13i5.3228.</w:t>
      </w:r>
    </w:p>
    <w:p w14:paraId="0DD0B028"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1A02A8E7"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Chapela</w:t>
      </w:r>
      <w:proofErr w:type="spellEnd"/>
      <w:r w:rsidRPr="00991386">
        <w:rPr>
          <w:rFonts w:ascii="Arial" w:eastAsia="Calibri" w:hAnsi="Arial" w:cs="Arial"/>
          <w:color w:val="000000" w:themeColor="text1"/>
          <w:shd w:val="clear" w:color="auto" w:fill="FFFFFF"/>
          <w:lang w:val="es-MX"/>
        </w:rPr>
        <w:t>, G., &amp; Merino, L. (2019). Hacia una política forestal sustentable e incluyente [</w:t>
      </w:r>
      <w:proofErr w:type="spellStart"/>
      <w:r w:rsidRPr="00991386">
        <w:rPr>
          <w:rFonts w:ascii="Arial" w:eastAsia="Calibri" w:hAnsi="Arial" w:cs="Arial"/>
          <w:color w:val="000000" w:themeColor="text1"/>
          <w:shd w:val="clear" w:color="auto" w:fill="FFFFFF"/>
          <w:lang w:val="es-MX"/>
        </w:rPr>
        <w:t>Towards</w:t>
      </w:r>
      <w:proofErr w:type="spellEnd"/>
      <w:r w:rsidRPr="00991386">
        <w:rPr>
          <w:rFonts w:ascii="Arial" w:eastAsia="Calibri" w:hAnsi="Arial" w:cs="Arial"/>
          <w:color w:val="000000" w:themeColor="text1"/>
          <w:shd w:val="clear" w:color="auto" w:fill="FFFFFF"/>
          <w:lang w:val="es-MX"/>
        </w:rPr>
        <w:t xml:space="preserve"> a </w:t>
      </w:r>
      <w:proofErr w:type="spellStart"/>
      <w:r w:rsidRPr="00991386">
        <w:rPr>
          <w:rFonts w:ascii="Arial" w:eastAsia="Calibri" w:hAnsi="Arial" w:cs="Arial"/>
          <w:color w:val="000000" w:themeColor="text1"/>
          <w:shd w:val="clear" w:color="auto" w:fill="FFFFFF"/>
          <w:lang w:val="es-MX"/>
        </w:rPr>
        <w:t>Sustainable</w:t>
      </w:r>
      <w:proofErr w:type="spellEnd"/>
      <w:r w:rsidRPr="00991386">
        <w:rPr>
          <w:rFonts w:ascii="Arial" w:eastAsia="Calibri" w:hAnsi="Arial" w:cs="Arial"/>
          <w:color w:val="000000" w:themeColor="text1"/>
          <w:shd w:val="clear" w:color="auto" w:fill="FFFFFF"/>
          <w:lang w:val="es-MX"/>
        </w:rPr>
        <w:t xml:space="preserve"> and Inclusive Forest </w:t>
      </w:r>
      <w:proofErr w:type="spellStart"/>
      <w:r w:rsidRPr="00991386">
        <w:rPr>
          <w:rFonts w:ascii="Arial" w:eastAsia="Calibri" w:hAnsi="Arial" w:cs="Arial"/>
          <w:color w:val="000000" w:themeColor="text1"/>
          <w:shd w:val="clear" w:color="auto" w:fill="FFFFFF"/>
          <w:lang w:val="es-MX"/>
        </w:rPr>
        <w:t>Policy</w:t>
      </w:r>
      <w:proofErr w:type="spellEnd"/>
      <w:r w:rsidRPr="00991386">
        <w:rPr>
          <w:rFonts w:ascii="Arial" w:eastAsia="Calibri" w:hAnsi="Arial" w:cs="Arial"/>
          <w:color w:val="000000" w:themeColor="text1"/>
          <w:shd w:val="clear" w:color="auto" w:fill="FFFFFF"/>
          <w:lang w:val="es-MX"/>
        </w:rPr>
        <w:t>]. In L. Merino (Ed.), *Los bosques de México: Problemas y propuestas. Crisis ambiental en México: Ruta para el cambio* [</w:t>
      </w:r>
      <w:proofErr w:type="spellStart"/>
      <w:r w:rsidRPr="00991386">
        <w:rPr>
          <w:rFonts w:ascii="Arial" w:eastAsia="Calibri" w:hAnsi="Arial" w:cs="Arial"/>
          <w:color w:val="000000" w:themeColor="text1"/>
          <w:shd w:val="clear" w:color="auto" w:fill="FFFFFF"/>
          <w:lang w:val="es-MX"/>
        </w:rPr>
        <w:t>Mexico’s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Problems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Proposals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Environmental</w:t>
      </w:r>
      <w:proofErr w:type="spellEnd"/>
      <w:r w:rsidRPr="00991386">
        <w:rPr>
          <w:rFonts w:ascii="Arial" w:eastAsia="Calibri" w:hAnsi="Arial" w:cs="Arial"/>
          <w:color w:val="000000" w:themeColor="text1"/>
          <w:shd w:val="clear" w:color="auto" w:fill="FFFFFF"/>
          <w:lang w:val="es-MX"/>
        </w:rPr>
        <w:t xml:space="preserve"> Crisis in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A </w:t>
      </w:r>
      <w:proofErr w:type="spellStart"/>
      <w:r w:rsidRPr="00991386">
        <w:rPr>
          <w:rFonts w:ascii="Arial" w:eastAsia="Calibri" w:hAnsi="Arial" w:cs="Arial"/>
          <w:color w:val="000000" w:themeColor="text1"/>
          <w:shd w:val="clear" w:color="auto" w:fill="FFFFFF"/>
          <w:lang w:val="es-MX"/>
        </w:rPr>
        <w:t>Path</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Change] (pp. 163–189).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City: UNAM.</w:t>
      </w:r>
    </w:p>
    <w:p w14:paraId="73166C7F"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Jiménez, M., &amp; Ramírez, J. (2010). La acción colectiva y los movimientos sociales campesinos en América Latina [</w:t>
      </w:r>
      <w:proofErr w:type="spellStart"/>
      <w:r w:rsidRPr="00991386">
        <w:rPr>
          <w:rFonts w:ascii="Arial" w:eastAsia="Calibri" w:hAnsi="Arial" w:cs="Arial"/>
          <w:color w:val="000000" w:themeColor="text1"/>
          <w:shd w:val="clear" w:color="auto" w:fill="FFFFFF"/>
          <w:lang w:val="es-MX"/>
        </w:rPr>
        <w:t>Collective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Action</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Peasant</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Movements</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Latin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America</w:t>
      </w:r>
      <w:proofErr w:type="spellEnd"/>
      <w:r w:rsidRPr="00991386">
        <w:rPr>
          <w:rFonts w:ascii="Arial" w:eastAsia="Calibri" w:hAnsi="Arial" w:cs="Arial"/>
          <w:color w:val="000000" w:themeColor="text1"/>
          <w:shd w:val="clear" w:color="auto" w:fill="FFFFFF"/>
          <w:lang w:val="es-MX"/>
        </w:rPr>
        <w:t>]. *</w:t>
      </w:r>
      <w:proofErr w:type="spellStart"/>
      <w:r w:rsidRPr="00991386">
        <w:rPr>
          <w:rFonts w:ascii="Arial" w:eastAsia="Calibri" w:hAnsi="Arial" w:cs="Arial"/>
          <w:color w:val="000000" w:themeColor="text1"/>
          <w:shd w:val="clear" w:color="auto" w:fill="FFFFFF"/>
          <w:lang w:val="es-MX"/>
        </w:rPr>
        <w:t>Interciencia</w:t>
      </w:r>
      <w:proofErr w:type="spellEnd"/>
      <w:r w:rsidRPr="00991386">
        <w:rPr>
          <w:rFonts w:ascii="Arial" w:eastAsia="Calibri" w:hAnsi="Arial" w:cs="Arial"/>
          <w:color w:val="000000" w:themeColor="text1"/>
          <w:shd w:val="clear" w:color="auto" w:fill="FFFFFF"/>
          <w:lang w:val="es-MX"/>
        </w:rPr>
        <w:t xml:space="preserve">*, *9*(35), 704–708.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https://www.redalyc.org/articulo.oa?id=33914212012.</w:t>
      </w:r>
    </w:p>
    <w:p w14:paraId="3E4D486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Touraine, A. (2006). Los movimientos sociales [Social </w:t>
      </w:r>
      <w:proofErr w:type="spellStart"/>
      <w:r w:rsidRPr="00991386">
        <w:rPr>
          <w:rFonts w:ascii="Arial" w:eastAsia="Calibri" w:hAnsi="Arial" w:cs="Arial"/>
          <w:color w:val="000000" w:themeColor="text1"/>
          <w:shd w:val="clear" w:color="auto" w:fill="FFFFFF"/>
          <w:lang w:val="es-MX"/>
        </w:rPr>
        <w:t>Movements</w:t>
      </w:r>
      <w:proofErr w:type="spellEnd"/>
      <w:r w:rsidRPr="00991386">
        <w:rPr>
          <w:rFonts w:ascii="Arial" w:eastAsia="Calibri" w:hAnsi="Arial" w:cs="Arial"/>
          <w:color w:val="000000" w:themeColor="text1"/>
          <w:shd w:val="clear" w:color="auto" w:fill="FFFFFF"/>
          <w:lang w:val="es-MX"/>
        </w:rPr>
        <w:t xml:space="preserve">]. *Revista Colombiana de Sociología*, (27), 255–278.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https://www.ses.unam.mx/docencia/2014II/Touraine2006_LosMovimientosSociales.pdf</w:t>
      </w:r>
    </w:p>
    <w:p w14:paraId="66627603" w14:textId="741A9F5D"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Kuri, E. (2016).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Multidimensional </w:t>
      </w:r>
      <w:proofErr w:type="spellStart"/>
      <w:r w:rsidRPr="00991386">
        <w:rPr>
          <w:rFonts w:ascii="Arial" w:eastAsia="Calibri" w:hAnsi="Arial" w:cs="Arial"/>
          <w:color w:val="000000" w:themeColor="text1"/>
          <w:shd w:val="clear" w:color="auto" w:fill="FFFFFF"/>
          <w:lang w:val="es-MX"/>
        </w:rPr>
        <w:t>Character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Collective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Action</w:t>
      </w:r>
      <w:proofErr w:type="spellEnd"/>
      <w:r w:rsidRPr="00991386">
        <w:rPr>
          <w:rFonts w:ascii="Arial" w:eastAsia="Calibri" w:hAnsi="Arial" w:cs="Arial"/>
          <w:color w:val="000000" w:themeColor="text1"/>
          <w:shd w:val="clear" w:color="auto" w:fill="FFFFFF"/>
          <w:lang w:val="es-MX"/>
        </w:rPr>
        <w:t xml:space="preserve"> and Social </w:t>
      </w:r>
      <w:proofErr w:type="spellStart"/>
      <w:r w:rsidRPr="00991386">
        <w:rPr>
          <w:rFonts w:ascii="Arial" w:eastAsia="Calibri" w:hAnsi="Arial" w:cs="Arial"/>
          <w:color w:val="000000" w:themeColor="text1"/>
          <w:shd w:val="clear" w:color="auto" w:fill="FFFFFF"/>
          <w:lang w:val="es-MX"/>
        </w:rPr>
        <w:t>Movements</w:t>
      </w:r>
      <w:proofErr w:type="spellEnd"/>
      <w:r w:rsidRPr="00991386">
        <w:rPr>
          <w:rFonts w:ascii="Arial" w:eastAsia="Calibri" w:hAnsi="Arial" w:cs="Arial"/>
          <w:color w:val="000000" w:themeColor="text1"/>
          <w:shd w:val="clear" w:color="auto" w:fill="FFFFFF"/>
          <w:lang w:val="es-MX"/>
        </w:rPr>
        <w:t xml:space="preserve">: A </w:t>
      </w:r>
      <w:proofErr w:type="spellStart"/>
      <w:r w:rsidRPr="00991386">
        <w:rPr>
          <w:rFonts w:ascii="Arial" w:eastAsia="Calibri" w:hAnsi="Arial" w:cs="Arial"/>
          <w:color w:val="000000" w:themeColor="text1"/>
          <w:shd w:val="clear" w:color="auto" w:fill="FFFFFF"/>
          <w:lang w:val="es-MX"/>
        </w:rPr>
        <w:t>Theoretical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Problematization</w:t>
      </w:r>
      <w:proofErr w:type="spellEnd"/>
      <w:r w:rsidRPr="00991386">
        <w:rPr>
          <w:rFonts w:ascii="Arial" w:eastAsia="Calibri" w:hAnsi="Arial" w:cs="Arial"/>
          <w:color w:val="000000" w:themeColor="text1"/>
          <w:shd w:val="clear" w:color="auto" w:fill="FFFFFF"/>
          <w:lang w:val="es-MX"/>
        </w:rPr>
        <w:t>. Secuencia 4(95), 188–214.</w:t>
      </w:r>
      <w:r w:rsidRPr="00991386">
        <w:t xml:space="preserve"> </w:t>
      </w:r>
      <w:r w:rsidRPr="00991386">
        <w:rPr>
          <w:rFonts w:ascii="Arial" w:eastAsia="Calibri" w:hAnsi="Arial" w:cs="Arial"/>
          <w:color w:val="000000" w:themeColor="text1"/>
          <w:shd w:val="clear" w:color="auto" w:fill="FFFFFF"/>
          <w:lang w:val="es-MX"/>
        </w:rPr>
        <w:t>DOI: 10.18234/</w:t>
      </w:r>
      <w:proofErr w:type="gramStart"/>
      <w:r w:rsidRPr="00991386">
        <w:rPr>
          <w:rFonts w:ascii="Arial" w:eastAsia="Calibri" w:hAnsi="Arial" w:cs="Arial"/>
          <w:color w:val="000000" w:themeColor="text1"/>
          <w:shd w:val="clear" w:color="auto" w:fill="FFFFFF"/>
          <w:lang w:val="es-MX"/>
        </w:rPr>
        <w:t>secuencia.v</w:t>
      </w:r>
      <w:proofErr w:type="gramEnd"/>
      <w:r w:rsidRPr="00991386">
        <w:rPr>
          <w:rFonts w:ascii="Arial" w:eastAsia="Calibri" w:hAnsi="Arial" w:cs="Arial"/>
          <w:color w:val="000000" w:themeColor="text1"/>
          <w:shd w:val="clear" w:color="auto" w:fill="FFFFFF"/>
          <w:lang w:val="es-MX"/>
        </w:rPr>
        <w:t>0i95.1382</w:t>
      </w:r>
    </w:p>
    <w:p w14:paraId="6A56314C"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Melucci, A. (1990). </w:t>
      </w:r>
      <w:proofErr w:type="spellStart"/>
      <w:r w:rsidRPr="00991386">
        <w:rPr>
          <w:rFonts w:ascii="Arial" w:eastAsia="Calibri" w:hAnsi="Arial" w:cs="Arial"/>
          <w:color w:val="000000" w:themeColor="text1"/>
          <w:shd w:val="clear" w:color="auto" w:fill="FFFFFF"/>
          <w:lang w:val="es-MX"/>
        </w:rPr>
        <w:t>Collective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Action</w:t>
      </w:r>
      <w:proofErr w:type="spellEnd"/>
      <w:r w:rsidRPr="00991386">
        <w:rPr>
          <w:rFonts w:ascii="Arial" w:eastAsia="Calibri" w:hAnsi="Arial" w:cs="Arial"/>
          <w:color w:val="000000" w:themeColor="text1"/>
          <w:shd w:val="clear" w:color="auto" w:fill="FFFFFF"/>
          <w:lang w:val="es-MX"/>
        </w:rPr>
        <w:t xml:space="preserve"> as a Social </w:t>
      </w:r>
      <w:proofErr w:type="spellStart"/>
      <w:r w:rsidRPr="00991386">
        <w:rPr>
          <w:rFonts w:ascii="Arial" w:eastAsia="Calibri" w:hAnsi="Arial" w:cs="Arial"/>
          <w:color w:val="000000" w:themeColor="text1"/>
          <w:shd w:val="clear" w:color="auto" w:fill="FFFFFF"/>
          <w:lang w:val="es-MX"/>
        </w:rPr>
        <w:t>Construction</w:t>
      </w:r>
      <w:proofErr w:type="spellEnd"/>
      <w:r w:rsidRPr="00991386">
        <w:rPr>
          <w:rFonts w:ascii="Arial" w:eastAsia="Calibri" w:hAnsi="Arial" w:cs="Arial"/>
          <w:color w:val="000000" w:themeColor="text1"/>
          <w:shd w:val="clear" w:color="auto" w:fill="FFFFFF"/>
          <w:lang w:val="es-MX"/>
        </w:rPr>
        <w:t xml:space="preserve">. *Estudios Sociológicos*, 26 (IX), 357-364.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https://www.jstor.org/stable/40420123</w:t>
      </w:r>
    </w:p>
    <w:p w14:paraId="07AE1325"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Svampa</w:t>
      </w:r>
      <w:proofErr w:type="spellEnd"/>
      <w:r w:rsidRPr="00991386">
        <w:rPr>
          <w:rFonts w:ascii="Arial" w:eastAsia="Calibri" w:hAnsi="Arial" w:cs="Arial"/>
          <w:color w:val="000000" w:themeColor="text1"/>
          <w:shd w:val="clear" w:color="auto" w:fill="FFFFFF"/>
          <w:lang w:val="es-MX"/>
        </w:rPr>
        <w:t xml:space="preserve">, M. (2009). </w:t>
      </w:r>
      <w:proofErr w:type="spellStart"/>
      <w:r w:rsidRPr="00991386">
        <w:rPr>
          <w:rFonts w:ascii="Arial" w:eastAsia="Calibri" w:hAnsi="Arial" w:cs="Arial"/>
          <w:color w:val="000000" w:themeColor="text1"/>
          <w:shd w:val="clear" w:color="auto" w:fill="FFFFFF"/>
          <w:lang w:val="es-MX"/>
        </w:rPr>
        <w:t>Protest</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Movements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Dimensions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Collective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Action</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Latin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America</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Spain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Conference</w:t>
      </w:r>
      <w:proofErr w:type="spellEnd"/>
      <w:r w:rsidRPr="00991386">
        <w:rPr>
          <w:rFonts w:ascii="Arial" w:eastAsia="Calibri" w:hAnsi="Arial" w:cs="Arial"/>
          <w:color w:val="000000" w:themeColor="text1"/>
          <w:shd w:val="clear" w:color="auto" w:fill="FFFFFF"/>
          <w:lang w:val="es-MX"/>
        </w:rPr>
        <w:t xml:space="preserve"> in Tribute </w:t>
      </w:r>
      <w:proofErr w:type="spellStart"/>
      <w:r w:rsidRPr="00991386">
        <w:rPr>
          <w:rFonts w:ascii="Arial" w:eastAsia="Calibri" w:hAnsi="Arial" w:cs="Arial"/>
          <w:color w:val="000000" w:themeColor="text1"/>
          <w:shd w:val="clear" w:color="auto" w:fill="FFFFFF"/>
          <w:lang w:val="es-MX"/>
        </w:rPr>
        <w:t>to</w:t>
      </w:r>
      <w:proofErr w:type="spellEnd"/>
      <w:r w:rsidRPr="00991386">
        <w:rPr>
          <w:rFonts w:ascii="Arial" w:eastAsia="Calibri" w:hAnsi="Arial" w:cs="Arial"/>
          <w:color w:val="000000" w:themeColor="text1"/>
          <w:shd w:val="clear" w:color="auto" w:fill="FFFFFF"/>
          <w:lang w:val="es-MX"/>
        </w:rPr>
        <w:t xml:space="preserve"> Charles Tilly.</w:t>
      </w:r>
    </w:p>
    <w:p w14:paraId="3C21207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Fry, M. (2020). </w:t>
      </w:r>
      <w:proofErr w:type="spellStart"/>
      <w:r w:rsidRPr="00991386">
        <w:rPr>
          <w:rFonts w:ascii="Arial" w:eastAsia="Calibri" w:hAnsi="Arial" w:cs="Arial"/>
          <w:color w:val="000000" w:themeColor="text1"/>
          <w:shd w:val="clear" w:color="auto" w:fill="FFFFFF"/>
          <w:lang w:val="es-MX"/>
        </w:rPr>
        <w:t>Latin</w:t>
      </w:r>
      <w:proofErr w:type="spellEnd"/>
      <w:r w:rsidRPr="00991386">
        <w:rPr>
          <w:rFonts w:ascii="Arial" w:eastAsia="Calibri" w:hAnsi="Arial" w:cs="Arial"/>
          <w:color w:val="000000" w:themeColor="text1"/>
          <w:shd w:val="clear" w:color="auto" w:fill="FFFFFF"/>
          <w:lang w:val="es-MX"/>
        </w:rPr>
        <w:t xml:space="preserve"> American Social </w:t>
      </w:r>
      <w:proofErr w:type="spellStart"/>
      <w:r w:rsidRPr="00991386">
        <w:rPr>
          <w:rFonts w:ascii="Arial" w:eastAsia="Calibri" w:hAnsi="Arial" w:cs="Arial"/>
          <w:color w:val="000000" w:themeColor="text1"/>
          <w:shd w:val="clear" w:color="auto" w:fill="FFFFFF"/>
          <w:lang w:val="es-MX"/>
        </w:rPr>
        <w:t>Movements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Critical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Theories</w:t>
      </w:r>
      <w:proofErr w:type="spellEnd"/>
      <w:r w:rsidRPr="00991386">
        <w:rPr>
          <w:rFonts w:ascii="Arial" w:eastAsia="Calibri" w:hAnsi="Arial" w:cs="Arial"/>
          <w:color w:val="000000" w:themeColor="text1"/>
          <w:shd w:val="clear" w:color="auto" w:fill="FFFFFF"/>
          <w:lang w:val="es-MX"/>
        </w:rPr>
        <w:t xml:space="preserve"> and Debates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Formation</w:t>
      </w:r>
      <w:proofErr w:type="spellEnd"/>
      <w:r w:rsidRPr="00991386">
        <w:rPr>
          <w:rFonts w:ascii="Arial" w:eastAsia="Calibri" w:hAnsi="Arial" w:cs="Arial"/>
          <w:color w:val="000000" w:themeColor="text1"/>
          <w:shd w:val="clear" w:color="auto" w:fill="FFFFFF"/>
          <w:lang w:val="es-MX"/>
        </w:rPr>
        <w:t>. *Revista de Ciencias Sociales*, 33(47), 13-30. DOI: 10.26489/</w:t>
      </w:r>
      <w:proofErr w:type="gramStart"/>
      <w:r w:rsidRPr="00991386">
        <w:rPr>
          <w:rFonts w:ascii="Arial" w:eastAsia="Calibri" w:hAnsi="Arial" w:cs="Arial"/>
          <w:color w:val="000000" w:themeColor="text1"/>
          <w:shd w:val="clear" w:color="auto" w:fill="FFFFFF"/>
          <w:lang w:val="es-MX"/>
        </w:rPr>
        <w:t>rvs.v</w:t>
      </w:r>
      <w:proofErr w:type="gramEnd"/>
      <w:r w:rsidRPr="00991386">
        <w:rPr>
          <w:rFonts w:ascii="Arial" w:eastAsia="Calibri" w:hAnsi="Arial" w:cs="Arial"/>
          <w:color w:val="000000" w:themeColor="text1"/>
          <w:shd w:val="clear" w:color="auto" w:fill="FFFFFF"/>
          <w:lang w:val="es-MX"/>
        </w:rPr>
        <w:t>33i47.1</w:t>
      </w:r>
    </w:p>
    <w:p w14:paraId="2F07FE02" w14:textId="5DE6A37B" w:rsidR="00C6792D" w:rsidRPr="00016A65" w:rsidRDefault="00991386" w:rsidP="00991386">
      <w:pPr>
        <w:pStyle w:val="Body"/>
        <w:spacing w:after="0"/>
        <w:rPr>
          <w:rFonts w:ascii="Arial" w:hAnsi="Arial" w:cs="Arial"/>
          <w:b/>
        </w:rPr>
      </w:pPr>
      <w:r w:rsidRPr="00991386">
        <w:rPr>
          <w:rFonts w:ascii="Arial" w:eastAsia="Calibri" w:hAnsi="Arial" w:cs="Arial"/>
          <w:color w:val="000000" w:themeColor="text1"/>
          <w:shd w:val="clear" w:color="auto" w:fill="FFFFFF"/>
          <w:lang w:val="es-MX"/>
        </w:rPr>
        <w:t xml:space="preserve">Martínez, A. R., &amp; Santos, L. G. (2020). </w:t>
      </w:r>
      <w:proofErr w:type="spellStart"/>
      <w:r w:rsidRPr="00991386">
        <w:rPr>
          <w:rFonts w:ascii="Arial" w:eastAsia="Calibri" w:hAnsi="Arial" w:cs="Arial"/>
          <w:color w:val="000000" w:themeColor="text1"/>
          <w:shd w:val="clear" w:color="auto" w:fill="FFFFFF"/>
          <w:lang w:val="es-MX"/>
        </w:rPr>
        <w:t>Sustainable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Integrated</w:t>
      </w:r>
      <w:proofErr w:type="spellEnd"/>
      <w:r w:rsidRPr="00991386">
        <w:rPr>
          <w:rFonts w:ascii="Arial" w:eastAsia="Calibri" w:hAnsi="Arial" w:cs="Arial"/>
          <w:color w:val="000000" w:themeColor="text1"/>
          <w:shd w:val="clear" w:color="auto" w:fill="FFFFFF"/>
          <w:lang w:val="es-MX"/>
        </w:rPr>
        <w:t xml:space="preserve"> Management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Ecotourism</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Utilization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Biodiversity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Conservation</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Municipalities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Ixtlán de Juárez and Santa Catarina </w:t>
      </w:r>
      <w:proofErr w:type="spellStart"/>
      <w:r w:rsidRPr="00991386">
        <w:rPr>
          <w:rFonts w:ascii="Arial" w:eastAsia="Calibri" w:hAnsi="Arial" w:cs="Arial"/>
          <w:color w:val="000000" w:themeColor="text1"/>
          <w:shd w:val="clear" w:color="auto" w:fill="FFFFFF"/>
          <w:lang w:val="es-MX"/>
        </w:rPr>
        <w:t>Ixtepeji</w:t>
      </w:r>
      <w:proofErr w:type="spellEnd"/>
      <w:r w:rsidRPr="00991386">
        <w:rPr>
          <w:rFonts w:ascii="Arial" w:eastAsia="Calibri" w:hAnsi="Arial" w:cs="Arial"/>
          <w:color w:val="000000" w:themeColor="text1"/>
          <w:shd w:val="clear" w:color="auto" w:fill="FFFFFF"/>
          <w:lang w:val="es-MX"/>
        </w:rPr>
        <w:t xml:space="preserve">, Oaxaca. III International Virtual </w:t>
      </w:r>
      <w:proofErr w:type="spellStart"/>
      <w:r w:rsidRPr="00991386">
        <w:rPr>
          <w:rFonts w:ascii="Arial" w:eastAsia="Calibri" w:hAnsi="Arial" w:cs="Arial"/>
          <w:color w:val="000000" w:themeColor="text1"/>
          <w:shd w:val="clear" w:color="auto" w:fill="FFFFFF"/>
          <w:lang w:val="es-MX"/>
        </w:rPr>
        <w:t>Congress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Economy</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Sustainable</w:t>
      </w:r>
      <w:proofErr w:type="spellEnd"/>
      <w:r w:rsidRPr="00991386">
        <w:rPr>
          <w:rFonts w:ascii="Arial" w:eastAsia="Calibri" w:hAnsi="Arial" w:cs="Arial"/>
          <w:color w:val="000000" w:themeColor="text1"/>
          <w:shd w:val="clear" w:color="auto" w:fill="FFFFFF"/>
          <w:lang w:val="es-MX"/>
        </w:rPr>
        <w:t xml:space="preserve"> Local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Mexico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https://www.eumed.net/actas/20/economia-social/5-desarrollo-sustentable-y-gestion-integral-del-aprovechamiento-forestal-y-ecoturistico.pdf</w:t>
      </w:r>
    </w:p>
    <w:p w14:paraId="6A231030" w14:textId="77777777" w:rsidR="00C6792D" w:rsidRPr="00016A65" w:rsidRDefault="00C6792D" w:rsidP="00C6792D">
      <w:pPr>
        <w:pStyle w:val="Body"/>
        <w:spacing w:after="0"/>
        <w:rPr>
          <w:rFonts w:ascii="Arial" w:hAnsi="Arial" w:cs="Arial"/>
          <w:b/>
        </w:rPr>
      </w:pPr>
    </w:p>
    <w:p w14:paraId="0CD6E4BA" w14:textId="371DBBE8" w:rsidR="00C6792D" w:rsidRPr="00016A65" w:rsidRDefault="00C6792D" w:rsidP="00C6792D">
      <w:pPr>
        <w:pStyle w:val="Body"/>
        <w:spacing w:after="0"/>
        <w:rPr>
          <w:rFonts w:ascii="Arial" w:hAnsi="Arial" w:cs="Arial"/>
          <w:b/>
        </w:rPr>
        <w:sectPr w:rsidR="00C6792D" w:rsidRPr="00016A65" w:rsidSect="003D29C2">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B1171D6" w14:textId="77777777" w:rsidR="00B01FCD" w:rsidRPr="00016A65" w:rsidRDefault="00B01FCD" w:rsidP="00C6792D">
      <w:pPr>
        <w:pStyle w:val="Appendix"/>
        <w:spacing w:after="0"/>
        <w:jc w:val="both"/>
        <w:rPr>
          <w:rFonts w:ascii="Arial" w:hAnsi="Arial" w:cs="Arial"/>
          <w:b w:val="0"/>
        </w:rPr>
      </w:pPr>
    </w:p>
    <w:p w14:paraId="759CF241" w14:textId="77777777" w:rsidR="00016A65" w:rsidRPr="00016A65" w:rsidRDefault="00016A65">
      <w:pPr>
        <w:pStyle w:val="Appendix"/>
        <w:spacing w:after="0"/>
        <w:jc w:val="both"/>
        <w:rPr>
          <w:rFonts w:ascii="Arial" w:hAnsi="Arial" w:cs="Arial"/>
          <w:b w:val="0"/>
        </w:rPr>
      </w:pPr>
    </w:p>
    <w:sectPr w:rsidR="00016A65" w:rsidRPr="00016A65" w:rsidSect="003D29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87132" w14:textId="77777777" w:rsidR="00BD728D" w:rsidRDefault="00BD728D" w:rsidP="00C37E61">
      <w:r>
        <w:separator/>
      </w:r>
    </w:p>
  </w:endnote>
  <w:endnote w:type="continuationSeparator" w:id="0">
    <w:p w14:paraId="562FC90D" w14:textId="77777777" w:rsidR="00BD728D" w:rsidRDefault="00BD72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086D2" w14:textId="77777777" w:rsidR="007D47F1" w:rsidRDefault="007D4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D752" w14:textId="77777777" w:rsidR="007D47F1" w:rsidRDefault="007D4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FBA1" w14:textId="77777777" w:rsidR="009E048A" w:rsidRDefault="009E048A">
    <w:pPr>
      <w:pStyle w:val="Footer"/>
      <w:rPr>
        <w:rFonts w:ascii="Arial" w:hAnsi="Arial" w:cs="Arial"/>
        <w:sz w:val="16"/>
      </w:rPr>
    </w:pPr>
  </w:p>
  <w:p w14:paraId="62802E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878422" w14:textId="77777777" w:rsidR="009E048A" w:rsidRDefault="009E048A">
    <w:pPr>
      <w:pStyle w:val="Footer"/>
      <w:rPr>
        <w:rFonts w:ascii="Arial" w:hAnsi="Arial" w:cs="Arial"/>
        <w:sz w:val="16"/>
      </w:rPr>
    </w:pPr>
  </w:p>
  <w:p w14:paraId="6BE4F82C" w14:textId="46A6173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BC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AD637" w14:textId="77777777" w:rsidR="00BD728D" w:rsidRDefault="00BD728D" w:rsidP="00C37E61">
      <w:r>
        <w:separator/>
      </w:r>
    </w:p>
  </w:footnote>
  <w:footnote w:type="continuationSeparator" w:id="0">
    <w:p w14:paraId="204EA1BA" w14:textId="77777777" w:rsidR="00BD728D" w:rsidRDefault="00BD72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43AB" w14:textId="6B31A739" w:rsidR="007D47F1" w:rsidRDefault="007D47F1">
    <w:pPr>
      <w:pStyle w:val="Header"/>
    </w:pPr>
    <w:r>
      <w:rPr>
        <w:noProof/>
      </w:rPr>
      <w:pict w14:anchorId="03303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E3C5" w14:textId="57CB7A4D" w:rsidR="007D47F1" w:rsidRDefault="007D47F1">
    <w:pPr>
      <w:pStyle w:val="Header"/>
    </w:pPr>
    <w:r>
      <w:rPr>
        <w:noProof/>
      </w:rPr>
      <w:pict w14:anchorId="7825A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1DA4" w14:textId="1ACB5CDE" w:rsidR="00296529" w:rsidRPr="00296529" w:rsidRDefault="007D47F1" w:rsidP="00296529">
    <w:pPr>
      <w:ind w:left="2160"/>
      <w:jc w:val="center"/>
      <w:rPr>
        <w:rFonts w:ascii="Times New Roman" w:eastAsia="Calibri" w:hAnsi="Times New Roman"/>
        <w:i/>
        <w:sz w:val="18"/>
        <w:szCs w:val="22"/>
      </w:rPr>
    </w:pPr>
    <w:r>
      <w:rPr>
        <w:noProof/>
      </w:rPr>
      <w:pict w14:anchorId="091F8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FCCB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08C3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38F11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858E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B845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599A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9C1CA" w14:textId="722A772A" w:rsidR="007D47F1" w:rsidRDefault="007D47F1">
    <w:pPr>
      <w:pStyle w:val="Header"/>
    </w:pPr>
    <w:r>
      <w:rPr>
        <w:noProof/>
      </w:rPr>
      <w:pict w14:anchorId="72FD1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BC96" w14:textId="39ECAEBF" w:rsidR="007D47F1" w:rsidRDefault="007D47F1">
    <w:pPr>
      <w:pStyle w:val="Header"/>
    </w:pPr>
    <w:r>
      <w:rPr>
        <w:noProof/>
      </w:rPr>
      <w:pict w14:anchorId="19219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3B4D" w14:textId="32CA707B" w:rsidR="007D47F1" w:rsidRDefault="007D47F1">
    <w:pPr>
      <w:pStyle w:val="Header"/>
    </w:pPr>
    <w:r>
      <w:rPr>
        <w:noProof/>
      </w:rPr>
      <w:pict w14:anchorId="3BF4A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63820"/>
    <w:multiLevelType w:val="multilevel"/>
    <w:tmpl w:val="BF2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B560DC"/>
    <w:multiLevelType w:val="multilevel"/>
    <w:tmpl w:val="38FE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078"/>
    <w:rsid w:val="00016A65"/>
    <w:rsid w:val="00016CB9"/>
    <w:rsid w:val="00030174"/>
    <w:rsid w:val="00030FC4"/>
    <w:rsid w:val="0004579C"/>
    <w:rsid w:val="000A47FA"/>
    <w:rsid w:val="000A65D3"/>
    <w:rsid w:val="000B1E33"/>
    <w:rsid w:val="000D689F"/>
    <w:rsid w:val="000E7B7B"/>
    <w:rsid w:val="000E7D62"/>
    <w:rsid w:val="000F274E"/>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FF4"/>
    <w:rsid w:val="002E0D56"/>
    <w:rsid w:val="00315186"/>
    <w:rsid w:val="0033343E"/>
    <w:rsid w:val="003512C2"/>
    <w:rsid w:val="00371FB6"/>
    <w:rsid w:val="003763C1"/>
    <w:rsid w:val="00376BBE"/>
    <w:rsid w:val="00377FA3"/>
    <w:rsid w:val="0039224F"/>
    <w:rsid w:val="003A43A4"/>
    <w:rsid w:val="003A7E18"/>
    <w:rsid w:val="003C4C86"/>
    <w:rsid w:val="003C6258"/>
    <w:rsid w:val="003D29C2"/>
    <w:rsid w:val="003E2904"/>
    <w:rsid w:val="00401927"/>
    <w:rsid w:val="0041027F"/>
    <w:rsid w:val="00412475"/>
    <w:rsid w:val="00423789"/>
    <w:rsid w:val="00440F43"/>
    <w:rsid w:val="00441B6F"/>
    <w:rsid w:val="00446221"/>
    <w:rsid w:val="00450E62"/>
    <w:rsid w:val="004539DB"/>
    <w:rsid w:val="00470362"/>
    <w:rsid w:val="00471A80"/>
    <w:rsid w:val="004D305E"/>
    <w:rsid w:val="004D4277"/>
    <w:rsid w:val="00502516"/>
    <w:rsid w:val="00505F06"/>
    <w:rsid w:val="00506828"/>
    <w:rsid w:val="00522F56"/>
    <w:rsid w:val="0053056E"/>
    <w:rsid w:val="00554FDA"/>
    <w:rsid w:val="00590302"/>
    <w:rsid w:val="005C784C"/>
    <w:rsid w:val="005D17F6"/>
    <w:rsid w:val="005D19DA"/>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676"/>
    <w:rsid w:val="0070082C"/>
    <w:rsid w:val="007369E6"/>
    <w:rsid w:val="00746E59"/>
    <w:rsid w:val="00754C9A"/>
    <w:rsid w:val="0075599A"/>
    <w:rsid w:val="00761D52"/>
    <w:rsid w:val="0077749E"/>
    <w:rsid w:val="00790ADA"/>
    <w:rsid w:val="007D2288"/>
    <w:rsid w:val="007D47F1"/>
    <w:rsid w:val="007E088F"/>
    <w:rsid w:val="007F7B32"/>
    <w:rsid w:val="00804BC2"/>
    <w:rsid w:val="0081431A"/>
    <w:rsid w:val="0083216F"/>
    <w:rsid w:val="00860000"/>
    <w:rsid w:val="00863BD3"/>
    <w:rsid w:val="008641ED"/>
    <w:rsid w:val="00866D66"/>
    <w:rsid w:val="008671C6"/>
    <w:rsid w:val="00875803"/>
    <w:rsid w:val="00886395"/>
    <w:rsid w:val="008B459E"/>
    <w:rsid w:val="008E13AE"/>
    <w:rsid w:val="008E1506"/>
    <w:rsid w:val="008E710C"/>
    <w:rsid w:val="008F69D6"/>
    <w:rsid w:val="00902823"/>
    <w:rsid w:val="00915CA6"/>
    <w:rsid w:val="00927834"/>
    <w:rsid w:val="009500A6"/>
    <w:rsid w:val="00957C18"/>
    <w:rsid w:val="009659BA"/>
    <w:rsid w:val="00983040"/>
    <w:rsid w:val="0099138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BA8"/>
    <w:rsid w:val="00B1776C"/>
    <w:rsid w:val="00B52583"/>
    <w:rsid w:val="00B52896"/>
    <w:rsid w:val="00B95236"/>
    <w:rsid w:val="00B96BD9"/>
    <w:rsid w:val="00BA1B01"/>
    <w:rsid w:val="00BA2641"/>
    <w:rsid w:val="00BB37AA"/>
    <w:rsid w:val="00BC53A0"/>
    <w:rsid w:val="00BD04E5"/>
    <w:rsid w:val="00BD728D"/>
    <w:rsid w:val="00BE62AD"/>
    <w:rsid w:val="00BF121F"/>
    <w:rsid w:val="00BF1F80"/>
    <w:rsid w:val="00C166EF"/>
    <w:rsid w:val="00C17EB0"/>
    <w:rsid w:val="00C27F5F"/>
    <w:rsid w:val="00C30A0F"/>
    <w:rsid w:val="00C37E61"/>
    <w:rsid w:val="00C6792D"/>
    <w:rsid w:val="00C70F1B"/>
    <w:rsid w:val="00C71A47"/>
    <w:rsid w:val="00C7464C"/>
    <w:rsid w:val="00C85588"/>
    <w:rsid w:val="00CB506F"/>
    <w:rsid w:val="00CD6755"/>
    <w:rsid w:val="00CD6856"/>
    <w:rsid w:val="00CE0089"/>
    <w:rsid w:val="00CE793C"/>
    <w:rsid w:val="00CF193C"/>
    <w:rsid w:val="00D1536B"/>
    <w:rsid w:val="00D173F1"/>
    <w:rsid w:val="00D74CB0"/>
    <w:rsid w:val="00D764AF"/>
    <w:rsid w:val="00D8295D"/>
    <w:rsid w:val="00D82CED"/>
    <w:rsid w:val="00DC2A65"/>
    <w:rsid w:val="00DE15F0"/>
    <w:rsid w:val="00DE5663"/>
    <w:rsid w:val="00DE78AA"/>
    <w:rsid w:val="00E053D0"/>
    <w:rsid w:val="00E15994"/>
    <w:rsid w:val="00E3114E"/>
    <w:rsid w:val="00E31A70"/>
    <w:rsid w:val="00E32E71"/>
    <w:rsid w:val="00E35B02"/>
    <w:rsid w:val="00E66496"/>
    <w:rsid w:val="00E66B35"/>
    <w:rsid w:val="00E66E10"/>
    <w:rsid w:val="00E769F6"/>
    <w:rsid w:val="00E8407C"/>
    <w:rsid w:val="00E84F3C"/>
    <w:rsid w:val="00EA012C"/>
    <w:rsid w:val="00EC6A55"/>
    <w:rsid w:val="00ED0288"/>
    <w:rsid w:val="00ED6065"/>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1E78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522F56"/>
    <w:rPr>
      <w:rFonts w:ascii="Times New Roman" w:hAnsi="Times New Roman"/>
      <w:sz w:val="24"/>
      <w:szCs w:val="24"/>
    </w:rPr>
  </w:style>
  <w:style w:type="paragraph" w:customStyle="1" w:styleId="Sinespaciado1">
    <w:name w:val="Sin espaciado1"/>
    <w:qFormat/>
    <w:rsid w:val="00C6792D"/>
    <w:pPr>
      <w:suppressAutoHyphens/>
      <w:autoSpaceDN w:val="0"/>
    </w:pPr>
    <w:rPr>
      <w:rFonts w:ascii="Calibri" w:eastAsia="Calibri" w:hAnsi="Calibri"/>
      <w:sz w:val="22"/>
      <w:szCs w:val="22"/>
      <w:lang w:val="es-MX"/>
    </w:rPr>
  </w:style>
  <w:style w:type="table" w:customStyle="1" w:styleId="TableNormal1">
    <w:name w:val="Table Normal1"/>
    <w:uiPriority w:val="2"/>
    <w:semiHidden/>
    <w:unhideWhenUsed/>
    <w:qFormat/>
    <w:rsid w:val="00C679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HTMLPreformatted">
    <w:name w:val="HTML Preformatted"/>
    <w:basedOn w:val="Normal"/>
    <w:link w:val="HTMLPreformattedChar"/>
    <w:semiHidden/>
    <w:unhideWhenUsed/>
    <w:rsid w:val="00886395"/>
    <w:rPr>
      <w:rFonts w:ascii="Consolas" w:hAnsi="Consolas" w:cs="Consolas"/>
    </w:rPr>
  </w:style>
  <w:style w:type="character" w:customStyle="1" w:styleId="HTMLPreformattedChar">
    <w:name w:val="HTML Preformatted Char"/>
    <w:basedOn w:val="DefaultParagraphFont"/>
    <w:link w:val="HTMLPreformatted"/>
    <w:semiHidden/>
    <w:rsid w:val="00886395"/>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C595F-5615-4986-9D0B-0F1DF142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15</Pages>
  <Words>5268</Words>
  <Characters>30033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25</cp:revision>
  <cp:lastPrinted>1999-07-06T11:00:00Z</cp:lastPrinted>
  <dcterms:created xsi:type="dcterms:W3CDTF">2026-03-12T16:08:00Z</dcterms:created>
  <dcterms:modified xsi:type="dcterms:W3CDTF">2026-03-13T11:41:00Z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2026-03-12T16:08:24Z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497f211c-3497-4a3d-8c79-f310e98c845d</vt:lpwstr>
  </property>
  <property fmtid="{D5CDD505-2E9C-101B-9397-08002B2CF9AE}" pid="7" name="MSIP_Label_defa4170-0d19-0005-0004-bc88714345d2_ActionId">
    <vt:lpwstr>f410f8a0-8e77-4922-ba9b-b4cfec436be7</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