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EFD95" w14:textId="55965E6D" w:rsidR="002D1927" w:rsidRDefault="002D1927" w:rsidP="009D7FB8">
      <w:pPr>
        <w:spacing w:after="0" w:line="288" w:lineRule="auto"/>
        <w:jc w:val="center"/>
        <w:rPr>
          <w:rFonts w:ascii="Times New Roman" w:hAnsi="Times New Roman" w:cs="Times New Roman"/>
          <w:b/>
          <w:bCs/>
        </w:rPr>
      </w:pPr>
      <w:r w:rsidRPr="002D1927">
        <w:rPr>
          <w:rFonts w:ascii="Times New Roman" w:hAnsi="Times New Roman" w:cs="Times New Roman"/>
          <w:b/>
          <w:bCs/>
        </w:rPr>
        <w:t>COMBINING ABILITY, AGRONOMIC PERFORMANCE, YIELD, AND FRESH-EATING QUALITY OF WAXY MAIZE HYBRIDS EVALUATED ACROSS TWO CROPPING SEASONS</w:t>
      </w:r>
    </w:p>
    <w:p w14:paraId="3AED42E7" w14:textId="77777777" w:rsidR="00192207" w:rsidRDefault="00192207" w:rsidP="009D7FB8">
      <w:pPr>
        <w:spacing w:after="0" w:line="288" w:lineRule="auto"/>
        <w:jc w:val="center"/>
        <w:rPr>
          <w:rFonts w:ascii="Times New Roman" w:hAnsi="Times New Roman" w:cs="Times New Roman"/>
          <w:b/>
          <w:bCs/>
        </w:rPr>
      </w:pPr>
    </w:p>
    <w:p w14:paraId="67C6672C" w14:textId="37B23636" w:rsidR="00CD05FA" w:rsidRPr="00E379D6" w:rsidRDefault="00CD05FA" w:rsidP="00307FCF">
      <w:pPr>
        <w:spacing w:after="0" w:line="288" w:lineRule="auto"/>
        <w:jc w:val="center"/>
        <w:rPr>
          <w:rFonts w:ascii="Times New Roman" w:hAnsi="Times New Roman" w:cs="Times New Roman"/>
          <w:bCs/>
          <w:sz w:val="20"/>
          <w:szCs w:val="20"/>
          <w:lang w:val="es-US"/>
        </w:rPr>
      </w:pPr>
      <w:bookmarkStart w:id="0" w:name="_GoBack"/>
      <w:bookmarkEnd w:id="0"/>
    </w:p>
    <w:p w14:paraId="5679EE11" w14:textId="77777777" w:rsidR="00DC784A" w:rsidRPr="00E379D6" w:rsidRDefault="00DC784A" w:rsidP="00307FCF">
      <w:pPr>
        <w:spacing w:after="0" w:line="288" w:lineRule="auto"/>
        <w:jc w:val="center"/>
        <w:rPr>
          <w:rFonts w:ascii="Times New Roman" w:hAnsi="Times New Roman" w:cs="Times New Roman"/>
          <w:b/>
          <w:bCs/>
          <w:sz w:val="20"/>
          <w:szCs w:val="20"/>
          <w:lang w:val="es-US"/>
        </w:rPr>
      </w:pPr>
    </w:p>
    <w:p w14:paraId="6425B935" w14:textId="25408585" w:rsidR="009A2A7C" w:rsidRPr="00311474" w:rsidRDefault="009A2A7C" w:rsidP="009D7FB8">
      <w:pPr>
        <w:spacing w:after="0" w:line="288" w:lineRule="auto"/>
        <w:jc w:val="center"/>
        <w:rPr>
          <w:rFonts w:ascii="Times New Roman" w:hAnsi="Times New Roman" w:cs="Times New Roman"/>
          <w:b/>
          <w:bCs/>
        </w:rPr>
      </w:pPr>
      <w:r w:rsidRPr="00311474">
        <w:rPr>
          <w:rFonts w:ascii="Times New Roman" w:hAnsi="Times New Roman" w:cs="Times New Roman"/>
          <w:b/>
          <w:bCs/>
        </w:rPr>
        <w:t>ABSTRACT</w:t>
      </w:r>
    </w:p>
    <w:p w14:paraId="163F19B9" w14:textId="77777777" w:rsidR="009A2A7C" w:rsidRPr="00311474" w:rsidRDefault="009A2A7C" w:rsidP="009A2A7C">
      <w:pPr>
        <w:spacing w:after="0" w:line="288" w:lineRule="auto"/>
        <w:ind w:firstLine="720"/>
        <w:jc w:val="both"/>
        <w:rPr>
          <w:rFonts w:ascii="Times New Roman" w:hAnsi="Times New Roman" w:cs="Times New Roman"/>
        </w:rPr>
      </w:pPr>
      <w:r w:rsidRPr="00311474">
        <w:rPr>
          <w:rFonts w:ascii="Times New Roman" w:hAnsi="Times New Roman" w:cs="Times New Roman"/>
        </w:rPr>
        <w:t>This study aimed to evaluate growth performance, yield components, fresh ear yield, grain yield, and eating quality of eleven waxy maize hybrids compared with the control variety HN68 over two cropping seasons. The experiment was arranged in a randomized complete block design with three replications. Results showed significant differences among hybrids in growth duration, plant height, ear characteristics, yield, and quality traits. Harvesting time ranged from 70 to 73 days, indicating good adaptability to seasonal conditions. The hybrid N59 × N15 exhibited superior performance in plant height, ear length, fresh ear yield (11.8 t ha⁻¹), and grain yield (5.1 t ha⁻¹), and differed significantly from the control at the 5% level. Other promising hybrids included N02 × N7B and N02 × N59, which demonstrated high and stable yields across seasons. Eating quality scores ranged from 2.38 to 2.88, with several hybrids showing good sensory characteristics. The coefficient of variation for major traits was below 7%, confirming the reliability of the experiment. Overall, N59 × N15 was identified as the most promising hybrid for further large-scale production trials, while N02 × N7B and N02 × N59 warrant additional evaluation.</w:t>
      </w:r>
    </w:p>
    <w:p w14:paraId="0DCA7E2A" w14:textId="77777777" w:rsidR="009A2A7C" w:rsidRPr="00311474" w:rsidRDefault="009A2A7C" w:rsidP="009A2A7C">
      <w:pPr>
        <w:spacing w:after="0" w:line="288" w:lineRule="auto"/>
        <w:jc w:val="both"/>
        <w:rPr>
          <w:rFonts w:ascii="Times New Roman" w:hAnsi="Times New Roman" w:cs="Times New Roman"/>
        </w:rPr>
      </w:pPr>
      <w:r w:rsidRPr="00311474">
        <w:rPr>
          <w:rFonts w:ascii="Times New Roman" w:hAnsi="Times New Roman" w:cs="Times New Roman"/>
          <w:b/>
          <w:bCs/>
        </w:rPr>
        <w:t>Keywords:</w:t>
      </w:r>
      <w:r w:rsidRPr="00311474">
        <w:rPr>
          <w:rFonts w:ascii="Times New Roman" w:hAnsi="Times New Roman" w:cs="Times New Roman"/>
        </w:rPr>
        <w:t xml:space="preserve"> waxy maize, hybrid evaluation, fresh ear yield, grain yield, eating quality.</w:t>
      </w:r>
    </w:p>
    <w:p w14:paraId="4F4D66CB" w14:textId="77777777" w:rsidR="00440DD4" w:rsidRPr="00440DD4" w:rsidRDefault="00440DD4" w:rsidP="009D7FB8">
      <w:pPr>
        <w:spacing w:after="0" w:line="288" w:lineRule="auto"/>
        <w:jc w:val="center"/>
        <w:rPr>
          <w:rFonts w:ascii="Times New Roman" w:hAnsi="Times New Roman" w:cs="Times New Roman"/>
          <w:b/>
          <w:bCs/>
        </w:rPr>
      </w:pPr>
      <w:r w:rsidRPr="00440DD4">
        <w:rPr>
          <w:rFonts w:ascii="Times New Roman" w:hAnsi="Times New Roman" w:cs="Times New Roman"/>
          <w:b/>
          <w:bCs/>
        </w:rPr>
        <w:t>1. INTRODUCTION</w:t>
      </w:r>
    </w:p>
    <w:p w14:paraId="676D4AE4" w14:textId="4564C749"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Waxy maize (</w:t>
      </w:r>
      <w:r w:rsidRPr="00440DD4">
        <w:rPr>
          <w:rFonts w:ascii="Times New Roman" w:hAnsi="Times New Roman" w:cs="Times New Roman"/>
          <w:i/>
          <w:iCs/>
        </w:rPr>
        <w:t>Zea mays</w:t>
      </w:r>
      <w:r w:rsidRPr="00440DD4">
        <w:rPr>
          <w:rFonts w:ascii="Times New Roman" w:hAnsi="Times New Roman" w:cs="Times New Roman"/>
        </w:rPr>
        <w:t xml:space="preserve"> L. var. </w:t>
      </w:r>
      <w:r w:rsidRPr="00440DD4">
        <w:rPr>
          <w:rFonts w:ascii="Times New Roman" w:hAnsi="Times New Roman" w:cs="Times New Roman"/>
          <w:i/>
          <w:iCs/>
        </w:rPr>
        <w:t>ceratina</w:t>
      </w:r>
      <w:r w:rsidRPr="00440DD4">
        <w:rPr>
          <w:rFonts w:ascii="Times New Roman" w:hAnsi="Times New Roman" w:cs="Times New Roman"/>
        </w:rPr>
        <w:t>) is a specialty maize type characterized by an endosperm composed almost entirely of amylopectin</w:t>
      </w:r>
      <w:r w:rsidR="00EE3550">
        <w:rPr>
          <w:rFonts w:ascii="Times New Roman" w:hAnsi="Times New Roman" w:cs="Times New Roman"/>
        </w:rPr>
        <w:t xml:space="preserve"> [1]</w:t>
      </w:r>
      <w:r w:rsidRPr="00440DD4">
        <w:rPr>
          <w:rFonts w:ascii="Times New Roman" w:hAnsi="Times New Roman" w:cs="Times New Roman"/>
        </w:rPr>
        <w:t xml:space="preserve">, </w:t>
      </w:r>
      <w:bookmarkStart w:id="1" w:name="_Hlk223077445"/>
      <w:r w:rsidRPr="00440DD4">
        <w:rPr>
          <w:rFonts w:ascii="Times New Roman" w:hAnsi="Times New Roman" w:cs="Times New Roman"/>
        </w:rPr>
        <w:t>which confers a sticky, soft texture and distinctive sweetness when harvested at the fresh ear stage</w:t>
      </w:r>
      <w:bookmarkEnd w:id="1"/>
      <w:r w:rsidR="00EE3550">
        <w:rPr>
          <w:rFonts w:ascii="Times New Roman" w:hAnsi="Times New Roman" w:cs="Times New Roman"/>
        </w:rPr>
        <w:t xml:space="preserve"> [2]</w:t>
      </w:r>
      <w:r w:rsidRPr="00440DD4">
        <w:rPr>
          <w:rFonts w:ascii="Times New Roman" w:hAnsi="Times New Roman" w:cs="Times New Roman"/>
        </w:rPr>
        <w:t>. Owing to its high sensory quality and strong consumer preference in many Asian countries, particularly Vietnam, waxy maize has become an economically important crop</w:t>
      </w:r>
      <w:r w:rsidR="00EE3550">
        <w:rPr>
          <w:rFonts w:ascii="Times New Roman" w:hAnsi="Times New Roman" w:cs="Times New Roman"/>
        </w:rPr>
        <w:t xml:space="preserve"> [3]</w:t>
      </w:r>
      <w:r w:rsidRPr="00440DD4">
        <w:rPr>
          <w:rFonts w:ascii="Times New Roman" w:hAnsi="Times New Roman" w:cs="Times New Roman"/>
        </w:rPr>
        <w:t>, contributing significantly to farmers’ income within short-season cropping systems.</w:t>
      </w:r>
    </w:p>
    <w:p w14:paraId="66DF022A" w14:textId="63471F63"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In recent years, the cultivation area of waxy maize has expanded to meet increasing demand for fresh consumption and processed food products</w:t>
      </w:r>
      <w:r w:rsidR="00EE3550">
        <w:rPr>
          <w:rFonts w:ascii="Times New Roman" w:hAnsi="Times New Roman" w:cs="Times New Roman"/>
        </w:rPr>
        <w:t xml:space="preserve"> [4]</w:t>
      </w:r>
      <w:r w:rsidRPr="00440DD4">
        <w:rPr>
          <w:rFonts w:ascii="Times New Roman" w:hAnsi="Times New Roman" w:cs="Times New Roman"/>
        </w:rPr>
        <w:t>. However, waxy maize production still faces several constraints</w:t>
      </w:r>
      <w:r w:rsidR="00EE3550">
        <w:rPr>
          <w:rFonts w:ascii="Times New Roman" w:hAnsi="Times New Roman" w:cs="Times New Roman"/>
        </w:rPr>
        <w:t xml:space="preserve"> [5]</w:t>
      </w:r>
      <w:r w:rsidRPr="00440DD4">
        <w:rPr>
          <w:rFonts w:ascii="Times New Roman" w:hAnsi="Times New Roman" w:cs="Times New Roman"/>
        </w:rPr>
        <w:t>, including unstable yield performance across seasons, limited tolerance to adverse environmental conditions, and inconsistent eating quality. Moreover, the market increasingly requires new cultivars to simultaneously satisfy three key criteria: (i) short growth duration suitable for intensive cropping systems</w:t>
      </w:r>
      <w:r w:rsidR="00EE3550">
        <w:rPr>
          <w:rFonts w:ascii="Times New Roman" w:hAnsi="Times New Roman" w:cs="Times New Roman"/>
        </w:rPr>
        <w:t xml:space="preserve"> [6]</w:t>
      </w:r>
      <w:r w:rsidRPr="00440DD4">
        <w:rPr>
          <w:rFonts w:ascii="Times New Roman" w:hAnsi="Times New Roman" w:cs="Times New Roman"/>
        </w:rPr>
        <w:t>, (ii) high and stable fresh ear yield</w:t>
      </w:r>
      <w:r w:rsidR="00EE3550">
        <w:rPr>
          <w:rFonts w:ascii="Times New Roman" w:hAnsi="Times New Roman" w:cs="Times New Roman"/>
        </w:rPr>
        <w:t xml:space="preserve"> [7]</w:t>
      </w:r>
      <w:r w:rsidRPr="00440DD4">
        <w:rPr>
          <w:rFonts w:ascii="Times New Roman" w:hAnsi="Times New Roman" w:cs="Times New Roman"/>
        </w:rPr>
        <w:t>, and (iii) superior eating quality, including stickiness, sweetness, aroma, and appealing kernel color</w:t>
      </w:r>
      <w:r w:rsidR="00EE3550">
        <w:rPr>
          <w:rFonts w:ascii="Times New Roman" w:hAnsi="Times New Roman" w:cs="Times New Roman"/>
        </w:rPr>
        <w:t>[8]</w:t>
      </w:r>
      <w:r w:rsidRPr="00440DD4">
        <w:rPr>
          <w:rFonts w:ascii="Times New Roman" w:hAnsi="Times New Roman" w:cs="Times New Roman"/>
        </w:rPr>
        <w:t>.</w:t>
      </w:r>
    </w:p>
    <w:p w14:paraId="1462F055" w14:textId="1AE622A2"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From a physiological and genetic perspective, maize yield is a complex quantitative trait determined by plant growth capacity</w:t>
      </w:r>
      <w:r w:rsidR="00EE3550">
        <w:rPr>
          <w:rFonts w:ascii="Times New Roman" w:hAnsi="Times New Roman" w:cs="Times New Roman"/>
        </w:rPr>
        <w:t xml:space="preserve"> [9]</w:t>
      </w:r>
      <w:r w:rsidRPr="00440DD4">
        <w:rPr>
          <w:rFonts w:ascii="Times New Roman" w:hAnsi="Times New Roman" w:cs="Times New Roman"/>
        </w:rPr>
        <w:t>, photosynthetic efficiency, and the accumulation and partitioning of assimilates into the ear</w:t>
      </w:r>
      <w:r w:rsidR="00EE3550">
        <w:rPr>
          <w:rFonts w:ascii="Times New Roman" w:hAnsi="Times New Roman" w:cs="Times New Roman"/>
        </w:rPr>
        <w:t xml:space="preserve"> [10]</w:t>
      </w:r>
      <w:r w:rsidRPr="00440DD4">
        <w:rPr>
          <w:rFonts w:ascii="Times New Roman" w:hAnsi="Times New Roman" w:cs="Times New Roman"/>
        </w:rPr>
        <w:t>. Yield components such as ear length, ear diameter, number of kernel rows per ear, and kernel number per row play decisive roles in determining commercial productivity</w:t>
      </w:r>
      <w:r w:rsidR="00EE3550">
        <w:rPr>
          <w:rFonts w:ascii="Times New Roman" w:hAnsi="Times New Roman" w:cs="Times New Roman"/>
        </w:rPr>
        <w:t xml:space="preserve"> [11]</w:t>
      </w:r>
      <w:r w:rsidRPr="00440DD4">
        <w:rPr>
          <w:rFonts w:ascii="Times New Roman" w:hAnsi="Times New Roman" w:cs="Times New Roman"/>
        </w:rPr>
        <w:t>. In addition, morphological traits including plant height and ear height influence lodging resistance and adaptability to cultivation conditions</w:t>
      </w:r>
      <w:r w:rsidR="00EE3550">
        <w:rPr>
          <w:rFonts w:ascii="Times New Roman" w:hAnsi="Times New Roman" w:cs="Times New Roman"/>
        </w:rPr>
        <w:t xml:space="preserve"> [12]</w:t>
      </w:r>
      <w:r w:rsidRPr="00440DD4">
        <w:rPr>
          <w:rFonts w:ascii="Times New Roman" w:hAnsi="Times New Roman" w:cs="Times New Roman"/>
        </w:rPr>
        <w:t>. Therefore, comprehensive evaluation of growth traits together with yield components is essential in hybrid selection and breeding programs</w:t>
      </w:r>
      <w:r w:rsidR="00EE3550">
        <w:rPr>
          <w:rFonts w:ascii="Times New Roman" w:hAnsi="Times New Roman" w:cs="Times New Roman"/>
        </w:rPr>
        <w:t xml:space="preserve"> [13]</w:t>
      </w:r>
      <w:r w:rsidRPr="00440DD4">
        <w:rPr>
          <w:rFonts w:ascii="Times New Roman" w:hAnsi="Times New Roman" w:cs="Times New Roman"/>
        </w:rPr>
        <w:t>.</w:t>
      </w:r>
    </w:p>
    <w:p w14:paraId="32AAB603" w14:textId="3203FEF2"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lastRenderedPageBreak/>
        <w:t>In hybrid breeding, F1 combinations are developed to exploit heterosis for growth vigor and yield improvement</w:t>
      </w:r>
      <w:r w:rsidR="00EE3550">
        <w:rPr>
          <w:rFonts w:ascii="Times New Roman" w:hAnsi="Times New Roman" w:cs="Times New Roman"/>
        </w:rPr>
        <w:t xml:space="preserve"> [14]</w:t>
      </w:r>
      <w:r w:rsidRPr="00440DD4">
        <w:rPr>
          <w:rFonts w:ascii="Times New Roman" w:hAnsi="Times New Roman" w:cs="Times New Roman"/>
        </w:rPr>
        <w:t>. Nevertheless, not all hybrid combinations express stable heterotic performance across seasons and environments</w:t>
      </w:r>
      <w:r w:rsidR="00EE3550">
        <w:rPr>
          <w:rFonts w:ascii="Times New Roman" w:hAnsi="Times New Roman" w:cs="Times New Roman"/>
        </w:rPr>
        <w:t xml:space="preserve"> [15]</w:t>
      </w:r>
      <w:r w:rsidRPr="00440DD4">
        <w:rPr>
          <w:rFonts w:ascii="Times New Roman" w:hAnsi="Times New Roman" w:cs="Times New Roman"/>
        </w:rPr>
        <w:t>. Multi-season comparative trials are therefore necessary to assess the stability and adaptability of candidate hybrids</w:t>
      </w:r>
      <w:r w:rsidR="00EE3550">
        <w:rPr>
          <w:rFonts w:ascii="Times New Roman" w:hAnsi="Times New Roman" w:cs="Times New Roman"/>
        </w:rPr>
        <w:t xml:space="preserve"> [16]</w:t>
      </w:r>
      <w:r w:rsidRPr="00440DD4">
        <w:rPr>
          <w:rFonts w:ascii="Times New Roman" w:hAnsi="Times New Roman" w:cs="Times New Roman"/>
        </w:rPr>
        <w:t>. Statistical parameters such as analysis of variance (ANOVA), coefficient of variation (CV%), and least significant difference (LSD) provide reliable tools to quantify differences among hybrids and enhance the validity of conclusions</w:t>
      </w:r>
      <w:r w:rsidR="00EE3550">
        <w:rPr>
          <w:rFonts w:ascii="Times New Roman" w:hAnsi="Times New Roman" w:cs="Times New Roman"/>
        </w:rPr>
        <w:t xml:space="preserve"> [17]</w:t>
      </w:r>
      <w:r w:rsidRPr="00440DD4">
        <w:rPr>
          <w:rFonts w:ascii="Times New Roman" w:hAnsi="Times New Roman" w:cs="Times New Roman"/>
        </w:rPr>
        <w:t>.</w:t>
      </w:r>
    </w:p>
    <w:p w14:paraId="5A154F5B" w14:textId="68B93D0A"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Besides yield performance, eating quality is a critical determinant of market acceptance for waxy maize</w:t>
      </w:r>
      <w:r w:rsidR="00EE3550">
        <w:rPr>
          <w:rFonts w:ascii="Times New Roman" w:hAnsi="Times New Roman" w:cs="Times New Roman"/>
        </w:rPr>
        <w:t xml:space="preserve"> [18]</w:t>
      </w:r>
      <w:r w:rsidRPr="00440DD4">
        <w:rPr>
          <w:rFonts w:ascii="Times New Roman" w:hAnsi="Times New Roman" w:cs="Times New Roman"/>
        </w:rPr>
        <w:t>. Sensory evaluation commonly considers stickiness, sweetness, tenderness, flavor, and overall consumer preference</w:t>
      </w:r>
      <w:r w:rsidR="00EE3550">
        <w:rPr>
          <w:rFonts w:ascii="Times New Roman" w:hAnsi="Times New Roman" w:cs="Times New Roman"/>
        </w:rPr>
        <w:t xml:space="preserve"> [19]</w:t>
      </w:r>
      <w:r w:rsidRPr="00440DD4">
        <w:rPr>
          <w:rFonts w:ascii="Times New Roman" w:hAnsi="Times New Roman" w:cs="Times New Roman"/>
        </w:rPr>
        <w:t>. In many cases, hybrids with high yield but poor sensory quality fail to gain acceptance in commercial production</w:t>
      </w:r>
      <w:r w:rsidR="00EE3550">
        <w:rPr>
          <w:rFonts w:ascii="Times New Roman" w:hAnsi="Times New Roman" w:cs="Times New Roman"/>
        </w:rPr>
        <w:t xml:space="preserve"> [20]</w:t>
      </w:r>
      <w:r w:rsidRPr="00440DD4">
        <w:rPr>
          <w:rFonts w:ascii="Times New Roman" w:hAnsi="Times New Roman" w:cs="Times New Roman"/>
        </w:rPr>
        <w:t>. Consequently, integrating both agronomic performance and eating quality assessment represents a central strategy in modern waxy maize breeding</w:t>
      </w:r>
      <w:r w:rsidR="00EE3550">
        <w:rPr>
          <w:rFonts w:ascii="Times New Roman" w:hAnsi="Times New Roman" w:cs="Times New Roman"/>
        </w:rPr>
        <w:t xml:space="preserve"> [21]</w:t>
      </w:r>
      <w:r w:rsidRPr="00440DD4">
        <w:rPr>
          <w:rFonts w:ascii="Times New Roman" w:hAnsi="Times New Roman" w:cs="Times New Roman"/>
        </w:rPr>
        <w:t>.</w:t>
      </w:r>
    </w:p>
    <w:p w14:paraId="7E922DB9" w14:textId="00E64F1C"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Based on these considerations, the present study was conducted to evaluate eleven new waxy maize hybrid combinations in two cropping seasons</w:t>
      </w:r>
      <w:r w:rsidR="00EE3550">
        <w:rPr>
          <w:rFonts w:ascii="Times New Roman" w:hAnsi="Times New Roman" w:cs="Times New Roman"/>
        </w:rPr>
        <w:t xml:space="preserve"> [22]</w:t>
      </w:r>
      <w:r w:rsidRPr="00440DD4">
        <w:rPr>
          <w:rFonts w:ascii="Times New Roman" w:hAnsi="Times New Roman" w:cs="Times New Roman"/>
        </w:rPr>
        <w:t>, using HN68 as the control variety. The specific objectives were to (i) analyze growth characteristics and harvesting time, (ii) assess yield components, fresh ear yield, and grain yield, (iii) determine statistically significant differences among hybrids, and (iv) identify promising hybrids with high yield potential, stability, and desirable eating quality for further large-scale production trials.</w:t>
      </w:r>
    </w:p>
    <w:p w14:paraId="7C6E21D1" w14:textId="77777777" w:rsidR="00440DD4" w:rsidRPr="00440DD4" w:rsidRDefault="00440DD4" w:rsidP="000A3D38">
      <w:pPr>
        <w:spacing w:after="0" w:line="288" w:lineRule="auto"/>
        <w:jc w:val="center"/>
        <w:rPr>
          <w:rFonts w:ascii="Times New Roman" w:hAnsi="Times New Roman" w:cs="Times New Roman"/>
          <w:b/>
          <w:bCs/>
        </w:rPr>
      </w:pPr>
      <w:r w:rsidRPr="00440DD4">
        <w:rPr>
          <w:rFonts w:ascii="Times New Roman" w:hAnsi="Times New Roman" w:cs="Times New Roman"/>
          <w:b/>
          <w:bCs/>
        </w:rPr>
        <w:t>2. MATERIALS AND METHODS</w:t>
      </w:r>
    </w:p>
    <w:p w14:paraId="281459C5" w14:textId="77777777" w:rsidR="00440DD4" w:rsidRPr="00440DD4" w:rsidRDefault="00440DD4" w:rsidP="00FD084F">
      <w:pPr>
        <w:spacing w:after="0" w:line="288" w:lineRule="auto"/>
        <w:jc w:val="both"/>
        <w:rPr>
          <w:rFonts w:ascii="Times New Roman" w:hAnsi="Times New Roman" w:cs="Times New Roman"/>
          <w:b/>
          <w:bCs/>
        </w:rPr>
      </w:pPr>
      <w:r w:rsidRPr="00440DD4">
        <w:rPr>
          <w:rFonts w:ascii="Times New Roman" w:hAnsi="Times New Roman" w:cs="Times New Roman"/>
          <w:b/>
          <w:bCs/>
        </w:rPr>
        <w:t>2.1. Plant Materials</w:t>
      </w:r>
    </w:p>
    <w:p w14:paraId="2FC4A45F" w14:textId="77777777"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The experimental materials consisted of eight highly inbred waxy maize lines (S ≥ 6), namely N7B, N15, N59, N27, D666, N02, N51, and N19. These lines were developed and maintained through continuous selfing and selection from a combination of local germplasm and introduced materials. All lines exhibited stable agronomic performance and clear genetic differentiation.</w:t>
      </w:r>
    </w:p>
    <w:p w14:paraId="25E2A721" w14:textId="77777777" w:rsid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From these inbred lines, eleven promising hybrid combinations were developed to evaluate combining ability and production potential, including:</w:t>
      </w:r>
    </w:p>
    <w:p w14:paraId="39D04EAE" w14:textId="77F64A54" w:rsidR="00313999" w:rsidRPr="00440DD4" w:rsidRDefault="00313999" w:rsidP="004E6BAD">
      <w:pPr>
        <w:spacing w:after="0" w:line="288" w:lineRule="auto"/>
        <w:ind w:firstLine="720"/>
        <w:jc w:val="both"/>
        <w:rPr>
          <w:rFonts w:ascii="Times New Roman" w:hAnsi="Times New Roman" w:cs="Times New Roman"/>
        </w:rPr>
      </w:pPr>
      <w:r>
        <w:rPr>
          <w:rFonts w:ascii="Times New Roman" w:hAnsi="Times New Roman" w:cs="Times New Roman"/>
        </w:rPr>
        <w:t xml:space="preserve">Chart 1: </w:t>
      </w:r>
      <w:r w:rsidR="00E379D6">
        <w:rPr>
          <w:rFonts w:ascii="Times New Roman" w:hAnsi="Times New Roman" w:cs="Times New Roman"/>
        </w:rPr>
        <w:t>E</w:t>
      </w:r>
      <w:r w:rsidR="00E379D6" w:rsidRPr="00440DD4">
        <w:rPr>
          <w:rFonts w:ascii="Times New Roman" w:hAnsi="Times New Roman" w:cs="Times New Roman"/>
        </w:rPr>
        <w:t xml:space="preserve">leven hybrid combinations </w:t>
      </w:r>
    </w:p>
    <w:tbl>
      <w:tblPr>
        <w:tblW w:w="9788" w:type="dxa"/>
        <w:tblLook w:val="04A0" w:firstRow="1" w:lastRow="0" w:firstColumn="1" w:lastColumn="0" w:noHBand="0" w:noVBand="1"/>
      </w:tblPr>
      <w:tblGrid>
        <w:gridCol w:w="2447"/>
        <w:gridCol w:w="2447"/>
        <w:gridCol w:w="2447"/>
        <w:gridCol w:w="2447"/>
      </w:tblGrid>
      <w:tr w:rsidR="00440DD4" w:rsidRPr="00311474" w14:paraId="7A802BD4" w14:textId="77777777" w:rsidTr="00904207">
        <w:trPr>
          <w:trHeight w:val="640"/>
        </w:trPr>
        <w:tc>
          <w:tcPr>
            <w:tcW w:w="2447" w:type="dxa"/>
            <w:tcBorders>
              <w:top w:val="single" w:sz="4" w:space="0" w:color="auto"/>
              <w:left w:val="single" w:sz="4" w:space="0" w:color="auto"/>
              <w:bottom w:val="single" w:sz="4" w:space="0" w:color="auto"/>
              <w:right w:val="single" w:sz="4" w:space="0" w:color="auto"/>
            </w:tcBorders>
            <w:vAlign w:val="center"/>
            <w:hideMark/>
          </w:tcPr>
          <w:p w14:paraId="2F672EE3" w14:textId="77777777" w:rsidR="00440DD4" w:rsidRPr="00CB2DB3"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N02 × N7B</w:t>
            </w:r>
          </w:p>
        </w:tc>
        <w:tc>
          <w:tcPr>
            <w:tcW w:w="2447" w:type="dxa"/>
            <w:tcBorders>
              <w:top w:val="single" w:sz="4" w:space="0" w:color="auto"/>
              <w:left w:val="nil"/>
              <w:bottom w:val="single" w:sz="4" w:space="0" w:color="auto"/>
              <w:right w:val="single" w:sz="4" w:space="0" w:color="auto"/>
            </w:tcBorders>
            <w:vAlign w:val="center"/>
            <w:hideMark/>
          </w:tcPr>
          <w:p w14:paraId="247E8C70" w14:textId="77777777" w:rsidR="00440DD4" w:rsidRPr="00CB2DB3"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N19 × N7B</w:t>
            </w:r>
          </w:p>
        </w:tc>
        <w:tc>
          <w:tcPr>
            <w:tcW w:w="2447" w:type="dxa"/>
            <w:tcBorders>
              <w:top w:val="single" w:sz="4" w:space="0" w:color="auto"/>
              <w:left w:val="nil"/>
              <w:bottom w:val="single" w:sz="4" w:space="0" w:color="auto"/>
              <w:right w:val="single" w:sz="4" w:space="0" w:color="auto"/>
            </w:tcBorders>
            <w:vAlign w:val="center"/>
            <w:hideMark/>
          </w:tcPr>
          <w:p w14:paraId="25DE7397" w14:textId="77777777" w:rsidR="00440DD4" w:rsidRPr="00CB2DB3"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N59 × N15</w:t>
            </w:r>
          </w:p>
        </w:tc>
        <w:tc>
          <w:tcPr>
            <w:tcW w:w="2447" w:type="dxa"/>
            <w:tcBorders>
              <w:top w:val="single" w:sz="4" w:space="0" w:color="auto"/>
              <w:left w:val="nil"/>
              <w:bottom w:val="single" w:sz="4" w:space="0" w:color="auto"/>
              <w:right w:val="single" w:sz="4" w:space="0" w:color="auto"/>
            </w:tcBorders>
            <w:vAlign w:val="center"/>
            <w:hideMark/>
          </w:tcPr>
          <w:p w14:paraId="62052598" w14:textId="77777777" w:rsidR="00440DD4" w:rsidRPr="00CB2DB3"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D666 × N15</w:t>
            </w:r>
          </w:p>
        </w:tc>
      </w:tr>
      <w:tr w:rsidR="00440DD4" w:rsidRPr="00311474" w14:paraId="3864391D" w14:textId="77777777" w:rsidTr="00904207">
        <w:trPr>
          <w:trHeight w:val="640"/>
        </w:trPr>
        <w:tc>
          <w:tcPr>
            <w:tcW w:w="2447" w:type="dxa"/>
            <w:tcBorders>
              <w:top w:val="nil"/>
              <w:left w:val="single" w:sz="4" w:space="0" w:color="auto"/>
              <w:bottom w:val="single" w:sz="4" w:space="0" w:color="auto"/>
              <w:right w:val="single" w:sz="4" w:space="0" w:color="auto"/>
            </w:tcBorders>
            <w:vAlign w:val="center"/>
            <w:hideMark/>
          </w:tcPr>
          <w:p w14:paraId="221E6EA3"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447" w:type="dxa"/>
            <w:tcBorders>
              <w:top w:val="nil"/>
              <w:left w:val="nil"/>
              <w:bottom w:val="single" w:sz="4" w:space="0" w:color="auto"/>
              <w:right w:val="single" w:sz="4" w:space="0" w:color="auto"/>
            </w:tcBorders>
            <w:vAlign w:val="center"/>
            <w:hideMark/>
          </w:tcPr>
          <w:p w14:paraId="04871831"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447" w:type="dxa"/>
            <w:tcBorders>
              <w:top w:val="nil"/>
              <w:left w:val="nil"/>
              <w:bottom w:val="single" w:sz="4" w:space="0" w:color="auto"/>
              <w:right w:val="single" w:sz="4" w:space="0" w:color="auto"/>
            </w:tcBorders>
            <w:vAlign w:val="center"/>
            <w:hideMark/>
          </w:tcPr>
          <w:p w14:paraId="4DB7D363"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447" w:type="dxa"/>
            <w:tcBorders>
              <w:top w:val="nil"/>
              <w:left w:val="nil"/>
              <w:bottom w:val="single" w:sz="4" w:space="0" w:color="auto"/>
              <w:right w:val="single" w:sz="4" w:space="0" w:color="auto"/>
            </w:tcBorders>
            <w:vAlign w:val="center"/>
            <w:hideMark/>
          </w:tcPr>
          <w:p w14:paraId="203550A9"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r>
      <w:tr w:rsidR="00440DD4" w:rsidRPr="00311474" w14:paraId="587D297A" w14:textId="77777777" w:rsidTr="00904207">
        <w:trPr>
          <w:trHeight w:val="640"/>
        </w:trPr>
        <w:tc>
          <w:tcPr>
            <w:tcW w:w="2447" w:type="dxa"/>
            <w:tcBorders>
              <w:top w:val="nil"/>
              <w:left w:val="single" w:sz="4" w:space="0" w:color="auto"/>
              <w:bottom w:val="single" w:sz="4" w:space="0" w:color="auto"/>
              <w:right w:val="single" w:sz="4" w:space="0" w:color="auto"/>
            </w:tcBorders>
            <w:vAlign w:val="center"/>
            <w:hideMark/>
          </w:tcPr>
          <w:p w14:paraId="77EFDF94"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447" w:type="dxa"/>
            <w:tcBorders>
              <w:top w:val="nil"/>
              <w:left w:val="nil"/>
              <w:bottom w:val="single" w:sz="4" w:space="0" w:color="auto"/>
              <w:right w:val="single" w:sz="4" w:space="0" w:color="auto"/>
            </w:tcBorders>
            <w:vAlign w:val="center"/>
            <w:hideMark/>
          </w:tcPr>
          <w:p w14:paraId="48612CFF"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N02</w:t>
            </w:r>
          </w:p>
        </w:tc>
        <w:tc>
          <w:tcPr>
            <w:tcW w:w="2447" w:type="dxa"/>
            <w:tcBorders>
              <w:top w:val="nil"/>
              <w:left w:val="nil"/>
              <w:bottom w:val="single" w:sz="4" w:space="0" w:color="auto"/>
              <w:right w:val="single" w:sz="4" w:space="0" w:color="auto"/>
            </w:tcBorders>
            <w:vAlign w:val="center"/>
            <w:hideMark/>
          </w:tcPr>
          <w:p w14:paraId="530812C5"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447" w:type="dxa"/>
            <w:tcBorders>
              <w:top w:val="nil"/>
              <w:left w:val="nil"/>
              <w:bottom w:val="single" w:sz="4" w:space="0" w:color="auto"/>
              <w:right w:val="single" w:sz="4" w:space="0" w:color="auto"/>
            </w:tcBorders>
            <w:vAlign w:val="center"/>
            <w:hideMark/>
          </w:tcPr>
          <w:p w14:paraId="77C4EB20" w14:textId="51C240FC" w:rsidR="00440DD4" w:rsidRPr="00311474" w:rsidRDefault="00CB2DB3"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HN68 (control variety)</w:t>
            </w:r>
          </w:p>
        </w:tc>
      </w:tr>
    </w:tbl>
    <w:p w14:paraId="7941AC09"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 Research Methods</w:t>
      </w:r>
    </w:p>
    <w:p w14:paraId="6771DA6A"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2.2.1. Breeding Method and Combining Ability Analysis</w:t>
      </w:r>
    </w:p>
    <w:p w14:paraId="15D50C2C" w14:textId="77777777"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The inbred lines were developed using conventional breeding methods involving continuous self-pollination combined with half-sib selection. Eight S₆ inbred lines (N7B, N15, N59, N27, D666, N02, N51, and N19) were used as parental materials for hybridization.</w:t>
      </w:r>
    </w:p>
    <w:p w14:paraId="30DB063D" w14:textId="75F77A23"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Combining ability was evaluated using a diallel crossing scheme according to Griffing’s method IV (Model I) (Griffing, 1956)</w:t>
      </w:r>
      <w:r w:rsidR="00EE3550">
        <w:rPr>
          <w:rFonts w:ascii="Times New Roman" w:hAnsi="Times New Roman" w:cs="Times New Roman"/>
        </w:rPr>
        <w:t xml:space="preserve"> [23]</w:t>
      </w:r>
      <w:r w:rsidRPr="00440DD4">
        <w:rPr>
          <w:rFonts w:ascii="Times New Roman" w:hAnsi="Times New Roman" w:cs="Times New Roman"/>
        </w:rPr>
        <w:t>. General combining ability (GCA) and specific combining ability (SCA) effects were estimated following the analytical procedures described by Ngo Huu Tinh and Nguyen Dinh Hien (1996)</w:t>
      </w:r>
      <w:r w:rsidR="00EE3550">
        <w:rPr>
          <w:rFonts w:ascii="Times New Roman" w:hAnsi="Times New Roman" w:cs="Times New Roman"/>
        </w:rPr>
        <w:t xml:space="preserve"> [24]</w:t>
      </w:r>
      <w:r w:rsidRPr="00440DD4">
        <w:rPr>
          <w:rFonts w:ascii="Times New Roman" w:hAnsi="Times New Roman" w:cs="Times New Roman"/>
        </w:rPr>
        <w:t>.</w:t>
      </w:r>
    </w:p>
    <w:p w14:paraId="5D8B1C0A"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lastRenderedPageBreak/>
        <w:t>2.2.2. Evaluation of Hybrid Combinations</w:t>
      </w:r>
    </w:p>
    <w:p w14:paraId="3CBF8938"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The hybrid combinations were evaluated in accordance with the Vietnamese National Standard TCVN 13381-2:2021 for testing the value for cultivation and use (VCU) of maize varieties.</w:t>
      </w:r>
    </w:p>
    <w:p w14:paraId="1AFFFE2A"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Experimental Design</w:t>
      </w:r>
    </w:p>
    <w:p w14:paraId="69C65C69"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The experiment was arranged in a randomized complete block design (RCBD) with three replications. Each experimental plot consisted of four rows, each containing 20 plants, with a row length of 5 m.</w:t>
      </w:r>
    </w:p>
    <w:p w14:paraId="79D40919"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Planting Density and Spacing</w:t>
      </w:r>
    </w:p>
    <w:p w14:paraId="566E05EF"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The planting density was 57,000 plants ha⁻¹, with a spacing of 70 cm × 25 cm, one plant per hill.</w:t>
      </w:r>
    </w:p>
    <w:p w14:paraId="55E6736C"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Fertilizer Application (per hectare)</w:t>
      </w:r>
    </w:p>
    <w:p w14:paraId="5E641FE5" w14:textId="17B55D18" w:rsidR="00440DD4" w:rsidRPr="00440DD4" w:rsidRDefault="004E6BAD" w:rsidP="004E6BAD">
      <w:pPr>
        <w:spacing w:after="0" w:line="288" w:lineRule="auto"/>
        <w:ind w:left="720"/>
        <w:jc w:val="both"/>
        <w:rPr>
          <w:rFonts w:ascii="Times New Roman" w:hAnsi="Times New Roman" w:cs="Times New Roman"/>
        </w:rPr>
      </w:pPr>
      <w:r>
        <w:rPr>
          <w:rFonts w:ascii="Times New Roman" w:hAnsi="Times New Roman" w:cs="Times New Roman"/>
        </w:rPr>
        <w:t>-</w:t>
      </w:r>
      <w:r w:rsidR="00026179">
        <w:rPr>
          <w:rFonts w:ascii="Times New Roman" w:hAnsi="Times New Roman" w:cs="Times New Roman"/>
        </w:rPr>
        <w:t xml:space="preserve"> </w:t>
      </w:r>
      <w:r w:rsidR="00440DD4" w:rsidRPr="00440DD4">
        <w:rPr>
          <w:rFonts w:ascii="Times New Roman" w:hAnsi="Times New Roman" w:cs="Times New Roman"/>
        </w:rPr>
        <w:t>2.5 tons of Song Gianh bio-organic fertilizer</w:t>
      </w:r>
      <w:r w:rsidR="00026179">
        <w:rPr>
          <w:rFonts w:ascii="Times New Roman" w:hAnsi="Times New Roman" w:cs="Times New Roman"/>
        </w:rPr>
        <w:t xml:space="preserve">, </w:t>
      </w:r>
      <w:r w:rsidR="00440DD4" w:rsidRPr="00440DD4">
        <w:rPr>
          <w:rFonts w:ascii="Times New Roman" w:hAnsi="Times New Roman" w:cs="Times New Roman"/>
        </w:rPr>
        <w:t>150 kg N</w:t>
      </w:r>
      <w:r w:rsidR="00026179">
        <w:rPr>
          <w:rFonts w:ascii="Times New Roman" w:hAnsi="Times New Roman" w:cs="Times New Roman"/>
        </w:rPr>
        <w:t xml:space="preserve">, </w:t>
      </w:r>
      <w:r w:rsidR="00440DD4" w:rsidRPr="00440DD4">
        <w:rPr>
          <w:rFonts w:ascii="Times New Roman" w:hAnsi="Times New Roman" w:cs="Times New Roman"/>
        </w:rPr>
        <w:t>70 kg P₂O₅</w:t>
      </w:r>
      <w:r w:rsidR="00026179">
        <w:rPr>
          <w:rFonts w:ascii="Times New Roman" w:hAnsi="Times New Roman" w:cs="Times New Roman"/>
        </w:rPr>
        <w:t xml:space="preserve">, </w:t>
      </w:r>
      <w:r w:rsidR="00440DD4" w:rsidRPr="00440DD4">
        <w:rPr>
          <w:rFonts w:ascii="Times New Roman" w:hAnsi="Times New Roman" w:cs="Times New Roman"/>
        </w:rPr>
        <w:t>80 kg K₂O</w:t>
      </w:r>
    </w:p>
    <w:p w14:paraId="2836AADC" w14:textId="77777777" w:rsidR="00440DD4" w:rsidRPr="0084406C"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Observed Traits</w:t>
      </w:r>
    </w:p>
    <w:p w14:paraId="04288ED9" w14:textId="7EBD4AF8"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Growth duration: Time from sowing to fresh ear harvest.</w:t>
      </w:r>
    </w:p>
    <w:p w14:paraId="22FCDDBF" w14:textId="649B2AB4"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Growth and morphological traits: Plant height, ear placement height, ear length, ear diameter, and husk cover tightness.</w:t>
      </w:r>
    </w:p>
    <w:p w14:paraId="59D3A3BB" w14:textId="44FFDB3C"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Major pest and disease incidence: Assessment of infection levels of stem borer, ear borer, sheath blight, southern leaf blight, stalk rot, and rust using a 1–5 rating scale.</w:t>
      </w:r>
    </w:p>
    <w:p w14:paraId="273D1161" w14:textId="2476C513"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Lodging resistance: Evaluation of root lodging and stalk lodging using a 1–5 rating scale.</w:t>
      </w:r>
    </w:p>
    <w:p w14:paraId="6CD084E9" w14:textId="0AAAFEDF"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Yield components: Number of effective ears per plant, number of kernel rows per ear, number of kernels per row, 1,000-kernel weight, percentage of Grade I ears (%), and fresh ear yield (t/ha).</w:t>
      </w:r>
    </w:p>
    <w:p w14:paraId="1687D436" w14:textId="71F6AE45"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Fresh-eating quality: Sensory evaluation based on aroma, stickiness, sweetness, and flavor intensity using a 1–5 rating scale.</w:t>
      </w:r>
    </w:p>
    <w:p w14:paraId="018CBD0C"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2.2.3. Statistical Analysis</w:t>
      </w:r>
    </w:p>
    <w:p w14:paraId="0F3D307B"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Data were subjected to descriptive statistical analysis and analysis of variance (ANOVA) using Excel and Statistix 10 software.</w:t>
      </w:r>
    </w:p>
    <w:p w14:paraId="39799E3A"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General combining ability (GCA) and specific combining ability (SCA) effects were analyzed using the Line × Tester program following Nguyen Dinh Hien (1996).</w:t>
      </w:r>
    </w:p>
    <w:p w14:paraId="09B7D740"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Agronomic traits and yield data were further analyzed using SAS 9.2, R 4.1, IRRISTAT 5.0, and STATGRAPHICS/Stath 5.0. Mean comparisons were performed using the Least Significant Difference (LSD) test at the 5% probability level.</w:t>
      </w:r>
    </w:p>
    <w:p w14:paraId="05C07D34"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2.3. Location and Duration of the Study</w:t>
      </w:r>
    </w:p>
    <w:p w14:paraId="448FDFB9"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Experimental Sites</w:t>
      </w:r>
    </w:p>
    <w:p w14:paraId="5E86A003" w14:textId="2772E94D"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Tho Xuan Crop Research, Testing and Service Center, Thanh Hoa Province</w:t>
      </w:r>
    </w:p>
    <w:p w14:paraId="6DB56AD4" w14:textId="3631B9AB"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Tu Luyen Hamlet, Hoang Dao Commune, Hoang Hoa District, Thanh Hoa Province, Vietnam</w:t>
      </w:r>
    </w:p>
    <w:p w14:paraId="63D03BC1"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Cropping Seasons and Timeline</w:t>
      </w:r>
    </w:p>
    <w:p w14:paraId="469134F4" w14:textId="7787679F"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Winter 2023: Sowing on 10 September 2023; fresh ear harvest on 21 November 2023</w:t>
      </w:r>
    </w:p>
    <w:p w14:paraId="4BA94650" w14:textId="1908926D"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Spring 2024: Sowing on 6 March 2024; fresh ear harvest on 22 May 2024</w:t>
      </w:r>
    </w:p>
    <w:p w14:paraId="37FB4474" w14:textId="77EDC24A" w:rsid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Winter 2024: Sowing on 12 September 2024; fresh ear harvest on 24 November 2024</w:t>
      </w:r>
    </w:p>
    <w:p w14:paraId="44C73867" w14:textId="77777777" w:rsidR="00DB7A96" w:rsidRPr="00440DD4" w:rsidRDefault="00DB7A96" w:rsidP="00263DE0">
      <w:pPr>
        <w:spacing w:after="0" w:line="288" w:lineRule="auto"/>
        <w:jc w:val="both"/>
        <w:rPr>
          <w:rFonts w:ascii="Times New Roman" w:hAnsi="Times New Roman" w:cs="Times New Roman"/>
        </w:rPr>
      </w:pPr>
    </w:p>
    <w:p w14:paraId="6F10BC37" w14:textId="0FECC9F1" w:rsidR="00553A80" w:rsidRDefault="000A3D38" w:rsidP="00263DE0">
      <w:pPr>
        <w:pStyle w:val="ListParagraph"/>
        <w:spacing w:after="0" w:line="288" w:lineRule="auto"/>
        <w:ind w:left="0"/>
        <w:jc w:val="center"/>
        <w:rPr>
          <w:rFonts w:ascii="Times New Roman" w:hAnsi="Times New Roman" w:cs="Times New Roman"/>
          <w:b/>
          <w:bCs/>
        </w:rPr>
      </w:pPr>
      <w:r>
        <w:rPr>
          <w:rFonts w:ascii="Times New Roman" w:hAnsi="Times New Roman" w:cs="Times New Roman"/>
          <w:b/>
          <w:bCs/>
        </w:rPr>
        <w:t xml:space="preserve">3. </w:t>
      </w:r>
      <w:r w:rsidR="00553A80" w:rsidRPr="00553A80">
        <w:rPr>
          <w:rFonts w:ascii="Times New Roman" w:hAnsi="Times New Roman" w:cs="Times New Roman"/>
          <w:b/>
          <w:bCs/>
        </w:rPr>
        <w:t>RESULTS AND DISCUSSION</w:t>
      </w:r>
    </w:p>
    <w:p w14:paraId="106284C0" w14:textId="77777777" w:rsidR="005D797A" w:rsidRDefault="005D797A" w:rsidP="00263DE0">
      <w:pPr>
        <w:pStyle w:val="ListParagraph"/>
        <w:spacing w:after="0" w:line="288" w:lineRule="auto"/>
        <w:ind w:left="0"/>
        <w:jc w:val="center"/>
        <w:rPr>
          <w:rFonts w:ascii="Times New Roman" w:hAnsi="Times New Roman" w:cs="Times New Roman"/>
          <w:b/>
          <w:bCs/>
        </w:rPr>
      </w:pPr>
    </w:p>
    <w:p w14:paraId="70116DDB" w14:textId="4FF815A7" w:rsidR="00553A80" w:rsidRPr="00553A80" w:rsidRDefault="00553A80" w:rsidP="00263DE0">
      <w:pPr>
        <w:pStyle w:val="ListParagraph"/>
        <w:spacing w:after="0" w:line="288" w:lineRule="auto"/>
        <w:ind w:left="0"/>
        <w:jc w:val="center"/>
        <w:rPr>
          <w:rFonts w:ascii="Times New Roman" w:hAnsi="Times New Roman" w:cs="Times New Roman"/>
          <w:b/>
          <w:bCs/>
        </w:rPr>
      </w:pPr>
      <w:r w:rsidRPr="00553A80">
        <w:rPr>
          <w:rFonts w:ascii="Times New Roman" w:hAnsi="Times New Roman" w:cs="Times New Roman"/>
          <w:b/>
          <w:bCs/>
        </w:rPr>
        <w:t xml:space="preserve">Table 1. Combined ANOVA </w:t>
      </w:r>
      <w:r>
        <w:rPr>
          <w:rFonts w:ascii="Times New Roman" w:hAnsi="Times New Roman" w:cs="Times New Roman"/>
          <w:b/>
          <w:bCs/>
        </w:rPr>
        <w:t>s</w:t>
      </w:r>
      <w:r w:rsidRPr="00553A80">
        <w:rPr>
          <w:rFonts w:ascii="Times New Roman" w:hAnsi="Times New Roman" w:cs="Times New Roman"/>
          <w:b/>
          <w:bCs/>
        </w:rPr>
        <w:t xml:space="preserve">ummary </w:t>
      </w:r>
      <w:r>
        <w:rPr>
          <w:rFonts w:ascii="Times New Roman" w:hAnsi="Times New Roman" w:cs="Times New Roman"/>
          <w:b/>
          <w:bCs/>
        </w:rPr>
        <w:t>t</w:t>
      </w:r>
      <w:r w:rsidRPr="00553A80">
        <w:rPr>
          <w:rFonts w:ascii="Times New Roman" w:hAnsi="Times New Roman" w:cs="Times New Roman"/>
          <w:b/>
          <w:bCs/>
        </w:rPr>
        <w:t>able</w:t>
      </w:r>
    </w:p>
    <w:tbl>
      <w:tblPr>
        <w:tblW w:w="10697" w:type="dxa"/>
        <w:tblInd w:w="-431" w:type="dxa"/>
        <w:tblLook w:val="04A0" w:firstRow="1" w:lastRow="0" w:firstColumn="1" w:lastColumn="0" w:noHBand="0" w:noVBand="1"/>
      </w:tblPr>
      <w:tblGrid>
        <w:gridCol w:w="1844"/>
        <w:gridCol w:w="709"/>
        <w:gridCol w:w="1255"/>
        <w:gridCol w:w="1132"/>
        <w:gridCol w:w="1132"/>
        <w:gridCol w:w="1132"/>
        <w:gridCol w:w="1124"/>
        <w:gridCol w:w="1125"/>
        <w:gridCol w:w="1244"/>
      </w:tblGrid>
      <w:tr w:rsidR="00E46BF4" w:rsidRPr="00E46BF4" w14:paraId="43EF90A6" w14:textId="77777777" w:rsidTr="005D797A">
        <w:trPr>
          <w:trHeight w:val="607"/>
        </w:trPr>
        <w:tc>
          <w:tcPr>
            <w:tcW w:w="1844" w:type="dxa"/>
            <w:tcBorders>
              <w:top w:val="single" w:sz="4" w:space="0" w:color="auto"/>
              <w:left w:val="single" w:sz="4" w:space="0" w:color="auto"/>
              <w:bottom w:val="single" w:sz="4" w:space="0" w:color="auto"/>
              <w:right w:val="single" w:sz="4" w:space="0" w:color="auto"/>
            </w:tcBorders>
            <w:vAlign w:val="center"/>
            <w:hideMark/>
          </w:tcPr>
          <w:p w14:paraId="64DC4633" w14:textId="6FBB4A9F"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Source of variation</w:t>
            </w:r>
          </w:p>
        </w:tc>
        <w:tc>
          <w:tcPr>
            <w:tcW w:w="709" w:type="dxa"/>
            <w:tcBorders>
              <w:top w:val="single" w:sz="4" w:space="0" w:color="auto"/>
              <w:left w:val="nil"/>
              <w:bottom w:val="single" w:sz="4" w:space="0" w:color="auto"/>
              <w:right w:val="single" w:sz="4" w:space="0" w:color="auto"/>
            </w:tcBorders>
            <w:vAlign w:val="center"/>
            <w:hideMark/>
          </w:tcPr>
          <w:p w14:paraId="717E089D" w14:textId="77777777" w:rsidR="009F099A" w:rsidRPr="00E46BF4" w:rsidRDefault="009F099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df</w:t>
            </w:r>
          </w:p>
        </w:tc>
        <w:tc>
          <w:tcPr>
            <w:tcW w:w="1255" w:type="dxa"/>
            <w:tcBorders>
              <w:top w:val="single" w:sz="4" w:space="0" w:color="auto"/>
              <w:left w:val="nil"/>
              <w:bottom w:val="single" w:sz="4" w:space="0" w:color="auto"/>
              <w:right w:val="single" w:sz="4" w:space="0" w:color="auto"/>
            </w:tcBorders>
            <w:vAlign w:val="center"/>
            <w:hideMark/>
          </w:tcPr>
          <w:p w14:paraId="0B1D5311" w14:textId="70233653"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MS (Winter 2023</w:t>
            </w:r>
            <w:r>
              <w:rPr>
                <w:rFonts w:ascii="Times New Roman" w:eastAsia="Times New Roman" w:hAnsi="Times New Roman" w:cs="Times New Roman"/>
                <w:b/>
                <w:bCs/>
                <w:color w:val="000000"/>
                <w:kern w:val="0"/>
                <w:sz w:val="20"/>
                <w:szCs w:val="20"/>
                <w14:ligatures w14:val="none"/>
              </w:rPr>
              <w:t>)</w:t>
            </w:r>
          </w:p>
        </w:tc>
        <w:tc>
          <w:tcPr>
            <w:tcW w:w="1132" w:type="dxa"/>
            <w:tcBorders>
              <w:top w:val="single" w:sz="4" w:space="0" w:color="auto"/>
              <w:left w:val="nil"/>
              <w:bottom w:val="single" w:sz="4" w:space="0" w:color="auto"/>
              <w:right w:val="single" w:sz="4" w:space="0" w:color="auto"/>
            </w:tcBorders>
            <w:vAlign w:val="center"/>
            <w:hideMark/>
          </w:tcPr>
          <w:p w14:paraId="7F087988" w14:textId="123EB95E"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MS (Spring 2024)</w:t>
            </w:r>
          </w:p>
        </w:tc>
        <w:tc>
          <w:tcPr>
            <w:tcW w:w="1132" w:type="dxa"/>
            <w:tcBorders>
              <w:top w:val="single" w:sz="4" w:space="0" w:color="auto"/>
              <w:left w:val="nil"/>
              <w:bottom w:val="single" w:sz="4" w:space="0" w:color="auto"/>
              <w:right w:val="single" w:sz="4" w:space="0" w:color="auto"/>
            </w:tcBorders>
            <w:vAlign w:val="center"/>
            <w:hideMark/>
          </w:tcPr>
          <w:p w14:paraId="032B45C1" w14:textId="0384CEFB"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F </w:t>
            </w:r>
            <w:r w:rsidRPr="005D797A">
              <w:rPr>
                <w:rFonts w:ascii="Times New Roman" w:eastAsia="Times New Roman" w:hAnsi="Times New Roman" w:cs="Times New Roman"/>
                <w:b/>
                <w:bCs/>
                <w:color w:val="000000"/>
                <w:kern w:val="0"/>
                <w:sz w:val="20"/>
                <w:szCs w:val="20"/>
                <w14:ligatures w14:val="none"/>
              </w:rPr>
              <w:t>(Winter 2023</w:t>
            </w:r>
            <w:r>
              <w:rPr>
                <w:rFonts w:ascii="Times New Roman" w:eastAsia="Times New Roman" w:hAnsi="Times New Roman" w:cs="Times New Roman"/>
                <w:b/>
                <w:bCs/>
                <w:color w:val="000000"/>
                <w:kern w:val="0"/>
                <w:sz w:val="20"/>
                <w:szCs w:val="20"/>
                <w14:ligatures w14:val="none"/>
              </w:rPr>
              <w:t>)</w:t>
            </w:r>
          </w:p>
        </w:tc>
        <w:tc>
          <w:tcPr>
            <w:tcW w:w="1132" w:type="dxa"/>
            <w:tcBorders>
              <w:top w:val="single" w:sz="4" w:space="0" w:color="auto"/>
              <w:left w:val="nil"/>
              <w:bottom w:val="single" w:sz="4" w:space="0" w:color="auto"/>
              <w:right w:val="single" w:sz="4" w:space="0" w:color="auto"/>
            </w:tcBorders>
            <w:vAlign w:val="center"/>
            <w:hideMark/>
          </w:tcPr>
          <w:p w14:paraId="2E1FAD98" w14:textId="13CF686E"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F </w:t>
            </w:r>
            <w:r w:rsidRPr="005D797A">
              <w:rPr>
                <w:rFonts w:ascii="Times New Roman" w:eastAsia="Times New Roman" w:hAnsi="Times New Roman" w:cs="Times New Roman"/>
                <w:b/>
                <w:bCs/>
                <w:color w:val="000000"/>
                <w:kern w:val="0"/>
                <w:sz w:val="20"/>
                <w:szCs w:val="20"/>
                <w14:ligatures w14:val="none"/>
              </w:rPr>
              <w:t>(Spring 2024)</w:t>
            </w:r>
          </w:p>
        </w:tc>
        <w:tc>
          <w:tcPr>
            <w:tcW w:w="1124" w:type="dxa"/>
            <w:tcBorders>
              <w:top w:val="single" w:sz="4" w:space="0" w:color="auto"/>
              <w:left w:val="nil"/>
              <w:bottom w:val="single" w:sz="4" w:space="0" w:color="auto"/>
              <w:right w:val="single" w:sz="4" w:space="0" w:color="auto"/>
            </w:tcBorders>
            <w:vAlign w:val="center"/>
            <w:hideMark/>
          </w:tcPr>
          <w:p w14:paraId="105367B5" w14:textId="1EC629F2"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P</w:t>
            </w:r>
            <w:r w:rsidRPr="005D797A">
              <w:rPr>
                <w:rFonts w:ascii="Times New Roman" w:eastAsia="Times New Roman" w:hAnsi="Times New Roman" w:cs="Times New Roman"/>
                <w:b/>
                <w:bCs/>
                <w:color w:val="000000"/>
                <w:kern w:val="0"/>
                <w:sz w:val="20"/>
                <w:szCs w:val="20"/>
                <w14:ligatures w14:val="none"/>
              </w:rPr>
              <w:t xml:space="preserve"> (Winter 2023</w:t>
            </w:r>
            <w:r>
              <w:rPr>
                <w:rFonts w:ascii="Times New Roman" w:eastAsia="Times New Roman" w:hAnsi="Times New Roman" w:cs="Times New Roman"/>
                <w:b/>
                <w:bCs/>
                <w:color w:val="000000"/>
                <w:kern w:val="0"/>
                <w:sz w:val="20"/>
                <w:szCs w:val="20"/>
                <w14:ligatures w14:val="none"/>
              </w:rPr>
              <w:t>)</w:t>
            </w:r>
          </w:p>
        </w:tc>
        <w:tc>
          <w:tcPr>
            <w:tcW w:w="1125" w:type="dxa"/>
            <w:tcBorders>
              <w:top w:val="single" w:sz="4" w:space="0" w:color="auto"/>
              <w:left w:val="nil"/>
              <w:bottom w:val="single" w:sz="4" w:space="0" w:color="auto"/>
              <w:right w:val="single" w:sz="4" w:space="0" w:color="auto"/>
            </w:tcBorders>
            <w:vAlign w:val="center"/>
            <w:hideMark/>
          </w:tcPr>
          <w:p w14:paraId="6ABE39CE" w14:textId="57A5F1ED"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P</w:t>
            </w:r>
            <w:r w:rsidRPr="005D797A">
              <w:rPr>
                <w:rFonts w:ascii="Times New Roman" w:eastAsia="Times New Roman" w:hAnsi="Times New Roman" w:cs="Times New Roman"/>
                <w:b/>
                <w:bCs/>
                <w:color w:val="000000"/>
                <w:kern w:val="0"/>
                <w:sz w:val="20"/>
                <w:szCs w:val="20"/>
                <w14:ligatures w14:val="none"/>
              </w:rPr>
              <w:t xml:space="preserve"> (Spring 2024)</w:t>
            </w:r>
          </w:p>
        </w:tc>
        <w:tc>
          <w:tcPr>
            <w:tcW w:w="1244" w:type="dxa"/>
            <w:tcBorders>
              <w:top w:val="single" w:sz="4" w:space="0" w:color="auto"/>
              <w:left w:val="nil"/>
              <w:bottom w:val="single" w:sz="4" w:space="0" w:color="auto"/>
              <w:right w:val="single" w:sz="4" w:space="0" w:color="auto"/>
            </w:tcBorders>
            <w:vAlign w:val="center"/>
            <w:hideMark/>
          </w:tcPr>
          <w:p w14:paraId="1EBC96BD" w14:textId="77777777" w:rsidR="009F099A" w:rsidRPr="00E46BF4" w:rsidRDefault="009F099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GCA/SCA</w:t>
            </w:r>
          </w:p>
        </w:tc>
      </w:tr>
      <w:tr w:rsidR="00E46BF4" w:rsidRPr="00E46BF4" w14:paraId="31614C08"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588D0ECA" w14:textId="0AE8AFF6"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Replication</w:t>
            </w:r>
          </w:p>
        </w:tc>
        <w:tc>
          <w:tcPr>
            <w:tcW w:w="709" w:type="dxa"/>
            <w:tcBorders>
              <w:top w:val="nil"/>
              <w:left w:val="nil"/>
              <w:bottom w:val="single" w:sz="4" w:space="0" w:color="auto"/>
              <w:right w:val="single" w:sz="4" w:space="0" w:color="auto"/>
            </w:tcBorders>
            <w:vAlign w:val="center"/>
            <w:hideMark/>
          </w:tcPr>
          <w:p w14:paraId="367D3719"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w:t>
            </w:r>
          </w:p>
        </w:tc>
        <w:tc>
          <w:tcPr>
            <w:tcW w:w="1255" w:type="dxa"/>
            <w:tcBorders>
              <w:top w:val="nil"/>
              <w:left w:val="nil"/>
              <w:bottom w:val="single" w:sz="4" w:space="0" w:color="auto"/>
              <w:right w:val="single" w:sz="4" w:space="0" w:color="auto"/>
            </w:tcBorders>
            <w:vAlign w:val="center"/>
            <w:hideMark/>
          </w:tcPr>
          <w:p w14:paraId="7CB77A24"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0.335</w:t>
            </w:r>
          </w:p>
        </w:tc>
        <w:tc>
          <w:tcPr>
            <w:tcW w:w="1132" w:type="dxa"/>
            <w:tcBorders>
              <w:top w:val="nil"/>
              <w:left w:val="nil"/>
              <w:bottom w:val="single" w:sz="4" w:space="0" w:color="auto"/>
              <w:right w:val="single" w:sz="4" w:space="0" w:color="auto"/>
            </w:tcBorders>
            <w:vAlign w:val="center"/>
            <w:hideMark/>
          </w:tcPr>
          <w:p w14:paraId="25D5C2E5"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0.749</w:t>
            </w:r>
          </w:p>
        </w:tc>
        <w:tc>
          <w:tcPr>
            <w:tcW w:w="1132" w:type="dxa"/>
            <w:tcBorders>
              <w:top w:val="nil"/>
              <w:left w:val="nil"/>
              <w:bottom w:val="single" w:sz="4" w:space="0" w:color="auto"/>
              <w:right w:val="single" w:sz="4" w:space="0" w:color="auto"/>
            </w:tcBorders>
            <w:vAlign w:val="center"/>
            <w:hideMark/>
          </w:tcPr>
          <w:p w14:paraId="14A2A2EF"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3.82</w:t>
            </w:r>
          </w:p>
        </w:tc>
        <w:tc>
          <w:tcPr>
            <w:tcW w:w="1132" w:type="dxa"/>
            <w:tcBorders>
              <w:top w:val="nil"/>
              <w:left w:val="nil"/>
              <w:bottom w:val="single" w:sz="4" w:space="0" w:color="auto"/>
              <w:right w:val="single" w:sz="4" w:space="0" w:color="auto"/>
            </w:tcBorders>
            <w:vAlign w:val="center"/>
            <w:hideMark/>
          </w:tcPr>
          <w:p w14:paraId="3E51793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24.95</w:t>
            </w:r>
          </w:p>
        </w:tc>
        <w:tc>
          <w:tcPr>
            <w:tcW w:w="1124" w:type="dxa"/>
            <w:tcBorders>
              <w:top w:val="nil"/>
              <w:left w:val="nil"/>
              <w:bottom w:val="single" w:sz="4" w:space="0" w:color="auto"/>
              <w:right w:val="single" w:sz="4" w:space="0" w:color="auto"/>
            </w:tcBorders>
            <w:vAlign w:val="center"/>
            <w:hideMark/>
          </w:tcPr>
          <w:p w14:paraId="56A37337"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0.085</w:t>
            </w:r>
          </w:p>
        </w:tc>
        <w:tc>
          <w:tcPr>
            <w:tcW w:w="1125" w:type="dxa"/>
            <w:tcBorders>
              <w:top w:val="nil"/>
              <w:left w:val="nil"/>
              <w:bottom w:val="single" w:sz="4" w:space="0" w:color="auto"/>
              <w:right w:val="single" w:sz="4" w:space="0" w:color="auto"/>
            </w:tcBorders>
            <w:vAlign w:val="center"/>
            <w:hideMark/>
          </w:tcPr>
          <w:p w14:paraId="5787EF14"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0.001</w:t>
            </w:r>
          </w:p>
        </w:tc>
        <w:tc>
          <w:tcPr>
            <w:tcW w:w="1244" w:type="dxa"/>
            <w:tcBorders>
              <w:top w:val="nil"/>
              <w:left w:val="nil"/>
              <w:bottom w:val="single" w:sz="4" w:space="0" w:color="auto"/>
              <w:right w:val="single" w:sz="4" w:space="0" w:color="auto"/>
            </w:tcBorders>
            <w:vAlign w:val="center"/>
            <w:hideMark/>
          </w:tcPr>
          <w:p w14:paraId="14EBB3E6"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r w:rsidR="00E46BF4" w:rsidRPr="00E46BF4" w14:paraId="6F5DCCFD"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7CAEA1B3" w14:textId="5EEE88FE"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Hybrid combinations</w:t>
            </w:r>
          </w:p>
        </w:tc>
        <w:tc>
          <w:tcPr>
            <w:tcW w:w="709" w:type="dxa"/>
            <w:tcBorders>
              <w:top w:val="nil"/>
              <w:left w:val="nil"/>
              <w:bottom w:val="single" w:sz="4" w:space="0" w:color="auto"/>
              <w:right w:val="single" w:sz="4" w:space="0" w:color="auto"/>
            </w:tcBorders>
            <w:vAlign w:val="center"/>
            <w:hideMark/>
          </w:tcPr>
          <w:p w14:paraId="527E4537"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27</w:t>
            </w:r>
          </w:p>
        </w:tc>
        <w:tc>
          <w:tcPr>
            <w:tcW w:w="1255" w:type="dxa"/>
            <w:tcBorders>
              <w:top w:val="nil"/>
              <w:left w:val="nil"/>
              <w:bottom w:val="single" w:sz="4" w:space="0" w:color="auto"/>
              <w:right w:val="single" w:sz="4" w:space="0" w:color="auto"/>
            </w:tcBorders>
            <w:vAlign w:val="center"/>
            <w:hideMark/>
          </w:tcPr>
          <w:p w14:paraId="51322C1E"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512.68</w:t>
            </w:r>
          </w:p>
        </w:tc>
        <w:tc>
          <w:tcPr>
            <w:tcW w:w="1132" w:type="dxa"/>
            <w:tcBorders>
              <w:top w:val="nil"/>
              <w:left w:val="nil"/>
              <w:bottom w:val="single" w:sz="4" w:space="0" w:color="auto"/>
              <w:right w:val="single" w:sz="4" w:space="0" w:color="auto"/>
            </w:tcBorders>
            <w:vAlign w:val="center"/>
            <w:hideMark/>
          </w:tcPr>
          <w:p w14:paraId="0CD34C46"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690.36</w:t>
            </w:r>
          </w:p>
        </w:tc>
        <w:tc>
          <w:tcPr>
            <w:tcW w:w="1132" w:type="dxa"/>
            <w:tcBorders>
              <w:top w:val="nil"/>
              <w:left w:val="nil"/>
              <w:bottom w:val="single" w:sz="4" w:space="0" w:color="auto"/>
              <w:right w:val="single" w:sz="4" w:space="0" w:color="auto"/>
            </w:tcBorders>
            <w:vAlign w:val="center"/>
            <w:hideMark/>
          </w:tcPr>
          <w:p w14:paraId="2121D6F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1011.15</w:t>
            </w:r>
          </w:p>
        </w:tc>
        <w:tc>
          <w:tcPr>
            <w:tcW w:w="1132" w:type="dxa"/>
            <w:tcBorders>
              <w:top w:val="nil"/>
              <w:left w:val="nil"/>
              <w:bottom w:val="single" w:sz="4" w:space="0" w:color="auto"/>
              <w:right w:val="single" w:sz="4" w:space="0" w:color="auto"/>
            </w:tcBorders>
            <w:vAlign w:val="center"/>
            <w:hideMark/>
          </w:tcPr>
          <w:p w14:paraId="2A3FE0A0"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2810.29</w:t>
            </w:r>
          </w:p>
        </w:tc>
        <w:tc>
          <w:tcPr>
            <w:tcW w:w="1124" w:type="dxa"/>
            <w:tcBorders>
              <w:top w:val="nil"/>
              <w:left w:val="nil"/>
              <w:bottom w:val="single" w:sz="4" w:space="0" w:color="auto"/>
              <w:right w:val="single" w:sz="4" w:space="0" w:color="auto"/>
            </w:tcBorders>
            <w:vAlign w:val="center"/>
            <w:hideMark/>
          </w:tcPr>
          <w:p w14:paraId="6F992460"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6115774D"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0F8EABB4"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r w:rsidR="00E46BF4" w:rsidRPr="00E46BF4" w14:paraId="43596FC4"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7C8DF361" w14:textId="6E352CFF"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General combining ability (GCA)</w:t>
            </w:r>
          </w:p>
        </w:tc>
        <w:tc>
          <w:tcPr>
            <w:tcW w:w="709" w:type="dxa"/>
            <w:tcBorders>
              <w:top w:val="nil"/>
              <w:left w:val="nil"/>
              <w:bottom w:val="single" w:sz="4" w:space="0" w:color="auto"/>
              <w:right w:val="single" w:sz="4" w:space="0" w:color="auto"/>
            </w:tcBorders>
            <w:vAlign w:val="center"/>
            <w:hideMark/>
          </w:tcPr>
          <w:p w14:paraId="6CBEB89C"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7</w:t>
            </w:r>
          </w:p>
        </w:tc>
        <w:tc>
          <w:tcPr>
            <w:tcW w:w="1255" w:type="dxa"/>
            <w:tcBorders>
              <w:top w:val="nil"/>
              <w:left w:val="nil"/>
              <w:bottom w:val="single" w:sz="4" w:space="0" w:color="auto"/>
              <w:right w:val="single" w:sz="4" w:space="0" w:color="auto"/>
            </w:tcBorders>
            <w:vAlign w:val="center"/>
            <w:hideMark/>
          </w:tcPr>
          <w:p w14:paraId="6BBD39EC"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941.29</w:t>
            </w:r>
          </w:p>
        </w:tc>
        <w:tc>
          <w:tcPr>
            <w:tcW w:w="1132" w:type="dxa"/>
            <w:tcBorders>
              <w:top w:val="nil"/>
              <w:left w:val="nil"/>
              <w:bottom w:val="single" w:sz="4" w:space="0" w:color="auto"/>
              <w:right w:val="single" w:sz="4" w:space="0" w:color="auto"/>
            </w:tcBorders>
            <w:vAlign w:val="center"/>
            <w:hideMark/>
          </w:tcPr>
          <w:p w14:paraId="5563F94F"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1134.20</w:t>
            </w:r>
          </w:p>
        </w:tc>
        <w:tc>
          <w:tcPr>
            <w:tcW w:w="1132" w:type="dxa"/>
            <w:tcBorders>
              <w:top w:val="nil"/>
              <w:left w:val="nil"/>
              <w:bottom w:val="single" w:sz="4" w:space="0" w:color="auto"/>
              <w:right w:val="single" w:sz="4" w:space="0" w:color="auto"/>
            </w:tcBorders>
            <w:vAlign w:val="center"/>
            <w:hideMark/>
          </w:tcPr>
          <w:p w14:paraId="77603F29"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1856.49</w:t>
            </w:r>
          </w:p>
        </w:tc>
        <w:tc>
          <w:tcPr>
            <w:tcW w:w="1132" w:type="dxa"/>
            <w:tcBorders>
              <w:top w:val="nil"/>
              <w:left w:val="nil"/>
              <w:bottom w:val="single" w:sz="4" w:space="0" w:color="auto"/>
              <w:right w:val="single" w:sz="4" w:space="0" w:color="auto"/>
            </w:tcBorders>
            <w:vAlign w:val="center"/>
            <w:hideMark/>
          </w:tcPr>
          <w:p w14:paraId="4264049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4617.06</w:t>
            </w:r>
          </w:p>
        </w:tc>
        <w:tc>
          <w:tcPr>
            <w:tcW w:w="1124" w:type="dxa"/>
            <w:tcBorders>
              <w:top w:val="nil"/>
              <w:left w:val="nil"/>
              <w:bottom w:val="single" w:sz="4" w:space="0" w:color="auto"/>
              <w:right w:val="single" w:sz="4" w:space="0" w:color="auto"/>
            </w:tcBorders>
            <w:vAlign w:val="center"/>
            <w:hideMark/>
          </w:tcPr>
          <w:p w14:paraId="12105ED6"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1912ECA5"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060D3290" w14:textId="05C71EBD" w:rsidR="009F099A" w:rsidRPr="00E46BF4" w:rsidRDefault="009F099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2.39 (</w:t>
            </w:r>
            <w:r w:rsidR="008F00BF">
              <w:rPr>
                <w:rFonts w:ascii="Times New Roman" w:eastAsia="Times New Roman" w:hAnsi="Times New Roman" w:cs="Times New Roman"/>
                <w:b/>
                <w:bCs/>
                <w:color w:val="000000"/>
                <w:kern w:val="0"/>
                <w:sz w:val="20"/>
                <w:szCs w:val="20"/>
                <w14:ligatures w14:val="none"/>
              </w:rPr>
              <w:t>Winter</w:t>
            </w:r>
            <w:r w:rsidRPr="00E46BF4">
              <w:rPr>
                <w:rFonts w:ascii="Times New Roman" w:eastAsia="Times New Roman" w:hAnsi="Times New Roman" w:cs="Times New Roman"/>
                <w:b/>
                <w:bCs/>
                <w:color w:val="000000"/>
                <w:kern w:val="0"/>
                <w:sz w:val="20"/>
                <w:szCs w:val="20"/>
                <w14:ligatures w14:val="none"/>
              </w:rPr>
              <w:t>)</w:t>
            </w:r>
          </w:p>
        </w:tc>
      </w:tr>
      <w:tr w:rsidR="00E46BF4" w:rsidRPr="00E46BF4" w14:paraId="00F72BF5"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5921878C" w14:textId="5F73443F"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Specific combining ability (SCA)</w:t>
            </w:r>
          </w:p>
        </w:tc>
        <w:tc>
          <w:tcPr>
            <w:tcW w:w="709" w:type="dxa"/>
            <w:tcBorders>
              <w:top w:val="nil"/>
              <w:left w:val="nil"/>
              <w:bottom w:val="single" w:sz="4" w:space="0" w:color="auto"/>
              <w:right w:val="single" w:sz="4" w:space="0" w:color="auto"/>
            </w:tcBorders>
            <w:vAlign w:val="center"/>
            <w:hideMark/>
          </w:tcPr>
          <w:p w14:paraId="7659DB6D"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20</w:t>
            </w:r>
          </w:p>
        </w:tc>
        <w:tc>
          <w:tcPr>
            <w:tcW w:w="1255" w:type="dxa"/>
            <w:tcBorders>
              <w:top w:val="nil"/>
              <w:left w:val="nil"/>
              <w:bottom w:val="single" w:sz="4" w:space="0" w:color="auto"/>
              <w:right w:val="single" w:sz="4" w:space="0" w:color="auto"/>
            </w:tcBorders>
            <w:vAlign w:val="center"/>
            <w:hideMark/>
          </w:tcPr>
          <w:p w14:paraId="7043CF11"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394.11</w:t>
            </w:r>
          </w:p>
        </w:tc>
        <w:tc>
          <w:tcPr>
            <w:tcW w:w="1132" w:type="dxa"/>
            <w:tcBorders>
              <w:top w:val="nil"/>
              <w:left w:val="nil"/>
              <w:bottom w:val="single" w:sz="4" w:space="0" w:color="auto"/>
              <w:right w:val="single" w:sz="4" w:space="0" w:color="auto"/>
            </w:tcBorders>
            <w:vAlign w:val="center"/>
            <w:hideMark/>
          </w:tcPr>
          <w:p w14:paraId="746BC3B9"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594.85</w:t>
            </w:r>
          </w:p>
        </w:tc>
        <w:tc>
          <w:tcPr>
            <w:tcW w:w="1132" w:type="dxa"/>
            <w:tcBorders>
              <w:top w:val="nil"/>
              <w:left w:val="nil"/>
              <w:bottom w:val="single" w:sz="4" w:space="0" w:color="auto"/>
              <w:right w:val="single" w:sz="4" w:space="0" w:color="auto"/>
            </w:tcBorders>
            <w:vAlign w:val="center"/>
            <w:hideMark/>
          </w:tcPr>
          <w:p w14:paraId="6540767B"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777.30</w:t>
            </w:r>
          </w:p>
        </w:tc>
        <w:tc>
          <w:tcPr>
            <w:tcW w:w="1132" w:type="dxa"/>
            <w:tcBorders>
              <w:top w:val="nil"/>
              <w:left w:val="nil"/>
              <w:bottom w:val="single" w:sz="4" w:space="0" w:color="auto"/>
              <w:right w:val="single" w:sz="4" w:space="0" w:color="auto"/>
            </w:tcBorders>
            <w:vAlign w:val="center"/>
            <w:hideMark/>
          </w:tcPr>
          <w:p w14:paraId="750E4AA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2421.47</w:t>
            </w:r>
          </w:p>
        </w:tc>
        <w:tc>
          <w:tcPr>
            <w:tcW w:w="1124" w:type="dxa"/>
            <w:tcBorders>
              <w:top w:val="nil"/>
              <w:left w:val="nil"/>
              <w:bottom w:val="single" w:sz="4" w:space="0" w:color="auto"/>
              <w:right w:val="single" w:sz="4" w:space="0" w:color="auto"/>
            </w:tcBorders>
            <w:vAlign w:val="center"/>
            <w:hideMark/>
          </w:tcPr>
          <w:p w14:paraId="40523604"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2CEF196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6BADADF3" w14:textId="758568AF" w:rsidR="009F099A" w:rsidRPr="00E46BF4" w:rsidRDefault="009F099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1.91 (</w:t>
            </w:r>
            <w:r w:rsidR="008F00BF">
              <w:rPr>
                <w:rFonts w:ascii="Times New Roman" w:eastAsia="Times New Roman" w:hAnsi="Times New Roman" w:cs="Times New Roman"/>
                <w:b/>
                <w:bCs/>
                <w:color w:val="000000"/>
                <w:kern w:val="0"/>
                <w:sz w:val="20"/>
                <w:szCs w:val="20"/>
                <w14:ligatures w14:val="none"/>
              </w:rPr>
              <w:t>Spring</w:t>
            </w:r>
            <w:r w:rsidRPr="00E46BF4">
              <w:rPr>
                <w:rFonts w:ascii="Times New Roman" w:eastAsia="Times New Roman" w:hAnsi="Times New Roman" w:cs="Times New Roman"/>
                <w:b/>
                <w:bCs/>
                <w:color w:val="000000"/>
                <w:kern w:val="0"/>
                <w:sz w:val="20"/>
                <w:szCs w:val="20"/>
                <w14:ligatures w14:val="none"/>
              </w:rPr>
              <w:t>)</w:t>
            </w:r>
          </w:p>
        </w:tc>
      </w:tr>
      <w:tr w:rsidR="00E46BF4" w:rsidRPr="00E46BF4" w14:paraId="2EF916D1"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255E000A" w14:textId="5358BA84"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Error</w:t>
            </w:r>
          </w:p>
        </w:tc>
        <w:tc>
          <w:tcPr>
            <w:tcW w:w="709" w:type="dxa"/>
            <w:tcBorders>
              <w:top w:val="nil"/>
              <w:left w:val="nil"/>
              <w:bottom w:val="single" w:sz="4" w:space="0" w:color="auto"/>
              <w:right w:val="single" w:sz="4" w:space="0" w:color="auto"/>
            </w:tcBorders>
            <w:vAlign w:val="center"/>
            <w:hideMark/>
          </w:tcPr>
          <w:p w14:paraId="223455A7"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48</w:t>
            </w:r>
          </w:p>
        </w:tc>
        <w:tc>
          <w:tcPr>
            <w:tcW w:w="1255" w:type="dxa"/>
            <w:tcBorders>
              <w:top w:val="nil"/>
              <w:left w:val="nil"/>
              <w:bottom w:val="single" w:sz="4" w:space="0" w:color="auto"/>
              <w:right w:val="single" w:sz="4" w:space="0" w:color="auto"/>
            </w:tcBorders>
            <w:vAlign w:val="center"/>
            <w:hideMark/>
          </w:tcPr>
          <w:p w14:paraId="4CC6BABA"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0.507</w:t>
            </w:r>
          </w:p>
        </w:tc>
        <w:tc>
          <w:tcPr>
            <w:tcW w:w="1132" w:type="dxa"/>
            <w:tcBorders>
              <w:top w:val="nil"/>
              <w:left w:val="nil"/>
              <w:bottom w:val="single" w:sz="4" w:space="0" w:color="auto"/>
              <w:right w:val="single" w:sz="4" w:space="0" w:color="auto"/>
            </w:tcBorders>
            <w:vAlign w:val="center"/>
            <w:hideMark/>
          </w:tcPr>
          <w:p w14:paraId="7EF64599"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0.246</w:t>
            </w:r>
          </w:p>
        </w:tc>
        <w:tc>
          <w:tcPr>
            <w:tcW w:w="1132" w:type="dxa"/>
            <w:tcBorders>
              <w:top w:val="nil"/>
              <w:left w:val="nil"/>
              <w:bottom w:val="single" w:sz="4" w:space="0" w:color="auto"/>
              <w:right w:val="single" w:sz="4" w:space="0" w:color="auto"/>
            </w:tcBorders>
            <w:vAlign w:val="center"/>
            <w:hideMark/>
          </w:tcPr>
          <w:p w14:paraId="48D906CD"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32" w:type="dxa"/>
            <w:tcBorders>
              <w:top w:val="nil"/>
              <w:left w:val="nil"/>
              <w:bottom w:val="single" w:sz="4" w:space="0" w:color="auto"/>
              <w:right w:val="single" w:sz="4" w:space="0" w:color="auto"/>
            </w:tcBorders>
            <w:vAlign w:val="center"/>
            <w:hideMark/>
          </w:tcPr>
          <w:p w14:paraId="48E6C901"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24" w:type="dxa"/>
            <w:tcBorders>
              <w:top w:val="nil"/>
              <w:left w:val="nil"/>
              <w:bottom w:val="single" w:sz="4" w:space="0" w:color="auto"/>
              <w:right w:val="single" w:sz="4" w:space="0" w:color="auto"/>
            </w:tcBorders>
            <w:vAlign w:val="center"/>
            <w:hideMark/>
          </w:tcPr>
          <w:p w14:paraId="58B9FFBB"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25" w:type="dxa"/>
            <w:tcBorders>
              <w:top w:val="nil"/>
              <w:left w:val="nil"/>
              <w:bottom w:val="single" w:sz="4" w:space="0" w:color="auto"/>
              <w:right w:val="single" w:sz="4" w:space="0" w:color="auto"/>
            </w:tcBorders>
            <w:vAlign w:val="center"/>
            <w:hideMark/>
          </w:tcPr>
          <w:p w14:paraId="72949700"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244" w:type="dxa"/>
            <w:tcBorders>
              <w:top w:val="nil"/>
              <w:left w:val="nil"/>
              <w:bottom w:val="single" w:sz="4" w:space="0" w:color="auto"/>
              <w:right w:val="single" w:sz="4" w:space="0" w:color="auto"/>
            </w:tcBorders>
            <w:vAlign w:val="center"/>
            <w:hideMark/>
          </w:tcPr>
          <w:p w14:paraId="4971D4AF"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bl>
    <w:p w14:paraId="6B3CBD56" w14:textId="77777777" w:rsidR="00440DD4" w:rsidRPr="00311474" w:rsidRDefault="00440DD4">
      <w:pPr>
        <w:rPr>
          <w:rFonts w:ascii="Times New Roman" w:hAnsi="Times New Roman" w:cs="Times New Roman"/>
        </w:rPr>
      </w:pPr>
    </w:p>
    <w:p w14:paraId="39C88AD6"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The analysis of variance revealed that the hybrid combination effect was highly significant in both the Winter 2023 and Spring 2024 seasons (P = 0.000). The F-values were extremely high (1011.15 in Winter and 2810.29 in Spring), indicating the existence of pronounced genetic differences among hybrid combinations for the studied trait. This significant variation reflects the substantial genetic diversity among the parental inbred lines and demonstrates the strong potential for exploiting heterosis within the experimental population. These findings validate the appropriateness of the selected germplasm and the diallel crossing design employed in this study.</w:t>
      </w:r>
    </w:p>
    <w:p w14:paraId="5D8304E3"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The replication effect was not significant in Winter 2023 (P = 0.085), suggesting relatively uniform experimental conditions among blocks during that season. However, in Spring 2024, the replication effect was highly significant (P = 0.001), indicating environmental heterogeneity among blocks, possibly due to fluctuations in temperature, soil moisture, or crop management practices. Nevertheless, the low mean square error (MS error) values in both seasons (0.507 in Winter and 0.246 in Spring) demonstrate high experimental precision, implying that the observed differences were primarily attributable to genetic factors rather than random error.</w:t>
      </w:r>
    </w:p>
    <w:p w14:paraId="065F6DCE"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Combining ability analysis showed that both general combining ability (GCA) and specific combining ability (SCA) effects were highly significant in both seasons (P = 0.000), indicating that the studied trait was governed by both additive gene effects and non-additive gene effects (dominance and epistasis). However, the mean square values of GCA were consistently higher than those of SCA in both seasons. Specifically, in Winter 2023, MS(GCA) = 941.29 was substantially higher than MS(SCA) = 394.11; similarly, in Spring 2024, MS(GCA) = 1134.20 exceeded MS(SCA) = 594.85. The GCA/SCA ratios were 2.39 in Winter and 1.91 in Spring, both greater than unity, confirming the predominant role of additive gene action in controlling the trait.</w:t>
      </w:r>
    </w:p>
    <w:p w14:paraId="16043C8C"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According to quantitative genetic theory, when additive gene effects predominate, most phenotypic variation can be attributed to the accumulation of favorable alleles with additive effects. This has important practical implications for plant breeding, as additive effects are more heritable and respond effectively to selection across generations. Therefore, selecting inbred lines with high GCA values can enhance selection efficiency and shorten the breeding cycle.</w:t>
      </w:r>
    </w:p>
    <w:p w14:paraId="3B938FFD"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Although additive effects were predominant in both seasons, the GCA/SCA ratio decreased from 2.39 in Winter to 1.91 in Spring, suggesting a relatively greater contribution of non-additive effects under Spring conditions. This shift may reflect genotype × environment (G × E) interactions, where environmental variation influences the expression of dominance and epistatic interactions. However, since the GCA/SCA ratio remained above one in both seasons, it can be concluded that the trait was primarily controlled by additive gene action and was less influenced by complex gene interactions.</w:t>
      </w:r>
    </w:p>
    <w:p w14:paraId="2707C18A"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Overall, the results indicate that the experimental population possesses a favorable genetic background for breeding improvement. An appropriate breeding strategy under these conditions would prioritize the selection of parental lines with high GCA values, combined with the accumulation of favorable additive alleles through successive selfing generations to develop superior inbred lines. Furthermore, continued multi-season and multi-location evaluation of promising hybrids is recommended to identify combinations with high stability and wide adaptability for commercial production.</w:t>
      </w:r>
    </w:p>
    <w:p w14:paraId="45240FE5" w14:textId="1BB1276F" w:rsidR="009F099A" w:rsidRPr="00311474" w:rsidRDefault="00E94214" w:rsidP="009F099A">
      <w:pPr>
        <w:jc w:val="center"/>
        <w:rPr>
          <w:rFonts w:ascii="Times New Roman" w:hAnsi="Times New Roman" w:cs="Times New Roman"/>
          <w:b/>
          <w:bCs/>
        </w:rPr>
      </w:pPr>
      <w:r w:rsidRPr="00E94214">
        <w:rPr>
          <w:rFonts w:ascii="Times New Roman" w:hAnsi="Times New Roman" w:cs="Times New Roman"/>
          <w:b/>
          <w:bCs/>
        </w:rPr>
        <w:t xml:space="preserve">Table 2. Summary of </w:t>
      </w:r>
      <w:r>
        <w:rPr>
          <w:rFonts w:ascii="Times New Roman" w:hAnsi="Times New Roman" w:cs="Times New Roman"/>
          <w:b/>
          <w:bCs/>
        </w:rPr>
        <w:t>c</w:t>
      </w:r>
      <w:r w:rsidRPr="00E94214">
        <w:rPr>
          <w:rFonts w:ascii="Times New Roman" w:hAnsi="Times New Roman" w:cs="Times New Roman"/>
          <w:b/>
          <w:bCs/>
        </w:rPr>
        <w:t xml:space="preserve">ombining </w:t>
      </w:r>
      <w:r>
        <w:rPr>
          <w:rFonts w:ascii="Times New Roman" w:hAnsi="Times New Roman" w:cs="Times New Roman"/>
          <w:b/>
          <w:bCs/>
        </w:rPr>
        <w:t>a</w:t>
      </w:r>
      <w:r w:rsidRPr="00E94214">
        <w:rPr>
          <w:rFonts w:ascii="Times New Roman" w:hAnsi="Times New Roman" w:cs="Times New Roman"/>
          <w:b/>
          <w:bCs/>
        </w:rPr>
        <w:t xml:space="preserve">bility of </w:t>
      </w:r>
      <w:r>
        <w:rPr>
          <w:rFonts w:ascii="Times New Roman" w:hAnsi="Times New Roman" w:cs="Times New Roman"/>
          <w:b/>
          <w:bCs/>
        </w:rPr>
        <w:t>p</w:t>
      </w:r>
      <w:r w:rsidRPr="00E94214">
        <w:rPr>
          <w:rFonts w:ascii="Times New Roman" w:hAnsi="Times New Roman" w:cs="Times New Roman"/>
          <w:b/>
          <w:bCs/>
        </w:rPr>
        <w:t xml:space="preserve">arental </w:t>
      </w:r>
      <w:r>
        <w:rPr>
          <w:rFonts w:ascii="Times New Roman" w:hAnsi="Times New Roman" w:cs="Times New Roman"/>
          <w:b/>
          <w:bCs/>
        </w:rPr>
        <w:t>l</w:t>
      </w:r>
      <w:r w:rsidRPr="00E94214">
        <w:rPr>
          <w:rFonts w:ascii="Times New Roman" w:hAnsi="Times New Roman" w:cs="Times New Roman"/>
          <w:b/>
          <w:bCs/>
        </w:rPr>
        <w:t>ines in Winter 2023</w:t>
      </w:r>
    </w:p>
    <w:tbl>
      <w:tblPr>
        <w:tblW w:w="9846" w:type="dxa"/>
        <w:tblLook w:val="04A0" w:firstRow="1" w:lastRow="0" w:firstColumn="1" w:lastColumn="0" w:noHBand="0" w:noVBand="1"/>
      </w:tblPr>
      <w:tblGrid>
        <w:gridCol w:w="1641"/>
        <w:gridCol w:w="1641"/>
        <w:gridCol w:w="1641"/>
        <w:gridCol w:w="1641"/>
        <w:gridCol w:w="1641"/>
        <w:gridCol w:w="1641"/>
      </w:tblGrid>
      <w:tr w:rsidR="009F099A" w:rsidRPr="00311474" w14:paraId="63061FDD" w14:textId="77777777" w:rsidTr="00904207">
        <w:trPr>
          <w:trHeight w:val="849"/>
        </w:trPr>
        <w:tc>
          <w:tcPr>
            <w:tcW w:w="1641" w:type="dxa"/>
            <w:tcBorders>
              <w:top w:val="single" w:sz="4" w:space="0" w:color="auto"/>
              <w:left w:val="single" w:sz="4" w:space="0" w:color="auto"/>
              <w:bottom w:val="single" w:sz="4" w:space="0" w:color="auto"/>
              <w:right w:val="single" w:sz="4" w:space="0" w:color="auto"/>
            </w:tcBorders>
            <w:vAlign w:val="center"/>
            <w:hideMark/>
          </w:tcPr>
          <w:p w14:paraId="138298CA" w14:textId="19E2EAE4" w:rsidR="009F099A" w:rsidRPr="00311474" w:rsidRDefault="004D5B20"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4D5B20">
              <w:rPr>
                <w:rFonts w:ascii="Times New Roman" w:eastAsia="Times New Roman" w:hAnsi="Times New Roman" w:cs="Times New Roman"/>
                <w:b/>
                <w:bCs/>
                <w:color w:val="000000"/>
                <w:kern w:val="0"/>
                <w:sz w:val="22"/>
                <w:szCs w:val="22"/>
                <w14:ligatures w14:val="none"/>
              </w:rPr>
              <w:t>Parental line</w:t>
            </w:r>
          </w:p>
        </w:tc>
        <w:tc>
          <w:tcPr>
            <w:tcW w:w="1641" w:type="dxa"/>
            <w:tcBorders>
              <w:top w:val="single" w:sz="4" w:space="0" w:color="auto"/>
              <w:left w:val="nil"/>
              <w:bottom w:val="single" w:sz="4" w:space="0" w:color="auto"/>
              <w:right w:val="single" w:sz="4" w:space="0" w:color="auto"/>
            </w:tcBorders>
            <w:vAlign w:val="center"/>
            <w:hideMark/>
          </w:tcPr>
          <w:p w14:paraId="142C33A2" w14:textId="77777777" w:rsidR="009F099A" w:rsidRPr="00311474" w:rsidRDefault="009F099A"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GCA (ĝj)</w:t>
            </w:r>
          </w:p>
        </w:tc>
        <w:tc>
          <w:tcPr>
            <w:tcW w:w="1641" w:type="dxa"/>
            <w:tcBorders>
              <w:top w:val="single" w:sz="4" w:space="0" w:color="auto"/>
              <w:left w:val="nil"/>
              <w:bottom w:val="single" w:sz="4" w:space="0" w:color="auto"/>
              <w:right w:val="single" w:sz="4" w:space="0" w:color="auto"/>
            </w:tcBorders>
            <w:vAlign w:val="center"/>
            <w:hideMark/>
          </w:tcPr>
          <w:p w14:paraId="7EC594CE" w14:textId="77777777" w:rsidR="009F099A" w:rsidRPr="00311474" w:rsidRDefault="009F099A"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σ²Si</w:t>
            </w:r>
          </w:p>
        </w:tc>
        <w:tc>
          <w:tcPr>
            <w:tcW w:w="1641" w:type="dxa"/>
            <w:tcBorders>
              <w:top w:val="single" w:sz="4" w:space="0" w:color="auto"/>
              <w:left w:val="nil"/>
              <w:bottom w:val="single" w:sz="4" w:space="0" w:color="auto"/>
              <w:right w:val="single" w:sz="4" w:space="0" w:color="auto"/>
            </w:tcBorders>
            <w:vAlign w:val="center"/>
            <w:hideMark/>
          </w:tcPr>
          <w:p w14:paraId="7CEAA38F" w14:textId="316FBD22" w:rsidR="009F099A" w:rsidRPr="00311474" w:rsidRDefault="00E94214"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GCA classification</w:t>
            </w:r>
          </w:p>
        </w:tc>
        <w:tc>
          <w:tcPr>
            <w:tcW w:w="1641" w:type="dxa"/>
            <w:tcBorders>
              <w:top w:val="single" w:sz="4" w:space="0" w:color="auto"/>
              <w:left w:val="nil"/>
              <w:bottom w:val="single" w:sz="4" w:space="0" w:color="auto"/>
              <w:right w:val="single" w:sz="4" w:space="0" w:color="auto"/>
            </w:tcBorders>
            <w:vAlign w:val="center"/>
            <w:hideMark/>
          </w:tcPr>
          <w:p w14:paraId="5091A78C" w14:textId="24A42A09" w:rsidR="009F099A" w:rsidRPr="00311474" w:rsidRDefault="00E94214"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Highest SCA combination</w:t>
            </w:r>
          </w:p>
        </w:tc>
        <w:tc>
          <w:tcPr>
            <w:tcW w:w="1641" w:type="dxa"/>
            <w:tcBorders>
              <w:top w:val="single" w:sz="4" w:space="0" w:color="auto"/>
              <w:left w:val="nil"/>
              <w:bottom w:val="single" w:sz="4" w:space="0" w:color="auto"/>
              <w:right w:val="single" w:sz="4" w:space="0" w:color="auto"/>
            </w:tcBorders>
            <w:vAlign w:val="center"/>
            <w:hideMark/>
          </w:tcPr>
          <w:p w14:paraId="7ED596C6" w14:textId="724CB15C" w:rsidR="009F099A" w:rsidRPr="00311474" w:rsidRDefault="00E94214"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SCA value</w:t>
            </w:r>
          </w:p>
        </w:tc>
      </w:tr>
      <w:tr w:rsidR="009F099A" w:rsidRPr="00311474" w14:paraId="3D3750BC"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7D015DE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w:t>
            </w:r>
          </w:p>
        </w:tc>
        <w:tc>
          <w:tcPr>
            <w:tcW w:w="1641" w:type="dxa"/>
            <w:tcBorders>
              <w:top w:val="nil"/>
              <w:left w:val="nil"/>
              <w:bottom w:val="single" w:sz="4" w:space="0" w:color="auto"/>
              <w:right w:val="single" w:sz="4" w:space="0" w:color="auto"/>
            </w:tcBorders>
            <w:vAlign w:val="center"/>
            <w:hideMark/>
          </w:tcPr>
          <w:p w14:paraId="387BD04A"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+0.617</w:t>
            </w:r>
          </w:p>
        </w:tc>
        <w:tc>
          <w:tcPr>
            <w:tcW w:w="1641" w:type="dxa"/>
            <w:tcBorders>
              <w:top w:val="nil"/>
              <w:left w:val="nil"/>
              <w:bottom w:val="single" w:sz="4" w:space="0" w:color="auto"/>
              <w:right w:val="single" w:sz="4" w:space="0" w:color="auto"/>
            </w:tcBorders>
            <w:vAlign w:val="center"/>
            <w:hideMark/>
          </w:tcPr>
          <w:p w14:paraId="00F2866C"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0.273</w:t>
            </w:r>
          </w:p>
        </w:tc>
        <w:tc>
          <w:tcPr>
            <w:tcW w:w="1641" w:type="dxa"/>
            <w:tcBorders>
              <w:top w:val="nil"/>
              <w:left w:val="nil"/>
              <w:bottom w:val="single" w:sz="4" w:space="0" w:color="auto"/>
              <w:right w:val="single" w:sz="4" w:space="0" w:color="auto"/>
            </w:tcBorders>
            <w:vAlign w:val="center"/>
            <w:hideMark/>
          </w:tcPr>
          <w:p w14:paraId="731B810C" w14:textId="6A20C263"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Very good</w:t>
            </w:r>
          </w:p>
        </w:tc>
        <w:tc>
          <w:tcPr>
            <w:tcW w:w="1641" w:type="dxa"/>
            <w:tcBorders>
              <w:top w:val="nil"/>
              <w:left w:val="nil"/>
              <w:bottom w:val="single" w:sz="4" w:space="0" w:color="auto"/>
              <w:right w:val="single" w:sz="4" w:space="0" w:color="auto"/>
            </w:tcBorders>
            <w:vAlign w:val="center"/>
            <w:hideMark/>
          </w:tcPr>
          <w:p w14:paraId="0132A2D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N51</w:t>
            </w:r>
          </w:p>
        </w:tc>
        <w:tc>
          <w:tcPr>
            <w:tcW w:w="1641" w:type="dxa"/>
            <w:tcBorders>
              <w:top w:val="nil"/>
              <w:left w:val="nil"/>
              <w:bottom w:val="single" w:sz="4" w:space="0" w:color="auto"/>
              <w:right w:val="single" w:sz="4" w:space="0" w:color="auto"/>
            </w:tcBorders>
            <w:vAlign w:val="center"/>
            <w:hideMark/>
          </w:tcPr>
          <w:p w14:paraId="0E9D223E"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156.190</w:t>
            </w:r>
          </w:p>
        </w:tc>
      </w:tr>
      <w:tr w:rsidR="009F099A" w:rsidRPr="00311474" w14:paraId="73D63906"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0E2101B9"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w:t>
            </w:r>
          </w:p>
        </w:tc>
        <w:tc>
          <w:tcPr>
            <w:tcW w:w="1641" w:type="dxa"/>
            <w:tcBorders>
              <w:top w:val="nil"/>
              <w:left w:val="nil"/>
              <w:bottom w:val="single" w:sz="4" w:space="0" w:color="auto"/>
              <w:right w:val="single" w:sz="4" w:space="0" w:color="auto"/>
            </w:tcBorders>
            <w:vAlign w:val="center"/>
            <w:hideMark/>
          </w:tcPr>
          <w:p w14:paraId="234BC1A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+0.475</w:t>
            </w:r>
          </w:p>
        </w:tc>
        <w:tc>
          <w:tcPr>
            <w:tcW w:w="1641" w:type="dxa"/>
            <w:tcBorders>
              <w:top w:val="nil"/>
              <w:left w:val="nil"/>
              <w:bottom w:val="single" w:sz="4" w:space="0" w:color="auto"/>
              <w:right w:val="single" w:sz="4" w:space="0" w:color="auto"/>
            </w:tcBorders>
            <w:vAlign w:val="center"/>
            <w:hideMark/>
          </w:tcPr>
          <w:p w14:paraId="2C517E16"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0.190</w:t>
            </w:r>
          </w:p>
        </w:tc>
        <w:tc>
          <w:tcPr>
            <w:tcW w:w="1641" w:type="dxa"/>
            <w:tcBorders>
              <w:top w:val="nil"/>
              <w:left w:val="nil"/>
              <w:bottom w:val="single" w:sz="4" w:space="0" w:color="auto"/>
              <w:right w:val="single" w:sz="4" w:space="0" w:color="auto"/>
            </w:tcBorders>
            <w:vAlign w:val="center"/>
            <w:hideMark/>
          </w:tcPr>
          <w:p w14:paraId="4D5ED7FA" w14:textId="0F86699A" w:rsidR="00E94214" w:rsidRPr="00311474" w:rsidRDefault="00E94214" w:rsidP="00E9421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Good</w:t>
            </w:r>
          </w:p>
        </w:tc>
        <w:tc>
          <w:tcPr>
            <w:tcW w:w="1641" w:type="dxa"/>
            <w:tcBorders>
              <w:top w:val="nil"/>
              <w:left w:val="nil"/>
              <w:bottom w:val="single" w:sz="4" w:space="0" w:color="auto"/>
              <w:right w:val="single" w:sz="4" w:space="0" w:color="auto"/>
            </w:tcBorders>
            <w:vAlign w:val="center"/>
            <w:hideMark/>
          </w:tcPr>
          <w:p w14:paraId="4A905E52"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N02</w:t>
            </w:r>
          </w:p>
        </w:tc>
        <w:tc>
          <w:tcPr>
            <w:tcW w:w="1641" w:type="dxa"/>
            <w:tcBorders>
              <w:top w:val="nil"/>
              <w:left w:val="nil"/>
              <w:bottom w:val="single" w:sz="4" w:space="0" w:color="auto"/>
              <w:right w:val="single" w:sz="4" w:space="0" w:color="auto"/>
            </w:tcBorders>
            <w:vAlign w:val="center"/>
            <w:hideMark/>
          </w:tcPr>
          <w:p w14:paraId="1F7F5B17"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0.688</w:t>
            </w:r>
          </w:p>
        </w:tc>
      </w:tr>
      <w:tr w:rsidR="009F099A" w:rsidRPr="00311474" w14:paraId="7F2B6EC0"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7C5699CE"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w:t>
            </w:r>
          </w:p>
        </w:tc>
        <w:tc>
          <w:tcPr>
            <w:tcW w:w="1641" w:type="dxa"/>
            <w:tcBorders>
              <w:top w:val="nil"/>
              <w:left w:val="nil"/>
              <w:bottom w:val="single" w:sz="4" w:space="0" w:color="auto"/>
              <w:right w:val="single" w:sz="4" w:space="0" w:color="auto"/>
            </w:tcBorders>
            <w:vAlign w:val="center"/>
            <w:hideMark/>
          </w:tcPr>
          <w:p w14:paraId="2157732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+0.158</w:t>
            </w:r>
          </w:p>
        </w:tc>
        <w:tc>
          <w:tcPr>
            <w:tcW w:w="1641" w:type="dxa"/>
            <w:tcBorders>
              <w:top w:val="nil"/>
              <w:left w:val="nil"/>
              <w:bottom w:val="single" w:sz="4" w:space="0" w:color="auto"/>
              <w:right w:val="single" w:sz="4" w:space="0" w:color="auto"/>
            </w:tcBorders>
            <w:vAlign w:val="center"/>
            <w:hideMark/>
          </w:tcPr>
          <w:p w14:paraId="32E8F6EF"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0.252</w:t>
            </w:r>
          </w:p>
        </w:tc>
        <w:tc>
          <w:tcPr>
            <w:tcW w:w="1641" w:type="dxa"/>
            <w:tcBorders>
              <w:top w:val="nil"/>
              <w:left w:val="nil"/>
              <w:bottom w:val="single" w:sz="4" w:space="0" w:color="auto"/>
              <w:right w:val="single" w:sz="4" w:space="0" w:color="auto"/>
            </w:tcBorders>
            <w:vAlign w:val="center"/>
            <w:hideMark/>
          </w:tcPr>
          <w:p w14:paraId="2E55F3E9" w14:textId="1AD9D25D"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641" w:type="dxa"/>
            <w:tcBorders>
              <w:top w:val="nil"/>
              <w:left w:val="nil"/>
              <w:bottom w:val="single" w:sz="4" w:space="0" w:color="auto"/>
              <w:right w:val="single" w:sz="4" w:space="0" w:color="auto"/>
            </w:tcBorders>
            <w:vAlign w:val="center"/>
            <w:hideMark/>
          </w:tcPr>
          <w:p w14:paraId="327AF741"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 × N02</w:t>
            </w:r>
          </w:p>
        </w:tc>
        <w:tc>
          <w:tcPr>
            <w:tcW w:w="1641" w:type="dxa"/>
            <w:tcBorders>
              <w:top w:val="nil"/>
              <w:left w:val="nil"/>
              <w:bottom w:val="single" w:sz="4" w:space="0" w:color="auto"/>
              <w:right w:val="single" w:sz="4" w:space="0" w:color="auto"/>
            </w:tcBorders>
            <w:vAlign w:val="center"/>
            <w:hideMark/>
          </w:tcPr>
          <w:p w14:paraId="326C48A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122.143</w:t>
            </w:r>
          </w:p>
        </w:tc>
      </w:tr>
      <w:tr w:rsidR="009F099A" w:rsidRPr="00311474" w14:paraId="59536DC0"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4044BE47"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w:t>
            </w:r>
          </w:p>
        </w:tc>
        <w:tc>
          <w:tcPr>
            <w:tcW w:w="1641" w:type="dxa"/>
            <w:tcBorders>
              <w:top w:val="nil"/>
              <w:left w:val="nil"/>
              <w:bottom w:val="single" w:sz="4" w:space="0" w:color="auto"/>
              <w:right w:val="single" w:sz="4" w:space="0" w:color="auto"/>
            </w:tcBorders>
            <w:vAlign w:val="center"/>
            <w:hideMark/>
          </w:tcPr>
          <w:p w14:paraId="28446D7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+0.142</w:t>
            </w:r>
          </w:p>
        </w:tc>
        <w:tc>
          <w:tcPr>
            <w:tcW w:w="1641" w:type="dxa"/>
            <w:tcBorders>
              <w:top w:val="nil"/>
              <w:left w:val="nil"/>
              <w:bottom w:val="single" w:sz="4" w:space="0" w:color="auto"/>
              <w:right w:val="single" w:sz="4" w:space="0" w:color="auto"/>
            </w:tcBorders>
            <w:vAlign w:val="center"/>
            <w:hideMark/>
          </w:tcPr>
          <w:p w14:paraId="6427D5C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-0.047</w:t>
            </w:r>
          </w:p>
        </w:tc>
        <w:tc>
          <w:tcPr>
            <w:tcW w:w="1641" w:type="dxa"/>
            <w:tcBorders>
              <w:top w:val="nil"/>
              <w:left w:val="nil"/>
              <w:bottom w:val="single" w:sz="4" w:space="0" w:color="auto"/>
              <w:right w:val="single" w:sz="4" w:space="0" w:color="auto"/>
            </w:tcBorders>
            <w:vAlign w:val="center"/>
            <w:hideMark/>
          </w:tcPr>
          <w:p w14:paraId="6742116E" w14:textId="15E3A061"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641" w:type="dxa"/>
            <w:tcBorders>
              <w:top w:val="nil"/>
              <w:left w:val="nil"/>
              <w:bottom w:val="single" w:sz="4" w:space="0" w:color="auto"/>
              <w:right w:val="single" w:sz="4" w:space="0" w:color="auto"/>
            </w:tcBorders>
            <w:vAlign w:val="center"/>
            <w:hideMark/>
          </w:tcPr>
          <w:p w14:paraId="6CA3A1BE"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D666</w:t>
            </w:r>
          </w:p>
        </w:tc>
        <w:tc>
          <w:tcPr>
            <w:tcW w:w="1641" w:type="dxa"/>
            <w:tcBorders>
              <w:top w:val="nil"/>
              <w:left w:val="nil"/>
              <w:bottom w:val="single" w:sz="4" w:space="0" w:color="auto"/>
              <w:right w:val="single" w:sz="4" w:space="0" w:color="auto"/>
            </w:tcBorders>
            <w:vAlign w:val="center"/>
            <w:hideMark/>
          </w:tcPr>
          <w:p w14:paraId="5C80EEB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0.838</w:t>
            </w:r>
          </w:p>
        </w:tc>
      </w:tr>
      <w:tr w:rsidR="009F099A" w:rsidRPr="00311474" w14:paraId="58774F69"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70A63537"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w:t>
            </w:r>
          </w:p>
        </w:tc>
        <w:tc>
          <w:tcPr>
            <w:tcW w:w="1641" w:type="dxa"/>
            <w:tcBorders>
              <w:top w:val="nil"/>
              <w:left w:val="nil"/>
              <w:bottom w:val="single" w:sz="4" w:space="0" w:color="auto"/>
              <w:right w:val="single" w:sz="4" w:space="0" w:color="auto"/>
            </w:tcBorders>
            <w:vAlign w:val="center"/>
            <w:hideMark/>
          </w:tcPr>
          <w:p w14:paraId="33547059"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-0.183</w:t>
            </w:r>
          </w:p>
        </w:tc>
        <w:tc>
          <w:tcPr>
            <w:tcW w:w="1641" w:type="dxa"/>
            <w:tcBorders>
              <w:top w:val="nil"/>
              <w:left w:val="nil"/>
              <w:bottom w:val="single" w:sz="4" w:space="0" w:color="auto"/>
              <w:right w:val="single" w:sz="4" w:space="0" w:color="auto"/>
            </w:tcBorders>
            <w:vAlign w:val="center"/>
            <w:hideMark/>
          </w:tcPr>
          <w:p w14:paraId="4966D96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1.869</w:t>
            </w:r>
          </w:p>
        </w:tc>
        <w:tc>
          <w:tcPr>
            <w:tcW w:w="1641" w:type="dxa"/>
            <w:tcBorders>
              <w:top w:val="nil"/>
              <w:left w:val="nil"/>
              <w:bottom w:val="single" w:sz="4" w:space="0" w:color="auto"/>
              <w:right w:val="single" w:sz="4" w:space="0" w:color="auto"/>
            </w:tcBorders>
            <w:vAlign w:val="center"/>
            <w:hideMark/>
          </w:tcPr>
          <w:p w14:paraId="09B0154D" w14:textId="019E82A3"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432DD14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641" w:type="dxa"/>
            <w:tcBorders>
              <w:top w:val="nil"/>
              <w:left w:val="nil"/>
              <w:bottom w:val="single" w:sz="4" w:space="0" w:color="auto"/>
              <w:right w:val="single" w:sz="4" w:space="0" w:color="auto"/>
            </w:tcBorders>
            <w:vAlign w:val="center"/>
            <w:hideMark/>
          </w:tcPr>
          <w:p w14:paraId="4FC1CA36"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170.476</w:t>
            </w:r>
          </w:p>
        </w:tc>
      </w:tr>
      <w:tr w:rsidR="009F099A" w:rsidRPr="00311474" w14:paraId="174D7E87"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742E4828"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w:t>
            </w:r>
          </w:p>
        </w:tc>
        <w:tc>
          <w:tcPr>
            <w:tcW w:w="1641" w:type="dxa"/>
            <w:tcBorders>
              <w:top w:val="nil"/>
              <w:left w:val="nil"/>
              <w:bottom w:val="single" w:sz="4" w:space="0" w:color="auto"/>
              <w:right w:val="single" w:sz="4" w:space="0" w:color="auto"/>
            </w:tcBorders>
            <w:vAlign w:val="center"/>
            <w:hideMark/>
          </w:tcPr>
          <w:p w14:paraId="2E931EA5"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-0.292</w:t>
            </w:r>
          </w:p>
        </w:tc>
        <w:tc>
          <w:tcPr>
            <w:tcW w:w="1641" w:type="dxa"/>
            <w:tcBorders>
              <w:top w:val="nil"/>
              <w:left w:val="nil"/>
              <w:bottom w:val="single" w:sz="4" w:space="0" w:color="auto"/>
              <w:right w:val="single" w:sz="4" w:space="0" w:color="auto"/>
            </w:tcBorders>
            <w:vAlign w:val="center"/>
            <w:hideMark/>
          </w:tcPr>
          <w:p w14:paraId="5D0B5A02"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0.336</w:t>
            </w:r>
          </w:p>
        </w:tc>
        <w:tc>
          <w:tcPr>
            <w:tcW w:w="1641" w:type="dxa"/>
            <w:tcBorders>
              <w:top w:val="nil"/>
              <w:left w:val="nil"/>
              <w:bottom w:val="single" w:sz="4" w:space="0" w:color="auto"/>
              <w:right w:val="single" w:sz="4" w:space="0" w:color="auto"/>
            </w:tcBorders>
            <w:vAlign w:val="center"/>
            <w:hideMark/>
          </w:tcPr>
          <w:p w14:paraId="1788F62A" w14:textId="46CD8212"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7C58714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N51</w:t>
            </w:r>
          </w:p>
        </w:tc>
        <w:tc>
          <w:tcPr>
            <w:tcW w:w="1641" w:type="dxa"/>
            <w:tcBorders>
              <w:top w:val="nil"/>
              <w:left w:val="nil"/>
              <w:bottom w:val="single" w:sz="4" w:space="0" w:color="auto"/>
              <w:right w:val="single" w:sz="4" w:space="0" w:color="auto"/>
            </w:tcBorders>
            <w:vAlign w:val="center"/>
            <w:hideMark/>
          </w:tcPr>
          <w:p w14:paraId="67FE0688"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157.143</w:t>
            </w:r>
          </w:p>
        </w:tc>
      </w:tr>
      <w:tr w:rsidR="009F099A" w:rsidRPr="00311474" w14:paraId="22A816BD"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12FBC2D5"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w:t>
            </w:r>
          </w:p>
        </w:tc>
        <w:tc>
          <w:tcPr>
            <w:tcW w:w="1641" w:type="dxa"/>
            <w:tcBorders>
              <w:top w:val="nil"/>
              <w:left w:val="nil"/>
              <w:bottom w:val="single" w:sz="4" w:space="0" w:color="auto"/>
              <w:right w:val="single" w:sz="4" w:space="0" w:color="auto"/>
            </w:tcBorders>
            <w:vAlign w:val="center"/>
            <w:hideMark/>
          </w:tcPr>
          <w:p w14:paraId="5F6E2B49"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-0.383</w:t>
            </w:r>
          </w:p>
        </w:tc>
        <w:tc>
          <w:tcPr>
            <w:tcW w:w="1641" w:type="dxa"/>
            <w:tcBorders>
              <w:top w:val="nil"/>
              <w:left w:val="nil"/>
              <w:bottom w:val="single" w:sz="4" w:space="0" w:color="auto"/>
              <w:right w:val="single" w:sz="4" w:space="0" w:color="auto"/>
            </w:tcBorders>
            <w:vAlign w:val="center"/>
            <w:hideMark/>
          </w:tcPr>
          <w:p w14:paraId="207F7B6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-0.204</w:t>
            </w:r>
          </w:p>
        </w:tc>
        <w:tc>
          <w:tcPr>
            <w:tcW w:w="1641" w:type="dxa"/>
            <w:tcBorders>
              <w:top w:val="nil"/>
              <w:left w:val="nil"/>
              <w:bottom w:val="single" w:sz="4" w:space="0" w:color="auto"/>
              <w:right w:val="single" w:sz="4" w:space="0" w:color="auto"/>
            </w:tcBorders>
            <w:vAlign w:val="center"/>
            <w:hideMark/>
          </w:tcPr>
          <w:p w14:paraId="55AE80ED" w14:textId="2776FC5F"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2294E1C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1641" w:type="dxa"/>
            <w:tcBorders>
              <w:top w:val="nil"/>
              <w:left w:val="nil"/>
              <w:bottom w:val="single" w:sz="4" w:space="0" w:color="auto"/>
              <w:right w:val="single" w:sz="4" w:space="0" w:color="auto"/>
            </w:tcBorders>
            <w:vAlign w:val="center"/>
            <w:hideMark/>
          </w:tcPr>
          <w:p w14:paraId="44A5AB4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156.190</w:t>
            </w:r>
          </w:p>
        </w:tc>
      </w:tr>
      <w:tr w:rsidR="009F099A" w:rsidRPr="00311474" w14:paraId="06AEEF43"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257D0BA1"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w:t>
            </w:r>
          </w:p>
        </w:tc>
        <w:tc>
          <w:tcPr>
            <w:tcW w:w="1641" w:type="dxa"/>
            <w:tcBorders>
              <w:top w:val="nil"/>
              <w:left w:val="nil"/>
              <w:bottom w:val="single" w:sz="4" w:space="0" w:color="auto"/>
              <w:right w:val="single" w:sz="4" w:space="0" w:color="auto"/>
            </w:tcBorders>
            <w:vAlign w:val="center"/>
            <w:hideMark/>
          </w:tcPr>
          <w:p w14:paraId="4933F77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-0.533</w:t>
            </w:r>
          </w:p>
        </w:tc>
        <w:tc>
          <w:tcPr>
            <w:tcW w:w="1641" w:type="dxa"/>
            <w:tcBorders>
              <w:top w:val="nil"/>
              <w:left w:val="nil"/>
              <w:bottom w:val="single" w:sz="4" w:space="0" w:color="auto"/>
              <w:right w:val="single" w:sz="4" w:space="0" w:color="auto"/>
            </w:tcBorders>
            <w:vAlign w:val="center"/>
            <w:hideMark/>
          </w:tcPr>
          <w:p w14:paraId="69A9006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0.165</w:t>
            </w:r>
          </w:p>
        </w:tc>
        <w:tc>
          <w:tcPr>
            <w:tcW w:w="1641" w:type="dxa"/>
            <w:tcBorders>
              <w:top w:val="nil"/>
              <w:left w:val="nil"/>
              <w:bottom w:val="single" w:sz="4" w:space="0" w:color="auto"/>
              <w:right w:val="single" w:sz="4" w:space="0" w:color="auto"/>
            </w:tcBorders>
            <w:vAlign w:val="center"/>
            <w:hideMark/>
          </w:tcPr>
          <w:p w14:paraId="1381FC90" w14:textId="504EE184"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Very p</w:t>
            </w:r>
            <w:r w:rsidRPr="00E94214">
              <w:rPr>
                <w:rFonts w:ascii="Times New Roman" w:eastAsia="Times New Roman" w:hAnsi="Times New Roman" w:cs="Times New Roman"/>
                <w:color w:val="000000"/>
                <w:kern w:val="0"/>
                <w:sz w:val="22"/>
                <w:szCs w:val="22"/>
                <w14:ligatures w14:val="none"/>
              </w:rPr>
              <w:t>oor</w:t>
            </w:r>
          </w:p>
        </w:tc>
        <w:tc>
          <w:tcPr>
            <w:tcW w:w="1641" w:type="dxa"/>
            <w:tcBorders>
              <w:top w:val="nil"/>
              <w:left w:val="nil"/>
              <w:bottom w:val="single" w:sz="4" w:space="0" w:color="auto"/>
              <w:right w:val="single" w:sz="4" w:space="0" w:color="auto"/>
            </w:tcBorders>
            <w:vAlign w:val="center"/>
            <w:hideMark/>
          </w:tcPr>
          <w:p w14:paraId="7CC2E52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N7B</w:t>
            </w:r>
          </w:p>
        </w:tc>
        <w:tc>
          <w:tcPr>
            <w:tcW w:w="1641" w:type="dxa"/>
            <w:tcBorders>
              <w:top w:val="nil"/>
              <w:left w:val="nil"/>
              <w:bottom w:val="single" w:sz="4" w:space="0" w:color="auto"/>
              <w:right w:val="single" w:sz="4" w:space="0" w:color="auto"/>
            </w:tcBorders>
            <w:vAlign w:val="center"/>
            <w:hideMark/>
          </w:tcPr>
          <w:p w14:paraId="5BDEA00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140.476</w:t>
            </w:r>
          </w:p>
        </w:tc>
      </w:tr>
    </w:tbl>
    <w:p w14:paraId="7AEF8846" w14:textId="77777777" w:rsidR="009F099A" w:rsidRPr="00311474" w:rsidRDefault="009F099A">
      <w:pPr>
        <w:rPr>
          <w:rFonts w:ascii="Times New Roman" w:hAnsi="Times New Roman" w:cs="Times New Roman"/>
        </w:rPr>
      </w:pPr>
    </w:p>
    <w:p w14:paraId="7A39BE87"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The combining ability analysis of parental lines in the Winter 2023 season revealed clear differences in general combining ability (GCA) among the eight inbred lines. Among them, line N02 exhibited the highest GCA effect (ĝj = +0.617) and was classified as “very good,” indicating its strong and stable capacity to transmit favorable alleles to hybrid progenies. The second highest GCA value was observed in N59 (ĝj = +0.475), rated as “good,” followed by N15 (+0.158) and N19 (+0.142), which were categorized as “fair.” The positive GCA values of these lines suggest that they possess a high frequency of favorable additive alleles contributing positively to the studied trait, thus demonstrating strong potential as parental lines in hybrid breeding programs.</w:t>
      </w:r>
    </w:p>
    <w:p w14:paraId="144F41FF"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In contrast, lines N7B (−0.183), D666 (−0.292), N51 (−0.383), and particularly N27 (−0.533) showed negative GCA effects, indicating below-average contributions of favorable </w:t>
      </w:r>
      <w:r w:rsidRPr="009F099A">
        <w:rPr>
          <w:rFonts w:ascii="Times New Roman" w:hAnsi="Times New Roman" w:cs="Times New Roman"/>
        </w:rPr>
        <w:lastRenderedPageBreak/>
        <w:t>additive genes relative to the population mean. Line N27, classified as “very poor,” exhibited limited additive genetic value for the trait under investigation. However, it is important to note that a negative GCA value does not necessarily imply a lack of breeding utility, as hybrid performance also depends on specific combining ability (SCA).</w:t>
      </w:r>
    </w:p>
    <w:p w14:paraId="3FA39E57"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The analysis of variance components (σ²Si) revealed differential contributions of parental lines to SCA variation. Lines such as N7B (1.869) and D666 (0.336) exhibited relatively high σ²Si values, suggesting their potential to participate in highly heterotic hybrid combinations despite having low GCA values. This finding highlights the importance of non-additive gene effects (dominance and/or epistasis) in certain specific crosses. Conversely, lines with negative or near-zero σ²Si values (e.g., N19 and N51) showed limited contribution to SCA variation, indicating that their hybrid performance largely depended on additive gene effects.</w:t>
      </w:r>
    </w:p>
    <w:p w14:paraId="02FE4D1F"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Regarding specific combining ability, several hybrid combinations exhibited remarkably high SCA effects. Notably, N02 × N51 (156.190) and N7B × N02 (170.476) showed exceptionally large SCA values, indicating strong favorable genetic interactions between these parental pairs. Although N7B and N51 had negative GCA values, their crosses with N02 (a line with very high GCA) resulted in pronounced heterotic effects. This demonstrates that genetic complementation between lines with divergent genetic backgrounds can generate strong dominance or epistatic interactions, thereby enhancing SCA effects.</w:t>
      </w:r>
    </w:p>
    <w:p w14:paraId="70E145BF"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Additionally, the combinations N15 × N02 (122.143) and D666 × N51 (157.143) also exhibited high SCA values, suggesting significant heterosis potential in crosses involving complementary parental backgrounds. The frequent occurrence of N02 in high-SCA combinations further underscores its central role in the breeding program and confirms its importance as a key parental line for hybrid development.</w:t>
      </w:r>
    </w:p>
    <w:p w14:paraId="6BB0E3A7" w14:textId="012D4AD5" w:rsidR="009F099A" w:rsidRPr="00311474" w:rsidRDefault="00023D90" w:rsidP="009F099A">
      <w:pPr>
        <w:jc w:val="center"/>
        <w:rPr>
          <w:rFonts w:ascii="Times New Roman" w:hAnsi="Times New Roman" w:cs="Times New Roman"/>
          <w:b/>
          <w:bCs/>
        </w:rPr>
      </w:pPr>
      <w:r w:rsidRPr="00023D90">
        <w:rPr>
          <w:rFonts w:ascii="Times New Roman" w:hAnsi="Times New Roman" w:cs="Times New Roman"/>
          <w:b/>
          <w:bCs/>
        </w:rPr>
        <w:t xml:space="preserve">Table 3. Summary of </w:t>
      </w:r>
      <w:r>
        <w:rPr>
          <w:rFonts w:ascii="Times New Roman" w:hAnsi="Times New Roman" w:cs="Times New Roman"/>
          <w:b/>
          <w:bCs/>
        </w:rPr>
        <w:t>c</w:t>
      </w:r>
      <w:r w:rsidRPr="00023D90">
        <w:rPr>
          <w:rFonts w:ascii="Times New Roman" w:hAnsi="Times New Roman" w:cs="Times New Roman"/>
          <w:b/>
          <w:bCs/>
        </w:rPr>
        <w:t xml:space="preserve">ombining </w:t>
      </w:r>
      <w:r>
        <w:rPr>
          <w:rFonts w:ascii="Times New Roman" w:hAnsi="Times New Roman" w:cs="Times New Roman"/>
          <w:b/>
          <w:bCs/>
        </w:rPr>
        <w:t>a</w:t>
      </w:r>
      <w:r w:rsidRPr="00023D90">
        <w:rPr>
          <w:rFonts w:ascii="Times New Roman" w:hAnsi="Times New Roman" w:cs="Times New Roman"/>
          <w:b/>
          <w:bCs/>
        </w:rPr>
        <w:t xml:space="preserve">bility of </w:t>
      </w:r>
      <w:r>
        <w:rPr>
          <w:rFonts w:ascii="Times New Roman" w:hAnsi="Times New Roman" w:cs="Times New Roman"/>
          <w:b/>
          <w:bCs/>
        </w:rPr>
        <w:t>p</w:t>
      </w:r>
      <w:r w:rsidRPr="00023D90">
        <w:rPr>
          <w:rFonts w:ascii="Times New Roman" w:hAnsi="Times New Roman" w:cs="Times New Roman"/>
          <w:b/>
          <w:bCs/>
        </w:rPr>
        <w:t xml:space="preserve">arental </w:t>
      </w:r>
      <w:r>
        <w:rPr>
          <w:rFonts w:ascii="Times New Roman" w:hAnsi="Times New Roman" w:cs="Times New Roman"/>
          <w:b/>
          <w:bCs/>
        </w:rPr>
        <w:t>l</w:t>
      </w:r>
      <w:r w:rsidRPr="00023D90">
        <w:rPr>
          <w:rFonts w:ascii="Times New Roman" w:hAnsi="Times New Roman" w:cs="Times New Roman"/>
          <w:b/>
          <w:bCs/>
        </w:rPr>
        <w:t>ines in Spring 2024</w:t>
      </w:r>
    </w:p>
    <w:tbl>
      <w:tblPr>
        <w:tblW w:w="9672" w:type="dxa"/>
        <w:tblLook w:val="04A0" w:firstRow="1" w:lastRow="0" w:firstColumn="1" w:lastColumn="0" w:noHBand="0" w:noVBand="1"/>
      </w:tblPr>
      <w:tblGrid>
        <w:gridCol w:w="1492"/>
        <w:gridCol w:w="1572"/>
        <w:gridCol w:w="1572"/>
        <w:gridCol w:w="1572"/>
        <w:gridCol w:w="1892"/>
        <w:gridCol w:w="1572"/>
      </w:tblGrid>
      <w:tr w:rsidR="009F099A" w:rsidRPr="00311474" w14:paraId="12DED62E" w14:textId="77777777" w:rsidTr="00904207">
        <w:trPr>
          <w:trHeight w:val="865"/>
        </w:trPr>
        <w:tc>
          <w:tcPr>
            <w:tcW w:w="1492" w:type="dxa"/>
            <w:tcBorders>
              <w:top w:val="single" w:sz="4" w:space="0" w:color="auto"/>
              <w:left w:val="single" w:sz="4" w:space="0" w:color="auto"/>
              <w:bottom w:val="single" w:sz="4" w:space="0" w:color="auto"/>
              <w:right w:val="single" w:sz="4" w:space="0" w:color="auto"/>
            </w:tcBorders>
            <w:vAlign w:val="center"/>
            <w:hideMark/>
          </w:tcPr>
          <w:p w14:paraId="7C1A6F68" w14:textId="2B15A31C" w:rsidR="009F099A" w:rsidRPr="00311474" w:rsidRDefault="004D5B20"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4D5B20">
              <w:rPr>
                <w:rFonts w:ascii="Times New Roman" w:eastAsia="Times New Roman" w:hAnsi="Times New Roman" w:cs="Times New Roman"/>
                <w:b/>
                <w:bCs/>
                <w:color w:val="000000"/>
                <w:kern w:val="0"/>
                <w:sz w:val="22"/>
                <w:szCs w:val="22"/>
                <w14:ligatures w14:val="none"/>
              </w:rPr>
              <w:t>Parental line</w:t>
            </w:r>
          </w:p>
        </w:tc>
        <w:tc>
          <w:tcPr>
            <w:tcW w:w="1572" w:type="dxa"/>
            <w:tcBorders>
              <w:top w:val="single" w:sz="4" w:space="0" w:color="auto"/>
              <w:left w:val="nil"/>
              <w:bottom w:val="single" w:sz="4" w:space="0" w:color="auto"/>
              <w:right w:val="single" w:sz="4" w:space="0" w:color="auto"/>
            </w:tcBorders>
            <w:vAlign w:val="center"/>
            <w:hideMark/>
          </w:tcPr>
          <w:p w14:paraId="1D30DECC" w14:textId="77777777" w:rsidR="009F099A" w:rsidRPr="00311474" w:rsidRDefault="009F099A"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GCA (ĝi)</w:t>
            </w:r>
          </w:p>
        </w:tc>
        <w:tc>
          <w:tcPr>
            <w:tcW w:w="1572" w:type="dxa"/>
            <w:tcBorders>
              <w:top w:val="single" w:sz="4" w:space="0" w:color="auto"/>
              <w:left w:val="nil"/>
              <w:bottom w:val="single" w:sz="4" w:space="0" w:color="auto"/>
              <w:right w:val="single" w:sz="4" w:space="0" w:color="auto"/>
            </w:tcBorders>
            <w:vAlign w:val="center"/>
            <w:hideMark/>
          </w:tcPr>
          <w:p w14:paraId="76DFEEE1" w14:textId="77777777" w:rsidR="009F099A" w:rsidRPr="00311474" w:rsidRDefault="009F099A"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σ²Si</w:t>
            </w:r>
          </w:p>
        </w:tc>
        <w:tc>
          <w:tcPr>
            <w:tcW w:w="1572" w:type="dxa"/>
            <w:tcBorders>
              <w:top w:val="single" w:sz="4" w:space="0" w:color="auto"/>
              <w:left w:val="nil"/>
              <w:bottom w:val="single" w:sz="4" w:space="0" w:color="auto"/>
              <w:right w:val="single" w:sz="4" w:space="0" w:color="auto"/>
            </w:tcBorders>
            <w:vAlign w:val="center"/>
            <w:hideMark/>
          </w:tcPr>
          <w:p w14:paraId="07DC257A" w14:textId="20B01FA5" w:rsidR="009F099A" w:rsidRPr="00311474" w:rsidRDefault="003C47FD"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GCA classification</w:t>
            </w:r>
          </w:p>
        </w:tc>
        <w:tc>
          <w:tcPr>
            <w:tcW w:w="1892" w:type="dxa"/>
            <w:tcBorders>
              <w:top w:val="single" w:sz="4" w:space="0" w:color="auto"/>
              <w:left w:val="nil"/>
              <w:bottom w:val="single" w:sz="4" w:space="0" w:color="auto"/>
              <w:right w:val="single" w:sz="4" w:space="0" w:color="auto"/>
            </w:tcBorders>
            <w:vAlign w:val="center"/>
            <w:hideMark/>
          </w:tcPr>
          <w:p w14:paraId="239676FD" w14:textId="03F9E1BF" w:rsidR="009F099A" w:rsidRPr="00311474" w:rsidRDefault="003C47FD"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Highest SCA combination</w:t>
            </w:r>
          </w:p>
        </w:tc>
        <w:tc>
          <w:tcPr>
            <w:tcW w:w="1572" w:type="dxa"/>
            <w:tcBorders>
              <w:top w:val="single" w:sz="4" w:space="0" w:color="auto"/>
              <w:left w:val="nil"/>
              <w:bottom w:val="single" w:sz="4" w:space="0" w:color="auto"/>
              <w:right w:val="single" w:sz="4" w:space="0" w:color="auto"/>
            </w:tcBorders>
            <w:vAlign w:val="center"/>
            <w:hideMark/>
          </w:tcPr>
          <w:p w14:paraId="5E5F8E31" w14:textId="2D68AB7A" w:rsidR="009F099A" w:rsidRPr="00311474" w:rsidRDefault="003C47FD"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SCA value</w:t>
            </w:r>
          </w:p>
        </w:tc>
      </w:tr>
      <w:tr w:rsidR="000A4B96" w:rsidRPr="00311474" w14:paraId="0BF99ED6"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09CB572A"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w:t>
            </w:r>
          </w:p>
        </w:tc>
        <w:tc>
          <w:tcPr>
            <w:tcW w:w="1572" w:type="dxa"/>
            <w:tcBorders>
              <w:top w:val="nil"/>
              <w:left w:val="nil"/>
              <w:bottom w:val="single" w:sz="4" w:space="0" w:color="auto"/>
              <w:right w:val="single" w:sz="4" w:space="0" w:color="auto"/>
            </w:tcBorders>
            <w:vAlign w:val="center"/>
            <w:hideMark/>
          </w:tcPr>
          <w:p w14:paraId="58DB9F6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+0.564</w:t>
            </w:r>
          </w:p>
        </w:tc>
        <w:tc>
          <w:tcPr>
            <w:tcW w:w="1572" w:type="dxa"/>
            <w:tcBorders>
              <w:top w:val="nil"/>
              <w:left w:val="nil"/>
              <w:bottom w:val="single" w:sz="4" w:space="0" w:color="auto"/>
              <w:right w:val="single" w:sz="4" w:space="0" w:color="auto"/>
            </w:tcBorders>
            <w:vAlign w:val="center"/>
            <w:hideMark/>
          </w:tcPr>
          <w:p w14:paraId="7C80092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0.314</w:t>
            </w:r>
          </w:p>
        </w:tc>
        <w:tc>
          <w:tcPr>
            <w:tcW w:w="1572" w:type="dxa"/>
            <w:tcBorders>
              <w:top w:val="nil"/>
              <w:left w:val="nil"/>
              <w:bottom w:val="single" w:sz="4" w:space="0" w:color="auto"/>
              <w:right w:val="single" w:sz="4" w:space="0" w:color="auto"/>
            </w:tcBorders>
            <w:vAlign w:val="center"/>
            <w:hideMark/>
          </w:tcPr>
          <w:p w14:paraId="56EB7D2C" w14:textId="4604A376"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Very good</w:t>
            </w:r>
          </w:p>
        </w:tc>
        <w:tc>
          <w:tcPr>
            <w:tcW w:w="1892" w:type="dxa"/>
            <w:tcBorders>
              <w:top w:val="nil"/>
              <w:left w:val="nil"/>
              <w:bottom w:val="single" w:sz="4" w:space="0" w:color="auto"/>
              <w:right w:val="single" w:sz="4" w:space="0" w:color="auto"/>
            </w:tcBorders>
            <w:vAlign w:val="center"/>
            <w:hideMark/>
          </w:tcPr>
          <w:p w14:paraId="232DEBC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572" w:type="dxa"/>
            <w:tcBorders>
              <w:top w:val="nil"/>
              <w:left w:val="nil"/>
              <w:bottom w:val="single" w:sz="4" w:space="0" w:color="auto"/>
              <w:right w:val="single" w:sz="4" w:space="0" w:color="auto"/>
            </w:tcBorders>
            <w:vAlign w:val="center"/>
            <w:hideMark/>
          </w:tcPr>
          <w:p w14:paraId="33BA4519"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222.063</w:t>
            </w:r>
          </w:p>
        </w:tc>
      </w:tr>
      <w:tr w:rsidR="000A4B96" w:rsidRPr="00311474" w14:paraId="324F2765"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024F278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w:t>
            </w:r>
          </w:p>
        </w:tc>
        <w:tc>
          <w:tcPr>
            <w:tcW w:w="1572" w:type="dxa"/>
            <w:tcBorders>
              <w:top w:val="nil"/>
              <w:left w:val="nil"/>
              <w:bottom w:val="single" w:sz="4" w:space="0" w:color="auto"/>
              <w:right w:val="single" w:sz="4" w:space="0" w:color="auto"/>
            </w:tcBorders>
            <w:vAlign w:val="center"/>
            <w:hideMark/>
          </w:tcPr>
          <w:p w14:paraId="31ACFB5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+0.464</w:t>
            </w:r>
          </w:p>
        </w:tc>
        <w:tc>
          <w:tcPr>
            <w:tcW w:w="1572" w:type="dxa"/>
            <w:tcBorders>
              <w:top w:val="nil"/>
              <w:left w:val="nil"/>
              <w:bottom w:val="single" w:sz="4" w:space="0" w:color="auto"/>
              <w:right w:val="single" w:sz="4" w:space="0" w:color="auto"/>
            </w:tcBorders>
            <w:vAlign w:val="center"/>
            <w:hideMark/>
          </w:tcPr>
          <w:p w14:paraId="54338F34"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0.431</w:t>
            </w:r>
          </w:p>
        </w:tc>
        <w:tc>
          <w:tcPr>
            <w:tcW w:w="1572" w:type="dxa"/>
            <w:tcBorders>
              <w:top w:val="nil"/>
              <w:left w:val="nil"/>
              <w:bottom w:val="single" w:sz="4" w:space="0" w:color="auto"/>
              <w:right w:val="single" w:sz="4" w:space="0" w:color="auto"/>
            </w:tcBorders>
            <w:vAlign w:val="center"/>
            <w:hideMark/>
          </w:tcPr>
          <w:p w14:paraId="590990C3" w14:textId="02923B99"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Good</w:t>
            </w:r>
          </w:p>
        </w:tc>
        <w:tc>
          <w:tcPr>
            <w:tcW w:w="1892" w:type="dxa"/>
            <w:tcBorders>
              <w:top w:val="nil"/>
              <w:left w:val="nil"/>
              <w:bottom w:val="single" w:sz="4" w:space="0" w:color="auto"/>
              <w:right w:val="single" w:sz="4" w:space="0" w:color="auto"/>
            </w:tcBorders>
            <w:vAlign w:val="center"/>
            <w:hideMark/>
          </w:tcPr>
          <w:p w14:paraId="5F035EA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N27</w:t>
            </w:r>
          </w:p>
        </w:tc>
        <w:tc>
          <w:tcPr>
            <w:tcW w:w="1572" w:type="dxa"/>
            <w:tcBorders>
              <w:top w:val="nil"/>
              <w:left w:val="nil"/>
              <w:bottom w:val="single" w:sz="4" w:space="0" w:color="auto"/>
              <w:right w:val="single" w:sz="4" w:space="0" w:color="auto"/>
            </w:tcBorders>
            <w:vAlign w:val="center"/>
            <w:hideMark/>
          </w:tcPr>
          <w:p w14:paraId="1F5245DE"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138.175</w:t>
            </w:r>
          </w:p>
        </w:tc>
      </w:tr>
      <w:tr w:rsidR="009F099A" w:rsidRPr="00311474" w14:paraId="02F9B1F8"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21A72E0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w:t>
            </w:r>
          </w:p>
        </w:tc>
        <w:tc>
          <w:tcPr>
            <w:tcW w:w="1572" w:type="dxa"/>
            <w:tcBorders>
              <w:top w:val="nil"/>
              <w:left w:val="nil"/>
              <w:bottom w:val="single" w:sz="4" w:space="0" w:color="auto"/>
              <w:right w:val="single" w:sz="4" w:space="0" w:color="auto"/>
            </w:tcBorders>
            <w:vAlign w:val="center"/>
            <w:hideMark/>
          </w:tcPr>
          <w:p w14:paraId="259E72D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+0.181</w:t>
            </w:r>
          </w:p>
        </w:tc>
        <w:tc>
          <w:tcPr>
            <w:tcW w:w="1572" w:type="dxa"/>
            <w:tcBorders>
              <w:top w:val="nil"/>
              <w:left w:val="nil"/>
              <w:bottom w:val="single" w:sz="4" w:space="0" w:color="auto"/>
              <w:right w:val="single" w:sz="4" w:space="0" w:color="auto"/>
            </w:tcBorders>
            <w:vAlign w:val="center"/>
            <w:hideMark/>
          </w:tcPr>
          <w:p w14:paraId="4AA7FB2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0.116</w:t>
            </w:r>
          </w:p>
        </w:tc>
        <w:tc>
          <w:tcPr>
            <w:tcW w:w="1572" w:type="dxa"/>
            <w:tcBorders>
              <w:top w:val="nil"/>
              <w:left w:val="nil"/>
              <w:bottom w:val="single" w:sz="4" w:space="0" w:color="auto"/>
              <w:right w:val="single" w:sz="4" w:space="0" w:color="auto"/>
            </w:tcBorders>
            <w:vAlign w:val="center"/>
            <w:hideMark/>
          </w:tcPr>
          <w:p w14:paraId="295A82E6" w14:textId="73034251" w:rsidR="009F099A" w:rsidRPr="00311474" w:rsidRDefault="000A4B96"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892" w:type="dxa"/>
            <w:tcBorders>
              <w:top w:val="nil"/>
              <w:left w:val="nil"/>
              <w:bottom w:val="single" w:sz="4" w:space="0" w:color="auto"/>
              <w:right w:val="single" w:sz="4" w:space="0" w:color="auto"/>
            </w:tcBorders>
            <w:vAlign w:val="center"/>
            <w:hideMark/>
          </w:tcPr>
          <w:p w14:paraId="105C7DD6"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N19</w:t>
            </w:r>
          </w:p>
        </w:tc>
        <w:tc>
          <w:tcPr>
            <w:tcW w:w="1572" w:type="dxa"/>
            <w:tcBorders>
              <w:top w:val="nil"/>
              <w:left w:val="nil"/>
              <w:bottom w:val="single" w:sz="4" w:space="0" w:color="auto"/>
              <w:right w:val="single" w:sz="4" w:space="0" w:color="auto"/>
            </w:tcBorders>
            <w:vAlign w:val="center"/>
            <w:hideMark/>
          </w:tcPr>
          <w:p w14:paraId="47542AC5"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0.954</w:t>
            </w:r>
          </w:p>
        </w:tc>
      </w:tr>
      <w:tr w:rsidR="000A4B96" w:rsidRPr="00311474" w14:paraId="3CA4113A"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402D27DF"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w:t>
            </w:r>
          </w:p>
        </w:tc>
        <w:tc>
          <w:tcPr>
            <w:tcW w:w="1572" w:type="dxa"/>
            <w:tcBorders>
              <w:top w:val="nil"/>
              <w:left w:val="nil"/>
              <w:bottom w:val="single" w:sz="4" w:space="0" w:color="auto"/>
              <w:right w:val="single" w:sz="4" w:space="0" w:color="auto"/>
            </w:tcBorders>
            <w:vAlign w:val="center"/>
            <w:hideMark/>
          </w:tcPr>
          <w:p w14:paraId="1F5F795F"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-0.152</w:t>
            </w:r>
          </w:p>
        </w:tc>
        <w:tc>
          <w:tcPr>
            <w:tcW w:w="1572" w:type="dxa"/>
            <w:tcBorders>
              <w:top w:val="nil"/>
              <w:left w:val="nil"/>
              <w:bottom w:val="single" w:sz="4" w:space="0" w:color="auto"/>
              <w:right w:val="single" w:sz="4" w:space="0" w:color="auto"/>
            </w:tcBorders>
            <w:vAlign w:val="center"/>
            <w:hideMark/>
          </w:tcPr>
          <w:p w14:paraId="2CBFF67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3.563</w:t>
            </w:r>
          </w:p>
        </w:tc>
        <w:tc>
          <w:tcPr>
            <w:tcW w:w="1572" w:type="dxa"/>
            <w:tcBorders>
              <w:top w:val="nil"/>
              <w:left w:val="nil"/>
              <w:bottom w:val="single" w:sz="4" w:space="0" w:color="auto"/>
              <w:right w:val="single" w:sz="4" w:space="0" w:color="auto"/>
            </w:tcBorders>
            <w:vAlign w:val="center"/>
            <w:hideMark/>
          </w:tcPr>
          <w:p w14:paraId="5B5E5173" w14:textId="482025D4"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4C67810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572" w:type="dxa"/>
            <w:tcBorders>
              <w:top w:val="nil"/>
              <w:left w:val="nil"/>
              <w:bottom w:val="single" w:sz="4" w:space="0" w:color="auto"/>
              <w:right w:val="single" w:sz="4" w:space="0" w:color="auto"/>
            </w:tcBorders>
            <w:vAlign w:val="center"/>
            <w:hideMark/>
          </w:tcPr>
          <w:p w14:paraId="39CE5BC9"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222.063</w:t>
            </w:r>
          </w:p>
        </w:tc>
      </w:tr>
      <w:tr w:rsidR="000A4B96" w:rsidRPr="00311474" w14:paraId="4FBAD494"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7D35A46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w:t>
            </w:r>
          </w:p>
        </w:tc>
        <w:tc>
          <w:tcPr>
            <w:tcW w:w="1572" w:type="dxa"/>
            <w:tcBorders>
              <w:top w:val="nil"/>
              <w:left w:val="nil"/>
              <w:bottom w:val="single" w:sz="4" w:space="0" w:color="auto"/>
              <w:right w:val="single" w:sz="4" w:space="0" w:color="auto"/>
            </w:tcBorders>
            <w:vAlign w:val="center"/>
            <w:hideMark/>
          </w:tcPr>
          <w:p w14:paraId="0DF1D8F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-0.281</w:t>
            </w:r>
          </w:p>
        </w:tc>
        <w:tc>
          <w:tcPr>
            <w:tcW w:w="1572" w:type="dxa"/>
            <w:tcBorders>
              <w:top w:val="nil"/>
              <w:left w:val="nil"/>
              <w:bottom w:val="single" w:sz="4" w:space="0" w:color="auto"/>
              <w:right w:val="single" w:sz="4" w:space="0" w:color="auto"/>
            </w:tcBorders>
            <w:vAlign w:val="center"/>
            <w:hideMark/>
          </w:tcPr>
          <w:p w14:paraId="121C6C6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0.681</w:t>
            </w:r>
          </w:p>
        </w:tc>
        <w:tc>
          <w:tcPr>
            <w:tcW w:w="1572" w:type="dxa"/>
            <w:tcBorders>
              <w:top w:val="nil"/>
              <w:left w:val="nil"/>
              <w:bottom w:val="single" w:sz="4" w:space="0" w:color="auto"/>
              <w:right w:val="single" w:sz="4" w:space="0" w:color="auto"/>
            </w:tcBorders>
            <w:vAlign w:val="center"/>
            <w:hideMark/>
          </w:tcPr>
          <w:p w14:paraId="6777262C" w14:textId="120BCEBC"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61004AC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 × N59</w:t>
            </w:r>
          </w:p>
        </w:tc>
        <w:tc>
          <w:tcPr>
            <w:tcW w:w="1572" w:type="dxa"/>
            <w:tcBorders>
              <w:top w:val="nil"/>
              <w:left w:val="nil"/>
              <w:bottom w:val="single" w:sz="4" w:space="0" w:color="auto"/>
              <w:right w:val="single" w:sz="4" w:space="0" w:color="auto"/>
            </w:tcBorders>
            <w:vAlign w:val="center"/>
            <w:hideMark/>
          </w:tcPr>
          <w:p w14:paraId="63410071"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1.556.508</w:t>
            </w:r>
          </w:p>
        </w:tc>
      </w:tr>
      <w:tr w:rsidR="000A4B96" w:rsidRPr="00311474" w14:paraId="3BCE641D"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4D7A105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w:t>
            </w:r>
          </w:p>
        </w:tc>
        <w:tc>
          <w:tcPr>
            <w:tcW w:w="1572" w:type="dxa"/>
            <w:tcBorders>
              <w:top w:val="nil"/>
              <w:left w:val="nil"/>
              <w:bottom w:val="single" w:sz="4" w:space="0" w:color="auto"/>
              <w:right w:val="single" w:sz="4" w:space="0" w:color="auto"/>
            </w:tcBorders>
            <w:vAlign w:val="center"/>
            <w:hideMark/>
          </w:tcPr>
          <w:p w14:paraId="5ED122D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-0.285</w:t>
            </w:r>
          </w:p>
        </w:tc>
        <w:tc>
          <w:tcPr>
            <w:tcW w:w="1572" w:type="dxa"/>
            <w:tcBorders>
              <w:top w:val="nil"/>
              <w:left w:val="nil"/>
              <w:bottom w:val="single" w:sz="4" w:space="0" w:color="auto"/>
              <w:right w:val="single" w:sz="4" w:space="0" w:color="auto"/>
            </w:tcBorders>
            <w:vAlign w:val="center"/>
            <w:hideMark/>
          </w:tcPr>
          <w:p w14:paraId="183227B0"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0.464</w:t>
            </w:r>
          </w:p>
        </w:tc>
        <w:tc>
          <w:tcPr>
            <w:tcW w:w="1572" w:type="dxa"/>
            <w:tcBorders>
              <w:top w:val="nil"/>
              <w:left w:val="nil"/>
              <w:bottom w:val="single" w:sz="4" w:space="0" w:color="auto"/>
              <w:right w:val="single" w:sz="4" w:space="0" w:color="auto"/>
            </w:tcBorders>
            <w:vAlign w:val="center"/>
            <w:hideMark/>
          </w:tcPr>
          <w:p w14:paraId="57294A67" w14:textId="1D13CEA4"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6618257C"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N51</w:t>
            </w:r>
          </w:p>
        </w:tc>
        <w:tc>
          <w:tcPr>
            <w:tcW w:w="1572" w:type="dxa"/>
            <w:tcBorders>
              <w:top w:val="nil"/>
              <w:left w:val="nil"/>
              <w:bottom w:val="single" w:sz="4" w:space="0" w:color="auto"/>
              <w:right w:val="single" w:sz="4" w:space="0" w:color="auto"/>
            </w:tcBorders>
            <w:vAlign w:val="center"/>
            <w:hideMark/>
          </w:tcPr>
          <w:p w14:paraId="4762FE9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154.841</w:t>
            </w:r>
          </w:p>
        </w:tc>
      </w:tr>
      <w:tr w:rsidR="000A4B96" w:rsidRPr="00311474" w14:paraId="2862223D"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77E38446"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w:t>
            </w:r>
          </w:p>
        </w:tc>
        <w:tc>
          <w:tcPr>
            <w:tcW w:w="1572" w:type="dxa"/>
            <w:tcBorders>
              <w:top w:val="nil"/>
              <w:left w:val="nil"/>
              <w:bottom w:val="single" w:sz="4" w:space="0" w:color="auto"/>
              <w:right w:val="single" w:sz="4" w:space="0" w:color="auto"/>
            </w:tcBorders>
            <w:vAlign w:val="center"/>
            <w:hideMark/>
          </w:tcPr>
          <w:p w14:paraId="6E56662A"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-0.427</w:t>
            </w:r>
          </w:p>
        </w:tc>
        <w:tc>
          <w:tcPr>
            <w:tcW w:w="1572" w:type="dxa"/>
            <w:tcBorders>
              <w:top w:val="nil"/>
              <w:left w:val="nil"/>
              <w:bottom w:val="single" w:sz="4" w:space="0" w:color="auto"/>
              <w:right w:val="single" w:sz="4" w:space="0" w:color="auto"/>
            </w:tcBorders>
            <w:vAlign w:val="center"/>
            <w:hideMark/>
          </w:tcPr>
          <w:p w14:paraId="039A5977"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-0.022</w:t>
            </w:r>
          </w:p>
        </w:tc>
        <w:tc>
          <w:tcPr>
            <w:tcW w:w="1572" w:type="dxa"/>
            <w:tcBorders>
              <w:top w:val="nil"/>
              <w:left w:val="nil"/>
              <w:bottom w:val="single" w:sz="4" w:space="0" w:color="auto"/>
              <w:right w:val="single" w:sz="4" w:space="0" w:color="auto"/>
            </w:tcBorders>
            <w:vAlign w:val="center"/>
            <w:hideMark/>
          </w:tcPr>
          <w:p w14:paraId="5366D59D" w14:textId="260DFDCA"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w:t>
            </w:r>
            <w:r w:rsidRPr="00E94214">
              <w:rPr>
                <w:rFonts w:ascii="Times New Roman" w:eastAsia="Times New Roman" w:hAnsi="Times New Roman" w:cs="Times New Roman"/>
                <w:color w:val="000000"/>
                <w:kern w:val="0"/>
                <w:sz w:val="22"/>
                <w:szCs w:val="22"/>
                <w14:ligatures w14:val="none"/>
              </w:rPr>
              <w:t>oor</w:t>
            </w:r>
          </w:p>
        </w:tc>
        <w:tc>
          <w:tcPr>
            <w:tcW w:w="1892" w:type="dxa"/>
            <w:tcBorders>
              <w:top w:val="nil"/>
              <w:left w:val="nil"/>
              <w:bottom w:val="single" w:sz="4" w:space="0" w:color="auto"/>
              <w:right w:val="single" w:sz="4" w:space="0" w:color="auto"/>
            </w:tcBorders>
            <w:vAlign w:val="center"/>
            <w:hideMark/>
          </w:tcPr>
          <w:p w14:paraId="2B1DC86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D666</w:t>
            </w:r>
          </w:p>
        </w:tc>
        <w:tc>
          <w:tcPr>
            <w:tcW w:w="1572" w:type="dxa"/>
            <w:tcBorders>
              <w:top w:val="nil"/>
              <w:left w:val="nil"/>
              <w:bottom w:val="single" w:sz="4" w:space="0" w:color="auto"/>
              <w:right w:val="single" w:sz="4" w:space="0" w:color="auto"/>
            </w:tcBorders>
            <w:vAlign w:val="center"/>
            <w:hideMark/>
          </w:tcPr>
          <w:p w14:paraId="309D94CC"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154.841</w:t>
            </w:r>
          </w:p>
        </w:tc>
      </w:tr>
      <w:tr w:rsidR="009F099A" w:rsidRPr="00311474" w14:paraId="33157C6A"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57C8469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w:t>
            </w:r>
          </w:p>
        </w:tc>
        <w:tc>
          <w:tcPr>
            <w:tcW w:w="1572" w:type="dxa"/>
            <w:tcBorders>
              <w:top w:val="nil"/>
              <w:left w:val="nil"/>
              <w:bottom w:val="single" w:sz="4" w:space="0" w:color="auto"/>
              <w:right w:val="single" w:sz="4" w:space="0" w:color="auto"/>
            </w:tcBorders>
            <w:vAlign w:val="center"/>
            <w:hideMark/>
          </w:tcPr>
          <w:p w14:paraId="3949E7A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-0.627</w:t>
            </w:r>
          </w:p>
        </w:tc>
        <w:tc>
          <w:tcPr>
            <w:tcW w:w="1572" w:type="dxa"/>
            <w:tcBorders>
              <w:top w:val="nil"/>
              <w:left w:val="nil"/>
              <w:bottom w:val="single" w:sz="4" w:space="0" w:color="auto"/>
              <w:right w:val="single" w:sz="4" w:space="0" w:color="auto"/>
            </w:tcBorders>
            <w:vAlign w:val="center"/>
            <w:hideMark/>
          </w:tcPr>
          <w:p w14:paraId="6349AE3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0.828</w:t>
            </w:r>
          </w:p>
        </w:tc>
        <w:tc>
          <w:tcPr>
            <w:tcW w:w="1572" w:type="dxa"/>
            <w:tcBorders>
              <w:top w:val="nil"/>
              <w:left w:val="nil"/>
              <w:bottom w:val="single" w:sz="4" w:space="0" w:color="auto"/>
              <w:right w:val="single" w:sz="4" w:space="0" w:color="auto"/>
            </w:tcBorders>
            <w:vAlign w:val="center"/>
            <w:hideMark/>
          </w:tcPr>
          <w:p w14:paraId="1CAE4490" w14:textId="54E7D1F7" w:rsidR="009F099A" w:rsidRPr="00311474" w:rsidRDefault="000A4B96" w:rsidP="0090420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Very p</w:t>
            </w:r>
            <w:r w:rsidRPr="00E94214">
              <w:rPr>
                <w:rFonts w:ascii="Times New Roman" w:eastAsia="Times New Roman" w:hAnsi="Times New Roman" w:cs="Times New Roman"/>
                <w:color w:val="000000"/>
                <w:kern w:val="0"/>
                <w:sz w:val="22"/>
                <w:szCs w:val="22"/>
                <w14:ligatures w14:val="none"/>
              </w:rPr>
              <w:t>oor</w:t>
            </w:r>
          </w:p>
        </w:tc>
        <w:tc>
          <w:tcPr>
            <w:tcW w:w="1892" w:type="dxa"/>
            <w:tcBorders>
              <w:top w:val="nil"/>
              <w:left w:val="nil"/>
              <w:bottom w:val="single" w:sz="4" w:space="0" w:color="auto"/>
              <w:right w:val="single" w:sz="4" w:space="0" w:color="auto"/>
            </w:tcBorders>
            <w:vAlign w:val="center"/>
            <w:hideMark/>
          </w:tcPr>
          <w:p w14:paraId="6488F917"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N7B</w:t>
            </w:r>
          </w:p>
        </w:tc>
        <w:tc>
          <w:tcPr>
            <w:tcW w:w="1572" w:type="dxa"/>
            <w:tcBorders>
              <w:top w:val="nil"/>
              <w:left w:val="nil"/>
              <w:bottom w:val="single" w:sz="4" w:space="0" w:color="auto"/>
              <w:right w:val="single" w:sz="4" w:space="0" w:color="auto"/>
            </w:tcBorders>
            <w:vAlign w:val="center"/>
            <w:hideMark/>
          </w:tcPr>
          <w:p w14:paraId="75C8CAB5"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157.063</w:t>
            </w:r>
          </w:p>
        </w:tc>
      </w:tr>
    </w:tbl>
    <w:p w14:paraId="4EC142E0" w14:textId="77777777" w:rsidR="009F099A" w:rsidRPr="00311474" w:rsidRDefault="009F099A">
      <w:pPr>
        <w:rPr>
          <w:rFonts w:ascii="Times New Roman" w:hAnsi="Times New Roman" w:cs="Times New Roman"/>
        </w:rPr>
      </w:pPr>
    </w:p>
    <w:p w14:paraId="096A07D5"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combining ability analysis of parental lines in the Spring 2024 season continued to reveal clear differentiation in GCA effects among the inbred lines. Line N02 exhibited the highest GCA value (ĝi = +0.564) and was classified as “very good,” confirming its consistent ability to transmit favorable alleles across hybrid combinations. The next highest GCA value was observed </w:t>
      </w:r>
      <w:r w:rsidRPr="009F099A">
        <w:rPr>
          <w:rFonts w:ascii="Times New Roman" w:hAnsi="Times New Roman" w:cs="Times New Roman"/>
        </w:rPr>
        <w:lastRenderedPageBreak/>
        <w:t>in N59 (ĝi = +0.464), rated as “good,” followed by N19 (+0.181), which was classified as “fair.” The positive GCA effects of these lines indicate the presence of favorable additive alleles and highlight their potential as key parental lines in hybrid breeding programs.</w:t>
      </w:r>
    </w:p>
    <w:p w14:paraId="43BB1D1E"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Conversely, lines N7B (−0.152), N15 (−0.281), D666 (−0.285), N51 (−0.427), and N27 (−0.627) exhibited negative GCA effects and were rated from “poor” to “very poor.” Notably, N27 again showed the lowest GCA value, consistent with the Winter 2023 results, indicating limited additive genetic contribution. However, as observed in the previous season, low GCA does not necessarily imply low breeding value, since favorable SCA effects may compensate through specific gene interactions.</w:t>
      </w:r>
    </w:p>
    <w:p w14:paraId="7C58DE3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The analysis of SCA variance components (σ²Si) showed that several lines contributed substantially to non-additive variation, particularly N7B (3.563), N27 (0.828), and N15 (0.681). These results suggest that these lines have strong potential to generate heterotic effects when crossed with genetically complementary parents. In contrast, lines such as N51 exhibited very low σ²Si values (−0.022), indicating limited contribution to SCA variation.</w:t>
      </w:r>
    </w:p>
    <w:p w14:paraId="7851C768"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Regarding specific combining ability, several hybrid combinations displayed remarkably high SCA effects. The most outstanding was N7B × N02, with an SCA value of 222.063, indicating a very strong genetic interaction between these two lines. Notably, although N7B had a negative GCA effect, its cross with N02 (a line with very high GCA) resulted in pronounced heterosis, reflecting effective genetic complementation between divergent parental backgrounds. Similarly, D666 × N51 (154.841) and N27 × N7B (157.063) also exhibited high SCA values, highlighting the role of dominance and/or epistatic interactions in heterosis expression.</w:t>
      </w:r>
    </w:p>
    <w:p w14:paraId="745BE27B"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Particularly remarkable was the hybrid N15 × N59, which showed an exceptionally large SCA value (1,556.508), suggesting a superior interaction effect under Spring conditions. This may reflect specific genetic complementation or enhanced environmental adaptation of this cross during the Spring season.</w:t>
      </w:r>
    </w:p>
    <w:p w14:paraId="040C72B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Comparison with the Winter 2023 season indicates a consistent overall pattern: N02 and N59 maintained high positive GCA values and played central roles in hybrid combinations with high SCA effects. This demonstrates the genetic stability of these two lines across seasons. However, SCA variation appeared greater in Spring 2024, as evidenced by several extremely high SCA values and increased σ²Si estimates in certain lines, suggesting a stronger influence of environmental conditions on non-additive gene expression.</w:t>
      </w:r>
    </w:p>
    <w:p w14:paraId="6C99647D"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Based on the combining ability analysis across both seasons, several general conclusions can be drawn. Lines N02 and N59 consistently exhibited high and stable positive GCA effects, indicating their strong capacity to transmit favorable additive alleles and confirming their suitability as primary parental lines in breeding programs. In contrast, lines such as N27, N51, and D666 showed negative GCA values in both seasons, reflecting limitations in additive genetic effects.</w:t>
      </w:r>
    </w:p>
    <w:p w14:paraId="53B10E5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Nevertheless, several hybrid combinations involving lines with low GCA values displayed very high SCA effects (e.g., N7B × N02, D666 × N51, and N27 × N7B), demonstrating the significant role of non-additive gene effects (dominance and epistasis) in trait expression. These findings indicate that the studied trait is governed by both additive and non-additive genetic effects, with additive effects being more stable across seasons, whereas non-additive effects are more strongly influenced by environmental conditions.</w:t>
      </w:r>
    </w:p>
    <w:p w14:paraId="4A7FEE0E"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Therefore, an effective breeding strategy should integrate both approaches: maintaining and exploiting lines with high GCA to establish a strong additive genetic foundation, while simultaneously developing hybrid combinations with high SCA to maximize heterosis for commercial production.</w:t>
      </w:r>
    </w:p>
    <w:p w14:paraId="2F167E3D" w14:textId="4E132513" w:rsidR="00DE70B6" w:rsidRDefault="00DE70B6" w:rsidP="003C5522">
      <w:pPr>
        <w:spacing w:after="0" w:line="288" w:lineRule="auto"/>
        <w:jc w:val="center"/>
        <w:rPr>
          <w:rFonts w:ascii="Times New Roman" w:hAnsi="Times New Roman" w:cs="Times New Roman"/>
          <w:b/>
          <w:bCs/>
        </w:rPr>
      </w:pPr>
      <w:r w:rsidRPr="00DE70B6">
        <w:rPr>
          <w:rFonts w:ascii="Times New Roman" w:hAnsi="Times New Roman" w:cs="Times New Roman"/>
          <w:b/>
          <w:bCs/>
        </w:rPr>
        <w:t xml:space="preserve">Table 4. Summary of Agro-Morphological </w:t>
      </w:r>
      <w:r w:rsidR="006C1F4B">
        <w:rPr>
          <w:rFonts w:ascii="Times New Roman" w:hAnsi="Times New Roman" w:cs="Times New Roman"/>
          <w:b/>
          <w:bCs/>
        </w:rPr>
        <w:t>c</w:t>
      </w:r>
      <w:r w:rsidRPr="00DE70B6">
        <w:rPr>
          <w:rFonts w:ascii="Times New Roman" w:hAnsi="Times New Roman" w:cs="Times New Roman"/>
          <w:b/>
          <w:bCs/>
        </w:rPr>
        <w:t xml:space="preserve">haracteristics of Hybrid </w:t>
      </w:r>
      <w:r w:rsidR="006C1F4B">
        <w:rPr>
          <w:rFonts w:ascii="Times New Roman" w:hAnsi="Times New Roman" w:cs="Times New Roman"/>
          <w:b/>
          <w:bCs/>
        </w:rPr>
        <w:t>c</w:t>
      </w:r>
      <w:r w:rsidRPr="00DE70B6">
        <w:rPr>
          <w:rFonts w:ascii="Times New Roman" w:hAnsi="Times New Roman" w:cs="Times New Roman"/>
          <w:b/>
          <w:bCs/>
        </w:rPr>
        <w:t>ombinations</w:t>
      </w:r>
    </w:p>
    <w:p w14:paraId="698C6123" w14:textId="7DDAE761" w:rsidR="009F099A" w:rsidRPr="00311474" w:rsidRDefault="00DE70B6" w:rsidP="003C5522">
      <w:pPr>
        <w:spacing w:after="0" w:line="288" w:lineRule="auto"/>
        <w:jc w:val="center"/>
        <w:rPr>
          <w:rFonts w:ascii="Times New Roman" w:hAnsi="Times New Roman" w:cs="Times New Roman"/>
          <w:b/>
          <w:bCs/>
        </w:rPr>
      </w:pPr>
      <w:r w:rsidRPr="00DE70B6">
        <w:rPr>
          <w:rFonts w:ascii="Times New Roman" w:hAnsi="Times New Roman" w:cs="Times New Roman"/>
          <w:b/>
          <w:bCs/>
        </w:rPr>
        <w:t xml:space="preserve"> (Mean of </w:t>
      </w:r>
      <w:r w:rsidR="006C1F4B">
        <w:rPr>
          <w:rFonts w:ascii="Times New Roman" w:hAnsi="Times New Roman" w:cs="Times New Roman"/>
          <w:b/>
          <w:bCs/>
        </w:rPr>
        <w:t>t</w:t>
      </w:r>
      <w:r w:rsidRPr="00DE70B6">
        <w:rPr>
          <w:rFonts w:ascii="Times New Roman" w:hAnsi="Times New Roman" w:cs="Times New Roman"/>
          <w:b/>
          <w:bCs/>
        </w:rPr>
        <w:t xml:space="preserve">wo </w:t>
      </w:r>
      <w:r w:rsidR="006C1F4B">
        <w:rPr>
          <w:rFonts w:ascii="Times New Roman" w:hAnsi="Times New Roman" w:cs="Times New Roman"/>
          <w:b/>
          <w:bCs/>
        </w:rPr>
        <w:t>s</w:t>
      </w:r>
      <w:r w:rsidRPr="00DE70B6">
        <w:rPr>
          <w:rFonts w:ascii="Times New Roman" w:hAnsi="Times New Roman" w:cs="Times New Roman"/>
          <w:b/>
          <w:bCs/>
        </w:rPr>
        <w:t>easons)</w:t>
      </w:r>
    </w:p>
    <w:tbl>
      <w:tblPr>
        <w:tblW w:w="10203" w:type="dxa"/>
        <w:tblLook w:val="04A0" w:firstRow="1" w:lastRow="0" w:firstColumn="1" w:lastColumn="0" w:noHBand="0" w:noVBand="1"/>
      </w:tblPr>
      <w:tblGrid>
        <w:gridCol w:w="1680"/>
        <w:gridCol w:w="1964"/>
        <w:gridCol w:w="1741"/>
        <w:gridCol w:w="1741"/>
        <w:gridCol w:w="1498"/>
        <w:gridCol w:w="1579"/>
      </w:tblGrid>
      <w:tr w:rsidR="009F099A" w:rsidRPr="00311474" w14:paraId="4CC45C35" w14:textId="77777777" w:rsidTr="008E40AC">
        <w:trPr>
          <w:trHeight w:val="879"/>
        </w:trPr>
        <w:tc>
          <w:tcPr>
            <w:tcW w:w="1680" w:type="dxa"/>
            <w:tcBorders>
              <w:top w:val="single" w:sz="4" w:space="0" w:color="auto"/>
              <w:left w:val="single" w:sz="4" w:space="0" w:color="auto"/>
              <w:bottom w:val="single" w:sz="4" w:space="0" w:color="auto"/>
              <w:right w:val="single" w:sz="4" w:space="0" w:color="auto"/>
            </w:tcBorders>
            <w:vAlign w:val="center"/>
            <w:hideMark/>
          </w:tcPr>
          <w:p w14:paraId="49777147" w14:textId="3307C9F9"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Hybrid combination</w:t>
            </w:r>
          </w:p>
        </w:tc>
        <w:tc>
          <w:tcPr>
            <w:tcW w:w="1964" w:type="dxa"/>
            <w:tcBorders>
              <w:top w:val="single" w:sz="4" w:space="0" w:color="auto"/>
              <w:left w:val="nil"/>
              <w:bottom w:val="single" w:sz="4" w:space="0" w:color="auto"/>
              <w:right w:val="single" w:sz="4" w:space="0" w:color="auto"/>
            </w:tcBorders>
            <w:vAlign w:val="center"/>
            <w:hideMark/>
          </w:tcPr>
          <w:p w14:paraId="06418A69" w14:textId="021A6AA3"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Days to harvest (days)</w:t>
            </w:r>
          </w:p>
        </w:tc>
        <w:tc>
          <w:tcPr>
            <w:tcW w:w="1741" w:type="dxa"/>
            <w:tcBorders>
              <w:top w:val="single" w:sz="4" w:space="0" w:color="auto"/>
              <w:left w:val="nil"/>
              <w:bottom w:val="single" w:sz="4" w:space="0" w:color="auto"/>
              <w:right w:val="single" w:sz="4" w:space="0" w:color="auto"/>
            </w:tcBorders>
            <w:vAlign w:val="center"/>
            <w:hideMark/>
          </w:tcPr>
          <w:p w14:paraId="1B679AEA" w14:textId="657D8652"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Plant height (cm)</w:t>
            </w:r>
          </w:p>
        </w:tc>
        <w:tc>
          <w:tcPr>
            <w:tcW w:w="1741" w:type="dxa"/>
            <w:tcBorders>
              <w:top w:val="single" w:sz="4" w:space="0" w:color="auto"/>
              <w:left w:val="nil"/>
              <w:bottom w:val="single" w:sz="4" w:space="0" w:color="auto"/>
              <w:right w:val="single" w:sz="4" w:space="0" w:color="auto"/>
            </w:tcBorders>
            <w:vAlign w:val="center"/>
            <w:hideMark/>
          </w:tcPr>
          <w:p w14:paraId="70AEC265" w14:textId="6F375D63"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placement height (cm)</w:t>
            </w:r>
          </w:p>
        </w:tc>
        <w:tc>
          <w:tcPr>
            <w:tcW w:w="1498" w:type="dxa"/>
            <w:tcBorders>
              <w:top w:val="single" w:sz="4" w:space="0" w:color="auto"/>
              <w:left w:val="nil"/>
              <w:bottom w:val="single" w:sz="4" w:space="0" w:color="auto"/>
              <w:right w:val="single" w:sz="4" w:space="0" w:color="auto"/>
            </w:tcBorders>
            <w:vAlign w:val="center"/>
            <w:hideMark/>
          </w:tcPr>
          <w:p w14:paraId="7B649027" w14:textId="3E1DE38A"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length (cm)</w:t>
            </w:r>
          </w:p>
        </w:tc>
        <w:tc>
          <w:tcPr>
            <w:tcW w:w="1579" w:type="dxa"/>
            <w:tcBorders>
              <w:top w:val="single" w:sz="4" w:space="0" w:color="auto"/>
              <w:left w:val="nil"/>
              <w:bottom w:val="single" w:sz="4" w:space="0" w:color="auto"/>
              <w:right w:val="single" w:sz="4" w:space="0" w:color="auto"/>
            </w:tcBorders>
            <w:vAlign w:val="center"/>
            <w:hideMark/>
          </w:tcPr>
          <w:p w14:paraId="5BFB24EC" w14:textId="7C9EC59A"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diameter (cm)</w:t>
            </w:r>
          </w:p>
        </w:tc>
      </w:tr>
      <w:tr w:rsidR="009F099A" w:rsidRPr="00311474" w14:paraId="2574B26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24123B5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N7B</w:t>
            </w:r>
          </w:p>
        </w:tc>
        <w:tc>
          <w:tcPr>
            <w:tcW w:w="1964" w:type="dxa"/>
            <w:tcBorders>
              <w:top w:val="nil"/>
              <w:left w:val="nil"/>
              <w:bottom w:val="single" w:sz="4" w:space="0" w:color="auto"/>
              <w:right w:val="single" w:sz="4" w:space="0" w:color="auto"/>
            </w:tcBorders>
            <w:vAlign w:val="center"/>
            <w:hideMark/>
          </w:tcPr>
          <w:p w14:paraId="6A7C3E0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3B641A7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177.7 ± 3.2</w:t>
            </w:r>
          </w:p>
        </w:tc>
        <w:tc>
          <w:tcPr>
            <w:tcW w:w="1741" w:type="dxa"/>
            <w:tcBorders>
              <w:top w:val="nil"/>
              <w:left w:val="nil"/>
              <w:bottom w:val="single" w:sz="4" w:space="0" w:color="auto"/>
              <w:right w:val="single" w:sz="4" w:space="0" w:color="auto"/>
            </w:tcBorders>
            <w:vAlign w:val="center"/>
            <w:hideMark/>
          </w:tcPr>
          <w:p w14:paraId="0A58EAA1"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92.9 ± 2.8</w:t>
            </w:r>
          </w:p>
        </w:tc>
        <w:tc>
          <w:tcPr>
            <w:tcW w:w="1498" w:type="dxa"/>
            <w:tcBorders>
              <w:top w:val="nil"/>
              <w:left w:val="nil"/>
              <w:bottom w:val="single" w:sz="4" w:space="0" w:color="auto"/>
              <w:right w:val="single" w:sz="4" w:space="0" w:color="auto"/>
            </w:tcBorders>
            <w:vAlign w:val="center"/>
            <w:hideMark/>
          </w:tcPr>
          <w:p w14:paraId="102DE55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17.2 ± 0.3</w:t>
            </w:r>
          </w:p>
        </w:tc>
        <w:tc>
          <w:tcPr>
            <w:tcW w:w="1579" w:type="dxa"/>
            <w:tcBorders>
              <w:top w:val="nil"/>
              <w:left w:val="nil"/>
              <w:bottom w:val="single" w:sz="4" w:space="0" w:color="auto"/>
              <w:right w:val="single" w:sz="4" w:space="0" w:color="auto"/>
            </w:tcBorders>
            <w:vAlign w:val="center"/>
            <w:hideMark/>
          </w:tcPr>
          <w:p w14:paraId="4BC37BE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0.12</w:t>
            </w:r>
          </w:p>
        </w:tc>
      </w:tr>
      <w:tr w:rsidR="009F099A" w:rsidRPr="00311474" w14:paraId="2FB6840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08EC9AF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N7B</w:t>
            </w:r>
          </w:p>
        </w:tc>
        <w:tc>
          <w:tcPr>
            <w:tcW w:w="1964" w:type="dxa"/>
            <w:tcBorders>
              <w:top w:val="nil"/>
              <w:left w:val="nil"/>
              <w:bottom w:val="single" w:sz="4" w:space="0" w:color="auto"/>
              <w:right w:val="single" w:sz="4" w:space="0" w:color="auto"/>
            </w:tcBorders>
            <w:vAlign w:val="center"/>
            <w:hideMark/>
          </w:tcPr>
          <w:p w14:paraId="7802D4F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71.0 ± 0.3</w:t>
            </w:r>
          </w:p>
        </w:tc>
        <w:tc>
          <w:tcPr>
            <w:tcW w:w="1741" w:type="dxa"/>
            <w:tcBorders>
              <w:top w:val="nil"/>
              <w:left w:val="nil"/>
              <w:bottom w:val="single" w:sz="4" w:space="0" w:color="auto"/>
              <w:right w:val="single" w:sz="4" w:space="0" w:color="auto"/>
            </w:tcBorders>
            <w:vAlign w:val="center"/>
            <w:hideMark/>
          </w:tcPr>
          <w:p w14:paraId="1FB2027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138.0 ± 2.7</w:t>
            </w:r>
          </w:p>
        </w:tc>
        <w:tc>
          <w:tcPr>
            <w:tcW w:w="1741" w:type="dxa"/>
            <w:tcBorders>
              <w:top w:val="nil"/>
              <w:left w:val="nil"/>
              <w:bottom w:val="single" w:sz="4" w:space="0" w:color="auto"/>
              <w:right w:val="single" w:sz="4" w:space="0" w:color="auto"/>
            </w:tcBorders>
            <w:vAlign w:val="center"/>
            <w:hideMark/>
          </w:tcPr>
          <w:p w14:paraId="0B167D1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63.7 ± 2.1</w:t>
            </w:r>
          </w:p>
        </w:tc>
        <w:tc>
          <w:tcPr>
            <w:tcW w:w="1498" w:type="dxa"/>
            <w:tcBorders>
              <w:top w:val="nil"/>
              <w:left w:val="nil"/>
              <w:bottom w:val="single" w:sz="4" w:space="0" w:color="auto"/>
              <w:right w:val="single" w:sz="4" w:space="0" w:color="auto"/>
            </w:tcBorders>
            <w:vAlign w:val="center"/>
            <w:hideMark/>
          </w:tcPr>
          <w:p w14:paraId="78CA4CC5"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16.7 ± 0.3</w:t>
            </w:r>
          </w:p>
        </w:tc>
        <w:tc>
          <w:tcPr>
            <w:tcW w:w="1579" w:type="dxa"/>
            <w:tcBorders>
              <w:top w:val="nil"/>
              <w:left w:val="nil"/>
              <w:bottom w:val="single" w:sz="4" w:space="0" w:color="auto"/>
              <w:right w:val="single" w:sz="4" w:space="0" w:color="auto"/>
            </w:tcBorders>
            <w:vAlign w:val="center"/>
            <w:hideMark/>
          </w:tcPr>
          <w:p w14:paraId="03F02B3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4.70 ± 0.10</w:t>
            </w:r>
          </w:p>
        </w:tc>
      </w:tr>
      <w:tr w:rsidR="009F099A" w:rsidRPr="00311474" w14:paraId="65D400C4"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07F37FA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N59 × N15</w:t>
            </w:r>
          </w:p>
        </w:tc>
        <w:tc>
          <w:tcPr>
            <w:tcW w:w="1964" w:type="dxa"/>
            <w:tcBorders>
              <w:top w:val="nil"/>
              <w:left w:val="nil"/>
              <w:bottom w:val="single" w:sz="4" w:space="0" w:color="auto"/>
              <w:right w:val="single" w:sz="4" w:space="0" w:color="auto"/>
            </w:tcBorders>
            <w:vAlign w:val="center"/>
            <w:hideMark/>
          </w:tcPr>
          <w:p w14:paraId="2374AFE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73.0 ± 0.5</w:t>
            </w:r>
          </w:p>
        </w:tc>
        <w:tc>
          <w:tcPr>
            <w:tcW w:w="1741" w:type="dxa"/>
            <w:tcBorders>
              <w:top w:val="nil"/>
              <w:left w:val="nil"/>
              <w:bottom w:val="single" w:sz="4" w:space="0" w:color="auto"/>
              <w:right w:val="single" w:sz="4" w:space="0" w:color="auto"/>
            </w:tcBorders>
            <w:vAlign w:val="center"/>
            <w:hideMark/>
          </w:tcPr>
          <w:p w14:paraId="4E8C743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184.1 ± 3.8</w:t>
            </w:r>
          </w:p>
        </w:tc>
        <w:tc>
          <w:tcPr>
            <w:tcW w:w="1741" w:type="dxa"/>
            <w:tcBorders>
              <w:top w:val="nil"/>
              <w:left w:val="nil"/>
              <w:bottom w:val="single" w:sz="4" w:space="0" w:color="auto"/>
              <w:right w:val="single" w:sz="4" w:space="0" w:color="auto"/>
            </w:tcBorders>
            <w:vAlign w:val="center"/>
            <w:hideMark/>
          </w:tcPr>
          <w:p w14:paraId="7D53A9F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96.1 ± 3.1</w:t>
            </w:r>
          </w:p>
        </w:tc>
        <w:tc>
          <w:tcPr>
            <w:tcW w:w="1498" w:type="dxa"/>
            <w:tcBorders>
              <w:top w:val="nil"/>
              <w:left w:val="nil"/>
              <w:bottom w:val="single" w:sz="4" w:space="0" w:color="auto"/>
              <w:right w:val="single" w:sz="4" w:space="0" w:color="auto"/>
            </w:tcBorders>
            <w:vAlign w:val="center"/>
            <w:hideMark/>
          </w:tcPr>
          <w:p w14:paraId="0DAC3ADB"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18.2 ± 0.4</w:t>
            </w:r>
          </w:p>
        </w:tc>
        <w:tc>
          <w:tcPr>
            <w:tcW w:w="1579" w:type="dxa"/>
            <w:tcBorders>
              <w:top w:val="nil"/>
              <w:left w:val="nil"/>
              <w:bottom w:val="single" w:sz="4" w:space="0" w:color="auto"/>
              <w:right w:val="single" w:sz="4" w:space="0" w:color="auto"/>
            </w:tcBorders>
            <w:vAlign w:val="center"/>
            <w:hideMark/>
          </w:tcPr>
          <w:p w14:paraId="235A9A09"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0.11</w:t>
            </w:r>
          </w:p>
        </w:tc>
      </w:tr>
      <w:tr w:rsidR="009F099A" w:rsidRPr="00311474" w14:paraId="01184100"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112E5392"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D666 × N15</w:t>
            </w:r>
          </w:p>
        </w:tc>
        <w:tc>
          <w:tcPr>
            <w:tcW w:w="1964" w:type="dxa"/>
            <w:tcBorders>
              <w:top w:val="nil"/>
              <w:left w:val="nil"/>
              <w:bottom w:val="single" w:sz="4" w:space="0" w:color="auto"/>
              <w:right w:val="single" w:sz="4" w:space="0" w:color="auto"/>
            </w:tcBorders>
            <w:vAlign w:val="center"/>
            <w:hideMark/>
          </w:tcPr>
          <w:p w14:paraId="3948BEE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71.0 ± 0.4</w:t>
            </w:r>
          </w:p>
        </w:tc>
        <w:tc>
          <w:tcPr>
            <w:tcW w:w="1741" w:type="dxa"/>
            <w:tcBorders>
              <w:top w:val="nil"/>
              <w:left w:val="nil"/>
              <w:bottom w:val="single" w:sz="4" w:space="0" w:color="auto"/>
              <w:right w:val="single" w:sz="4" w:space="0" w:color="auto"/>
            </w:tcBorders>
            <w:vAlign w:val="center"/>
            <w:hideMark/>
          </w:tcPr>
          <w:p w14:paraId="36CFE2C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174.8 ± 3.0</w:t>
            </w:r>
          </w:p>
        </w:tc>
        <w:tc>
          <w:tcPr>
            <w:tcW w:w="1741" w:type="dxa"/>
            <w:tcBorders>
              <w:top w:val="nil"/>
              <w:left w:val="nil"/>
              <w:bottom w:val="single" w:sz="4" w:space="0" w:color="auto"/>
              <w:right w:val="single" w:sz="4" w:space="0" w:color="auto"/>
            </w:tcBorders>
            <w:vAlign w:val="center"/>
            <w:hideMark/>
          </w:tcPr>
          <w:p w14:paraId="603CD89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89.6 ± 2.6</w:t>
            </w:r>
          </w:p>
        </w:tc>
        <w:tc>
          <w:tcPr>
            <w:tcW w:w="1498" w:type="dxa"/>
            <w:tcBorders>
              <w:top w:val="nil"/>
              <w:left w:val="nil"/>
              <w:bottom w:val="single" w:sz="4" w:space="0" w:color="auto"/>
              <w:right w:val="single" w:sz="4" w:space="0" w:color="auto"/>
            </w:tcBorders>
            <w:vAlign w:val="center"/>
            <w:hideMark/>
          </w:tcPr>
          <w:p w14:paraId="194E1E4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16.8 ± 0.3</w:t>
            </w:r>
          </w:p>
        </w:tc>
        <w:tc>
          <w:tcPr>
            <w:tcW w:w="1579" w:type="dxa"/>
            <w:tcBorders>
              <w:top w:val="nil"/>
              <w:left w:val="nil"/>
              <w:bottom w:val="single" w:sz="4" w:space="0" w:color="auto"/>
              <w:right w:val="single" w:sz="4" w:space="0" w:color="auto"/>
            </w:tcBorders>
            <w:vAlign w:val="center"/>
            <w:hideMark/>
          </w:tcPr>
          <w:p w14:paraId="64ED5D11"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4.45 ± 0.09</w:t>
            </w:r>
          </w:p>
        </w:tc>
      </w:tr>
      <w:tr w:rsidR="009F099A" w:rsidRPr="00311474" w14:paraId="1CB4BA5E"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1A825F1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N15</w:t>
            </w:r>
          </w:p>
        </w:tc>
        <w:tc>
          <w:tcPr>
            <w:tcW w:w="1964" w:type="dxa"/>
            <w:tcBorders>
              <w:top w:val="nil"/>
              <w:left w:val="nil"/>
              <w:bottom w:val="single" w:sz="4" w:space="0" w:color="auto"/>
              <w:right w:val="single" w:sz="4" w:space="0" w:color="auto"/>
            </w:tcBorders>
            <w:vAlign w:val="center"/>
            <w:hideMark/>
          </w:tcPr>
          <w:p w14:paraId="1686B0C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73.0 ± 0.4</w:t>
            </w:r>
          </w:p>
        </w:tc>
        <w:tc>
          <w:tcPr>
            <w:tcW w:w="1741" w:type="dxa"/>
            <w:tcBorders>
              <w:top w:val="nil"/>
              <w:left w:val="nil"/>
              <w:bottom w:val="single" w:sz="4" w:space="0" w:color="auto"/>
              <w:right w:val="single" w:sz="4" w:space="0" w:color="auto"/>
            </w:tcBorders>
            <w:vAlign w:val="center"/>
            <w:hideMark/>
          </w:tcPr>
          <w:p w14:paraId="483882D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152.8 ± 2.9</w:t>
            </w:r>
          </w:p>
        </w:tc>
        <w:tc>
          <w:tcPr>
            <w:tcW w:w="1741" w:type="dxa"/>
            <w:tcBorders>
              <w:top w:val="nil"/>
              <w:left w:val="nil"/>
              <w:bottom w:val="single" w:sz="4" w:space="0" w:color="auto"/>
              <w:right w:val="single" w:sz="4" w:space="0" w:color="auto"/>
            </w:tcBorders>
            <w:vAlign w:val="center"/>
            <w:hideMark/>
          </w:tcPr>
          <w:p w14:paraId="3B0071A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65.4 ± 2.3</w:t>
            </w:r>
          </w:p>
        </w:tc>
        <w:tc>
          <w:tcPr>
            <w:tcW w:w="1498" w:type="dxa"/>
            <w:tcBorders>
              <w:top w:val="nil"/>
              <w:left w:val="nil"/>
              <w:bottom w:val="single" w:sz="4" w:space="0" w:color="auto"/>
              <w:right w:val="single" w:sz="4" w:space="0" w:color="auto"/>
            </w:tcBorders>
            <w:vAlign w:val="center"/>
            <w:hideMark/>
          </w:tcPr>
          <w:p w14:paraId="1B15A38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17.0 ± 0.3</w:t>
            </w:r>
          </w:p>
        </w:tc>
        <w:tc>
          <w:tcPr>
            <w:tcW w:w="1579" w:type="dxa"/>
            <w:tcBorders>
              <w:top w:val="nil"/>
              <w:left w:val="nil"/>
              <w:bottom w:val="single" w:sz="4" w:space="0" w:color="auto"/>
              <w:right w:val="single" w:sz="4" w:space="0" w:color="auto"/>
            </w:tcBorders>
            <w:vAlign w:val="center"/>
            <w:hideMark/>
          </w:tcPr>
          <w:p w14:paraId="282E8BC5"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4.75 ± 0.10</w:t>
            </w:r>
          </w:p>
        </w:tc>
      </w:tr>
      <w:tr w:rsidR="009F099A" w:rsidRPr="00311474" w14:paraId="58F49BEC"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5C5E6BA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N27 × N59</w:t>
            </w:r>
          </w:p>
        </w:tc>
        <w:tc>
          <w:tcPr>
            <w:tcW w:w="1964" w:type="dxa"/>
            <w:tcBorders>
              <w:top w:val="nil"/>
              <w:left w:val="nil"/>
              <w:bottom w:val="single" w:sz="4" w:space="0" w:color="auto"/>
              <w:right w:val="single" w:sz="4" w:space="0" w:color="auto"/>
            </w:tcBorders>
            <w:vAlign w:val="center"/>
            <w:hideMark/>
          </w:tcPr>
          <w:p w14:paraId="2D54FF1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30CC221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156.1 ± 3.1</w:t>
            </w:r>
          </w:p>
        </w:tc>
        <w:tc>
          <w:tcPr>
            <w:tcW w:w="1741" w:type="dxa"/>
            <w:tcBorders>
              <w:top w:val="nil"/>
              <w:left w:val="nil"/>
              <w:bottom w:val="single" w:sz="4" w:space="0" w:color="auto"/>
              <w:right w:val="single" w:sz="4" w:space="0" w:color="auto"/>
            </w:tcBorders>
            <w:vAlign w:val="center"/>
            <w:hideMark/>
          </w:tcPr>
          <w:p w14:paraId="2245111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70.2 ± 2.5</w:t>
            </w:r>
          </w:p>
        </w:tc>
        <w:tc>
          <w:tcPr>
            <w:tcW w:w="1498" w:type="dxa"/>
            <w:tcBorders>
              <w:top w:val="nil"/>
              <w:left w:val="nil"/>
              <w:bottom w:val="single" w:sz="4" w:space="0" w:color="auto"/>
              <w:right w:val="single" w:sz="4" w:space="0" w:color="auto"/>
            </w:tcBorders>
            <w:vAlign w:val="center"/>
            <w:hideMark/>
          </w:tcPr>
          <w:p w14:paraId="4EAE854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16.5 ± 0.3</w:t>
            </w:r>
          </w:p>
        </w:tc>
        <w:tc>
          <w:tcPr>
            <w:tcW w:w="1579" w:type="dxa"/>
            <w:tcBorders>
              <w:top w:val="nil"/>
              <w:left w:val="nil"/>
              <w:bottom w:val="single" w:sz="4" w:space="0" w:color="auto"/>
              <w:right w:val="single" w:sz="4" w:space="0" w:color="auto"/>
            </w:tcBorders>
            <w:vAlign w:val="center"/>
            <w:hideMark/>
          </w:tcPr>
          <w:p w14:paraId="183C361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4.95 ± 0.12</w:t>
            </w:r>
          </w:p>
        </w:tc>
      </w:tr>
      <w:tr w:rsidR="009F099A" w:rsidRPr="00311474" w14:paraId="03760F1D"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3B0E9F1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N59</w:t>
            </w:r>
          </w:p>
        </w:tc>
        <w:tc>
          <w:tcPr>
            <w:tcW w:w="1964" w:type="dxa"/>
            <w:tcBorders>
              <w:top w:val="nil"/>
              <w:left w:val="nil"/>
              <w:bottom w:val="single" w:sz="4" w:space="0" w:color="auto"/>
              <w:right w:val="single" w:sz="4" w:space="0" w:color="auto"/>
            </w:tcBorders>
            <w:vAlign w:val="center"/>
            <w:hideMark/>
          </w:tcPr>
          <w:p w14:paraId="3AF97CC9"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72.0 ± 0.3</w:t>
            </w:r>
          </w:p>
        </w:tc>
        <w:tc>
          <w:tcPr>
            <w:tcW w:w="1741" w:type="dxa"/>
            <w:tcBorders>
              <w:top w:val="nil"/>
              <w:left w:val="nil"/>
              <w:bottom w:val="single" w:sz="4" w:space="0" w:color="auto"/>
              <w:right w:val="single" w:sz="4" w:space="0" w:color="auto"/>
            </w:tcBorders>
            <w:vAlign w:val="center"/>
            <w:hideMark/>
          </w:tcPr>
          <w:p w14:paraId="1034FF8B"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164.5 ± 2.8</w:t>
            </w:r>
          </w:p>
        </w:tc>
        <w:tc>
          <w:tcPr>
            <w:tcW w:w="1741" w:type="dxa"/>
            <w:tcBorders>
              <w:top w:val="nil"/>
              <w:left w:val="nil"/>
              <w:bottom w:val="single" w:sz="4" w:space="0" w:color="auto"/>
              <w:right w:val="single" w:sz="4" w:space="0" w:color="auto"/>
            </w:tcBorders>
            <w:vAlign w:val="center"/>
            <w:hideMark/>
          </w:tcPr>
          <w:p w14:paraId="5C3C26C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74.5 ± 2.4</w:t>
            </w:r>
          </w:p>
        </w:tc>
        <w:tc>
          <w:tcPr>
            <w:tcW w:w="1498" w:type="dxa"/>
            <w:tcBorders>
              <w:top w:val="nil"/>
              <w:left w:val="nil"/>
              <w:bottom w:val="single" w:sz="4" w:space="0" w:color="auto"/>
              <w:right w:val="single" w:sz="4" w:space="0" w:color="auto"/>
            </w:tcBorders>
            <w:vAlign w:val="center"/>
            <w:hideMark/>
          </w:tcPr>
          <w:p w14:paraId="0AA86B60"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16.7 ± 0.2</w:t>
            </w:r>
          </w:p>
        </w:tc>
        <w:tc>
          <w:tcPr>
            <w:tcW w:w="1579" w:type="dxa"/>
            <w:tcBorders>
              <w:top w:val="nil"/>
              <w:left w:val="nil"/>
              <w:bottom w:val="single" w:sz="4" w:space="0" w:color="auto"/>
              <w:right w:val="single" w:sz="4" w:space="0" w:color="auto"/>
            </w:tcBorders>
            <w:vAlign w:val="center"/>
            <w:hideMark/>
          </w:tcPr>
          <w:p w14:paraId="7A2BF57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0.11</w:t>
            </w:r>
          </w:p>
        </w:tc>
      </w:tr>
      <w:tr w:rsidR="009F099A" w:rsidRPr="00311474" w14:paraId="3DBAAD91"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32E7651"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N59</w:t>
            </w:r>
          </w:p>
        </w:tc>
        <w:tc>
          <w:tcPr>
            <w:tcW w:w="1964" w:type="dxa"/>
            <w:tcBorders>
              <w:top w:val="nil"/>
              <w:left w:val="nil"/>
              <w:bottom w:val="single" w:sz="4" w:space="0" w:color="auto"/>
              <w:right w:val="single" w:sz="4" w:space="0" w:color="auto"/>
            </w:tcBorders>
            <w:vAlign w:val="center"/>
            <w:hideMark/>
          </w:tcPr>
          <w:p w14:paraId="087DF6C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70.0 ± 0.3</w:t>
            </w:r>
          </w:p>
        </w:tc>
        <w:tc>
          <w:tcPr>
            <w:tcW w:w="1741" w:type="dxa"/>
            <w:tcBorders>
              <w:top w:val="nil"/>
              <w:left w:val="nil"/>
              <w:bottom w:val="single" w:sz="4" w:space="0" w:color="auto"/>
              <w:right w:val="single" w:sz="4" w:space="0" w:color="auto"/>
            </w:tcBorders>
            <w:vAlign w:val="center"/>
            <w:hideMark/>
          </w:tcPr>
          <w:p w14:paraId="637081E9"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161.4 ± 2.9</w:t>
            </w:r>
          </w:p>
        </w:tc>
        <w:tc>
          <w:tcPr>
            <w:tcW w:w="1741" w:type="dxa"/>
            <w:tcBorders>
              <w:top w:val="nil"/>
              <w:left w:val="nil"/>
              <w:bottom w:val="single" w:sz="4" w:space="0" w:color="auto"/>
              <w:right w:val="single" w:sz="4" w:space="0" w:color="auto"/>
            </w:tcBorders>
            <w:vAlign w:val="center"/>
            <w:hideMark/>
          </w:tcPr>
          <w:p w14:paraId="6E34B72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69.3 ± 2.2</w:t>
            </w:r>
          </w:p>
        </w:tc>
        <w:tc>
          <w:tcPr>
            <w:tcW w:w="1498" w:type="dxa"/>
            <w:tcBorders>
              <w:top w:val="nil"/>
              <w:left w:val="nil"/>
              <w:bottom w:val="single" w:sz="4" w:space="0" w:color="auto"/>
              <w:right w:val="single" w:sz="4" w:space="0" w:color="auto"/>
            </w:tcBorders>
            <w:vAlign w:val="center"/>
            <w:hideMark/>
          </w:tcPr>
          <w:p w14:paraId="77629E5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16.9 ± 0.3</w:t>
            </w:r>
          </w:p>
        </w:tc>
        <w:tc>
          <w:tcPr>
            <w:tcW w:w="1579" w:type="dxa"/>
            <w:tcBorders>
              <w:top w:val="nil"/>
              <w:left w:val="nil"/>
              <w:bottom w:val="single" w:sz="4" w:space="0" w:color="auto"/>
              <w:right w:val="single" w:sz="4" w:space="0" w:color="auto"/>
            </w:tcBorders>
            <w:vAlign w:val="center"/>
            <w:hideMark/>
          </w:tcPr>
          <w:p w14:paraId="1D616DB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4.95 ± 0.10</w:t>
            </w:r>
          </w:p>
        </w:tc>
      </w:tr>
      <w:tr w:rsidR="009F099A" w:rsidRPr="00311474" w14:paraId="2F864831"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3DA17455"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N51 × N02</w:t>
            </w:r>
          </w:p>
        </w:tc>
        <w:tc>
          <w:tcPr>
            <w:tcW w:w="1964" w:type="dxa"/>
            <w:tcBorders>
              <w:top w:val="nil"/>
              <w:left w:val="nil"/>
              <w:bottom w:val="single" w:sz="4" w:space="0" w:color="auto"/>
              <w:right w:val="single" w:sz="4" w:space="0" w:color="auto"/>
            </w:tcBorders>
            <w:vAlign w:val="center"/>
            <w:hideMark/>
          </w:tcPr>
          <w:p w14:paraId="75F8C6D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63F1A190"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157.9 ± 3.0</w:t>
            </w:r>
          </w:p>
        </w:tc>
        <w:tc>
          <w:tcPr>
            <w:tcW w:w="1741" w:type="dxa"/>
            <w:tcBorders>
              <w:top w:val="nil"/>
              <w:left w:val="nil"/>
              <w:bottom w:val="single" w:sz="4" w:space="0" w:color="auto"/>
              <w:right w:val="single" w:sz="4" w:space="0" w:color="auto"/>
            </w:tcBorders>
            <w:vAlign w:val="center"/>
            <w:hideMark/>
          </w:tcPr>
          <w:p w14:paraId="47D001A1"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66.2 ± 2.3</w:t>
            </w:r>
          </w:p>
        </w:tc>
        <w:tc>
          <w:tcPr>
            <w:tcW w:w="1498" w:type="dxa"/>
            <w:tcBorders>
              <w:top w:val="nil"/>
              <w:left w:val="nil"/>
              <w:bottom w:val="single" w:sz="4" w:space="0" w:color="auto"/>
              <w:right w:val="single" w:sz="4" w:space="0" w:color="auto"/>
            </w:tcBorders>
            <w:vAlign w:val="center"/>
            <w:hideMark/>
          </w:tcPr>
          <w:p w14:paraId="11DB620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16.0 ± 0.2</w:t>
            </w:r>
          </w:p>
        </w:tc>
        <w:tc>
          <w:tcPr>
            <w:tcW w:w="1579" w:type="dxa"/>
            <w:tcBorders>
              <w:top w:val="nil"/>
              <w:left w:val="nil"/>
              <w:bottom w:val="single" w:sz="4" w:space="0" w:color="auto"/>
              <w:right w:val="single" w:sz="4" w:space="0" w:color="auto"/>
            </w:tcBorders>
            <w:vAlign w:val="center"/>
            <w:hideMark/>
          </w:tcPr>
          <w:p w14:paraId="284D10B2"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4.70 ± 0.09</w:t>
            </w:r>
          </w:p>
        </w:tc>
      </w:tr>
      <w:tr w:rsidR="009F099A" w:rsidRPr="00311474" w14:paraId="1D7510AD"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4D8C5D3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N02</w:t>
            </w:r>
          </w:p>
        </w:tc>
        <w:tc>
          <w:tcPr>
            <w:tcW w:w="1964" w:type="dxa"/>
            <w:tcBorders>
              <w:top w:val="nil"/>
              <w:left w:val="nil"/>
              <w:bottom w:val="single" w:sz="4" w:space="0" w:color="auto"/>
              <w:right w:val="single" w:sz="4" w:space="0" w:color="auto"/>
            </w:tcBorders>
            <w:vAlign w:val="center"/>
            <w:hideMark/>
          </w:tcPr>
          <w:p w14:paraId="1CE1B40B"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70.5 ± 0.3</w:t>
            </w:r>
          </w:p>
        </w:tc>
        <w:tc>
          <w:tcPr>
            <w:tcW w:w="1741" w:type="dxa"/>
            <w:tcBorders>
              <w:top w:val="nil"/>
              <w:left w:val="nil"/>
              <w:bottom w:val="single" w:sz="4" w:space="0" w:color="auto"/>
              <w:right w:val="single" w:sz="4" w:space="0" w:color="auto"/>
            </w:tcBorders>
            <w:vAlign w:val="center"/>
            <w:hideMark/>
          </w:tcPr>
          <w:p w14:paraId="19C4DD65"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161.1 ± 2.7</w:t>
            </w:r>
          </w:p>
        </w:tc>
        <w:tc>
          <w:tcPr>
            <w:tcW w:w="1741" w:type="dxa"/>
            <w:tcBorders>
              <w:top w:val="nil"/>
              <w:left w:val="nil"/>
              <w:bottom w:val="single" w:sz="4" w:space="0" w:color="auto"/>
              <w:right w:val="single" w:sz="4" w:space="0" w:color="auto"/>
            </w:tcBorders>
            <w:vAlign w:val="center"/>
            <w:hideMark/>
          </w:tcPr>
          <w:p w14:paraId="306E258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68.8 ± 2.1</w:t>
            </w:r>
          </w:p>
        </w:tc>
        <w:tc>
          <w:tcPr>
            <w:tcW w:w="1498" w:type="dxa"/>
            <w:tcBorders>
              <w:top w:val="nil"/>
              <w:left w:val="nil"/>
              <w:bottom w:val="single" w:sz="4" w:space="0" w:color="auto"/>
              <w:right w:val="single" w:sz="4" w:space="0" w:color="auto"/>
            </w:tcBorders>
            <w:vAlign w:val="center"/>
            <w:hideMark/>
          </w:tcPr>
          <w:p w14:paraId="0CA2DB4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16.9 ± 0.3</w:t>
            </w:r>
          </w:p>
        </w:tc>
        <w:tc>
          <w:tcPr>
            <w:tcW w:w="1579" w:type="dxa"/>
            <w:tcBorders>
              <w:top w:val="nil"/>
              <w:left w:val="nil"/>
              <w:bottom w:val="single" w:sz="4" w:space="0" w:color="auto"/>
              <w:right w:val="single" w:sz="4" w:space="0" w:color="auto"/>
            </w:tcBorders>
            <w:vAlign w:val="center"/>
            <w:hideMark/>
          </w:tcPr>
          <w:p w14:paraId="5EC3ED5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4.40 ± 0.08</w:t>
            </w:r>
          </w:p>
        </w:tc>
      </w:tr>
      <w:tr w:rsidR="009F099A" w:rsidRPr="00311474" w14:paraId="03F87213"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2F0D902B"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D666</w:t>
            </w:r>
          </w:p>
        </w:tc>
        <w:tc>
          <w:tcPr>
            <w:tcW w:w="1964" w:type="dxa"/>
            <w:tcBorders>
              <w:top w:val="nil"/>
              <w:left w:val="nil"/>
              <w:bottom w:val="single" w:sz="4" w:space="0" w:color="auto"/>
              <w:right w:val="single" w:sz="4" w:space="0" w:color="auto"/>
            </w:tcBorders>
            <w:vAlign w:val="center"/>
            <w:hideMark/>
          </w:tcPr>
          <w:p w14:paraId="36609ADD"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71.5 ± 0.4</w:t>
            </w:r>
          </w:p>
        </w:tc>
        <w:tc>
          <w:tcPr>
            <w:tcW w:w="1741" w:type="dxa"/>
            <w:tcBorders>
              <w:top w:val="nil"/>
              <w:left w:val="nil"/>
              <w:bottom w:val="single" w:sz="4" w:space="0" w:color="auto"/>
              <w:right w:val="single" w:sz="4" w:space="0" w:color="auto"/>
            </w:tcBorders>
            <w:vAlign w:val="center"/>
            <w:hideMark/>
          </w:tcPr>
          <w:p w14:paraId="3321D09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159.8 ± 2.8</w:t>
            </w:r>
          </w:p>
        </w:tc>
        <w:tc>
          <w:tcPr>
            <w:tcW w:w="1741" w:type="dxa"/>
            <w:tcBorders>
              <w:top w:val="nil"/>
              <w:left w:val="nil"/>
              <w:bottom w:val="single" w:sz="4" w:space="0" w:color="auto"/>
              <w:right w:val="single" w:sz="4" w:space="0" w:color="auto"/>
            </w:tcBorders>
            <w:vAlign w:val="center"/>
            <w:hideMark/>
          </w:tcPr>
          <w:p w14:paraId="334B6B6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66.9 ± 2.2</w:t>
            </w:r>
          </w:p>
        </w:tc>
        <w:tc>
          <w:tcPr>
            <w:tcW w:w="1498" w:type="dxa"/>
            <w:tcBorders>
              <w:top w:val="nil"/>
              <w:left w:val="nil"/>
              <w:bottom w:val="single" w:sz="4" w:space="0" w:color="auto"/>
              <w:right w:val="single" w:sz="4" w:space="0" w:color="auto"/>
            </w:tcBorders>
            <w:vAlign w:val="center"/>
            <w:hideMark/>
          </w:tcPr>
          <w:p w14:paraId="6F63F34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16.5 ± 0.3</w:t>
            </w:r>
          </w:p>
        </w:tc>
        <w:tc>
          <w:tcPr>
            <w:tcW w:w="1579" w:type="dxa"/>
            <w:tcBorders>
              <w:top w:val="nil"/>
              <w:left w:val="nil"/>
              <w:bottom w:val="single" w:sz="4" w:space="0" w:color="auto"/>
              <w:right w:val="single" w:sz="4" w:space="0" w:color="auto"/>
            </w:tcBorders>
            <w:vAlign w:val="center"/>
            <w:hideMark/>
          </w:tcPr>
          <w:p w14:paraId="6878F91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4.40 ± 0.09</w:t>
            </w:r>
          </w:p>
        </w:tc>
      </w:tr>
      <w:tr w:rsidR="009F099A" w:rsidRPr="00311474" w14:paraId="71EDFD14"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D3CF567" w14:textId="14E1B07B" w:rsidR="009F099A" w:rsidRPr="00983568" w:rsidRDefault="00983568"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1964" w:type="dxa"/>
            <w:tcBorders>
              <w:top w:val="nil"/>
              <w:left w:val="nil"/>
              <w:bottom w:val="single" w:sz="4" w:space="0" w:color="auto"/>
              <w:right w:val="single" w:sz="4" w:space="0" w:color="auto"/>
            </w:tcBorders>
            <w:vAlign w:val="center"/>
            <w:hideMark/>
          </w:tcPr>
          <w:p w14:paraId="569F5A9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72.0 ± 0.4</w:t>
            </w:r>
          </w:p>
        </w:tc>
        <w:tc>
          <w:tcPr>
            <w:tcW w:w="1741" w:type="dxa"/>
            <w:tcBorders>
              <w:top w:val="nil"/>
              <w:left w:val="nil"/>
              <w:bottom w:val="single" w:sz="4" w:space="0" w:color="auto"/>
              <w:right w:val="single" w:sz="4" w:space="0" w:color="auto"/>
            </w:tcBorders>
            <w:vAlign w:val="center"/>
            <w:hideMark/>
          </w:tcPr>
          <w:p w14:paraId="3A633B8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168.5 ± 3.1</w:t>
            </w:r>
          </w:p>
        </w:tc>
        <w:tc>
          <w:tcPr>
            <w:tcW w:w="1741" w:type="dxa"/>
            <w:tcBorders>
              <w:top w:val="nil"/>
              <w:left w:val="nil"/>
              <w:bottom w:val="single" w:sz="4" w:space="0" w:color="auto"/>
              <w:right w:val="single" w:sz="4" w:space="0" w:color="auto"/>
            </w:tcBorders>
            <w:vAlign w:val="center"/>
            <w:hideMark/>
          </w:tcPr>
          <w:p w14:paraId="0BEFA0B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73.9 ± 2.5</w:t>
            </w:r>
          </w:p>
        </w:tc>
        <w:tc>
          <w:tcPr>
            <w:tcW w:w="1498" w:type="dxa"/>
            <w:tcBorders>
              <w:top w:val="nil"/>
              <w:left w:val="nil"/>
              <w:bottom w:val="single" w:sz="4" w:space="0" w:color="auto"/>
              <w:right w:val="single" w:sz="4" w:space="0" w:color="auto"/>
            </w:tcBorders>
            <w:vAlign w:val="center"/>
            <w:hideMark/>
          </w:tcPr>
          <w:p w14:paraId="02F5F4FD"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15.8 ± 0.2</w:t>
            </w:r>
          </w:p>
        </w:tc>
        <w:tc>
          <w:tcPr>
            <w:tcW w:w="1579" w:type="dxa"/>
            <w:tcBorders>
              <w:top w:val="nil"/>
              <w:left w:val="nil"/>
              <w:bottom w:val="single" w:sz="4" w:space="0" w:color="auto"/>
              <w:right w:val="single" w:sz="4" w:space="0" w:color="auto"/>
            </w:tcBorders>
            <w:vAlign w:val="center"/>
            <w:hideMark/>
          </w:tcPr>
          <w:p w14:paraId="30C4333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4.25 ± 0.08</w:t>
            </w:r>
          </w:p>
        </w:tc>
      </w:tr>
      <w:tr w:rsidR="009F099A" w:rsidRPr="00311474" w14:paraId="4EC17638"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5212E445"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CV (%)</w:t>
            </w:r>
          </w:p>
        </w:tc>
        <w:tc>
          <w:tcPr>
            <w:tcW w:w="1964" w:type="dxa"/>
            <w:tcBorders>
              <w:top w:val="nil"/>
              <w:left w:val="nil"/>
              <w:bottom w:val="single" w:sz="4" w:space="0" w:color="auto"/>
              <w:right w:val="single" w:sz="4" w:space="0" w:color="auto"/>
            </w:tcBorders>
            <w:vAlign w:val="center"/>
            <w:hideMark/>
          </w:tcPr>
          <w:p w14:paraId="39CC1C95"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2.4</w:t>
            </w:r>
          </w:p>
        </w:tc>
        <w:tc>
          <w:tcPr>
            <w:tcW w:w="1741" w:type="dxa"/>
            <w:tcBorders>
              <w:top w:val="nil"/>
              <w:left w:val="nil"/>
              <w:bottom w:val="single" w:sz="4" w:space="0" w:color="auto"/>
              <w:right w:val="single" w:sz="4" w:space="0" w:color="auto"/>
            </w:tcBorders>
            <w:vAlign w:val="center"/>
            <w:hideMark/>
          </w:tcPr>
          <w:p w14:paraId="66716116"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5.1</w:t>
            </w:r>
          </w:p>
        </w:tc>
        <w:tc>
          <w:tcPr>
            <w:tcW w:w="1741" w:type="dxa"/>
            <w:tcBorders>
              <w:top w:val="nil"/>
              <w:left w:val="nil"/>
              <w:bottom w:val="single" w:sz="4" w:space="0" w:color="auto"/>
              <w:right w:val="single" w:sz="4" w:space="0" w:color="auto"/>
            </w:tcBorders>
            <w:vAlign w:val="center"/>
            <w:hideMark/>
          </w:tcPr>
          <w:p w14:paraId="26A6647B"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5.8</w:t>
            </w:r>
          </w:p>
        </w:tc>
        <w:tc>
          <w:tcPr>
            <w:tcW w:w="1498" w:type="dxa"/>
            <w:tcBorders>
              <w:top w:val="nil"/>
              <w:left w:val="nil"/>
              <w:bottom w:val="single" w:sz="4" w:space="0" w:color="auto"/>
              <w:right w:val="single" w:sz="4" w:space="0" w:color="auto"/>
            </w:tcBorders>
            <w:noWrap/>
            <w:vAlign w:val="center"/>
            <w:hideMark/>
          </w:tcPr>
          <w:p w14:paraId="58699434"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4.6</w:t>
            </w:r>
          </w:p>
        </w:tc>
        <w:tc>
          <w:tcPr>
            <w:tcW w:w="1579" w:type="dxa"/>
            <w:tcBorders>
              <w:top w:val="nil"/>
              <w:left w:val="nil"/>
              <w:bottom w:val="single" w:sz="4" w:space="0" w:color="auto"/>
              <w:right w:val="single" w:sz="4" w:space="0" w:color="auto"/>
            </w:tcBorders>
            <w:vAlign w:val="center"/>
            <w:hideMark/>
          </w:tcPr>
          <w:p w14:paraId="656780B4"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4.9</w:t>
            </w:r>
          </w:p>
        </w:tc>
      </w:tr>
      <w:tr w:rsidR="009F099A" w:rsidRPr="00311474" w14:paraId="7693A95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EE133B5"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LSD₀.₀₅</w:t>
            </w:r>
          </w:p>
        </w:tc>
        <w:tc>
          <w:tcPr>
            <w:tcW w:w="1964" w:type="dxa"/>
            <w:tcBorders>
              <w:top w:val="nil"/>
              <w:left w:val="nil"/>
              <w:bottom w:val="single" w:sz="4" w:space="0" w:color="auto"/>
              <w:right w:val="single" w:sz="4" w:space="0" w:color="auto"/>
            </w:tcBorders>
            <w:vAlign w:val="center"/>
            <w:hideMark/>
          </w:tcPr>
          <w:p w14:paraId="5089A023"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1</w:t>
            </w:r>
          </w:p>
        </w:tc>
        <w:tc>
          <w:tcPr>
            <w:tcW w:w="1741" w:type="dxa"/>
            <w:tcBorders>
              <w:top w:val="nil"/>
              <w:left w:val="nil"/>
              <w:bottom w:val="single" w:sz="4" w:space="0" w:color="auto"/>
              <w:right w:val="single" w:sz="4" w:space="0" w:color="auto"/>
            </w:tcBorders>
            <w:vAlign w:val="center"/>
            <w:hideMark/>
          </w:tcPr>
          <w:p w14:paraId="4AD14272"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8.5</w:t>
            </w:r>
          </w:p>
        </w:tc>
        <w:tc>
          <w:tcPr>
            <w:tcW w:w="1741" w:type="dxa"/>
            <w:tcBorders>
              <w:top w:val="nil"/>
              <w:left w:val="nil"/>
              <w:bottom w:val="single" w:sz="4" w:space="0" w:color="auto"/>
              <w:right w:val="single" w:sz="4" w:space="0" w:color="auto"/>
            </w:tcBorders>
            <w:vAlign w:val="center"/>
            <w:hideMark/>
          </w:tcPr>
          <w:p w14:paraId="58EEE030"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7.2</w:t>
            </w:r>
          </w:p>
        </w:tc>
        <w:tc>
          <w:tcPr>
            <w:tcW w:w="1498" w:type="dxa"/>
            <w:tcBorders>
              <w:top w:val="nil"/>
              <w:left w:val="nil"/>
              <w:bottom w:val="single" w:sz="4" w:space="0" w:color="auto"/>
              <w:right w:val="single" w:sz="4" w:space="0" w:color="auto"/>
            </w:tcBorders>
            <w:noWrap/>
            <w:vAlign w:val="center"/>
            <w:hideMark/>
          </w:tcPr>
          <w:p w14:paraId="5F1B63EF"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0.8</w:t>
            </w:r>
          </w:p>
        </w:tc>
        <w:tc>
          <w:tcPr>
            <w:tcW w:w="1579" w:type="dxa"/>
            <w:tcBorders>
              <w:top w:val="nil"/>
              <w:left w:val="nil"/>
              <w:bottom w:val="single" w:sz="4" w:space="0" w:color="auto"/>
              <w:right w:val="single" w:sz="4" w:space="0" w:color="auto"/>
            </w:tcBorders>
            <w:vAlign w:val="center"/>
            <w:hideMark/>
          </w:tcPr>
          <w:p w14:paraId="38D5A124"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0.35</w:t>
            </w:r>
          </w:p>
        </w:tc>
      </w:tr>
    </w:tbl>
    <w:p w14:paraId="3B604464" w14:textId="77777777" w:rsidR="009F099A" w:rsidRPr="00311474" w:rsidRDefault="009F099A">
      <w:pPr>
        <w:rPr>
          <w:rFonts w:ascii="Times New Roman" w:hAnsi="Times New Roman" w:cs="Times New Roman"/>
        </w:rPr>
      </w:pPr>
    </w:p>
    <w:p w14:paraId="40BABF36"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The combined analysis of agro-biological traits across two cropping seasons revealed relatively clear differences among hybrid combinations in growth duration and yield components compared with the control variety HN68. Overall, the hybrids not only ensured good ecological adaptability but also expressed several superior morphological and yield-related characteristics.</w:t>
      </w:r>
    </w:p>
    <w:p w14:paraId="57463F7A"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Regarding days to harvest, the hybrids ranged from 70.0 to 73.0 days, which was comparable to or only slightly different from the control (72.0 days). Some combinations, such as N19 × N59 (70.0 days), N19 × N02 (70.5 days), and N19 × N7B (71.0 days), tended to mature earlier, demonstrating an advantage in shortened growth duration. This trait is agronomically meaningful for multiple-cropping systems, particularly under production conditions that require avoidance of late-season constraints (e.g., heavy rainfall, pest pressure, or high temperatures). Most of the remaining hybrids were classified as medium-maturing, indicating broad adaptability and suitability for the prevailing cropping calendar.</w:t>
      </w:r>
    </w:p>
    <w:p w14:paraId="3CFE0263"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Plant height varied considerably (138.0–184.1 cm), reflecting substantial phenotypic diversity among the hybrids. The N59 × N15 combination exhibited the greatest plant height (184.1 cm), followed by N02 × N7B (177.7 cm) and D666 × N15 (174.8 cm), all taller than the </w:t>
      </w:r>
      <w:r w:rsidRPr="009F099A">
        <w:rPr>
          <w:rFonts w:ascii="Times New Roman" w:hAnsi="Times New Roman" w:cs="Times New Roman"/>
        </w:rPr>
        <w:lastRenderedPageBreak/>
        <w:t>control (168.5 cm). However, excessive plant height may increase lodging risk under strong winds or high planting densities. In contrast, N19 × N7B showed the shortest plant height (138.0 cm), suggesting a more balanced growth habit. Hybrids with moderate plant height (150–170 cm), such as N02 × N59, N19 × N59, and N19 × N02, are considered agronomically favorable, as they combine vigorous growth with improved lodging resistance.</w:t>
      </w:r>
    </w:p>
    <w:p w14:paraId="77AE6C59"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Ear placement height ranged from 63.7 to 96.1 cm. N59 × N15 (96.1 cm) and N02 × N7B (92.9 cm) exhibited higher ear placement, which may facilitate manual harvesting but could also increase the plant’s center of gravity and lodging susceptibility. Conversely, N19 × N7B (63.7 cm) and N02 × N15 (65.4 cm) had lower ear placement, contributing to greater lodging resistance and field stability. Compared with the control (73.9 cm), many hybrids had similar or lower ear placement, indicating a relatively balanced plant architecture between vegetative and reproductive growth.</w:t>
      </w:r>
    </w:p>
    <w:p w14:paraId="797F911C"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For yield components, ear length ranged from 16.0 to 18.2 cm, exceeding that of the control (15.8 cm). The most outstanding combination was N59 × N15 (18.2 cm), followed by N02 × N7B (17.2 cm) and N02 × N15 (17.0 cm). Increased ear length suggests a higher potential number of kernel rows and kernels per row, thereby contributing to enhanced yield potential. Similarly, ear diameter ranged from 4.4 to 5.05 cm, clearly surpassing the control (4.25 cm). The combinations N02 × N7B, N59 × N15, and N02 × N59 achieved the largest ear diameter (5.05 cm), demonstrating marked heterotic advantages in ear size—an important determinant of yield and market value in waxy maize.</w:t>
      </w:r>
    </w:p>
    <w:p w14:paraId="2DEEC5E6"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Overall, several hybrid combinations, particularly N59 × N15, N02 × N7B, and N02 × N59, not only maintained suitable growth duration but also exhibited balanced plant architecture and superior ear size compared with the control HN68. These phenotypic advantages are consistent with the previous combining ability analysis, in which lines N02 and N59 frequently displayed high GCA values and produced hybrids with outstanding SCA effects. This correspondence highlights the close relationship between genetic parameters and field performance, thereby strengthening the scientific basis for selecting promising waxy maize hybrids in breeding programs.</w:t>
      </w:r>
    </w:p>
    <w:p w14:paraId="2D3AB5B1" w14:textId="77777777" w:rsidR="00976FE9" w:rsidRDefault="00976FE9" w:rsidP="00976FE9">
      <w:pPr>
        <w:spacing w:after="0" w:line="288" w:lineRule="auto"/>
        <w:jc w:val="center"/>
        <w:rPr>
          <w:rFonts w:ascii="Times New Roman" w:hAnsi="Times New Roman" w:cs="Times New Roman"/>
          <w:b/>
          <w:bCs/>
        </w:rPr>
      </w:pPr>
      <w:r w:rsidRPr="00976FE9">
        <w:rPr>
          <w:rFonts w:ascii="Times New Roman" w:hAnsi="Times New Roman" w:cs="Times New Roman"/>
          <w:b/>
          <w:bCs/>
        </w:rPr>
        <w:t xml:space="preserve">Table 5. Summary of </w:t>
      </w:r>
      <w:r>
        <w:rPr>
          <w:rFonts w:ascii="Times New Roman" w:hAnsi="Times New Roman" w:cs="Times New Roman"/>
          <w:b/>
          <w:bCs/>
        </w:rPr>
        <w:t>p</w:t>
      </w:r>
      <w:r w:rsidRPr="00976FE9">
        <w:rPr>
          <w:rFonts w:ascii="Times New Roman" w:hAnsi="Times New Roman" w:cs="Times New Roman"/>
          <w:b/>
          <w:bCs/>
        </w:rPr>
        <w:t xml:space="preserve">est and </w:t>
      </w:r>
      <w:r>
        <w:rPr>
          <w:rFonts w:ascii="Times New Roman" w:hAnsi="Times New Roman" w:cs="Times New Roman"/>
          <w:b/>
          <w:bCs/>
        </w:rPr>
        <w:t>d</w:t>
      </w:r>
      <w:r w:rsidRPr="00976FE9">
        <w:rPr>
          <w:rFonts w:ascii="Times New Roman" w:hAnsi="Times New Roman" w:cs="Times New Roman"/>
          <w:b/>
          <w:bCs/>
        </w:rPr>
        <w:t xml:space="preserve">isease </w:t>
      </w:r>
      <w:r>
        <w:rPr>
          <w:rFonts w:ascii="Times New Roman" w:hAnsi="Times New Roman" w:cs="Times New Roman"/>
          <w:b/>
          <w:bCs/>
        </w:rPr>
        <w:t>r</w:t>
      </w:r>
      <w:r w:rsidRPr="00976FE9">
        <w:rPr>
          <w:rFonts w:ascii="Times New Roman" w:hAnsi="Times New Roman" w:cs="Times New Roman"/>
          <w:b/>
          <w:bCs/>
        </w:rPr>
        <w:t xml:space="preserve">esistance and </w:t>
      </w:r>
      <w:r>
        <w:rPr>
          <w:rFonts w:ascii="Times New Roman" w:hAnsi="Times New Roman" w:cs="Times New Roman"/>
          <w:b/>
          <w:bCs/>
        </w:rPr>
        <w:t>r</w:t>
      </w:r>
      <w:r w:rsidRPr="00976FE9">
        <w:rPr>
          <w:rFonts w:ascii="Times New Roman" w:hAnsi="Times New Roman" w:cs="Times New Roman"/>
          <w:b/>
          <w:bCs/>
        </w:rPr>
        <w:t xml:space="preserve">oot </w:t>
      </w:r>
      <w:r>
        <w:rPr>
          <w:rFonts w:ascii="Times New Roman" w:hAnsi="Times New Roman" w:cs="Times New Roman"/>
          <w:b/>
          <w:bCs/>
        </w:rPr>
        <w:t>l</w:t>
      </w:r>
      <w:r w:rsidRPr="00976FE9">
        <w:rPr>
          <w:rFonts w:ascii="Times New Roman" w:hAnsi="Times New Roman" w:cs="Times New Roman"/>
          <w:b/>
          <w:bCs/>
        </w:rPr>
        <w:t xml:space="preserve">odging </w:t>
      </w:r>
      <w:r>
        <w:rPr>
          <w:rFonts w:ascii="Times New Roman" w:hAnsi="Times New Roman" w:cs="Times New Roman"/>
          <w:b/>
          <w:bCs/>
        </w:rPr>
        <w:t>r</w:t>
      </w:r>
      <w:r w:rsidRPr="00976FE9">
        <w:rPr>
          <w:rFonts w:ascii="Times New Roman" w:hAnsi="Times New Roman" w:cs="Times New Roman"/>
          <w:b/>
          <w:bCs/>
        </w:rPr>
        <w:t>esistance</w:t>
      </w:r>
    </w:p>
    <w:p w14:paraId="7DD716C5" w14:textId="65774FBB" w:rsidR="009F099A" w:rsidRPr="00311474" w:rsidRDefault="00976FE9" w:rsidP="00976FE9">
      <w:pPr>
        <w:spacing w:after="0" w:line="288" w:lineRule="auto"/>
        <w:jc w:val="center"/>
        <w:rPr>
          <w:rFonts w:ascii="Times New Roman" w:hAnsi="Times New Roman" w:cs="Times New Roman"/>
          <w:b/>
          <w:bCs/>
        </w:rPr>
      </w:pPr>
      <w:r w:rsidRPr="00976FE9">
        <w:rPr>
          <w:rFonts w:ascii="Times New Roman" w:hAnsi="Times New Roman" w:cs="Times New Roman"/>
          <w:b/>
          <w:bCs/>
        </w:rPr>
        <w:t xml:space="preserve"> (Mean of </w:t>
      </w:r>
      <w:r>
        <w:rPr>
          <w:rFonts w:ascii="Times New Roman" w:hAnsi="Times New Roman" w:cs="Times New Roman"/>
          <w:b/>
          <w:bCs/>
        </w:rPr>
        <w:t>t</w:t>
      </w:r>
      <w:r w:rsidRPr="00976FE9">
        <w:rPr>
          <w:rFonts w:ascii="Times New Roman" w:hAnsi="Times New Roman" w:cs="Times New Roman"/>
          <w:b/>
          <w:bCs/>
        </w:rPr>
        <w:t xml:space="preserve">wo </w:t>
      </w:r>
      <w:r>
        <w:rPr>
          <w:rFonts w:ascii="Times New Roman" w:hAnsi="Times New Roman" w:cs="Times New Roman"/>
          <w:b/>
          <w:bCs/>
        </w:rPr>
        <w:t>s</w:t>
      </w:r>
      <w:r w:rsidRPr="00976FE9">
        <w:rPr>
          <w:rFonts w:ascii="Times New Roman" w:hAnsi="Times New Roman" w:cs="Times New Roman"/>
          <w:b/>
          <w:bCs/>
        </w:rPr>
        <w:t>easons)</w:t>
      </w:r>
    </w:p>
    <w:tbl>
      <w:tblPr>
        <w:tblW w:w="9870" w:type="dxa"/>
        <w:tblLook w:val="04A0" w:firstRow="1" w:lastRow="0" w:firstColumn="1" w:lastColumn="0" w:noHBand="0" w:noVBand="1"/>
      </w:tblPr>
      <w:tblGrid>
        <w:gridCol w:w="1785"/>
        <w:gridCol w:w="1260"/>
        <w:gridCol w:w="1260"/>
        <w:gridCol w:w="1260"/>
        <w:gridCol w:w="1260"/>
        <w:gridCol w:w="1260"/>
        <w:gridCol w:w="1785"/>
      </w:tblGrid>
      <w:tr w:rsidR="009F099A" w:rsidRPr="00311474" w14:paraId="353D9A6B" w14:textId="77777777" w:rsidTr="00983568">
        <w:trPr>
          <w:trHeight w:val="865"/>
        </w:trPr>
        <w:tc>
          <w:tcPr>
            <w:tcW w:w="1785" w:type="dxa"/>
            <w:tcBorders>
              <w:top w:val="single" w:sz="4" w:space="0" w:color="auto"/>
              <w:left w:val="single" w:sz="4" w:space="0" w:color="auto"/>
              <w:bottom w:val="single" w:sz="4" w:space="0" w:color="auto"/>
              <w:right w:val="single" w:sz="4" w:space="0" w:color="auto"/>
            </w:tcBorders>
            <w:vAlign w:val="center"/>
            <w:hideMark/>
          </w:tcPr>
          <w:p w14:paraId="3F9183B2" w14:textId="1C6EEE88" w:rsidR="009F099A" w:rsidRPr="00983568" w:rsidRDefault="00983568"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Hybrid combination</w:t>
            </w:r>
          </w:p>
        </w:tc>
        <w:tc>
          <w:tcPr>
            <w:tcW w:w="1260" w:type="dxa"/>
            <w:tcBorders>
              <w:top w:val="single" w:sz="4" w:space="0" w:color="auto"/>
              <w:left w:val="nil"/>
              <w:bottom w:val="single" w:sz="4" w:space="0" w:color="auto"/>
              <w:right w:val="single" w:sz="4" w:space="0" w:color="auto"/>
            </w:tcBorders>
            <w:vAlign w:val="center"/>
            <w:hideMark/>
          </w:tcPr>
          <w:p w14:paraId="4C762572" w14:textId="0A45092C" w:rsidR="009F099A" w:rsidRPr="00983568" w:rsidRDefault="00983568"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Stem borer</w:t>
            </w:r>
          </w:p>
        </w:tc>
        <w:tc>
          <w:tcPr>
            <w:tcW w:w="1260" w:type="dxa"/>
            <w:tcBorders>
              <w:top w:val="single" w:sz="4" w:space="0" w:color="auto"/>
              <w:left w:val="nil"/>
              <w:bottom w:val="single" w:sz="4" w:space="0" w:color="auto"/>
              <w:right w:val="single" w:sz="4" w:space="0" w:color="auto"/>
            </w:tcBorders>
            <w:vAlign w:val="center"/>
            <w:hideMark/>
          </w:tcPr>
          <w:p w14:paraId="6B8761D3" w14:textId="761E394C" w:rsidR="009F099A" w:rsidRPr="00983568" w:rsidRDefault="00983568"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Ear borer</w:t>
            </w:r>
          </w:p>
        </w:tc>
        <w:tc>
          <w:tcPr>
            <w:tcW w:w="1260" w:type="dxa"/>
            <w:tcBorders>
              <w:top w:val="single" w:sz="4" w:space="0" w:color="auto"/>
              <w:left w:val="nil"/>
              <w:bottom w:val="single" w:sz="4" w:space="0" w:color="auto"/>
              <w:right w:val="single" w:sz="4" w:space="0" w:color="auto"/>
            </w:tcBorders>
            <w:vAlign w:val="center"/>
            <w:hideMark/>
          </w:tcPr>
          <w:p w14:paraId="43C0CC92" w14:textId="4C7E47C0" w:rsidR="009F099A" w:rsidRPr="00983568" w:rsidRDefault="00983568"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Sheath blight</w:t>
            </w:r>
          </w:p>
        </w:tc>
        <w:tc>
          <w:tcPr>
            <w:tcW w:w="1260" w:type="dxa"/>
            <w:tcBorders>
              <w:top w:val="single" w:sz="4" w:space="0" w:color="auto"/>
              <w:left w:val="nil"/>
              <w:bottom w:val="single" w:sz="4" w:space="0" w:color="auto"/>
              <w:right w:val="single" w:sz="4" w:space="0" w:color="auto"/>
            </w:tcBorders>
            <w:vAlign w:val="center"/>
            <w:hideMark/>
          </w:tcPr>
          <w:p w14:paraId="5674CCB0" w14:textId="1668DDDB" w:rsidR="009F099A" w:rsidRPr="00983568" w:rsidRDefault="00983568"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Southern leaf blight</w:t>
            </w:r>
          </w:p>
        </w:tc>
        <w:tc>
          <w:tcPr>
            <w:tcW w:w="1260" w:type="dxa"/>
            <w:tcBorders>
              <w:top w:val="single" w:sz="4" w:space="0" w:color="auto"/>
              <w:left w:val="nil"/>
              <w:bottom w:val="single" w:sz="4" w:space="0" w:color="auto"/>
              <w:right w:val="single" w:sz="4" w:space="0" w:color="auto"/>
            </w:tcBorders>
            <w:vAlign w:val="center"/>
            <w:hideMark/>
          </w:tcPr>
          <w:p w14:paraId="59DD58FF" w14:textId="63420A1B" w:rsidR="009F099A" w:rsidRPr="00983568" w:rsidRDefault="00983568"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Root lodging</w:t>
            </w:r>
          </w:p>
        </w:tc>
        <w:tc>
          <w:tcPr>
            <w:tcW w:w="1785" w:type="dxa"/>
            <w:tcBorders>
              <w:top w:val="single" w:sz="4" w:space="0" w:color="auto"/>
              <w:left w:val="nil"/>
              <w:bottom w:val="single" w:sz="4" w:space="0" w:color="auto"/>
              <w:right w:val="single" w:sz="4" w:space="0" w:color="auto"/>
            </w:tcBorders>
            <w:vAlign w:val="center"/>
            <w:hideMark/>
          </w:tcPr>
          <w:p w14:paraId="1BAC1F68" w14:textId="40943C4B" w:rsidR="009F099A" w:rsidRPr="00983568" w:rsidRDefault="00983568"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Resistance rating</w:t>
            </w:r>
          </w:p>
        </w:tc>
      </w:tr>
      <w:tr w:rsidR="00983568" w:rsidRPr="00311474" w14:paraId="1C402918"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1759D935"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N02 × N7B</w:t>
            </w:r>
          </w:p>
        </w:tc>
        <w:tc>
          <w:tcPr>
            <w:tcW w:w="1260" w:type="dxa"/>
            <w:tcBorders>
              <w:top w:val="nil"/>
              <w:left w:val="nil"/>
              <w:bottom w:val="single" w:sz="4" w:space="0" w:color="auto"/>
              <w:right w:val="single" w:sz="4" w:space="0" w:color="auto"/>
            </w:tcBorders>
            <w:vAlign w:val="center"/>
            <w:hideMark/>
          </w:tcPr>
          <w:p w14:paraId="6CEE9407"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7B1BF37"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9015F66"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64B58B4B"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23ADA1C7"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hideMark/>
          </w:tcPr>
          <w:p w14:paraId="5724077D" w14:textId="45AA728F"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Very good</w:t>
            </w:r>
          </w:p>
        </w:tc>
      </w:tr>
      <w:tr w:rsidR="00983568" w:rsidRPr="00311474" w14:paraId="72A1A62B"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647539A9"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N59 × N15</w:t>
            </w:r>
          </w:p>
        </w:tc>
        <w:tc>
          <w:tcPr>
            <w:tcW w:w="1260" w:type="dxa"/>
            <w:tcBorders>
              <w:top w:val="nil"/>
              <w:left w:val="nil"/>
              <w:bottom w:val="single" w:sz="4" w:space="0" w:color="auto"/>
              <w:right w:val="single" w:sz="4" w:space="0" w:color="auto"/>
            </w:tcBorders>
            <w:vAlign w:val="center"/>
            <w:hideMark/>
          </w:tcPr>
          <w:p w14:paraId="0031EE3A"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68CD4C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33CBA87E"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270BB596"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0741EFF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hideMark/>
          </w:tcPr>
          <w:p w14:paraId="079ED017" w14:textId="251DA752"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Very good</w:t>
            </w:r>
          </w:p>
        </w:tc>
      </w:tr>
      <w:tr w:rsidR="00983568" w:rsidRPr="00311474" w14:paraId="1073FBCB"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3E70B915"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N19 × N59</w:t>
            </w:r>
          </w:p>
        </w:tc>
        <w:tc>
          <w:tcPr>
            <w:tcW w:w="1260" w:type="dxa"/>
            <w:tcBorders>
              <w:top w:val="nil"/>
              <w:left w:val="nil"/>
              <w:bottom w:val="single" w:sz="4" w:space="0" w:color="auto"/>
              <w:right w:val="single" w:sz="4" w:space="0" w:color="auto"/>
            </w:tcBorders>
            <w:vAlign w:val="center"/>
            <w:hideMark/>
          </w:tcPr>
          <w:p w14:paraId="05791F0B"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2A8964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68990A5C"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522F67F4"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7FB3D121"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hideMark/>
          </w:tcPr>
          <w:p w14:paraId="306AE8DC" w14:textId="4DE3E0FD"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Very good</w:t>
            </w:r>
          </w:p>
        </w:tc>
      </w:tr>
      <w:tr w:rsidR="009F099A" w:rsidRPr="00311474" w14:paraId="3D6F70EE"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4C8F533E"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N02 × N59</w:t>
            </w:r>
          </w:p>
        </w:tc>
        <w:tc>
          <w:tcPr>
            <w:tcW w:w="1260" w:type="dxa"/>
            <w:tcBorders>
              <w:top w:val="nil"/>
              <w:left w:val="nil"/>
              <w:bottom w:val="single" w:sz="4" w:space="0" w:color="auto"/>
              <w:right w:val="single" w:sz="4" w:space="0" w:color="auto"/>
            </w:tcBorders>
            <w:vAlign w:val="center"/>
            <w:hideMark/>
          </w:tcPr>
          <w:p w14:paraId="317949B7"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50DC34E"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4C0A484C"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418477F5"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11FABE82"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vAlign w:val="center"/>
            <w:hideMark/>
          </w:tcPr>
          <w:p w14:paraId="5B6B4629" w14:textId="105EBC13" w:rsidR="009F099A" w:rsidRPr="00983568" w:rsidRDefault="00983568"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Good</w:t>
            </w:r>
          </w:p>
        </w:tc>
      </w:tr>
      <w:tr w:rsidR="00983568" w:rsidRPr="00311474" w14:paraId="42F70E0F"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774C32B9"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N02 × N15</w:t>
            </w:r>
          </w:p>
        </w:tc>
        <w:tc>
          <w:tcPr>
            <w:tcW w:w="1260" w:type="dxa"/>
            <w:tcBorders>
              <w:top w:val="nil"/>
              <w:left w:val="nil"/>
              <w:bottom w:val="single" w:sz="4" w:space="0" w:color="auto"/>
              <w:right w:val="single" w:sz="4" w:space="0" w:color="auto"/>
            </w:tcBorders>
            <w:vAlign w:val="center"/>
            <w:hideMark/>
          </w:tcPr>
          <w:p w14:paraId="4142E25C"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3DF2C6B4"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25BDB4B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79CABBB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260" w:type="dxa"/>
            <w:tcBorders>
              <w:top w:val="nil"/>
              <w:left w:val="nil"/>
              <w:bottom w:val="single" w:sz="4" w:space="0" w:color="auto"/>
              <w:right w:val="single" w:sz="4" w:space="0" w:color="auto"/>
            </w:tcBorders>
            <w:vAlign w:val="center"/>
            <w:hideMark/>
          </w:tcPr>
          <w:p w14:paraId="718FBF74"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hideMark/>
          </w:tcPr>
          <w:p w14:paraId="32B0C80B" w14:textId="7D84799A"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Fair</w:t>
            </w:r>
          </w:p>
        </w:tc>
      </w:tr>
      <w:tr w:rsidR="00983568" w:rsidRPr="00311474" w14:paraId="1BAB776E"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1AE33AE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N02 × D666</w:t>
            </w:r>
          </w:p>
        </w:tc>
        <w:tc>
          <w:tcPr>
            <w:tcW w:w="1260" w:type="dxa"/>
            <w:tcBorders>
              <w:top w:val="nil"/>
              <w:left w:val="nil"/>
              <w:bottom w:val="single" w:sz="4" w:space="0" w:color="auto"/>
              <w:right w:val="single" w:sz="4" w:space="0" w:color="auto"/>
            </w:tcBorders>
            <w:vAlign w:val="center"/>
            <w:hideMark/>
          </w:tcPr>
          <w:p w14:paraId="1A57878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2AF66D0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4AC18779"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7D77164E"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5C9F970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785" w:type="dxa"/>
            <w:tcBorders>
              <w:top w:val="nil"/>
              <w:left w:val="nil"/>
              <w:bottom w:val="single" w:sz="4" w:space="0" w:color="auto"/>
              <w:right w:val="single" w:sz="4" w:space="0" w:color="auto"/>
            </w:tcBorders>
            <w:hideMark/>
          </w:tcPr>
          <w:p w14:paraId="71711E7C" w14:textId="718C7EFF"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Fair</w:t>
            </w:r>
          </w:p>
        </w:tc>
      </w:tr>
      <w:tr w:rsidR="00983568" w:rsidRPr="00311474" w14:paraId="31E600E1"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1C117E85"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D666 × N15</w:t>
            </w:r>
          </w:p>
        </w:tc>
        <w:tc>
          <w:tcPr>
            <w:tcW w:w="1260" w:type="dxa"/>
            <w:tcBorders>
              <w:top w:val="nil"/>
              <w:left w:val="nil"/>
              <w:bottom w:val="single" w:sz="4" w:space="0" w:color="auto"/>
              <w:right w:val="single" w:sz="4" w:space="0" w:color="auto"/>
            </w:tcBorders>
            <w:vAlign w:val="center"/>
            <w:hideMark/>
          </w:tcPr>
          <w:p w14:paraId="662F79B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465CA98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6BDFC620"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02C0BB0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36D3C9B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785" w:type="dxa"/>
            <w:tcBorders>
              <w:top w:val="nil"/>
              <w:left w:val="nil"/>
              <w:bottom w:val="single" w:sz="4" w:space="0" w:color="auto"/>
              <w:right w:val="single" w:sz="4" w:space="0" w:color="auto"/>
            </w:tcBorders>
            <w:hideMark/>
          </w:tcPr>
          <w:p w14:paraId="75ED7673" w14:textId="7A51EF79"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Moderate</w:t>
            </w:r>
          </w:p>
        </w:tc>
      </w:tr>
      <w:tr w:rsidR="00983568" w:rsidRPr="00311474" w14:paraId="015F2D16"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5FBC8F2E"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lastRenderedPageBreak/>
              <w:t>N19 × N7B</w:t>
            </w:r>
          </w:p>
        </w:tc>
        <w:tc>
          <w:tcPr>
            <w:tcW w:w="1260" w:type="dxa"/>
            <w:tcBorders>
              <w:top w:val="nil"/>
              <w:left w:val="nil"/>
              <w:bottom w:val="single" w:sz="4" w:space="0" w:color="auto"/>
              <w:right w:val="single" w:sz="4" w:space="0" w:color="auto"/>
            </w:tcBorders>
            <w:vAlign w:val="center"/>
            <w:hideMark/>
          </w:tcPr>
          <w:p w14:paraId="5FCDB09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70FBE19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0A09AD01"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303EC8B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73A70E0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785" w:type="dxa"/>
            <w:tcBorders>
              <w:top w:val="nil"/>
              <w:left w:val="nil"/>
              <w:bottom w:val="single" w:sz="4" w:space="0" w:color="auto"/>
              <w:right w:val="single" w:sz="4" w:space="0" w:color="auto"/>
            </w:tcBorders>
            <w:hideMark/>
          </w:tcPr>
          <w:p w14:paraId="6AD17AC1" w14:textId="6AC353D5"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Moderate</w:t>
            </w:r>
          </w:p>
        </w:tc>
      </w:tr>
      <w:tr w:rsidR="00983568" w:rsidRPr="00311474" w14:paraId="4D658179"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3B5158EB"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N51 × N02</w:t>
            </w:r>
          </w:p>
        </w:tc>
        <w:tc>
          <w:tcPr>
            <w:tcW w:w="1260" w:type="dxa"/>
            <w:tcBorders>
              <w:top w:val="nil"/>
              <w:left w:val="nil"/>
              <w:bottom w:val="single" w:sz="4" w:space="0" w:color="auto"/>
              <w:right w:val="single" w:sz="4" w:space="0" w:color="auto"/>
            </w:tcBorders>
            <w:vAlign w:val="center"/>
            <w:hideMark/>
          </w:tcPr>
          <w:p w14:paraId="3ACD047E"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260" w:type="dxa"/>
            <w:tcBorders>
              <w:top w:val="nil"/>
              <w:left w:val="nil"/>
              <w:bottom w:val="single" w:sz="4" w:space="0" w:color="auto"/>
              <w:right w:val="single" w:sz="4" w:space="0" w:color="auto"/>
            </w:tcBorders>
            <w:vAlign w:val="center"/>
            <w:hideMark/>
          </w:tcPr>
          <w:p w14:paraId="663221E6"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2C4B6360"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63302626"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49347C8F"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785" w:type="dxa"/>
            <w:tcBorders>
              <w:top w:val="nil"/>
              <w:left w:val="nil"/>
              <w:bottom w:val="single" w:sz="4" w:space="0" w:color="auto"/>
              <w:right w:val="single" w:sz="4" w:space="0" w:color="auto"/>
            </w:tcBorders>
            <w:hideMark/>
          </w:tcPr>
          <w:p w14:paraId="7D9B6458" w14:textId="179B2B1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Moderate</w:t>
            </w:r>
          </w:p>
        </w:tc>
      </w:tr>
      <w:tr w:rsidR="009F099A" w:rsidRPr="00311474" w14:paraId="55FCAA0F"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4A24E263"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N27 × N59</w:t>
            </w:r>
          </w:p>
        </w:tc>
        <w:tc>
          <w:tcPr>
            <w:tcW w:w="1260" w:type="dxa"/>
            <w:tcBorders>
              <w:top w:val="nil"/>
              <w:left w:val="nil"/>
              <w:bottom w:val="single" w:sz="4" w:space="0" w:color="auto"/>
              <w:right w:val="single" w:sz="4" w:space="0" w:color="auto"/>
            </w:tcBorders>
            <w:vAlign w:val="center"/>
            <w:hideMark/>
          </w:tcPr>
          <w:p w14:paraId="040DCB3B"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260" w:type="dxa"/>
            <w:tcBorders>
              <w:top w:val="nil"/>
              <w:left w:val="nil"/>
              <w:bottom w:val="single" w:sz="4" w:space="0" w:color="auto"/>
              <w:right w:val="single" w:sz="4" w:space="0" w:color="auto"/>
            </w:tcBorders>
            <w:vAlign w:val="center"/>
            <w:hideMark/>
          </w:tcPr>
          <w:p w14:paraId="203A530E"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7890F189"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6B8F1079"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6A77EDF6"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785" w:type="dxa"/>
            <w:tcBorders>
              <w:top w:val="nil"/>
              <w:left w:val="nil"/>
              <w:bottom w:val="single" w:sz="4" w:space="0" w:color="auto"/>
              <w:right w:val="single" w:sz="4" w:space="0" w:color="auto"/>
            </w:tcBorders>
            <w:vAlign w:val="center"/>
            <w:hideMark/>
          </w:tcPr>
          <w:p w14:paraId="15F0E7E3" w14:textId="4684F382" w:rsidR="009F099A" w:rsidRPr="00983568" w:rsidRDefault="00983568"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Poor</w:t>
            </w:r>
          </w:p>
        </w:tc>
      </w:tr>
      <w:tr w:rsidR="009F099A" w:rsidRPr="00311474" w14:paraId="0AAADCCA"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5914DCEF"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N19 × N02</w:t>
            </w:r>
          </w:p>
        </w:tc>
        <w:tc>
          <w:tcPr>
            <w:tcW w:w="1260" w:type="dxa"/>
            <w:tcBorders>
              <w:top w:val="nil"/>
              <w:left w:val="nil"/>
              <w:bottom w:val="single" w:sz="4" w:space="0" w:color="auto"/>
              <w:right w:val="single" w:sz="4" w:space="0" w:color="auto"/>
            </w:tcBorders>
            <w:vAlign w:val="center"/>
            <w:hideMark/>
          </w:tcPr>
          <w:p w14:paraId="106CB4B6"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355D7592"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5D743881"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2.5</w:t>
            </w:r>
          </w:p>
        </w:tc>
        <w:tc>
          <w:tcPr>
            <w:tcW w:w="1260" w:type="dxa"/>
            <w:tcBorders>
              <w:top w:val="nil"/>
              <w:left w:val="nil"/>
              <w:bottom w:val="single" w:sz="4" w:space="0" w:color="auto"/>
              <w:right w:val="single" w:sz="4" w:space="0" w:color="auto"/>
            </w:tcBorders>
            <w:vAlign w:val="center"/>
            <w:hideMark/>
          </w:tcPr>
          <w:p w14:paraId="4EA89E3B"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2.5</w:t>
            </w:r>
          </w:p>
        </w:tc>
        <w:tc>
          <w:tcPr>
            <w:tcW w:w="1260" w:type="dxa"/>
            <w:tcBorders>
              <w:top w:val="nil"/>
              <w:left w:val="nil"/>
              <w:bottom w:val="single" w:sz="4" w:space="0" w:color="auto"/>
              <w:right w:val="single" w:sz="4" w:space="0" w:color="auto"/>
            </w:tcBorders>
            <w:vAlign w:val="center"/>
            <w:hideMark/>
          </w:tcPr>
          <w:p w14:paraId="35CB1075"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785" w:type="dxa"/>
            <w:tcBorders>
              <w:top w:val="nil"/>
              <w:left w:val="nil"/>
              <w:bottom w:val="single" w:sz="4" w:space="0" w:color="auto"/>
              <w:right w:val="single" w:sz="4" w:space="0" w:color="auto"/>
            </w:tcBorders>
            <w:vAlign w:val="center"/>
            <w:hideMark/>
          </w:tcPr>
          <w:p w14:paraId="4A4315DF" w14:textId="00FF69DB" w:rsidR="009F099A" w:rsidRPr="00983568" w:rsidRDefault="00983568"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Very poor</w:t>
            </w:r>
          </w:p>
        </w:tc>
      </w:tr>
      <w:tr w:rsidR="009F099A" w:rsidRPr="00311474" w14:paraId="14DAD33E"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57E4DD84" w14:textId="6943B88C" w:rsidR="009F099A" w:rsidRPr="00983568" w:rsidRDefault="00983568"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1260" w:type="dxa"/>
            <w:tcBorders>
              <w:top w:val="nil"/>
              <w:left w:val="nil"/>
              <w:bottom w:val="single" w:sz="4" w:space="0" w:color="auto"/>
              <w:right w:val="single" w:sz="4" w:space="0" w:color="auto"/>
            </w:tcBorders>
            <w:vAlign w:val="center"/>
            <w:hideMark/>
          </w:tcPr>
          <w:p w14:paraId="0212EA46"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2AB22053"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0E8EE008"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260" w:type="dxa"/>
            <w:tcBorders>
              <w:top w:val="nil"/>
              <w:left w:val="nil"/>
              <w:bottom w:val="single" w:sz="4" w:space="0" w:color="auto"/>
              <w:right w:val="single" w:sz="4" w:space="0" w:color="auto"/>
            </w:tcBorders>
            <w:vAlign w:val="center"/>
            <w:hideMark/>
          </w:tcPr>
          <w:p w14:paraId="1A354F27"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0A2A4025" w14:textId="77777777" w:rsidR="009F099A" w:rsidRPr="00983568"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785" w:type="dxa"/>
            <w:tcBorders>
              <w:top w:val="nil"/>
              <w:left w:val="nil"/>
              <w:bottom w:val="single" w:sz="4" w:space="0" w:color="auto"/>
              <w:right w:val="single" w:sz="4" w:space="0" w:color="auto"/>
            </w:tcBorders>
            <w:vAlign w:val="center"/>
            <w:hideMark/>
          </w:tcPr>
          <w:p w14:paraId="11EB8F08" w14:textId="0CDF4687" w:rsidR="009F099A" w:rsidRPr="00983568" w:rsidRDefault="00983568"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Moderate</w:t>
            </w:r>
          </w:p>
        </w:tc>
      </w:tr>
    </w:tbl>
    <w:p w14:paraId="5C2CCC9C" w14:textId="77777777" w:rsidR="009F099A" w:rsidRPr="00311474" w:rsidRDefault="009F099A">
      <w:pPr>
        <w:rPr>
          <w:rFonts w:ascii="Times New Roman" w:hAnsi="Times New Roman" w:cs="Times New Roman"/>
        </w:rPr>
      </w:pPr>
    </w:p>
    <w:p w14:paraId="48799415"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combined results on pest, disease, and root lodging resistance across two seasons revealed clear differentiation among hybrid combinations, with several hybrids demonstrating superior resistance compared to the control variety HN68.</w:t>
      </w:r>
    </w:p>
    <w:p w14:paraId="7B32D6A5"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group with very strong resistance included N02 × N7B, N59 × N15, and N19 × N59, in which all evaluated traits (stem borer, ear borer, sheath blight, southern leaf blight, and root lodging) consistently scored 1.0. This indicates high stability and minimal susceptibility to major pests and diseases, as well as strong lodging resistance. Such performance is particularly valuable in production systems, as improved resistance reduces the need for chemical protection and lowers the risk of yield loss under adverse environmental conditions.</w:t>
      </w:r>
    </w:p>
    <w:p w14:paraId="68618328"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hybrid N02 × N59 was rated as good, with a score of 1.0 for most traits and a slightly higher score (1.5) for southern leaf blight. Overall, this combination still exhibited high and stable resistance. The hybrids N02 × N15 and N02 × D666 were classified as fairly good, showing mild infection levels in some traits (scores of 1.5–2.0), yet generally remaining comparable to or better than the control.</w:t>
      </w:r>
    </w:p>
    <w:p w14:paraId="7FF18240"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moderate resistance group comprised D666 × N15, N19 × N7B, and N51 × N02, with scores ranging from 1.5 to 2.0. Compared with the control HN68—which also showed most traits at 1.5–2.0—these hybrids demonstrated similar or slightly improved resistance in certain aspects, though not markedly superior.</w:t>
      </w:r>
    </w:p>
    <w:p w14:paraId="6F1EC097"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hybrid N27 × N59 was classified as susceptible, due to higher scores (2.0) for stem borer damage and root lodging, along with moderate infection levels for other diseases. Notably, N19 × N02 exhibited the lowest resistance, particularly with sheath blight and southern leaf blight scoring 2.5, substantially higher than the control. Consequently, this hybrid was rated as the most susceptible among the evaluated combinations.</w:t>
      </w:r>
    </w:p>
    <w:p w14:paraId="3957FC8E" w14:textId="77777777" w:rsidR="003C5522" w:rsidRDefault="003C5522" w:rsidP="009F099A">
      <w:pPr>
        <w:spacing w:after="0" w:line="288" w:lineRule="auto"/>
        <w:ind w:firstLine="720"/>
        <w:jc w:val="center"/>
        <w:rPr>
          <w:rFonts w:ascii="Times New Roman" w:hAnsi="Times New Roman" w:cs="Times New Roman"/>
          <w:b/>
          <w:bCs/>
        </w:rPr>
      </w:pPr>
    </w:p>
    <w:p w14:paraId="2F3E005D" w14:textId="0BC580FD" w:rsidR="009F099A" w:rsidRPr="00311474" w:rsidRDefault="008468D0" w:rsidP="003C5522">
      <w:pPr>
        <w:spacing w:after="0" w:line="288" w:lineRule="auto"/>
        <w:ind w:firstLine="720"/>
        <w:jc w:val="center"/>
        <w:rPr>
          <w:rFonts w:ascii="Times New Roman" w:hAnsi="Times New Roman" w:cs="Times New Roman"/>
        </w:rPr>
      </w:pPr>
      <w:r w:rsidRPr="008468D0">
        <w:rPr>
          <w:rFonts w:ascii="Times New Roman" w:hAnsi="Times New Roman" w:cs="Times New Roman"/>
          <w:b/>
          <w:bCs/>
        </w:rPr>
        <w:t xml:space="preserve">Table 6. Summary of </w:t>
      </w:r>
      <w:r>
        <w:rPr>
          <w:rFonts w:ascii="Times New Roman" w:hAnsi="Times New Roman" w:cs="Times New Roman"/>
          <w:b/>
          <w:bCs/>
        </w:rPr>
        <w:t>y</w:t>
      </w:r>
      <w:r w:rsidRPr="008468D0">
        <w:rPr>
          <w:rFonts w:ascii="Times New Roman" w:hAnsi="Times New Roman" w:cs="Times New Roman"/>
          <w:b/>
          <w:bCs/>
        </w:rPr>
        <w:t xml:space="preserve">ield </w:t>
      </w:r>
      <w:r>
        <w:rPr>
          <w:rFonts w:ascii="Times New Roman" w:hAnsi="Times New Roman" w:cs="Times New Roman"/>
          <w:b/>
          <w:bCs/>
        </w:rPr>
        <w:t>c</w:t>
      </w:r>
      <w:r w:rsidRPr="008468D0">
        <w:rPr>
          <w:rFonts w:ascii="Times New Roman" w:hAnsi="Times New Roman" w:cs="Times New Roman"/>
          <w:b/>
          <w:bCs/>
        </w:rPr>
        <w:t xml:space="preserve">omponents (Mean of </w:t>
      </w:r>
      <w:r>
        <w:rPr>
          <w:rFonts w:ascii="Times New Roman" w:hAnsi="Times New Roman" w:cs="Times New Roman"/>
          <w:b/>
          <w:bCs/>
        </w:rPr>
        <w:t>t</w:t>
      </w:r>
      <w:r w:rsidRPr="008468D0">
        <w:rPr>
          <w:rFonts w:ascii="Times New Roman" w:hAnsi="Times New Roman" w:cs="Times New Roman"/>
          <w:b/>
          <w:bCs/>
        </w:rPr>
        <w:t xml:space="preserve">wo </w:t>
      </w:r>
      <w:r>
        <w:rPr>
          <w:rFonts w:ascii="Times New Roman" w:hAnsi="Times New Roman" w:cs="Times New Roman"/>
          <w:b/>
          <w:bCs/>
        </w:rPr>
        <w:t>s</w:t>
      </w:r>
      <w:r w:rsidRPr="008468D0">
        <w:rPr>
          <w:rFonts w:ascii="Times New Roman" w:hAnsi="Times New Roman" w:cs="Times New Roman"/>
          <w:b/>
          <w:bCs/>
        </w:rPr>
        <w:t>easons)</w:t>
      </w:r>
    </w:p>
    <w:tbl>
      <w:tblPr>
        <w:tblW w:w="9379" w:type="dxa"/>
        <w:tblLook w:val="04A0" w:firstRow="1" w:lastRow="0" w:firstColumn="1" w:lastColumn="0" w:noHBand="0" w:noVBand="1"/>
      </w:tblPr>
      <w:tblGrid>
        <w:gridCol w:w="2176"/>
        <w:gridCol w:w="2352"/>
        <w:gridCol w:w="2176"/>
        <w:gridCol w:w="2675"/>
      </w:tblGrid>
      <w:tr w:rsidR="00010BF6" w:rsidRPr="00311474" w14:paraId="3337D495" w14:textId="77777777" w:rsidTr="00010BF6">
        <w:trPr>
          <w:trHeight w:val="810"/>
        </w:trPr>
        <w:tc>
          <w:tcPr>
            <w:tcW w:w="2176" w:type="dxa"/>
            <w:tcBorders>
              <w:top w:val="single" w:sz="4" w:space="0" w:color="auto"/>
              <w:left w:val="single" w:sz="4" w:space="0" w:color="auto"/>
              <w:bottom w:val="single" w:sz="4" w:space="0" w:color="auto"/>
              <w:right w:val="single" w:sz="4" w:space="0" w:color="auto"/>
            </w:tcBorders>
            <w:vAlign w:val="center"/>
            <w:hideMark/>
          </w:tcPr>
          <w:p w14:paraId="78A0BD68" w14:textId="129AAAE6" w:rsidR="00010BF6" w:rsidRPr="00311474" w:rsidRDefault="00010BF6"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Hybrid combination</w:t>
            </w:r>
          </w:p>
        </w:tc>
        <w:tc>
          <w:tcPr>
            <w:tcW w:w="2352" w:type="dxa"/>
            <w:tcBorders>
              <w:top w:val="single" w:sz="4" w:space="0" w:color="auto"/>
              <w:left w:val="nil"/>
              <w:bottom w:val="single" w:sz="4" w:space="0" w:color="auto"/>
              <w:right w:val="single" w:sz="4" w:space="0" w:color="auto"/>
            </w:tcBorders>
            <w:vAlign w:val="center"/>
            <w:hideMark/>
          </w:tcPr>
          <w:p w14:paraId="498F45E0" w14:textId="1395A826" w:rsidR="00010BF6" w:rsidRPr="00311474" w:rsidRDefault="00010BF6"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Kernel rows per ear</w:t>
            </w:r>
          </w:p>
        </w:tc>
        <w:tc>
          <w:tcPr>
            <w:tcW w:w="2176" w:type="dxa"/>
            <w:tcBorders>
              <w:top w:val="single" w:sz="4" w:space="0" w:color="auto"/>
              <w:left w:val="nil"/>
              <w:bottom w:val="single" w:sz="4" w:space="0" w:color="auto"/>
              <w:right w:val="single" w:sz="4" w:space="0" w:color="auto"/>
            </w:tcBorders>
            <w:vAlign w:val="center"/>
            <w:hideMark/>
          </w:tcPr>
          <w:p w14:paraId="18788F66" w14:textId="295B42CE" w:rsidR="00010BF6" w:rsidRPr="00311474" w:rsidRDefault="00010BF6"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Kernels per row</w:t>
            </w:r>
          </w:p>
        </w:tc>
        <w:tc>
          <w:tcPr>
            <w:tcW w:w="2675" w:type="dxa"/>
            <w:tcBorders>
              <w:top w:val="single" w:sz="4" w:space="0" w:color="auto"/>
              <w:left w:val="nil"/>
              <w:bottom w:val="single" w:sz="4" w:space="0" w:color="auto"/>
              <w:right w:val="single" w:sz="4" w:space="0" w:color="auto"/>
            </w:tcBorders>
            <w:vAlign w:val="center"/>
            <w:hideMark/>
          </w:tcPr>
          <w:p w14:paraId="6421FA8B" w14:textId="40576127" w:rsidR="00010BF6" w:rsidRPr="00311474" w:rsidRDefault="00010BF6"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 xml:space="preserve">Percentage of </w:t>
            </w:r>
            <w:r w:rsidR="000828CB">
              <w:rPr>
                <w:rFonts w:ascii="Times New Roman" w:eastAsia="Times New Roman" w:hAnsi="Times New Roman" w:cs="Times New Roman"/>
                <w:b/>
                <w:bCs/>
                <w:color w:val="000000"/>
                <w:kern w:val="0"/>
                <w:sz w:val="22"/>
                <w:szCs w:val="22"/>
                <w14:ligatures w14:val="none"/>
              </w:rPr>
              <w:t>g</w:t>
            </w:r>
            <w:r w:rsidRPr="00803ACF">
              <w:rPr>
                <w:rFonts w:ascii="Times New Roman" w:eastAsia="Times New Roman" w:hAnsi="Times New Roman" w:cs="Times New Roman"/>
                <w:b/>
                <w:bCs/>
                <w:color w:val="000000"/>
                <w:kern w:val="0"/>
                <w:sz w:val="22"/>
                <w:szCs w:val="22"/>
                <w14:ligatures w14:val="none"/>
              </w:rPr>
              <w:t>rade I ears (%)</w:t>
            </w:r>
          </w:p>
        </w:tc>
      </w:tr>
      <w:tr w:rsidR="00010BF6" w:rsidRPr="00311474" w14:paraId="4BB5BDA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FE3370F"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N7B</w:t>
            </w:r>
          </w:p>
        </w:tc>
        <w:tc>
          <w:tcPr>
            <w:tcW w:w="2352" w:type="dxa"/>
            <w:tcBorders>
              <w:top w:val="nil"/>
              <w:left w:val="nil"/>
              <w:bottom w:val="single" w:sz="4" w:space="0" w:color="auto"/>
              <w:right w:val="single" w:sz="4" w:space="0" w:color="auto"/>
            </w:tcBorders>
            <w:vAlign w:val="center"/>
            <w:hideMark/>
          </w:tcPr>
          <w:p w14:paraId="4AC43FF9"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15.2 ± 0.3</w:t>
            </w:r>
          </w:p>
        </w:tc>
        <w:tc>
          <w:tcPr>
            <w:tcW w:w="2176" w:type="dxa"/>
            <w:tcBorders>
              <w:top w:val="nil"/>
              <w:left w:val="nil"/>
              <w:bottom w:val="single" w:sz="4" w:space="0" w:color="auto"/>
              <w:right w:val="single" w:sz="4" w:space="0" w:color="auto"/>
            </w:tcBorders>
            <w:vAlign w:val="center"/>
            <w:hideMark/>
          </w:tcPr>
          <w:p w14:paraId="65D7014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0.7</w:t>
            </w:r>
          </w:p>
        </w:tc>
        <w:tc>
          <w:tcPr>
            <w:tcW w:w="2675" w:type="dxa"/>
            <w:tcBorders>
              <w:top w:val="nil"/>
              <w:left w:val="nil"/>
              <w:bottom w:val="single" w:sz="4" w:space="0" w:color="auto"/>
              <w:right w:val="single" w:sz="4" w:space="0" w:color="auto"/>
            </w:tcBorders>
            <w:vAlign w:val="center"/>
            <w:hideMark/>
          </w:tcPr>
          <w:p w14:paraId="045A02FA"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82.5 ± 1.5</w:t>
            </w:r>
          </w:p>
        </w:tc>
      </w:tr>
      <w:tr w:rsidR="00010BF6" w:rsidRPr="00311474" w14:paraId="25E926CC"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63922B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N15</w:t>
            </w:r>
          </w:p>
        </w:tc>
        <w:tc>
          <w:tcPr>
            <w:tcW w:w="2352" w:type="dxa"/>
            <w:tcBorders>
              <w:top w:val="nil"/>
              <w:left w:val="nil"/>
              <w:bottom w:val="single" w:sz="4" w:space="0" w:color="auto"/>
              <w:right w:val="single" w:sz="4" w:space="0" w:color="auto"/>
            </w:tcBorders>
            <w:vAlign w:val="center"/>
            <w:hideMark/>
          </w:tcPr>
          <w:p w14:paraId="28F54356"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0.3</w:t>
            </w:r>
          </w:p>
        </w:tc>
        <w:tc>
          <w:tcPr>
            <w:tcW w:w="2176" w:type="dxa"/>
            <w:tcBorders>
              <w:top w:val="nil"/>
              <w:left w:val="nil"/>
              <w:bottom w:val="single" w:sz="4" w:space="0" w:color="auto"/>
              <w:right w:val="single" w:sz="4" w:space="0" w:color="auto"/>
            </w:tcBorders>
            <w:vAlign w:val="center"/>
            <w:hideMark/>
          </w:tcPr>
          <w:p w14:paraId="6424FBF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35.0 ± 0.6</w:t>
            </w:r>
          </w:p>
        </w:tc>
        <w:tc>
          <w:tcPr>
            <w:tcW w:w="2675" w:type="dxa"/>
            <w:tcBorders>
              <w:top w:val="nil"/>
              <w:left w:val="nil"/>
              <w:bottom w:val="single" w:sz="4" w:space="0" w:color="auto"/>
              <w:right w:val="single" w:sz="4" w:space="0" w:color="auto"/>
            </w:tcBorders>
            <w:vAlign w:val="center"/>
            <w:hideMark/>
          </w:tcPr>
          <w:p w14:paraId="79E2A4F1"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81.5 ± 1.4</w:t>
            </w:r>
          </w:p>
        </w:tc>
      </w:tr>
      <w:tr w:rsidR="00010BF6" w:rsidRPr="00311474" w14:paraId="15B67A35"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C8221E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352" w:type="dxa"/>
            <w:tcBorders>
              <w:top w:val="nil"/>
              <w:left w:val="nil"/>
              <w:bottom w:val="single" w:sz="4" w:space="0" w:color="auto"/>
              <w:right w:val="single" w:sz="4" w:space="0" w:color="auto"/>
            </w:tcBorders>
            <w:vAlign w:val="center"/>
            <w:hideMark/>
          </w:tcPr>
          <w:p w14:paraId="275B3A77"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0.2</w:t>
            </w:r>
          </w:p>
        </w:tc>
        <w:tc>
          <w:tcPr>
            <w:tcW w:w="2176" w:type="dxa"/>
            <w:tcBorders>
              <w:top w:val="nil"/>
              <w:left w:val="nil"/>
              <w:bottom w:val="single" w:sz="4" w:space="0" w:color="auto"/>
              <w:right w:val="single" w:sz="4" w:space="0" w:color="auto"/>
            </w:tcBorders>
            <w:vAlign w:val="center"/>
            <w:hideMark/>
          </w:tcPr>
          <w:p w14:paraId="71DEACD6"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0.7</w:t>
            </w:r>
          </w:p>
        </w:tc>
        <w:tc>
          <w:tcPr>
            <w:tcW w:w="2675" w:type="dxa"/>
            <w:tcBorders>
              <w:top w:val="nil"/>
              <w:left w:val="nil"/>
              <w:bottom w:val="single" w:sz="4" w:space="0" w:color="auto"/>
              <w:right w:val="single" w:sz="4" w:space="0" w:color="auto"/>
            </w:tcBorders>
            <w:vAlign w:val="center"/>
            <w:hideMark/>
          </w:tcPr>
          <w:p w14:paraId="06998422"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82.5 ± 1.6</w:t>
            </w:r>
          </w:p>
        </w:tc>
      </w:tr>
      <w:tr w:rsidR="00010BF6" w:rsidRPr="00311474" w14:paraId="53F9A21A"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47B06C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352" w:type="dxa"/>
            <w:tcBorders>
              <w:top w:val="nil"/>
              <w:left w:val="nil"/>
              <w:bottom w:val="single" w:sz="4" w:space="0" w:color="auto"/>
              <w:right w:val="single" w:sz="4" w:space="0" w:color="auto"/>
            </w:tcBorders>
            <w:vAlign w:val="center"/>
            <w:hideMark/>
          </w:tcPr>
          <w:p w14:paraId="4EBF59E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14.5 ± 0.3</w:t>
            </w:r>
          </w:p>
        </w:tc>
        <w:tc>
          <w:tcPr>
            <w:tcW w:w="2176" w:type="dxa"/>
            <w:tcBorders>
              <w:top w:val="nil"/>
              <w:left w:val="nil"/>
              <w:bottom w:val="single" w:sz="4" w:space="0" w:color="auto"/>
              <w:right w:val="single" w:sz="4" w:space="0" w:color="auto"/>
            </w:tcBorders>
            <w:vAlign w:val="center"/>
            <w:hideMark/>
          </w:tcPr>
          <w:p w14:paraId="1DE9D94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0.6</w:t>
            </w:r>
          </w:p>
        </w:tc>
        <w:tc>
          <w:tcPr>
            <w:tcW w:w="2675" w:type="dxa"/>
            <w:tcBorders>
              <w:top w:val="nil"/>
              <w:left w:val="nil"/>
              <w:bottom w:val="single" w:sz="4" w:space="0" w:color="auto"/>
              <w:right w:val="single" w:sz="4" w:space="0" w:color="auto"/>
            </w:tcBorders>
            <w:vAlign w:val="center"/>
            <w:hideMark/>
          </w:tcPr>
          <w:p w14:paraId="2F4230A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80.5 ± 1.3</w:t>
            </w:r>
          </w:p>
        </w:tc>
      </w:tr>
      <w:tr w:rsidR="00010BF6" w:rsidRPr="00311474" w14:paraId="1762275A"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ACCB19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c>
          <w:tcPr>
            <w:tcW w:w="2352" w:type="dxa"/>
            <w:tcBorders>
              <w:top w:val="nil"/>
              <w:left w:val="nil"/>
              <w:bottom w:val="single" w:sz="4" w:space="0" w:color="auto"/>
              <w:right w:val="single" w:sz="4" w:space="0" w:color="auto"/>
            </w:tcBorders>
            <w:vAlign w:val="center"/>
            <w:hideMark/>
          </w:tcPr>
          <w:p w14:paraId="09C4AD4B"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 ± 0.3</w:t>
            </w:r>
          </w:p>
        </w:tc>
        <w:tc>
          <w:tcPr>
            <w:tcW w:w="2176" w:type="dxa"/>
            <w:tcBorders>
              <w:top w:val="nil"/>
              <w:left w:val="nil"/>
              <w:bottom w:val="single" w:sz="4" w:space="0" w:color="auto"/>
              <w:right w:val="single" w:sz="4" w:space="0" w:color="auto"/>
            </w:tcBorders>
            <w:vAlign w:val="center"/>
            <w:hideMark/>
          </w:tcPr>
          <w:p w14:paraId="5938D0C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34.0 ± 0.6</w:t>
            </w:r>
          </w:p>
        </w:tc>
        <w:tc>
          <w:tcPr>
            <w:tcW w:w="2675" w:type="dxa"/>
            <w:tcBorders>
              <w:top w:val="nil"/>
              <w:left w:val="nil"/>
              <w:bottom w:val="single" w:sz="4" w:space="0" w:color="auto"/>
              <w:right w:val="single" w:sz="4" w:space="0" w:color="auto"/>
            </w:tcBorders>
            <w:vAlign w:val="center"/>
            <w:hideMark/>
          </w:tcPr>
          <w:p w14:paraId="73ADC3B8"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79.5 ± 1.2</w:t>
            </w:r>
          </w:p>
        </w:tc>
      </w:tr>
      <w:tr w:rsidR="00010BF6" w:rsidRPr="00311474" w14:paraId="0B81C3C3"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B8C625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lastRenderedPageBreak/>
              <w:t>N19 × N02</w:t>
            </w:r>
          </w:p>
        </w:tc>
        <w:tc>
          <w:tcPr>
            <w:tcW w:w="2352" w:type="dxa"/>
            <w:tcBorders>
              <w:top w:val="nil"/>
              <w:left w:val="nil"/>
              <w:bottom w:val="single" w:sz="4" w:space="0" w:color="auto"/>
              <w:right w:val="single" w:sz="4" w:space="0" w:color="auto"/>
            </w:tcBorders>
            <w:vAlign w:val="center"/>
            <w:hideMark/>
          </w:tcPr>
          <w:p w14:paraId="43A66C3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14.3 ± 0.2</w:t>
            </w:r>
          </w:p>
        </w:tc>
        <w:tc>
          <w:tcPr>
            <w:tcW w:w="2176" w:type="dxa"/>
            <w:tcBorders>
              <w:top w:val="nil"/>
              <w:left w:val="nil"/>
              <w:bottom w:val="single" w:sz="4" w:space="0" w:color="auto"/>
              <w:right w:val="single" w:sz="4" w:space="0" w:color="auto"/>
            </w:tcBorders>
            <w:vAlign w:val="center"/>
            <w:hideMark/>
          </w:tcPr>
          <w:p w14:paraId="629353EC"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33.8 ± 0.5</w:t>
            </w:r>
          </w:p>
        </w:tc>
        <w:tc>
          <w:tcPr>
            <w:tcW w:w="2675" w:type="dxa"/>
            <w:tcBorders>
              <w:top w:val="nil"/>
              <w:left w:val="nil"/>
              <w:bottom w:val="single" w:sz="4" w:space="0" w:color="auto"/>
              <w:right w:val="single" w:sz="4" w:space="0" w:color="auto"/>
            </w:tcBorders>
            <w:vAlign w:val="center"/>
            <w:hideMark/>
          </w:tcPr>
          <w:p w14:paraId="490776E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78.0 ± 1.3</w:t>
            </w:r>
          </w:p>
        </w:tc>
      </w:tr>
      <w:tr w:rsidR="00010BF6" w:rsidRPr="00311474" w14:paraId="2F84032B"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0C3FBE6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N15</w:t>
            </w:r>
          </w:p>
        </w:tc>
        <w:tc>
          <w:tcPr>
            <w:tcW w:w="2352" w:type="dxa"/>
            <w:tcBorders>
              <w:top w:val="nil"/>
              <w:left w:val="nil"/>
              <w:bottom w:val="single" w:sz="4" w:space="0" w:color="auto"/>
              <w:right w:val="single" w:sz="4" w:space="0" w:color="auto"/>
            </w:tcBorders>
            <w:vAlign w:val="center"/>
            <w:hideMark/>
          </w:tcPr>
          <w:p w14:paraId="047714A3"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13.9 ± 0.3</w:t>
            </w:r>
          </w:p>
        </w:tc>
        <w:tc>
          <w:tcPr>
            <w:tcW w:w="2176" w:type="dxa"/>
            <w:tcBorders>
              <w:top w:val="nil"/>
              <w:left w:val="nil"/>
              <w:bottom w:val="single" w:sz="4" w:space="0" w:color="auto"/>
              <w:right w:val="single" w:sz="4" w:space="0" w:color="auto"/>
            </w:tcBorders>
            <w:vAlign w:val="center"/>
            <w:hideMark/>
          </w:tcPr>
          <w:p w14:paraId="675F67B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32.8 ± 0.6</w:t>
            </w:r>
          </w:p>
        </w:tc>
        <w:tc>
          <w:tcPr>
            <w:tcW w:w="2675" w:type="dxa"/>
            <w:tcBorders>
              <w:top w:val="nil"/>
              <w:left w:val="nil"/>
              <w:bottom w:val="single" w:sz="4" w:space="0" w:color="auto"/>
              <w:right w:val="single" w:sz="4" w:space="0" w:color="auto"/>
            </w:tcBorders>
            <w:vAlign w:val="center"/>
            <w:hideMark/>
          </w:tcPr>
          <w:p w14:paraId="5219A6CC"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78.0 ± 1.2</w:t>
            </w:r>
          </w:p>
        </w:tc>
      </w:tr>
      <w:tr w:rsidR="00010BF6" w:rsidRPr="00311474" w14:paraId="2DC72A86"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67A60F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352" w:type="dxa"/>
            <w:tcBorders>
              <w:top w:val="nil"/>
              <w:left w:val="nil"/>
              <w:bottom w:val="single" w:sz="4" w:space="0" w:color="auto"/>
              <w:right w:val="single" w:sz="4" w:space="0" w:color="auto"/>
            </w:tcBorders>
            <w:vAlign w:val="center"/>
            <w:hideMark/>
          </w:tcPr>
          <w:p w14:paraId="4FE69D2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0.3</w:t>
            </w:r>
          </w:p>
        </w:tc>
        <w:tc>
          <w:tcPr>
            <w:tcW w:w="2176" w:type="dxa"/>
            <w:tcBorders>
              <w:top w:val="nil"/>
              <w:left w:val="nil"/>
              <w:bottom w:val="single" w:sz="4" w:space="0" w:color="auto"/>
              <w:right w:val="single" w:sz="4" w:space="0" w:color="auto"/>
            </w:tcBorders>
            <w:vAlign w:val="center"/>
            <w:hideMark/>
          </w:tcPr>
          <w:p w14:paraId="5D26B3DB"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31.8 ± 0.5</w:t>
            </w:r>
          </w:p>
        </w:tc>
        <w:tc>
          <w:tcPr>
            <w:tcW w:w="2675" w:type="dxa"/>
            <w:tcBorders>
              <w:top w:val="nil"/>
              <w:left w:val="nil"/>
              <w:bottom w:val="single" w:sz="4" w:space="0" w:color="auto"/>
              <w:right w:val="single" w:sz="4" w:space="0" w:color="auto"/>
            </w:tcBorders>
            <w:vAlign w:val="center"/>
            <w:hideMark/>
          </w:tcPr>
          <w:p w14:paraId="30CED398"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77.0 ± 1.4</w:t>
            </w:r>
          </w:p>
        </w:tc>
      </w:tr>
      <w:tr w:rsidR="00010BF6" w:rsidRPr="00311474" w14:paraId="0EC6AF0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4CB7316B"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352" w:type="dxa"/>
            <w:tcBorders>
              <w:top w:val="nil"/>
              <w:left w:val="nil"/>
              <w:bottom w:val="single" w:sz="4" w:space="0" w:color="auto"/>
              <w:right w:val="single" w:sz="4" w:space="0" w:color="auto"/>
            </w:tcBorders>
            <w:vAlign w:val="center"/>
            <w:hideMark/>
          </w:tcPr>
          <w:p w14:paraId="2AEFAE7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13.2 ± 0.4</w:t>
            </w:r>
          </w:p>
        </w:tc>
        <w:tc>
          <w:tcPr>
            <w:tcW w:w="2176" w:type="dxa"/>
            <w:tcBorders>
              <w:top w:val="nil"/>
              <w:left w:val="nil"/>
              <w:bottom w:val="single" w:sz="4" w:space="0" w:color="auto"/>
              <w:right w:val="single" w:sz="4" w:space="0" w:color="auto"/>
            </w:tcBorders>
            <w:vAlign w:val="center"/>
            <w:hideMark/>
          </w:tcPr>
          <w:p w14:paraId="4803CCF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0.6</w:t>
            </w:r>
          </w:p>
        </w:tc>
        <w:tc>
          <w:tcPr>
            <w:tcW w:w="2675" w:type="dxa"/>
            <w:tcBorders>
              <w:top w:val="nil"/>
              <w:left w:val="nil"/>
              <w:bottom w:val="single" w:sz="4" w:space="0" w:color="auto"/>
              <w:right w:val="single" w:sz="4" w:space="0" w:color="auto"/>
            </w:tcBorders>
            <w:vAlign w:val="center"/>
            <w:hideMark/>
          </w:tcPr>
          <w:p w14:paraId="54DBD8A1"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77.5 ± 1.3</w:t>
            </w:r>
          </w:p>
        </w:tc>
      </w:tr>
      <w:tr w:rsidR="00010BF6" w:rsidRPr="00311474" w14:paraId="50633561"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734D716"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N7B</w:t>
            </w:r>
          </w:p>
        </w:tc>
        <w:tc>
          <w:tcPr>
            <w:tcW w:w="2352" w:type="dxa"/>
            <w:tcBorders>
              <w:top w:val="nil"/>
              <w:left w:val="nil"/>
              <w:bottom w:val="single" w:sz="4" w:space="0" w:color="auto"/>
              <w:right w:val="single" w:sz="4" w:space="0" w:color="auto"/>
            </w:tcBorders>
            <w:vAlign w:val="center"/>
            <w:hideMark/>
          </w:tcPr>
          <w:p w14:paraId="412C4E6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13.7 ± 0.3</w:t>
            </w:r>
          </w:p>
        </w:tc>
        <w:tc>
          <w:tcPr>
            <w:tcW w:w="2176" w:type="dxa"/>
            <w:tcBorders>
              <w:top w:val="nil"/>
              <w:left w:val="nil"/>
              <w:bottom w:val="single" w:sz="4" w:space="0" w:color="auto"/>
              <w:right w:val="single" w:sz="4" w:space="0" w:color="auto"/>
            </w:tcBorders>
            <w:vAlign w:val="center"/>
            <w:hideMark/>
          </w:tcPr>
          <w:p w14:paraId="5BC845A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29.5 ± 0.7</w:t>
            </w:r>
          </w:p>
        </w:tc>
        <w:tc>
          <w:tcPr>
            <w:tcW w:w="2675" w:type="dxa"/>
            <w:tcBorders>
              <w:top w:val="nil"/>
              <w:left w:val="nil"/>
              <w:bottom w:val="single" w:sz="4" w:space="0" w:color="auto"/>
              <w:right w:val="single" w:sz="4" w:space="0" w:color="auto"/>
            </w:tcBorders>
            <w:vAlign w:val="center"/>
            <w:hideMark/>
          </w:tcPr>
          <w:p w14:paraId="2D249353"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77.0 ± 1.5</w:t>
            </w:r>
          </w:p>
        </w:tc>
      </w:tr>
      <w:tr w:rsidR="00010BF6" w:rsidRPr="00311474" w14:paraId="0063491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0903B44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352" w:type="dxa"/>
            <w:tcBorders>
              <w:top w:val="nil"/>
              <w:left w:val="nil"/>
              <w:bottom w:val="single" w:sz="4" w:space="0" w:color="auto"/>
              <w:right w:val="single" w:sz="4" w:space="0" w:color="auto"/>
            </w:tcBorders>
            <w:vAlign w:val="center"/>
            <w:hideMark/>
          </w:tcPr>
          <w:p w14:paraId="6E27490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 ± 0.3</w:t>
            </w:r>
          </w:p>
        </w:tc>
        <w:tc>
          <w:tcPr>
            <w:tcW w:w="2176" w:type="dxa"/>
            <w:tcBorders>
              <w:top w:val="nil"/>
              <w:left w:val="nil"/>
              <w:bottom w:val="single" w:sz="4" w:space="0" w:color="auto"/>
              <w:right w:val="single" w:sz="4" w:space="0" w:color="auto"/>
            </w:tcBorders>
            <w:vAlign w:val="center"/>
            <w:hideMark/>
          </w:tcPr>
          <w:p w14:paraId="74287CF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0.5</w:t>
            </w:r>
          </w:p>
        </w:tc>
        <w:tc>
          <w:tcPr>
            <w:tcW w:w="2675" w:type="dxa"/>
            <w:tcBorders>
              <w:top w:val="nil"/>
              <w:left w:val="nil"/>
              <w:bottom w:val="single" w:sz="4" w:space="0" w:color="auto"/>
              <w:right w:val="single" w:sz="4" w:space="0" w:color="auto"/>
            </w:tcBorders>
            <w:vAlign w:val="center"/>
            <w:hideMark/>
          </w:tcPr>
          <w:p w14:paraId="504EBBD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76.5 ± 1.2</w:t>
            </w:r>
          </w:p>
        </w:tc>
      </w:tr>
      <w:tr w:rsidR="00010BF6" w:rsidRPr="00311474" w14:paraId="1D712AD0"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BF729A7" w14:textId="6AD00AF8" w:rsidR="00010BF6" w:rsidRPr="00983568" w:rsidRDefault="00010BF6"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2352" w:type="dxa"/>
            <w:tcBorders>
              <w:top w:val="nil"/>
              <w:left w:val="nil"/>
              <w:bottom w:val="single" w:sz="4" w:space="0" w:color="auto"/>
              <w:right w:val="single" w:sz="4" w:space="0" w:color="auto"/>
            </w:tcBorders>
            <w:vAlign w:val="center"/>
            <w:hideMark/>
          </w:tcPr>
          <w:p w14:paraId="5405DE02"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12.8 ± 0.3</w:t>
            </w:r>
          </w:p>
        </w:tc>
        <w:tc>
          <w:tcPr>
            <w:tcW w:w="2176" w:type="dxa"/>
            <w:tcBorders>
              <w:top w:val="nil"/>
              <w:left w:val="nil"/>
              <w:bottom w:val="single" w:sz="4" w:space="0" w:color="auto"/>
              <w:right w:val="single" w:sz="4" w:space="0" w:color="auto"/>
            </w:tcBorders>
            <w:vAlign w:val="center"/>
            <w:hideMark/>
          </w:tcPr>
          <w:p w14:paraId="0022E20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0.6</w:t>
            </w:r>
          </w:p>
        </w:tc>
        <w:tc>
          <w:tcPr>
            <w:tcW w:w="2675" w:type="dxa"/>
            <w:tcBorders>
              <w:top w:val="nil"/>
              <w:left w:val="nil"/>
              <w:bottom w:val="single" w:sz="4" w:space="0" w:color="auto"/>
              <w:right w:val="single" w:sz="4" w:space="0" w:color="auto"/>
            </w:tcBorders>
            <w:vAlign w:val="center"/>
            <w:hideMark/>
          </w:tcPr>
          <w:p w14:paraId="5544C35C"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76.5 ± 1.4</w:t>
            </w:r>
          </w:p>
        </w:tc>
      </w:tr>
      <w:tr w:rsidR="00010BF6" w:rsidRPr="00311474" w14:paraId="35F2472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9842AC8"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CV (%)</w:t>
            </w:r>
          </w:p>
        </w:tc>
        <w:tc>
          <w:tcPr>
            <w:tcW w:w="2352" w:type="dxa"/>
            <w:tcBorders>
              <w:top w:val="nil"/>
              <w:left w:val="nil"/>
              <w:bottom w:val="single" w:sz="4" w:space="0" w:color="auto"/>
              <w:right w:val="single" w:sz="4" w:space="0" w:color="auto"/>
            </w:tcBorders>
            <w:vAlign w:val="center"/>
            <w:hideMark/>
          </w:tcPr>
          <w:p w14:paraId="7E69FD7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w:t>
            </w:r>
          </w:p>
        </w:tc>
        <w:tc>
          <w:tcPr>
            <w:tcW w:w="2176" w:type="dxa"/>
            <w:tcBorders>
              <w:top w:val="nil"/>
              <w:left w:val="nil"/>
              <w:bottom w:val="single" w:sz="4" w:space="0" w:color="auto"/>
              <w:right w:val="single" w:sz="4" w:space="0" w:color="auto"/>
            </w:tcBorders>
            <w:vAlign w:val="center"/>
            <w:hideMark/>
          </w:tcPr>
          <w:p w14:paraId="432EA583"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5.2</w:t>
            </w:r>
          </w:p>
        </w:tc>
        <w:tc>
          <w:tcPr>
            <w:tcW w:w="2675" w:type="dxa"/>
            <w:tcBorders>
              <w:top w:val="nil"/>
              <w:left w:val="nil"/>
              <w:bottom w:val="single" w:sz="4" w:space="0" w:color="auto"/>
              <w:right w:val="single" w:sz="4" w:space="0" w:color="auto"/>
            </w:tcBorders>
            <w:vAlign w:val="center"/>
            <w:hideMark/>
          </w:tcPr>
          <w:p w14:paraId="6F906B3A"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3.9</w:t>
            </w:r>
          </w:p>
        </w:tc>
      </w:tr>
      <w:tr w:rsidR="00010BF6" w:rsidRPr="00311474" w14:paraId="67F4E925"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AA0063F"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LSD₀.₀₅</w:t>
            </w:r>
          </w:p>
        </w:tc>
        <w:tc>
          <w:tcPr>
            <w:tcW w:w="2352" w:type="dxa"/>
            <w:tcBorders>
              <w:top w:val="nil"/>
              <w:left w:val="nil"/>
              <w:bottom w:val="single" w:sz="4" w:space="0" w:color="auto"/>
              <w:right w:val="single" w:sz="4" w:space="0" w:color="auto"/>
            </w:tcBorders>
            <w:vAlign w:val="center"/>
            <w:hideMark/>
          </w:tcPr>
          <w:p w14:paraId="581C7461"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w:t>
            </w:r>
          </w:p>
        </w:tc>
        <w:tc>
          <w:tcPr>
            <w:tcW w:w="2176" w:type="dxa"/>
            <w:tcBorders>
              <w:top w:val="nil"/>
              <w:left w:val="nil"/>
              <w:bottom w:val="single" w:sz="4" w:space="0" w:color="auto"/>
              <w:right w:val="single" w:sz="4" w:space="0" w:color="auto"/>
            </w:tcBorders>
            <w:vAlign w:val="center"/>
            <w:hideMark/>
          </w:tcPr>
          <w:p w14:paraId="56A990B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w:t>
            </w:r>
          </w:p>
        </w:tc>
        <w:tc>
          <w:tcPr>
            <w:tcW w:w="2675" w:type="dxa"/>
            <w:tcBorders>
              <w:top w:val="nil"/>
              <w:left w:val="nil"/>
              <w:bottom w:val="single" w:sz="4" w:space="0" w:color="auto"/>
              <w:right w:val="single" w:sz="4" w:space="0" w:color="auto"/>
            </w:tcBorders>
            <w:vAlign w:val="center"/>
            <w:hideMark/>
          </w:tcPr>
          <w:p w14:paraId="4222AB41"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w:t>
            </w:r>
          </w:p>
        </w:tc>
      </w:tr>
    </w:tbl>
    <w:p w14:paraId="78BA7573" w14:textId="77777777" w:rsidR="009F099A" w:rsidRPr="00311474" w:rsidRDefault="009F099A">
      <w:pPr>
        <w:rPr>
          <w:rFonts w:ascii="Times New Roman" w:hAnsi="Times New Roman" w:cs="Times New Roman"/>
        </w:rPr>
      </w:pPr>
    </w:p>
    <w:p w14:paraId="1FDE368F"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The combined analysis of yield components across two seasons revealed clear differences among hybrid combinations and the control variety HN68, and these results were generally consistent with the previously analyzed agro-morphological traits.</w:t>
      </w:r>
    </w:p>
    <w:p w14:paraId="2ADFCFE9"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Regarding the number of kernel rows per ear, the hybrids ranged from 13.2 to 15.2 rows, all exceeding the control (12.8 rows). The combinations N02 × N7B (15.2 rows), N59 × N15 (15.0 rows), and N02 × N59 (15.0 rows) recorded the highest values, demonstrating a clear advantage in yield potential. In contrast, hybrids such as N27 × N59 (13.2 rows) and N19 × N7B (13.7 rows) showed relatively lower values, indicating certain limitations in this yield component.</w:t>
      </w:r>
    </w:p>
    <w:p w14:paraId="6737EDD1"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For kernels per row, the hybrids varied from 29.5 to 35.5 kernels, while the control produced 32.0 kernels per row. Notably, N02 × N7B, N02 × N59, and N02 × N15 each reached 35.5 kernels per row—the highest in the experiment—indicating a substantial increase in kernel density per ear. Conversely, N19 × N7B had the lowest value (29.5 kernels), which contributed to its reduced yield potential.</w:t>
      </w:r>
    </w:p>
    <w:p w14:paraId="67AB5266"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The proportion of Grade I ears ranged from 76.5% to 82.5%, whereas the control achieved only 76.5%. The highest percentage was observed in N02 × N7B and N02 × N59 (82.5%), followed by N59 × N15 (81.5%) and N02 × N15 (80.5%). A high proportion of Grade I ears not only reflects superior yield potential but also indicates strong market quality, which is particularly important for commercial waxy maize production.</w:t>
      </w:r>
    </w:p>
    <w:p w14:paraId="32850D57"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Based on the overall assessment of yield components, three hybrids—N02 × N7B, N59 × N15, and N02 × N59—were classified as having very high yield potential, as they simultaneously combined a high number of kernel rows, a large number of kernels per row, and a superior proportion of Grade I ears. The high to fairly high group included N02 × N15, N19 × N59, and N19 × N02, which showed relatively good performance but not consistently across all components. Hybrids D666 × N15, N51 × N02, and N27 × N59 were rated as moderate, while N19 × N7B and N02 × D666 were classified as low due to limitations in kernels per row or Grade I ear percentage.</w:t>
      </w:r>
    </w:p>
    <w:p w14:paraId="355D86DE"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Compared with the control HN68, most hybrid combinations outperformed it in key yield components, particularly those involving parental lines N02 and N59. This finding aligns well with the previous combining ability analysis (GCA and SCA), where these two lines frequently produced hybrids with pronounced heterotic effects. Therefore, when considering agro-morphological traits, resistance performance, and yield components together, N02 × N7B, N59 × </w:t>
      </w:r>
      <w:r w:rsidRPr="009F099A">
        <w:rPr>
          <w:rFonts w:ascii="Times New Roman" w:hAnsi="Times New Roman" w:cs="Times New Roman"/>
        </w:rPr>
        <w:lastRenderedPageBreak/>
        <w:t>N15, and N02 × N59 emerge as the most promising hybrids, with strong potential for further multi-location trials and commercial variety development.</w:t>
      </w:r>
    </w:p>
    <w:p w14:paraId="1EF66509" w14:textId="7D68A71B" w:rsidR="009F099A" w:rsidRPr="00311474" w:rsidRDefault="00313999" w:rsidP="009F099A">
      <w:pPr>
        <w:jc w:val="center"/>
        <w:rPr>
          <w:rFonts w:ascii="Times New Roman" w:hAnsi="Times New Roman" w:cs="Times New Roman"/>
        </w:rPr>
      </w:pPr>
      <w:r>
        <w:rPr>
          <w:rFonts w:ascii="Times New Roman" w:hAnsi="Times New Roman" w:cs="Times New Roman"/>
          <w:b/>
          <w:bCs/>
        </w:rPr>
        <w:t>Table</w:t>
      </w:r>
      <w:r w:rsidR="009F099A" w:rsidRPr="00311474">
        <w:rPr>
          <w:rFonts w:ascii="Times New Roman" w:hAnsi="Times New Roman" w:cs="Times New Roman"/>
          <w:b/>
          <w:bCs/>
        </w:rPr>
        <w:t xml:space="preserve"> 7: </w:t>
      </w:r>
      <w:r w:rsidRPr="00313999">
        <w:rPr>
          <w:rFonts w:ascii="Times New Roman" w:hAnsi="Times New Roman" w:cs="Times New Roman"/>
          <w:b/>
          <w:bCs/>
        </w:rPr>
        <w:t xml:space="preserve">Summary table of yield and quality of fresh feed </w:t>
      </w:r>
      <w:r w:rsidR="009F099A" w:rsidRPr="00311474">
        <w:rPr>
          <w:rFonts w:ascii="Times New Roman" w:hAnsi="Times New Roman" w:cs="Times New Roman"/>
          <w:b/>
          <w:bCs/>
        </w:rPr>
        <w:t>(TB 2 vụ)</w:t>
      </w:r>
    </w:p>
    <w:tbl>
      <w:tblPr>
        <w:tblW w:w="9520" w:type="dxa"/>
        <w:tblLook w:val="04A0" w:firstRow="1" w:lastRow="0" w:firstColumn="1" w:lastColumn="0" w:noHBand="0" w:noVBand="1"/>
      </w:tblPr>
      <w:tblGrid>
        <w:gridCol w:w="2380"/>
        <w:gridCol w:w="2380"/>
        <w:gridCol w:w="2380"/>
        <w:gridCol w:w="2380"/>
      </w:tblGrid>
      <w:tr w:rsidR="002C0655" w:rsidRPr="00311474" w14:paraId="23908D44" w14:textId="77777777" w:rsidTr="002C0655">
        <w:trPr>
          <w:trHeight w:val="1027"/>
        </w:trPr>
        <w:tc>
          <w:tcPr>
            <w:tcW w:w="2380" w:type="dxa"/>
            <w:tcBorders>
              <w:top w:val="single" w:sz="4" w:space="0" w:color="auto"/>
              <w:left w:val="single" w:sz="4" w:space="0" w:color="auto"/>
              <w:bottom w:val="single" w:sz="4" w:space="0" w:color="auto"/>
              <w:right w:val="single" w:sz="4" w:space="0" w:color="auto"/>
            </w:tcBorders>
            <w:vAlign w:val="center"/>
            <w:hideMark/>
          </w:tcPr>
          <w:p w14:paraId="6D8EBE6B" w14:textId="6821926C" w:rsidR="002C0655" w:rsidRPr="00311474" w:rsidRDefault="005C4B69"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Hybrid combination</w:t>
            </w:r>
          </w:p>
        </w:tc>
        <w:tc>
          <w:tcPr>
            <w:tcW w:w="2380" w:type="dxa"/>
            <w:tcBorders>
              <w:top w:val="single" w:sz="4" w:space="0" w:color="auto"/>
              <w:left w:val="nil"/>
              <w:bottom w:val="single" w:sz="4" w:space="0" w:color="auto"/>
              <w:right w:val="single" w:sz="4" w:space="0" w:color="auto"/>
            </w:tcBorders>
            <w:vAlign w:val="center"/>
            <w:hideMark/>
          </w:tcPr>
          <w:p w14:paraId="182BF8E6" w14:textId="3FAB89C8" w:rsidR="002C0655" w:rsidRPr="00311474" w:rsidRDefault="005C4B69"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Fresh ear yield (t/ha)</w:t>
            </w:r>
          </w:p>
        </w:tc>
        <w:tc>
          <w:tcPr>
            <w:tcW w:w="2380" w:type="dxa"/>
            <w:tcBorders>
              <w:top w:val="single" w:sz="4" w:space="0" w:color="auto"/>
              <w:left w:val="nil"/>
              <w:bottom w:val="single" w:sz="4" w:space="0" w:color="auto"/>
              <w:right w:val="single" w:sz="4" w:space="0" w:color="auto"/>
            </w:tcBorders>
            <w:vAlign w:val="center"/>
            <w:hideMark/>
          </w:tcPr>
          <w:p w14:paraId="69F843ED" w14:textId="3178E883" w:rsidR="002C0655" w:rsidRPr="00311474" w:rsidRDefault="005C4B69"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Dry grain yield (t/ha)</w:t>
            </w:r>
          </w:p>
        </w:tc>
        <w:tc>
          <w:tcPr>
            <w:tcW w:w="2380" w:type="dxa"/>
            <w:tcBorders>
              <w:top w:val="single" w:sz="4" w:space="0" w:color="auto"/>
              <w:left w:val="nil"/>
              <w:bottom w:val="single" w:sz="4" w:space="0" w:color="auto"/>
              <w:right w:val="single" w:sz="4" w:space="0" w:color="auto"/>
            </w:tcBorders>
            <w:vAlign w:val="center"/>
            <w:hideMark/>
          </w:tcPr>
          <w:p w14:paraId="7452DA06" w14:textId="02CAF29B" w:rsidR="002C0655" w:rsidRPr="00311474" w:rsidRDefault="005C4B69"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Mean sensory quality score</w:t>
            </w:r>
          </w:p>
        </w:tc>
      </w:tr>
      <w:tr w:rsidR="002C0655" w:rsidRPr="00311474" w14:paraId="702A75B7"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B883886"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N7B</w:t>
            </w:r>
          </w:p>
        </w:tc>
        <w:tc>
          <w:tcPr>
            <w:tcW w:w="2380" w:type="dxa"/>
            <w:tcBorders>
              <w:top w:val="nil"/>
              <w:left w:val="nil"/>
              <w:bottom w:val="single" w:sz="4" w:space="0" w:color="auto"/>
              <w:right w:val="single" w:sz="4" w:space="0" w:color="auto"/>
            </w:tcBorders>
            <w:vAlign w:val="center"/>
            <w:hideMark/>
          </w:tcPr>
          <w:p w14:paraId="33ED702E"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11.7 ± 0.35</w:t>
            </w:r>
          </w:p>
        </w:tc>
        <w:tc>
          <w:tcPr>
            <w:tcW w:w="2380" w:type="dxa"/>
            <w:tcBorders>
              <w:top w:val="nil"/>
              <w:left w:val="nil"/>
              <w:bottom w:val="single" w:sz="4" w:space="0" w:color="auto"/>
              <w:right w:val="single" w:sz="4" w:space="0" w:color="auto"/>
            </w:tcBorders>
            <w:vAlign w:val="center"/>
            <w:hideMark/>
          </w:tcPr>
          <w:p w14:paraId="36F56629"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5.1 ± 0.18</w:t>
            </w:r>
          </w:p>
        </w:tc>
        <w:tc>
          <w:tcPr>
            <w:tcW w:w="2380" w:type="dxa"/>
            <w:tcBorders>
              <w:top w:val="nil"/>
              <w:left w:val="nil"/>
              <w:bottom w:val="single" w:sz="4" w:space="0" w:color="auto"/>
              <w:right w:val="single" w:sz="4" w:space="0" w:color="auto"/>
            </w:tcBorders>
            <w:vAlign w:val="center"/>
            <w:hideMark/>
          </w:tcPr>
          <w:p w14:paraId="7F5CF760"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2.38 ± 0.07</w:t>
            </w:r>
          </w:p>
        </w:tc>
      </w:tr>
      <w:tr w:rsidR="002C0655" w:rsidRPr="00311474" w14:paraId="1753526F"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27F2F15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N15</w:t>
            </w:r>
          </w:p>
        </w:tc>
        <w:tc>
          <w:tcPr>
            <w:tcW w:w="2380" w:type="dxa"/>
            <w:tcBorders>
              <w:top w:val="nil"/>
              <w:left w:val="nil"/>
              <w:bottom w:val="single" w:sz="4" w:space="0" w:color="auto"/>
              <w:right w:val="single" w:sz="4" w:space="0" w:color="auto"/>
            </w:tcBorders>
            <w:vAlign w:val="center"/>
            <w:hideMark/>
          </w:tcPr>
          <w:p w14:paraId="2E21FDE9"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11.8 ± 0.38</w:t>
            </w:r>
          </w:p>
        </w:tc>
        <w:tc>
          <w:tcPr>
            <w:tcW w:w="2380" w:type="dxa"/>
            <w:tcBorders>
              <w:top w:val="nil"/>
              <w:left w:val="nil"/>
              <w:bottom w:val="single" w:sz="4" w:space="0" w:color="auto"/>
              <w:right w:val="single" w:sz="4" w:space="0" w:color="auto"/>
            </w:tcBorders>
            <w:vAlign w:val="center"/>
            <w:hideMark/>
          </w:tcPr>
          <w:p w14:paraId="6916A2E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5.1 ± 0.20</w:t>
            </w:r>
          </w:p>
        </w:tc>
        <w:tc>
          <w:tcPr>
            <w:tcW w:w="2380" w:type="dxa"/>
            <w:tcBorders>
              <w:top w:val="nil"/>
              <w:left w:val="nil"/>
              <w:bottom w:val="single" w:sz="4" w:space="0" w:color="auto"/>
              <w:right w:val="single" w:sz="4" w:space="0" w:color="auto"/>
            </w:tcBorders>
            <w:vAlign w:val="center"/>
            <w:hideMark/>
          </w:tcPr>
          <w:p w14:paraId="2474F1F5"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2.50 ± 0.08</w:t>
            </w:r>
          </w:p>
        </w:tc>
      </w:tr>
      <w:tr w:rsidR="002C0655" w:rsidRPr="00311474" w14:paraId="65C37265"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28E35E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380" w:type="dxa"/>
            <w:tcBorders>
              <w:top w:val="nil"/>
              <w:left w:val="nil"/>
              <w:bottom w:val="single" w:sz="4" w:space="0" w:color="auto"/>
              <w:right w:val="single" w:sz="4" w:space="0" w:color="auto"/>
            </w:tcBorders>
            <w:vAlign w:val="center"/>
            <w:hideMark/>
          </w:tcPr>
          <w:p w14:paraId="54B6C6FE"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11.5 ± 0.32</w:t>
            </w:r>
          </w:p>
        </w:tc>
        <w:tc>
          <w:tcPr>
            <w:tcW w:w="2380" w:type="dxa"/>
            <w:tcBorders>
              <w:top w:val="nil"/>
              <w:left w:val="nil"/>
              <w:bottom w:val="single" w:sz="4" w:space="0" w:color="auto"/>
              <w:right w:val="single" w:sz="4" w:space="0" w:color="auto"/>
            </w:tcBorders>
            <w:vAlign w:val="center"/>
            <w:hideMark/>
          </w:tcPr>
          <w:p w14:paraId="02FCE3A8"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4.9 ± 0.17</w:t>
            </w:r>
          </w:p>
        </w:tc>
        <w:tc>
          <w:tcPr>
            <w:tcW w:w="2380" w:type="dxa"/>
            <w:tcBorders>
              <w:top w:val="nil"/>
              <w:left w:val="nil"/>
              <w:bottom w:val="single" w:sz="4" w:space="0" w:color="auto"/>
              <w:right w:val="single" w:sz="4" w:space="0" w:color="auto"/>
            </w:tcBorders>
            <w:vAlign w:val="center"/>
            <w:hideMark/>
          </w:tcPr>
          <w:p w14:paraId="3AB64E4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2.38 ± 0.06</w:t>
            </w:r>
          </w:p>
        </w:tc>
      </w:tr>
      <w:tr w:rsidR="002C0655" w:rsidRPr="00311474" w14:paraId="0C65C674"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16087093"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380" w:type="dxa"/>
            <w:tcBorders>
              <w:top w:val="nil"/>
              <w:left w:val="nil"/>
              <w:bottom w:val="single" w:sz="4" w:space="0" w:color="auto"/>
              <w:right w:val="single" w:sz="4" w:space="0" w:color="auto"/>
            </w:tcBorders>
            <w:vAlign w:val="center"/>
            <w:hideMark/>
          </w:tcPr>
          <w:p w14:paraId="5CD36FBF"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11.4 ± 0.30</w:t>
            </w:r>
          </w:p>
        </w:tc>
        <w:tc>
          <w:tcPr>
            <w:tcW w:w="2380" w:type="dxa"/>
            <w:tcBorders>
              <w:top w:val="nil"/>
              <w:left w:val="nil"/>
              <w:bottom w:val="single" w:sz="4" w:space="0" w:color="auto"/>
              <w:right w:val="single" w:sz="4" w:space="0" w:color="auto"/>
            </w:tcBorders>
            <w:vAlign w:val="center"/>
            <w:hideMark/>
          </w:tcPr>
          <w:p w14:paraId="3672E30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 ± 0.16</w:t>
            </w:r>
          </w:p>
        </w:tc>
        <w:tc>
          <w:tcPr>
            <w:tcW w:w="2380" w:type="dxa"/>
            <w:tcBorders>
              <w:top w:val="nil"/>
              <w:left w:val="nil"/>
              <w:bottom w:val="single" w:sz="4" w:space="0" w:color="auto"/>
              <w:right w:val="single" w:sz="4" w:space="0" w:color="auto"/>
            </w:tcBorders>
            <w:vAlign w:val="center"/>
            <w:hideMark/>
          </w:tcPr>
          <w:p w14:paraId="707B776D"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2.50 ± 0.07</w:t>
            </w:r>
          </w:p>
        </w:tc>
      </w:tr>
      <w:tr w:rsidR="002C0655" w:rsidRPr="00311474" w14:paraId="59840DAD"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77B0018"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c>
          <w:tcPr>
            <w:tcW w:w="2380" w:type="dxa"/>
            <w:tcBorders>
              <w:top w:val="nil"/>
              <w:left w:val="nil"/>
              <w:bottom w:val="single" w:sz="4" w:space="0" w:color="auto"/>
              <w:right w:val="single" w:sz="4" w:space="0" w:color="auto"/>
            </w:tcBorders>
            <w:vAlign w:val="center"/>
            <w:hideMark/>
          </w:tcPr>
          <w:p w14:paraId="04BF7C2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11.1 ± 0.28</w:t>
            </w:r>
          </w:p>
        </w:tc>
        <w:tc>
          <w:tcPr>
            <w:tcW w:w="2380" w:type="dxa"/>
            <w:tcBorders>
              <w:top w:val="nil"/>
              <w:left w:val="nil"/>
              <w:bottom w:val="single" w:sz="4" w:space="0" w:color="auto"/>
              <w:right w:val="single" w:sz="4" w:space="0" w:color="auto"/>
            </w:tcBorders>
            <w:vAlign w:val="center"/>
            <w:hideMark/>
          </w:tcPr>
          <w:p w14:paraId="410A991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4.7 ± 0.15</w:t>
            </w:r>
          </w:p>
        </w:tc>
        <w:tc>
          <w:tcPr>
            <w:tcW w:w="2380" w:type="dxa"/>
            <w:tcBorders>
              <w:top w:val="nil"/>
              <w:left w:val="nil"/>
              <w:bottom w:val="single" w:sz="4" w:space="0" w:color="auto"/>
              <w:right w:val="single" w:sz="4" w:space="0" w:color="auto"/>
            </w:tcBorders>
            <w:vAlign w:val="center"/>
            <w:hideMark/>
          </w:tcPr>
          <w:p w14:paraId="4E9F0428"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0.08</w:t>
            </w:r>
          </w:p>
        </w:tc>
      </w:tr>
      <w:tr w:rsidR="002C0655" w:rsidRPr="00311474" w14:paraId="607B8546"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A0D7B6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380" w:type="dxa"/>
            <w:tcBorders>
              <w:top w:val="nil"/>
              <w:left w:val="nil"/>
              <w:bottom w:val="single" w:sz="4" w:space="0" w:color="auto"/>
              <w:right w:val="single" w:sz="4" w:space="0" w:color="auto"/>
            </w:tcBorders>
            <w:vAlign w:val="center"/>
            <w:hideMark/>
          </w:tcPr>
          <w:p w14:paraId="32447BF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10.3 ± 0.27</w:t>
            </w:r>
          </w:p>
        </w:tc>
        <w:tc>
          <w:tcPr>
            <w:tcW w:w="2380" w:type="dxa"/>
            <w:tcBorders>
              <w:top w:val="nil"/>
              <w:left w:val="nil"/>
              <w:bottom w:val="single" w:sz="4" w:space="0" w:color="auto"/>
              <w:right w:val="single" w:sz="4" w:space="0" w:color="auto"/>
            </w:tcBorders>
            <w:vAlign w:val="center"/>
            <w:hideMark/>
          </w:tcPr>
          <w:p w14:paraId="08552A4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4.5 ± 0.14</w:t>
            </w:r>
          </w:p>
        </w:tc>
        <w:tc>
          <w:tcPr>
            <w:tcW w:w="2380" w:type="dxa"/>
            <w:tcBorders>
              <w:top w:val="nil"/>
              <w:left w:val="nil"/>
              <w:bottom w:val="single" w:sz="4" w:space="0" w:color="auto"/>
              <w:right w:val="single" w:sz="4" w:space="0" w:color="auto"/>
            </w:tcBorders>
            <w:vAlign w:val="center"/>
            <w:hideMark/>
          </w:tcPr>
          <w:p w14:paraId="46445E7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0.09</w:t>
            </w:r>
          </w:p>
        </w:tc>
      </w:tr>
      <w:tr w:rsidR="002C0655" w:rsidRPr="00311474" w14:paraId="4A444CFB"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DB4B7A0"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380" w:type="dxa"/>
            <w:tcBorders>
              <w:top w:val="nil"/>
              <w:left w:val="nil"/>
              <w:bottom w:val="single" w:sz="4" w:space="0" w:color="auto"/>
              <w:right w:val="single" w:sz="4" w:space="0" w:color="auto"/>
            </w:tcBorders>
            <w:vAlign w:val="center"/>
            <w:hideMark/>
          </w:tcPr>
          <w:p w14:paraId="18F5763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10.1 ± 0.29</w:t>
            </w:r>
          </w:p>
        </w:tc>
        <w:tc>
          <w:tcPr>
            <w:tcW w:w="2380" w:type="dxa"/>
            <w:tcBorders>
              <w:top w:val="nil"/>
              <w:left w:val="nil"/>
              <w:bottom w:val="single" w:sz="4" w:space="0" w:color="auto"/>
              <w:right w:val="single" w:sz="4" w:space="0" w:color="auto"/>
            </w:tcBorders>
            <w:vAlign w:val="center"/>
            <w:hideMark/>
          </w:tcPr>
          <w:p w14:paraId="1BC567B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4.5 ± 0.15</w:t>
            </w:r>
          </w:p>
        </w:tc>
        <w:tc>
          <w:tcPr>
            <w:tcW w:w="2380" w:type="dxa"/>
            <w:tcBorders>
              <w:top w:val="nil"/>
              <w:left w:val="nil"/>
              <w:bottom w:val="single" w:sz="4" w:space="0" w:color="auto"/>
              <w:right w:val="single" w:sz="4" w:space="0" w:color="auto"/>
            </w:tcBorders>
            <w:vAlign w:val="center"/>
            <w:hideMark/>
          </w:tcPr>
          <w:p w14:paraId="7F288662"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0.10</w:t>
            </w:r>
          </w:p>
        </w:tc>
      </w:tr>
      <w:tr w:rsidR="002C0655" w:rsidRPr="00311474" w14:paraId="1F74B2C7"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94A1DE3"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N7B</w:t>
            </w:r>
          </w:p>
        </w:tc>
        <w:tc>
          <w:tcPr>
            <w:tcW w:w="2380" w:type="dxa"/>
            <w:tcBorders>
              <w:top w:val="nil"/>
              <w:left w:val="nil"/>
              <w:bottom w:val="single" w:sz="4" w:space="0" w:color="auto"/>
              <w:right w:val="single" w:sz="4" w:space="0" w:color="auto"/>
            </w:tcBorders>
            <w:vAlign w:val="center"/>
            <w:hideMark/>
          </w:tcPr>
          <w:p w14:paraId="6B696C19"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10.0 ± 0.26</w:t>
            </w:r>
          </w:p>
        </w:tc>
        <w:tc>
          <w:tcPr>
            <w:tcW w:w="2380" w:type="dxa"/>
            <w:tcBorders>
              <w:top w:val="nil"/>
              <w:left w:val="nil"/>
              <w:bottom w:val="single" w:sz="4" w:space="0" w:color="auto"/>
              <w:right w:val="single" w:sz="4" w:space="0" w:color="auto"/>
            </w:tcBorders>
            <w:vAlign w:val="center"/>
            <w:hideMark/>
          </w:tcPr>
          <w:p w14:paraId="4664E4B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4.2 ± 0.14</w:t>
            </w:r>
          </w:p>
        </w:tc>
        <w:tc>
          <w:tcPr>
            <w:tcW w:w="2380" w:type="dxa"/>
            <w:tcBorders>
              <w:top w:val="nil"/>
              <w:left w:val="nil"/>
              <w:bottom w:val="single" w:sz="4" w:space="0" w:color="auto"/>
              <w:right w:val="single" w:sz="4" w:space="0" w:color="auto"/>
            </w:tcBorders>
            <w:vAlign w:val="center"/>
            <w:hideMark/>
          </w:tcPr>
          <w:p w14:paraId="27A7B845"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0.09</w:t>
            </w:r>
          </w:p>
        </w:tc>
      </w:tr>
      <w:tr w:rsidR="002C0655" w:rsidRPr="00311474" w14:paraId="6A5A9399"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5AFB3AA2"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N15</w:t>
            </w:r>
          </w:p>
        </w:tc>
        <w:tc>
          <w:tcPr>
            <w:tcW w:w="2380" w:type="dxa"/>
            <w:tcBorders>
              <w:top w:val="nil"/>
              <w:left w:val="nil"/>
              <w:bottom w:val="single" w:sz="4" w:space="0" w:color="auto"/>
              <w:right w:val="single" w:sz="4" w:space="0" w:color="auto"/>
            </w:tcBorders>
            <w:vAlign w:val="center"/>
            <w:hideMark/>
          </w:tcPr>
          <w:p w14:paraId="7305377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9.7 ± 0.25</w:t>
            </w:r>
          </w:p>
        </w:tc>
        <w:tc>
          <w:tcPr>
            <w:tcW w:w="2380" w:type="dxa"/>
            <w:tcBorders>
              <w:top w:val="nil"/>
              <w:left w:val="nil"/>
              <w:bottom w:val="single" w:sz="4" w:space="0" w:color="auto"/>
              <w:right w:val="single" w:sz="4" w:space="0" w:color="auto"/>
            </w:tcBorders>
            <w:vAlign w:val="center"/>
            <w:hideMark/>
          </w:tcPr>
          <w:p w14:paraId="2A2E79B3"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0.13</w:t>
            </w:r>
          </w:p>
        </w:tc>
        <w:tc>
          <w:tcPr>
            <w:tcW w:w="2380" w:type="dxa"/>
            <w:tcBorders>
              <w:top w:val="nil"/>
              <w:left w:val="nil"/>
              <w:bottom w:val="single" w:sz="4" w:space="0" w:color="auto"/>
              <w:right w:val="single" w:sz="4" w:space="0" w:color="auto"/>
            </w:tcBorders>
            <w:vAlign w:val="center"/>
            <w:hideMark/>
          </w:tcPr>
          <w:p w14:paraId="53FF7FFF"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2.75 ± 0.08</w:t>
            </w:r>
          </w:p>
        </w:tc>
      </w:tr>
      <w:tr w:rsidR="002C0655" w:rsidRPr="00311474" w14:paraId="168B246D"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2FDD3949"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380" w:type="dxa"/>
            <w:tcBorders>
              <w:top w:val="nil"/>
              <w:left w:val="nil"/>
              <w:bottom w:val="single" w:sz="4" w:space="0" w:color="auto"/>
              <w:right w:val="single" w:sz="4" w:space="0" w:color="auto"/>
            </w:tcBorders>
            <w:vAlign w:val="center"/>
            <w:hideMark/>
          </w:tcPr>
          <w:p w14:paraId="54EB842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9.7 ± 0.24</w:t>
            </w:r>
          </w:p>
        </w:tc>
        <w:tc>
          <w:tcPr>
            <w:tcW w:w="2380" w:type="dxa"/>
            <w:tcBorders>
              <w:top w:val="nil"/>
              <w:left w:val="nil"/>
              <w:bottom w:val="single" w:sz="4" w:space="0" w:color="auto"/>
              <w:right w:val="single" w:sz="4" w:space="0" w:color="auto"/>
            </w:tcBorders>
            <w:vAlign w:val="center"/>
            <w:hideMark/>
          </w:tcPr>
          <w:p w14:paraId="6A39B5D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0.13</w:t>
            </w:r>
          </w:p>
        </w:tc>
        <w:tc>
          <w:tcPr>
            <w:tcW w:w="2380" w:type="dxa"/>
            <w:tcBorders>
              <w:top w:val="nil"/>
              <w:left w:val="nil"/>
              <w:bottom w:val="single" w:sz="4" w:space="0" w:color="auto"/>
              <w:right w:val="single" w:sz="4" w:space="0" w:color="auto"/>
            </w:tcBorders>
            <w:vAlign w:val="center"/>
            <w:hideMark/>
          </w:tcPr>
          <w:p w14:paraId="4300F11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0.09</w:t>
            </w:r>
          </w:p>
        </w:tc>
      </w:tr>
      <w:tr w:rsidR="002C0655" w:rsidRPr="00311474" w14:paraId="6DE16C2A"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3012730"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N02</w:t>
            </w:r>
          </w:p>
        </w:tc>
        <w:tc>
          <w:tcPr>
            <w:tcW w:w="2380" w:type="dxa"/>
            <w:tcBorders>
              <w:top w:val="nil"/>
              <w:left w:val="nil"/>
              <w:bottom w:val="single" w:sz="4" w:space="0" w:color="auto"/>
              <w:right w:val="single" w:sz="4" w:space="0" w:color="auto"/>
            </w:tcBorders>
            <w:vAlign w:val="center"/>
            <w:hideMark/>
          </w:tcPr>
          <w:p w14:paraId="0E49421E"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9.9 ± 0.27</w:t>
            </w:r>
          </w:p>
        </w:tc>
        <w:tc>
          <w:tcPr>
            <w:tcW w:w="2380" w:type="dxa"/>
            <w:tcBorders>
              <w:top w:val="nil"/>
              <w:left w:val="nil"/>
              <w:bottom w:val="single" w:sz="4" w:space="0" w:color="auto"/>
              <w:right w:val="single" w:sz="4" w:space="0" w:color="auto"/>
            </w:tcBorders>
            <w:vAlign w:val="center"/>
            <w:hideMark/>
          </w:tcPr>
          <w:p w14:paraId="2B7A3F1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0.14</w:t>
            </w:r>
          </w:p>
        </w:tc>
        <w:tc>
          <w:tcPr>
            <w:tcW w:w="2380" w:type="dxa"/>
            <w:tcBorders>
              <w:top w:val="nil"/>
              <w:left w:val="nil"/>
              <w:bottom w:val="single" w:sz="4" w:space="0" w:color="auto"/>
              <w:right w:val="single" w:sz="4" w:space="0" w:color="auto"/>
            </w:tcBorders>
            <w:vAlign w:val="center"/>
            <w:hideMark/>
          </w:tcPr>
          <w:p w14:paraId="0BD3D038"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0.08</w:t>
            </w:r>
          </w:p>
        </w:tc>
      </w:tr>
      <w:tr w:rsidR="002C0655" w:rsidRPr="00311474" w14:paraId="11D1D5FA"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BFF7B52" w14:textId="58F1153C" w:rsidR="002C0655" w:rsidRPr="00983568" w:rsidRDefault="002C0655"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2380" w:type="dxa"/>
            <w:tcBorders>
              <w:top w:val="nil"/>
              <w:left w:val="nil"/>
              <w:bottom w:val="single" w:sz="4" w:space="0" w:color="auto"/>
              <w:right w:val="single" w:sz="4" w:space="0" w:color="auto"/>
            </w:tcBorders>
            <w:vAlign w:val="center"/>
            <w:hideMark/>
          </w:tcPr>
          <w:p w14:paraId="132AE09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9.6 ± 0.26</w:t>
            </w:r>
          </w:p>
        </w:tc>
        <w:tc>
          <w:tcPr>
            <w:tcW w:w="2380" w:type="dxa"/>
            <w:tcBorders>
              <w:top w:val="nil"/>
              <w:left w:val="nil"/>
              <w:bottom w:val="single" w:sz="4" w:space="0" w:color="auto"/>
              <w:right w:val="single" w:sz="4" w:space="0" w:color="auto"/>
            </w:tcBorders>
            <w:vAlign w:val="center"/>
            <w:hideMark/>
          </w:tcPr>
          <w:p w14:paraId="6EF5E42E"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4.2 ± 0.13</w:t>
            </w:r>
          </w:p>
        </w:tc>
        <w:tc>
          <w:tcPr>
            <w:tcW w:w="2380" w:type="dxa"/>
            <w:tcBorders>
              <w:top w:val="nil"/>
              <w:left w:val="nil"/>
              <w:bottom w:val="single" w:sz="4" w:space="0" w:color="auto"/>
              <w:right w:val="single" w:sz="4" w:space="0" w:color="auto"/>
            </w:tcBorders>
            <w:vAlign w:val="center"/>
            <w:hideMark/>
          </w:tcPr>
          <w:p w14:paraId="6A3F99D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0.07</w:t>
            </w:r>
          </w:p>
        </w:tc>
      </w:tr>
      <w:tr w:rsidR="002C0655" w:rsidRPr="00311474" w14:paraId="24E4F97E"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A0AA406"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CV (%)</w:t>
            </w:r>
          </w:p>
        </w:tc>
        <w:tc>
          <w:tcPr>
            <w:tcW w:w="2380" w:type="dxa"/>
            <w:tcBorders>
              <w:top w:val="nil"/>
              <w:left w:val="nil"/>
              <w:bottom w:val="single" w:sz="4" w:space="0" w:color="auto"/>
              <w:right w:val="single" w:sz="4" w:space="0" w:color="auto"/>
            </w:tcBorders>
            <w:vAlign w:val="center"/>
            <w:hideMark/>
          </w:tcPr>
          <w:p w14:paraId="4543499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5.4</w:t>
            </w:r>
          </w:p>
        </w:tc>
        <w:tc>
          <w:tcPr>
            <w:tcW w:w="2380" w:type="dxa"/>
            <w:tcBorders>
              <w:top w:val="nil"/>
              <w:left w:val="nil"/>
              <w:bottom w:val="single" w:sz="4" w:space="0" w:color="auto"/>
              <w:right w:val="single" w:sz="4" w:space="0" w:color="auto"/>
            </w:tcBorders>
            <w:vAlign w:val="center"/>
            <w:hideMark/>
          </w:tcPr>
          <w:p w14:paraId="416B877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6.2</w:t>
            </w:r>
          </w:p>
        </w:tc>
        <w:tc>
          <w:tcPr>
            <w:tcW w:w="2380" w:type="dxa"/>
            <w:tcBorders>
              <w:top w:val="nil"/>
              <w:left w:val="nil"/>
              <w:bottom w:val="single" w:sz="4" w:space="0" w:color="auto"/>
              <w:right w:val="single" w:sz="4" w:space="0" w:color="auto"/>
            </w:tcBorders>
            <w:vAlign w:val="center"/>
            <w:hideMark/>
          </w:tcPr>
          <w:p w14:paraId="5538B6FF"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w:t>
            </w:r>
          </w:p>
        </w:tc>
      </w:tr>
      <w:tr w:rsidR="002C0655" w:rsidRPr="00311474" w14:paraId="4FF73654"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F4415A2"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LSD₀.₀₅</w:t>
            </w:r>
          </w:p>
        </w:tc>
        <w:tc>
          <w:tcPr>
            <w:tcW w:w="2380" w:type="dxa"/>
            <w:tcBorders>
              <w:top w:val="nil"/>
              <w:left w:val="nil"/>
              <w:bottom w:val="single" w:sz="4" w:space="0" w:color="auto"/>
              <w:right w:val="single" w:sz="4" w:space="0" w:color="auto"/>
            </w:tcBorders>
            <w:vAlign w:val="center"/>
            <w:hideMark/>
          </w:tcPr>
          <w:p w14:paraId="71FEF743"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0.75</w:t>
            </w:r>
          </w:p>
        </w:tc>
        <w:tc>
          <w:tcPr>
            <w:tcW w:w="2380" w:type="dxa"/>
            <w:tcBorders>
              <w:top w:val="nil"/>
              <w:left w:val="nil"/>
              <w:bottom w:val="single" w:sz="4" w:space="0" w:color="auto"/>
              <w:right w:val="single" w:sz="4" w:space="0" w:color="auto"/>
            </w:tcBorders>
            <w:vAlign w:val="center"/>
            <w:hideMark/>
          </w:tcPr>
          <w:p w14:paraId="5D60B8A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0.35</w:t>
            </w:r>
          </w:p>
        </w:tc>
        <w:tc>
          <w:tcPr>
            <w:tcW w:w="2380" w:type="dxa"/>
            <w:tcBorders>
              <w:top w:val="nil"/>
              <w:left w:val="nil"/>
              <w:bottom w:val="single" w:sz="4" w:space="0" w:color="auto"/>
              <w:right w:val="single" w:sz="4" w:space="0" w:color="auto"/>
            </w:tcBorders>
            <w:vAlign w:val="center"/>
            <w:hideMark/>
          </w:tcPr>
          <w:p w14:paraId="6298CD7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0.22</w:t>
            </w:r>
          </w:p>
        </w:tc>
      </w:tr>
    </w:tbl>
    <w:p w14:paraId="45F81F74" w14:textId="77777777" w:rsidR="009F099A" w:rsidRPr="00311474" w:rsidRDefault="009F099A">
      <w:pPr>
        <w:rPr>
          <w:rFonts w:ascii="Times New Roman" w:hAnsi="Times New Roman" w:cs="Times New Roman"/>
        </w:rPr>
      </w:pPr>
    </w:p>
    <w:p w14:paraId="54ED5563"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The combined results on yield and fresh-eating quality across two cropping seasons demonstrated that several hybrid combinations clearly outperformed the control variety HN68 in terms of fresh ear yield, dry grain yield, and sensory quality.</w:t>
      </w:r>
    </w:p>
    <w:p w14:paraId="2FF1923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Regarding fresh ear yield, the hybrids ranged from 9.7 to 11.8 t/ha, whereas the control produced only 9.6 t/ha. The highest yield was recorded in N59 × N15 (11.8 t/ha), followed by N02 × N7B (11.7 t/ha), N02 × N59 (11.5 t/ha), and N02 × N15 (11.4 t/ha). These top-performing hybrids exceeded the control by 1.8–2.2 t/ha, corresponding to an increase of approximately 18–23%, indicating a pronounced heterotic advantage in marketable fresh yield.</w:t>
      </w:r>
    </w:p>
    <w:p w14:paraId="61839E0D"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For dry grain yield, the hybrids achieved 4.2–5.1 t/ha, while the control reached 4.2 t/ha. N02 × N7B and N59 × N15 produced the highest yield (5.1 t/ha), representing an increase of about 21% compared to the control. N02 × N59 and N02 × N15 also performed well (4.8–4.9 t/ha), suggesting strong potential not only for fresh consumption but also for grain production.</w:t>
      </w:r>
    </w:p>
    <w:p w14:paraId="1153308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In terms of fresh-eating quality (mean sensory score, where lower values indicate better quality), the hybrids ranged from 2.38 to 2.88 points. N02 × N7B and N02 × N59 achieved the best score (2.38), classified as high quality. N59 × N15 and N02 × N15 scored 2.50 and were also </w:t>
      </w:r>
      <w:r w:rsidRPr="009F099A">
        <w:rPr>
          <w:rFonts w:ascii="Times New Roman" w:hAnsi="Times New Roman" w:cs="Times New Roman"/>
        </w:rPr>
        <w:lastRenderedPageBreak/>
        <w:t>rated favorably. In contrast, hybrids such as N27 × N59, N19 × N7B, and N51 × N02 scored 2.88, reflecting acceptable but less outstanding quality. Compared with the control (2.63), many hybrids were equivalent or superior in eating quality.</w:t>
      </w:r>
    </w:p>
    <w:p w14:paraId="3F79F37A"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Considering all three criteria together, N59 × N15 was the most outstanding combination, combining the highest yield with good fresh-eating quality (2.50), and was therefore rated as the top-performing hybrid. N02 × N7B and N02 × N59 were also highly promising, integrating high yield with good quality. The moderate group included N02 × D666, N27 × N59, D666 × N15, and N19 × N02, due to less consistent superiority in either yield or quality.</w:t>
      </w:r>
    </w:p>
    <w:p w14:paraId="3FF142F0" w14:textId="42FBF4F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These findings are consistent with previous combining ability and yield component analyses, where hybrids involving parental lines N02 and N59 frequently exhibited strong heterotic effects. Therefore, based on integrated evaluation of yield and fresh-eating quality, N59 × N15, N02 × N7B, and N02 × N59 show strong potential for development as commercial waxy maize hybrids.</w:t>
      </w:r>
    </w:p>
    <w:p w14:paraId="25A1CF4D" w14:textId="77777777" w:rsidR="009F099A" w:rsidRPr="009F099A" w:rsidRDefault="009F099A" w:rsidP="00C93FEA">
      <w:pPr>
        <w:spacing w:after="0" w:line="288" w:lineRule="auto"/>
        <w:jc w:val="center"/>
        <w:rPr>
          <w:rFonts w:ascii="Times New Roman" w:hAnsi="Times New Roman" w:cs="Times New Roman"/>
          <w:b/>
          <w:bCs/>
        </w:rPr>
      </w:pPr>
      <w:r w:rsidRPr="009F099A">
        <w:rPr>
          <w:rFonts w:ascii="Times New Roman" w:hAnsi="Times New Roman" w:cs="Times New Roman"/>
          <w:b/>
          <w:bCs/>
        </w:rPr>
        <w:t>CONCLUSION</w:t>
      </w:r>
    </w:p>
    <w:p w14:paraId="4B9A75D8"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The evaluation of 11 waxy maize hybrid combinations alongside the control variety HN68 over two cropping seasons revealed significant differences in growth characteristics, yield performance, and fresh-eating quality.</w:t>
      </w:r>
    </w:p>
    <w:p w14:paraId="7FA7B422"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Harvest time ranged from 70 to 73 days, fitting well within the existing cropping structure and showing minimal deviation from the control. Some hybrids, such as N59 × N15 and N02 × N15, exhibited slightly longer growth duration but maintained good adaptability. In terms of vegetative growth, N59 × N15 demonstrated a clear advantage with greater plant height and ear placement height, suggesting strong biomass accumulation potential.</w:t>
      </w:r>
    </w:p>
    <w:p w14:paraId="5FB6864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Among yield components, differences were most evident in ear length and ear diameter. N59 × N15 recorded the greatest ear length, while N02 × N7B, N59 × N15, and N02 × N59 showed superior ear diameter. These traits contributed substantially to improved marketable yield.</w:t>
      </w:r>
    </w:p>
    <w:p w14:paraId="784AD484"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Fresh ear yield ranged from 9.6 to 11.8 t/ha and dry grain yield from 4.2 to 5.1 t/ha. N59 × N15 achieved the highest yield and showed clear superiority over the control. N02 × N7B, N02 × N59, and N02 × N15 also produced high and stable yields across both seasons. The low coefficients of variation indicated good experimental reliability.</w:t>
      </w:r>
    </w:p>
    <w:p w14:paraId="69C7D405"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Regarding fresh-eating quality, sensory scores ranged from 2.38 to 2.88. Hybrids such as N19 × N7B and N51 × N02 exhibited good sensory quality, while N59 × N15 combined high yield with fairly good eating quality.</w:t>
      </w:r>
    </w:p>
    <w:p w14:paraId="3A26CECD" w14:textId="29404A2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Overall, N59 × N15 emerged as the most promising hybrid and should be further evaluated in larger-scale production trials. In addition, N02 × N7B and N02 × N59 represent potential candidates that warrant further investigation before recommendation for commercial cultivation.</w:t>
      </w:r>
    </w:p>
    <w:p w14:paraId="7DD85DAB" w14:textId="77777777" w:rsidR="009F099A" w:rsidRPr="009F099A" w:rsidRDefault="009F099A" w:rsidP="00C93FEA">
      <w:pPr>
        <w:spacing w:after="0" w:line="288" w:lineRule="auto"/>
        <w:ind w:firstLine="720"/>
        <w:jc w:val="center"/>
        <w:rPr>
          <w:rFonts w:ascii="Times New Roman" w:hAnsi="Times New Roman" w:cs="Times New Roman"/>
          <w:b/>
          <w:bCs/>
        </w:rPr>
      </w:pPr>
      <w:r w:rsidRPr="009F099A">
        <w:rPr>
          <w:rFonts w:ascii="Times New Roman" w:hAnsi="Times New Roman" w:cs="Times New Roman"/>
          <w:b/>
          <w:bCs/>
        </w:rPr>
        <w:t>REFERENCES</w:t>
      </w:r>
    </w:p>
    <w:p w14:paraId="7D483F15" w14:textId="43F71329" w:rsidR="009F099A" w:rsidRPr="00115296" w:rsidRDefault="00D25A29" w:rsidP="00115296">
      <w:pPr>
        <w:spacing w:after="0" w:line="288" w:lineRule="auto"/>
        <w:jc w:val="both"/>
        <w:rPr>
          <w:rFonts w:ascii="Times New Roman" w:hAnsi="Times New Roman" w:cs="Times New Roman"/>
        </w:rPr>
      </w:pPr>
      <w:r w:rsidRPr="00115296">
        <w:rPr>
          <w:rFonts w:ascii="Times New Roman" w:hAnsi="Times New Roman" w:cs="Times New Roman"/>
        </w:rPr>
        <w:t>1. Klimek-Kopyra, A., Szmigiel, A., Zajac, T., &amp; Kidacka, A. (2012). Some aspects of cultivation and utilization of waxy maize (Zea mays L. ssp. ceratina). </w:t>
      </w:r>
      <w:r w:rsidRPr="00115296">
        <w:rPr>
          <w:rFonts w:ascii="Times New Roman" w:hAnsi="Times New Roman" w:cs="Times New Roman"/>
          <w:i/>
          <w:iCs/>
        </w:rPr>
        <w:t>Acta Agrobotanica</w:t>
      </w:r>
      <w:r w:rsidRPr="00115296">
        <w:rPr>
          <w:rFonts w:ascii="Times New Roman" w:hAnsi="Times New Roman" w:cs="Times New Roman"/>
        </w:rPr>
        <w:t>, </w:t>
      </w:r>
      <w:r w:rsidRPr="00115296">
        <w:rPr>
          <w:rFonts w:ascii="Times New Roman" w:hAnsi="Times New Roman" w:cs="Times New Roman"/>
          <w:i/>
          <w:iCs/>
        </w:rPr>
        <w:t>65</w:t>
      </w:r>
      <w:r w:rsidRPr="00115296">
        <w:rPr>
          <w:rFonts w:ascii="Times New Roman" w:hAnsi="Times New Roman" w:cs="Times New Roman"/>
        </w:rPr>
        <w:t>(3).</w:t>
      </w:r>
    </w:p>
    <w:p w14:paraId="1734A8C2"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2. Tracy, W. F. (2000). Sweet corn. In </w:t>
      </w:r>
      <w:r w:rsidRPr="00115296">
        <w:rPr>
          <w:rFonts w:ascii="Times New Roman" w:hAnsi="Times New Roman" w:cs="Times New Roman"/>
          <w:i/>
          <w:iCs/>
        </w:rPr>
        <w:t>Specialty corns</w:t>
      </w:r>
      <w:r w:rsidRPr="00115296">
        <w:rPr>
          <w:rFonts w:ascii="Times New Roman" w:hAnsi="Times New Roman" w:cs="Times New Roman"/>
        </w:rPr>
        <w:t> (pp. 167-210). CRC Press.</w:t>
      </w:r>
    </w:p>
    <w:p w14:paraId="5A3AE734" w14:textId="77777777" w:rsidR="00115296" w:rsidRPr="00E379D6" w:rsidRDefault="00115296" w:rsidP="00115296">
      <w:pPr>
        <w:spacing w:after="0" w:line="288" w:lineRule="auto"/>
        <w:jc w:val="both"/>
        <w:rPr>
          <w:rFonts w:ascii="Times New Roman" w:hAnsi="Times New Roman" w:cs="Times New Roman"/>
          <w:lang w:val="es-US"/>
        </w:rPr>
      </w:pPr>
      <w:r w:rsidRPr="00115296">
        <w:rPr>
          <w:rFonts w:ascii="Times New Roman" w:hAnsi="Times New Roman" w:cs="Times New Roman"/>
        </w:rPr>
        <w:t>3. Klimek-Kopyra, A., Szmigiel, A., Zajac, T., &amp; Kidacka, A. (2012). Some aspects of cultivation and utilization of waxy maize (Zea mays L. ssp. ceratina). </w:t>
      </w:r>
      <w:r w:rsidRPr="00E379D6">
        <w:rPr>
          <w:rFonts w:ascii="Times New Roman" w:hAnsi="Times New Roman" w:cs="Times New Roman"/>
          <w:i/>
          <w:iCs/>
          <w:lang w:val="es-US"/>
        </w:rPr>
        <w:t>Acta Agrobotanica</w:t>
      </w:r>
      <w:r w:rsidRPr="00E379D6">
        <w:rPr>
          <w:rFonts w:ascii="Times New Roman" w:hAnsi="Times New Roman" w:cs="Times New Roman"/>
          <w:lang w:val="es-US"/>
        </w:rPr>
        <w:t>, </w:t>
      </w:r>
      <w:r w:rsidRPr="00E379D6">
        <w:rPr>
          <w:rFonts w:ascii="Times New Roman" w:hAnsi="Times New Roman" w:cs="Times New Roman"/>
          <w:i/>
          <w:iCs/>
          <w:lang w:val="es-US"/>
        </w:rPr>
        <w:t>65</w:t>
      </w:r>
      <w:r w:rsidRPr="00E379D6">
        <w:rPr>
          <w:rFonts w:ascii="Times New Roman" w:hAnsi="Times New Roman" w:cs="Times New Roman"/>
          <w:lang w:val="es-US"/>
        </w:rPr>
        <w:t>(3).</w:t>
      </w:r>
    </w:p>
    <w:p w14:paraId="20C48FBB" w14:textId="77777777" w:rsidR="00115296" w:rsidRPr="00115296" w:rsidRDefault="00115296" w:rsidP="00115296">
      <w:pPr>
        <w:spacing w:after="0" w:line="288" w:lineRule="auto"/>
        <w:jc w:val="both"/>
        <w:rPr>
          <w:rFonts w:ascii="Times New Roman" w:hAnsi="Times New Roman" w:cs="Times New Roman"/>
        </w:rPr>
      </w:pPr>
      <w:r w:rsidRPr="00E379D6">
        <w:rPr>
          <w:rFonts w:ascii="Times New Roman" w:hAnsi="Times New Roman" w:cs="Times New Roman"/>
          <w:lang w:val="es-US"/>
        </w:rPr>
        <w:t xml:space="preserve">4. Dong, L., Qi, X., Zhu, J., Liu, C., Zhang, X., Cheng, B., ... &amp; Xie, C. (2019). </w:t>
      </w:r>
      <w:r w:rsidRPr="00115296">
        <w:rPr>
          <w:rFonts w:ascii="Times New Roman" w:hAnsi="Times New Roman" w:cs="Times New Roman"/>
        </w:rPr>
        <w:t>Supersweet and waxy: meeting the diverse demands for specialty maize by genome editing. </w:t>
      </w:r>
      <w:r w:rsidRPr="00115296">
        <w:rPr>
          <w:rFonts w:ascii="Times New Roman" w:hAnsi="Times New Roman" w:cs="Times New Roman"/>
          <w:i/>
          <w:iCs/>
        </w:rPr>
        <w:t>Plant Biotechnology Journal</w:t>
      </w:r>
      <w:r w:rsidRPr="00115296">
        <w:rPr>
          <w:rFonts w:ascii="Times New Roman" w:hAnsi="Times New Roman" w:cs="Times New Roman"/>
        </w:rPr>
        <w:t>, </w:t>
      </w:r>
      <w:r w:rsidRPr="00115296">
        <w:rPr>
          <w:rFonts w:ascii="Times New Roman" w:hAnsi="Times New Roman" w:cs="Times New Roman"/>
          <w:i/>
          <w:iCs/>
        </w:rPr>
        <w:t>17</w:t>
      </w:r>
      <w:r w:rsidRPr="00115296">
        <w:rPr>
          <w:rFonts w:ascii="Times New Roman" w:hAnsi="Times New Roman" w:cs="Times New Roman"/>
        </w:rPr>
        <w:t>(10), 1853.</w:t>
      </w:r>
    </w:p>
    <w:p w14:paraId="2FCACA9B"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lastRenderedPageBreak/>
        <w:t>5. Badu-Apraku, B., &amp; Fakorede, M. A. B. (2017). Maize in Sub-Saharan Africa: importance and production constraints. In </w:t>
      </w:r>
      <w:r w:rsidRPr="00115296">
        <w:rPr>
          <w:rFonts w:ascii="Times New Roman" w:hAnsi="Times New Roman" w:cs="Times New Roman"/>
          <w:i/>
          <w:iCs/>
        </w:rPr>
        <w:t>Advances in genetic enhancement of early and extra-early maize for Sub-Saharan Africa</w:t>
      </w:r>
      <w:r w:rsidRPr="00115296">
        <w:rPr>
          <w:rFonts w:ascii="Times New Roman" w:hAnsi="Times New Roman" w:cs="Times New Roman"/>
        </w:rPr>
        <w:t> (pp. 3-10). Cham: Springer International Publishing.</w:t>
      </w:r>
    </w:p>
    <w:p w14:paraId="11CB75B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6. Parihar, C. M., Yadav, M. R., SINGH, A. K., KUMAR, B., POONIYA, V., PRADHAN, S., ... &amp; SAHARAWAT, Y. S. (2018). Long-term conservation agriculture and intensified cropping systems: Effects on growth, yield, water, and energy-use efficiency of maize in northwestern India. </w:t>
      </w:r>
      <w:r w:rsidRPr="00115296">
        <w:rPr>
          <w:rFonts w:ascii="Times New Roman" w:hAnsi="Times New Roman" w:cs="Times New Roman"/>
          <w:i/>
          <w:iCs/>
        </w:rPr>
        <w:t>Pedosphere</w:t>
      </w:r>
      <w:r w:rsidRPr="00115296">
        <w:rPr>
          <w:rFonts w:ascii="Times New Roman" w:hAnsi="Times New Roman" w:cs="Times New Roman"/>
        </w:rPr>
        <w:t>, </w:t>
      </w:r>
      <w:r w:rsidRPr="00115296">
        <w:rPr>
          <w:rFonts w:ascii="Times New Roman" w:hAnsi="Times New Roman" w:cs="Times New Roman"/>
          <w:i/>
          <w:iCs/>
        </w:rPr>
        <w:t>28</w:t>
      </w:r>
      <w:r w:rsidRPr="00115296">
        <w:rPr>
          <w:rFonts w:ascii="Times New Roman" w:hAnsi="Times New Roman" w:cs="Times New Roman"/>
        </w:rPr>
        <w:t>(6), 952-963.</w:t>
      </w:r>
    </w:p>
    <w:p w14:paraId="456F2241"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7. Huang, C., Zhang, W., Wang, H., Gao, Y., Ma, S., Qin, A., ... &amp; Liu, Z. (2022). Effects of waterlogging at different stages on growth and ear quality of waxy maize. </w:t>
      </w:r>
      <w:r w:rsidRPr="00115296">
        <w:rPr>
          <w:rFonts w:ascii="Times New Roman" w:hAnsi="Times New Roman" w:cs="Times New Roman"/>
          <w:i/>
          <w:iCs/>
        </w:rPr>
        <w:t>Agricultural Water Management</w:t>
      </w:r>
      <w:r w:rsidRPr="00115296">
        <w:rPr>
          <w:rFonts w:ascii="Times New Roman" w:hAnsi="Times New Roman" w:cs="Times New Roman"/>
        </w:rPr>
        <w:t>, </w:t>
      </w:r>
      <w:r w:rsidRPr="00115296">
        <w:rPr>
          <w:rFonts w:ascii="Times New Roman" w:hAnsi="Times New Roman" w:cs="Times New Roman"/>
          <w:i/>
          <w:iCs/>
        </w:rPr>
        <w:t>266</w:t>
      </w:r>
      <w:r w:rsidRPr="00115296">
        <w:rPr>
          <w:rFonts w:ascii="Times New Roman" w:hAnsi="Times New Roman" w:cs="Times New Roman"/>
        </w:rPr>
        <w:t>, 107603.</w:t>
      </w:r>
    </w:p>
    <w:p w14:paraId="5381E35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8. Rooney, L. W., McDonough, C. M., &amp; Waniska, R. D. (2004). The corn kernel. </w:t>
      </w:r>
      <w:r w:rsidRPr="00115296">
        <w:rPr>
          <w:rFonts w:ascii="Times New Roman" w:hAnsi="Times New Roman" w:cs="Times New Roman"/>
          <w:i/>
          <w:iCs/>
        </w:rPr>
        <w:t>Corn. Eds. Smith CW, Betran J., Runie ECA, Willey &amp; Sons Inc., Hoboken, New Jersey</w:t>
      </w:r>
      <w:r w:rsidRPr="00115296">
        <w:rPr>
          <w:rFonts w:ascii="Times New Roman" w:hAnsi="Times New Roman" w:cs="Times New Roman"/>
        </w:rPr>
        <w:t>, 273-291.</w:t>
      </w:r>
    </w:p>
    <w:p w14:paraId="38FC5920"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9. Gu, R., Chen, F., Liu, B., Wang, X., Liu, J., Li, P., ... &amp; Yuan, L. (2015). Comprehensive phenotypic analysis and quantitative trait locus identification for grain mineral concentration, content, and yield in maize (Zea mays L.). </w:t>
      </w:r>
      <w:r w:rsidRPr="00115296">
        <w:rPr>
          <w:rFonts w:ascii="Times New Roman" w:hAnsi="Times New Roman" w:cs="Times New Roman"/>
          <w:i/>
          <w:iCs/>
        </w:rPr>
        <w:t>Theoretical and applied genetics</w:t>
      </w:r>
      <w:r w:rsidRPr="00115296">
        <w:rPr>
          <w:rFonts w:ascii="Times New Roman" w:hAnsi="Times New Roman" w:cs="Times New Roman"/>
        </w:rPr>
        <w:t>, </w:t>
      </w:r>
      <w:r w:rsidRPr="00115296">
        <w:rPr>
          <w:rFonts w:ascii="Times New Roman" w:hAnsi="Times New Roman" w:cs="Times New Roman"/>
          <w:i/>
          <w:iCs/>
        </w:rPr>
        <w:t>128</w:t>
      </w:r>
      <w:r w:rsidRPr="00115296">
        <w:rPr>
          <w:rFonts w:ascii="Times New Roman" w:hAnsi="Times New Roman" w:cs="Times New Roman"/>
        </w:rPr>
        <w:t>(9), 1777-1789.</w:t>
      </w:r>
    </w:p>
    <w:p w14:paraId="43F40182"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10. Suwa, R., Hakata, H., Hara, H., El-Shemy, H. A., Adu-Gyamfi, J. J., Nguyen, N. T., ... &amp; Fujita, K. (2010). High temperature effects on photosynthate partitioning and sugar metabolism during ear expansion in maize (Zea mays L.) genotypes. </w:t>
      </w:r>
      <w:r w:rsidRPr="00115296">
        <w:rPr>
          <w:rFonts w:ascii="Times New Roman" w:hAnsi="Times New Roman" w:cs="Times New Roman"/>
          <w:i/>
          <w:iCs/>
        </w:rPr>
        <w:t>Plant Physiology and Biochemistry</w:t>
      </w:r>
      <w:r w:rsidRPr="00115296">
        <w:rPr>
          <w:rFonts w:ascii="Times New Roman" w:hAnsi="Times New Roman" w:cs="Times New Roman"/>
        </w:rPr>
        <w:t>, </w:t>
      </w:r>
      <w:r w:rsidRPr="00115296">
        <w:rPr>
          <w:rFonts w:ascii="Times New Roman" w:hAnsi="Times New Roman" w:cs="Times New Roman"/>
          <w:i/>
          <w:iCs/>
        </w:rPr>
        <w:t>48</w:t>
      </w:r>
      <w:r w:rsidRPr="00115296">
        <w:rPr>
          <w:rFonts w:ascii="Times New Roman" w:hAnsi="Times New Roman" w:cs="Times New Roman"/>
        </w:rPr>
        <w:t>(2-3), 124-130.</w:t>
      </w:r>
    </w:p>
    <w:p w14:paraId="02EAACC0"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11. Otegui, M. E., &amp; Bonhomme, R. (1998). Grain yield components in maize: I. Ear growth and kernel set. </w:t>
      </w:r>
      <w:r w:rsidRPr="00115296">
        <w:rPr>
          <w:rFonts w:ascii="Times New Roman" w:hAnsi="Times New Roman" w:cs="Times New Roman"/>
          <w:i/>
          <w:iCs/>
        </w:rPr>
        <w:t>Field Crops Research</w:t>
      </w:r>
      <w:r w:rsidRPr="00115296">
        <w:rPr>
          <w:rFonts w:ascii="Times New Roman" w:hAnsi="Times New Roman" w:cs="Times New Roman"/>
        </w:rPr>
        <w:t>, </w:t>
      </w:r>
      <w:r w:rsidRPr="00115296">
        <w:rPr>
          <w:rFonts w:ascii="Times New Roman" w:hAnsi="Times New Roman" w:cs="Times New Roman"/>
          <w:i/>
          <w:iCs/>
        </w:rPr>
        <w:t>56</w:t>
      </w:r>
      <w:r w:rsidRPr="00115296">
        <w:rPr>
          <w:rFonts w:ascii="Times New Roman" w:hAnsi="Times New Roman" w:cs="Times New Roman"/>
        </w:rPr>
        <w:t>(3), 247-256.</w:t>
      </w:r>
    </w:p>
    <w:p w14:paraId="7FF1F107"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12. Zhao, Y., Zhang, S., Lv, Y., Ning, F., Cao, Y., Liao, S., ... &amp; Huang, S. (2022). Optimizing ear-plant height ratio to improve kernel number and lodging resistance in maize (Zea mays L.). </w:t>
      </w:r>
      <w:r w:rsidRPr="00115296">
        <w:rPr>
          <w:rFonts w:ascii="Times New Roman" w:hAnsi="Times New Roman" w:cs="Times New Roman"/>
          <w:i/>
          <w:iCs/>
        </w:rPr>
        <w:t>Field Crops Research</w:t>
      </w:r>
      <w:r w:rsidRPr="00115296">
        <w:rPr>
          <w:rFonts w:ascii="Times New Roman" w:hAnsi="Times New Roman" w:cs="Times New Roman"/>
        </w:rPr>
        <w:t>, </w:t>
      </w:r>
      <w:r w:rsidRPr="00115296">
        <w:rPr>
          <w:rFonts w:ascii="Times New Roman" w:hAnsi="Times New Roman" w:cs="Times New Roman"/>
          <w:i/>
          <w:iCs/>
        </w:rPr>
        <w:t>276</w:t>
      </w:r>
      <w:r w:rsidRPr="00115296">
        <w:rPr>
          <w:rFonts w:ascii="Times New Roman" w:hAnsi="Times New Roman" w:cs="Times New Roman"/>
        </w:rPr>
        <w:t>, 108376.</w:t>
      </w:r>
    </w:p>
    <w:p w14:paraId="7FB88AF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13. Paikhomba, N., Kumar, A., Chaurasia, A. K., &amp; Rai, P. K. (2014). Assessment of genetic parameters for yield and yield components in hybrid rice and parents. </w:t>
      </w:r>
      <w:r w:rsidRPr="00115296">
        <w:rPr>
          <w:rFonts w:ascii="Times New Roman" w:hAnsi="Times New Roman" w:cs="Times New Roman"/>
          <w:i/>
          <w:iCs/>
        </w:rPr>
        <w:t>Journal of Rice Research</w:t>
      </w:r>
      <w:r w:rsidRPr="00115296">
        <w:rPr>
          <w:rFonts w:ascii="Times New Roman" w:hAnsi="Times New Roman" w:cs="Times New Roman"/>
        </w:rPr>
        <w:t>, </w:t>
      </w:r>
      <w:r w:rsidRPr="00115296">
        <w:rPr>
          <w:rFonts w:ascii="Times New Roman" w:hAnsi="Times New Roman" w:cs="Times New Roman"/>
          <w:i/>
          <w:iCs/>
        </w:rPr>
        <w:t>2</w:t>
      </w:r>
      <w:r w:rsidRPr="00115296">
        <w:rPr>
          <w:rFonts w:ascii="Times New Roman" w:hAnsi="Times New Roman" w:cs="Times New Roman"/>
        </w:rPr>
        <w:t>(1), 117.</w:t>
      </w:r>
    </w:p>
    <w:p w14:paraId="65B8D69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14. Kalhoro, F. A., Rajpar, A. A., Kalhoro, S. A., Mahar, A., Ali, A., Otho, S. A., ... &amp; Baloch, Z. A. (2015). Heterosis and combing ability in F1 population of hexaploid wheat (Triticum aestivum L.). </w:t>
      </w:r>
      <w:r w:rsidRPr="00115296">
        <w:rPr>
          <w:rFonts w:ascii="Times New Roman" w:hAnsi="Times New Roman" w:cs="Times New Roman"/>
          <w:i/>
          <w:iCs/>
        </w:rPr>
        <w:t>American Journal of Plant Sciences</w:t>
      </w:r>
      <w:r w:rsidRPr="00115296">
        <w:rPr>
          <w:rFonts w:ascii="Times New Roman" w:hAnsi="Times New Roman" w:cs="Times New Roman"/>
        </w:rPr>
        <w:t>, </w:t>
      </w:r>
      <w:r w:rsidRPr="00115296">
        <w:rPr>
          <w:rFonts w:ascii="Times New Roman" w:hAnsi="Times New Roman" w:cs="Times New Roman"/>
          <w:i/>
          <w:iCs/>
        </w:rPr>
        <w:t>6</w:t>
      </w:r>
      <w:r w:rsidRPr="00115296">
        <w:rPr>
          <w:rFonts w:ascii="Times New Roman" w:hAnsi="Times New Roman" w:cs="Times New Roman"/>
        </w:rPr>
        <w:t>(07), 1011.</w:t>
      </w:r>
    </w:p>
    <w:p w14:paraId="7F0E229E"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15. Oettler, G., Tams, S. H., Utz, H. F., Bauer, E., &amp; Melchinger, A. E. (2005). Prospects for hybrid breeding in winter triticale: I. Heterosis and combining ability for agronomic traits in European elite germplasm. </w:t>
      </w:r>
      <w:r w:rsidRPr="00115296">
        <w:rPr>
          <w:rFonts w:ascii="Times New Roman" w:hAnsi="Times New Roman" w:cs="Times New Roman"/>
          <w:i/>
          <w:iCs/>
        </w:rPr>
        <w:t>Crop science</w:t>
      </w:r>
      <w:r w:rsidRPr="00115296">
        <w:rPr>
          <w:rFonts w:ascii="Times New Roman" w:hAnsi="Times New Roman" w:cs="Times New Roman"/>
        </w:rPr>
        <w:t>, </w:t>
      </w:r>
      <w:r w:rsidRPr="00115296">
        <w:rPr>
          <w:rFonts w:ascii="Times New Roman" w:hAnsi="Times New Roman" w:cs="Times New Roman"/>
          <w:i/>
          <w:iCs/>
        </w:rPr>
        <w:t>45</w:t>
      </w:r>
      <w:r w:rsidRPr="00115296">
        <w:rPr>
          <w:rFonts w:ascii="Times New Roman" w:hAnsi="Times New Roman" w:cs="Times New Roman"/>
        </w:rPr>
        <w:t>(4), 1476-1482.</w:t>
      </w:r>
    </w:p>
    <w:p w14:paraId="5C53029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16. Rayarao, S. R. (2025). ANOVA models: a comprehensive review of analysis of variance in statistical analysis and experimental design. </w:t>
      </w:r>
      <w:r w:rsidRPr="00115296">
        <w:rPr>
          <w:rFonts w:ascii="Times New Roman" w:hAnsi="Times New Roman" w:cs="Times New Roman"/>
          <w:i/>
          <w:iCs/>
        </w:rPr>
        <w:t>Authorea Preprints</w:t>
      </w:r>
      <w:r w:rsidRPr="00115296">
        <w:rPr>
          <w:rFonts w:ascii="Times New Roman" w:hAnsi="Times New Roman" w:cs="Times New Roman"/>
        </w:rPr>
        <w:t>.</w:t>
      </w:r>
    </w:p>
    <w:p w14:paraId="7796D947"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17. Nasrizal, A. A., Lowell, J. J., Idris, J., Nazaruddin, A. T., &amp; Bolong, N. (2021, November). The application of statistical ANOVA, LSD and RSM to Agro-based filter design optimization. In </w:t>
      </w:r>
      <w:r w:rsidRPr="00115296">
        <w:rPr>
          <w:rFonts w:ascii="Times New Roman" w:hAnsi="Times New Roman" w:cs="Times New Roman"/>
          <w:i/>
          <w:iCs/>
        </w:rPr>
        <w:t>International Conference on Water Resources</w:t>
      </w:r>
      <w:r w:rsidRPr="00115296">
        <w:rPr>
          <w:rFonts w:ascii="Times New Roman" w:hAnsi="Times New Roman" w:cs="Times New Roman"/>
        </w:rPr>
        <w:t> (pp. 199-209). Singapore: Springer Nature Singapore.</w:t>
      </w:r>
    </w:p>
    <w:p w14:paraId="711A801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18. De Groote, H., Gunaratna, N. S., Okuro, J. O., Wondimu, A., Chege, C. K., &amp; Tomlins, K. (2014). Consumer acceptance of quality protein maize (QPM) in East Africa. </w:t>
      </w:r>
      <w:r w:rsidRPr="00115296">
        <w:rPr>
          <w:rFonts w:ascii="Times New Roman" w:hAnsi="Times New Roman" w:cs="Times New Roman"/>
          <w:i/>
          <w:iCs/>
        </w:rPr>
        <w:t>Journal of the Science of Food and Agriculture</w:t>
      </w:r>
      <w:r w:rsidRPr="00115296">
        <w:rPr>
          <w:rFonts w:ascii="Times New Roman" w:hAnsi="Times New Roman" w:cs="Times New Roman"/>
        </w:rPr>
        <w:t>, </w:t>
      </w:r>
      <w:r w:rsidRPr="00115296">
        <w:rPr>
          <w:rFonts w:ascii="Times New Roman" w:hAnsi="Times New Roman" w:cs="Times New Roman"/>
          <w:i/>
          <w:iCs/>
        </w:rPr>
        <w:t>94</w:t>
      </w:r>
      <w:r w:rsidRPr="00115296">
        <w:rPr>
          <w:rFonts w:ascii="Times New Roman" w:hAnsi="Times New Roman" w:cs="Times New Roman"/>
        </w:rPr>
        <w:t>(15), 3201-3212.</w:t>
      </w:r>
    </w:p>
    <w:p w14:paraId="20B1B42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19. Sharif, M. K., Butt, M. S., Sharif, H. R., &amp; Nasir, M. (2017). Sensory evaluation and consumer acceptability. </w:t>
      </w:r>
      <w:r w:rsidRPr="00115296">
        <w:rPr>
          <w:rFonts w:ascii="Times New Roman" w:hAnsi="Times New Roman" w:cs="Times New Roman"/>
          <w:i/>
          <w:iCs/>
        </w:rPr>
        <w:t>Handbook of food science and technology</w:t>
      </w:r>
      <w:r w:rsidRPr="00115296">
        <w:rPr>
          <w:rFonts w:ascii="Times New Roman" w:hAnsi="Times New Roman" w:cs="Times New Roman"/>
        </w:rPr>
        <w:t>, </w:t>
      </w:r>
      <w:r w:rsidRPr="00115296">
        <w:rPr>
          <w:rFonts w:ascii="Times New Roman" w:hAnsi="Times New Roman" w:cs="Times New Roman"/>
          <w:i/>
          <w:iCs/>
        </w:rPr>
        <w:t>10</w:t>
      </w:r>
      <w:r w:rsidRPr="00115296">
        <w:rPr>
          <w:rFonts w:ascii="Times New Roman" w:hAnsi="Times New Roman" w:cs="Times New Roman"/>
        </w:rPr>
        <w:t>, 362-386.</w:t>
      </w:r>
    </w:p>
    <w:p w14:paraId="5C59DB8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lastRenderedPageBreak/>
        <w:t>20. Ter Steeg, E. M., Struik, P. C., Visser, R. G., &amp; Lindhout, P. (2022). Crucial factors for the feasibility of commercial hybrid breeding in food crops. </w:t>
      </w:r>
      <w:r w:rsidRPr="00115296">
        <w:rPr>
          <w:rFonts w:ascii="Times New Roman" w:hAnsi="Times New Roman" w:cs="Times New Roman"/>
          <w:i/>
          <w:iCs/>
        </w:rPr>
        <w:t>Nature Plants</w:t>
      </w:r>
      <w:r w:rsidRPr="00115296">
        <w:rPr>
          <w:rFonts w:ascii="Times New Roman" w:hAnsi="Times New Roman" w:cs="Times New Roman"/>
        </w:rPr>
        <w:t>, </w:t>
      </w:r>
      <w:r w:rsidRPr="00115296">
        <w:rPr>
          <w:rFonts w:ascii="Times New Roman" w:hAnsi="Times New Roman" w:cs="Times New Roman"/>
          <w:i/>
          <w:iCs/>
        </w:rPr>
        <w:t>8</w:t>
      </w:r>
      <w:r w:rsidRPr="00115296">
        <w:rPr>
          <w:rFonts w:ascii="Times New Roman" w:hAnsi="Times New Roman" w:cs="Times New Roman"/>
        </w:rPr>
        <w:t>(5), 463-473.</w:t>
      </w:r>
    </w:p>
    <w:p w14:paraId="7E47477E"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21. He, B., Pan, S., Zhao, J., Zou, X., Liu, X., &amp; Wu, S. (2024). Maize improvement based on modern breeding strategies: progress and perspective. </w:t>
      </w:r>
      <w:r w:rsidRPr="00115296">
        <w:rPr>
          <w:rFonts w:ascii="Times New Roman" w:hAnsi="Times New Roman" w:cs="Times New Roman"/>
          <w:i/>
          <w:iCs/>
        </w:rPr>
        <w:t>ACS Agricultural Science &amp; Technology</w:t>
      </w:r>
      <w:r w:rsidRPr="00115296">
        <w:rPr>
          <w:rFonts w:ascii="Times New Roman" w:hAnsi="Times New Roman" w:cs="Times New Roman"/>
        </w:rPr>
        <w:t>, </w:t>
      </w:r>
      <w:r w:rsidRPr="00115296">
        <w:rPr>
          <w:rFonts w:ascii="Times New Roman" w:hAnsi="Times New Roman" w:cs="Times New Roman"/>
          <w:i/>
          <w:iCs/>
        </w:rPr>
        <w:t>4</w:t>
      </w:r>
      <w:r w:rsidRPr="00115296">
        <w:rPr>
          <w:rFonts w:ascii="Times New Roman" w:hAnsi="Times New Roman" w:cs="Times New Roman"/>
        </w:rPr>
        <w:t>(3), 274-282.</w:t>
      </w:r>
    </w:p>
    <w:p w14:paraId="0F8EA63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22. Mugiyo, H., Mhizha, T., Chimonyo, V. G., &amp; Mabhaudhi, T. (2021). Investigation of the optimum planting dates for maize varieties using a hybrid approach: A case of Hwedza, Zimbabwe. </w:t>
      </w:r>
      <w:r w:rsidRPr="00115296">
        <w:rPr>
          <w:rFonts w:ascii="Times New Roman" w:hAnsi="Times New Roman" w:cs="Times New Roman"/>
          <w:i/>
          <w:iCs/>
        </w:rPr>
        <w:t>Heliyon</w:t>
      </w:r>
      <w:r w:rsidRPr="00115296">
        <w:rPr>
          <w:rFonts w:ascii="Times New Roman" w:hAnsi="Times New Roman" w:cs="Times New Roman"/>
        </w:rPr>
        <w:t>, </w:t>
      </w:r>
      <w:r w:rsidRPr="00115296">
        <w:rPr>
          <w:rFonts w:ascii="Times New Roman" w:hAnsi="Times New Roman" w:cs="Times New Roman"/>
          <w:i/>
          <w:iCs/>
        </w:rPr>
        <w:t>7</w:t>
      </w:r>
      <w:r w:rsidRPr="00115296">
        <w:rPr>
          <w:rFonts w:ascii="Times New Roman" w:hAnsi="Times New Roman" w:cs="Times New Roman"/>
        </w:rPr>
        <w:t>(2).</w:t>
      </w:r>
    </w:p>
    <w:p w14:paraId="6E8C103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23. Aliu, S., Fetahu, S. H., &amp; Salillari, A. (2008). Estimation of heterosis and combining ability in maize (Zea mays L.) for ear weight (EW) using the diallel crossing method.</w:t>
      </w:r>
    </w:p>
    <w:p w14:paraId="0E5694E1"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24. Van Dien, N., Nhai, N. T., &amp; Ha, D. N. Evaluation of agro-biological characteristics and combining ability of sweet corn inbred lines.</w:t>
      </w:r>
    </w:p>
    <w:p w14:paraId="1994D516" w14:textId="2C74C84B" w:rsidR="00D25A29" w:rsidRPr="00311474" w:rsidRDefault="00D25A29" w:rsidP="00115296">
      <w:pPr>
        <w:rPr>
          <w:rFonts w:ascii="Times New Roman" w:hAnsi="Times New Roman" w:cs="Times New Roman"/>
        </w:rPr>
      </w:pPr>
    </w:p>
    <w:sectPr w:rsidR="00D25A29" w:rsidRPr="00311474" w:rsidSect="008D5E4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D3F0F" w14:textId="77777777" w:rsidR="00DE67D2" w:rsidRDefault="00DE67D2" w:rsidP="003F66A2">
      <w:pPr>
        <w:spacing w:after="0" w:line="240" w:lineRule="auto"/>
      </w:pPr>
      <w:r>
        <w:separator/>
      </w:r>
    </w:p>
  </w:endnote>
  <w:endnote w:type="continuationSeparator" w:id="0">
    <w:p w14:paraId="79428C59" w14:textId="77777777" w:rsidR="00DE67D2" w:rsidRDefault="00DE67D2" w:rsidP="003F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A1BC" w14:textId="77777777" w:rsidR="003F66A2" w:rsidRDefault="003F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FA37" w14:textId="77777777" w:rsidR="003F66A2" w:rsidRDefault="003F6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5A2D" w14:textId="77777777" w:rsidR="003F66A2" w:rsidRDefault="003F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79F45" w14:textId="77777777" w:rsidR="00DE67D2" w:rsidRDefault="00DE67D2" w:rsidP="003F66A2">
      <w:pPr>
        <w:spacing w:after="0" w:line="240" w:lineRule="auto"/>
      </w:pPr>
      <w:r>
        <w:separator/>
      </w:r>
    </w:p>
  </w:footnote>
  <w:footnote w:type="continuationSeparator" w:id="0">
    <w:p w14:paraId="48AE85D2" w14:textId="77777777" w:rsidR="00DE67D2" w:rsidRDefault="00DE67D2" w:rsidP="003F6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64BD" w14:textId="7948E1B0" w:rsidR="003F66A2" w:rsidRDefault="003F66A2">
    <w:pPr>
      <w:pStyle w:val="Header"/>
    </w:pPr>
    <w:r>
      <w:rPr>
        <w:noProof/>
      </w:rPr>
      <w:pict w14:anchorId="72386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303517"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2810" w14:textId="61D4C1A6" w:rsidR="003F66A2" w:rsidRDefault="003F66A2">
    <w:pPr>
      <w:pStyle w:val="Header"/>
    </w:pPr>
    <w:r>
      <w:rPr>
        <w:noProof/>
      </w:rPr>
      <w:pict w14:anchorId="016A3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303518"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0399" w14:textId="77635CC6" w:rsidR="003F66A2" w:rsidRDefault="003F66A2">
    <w:pPr>
      <w:pStyle w:val="Header"/>
    </w:pPr>
    <w:r>
      <w:rPr>
        <w:noProof/>
      </w:rPr>
      <w:pict w14:anchorId="41807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303516"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219C"/>
    <w:multiLevelType w:val="multilevel"/>
    <w:tmpl w:val="383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B2646"/>
    <w:multiLevelType w:val="multilevel"/>
    <w:tmpl w:val="008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318E"/>
    <w:multiLevelType w:val="multilevel"/>
    <w:tmpl w:val="9C5E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62838"/>
    <w:multiLevelType w:val="multilevel"/>
    <w:tmpl w:val="69A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55540"/>
    <w:multiLevelType w:val="multilevel"/>
    <w:tmpl w:val="89E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46953"/>
    <w:multiLevelType w:val="multilevel"/>
    <w:tmpl w:val="E07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NTY3NrUwNLQ0NzVU0lEKTi0uzszPAykwrAUA2f+hHywAAAA="/>
  </w:docVars>
  <w:rsids>
    <w:rsidRoot w:val="009A2A7C"/>
    <w:rsid w:val="00010BF6"/>
    <w:rsid w:val="00023D90"/>
    <w:rsid w:val="00026179"/>
    <w:rsid w:val="000828CB"/>
    <w:rsid w:val="00097DB6"/>
    <w:rsid w:val="000A3D38"/>
    <w:rsid w:val="000A4B96"/>
    <w:rsid w:val="0010462F"/>
    <w:rsid w:val="00115296"/>
    <w:rsid w:val="00192207"/>
    <w:rsid w:val="00263DE0"/>
    <w:rsid w:val="002C0655"/>
    <w:rsid w:val="002D1927"/>
    <w:rsid w:val="00307D76"/>
    <w:rsid w:val="00307FCF"/>
    <w:rsid w:val="00311474"/>
    <w:rsid w:val="00313999"/>
    <w:rsid w:val="00322110"/>
    <w:rsid w:val="0036465E"/>
    <w:rsid w:val="003C47FD"/>
    <w:rsid w:val="003C5522"/>
    <w:rsid w:val="003F66A2"/>
    <w:rsid w:val="00413A51"/>
    <w:rsid w:val="00440BE2"/>
    <w:rsid w:val="00440DD4"/>
    <w:rsid w:val="004D5B20"/>
    <w:rsid w:val="004E6BAD"/>
    <w:rsid w:val="00553A80"/>
    <w:rsid w:val="005C4B69"/>
    <w:rsid w:val="005D797A"/>
    <w:rsid w:val="00662F78"/>
    <w:rsid w:val="0069577D"/>
    <w:rsid w:val="006C1F4B"/>
    <w:rsid w:val="0071689F"/>
    <w:rsid w:val="0076130A"/>
    <w:rsid w:val="00774250"/>
    <w:rsid w:val="00803ACF"/>
    <w:rsid w:val="00820337"/>
    <w:rsid w:val="0084406C"/>
    <w:rsid w:val="008468D0"/>
    <w:rsid w:val="008C0AA8"/>
    <w:rsid w:val="008D5E4D"/>
    <w:rsid w:val="008E40AC"/>
    <w:rsid w:val="008F00BF"/>
    <w:rsid w:val="00976FE9"/>
    <w:rsid w:val="00983568"/>
    <w:rsid w:val="009A2A7C"/>
    <w:rsid w:val="009D7FB8"/>
    <w:rsid w:val="009F099A"/>
    <w:rsid w:val="00A70733"/>
    <w:rsid w:val="00B3395A"/>
    <w:rsid w:val="00B34EBF"/>
    <w:rsid w:val="00B52E90"/>
    <w:rsid w:val="00C93FEA"/>
    <w:rsid w:val="00CB2DB3"/>
    <w:rsid w:val="00CC3F06"/>
    <w:rsid w:val="00CD05FA"/>
    <w:rsid w:val="00D25A29"/>
    <w:rsid w:val="00DB7A96"/>
    <w:rsid w:val="00DC784A"/>
    <w:rsid w:val="00DE67D2"/>
    <w:rsid w:val="00DE70B6"/>
    <w:rsid w:val="00E10EF5"/>
    <w:rsid w:val="00E379D6"/>
    <w:rsid w:val="00E46BF4"/>
    <w:rsid w:val="00E94214"/>
    <w:rsid w:val="00E94CFD"/>
    <w:rsid w:val="00EC3751"/>
    <w:rsid w:val="00EE3550"/>
    <w:rsid w:val="00F72B69"/>
    <w:rsid w:val="00F965F4"/>
    <w:rsid w:val="00FC5C12"/>
    <w:rsid w:val="00FD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C0D92"/>
  <w15:chartTrackingRefBased/>
  <w15:docId w15:val="{D059947B-A418-44B3-9401-803A8A84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A7C"/>
  </w:style>
  <w:style w:type="paragraph" w:styleId="Heading1">
    <w:name w:val="heading 1"/>
    <w:basedOn w:val="Normal"/>
    <w:next w:val="Normal"/>
    <w:link w:val="Heading1Char"/>
    <w:uiPriority w:val="9"/>
    <w:qFormat/>
    <w:rsid w:val="009A2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A7C"/>
    <w:rPr>
      <w:rFonts w:eastAsiaTheme="majorEastAsia" w:cstheme="majorBidi"/>
      <w:color w:val="272727" w:themeColor="text1" w:themeTint="D8"/>
    </w:rPr>
  </w:style>
  <w:style w:type="paragraph" w:styleId="Title">
    <w:name w:val="Title"/>
    <w:basedOn w:val="Normal"/>
    <w:next w:val="Normal"/>
    <w:link w:val="TitleChar"/>
    <w:uiPriority w:val="10"/>
    <w:qFormat/>
    <w:rsid w:val="009A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A7C"/>
    <w:pPr>
      <w:spacing w:before="160"/>
      <w:jc w:val="center"/>
    </w:pPr>
    <w:rPr>
      <w:i/>
      <w:iCs/>
      <w:color w:val="404040" w:themeColor="text1" w:themeTint="BF"/>
    </w:rPr>
  </w:style>
  <w:style w:type="character" w:customStyle="1" w:styleId="QuoteChar">
    <w:name w:val="Quote Char"/>
    <w:basedOn w:val="DefaultParagraphFont"/>
    <w:link w:val="Quote"/>
    <w:uiPriority w:val="29"/>
    <w:rsid w:val="009A2A7C"/>
    <w:rPr>
      <w:i/>
      <w:iCs/>
      <w:color w:val="404040" w:themeColor="text1" w:themeTint="BF"/>
    </w:rPr>
  </w:style>
  <w:style w:type="paragraph" w:styleId="ListParagraph">
    <w:name w:val="List Paragraph"/>
    <w:basedOn w:val="Normal"/>
    <w:uiPriority w:val="34"/>
    <w:qFormat/>
    <w:rsid w:val="009A2A7C"/>
    <w:pPr>
      <w:ind w:left="720"/>
      <w:contextualSpacing/>
    </w:pPr>
  </w:style>
  <w:style w:type="character" w:styleId="IntenseEmphasis">
    <w:name w:val="Intense Emphasis"/>
    <w:basedOn w:val="DefaultParagraphFont"/>
    <w:uiPriority w:val="21"/>
    <w:qFormat/>
    <w:rsid w:val="009A2A7C"/>
    <w:rPr>
      <w:i/>
      <w:iCs/>
      <w:color w:val="2F5496" w:themeColor="accent1" w:themeShade="BF"/>
    </w:rPr>
  </w:style>
  <w:style w:type="paragraph" w:styleId="IntenseQuote">
    <w:name w:val="Intense Quote"/>
    <w:basedOn w:val="Normal"/>
    <w:next w:val="Normal"/>
    <w:link w:val="IntenseQuoteChar"/>
    <w:uiPriority w:val="30"/>
    <w:qFormat/>
    <w:rsid w:val="009A2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A7C"/>
    <w:rPr>
      <w:i/>
      <w:iCs/>
      <w:color w:val="2F5496" w:themeColor="accent1" w:themeShade="BF"/>
    </w:rPr>
  </w:style>
  <w:style w:type="character" w:styleId="IntenseReference">
    <w:name w:val="Intense Reference"/>
    <w:basedOn w:val="DefaultParagraphFont"/>
    <w:uiPriority w:val="32"/>
    <w:qFormat/>
    <w:rsid w:val="009A2A7C"/>
    <w:rPr>
      <w:b/>
      <w:bCs/>
      <w:smallCaps/>
      <w:color w:val="2F5496" w:themeColor="accent1" w:themeShade="BF"/>
      <w:spacing w:val="5"/>
    </w:rPr>
  </w:style>
  <w:style w:type="character" w:styleId="Strong">
    <w:name w:val="Strong"/>
    <w:basedOn w:val="DefaultParagraphFont"/>
    <w:uiPriority w:val="22"/>
    <w:qFormat/>
    <w:rsid w:val="005D797A"/>
    <w:rPr>
      <w:b/>
      <w:bCs/>
    </w:rPr>
  </w:style>
  <w:style w:type="character" w:styleId="Hyperlink">
    <w:name w:val="Hyperlink"/>
    <w:basedOn w:val="DefaultParagraphFont"/>
    <w:uiPriority w:val="99"/>
    <w:unhideWhenUsed/>
    <w:rsid w:val="00CD05FA"/>
    <w:rPr>
      <w:color w:val="0563C1" w:themeColor="hyperlink"/>
      <w:u w:val="single"/>
    </w:rPr>
  </w:style>
  <w:style w:type="character" w:styleId="UnresolvedMention">
    <w:name w:val="Unresolved Mention"/>
    <w:basedOn w:val="DefaultParagraphFont"/>
    <w:uiPriority w:val="99"/>
    <w:semiHidden/>
    <w:unhideWhenUsed/>
    <w:rsid w:val="00CD05FA"/>
    <w:rPr>
      <w:color w:val="605E5C"/>
      <w:shd w:val="clear" w:color="auto" w:fill="E1DFDD"/>
    </w:rPr>
  </w:style>
  <w:style w:type="paragraph" w:styleId="Header">
    <w:name w:val="header"/>
    <w:basedOn w:val="Normal"/>
    <w:link w:val="HeaderChar"/>
    <w:uiPriority w:val="99"/>
    <w:unhideWhenUsed/>
    <w:rsid w:val="003F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6A2"/>
  </w:style>
  <w:style w:type="paragraph" w:styleId="Footer">
    <w:name w:val="footer"/>
    <w:basedOn w:val="Normal"/>
    <w:link w:val="FooterChar"/>
    <w:uiPriority w:val="99"/>
    <w:unhideWhenUsed/>
    <w:rsid w:val="003F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1621</TotalTime>
  <Pages>15</Pages>
  <Words>6301</Words>
  <Characters>35921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Mr</dc:creator>
  <cp:keywords/>
  <dc:description/>
  <cp:lastModifiedBy>SDI 1084</cp:lastModifiedBy>
  <cp:revision>59</cp:revision>
  <dcterms:created xsi:type="dcterms:W3CDTF">2026-02-26T00:59:00Z</dcterms:created>
  <dcterms:modified xsi:type="dcterms:W3CDTF">2026-02-28T13:18:00Z</dcterms:modified>
</cp:coreProperties>
</file>