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53A88" w14:textId="77777777" w:rsidR="00DA0F27" w:rsidRPr="00DA0F27" w:rsidRDefault="00DA0F27" w:rsidP="00DA0F27">
      <w:pPr>
        <w:ind w:left="360"/>
        <w:jc w:val="center"/>
        <w:rPr>
          <w:b/>
          <w:bCs/>
          <w:i/>
          <w:iCs/>
          <w:sz w:val="32"/>
          <w:szCs w:val="32"/>
          <w:u w:val="single"/>
          <w:lang w:val="en-US"/>
        </w:rPr>
      </w:pPr>
      <w:r w:rsidRPr="00DA0F27">
        <w:rPr>
          <w:b/>
          <w:bCs/>
          <w:i/>
          <w:iCs/>
          <w:sz w:val="32"/>
          <w:szCs w:val="32"/>
          <w:u w:val="single"/>
          <w:lang w:val="en-US"/>
        </w:rPr>
        <w:t>Review Article</w:t>
      </w:r>
    </w:p>
    <w:p w14:paraId="4ACA8DFA" w14:textId="7B130501" w:rsidR="00177D04" w:rsidRDefault="00177D04" w:rsidP="00005562">
      <w:pPr>
        <w:ind w:left="360"/>
        <w:jc w:val="center"/>
        <w:rPr>
          <w:b/>
          <w:bCs/>
          <w:sz w:val="32"/>
          <w:szCs w:val="32"/>
        </w:rPr>
      </w:pPr>
      <w:r w:rsidRPr="00177D04">
        <w:rPr>
          <w:b/>
          <w:bCs/>
          <w:sz w:val="32"/>
          <w:szCs w:val="32"/>
        </w:rPr>
        <w:t>Advanced Detection and Biosensor Approaches for Cyanotoxin Monitoring in Aquatic Environment</w:t>
      </w:r>
    </w:p>
    <w:p w14:paraId="5FADEA8D" w14:textId="7A68534E" w:rsidR="00AC6C06" w:rsidRDefault="00AC6C06" w:rsidP="00AC6C06">
      <w:pPr>
        <w:spacing w:line="360" w:lineRule="auto"/>
        <w:jc w:val="both"/>
        <w:rPr>
          <w:rFonts w:ascii="Arial" w:hAnsi="Arial" w:cs="Arial"/>
        </w:rPr>
      </w:pPr>
    </w:p>
    <w:p w14:paraId="13D0B2F2" w14:textId="77777777" w:rsidR="00AC6C06" w:rsidRPr="001669C5" w:rsidRDefault="00AC6C06" w:rsidP="001669C5">
      <w:pPr>
        <w:spacing w:line="360" w:lineRule="auto"/>
        <w:jc w:val="both"/>
        <w:rPr>
          <w:rFonts w:ascii="Arial" w:hAnsi="Arial" w:cs="Arial"/>
        </w:rPr>
      </w:pPr>
    </w:p>
    <w:p w14:paraId="694B7880" w14:textId="6CB6B965" w:rsidR="00665C9A" w:rsidRDefault="00E81518" w:rsidP="001669C5">
      <w:pPr>
        <w:spacing w:after="0"/>
        <w:ind w:left="360"/>
        <w:rPr>
          <w:rFonts w:ascii="Arial" w:hAnsi="Arial" w:cs="Arial"/>
          <w:b/>
          <w:bCs/>
        </w:rPr>
      </w:pPr>
      <w:r w:rsidRPr="00C0036D">
        <w:rPr>
          <w:rFonts w:ascii="Arial" w:hAnsi="Arial" w:cs="Arial"/>
          <w:b/>
          <w:bCs/>
        </w:rPr>
        <w:t>ABSTRACT</w:t>
      </w:r>
    </w:p>
    <w:p w14:paraId="5731B9A3" w14:textId="77777777" w:rsidR="00C0036D" w:rsidRPr="00C0036D" w:rsidRDefault="00C0036D" w:rsidP="001669C5">
      <w:pPr>
        <w:spacing w:after="0"/>
        <w:ind w:left="360"/>
        <w:rPr>
          <w:rFonts w:ascii="Arial" w:hAnsi="Arial" w:cs="Arial"/>
          <w:b/>
          <w:bCs/>
        </w:rPr>
      </w:pPr>
    </w:p>
    <w:p w14:paraId="23BB62BF" w14:textId="24322FF2" w:rsidR="00D230C1" w:rsidRDefault="00D230C1" w:rsidP="00D230C1">
      <w:pPr>
        <w:spacing w:after="0"/>
        <w:ind w:left="360"/>
        <w:jc w:val="both"/>
        <w:rPr>
          <w:rFonts w:ascii="Arial" w:hAnsi="Arial" w:cs="Arial"/>
        </w:rPr>
      </w:pPr>
      <w:r w:rsidRPr="00D230C1">
        <w:rPr>
          <w:rFonts w:ascii="Arial" w:hAnsi="Arial" w:cs="Arial"/>
        </w:rPr>
        <w:t xml:space="preserve">The increasing frequency and geographic expansion of harmful cyanobacterial blooms have intensified global concerns regarding cyanotoxin contamination in freshwater systems and the associated risks to public health and ecosystem stability. Effective surveillance requires sensitive, selective, and reliable detection methods capable of addressing structurally diverse toxins, including </w:t>
      </w:r>
      <w:proofErr w:type="spellStart"/>
      <w:r w:rsidRPr="00D230C1">
        <w:rPr>
          <w:rFonts w:ascii="Arial" w:hAnsi="Arial" w:cs="Arial"/>
        </w:rPr>
        <w:t>microcystins</w:t>
      </w:r>
      <w:proofErr w:type="spellEnd"/>
      <w:r w:rsidRPr="00D230C1">
        <w:rPr>
          <w:rFonts w:ascii="Arial" w:hAnsi="Arial" w:cs="Arial"/>
        </w:rPr>
        <w:t xml:space="preserve">, </w:t>
      </w:r>
      <w:proofErr w:type="spellStart"/>
      <w:r w:rsidRPr="00D230C1">
        <w:rPr>
          <w:rFonts w:ascii="Arial" w:hAnsi="Arial" w:cs="Arial"/>
        </w:rPr>
        <w:t>cylindrospermopsin</w:t>
      </w:r>
      <w:proofErr w:type="spellEnd"/>
      <w:r w:rsidRPr="00D230C1">
        <w:rPr>
          <w:rFonts w:ascii="Arial" w:hAnsi="Arial" w:cs="Arial"/>
        </w:rPr>
        <w:t>, anatoxins, saxitoxins, and β-N-methylamino-L-alanine. This review describes the classification, global distribution, and toxicological significance of major cyanotoxins and critically evaluates current and emerging detection strategies. Conventional chromatographic techniques, particularly liquid chromatography–tandem mass spectrometry (LC–MS/MS), remain the reference standard due to their high sensitivity, structural specificity, and multi-toxin quantification capability, while high-resolution mass spectrometry enables non-target screening and identification of novel toxin variants. Immunological assays and protein phosphatase inhibition assays are examined as rapid and cost-effective screening tools, although their analytical limitations are discussed. The review</w:t>
      </w:r>
      <w:r>
        <w:rPr>
          <w:rFonts w:ascii="Arial" w:hAnsi="Arial" w:cs="Arial"/>
        </w:rPr>
        <w:t xml:space="preserve"> </w:t>
      </w:r>
      <w:r w:rsidRPr="00D230C1">
        <w:rPr>
          <w:rFonts w:ascii="Arial" w:hAnsi="Arial" w:cs="Arial"/>
        </w:rPr>
        <w:t xml:space="preserve">highlights </w:t>
      </w:r>
      <w:proofErr w:type="gramStart"/>
      <w:r w:rsidRPr="00D230C1">
        <w:rPr>
          <w:rFonts w:ascii="Arial" w:hAnsi="Arial" w:cs="Arial"/>
        </w:rPr>
        <w:t>advances</w:t>
      </w:r>
      <w:proofErr w:type="gramEnd"/>
      <w:r w:rsidRPr="00D230C1">
        <w:rPr>
          <w:rFonts w:ascii="Arial" w:hAnsi="Arial" w:cs="Arial"/>
        </w:rPr>
        <w:t xml:space="preserve"> in biosensor technologies, including electrochemical immunosensors, aptamer-based sensors, molecularly imprinted polymer sensors, surface plasmon resonance systems, surface-enhanced Raman spectroscopy, microfluidic lab-on-a-chip platforms, multiplexed sensor arrays, and lateral flow immunoassays, emphasizing their sensitivity, portability, and potential for real-time monitoring. Comparative evaluation of detection limits and operational characteristics demonstrates that no single technique satisfies all requirements of ultra-trace sensitivity, structural confirmation, cost-effectiveness, portability, and multiplex capability. Therefore, an integrated tiered monitoring framework combining rapid screening tools with confirmatory mass spectrometric analysis is recommended. Continued methodological innovation and harmonization will be essential to strengthen cyanotoxin surveillance under evolving environmental and climatic pressures.</w:t>
      </w:r>
    </w:p>
    <w:p w14:paraId="6F23BF72" w14:textId="4A726B0A" w:rsidR="00E81518" w:rsidRPr="00665C9A" w:rsidRDefault="00C0036D" w:rsidP="001669C5">
      <w:pPr>
        <w:spacing w:after="0"/>
        <w:ind w:left="360"/>
        <w:rPr>
          <w:rFonts w:ascii="Arial" w:hAnsi="Arial" w:cs="Arial"/>
        </w:rPr>
      </w:pPr>
      <w:r w:rsidRPr="00C0036D">
        <w:rPr>
          <w:rFonts w:ascii="Arial" w:hAnsi="Arial" w:cs="Arial"/>
          <w:b/>
          <w:bCs/>
        </w:rPr>
        <w:t>Keywords</w:t>
      </w:r>
      <w:r>
        <w:rPr>
          <w:rFonts w:ascii="Arial" w:hAnsi="Arial" w:cs="Arial"/>
        </w:rPr>
        <w:t>:</w:t>
      </w:r>
      <w:r w:rsidRPr="00C0036D">
        <w:rPr>
          <w:rFonts w:ascii="Arial" w:hAnsi="Arial" w:cs="Arial"/>
        </w:rPr>
        <w:t xml:space="preserve"> Cyanotoxins; Harmful algal blooms; LC–MS/MS; High-resolution mass spectrometry; Biosensors; </w:t>
      </w:r>
      <w:proofErr w:type="spellStart"/>
      <w:r w:rsidRPr="00C0036D">
        <w:rPr>
          <w:rFonts w:ascii="Arial" w:hAnsi="Arial" w:cs="Arial"/>
        </w:rPr>
        <w:t>Aptasensors</w:t>
      </w:r>
      <w:proofErr w:type="spellEnd"/>
      <w:r w:rsidRPr="00C0036D">
        <w:rPr>
          <w:rFonts w:ascii="Arial" w:hAnsi="Arial" w:cs="Arial"/>
        </w:rPr>
        <w:t>; Lateral flow immunoassay; Water quality monitoring; Early-warning systems; Environmental risk assessment</w:t>
      </w:r>
    </w:p>
    <w:p w14:paraId="08C31604" w14:textId="77777777" w:rsidR="00665C9A" w:rsidRPr="00177D04" w:rsidRDefault="00665C9A" w:rsidP="00177D04">
      <w:pPr>
        <w:ind w:left="360"/>
        <w:rPr>
          <w:rFonts w:ascii="Arial" w:hAnsi="Arial" w:cs="Arial"/>
          <w:b/>
          <w:bCs/>
        </w:rPr>
      </w:pPr>
    </w:p>
    <w:p w14:paraId="7F66D851" w14:textId="16E0D7FC" w:rsidR="00E542BE" w:rsidRPr="0058495E" w:rsidRDefault="00E33A24" w:rsidP="0027723D">
      <w:pPr>
        <w:pStyle w:val="ListParagraph"/>
        <w:numPr>
          <w:ilvl w:val="0"/>
          <w:numId w:val="1"/>
        </w:numPr>
        <w:ind w:left="284"/>
        <w:rPr>
          <w:rFonts w:ascii="Arial" w:hAnsi="Arial" w:cs="Arial"/>
          <w:b/>
          <w:bCs/>
        </w:rPr>
      </w:pPr>
      <w:r w:rsidRPr="0058495E">
        <w:rPr>
          <w:rFonts w:ascii="Arial" w:hAnsi="Arial" w:cs="Arial"/>
          <w:b/>
          <w:bCs/>
        </w:rPr>
        <w:t>INTRODUCTION</w:t>
      </w:r>
    </w:p>
    <w:p w14:paraId="4492EF44" w14:textId="31C6AFAD" w:rsidR="00F021A3" w:rsidRPr="00E33A24" w:rsidRDefault="00D21086" w:rsidP="003862DF">
      <w:pPr>
        <w:jc w:val="both"/>
        <w:rPr>
          <w:rFonts w:ascii="Arial" w:hAnsi="Arial" w:cs="Arial"/>
          <w:sz w:val="20"/>
          <w:szCs w:val="20"/>
        </w:rPr>
      </w:pPr>
      <w:r w:rsidRPr="00E33A24">
        <w:rPr>
          <w:rFonts w:ascii="Arial" w:hAnsi="Arial" w:cs="Arial"/>
          <w:sz w:val="20"/>
          <w:szCs w:val="20"/>
        </w:rPr>
        <w:t xml:space="preserve">Cyanobacterial overgrowth, commonly referred to as harmful cyanobacterial blooms (HCBs), develops under </w:t>
      </w:r>
      <w:proofErr w:type="spellStart"/>
      <w:r w:rsidRPr="00E33A24">
        <w:rPr>
          <w:rFonts w:ascii="Arial" w:hAnsi="Arial" w:cs="Arial"/>
          <w:sz w:val="20"/>
          <w:szCs w:val="20"/>
        </w:rPr>
        <w:t>favorable</w:t>
      </w:r>
      <w:proofErr w:type="spellEnd"/>
      <w:r w:rsidRPr="00E33A24">
        <w:rPr>
          <w:rFonts w:ascii="Arial" w:hAnsi="Arial" w:cs="Arial"/>
          <w:sz w:val="20"/>
          <w:szCs w:val="20"/>
        </w:rPr>
        <w:t xml:space="preserve"> environmental conditions, including elevated nutrient concentrations, increased water temperature, and variations in salinity</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{"citationID":"sSh9wTw5","properties":{"formattedCitation":"(Paerl et al., 2011)","plainCitation":"(Paerl et al., 2011)","noteIndex":0},"citationItems":[{"id":1146,"uris":["http://zotero.org/users/local/Xm6IMfD4/items/58RITWKB"],"itemData":{"id":1146,"type":"article-journal","container-title":"Science of The Total Environment","DOI":"10.1016/j.scitotenv.2011.02.001","ISSN":"00489697","issue":"10","journalAbbreviation":"Science of The Total Environment","language":"en","license":"https://www.elsevier.com/tdm/userlicense/1.0/","page":"1739-1745","source":"DOI.org (Crossref)","title":"Controlling harmful cyanobacterial blooms in a world experiencing anthropogenic and climatic-induced change","volume":"409","author":[{"family":"Paerl","given":"Hans W."},{"family":"Hall","given":"Nathan S."},{"family":"Calandrino","given":"Elizabeth S."}],"issued":{"date-parts":[["2011",4]]}}}],"schema":"https://github.com/citation-style-language/schema/raw/master/csl-citation.json"}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(Paerl et al., 2011)</w:t>
      </w:r>
      <w:r w:rsidRPr="00E33A24">
        <w:rPr>
          <w:rFonts w:ascii="Arial" w:hAnsi="Arial" w:cs="Arial"/>
          <w:sz w:val="20"/>
          <w:szCs w:val="20"/>
        </w:rPr>
        <w:fldChar w:fldCharType="end"/>
      </w:r>
      <w:r w:rsidRPr="00E33A24">
        <w:rPr>
          <w:rFonts w:ascii="Arial" w:hAnsi="Arial" w:cs="Arial"/>
          <w:sz w:val="20"/>
          <w:szCs w:val="20"/>
        </w:rPr>
        <w:t>. In recent years, these blooms have become a global environmental and public health concern, primarily due to their impact on drinking water resources. Water bodies may become contaminated either by cyanobacterial cells themselves or by their secondary metabolites, collectively known as cyanotoxins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{"citationID":"CDCwUbin","properties":{"formattedCitation":"(Rastogi et al., 2015)","plainCitation":"(Rastogi et al., 2015)","noteIndex":0},"citationItems":[{"id":769,"uris":["http://zotero.org/users/local/Xm6IMfD4/items/JNE2TBVK"],"itemData":{"id":769,"type":"article-journal","container-title":"Frontiers in Microbiology","DOI":"10.3389/fmicb.2015.01254","ISSN":"1664-302X","journalAbbreviation":"Front. Microbiol.","source":"DOI.org (Crossref)","title":"Bloom Dynamics of Cyanobacteria and Their Toxins: Environmental Health Impacts and Mitigation Strategies","title-short":"Bloom Dynamics of Cyanobacteria and Their Toxins","URL":"http://journal.frontiersin.org/Article/10.3389/fmicb.2015.01254/abstract","volume":"6","author":[{"family":"Rastogi","given":"Rajesh P."},{"family":"Madamwar","given":"Datta"},{"family":"Incharoensakdi","given":"Aran"}],"accessed":{"date-parts":[["2024",10,14]]},"issued":{"date-parts":[["2015",11,17]]}}}],"schema":"https://github.com/citation-style-language/schema/raw/master/csl-citation.json"}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(Rastogi et al., 2015)</w:t>
      </w:r>
      <w:r w:rsidRPr="00E33A24">
        <w:rPr>
          <w:rFonts w:ascii="Arial" w:hAnsi="Arial" w:cs="Arial"/>
          <w:sz w:val="20"/>
          <w:szCs w:val="20"/>
        </w:rPr>
        <w:fldChar w:fldCharType="end"/>
      </w:r>
      <w:r w:rsidRPr="00E33A24">
        <w:rPr>
          <w:rFonts w:ascii="Arial" w:hAnsi="Arial" w:cs="Arial"/>
          <w:sz w:val="20"/>
          <w:szCs w:val="20"/>
        </w:rPr>
        <w:t>.</w:t>
      </w:r>
      <w:r w:rsidR="00F021A3" w:rsidRPr="00E33A24">
        <w:rPr>
          <w:rFonts w:ascii="Arial" w:hAnsi="Arial" w:cs="Arial"/>
          <w:sz w:val="20"/>
          <w:szCs w:val="20"/>
        </w:rPr>
        <w:t xml:space="preserve"> </w:t>
      </w:r>
      <w:r w:rsidRPr="00E33A24">
        <w:rPr>
          <w:rFonts w:ascii="Arial" w:hAnsi="Arial" w:cs="Arial"/>
          <w:sz w:val="20"/>
          <w:szCs w:val="20"/>
        </w:rPr>
        <w:t>It is estimated that approximately 50% of algal blooms produce toxins that pose significant risks to aquatic ecosystems, terrestrial organisms, livestock, and human health</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{"citationID":"A9TOMeEZ","properties":{"formattedCitation":"(Igwaran et al., 2024)","plainCitation":"(Igwaran et al., 2024)","noteIndex":0},"citationItems":[{"id":786,"uris":["http://zotero.org/users/local/Xm6IMfD4/items/TSDY7DTY"],"itemData":{"id":786,"type":"article-journal","abstract":"Abstract\n            Cyanobacteria harmful algal blooms (cHABs) are increasingly becoming an emerging threat to aquatic life, ecotourism, and certain real estate investments. Their spontaneous yet sporadic occurrence has made mitigation measures a cumbersome task; moreover, current trends regarding anthropogenic activities, especially in agriculture and industry portend further undesirable events. Apart from the aesthetic degeneration they create in their respective habitats, they are equally capable of secreting toxins, which altogether present grave environmental and medical consequences. In this paper, we gave an update on factors that influence cHABs, cyanotoxin exposure routes, and environmental public health implications, especially impacts on fish, pets, and livestock. We discussed social economic impacts, risk assessment, and management problems for cHABs and, thereafter, assessed the extant management approaches including prevention, control, and mitigation of the proliferation of cyanobacterial blooms. In light of this, we suggest that more intensified research should be directed to the standardization of procedures for cyanotoxin analysis. Also, the provision of standardized reference material for the quantification of cyanotoxins is vital for routine monitoring as well as the development of strong in situ sensors capable of quantifying and detecting HABs cells and toxins in waterbodies to prevent the adverse impacts of cHABs. Also, more investigations into the natural and environmentally friendly approach to cyanobacteria management and the necessary and appropriate deployment of artificial intelligence are required. Finally, we wish to redirect the focus of public health authorities to protecting drinking water supply sources, agriculture products, and food sources from cyanotoxins contamination as well as to implement proper monitoring and treatment procedures to protect citizens from this potential health threat.","container-title":"Water, Air, &amp; Soil Pollution","DOI":"10.1007/s11270-023-06782-y","ISSN":"0049-6979, 1573-2932","issue":"1","journalAbbreviation":"Water Air Soil Pollut","language":"en","page":"71","source":"DOI.org (Crossref)","title":"Cyanobacteria Harmful Algae Blooms: Causes, Impacts, and Risk Management","title-short":"Cyanobacteria Harmful Algae Blooms","volume":"235","author":[{"family":"Igwaran","given":"Aboi"},{"family":"Kayode","given":"Adeoye John"},{"family":"Moloantoa","given":"Karabelo M."},{"family":"Khetsha","given":"Zenzile P."},{"family":"Unuofin","given":"John Onolame"}],"issued":{"date-parts":[["2024",1]]}}}],"schema":"https://github.com/citation-style-language/schema/raw/master/csl-citation.json"}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(Igwaran et al., 2024)</w:t>
      </w:r>
      <w:r w:rsidRPr="00E33A24">
        <w:rPr>
          <w:rFonts w:ascii="Arial" w:hAnsi="Arial" w:cs="Arial"/>
          <w:sz w:val="20"/>
          <w:szCs w:val="20"/>
        </w:rPr>
        <w:fldChar w:fldCharType="end"/>
      </w:r>
      <w:r w:rsidRPr="00E33A24">
        <w:rPr>
          <w:rFonts w:ascii="Arial" w:hAnsi="Arial" w:cs="Arial"/>
          <w:sz w:val="20"/>
          <w:szCs w:val="20"/>
        </w:rPr>
        <w:t xml:space="preserve">. To date, more than one hundred cyanotoxins with diverse chemical structures and toxicological properties have been identified. </w:t>
      </w:r>
      <w:r w:rsidRPr="00E33A24">
        <w:rPr>
          <w:rFonts w:ascii="Arial" w:hAnsi="Arial" w:cs="Arial"/>
          <w:sz w:val="20"/>
          <w:szCs w:val="20"/>
        </w:rPr>
        <w:lastRenderedPageBreak/>
        <w:t xml:space="preserve">Based on their primary target organs, cyanotoxins are generally classified into three major groups: hepatotoxins, neurotoxins, and </w:t>
      </w:r>
      <w:proofErr w:type="spellStart"/>
      <w:r w:rsidRPr="00E33A24">
        <w:rPr>
          <w:rFonts w:ascii="Arial" w:hAnsi="Arial" w:cs="Arial"/>
          <w:sz w:val="20"/>
          <w:szCs w:val="20"/>
        </w:rPr>
        <w:t>dermatotoxins</w:t>
      </w:r>
      <w:proofErr w:type="spellEnd"/>
      <w:r w:rsidR="007478B4"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{"citationID":"QuoYyTsc","properties":{"formattedCitation":"(Abdallah et al., 2021)","plainCitation":"(Abdallah et al., 2021)","noteIndex":0},"citationItems":[{"id":1004,"uris":["http://zotero.org/users/local/Xm6IMfD4/items/D4HNGVSD"],"itemData":{"id":1004,"type":"article-journal","abstract":"Cyanotoxins have gained global public interest due to their potential to bioaccumulate in food, which threatens human health. Bloom formation is usually enhanced under Mediterranean, subtropical and tropical climates which are the dominant climate types in developing countries. In this context, we present an up-to-date overview of cyanotoxins (types, toxic effects, analysis, occurrence, and mitigation) with a special focus on their contamination in (sea)food from all the developing countries in Africa, Asia, and Latin America as this has received less attention. A total of 65 publications have been found (from 2000 until October 2021) reporting the contamination by one or more cyanotoxins in seafood and edible plants (five papers). Only Brazil and China conducted more research on cyanotoxin contamination in food in comparison to other countries. The majority of research focused on the detection of microcystins using different analytical methods. The detected levels mostly surpassed the provisional tolerable daily intake limit set by the World Health Organization, indicating a real risk to the exposed population. Assessment of cyanotoxin contamination in foods from developing countries still requires further investigations by conducting more survey studies, especially the simultaneous detection of multiple categories of cyanotoxins in food.","container-title":"Toxins","DOI":"10.3390/toxins13110786","ISSN":"2072-6651","issue":"11","journalAbbreviation":"Toxins","language":"en","license":"https://creativecommons.org/licenses/by/4.0/","page":"786","source":"DOI.org (Crossref)","title":"Cyanotoxins and Food Contamination in Developing Countries: Review of Their Types, Toxicity, Analysis, Occurrence and Mitigation Strategies","title-short":"Cyanotoxins and Food Contamination in Developing Countries","volume":"13","author":[{"family":"Abdallah","given":"Mohamed F."},{"family":"Van Hassel","given":"Wannes H. R."},{"family":"Andjelkovic","given":"Mirjana"},{"family":"Wilmotte","given":"Annick"},{"family":"Rajkovic","given":"Andreja"}],"issued":{"date-parts":[["2021",11,6]]}}}],"schema":"https://github.com/citation-style-language/schema/raw/master/csl-citation.json"} </w:instrText>
      </w:r>
      <w:r w:rsidR="007478B4" w:rsidRPr="00E33A24">
        <w:rPr>
          <w:rFonts w:ascii="Arial" w:hAnsi="Arial" w:cs="Arial"/>
          <w:sz w:val="20"/>
          <w:szCs w:val="20"/>
        </w:rPr>
        <w:fldChar w:fldCharType="separate"/>
      </w:r>
      <w:r w:rsidR="007410EB" w:rsidRPr="007410EB">
        <w:rPr>
          <w:rFonts w:ascii="Arial" w:hAnsi="Arial" w:cs="Arial"/>
          <w:sz w:val="20"/>
        </w:rPr>
        <w:t>(Abdallah et al., 2021)</w:t>
      </w:r>
      <w:r w:rsidR="007478B4" w:rsidRPr="00E33A24">
        <w:rPr>
          <w:rFonts w:ascii="Arial" w:hAnsi="Arial" w:cs="Arial"/>
          <w:sz w:val="20"/>
          <w:szCs w:val="20"/>
        </w:rPr>
        <w:fldChar w:fldCharType="end"/>
      </w:r>
      <w:r w:rsidRPr="00E33A24">
        <w:rPr>
          <w:rFonts w:ascii="Arial" w:hAnsi="Arial" w:cs="Arial"/>
          <w:sz w:val="20"/>
          <w:szCs w:val="20"/>
        </w:rPr>
        <w:t xml:space="preserve">. Based on their primary target organs, cyanotoxins are generally classified into three major groups: hepatotoxins, neurotoxins, and </w:t>
      </w:r>
      <w:proofErr w:type="spellStart"/>
      <w:r w:rsidRPr="00E33A24">
        <w:rPr>
          <w:rFonts w:ascii="Arial" w:hAnsi="Arial" w:cs="Arial"/>
          <w:sz w:val="20"/>
          <w:szCs w:val="20"/>
        </w:rPr>
        <w:t>dermatotoxins</w:t>
      </w:r>
      <w:proofErr w:type="spellEnd"/>
      <w:r w:rsidR="00122A93"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{"citationID":"erqiMV2G","properties":{"formattedCitation":"(Carmichael, 1992)","plainCitation":"(Carmichael, 1992)","noteIndex":0},"citationItems":[{"id":608,"uris":["http://zotero.org/users/local/Xm6IMfD4/items/RBH27FYK"],"itemData":{"id":608,"type":"article-journal","container-title":"Journal of Applied Bacteriology","DOI":"10.1111/j.1365-2672.1992.tb01858.x","ISSN":"0021-8847","issue":"6","journalAbbreviation":"Journal of Applied Bacteriology","language":"en","license":"http://onlinelibrary.wiley.com/termsAndConditions#vor","page":"445-459","source":"DOI.org (Crossref)","title":"Cyanobacteria secondary metabolites—the cyanotoxins","volume":"72","author":[{"family":"Carmichael","given":"W.W."}],"issued":{"date-parts":[["1992",6]]}}}],"schema":"https://github.com/citation-style-language/schema/raw/master/csl-citation.json"} </w:instrText>
      </w:r>
      <w:r w:rsidR="00122A93" w:rsidRPr="00E33A24">
        <w:rPr>
          <w:rFonts w:ascii="Arial" w:hAnsi="Arial" w:cs="Arial"/>
          <w:sz w:val="20"/>
          <w:szCs w:val="20"/>
        </w:rPr>
        <w:fldChar w:fldCharType="separate"/>
      </w:r>
      <w:r w:rsidR="007410EB" w:rsidRPr="007410EB">
        <w:rPr>
          <w:rFonts w:ascii="Arial" w:hAnsi="Arial" w:cs="Arial"/>
          <w:sz w:val="20"/>
        </w:rPr>
        <w:t>(Carmichael, 1992)</w:t>
      </w:r>
      <w:r w:rsidR="00122A93" w:rsidRPr="00E33A24">
        <w:rPr>
          <w:rFonts w:ascii="Arial" w:hAnsi="Arial" w:cs="Arial"/>
          <w:sz w:val="20"/>
          <w:szCs w:val="20"/>
        </w:rPr>
        <w:fldChar w:fldCharType="end"/>
      </w:r>
      <w:r w:rsidRPr="00E33A24">
        <w:rPr>
          <w:rFonts w:ascii="Arial" w:hAnsi="Arial" w:cs="Arial"/>
          <w:sz w:val="20"/>
          <w:szCs w:val="20"/>
        </w:rPr>
        <w:t xml:space="preserve">. </w:t>
      </w:r>
      <w:r w:rsidR="00E542BE" w:rsidRPr="00E33A24">
        <w:rPr>
          <w:rFonts w:ascii="Arial" w:hAnsi="Arial" w:cs="Arial"/>
          <w:sz w:val="20"/>
          <w:szCs w:val="20"/>
        </w:rPr>
        <w:t>Cyanobacterial toxins are found in both freshwater and marine environments and have been reported in many countries across the world, including extreme regions such as the Arctic and arid desert areas</w:t>
      </w:r>
      <w:r w:rsidR="00E542BE"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{"citationID":"MyBqS7AI","properties":{"formattedCitation":"(Du et al., 2019)","plainCitation":"(Du et al., 2019)","noteIndex":0},"citationItems":[{"id":985,"uris":["http://zotero.org/users/local/Xm6IMfD4/items/KYQMVJ8R"],"itemData":{"id":985,"type":"article-journal","abstract":"The widespread distribution of cyanobacteria in the aquatic environment is increasing the risk of water pollution caused by cyanotoxins, which poses a serious threat to human health. However, the structural characterization, distribution and identification techniques of cyanotoxins have not been comprehensively reviewed in previous studies. This paper aims to elaborate the existing information systematically on the diversity of cyanotoxins to identify valuable research avenues. According to the chemical structure, cyanotoxins are mainly classified into cyclic peptides, alkaloids, lipopeptides, nonprotein amino acids and lipoglycans. In terms of global distribution, the amount of cyanotoxins are unbalanced in different areas. The diversity of cyanotoxins is more obviously found in many developed countries than that in undeveloped countries. Moreover, the threat of cyanotoxins has promoted the development of identification and detection technology. Many emerging methods have been developed to detect cyanotoxins in the environment. This communication provides a comprehensive review of the diversity of cyanotoxins, and the detection and identification technology was discussed. This detailed information will be a valuable resource for identifying the various types of cyanotoxins which threaten the environment of different areas. The ability to accurately identify specific cyanotoxins is an obvious and essential aspect of cyanobacterial research.","container-title":"Toxins","DOI":"10.3390/toxins11090530","ISSN":"2072-6651","issue":"9","journalAbbreviation":"Toxins","language":"en","license":"https://creativecommons.org/licenses/by/4.0/","page":"530","source":"DOI.org (Crossref)","title":"The Diversity of Cyanobacterial Toxins on Structural Characterization, Distribution and Identification: A Systematic Review","title-short":"The Diversity of Cyanobacterial Toxins on Structural Characterization, Distribution and Identification","volume":"11","author":[{"family":"Du","given":"Xingde"},{"family":"Liu","given":"Haohao"},{"family":"Yuan","given":"Le"},{"family":"Wang","given":"Yueqin"},{"family":"Ma","given":"Ya"},{"family":"Wang","given":"Rui"},{"family":"Chen","given":"Xinghai"},{"family":"Losiewicz","given":"Michael"},{"family":"Guo","given":"Hongxiang"},{"family":"Zhang","given":"Huizhen"}],"issued":{"date-parts":[["2019",9,12]]}}}],"schema":"https://github.com/citation-style-language/schema/raw/master/csl-citation.json"} </w:instrText>
      </w:r>
      <w:r w:rsidR="00E542BE" w:rsidRPr="00E33A24">
        <w:rPr>
          <w:rFonts w:ascii="Arial" w:hAnsi="Arial" w:cs="Arial"/>
          <w:sz w:val="20"/>
          <w:szCs w:val="20"/>
        </w:rPr>
        <w:fldChar w:fldCharType="separate"/>
      </w:r>
      <w:r w:rsidR="007410EB" w:rsidRPr="007410EB">
        <w:rPr>
          <w:rFonts w:ascii="Arial" w:hAnsi="Arial" w:cs="Arial"/>
          <w:sz w:val="20"/>
        </w:rPr>
        <w:t>(Du et al., 2019)</w:t>
      </w:r>
      <w:r w:rsidR="00E542BE" w:rsidRPr="00E33A24">
        <w:rPr>
          <w:rFonts w:ascii="Arial" w:hAnsi="Arial" w:cs="Arial"/>
          <w:sz w:val="20"/>
          <w:szCs w:val="20"/>
        </w:rPr>
        <w:fldChar w:fldCharType="end"/>
      </w:r>
      <w:r w:rsidR="00E542BE" w:rsidRPr="00E33A24">
        <w:rPr>
          <w:rFonts w:ascii="Arial" w:hAnsi="Arial" w:cs="Arial"/>
          <w:sz w:val="20"/>
          <w:szCs w:val="20"/>
        </w:rPr>
        <w:t>. This shows that cyanotoxins are globally widespread. However, their distribution pattern, concentration, and level of toxicity vary from one region to another, depending on local environmental and ecological conditions</w:t>
      </w:r>
      <w:r w:rsidR="00E542BE"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{"citationID":"txdFlqYd","properties":{"formattedCitation":"(Svir\\uc0\\u269{}ev et al., 2019)","plainCitation":"(Svirčev et al., 2019)","noteIndex":0},"citationItems":[{"id":1016,"uris":["http://zotero.org/users/local/Xm6IMfD4/items/DBVJ5C89"],"itemData":{"id":1016,"type":"article-journal","container-title":"Archives of Toxicology","DOI":"10.1007/s00204-019-02524-4","ISSN":"0340-5761, 1432-0738","issue":"9","journalAbbreviation":"Arch Toxicol","language":"en","page":"2429-2481","source":"DOI.org (Crossref)","title":"Global geographical and historical overview of cyanotoxin distribution and cyanobacterial poisonings","volume":"93","author":[{"family":"Svirčev","given":"Zorica"},{"family":"Lalić","given":"Dijana"},{"family":"Bojadžija Savić","given":"Gorenka"},{"family":"Tokodi","given":"Nada"},{"family":"Drobac Backović","given":"Damjana"},{"family":"Chen","given":"Liang"},{"family":"Meriluoto","given":"Jussi"},{"family":"Codd","given":"Geoffrey A."}],"issued":{"date-parts":[["2019",9]]}}}],"schema":"https://github.com/citation-style-language/schema/raw/master/csl-citation.json"} </w:instrText>
      </w:r>
      <w:r w:rsidR="00E542BE" w:rsidRPr="00E33A24">
        <w:rPr>
          <w:rFonts w:ascii="Arial" w:hAnsi="Arial" w:cs="Arial"/>
          <w:sz w:val="20"/>
          <w:szCs w:val="20"/>
        </w:rPr>
        <w:fldChar w:fldCharType="separate"/>
      </w:r>
      <w:r w:rsidR="007410EB" w:rsidRPr="007410EB">
        <w:rPr>
          <w:rFonts w:ascii="Arial" w:hAnsi="Arial" w:cs="Arial"/>
          <w:kern w:val="0"/>
          <w:sz w:val="20"/>
          <w:szCs w:val="24"/>
        </w:rPr>
        <w:t>(Svirčev et al., 2019)</w:t>
      </w:r>
      <w:r w:rsidR="00E542BE" w:rsidRPr="00E33A24">
        <w:rPr>
          <w:rFonts w:ascii="Arial" w:hAnsi="Arial" w:cs="Arial"/>
          <w:sz w:val="20"/>
          <w:szCs w:val="20"/>
        </w:rPr>
        <w:fldChar w:fldCharType="end"/>
      </w:r>
      <w:r w:rsidR="00E542BE" w:rsidRPr="00E33A24">
        <w:rPr>
          <w:rFonts w:ascii="Arial" w:hAnsi="Arial" w:cs="Arial"/>
          <w:sz w:val="20"/>
          <w:szCs w:val="20"/>
        </w:rPr>
        <w:t>.</w:t>
      </w:r>
      <w:r w:rsidR="00F021A3" w:rsidRPr="00E33A24">
        <w:rPr>
          <w:rFonts w:ascii="Arial" w:hAnsi="Arial" w:cs="Arial"/>
          <w:sz w:val="20"/>
          <w:szCs w:val="20"/>
        </w:rPr>
        <w:t xml:space="preserve"> Cyanobacteria produce various secondary toxic compounds called cyanotoxins, which are released into the surrounding water mainly after cell death and lysis. The presence of these toxins deteriorates water quality in aquaculture systems and agricultural settings, creating significant health risks for both humans and animals</w:t>
      </w:r>
      <w:r w:rsidR="00F021A3"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{"citationID":"K6qUc4vn","properties":{"formattedCitation":"(Atoui et al., 2013; Carmichael, 1992)","plainCitation":"(Atoui et al., 2013; Carmichael, 1992)","noteIndex":0},"citationItems":[{"id":1006,"uris":["http://zotero.org/users/local/Xm6IMfD4/items/U4Q33QY9"],"itemData":{"id":1006,"type":"article-journal","abstract":"Abstract\n            \n              The increasing occurrence of cyanobacterial bloom in freshwaters worldwide is of great importance because of public health risks. In addition, they are very likely to have negative impact on ecological and economic aspects. In this study, the seasonal succession of phytoplankton population in\n              L\n              ake\n              K\n              araoun in\n              L\n              ebanon was monitored from\n              M\n              ay 2009 to\n              J\n              une 2011. The physicochemical parameters of lake water were then monitored for 1 year, from\n              J\n              une 2010 until\n              J\n              une 2011, to correlate the physicochemical parameters with the phytoplankton population in the lake. Our results showed, for the first time in\n              L\n              ebanon, that the eutrophied\n              L\n              ake\n              K\n              araoun has been under the invasion of toxic cyanobacterial blooms since\n              M\n              ay 2009. The cyanobacterial bloom was persistent from late spring (\n              M\n              ay) until late fall (\n              D\n              ecember) for 2 consecutive years. The high water temperature in the summer season is the main factor that has been affecting the growth of the cyanobacteria. The most frequently encountered bloom</w:instrText>
      </w:r>
      <w:r w:rsidR="007410EB">
        <w:rPr>
          <w:rFonts w:ascii="Cambria Math" w:hAnsi="Cambria Math" w:cs="Cambria Math"/>
          <w:sz w:val="20"/>
          <w:szCs w:val="20"/>
        </w:rPr>
        <w:instrText>‐</w:instrText>
      </w:r>
      <w:r w:rsidR="007410EB">
        <w:rPr>
          <w:rFonts w:ascii="Arial" w:hAnsi="Arial" w:cs="Arial"/>
          <w:sz w:val="20"/>
          <w:szCs w:val="20"/>
        </w:rPr>
        <w:instrText>forming species were\n              \n                M\n                icrocystis aeruginosa\n              \n              and\n              \n                A\n                phanizomenon ovalisporum\n              \n              , which were either present individually or coexistent. The obtained results showed that during the period of cyanobacterial bloom, a deterioration of water quality defined by low levels of dissolved oxygen, total dissolved solids, and electric conductivity was reported. During cyanobacterial bloom period, the concentration of the orthophosphate–\n              P\n              (\n              PO\n              4</w:instrText>
      </w:r>
      <w:r w:rsidR="007410EB">
        <w:rPr>
          <w:rFonts w:ascii="Cambria Math" w:hAnsi="Cambria Math" w:cs="Cambria Math"/>
          <w:sz w:val="20"/>
          <w:szCs w:val="20"/>
        </w:rPr>
        <w:instrText>‐</w:instrText>
      </w:r>
      <w:r w:rsidR="007410EB">
        <w:rPr>
          <w:rFonts w:ascii="Arial" w:hAnsi="Arial" w:cs="Arial"/>
          <w:sz w:val="20"/>
          <w:szCs w:val="20"/>
        </w:rPr>
        <w:instrText>\n              P\n              ) was very minimal. The measured high value of chlorophyll</w:instrText>
      </w:r>
      <w:r w:rsidR="007410EB">
        <w:rPr>
          <w:rFonts w:ascii="Cambria Math" w:hAnsi="Cambria Math" w:cs="Cambria Math"/>
          <w:sz w:val="20"/>
          <w:szCs w:val="20"/>
        </w:rPr>
        <w:instrText>‐</w:instrText>
      </w:r>
      <w:r w:rsidR="007410EB">
        <w:rPr>
          <w:rFonts w:ascii="Arial" w:hAnsi="Arial" w:cs="Arial"/>
          <w:sz w:val="20"/>
          <w:szCs w:val="20"/>
        </w:rPr>
        <w:instrText>a concentration during cyanobacterial bloom period (48.6\n              μg/L\n              ) was attributed to high photosynthetic activity. Cyanobacterial blooms can cause a variety of water</w:instrText>
      </w:r>
      <w:r w:rsidR="007410EB">
        <w:rPr>
          <w:rFonts w:ascii="Cambria Math" w:hAnsi="Cambria Math" w:cs="Cambria Math"/>
          <w:sz w:val="20"/>
          <w:szCs w:val="20"/>
        </w:rPr>
        <w:instrText>‐</w:instrText>
      </w:r>
      <w:r w:rsidR="007410EB">
        <w:rPr>
          <w:rFonts w:ascii="Arial" w:hAnsi="Arial" w:cs="Arial"/>
          <w:sz w:val="20"/>
          <w:szCs w:val="20"/>
        </w:rPr>
        <w:instrText xml:space="preserve">quality problems in\n              L\n              ake\n              K\n              araoun in addition to human health risk.","container-title":"Water and Environment Journal","DOI":"10.1111/j.1747-6593.2012.00324.x","ISSN":"1747-6585, 1747-6593","issue":"1","journalAbbreviation":"Water &amp;amp; Environment J","language":"en","page":"42-49","source":"DOI.org (Crossref)","title":"Occurrence of toxic cyanobacterial blooms for the first time in &lt;span style=\"font-variant:small-caps;\"&gt;L&lt;/span&gt; ake &lt;span style=\"font-variant:small-caps;\"&gt;K&lt;/span&gt; araoun, &lt;span style=\"font-variant:small-caps;\"&gt;L&lt;/span&gt; ebanon","title-short":"Occurrence of toxic cyanobacterial blooms for the first time in &lt;span style=\"font-variant","volume":"27","author":[{"family":"Atoui","given":"Ali"},{"family":"Hafez","given":"Hala"},{"family":"Slim","given":"Kamal"}],"issued":{"date-parts":[["2013",3]]}}},{"id":608,"uris":["http://zotero.org/users/local/Xm6IMfD4/items/RBH27FYK"],"itemData":{"id":608,"type":"article-journal","container-title":"Journal of Applied Bacteriology","DOI":"10.1111/j.1365-2672.1992.tb01858.x","ISSN":"0021-8847","issue":"6","journalAbbreviation":"Journal of Applied Bacteriology","language":"en","license":"http://onlinelibrary.wiley.com/termsAndConditions#vor","page":"445-459","source":"DOI.org (Crossref)","title":"Cyanobacteria secondary metabolites—the cyanotoxins","volume":"72","author":[{"family":"Carmichael","given":"W.W."}],"issued":{"date-parts":[["1992",6]]}}}],"schema":"https://github.com/citation-style-language/schema/raw/master/csl-citation.json"} </w:instrText>
      </w:r>
      <w:r w:rsidR="00F021A3" w:rsidRPr="00E33A24">
        <w:rPr>
          <w:rFonts w:ascii="Arial" w:hAnsi="Arial" w:cs="Arial"/>
          <w:sz w:val="20"/>
          <w:szCs w:val="20"/>
        </w:rPr>
        <w:fldChar w:fldCharType="separate"/>
      </w:r>
      <w:r w:rsidR="007410EB" w:rsidRPr="007410EB">
        <w:rPr>
          <w:rFonts w:ascii="Arial" w:hAnsi="Arial" w:cs="Arial"/>
          <w:sz w:val="20"/>
        </w:rPr>
        <w:t>(Atoui et al., 2013; Carmichael, 1992)</w:t>
      </w:r>
      <w:r w:rsidR="00F021A3" w:rsidRPr="00E33A24">
        <w:rPr>
          <w:rFonts w:ascii="Arial" w:hAnsi="Arial" w:cs="Arial"/>
          <w:sz w:val="20"/>
          <w:szCs w:val="20"/>
        </w:rPr>
        <w:fldChar w:fldCharType="end"/>
      </w:r>
      <w:r w:rsidR="00F021A3" w:rsidRPr="00F021A3">
        <w:rPr>
          <w:rFonts w:ascii="Arial" w:hAnsi="Arial" w:cs="Arial"/>
          <w:sz w:val="20"/>
          <w:szCs w:val="20"/>
        </w:rPr>
        <w:t>.</w:t>
      </w:r>
    </w:p>
    <w:p w14:paraId="7DA6B198" w14:textId="24839657" w:rsidR="00593FB0" w:rsidRPr="0027723D" w:rsidRDefault="00E33A24" w:rsidP="0027723D">
      <w:pPr>
        <w:pStyle w:val="ListParagraph"/>
        <w:numPr>
          <w:ilvl w:val="0"/>
          <w:numId w:val="1"/>
        </w:numPr>
        <w:ind w:left="284"/>
        <w:rPr>
          <w:rFonts w:ascii="Arial" w:hAnsi="Arial" w:cs="Arial"/>
          <w:b/>
          <w:bCs/>
        </w:rPr>
      </w:pPr>
      <w:r w:rsidRPr="0027723D">
        <w:rPr>
          <w:rFonts w:ascii="Arial" w:hAnsi="Arial" w:cs="Arial"/>
          <w:b/>
          <w:bCs/>
        </w:rPr>
        <w:t>CLASSIFICATION AND TOXICOLOGICAL DIVERSITY OF CYANOTOXINS</w:t>
      </w:r>
    </w:p>
    <w:p w14:paraId="6953B9C7" w14:textId="68892244" w:rsidR="00F021A3" w:rsidRPr="00E33A24" w:rsidRDefault="00593FB0" w:rsidP="003862DF">
      <w:pPr>
        <w:jc w:val="both"/>
        <w:rPr>
          <w:rFonts w:ascii="Arial" w:hAnsi="Arial" w:cs="Arial"/>
          <w:sz w:val="20"/>
          <w:szCs w:val="20"/>
        </w:rPr>
      </w:pPr>
      <w:r w:rsidRPr="00E33A24">
        <w:rPr>
          <w:rFonts w:ascii="Arial" w:hAnsi="Arial" w:cs="Arial"/>
          <w:sz w:val="20"/>
          <w:szCs w:val="20"/>
        </w:rPr>
        <w:t>Cyanobacteria synthesize a diverse array of biologically active secondary metabolites collectively known as cyanotoxins, which pose significant risks to aquatic ecosystems and public health. Based on their primary target organs and mechanisms of toxicity, cyanotoxins are broadly categorized into five major groups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{"citationID":"uIZu3Avq","properties":{"formattedCitation":"(Benayache et al., 2019)","plainCitation":"(Benayache et al., 2019)","noteIndex":0},"citationItems":[{"id":598,"uris":["http://zotero.org/users/local/Xm6IMfD4/items/U3NE6SE9"],"itemData":{"id":598,"type":"chapter","abstract":"This chapter will present an overview of cyanobacterial harmful algal blooms (cyanoHABs) and biotic and abiotic factors, as well as various aspects associated with these worldwide ecological bursts. The exact causes of the cyanoHABs are still not well defined, but eutrophication and climate change (temperature increase, light intensity variation, etc.) are the two assumed main factors that may promote the proliferation and expansion of cyanobacterial blooms. However, these premises need to be profoundly investigated as the optimal combination of all factors such as increased nutrient loading, physiological characteristics of cyanobacterial species, and climate effects which could lead to the blooming pattern will require robust modeling approaches to predict the phenomena. Negative issues associated with cyanoHABs are diverse including the toxic products (cyanotoxins) released by certain taxa which can damage the health of humans and animal habitats around the related watershed as well as generate a huge water quality problem for aquatic industries.","container-title":"Limnology - Some New Aspects of Inland Water Ecology","ISBN":"978-1-83880-788-7","language":"en","license":"https://creativecommons.org/licenses/by/3.0/legalcode","note":"DOI: 10.5772/intechopen.84155","publisher":"IntechOpen","source":"DOI.org (Crossref)","title":"An Overview of Cyanobacteria Harmful Algal Bloom (CyanoHAB) Issues in Freshwater Ecosystems","URL":"https://www.intechopen.com/books/limnology-some-new-aspects-of-inland-water-ecology/an-overview-of-cyanobacteria-harmful-algal-bloom-cyanohab-issues-in-freshwater-ecosystems","editor":[{"family":"Gökçe","given":"Didem"}],"author":[{"family":"Benayache","given":"Naila-Yasmine"},{"family":"Nguyen-Quang","given":"Tri"},{"family":"Hushchyna","given":"Kateryna"},{"family":"McLellan","given":"Kayla"},{"family":"Afri-Mehennaoui","given":"Fatima-Zohra"},{"family":"Bouaïcha","given":"Noureddine"}],"accessed":{"date-parts":[["2024",7,29]]},"issued":{"date-parts":[["2019",6,26]]}}}],"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(Benayache et al., 2019)</w:t>
      </w:r>
      <w:r w:rsidRPr="00E33A24">
        <w:rPr>
          <w:rFonts w:ascii="Arial" w:hAnsi="Arial" w:cs="Arial"/>
          <w:sz w:val="20"/>
          <w:szCs w:val="20"/>
        </w:rPr>
        <w:fldChar w:fldCharType="end"/>
      </w:r>
      <w:r w:rsidRPr="00E33A24">
        <w:rPr>
          <w:rFonts w:ascii="Arial" w:hAnsi="Arial" w:cs="Arial"/>
          <w:sz w:val="20"/>
          <w:szCs w:val="20"/>
        </w:rPr>
        <w:t xml:space="preserve">. Hepatotoxins, including </w:t>
      </w:r>
      <w:proofErr w:type="spellStart"/>
      <w:r w:rsidRPr="00E33A24">
        <w:rPr>
          <w:rFonts w:ascii="Arial" w:hAnsi="Arial" w:cs="Arial"/>
          <w:sz w:val="20"/>
          <w:szCs w:val="20"/>
        </w:rPr>
        <w:t>cylindrospermopsin</w:t>
      </w:r>
      <w:proofErr w:type="spellEnd"/>
      <w:r w:rsidRPr="00E33A24">
        <w:rPr>
          <w:rFonts w:ascii="Arial" w:hAnsi="Arial" w:cs="Arial"/>
          <w:sz w:val="20"/>
          <w:szCs w:val="20"/>
        </w:rPr>
        <w:t xml:space="preserve"> (CYN), </w:t>
      </w:r>
      <w:proofErr w:type="spellStart"/>
      <w:r w:rsidRPr="00E33A24">
        <w:rPr>
          <w:rFonts w:ascii="Arial" w:hAnsi="Arial" w:cs="Arial"/>
          <w:sz w:val="20"/>
          <w:szCs w:val="20"/>
        </w:rPr>
        <w:t>microcystins</w:t>
      </w:r>
      <w:proofErr w:type="spellEnd"/>
      <w:r w:rsidRPr="00E33A24">
        <w:rPr>
          <w:rFonts w:ascii="Arial" w:hAnsi="Arial" w:cs="Arial"/>
          <w:sz w:val="20"/>
          <w:szCs w:val="20"/>
        </w:rPr>
        <w:t xml:space="preserve"> (MCs), and </w:t>
      </w:r>
      <w:proofErr w:type="spellStart"/>
      <w:r w:rsidRPr="00E33A24">
        <w:rPr>
          <w:rFonts w:ascii="Arial" w:hAnsi="Arial" w:cs="Arial"/>
          <w:sz w:val="20"/>
          <w:szCs w:val="20"/>
        </w:rPr>
        <w:t>nodularins</w:t>
      </w:r>
      <w:proofErr w:type="spellEnd"/>
      <w:r w:rsidR="0058495E" w:rsidRPr="00E33A24">
        <w:rPr>
          <w:rFonts w:ascii="Arial" w:hAnsi="Arial" w:cs="Arial"/>
          <w:sz w:val="20"/>
          <w:szCs w:val="20"/>
        </w:rPr>
        <w:t>)</w:t>
      </w:r>
      <w:r w:rsidRPr="00E33A24">
        <w:rPr>
          <w:rFonts w:ascii="Arial" w:hAnsi="Arial" w:cs="Arial"/>
          <w:sz w:val="20"/>
          <w:szCs w:val="20"/>
        </w:rPr>
        <w:t xml:space="preserve"> (NOD)</w:t>
      </w:r>
      <w:r w:rsidR="0058495E" w:rsidRPr="00E33A24">
        <w:rPr>
          <w:rFonts w:ascii="Arial" w:hAnsi="Arial" w:cs="Arial"/>
          <w:sz w:val="20"/>
          <w:szCs w:val="20"/>
        </w:rPr>
        <w:t xml:space="preserve"> (Table 1)</w:t>
      </w:r>
      <w:r w:rsidRPr="00E33A24">
        <w:rPr>
          <w:rFonts w:ascii="Arial" w:hAnsi="Arial" w:cs="Arial"/>
          <w:sz w:val="20"/>
          <w:szCs w:val="20"/>
        </w:rPr>
        <w:t>, primarily target the liver and are among the most frequently detected toxins in freshwater environments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{"citationID":"6Lv9RMzd","properties":{"formattedCitation":"(Abreu et al., 2018; AlKahtane et al., 2020; Boua\\uc0\\u239{}cha et al., 2019)","plainCitation":"(Abreu et al., 2018; AlKahtane et al., 2020; Bouaïcha et al., 2019)","noteIndex":0},"citationItems":[{"id":936,"uris":["http://zotero.org/users/local/Xm6IMfD4/items/P49T7N5Y"],"itemData":{"id":936,"type":"article-journal","abstract":"Fucoidans (FUCs) are sulfated polysaccharides that have a wide range of bioactivities. The current study was designed to evaluate the antioxidant potential of FUC against microcystin-LR (MC-LR)-induced toxicity. Five mice groups (n = 8) were used. Group 1 received saline, Group 2 received oral FUC 100 mg/kg/day for 21 days, Group 3 received i.p. MC-LR 10 μg/kg/ day for 14 days, Group 4 received MC-LR plus FUC 50 mg/kg/day, and Group 5 received MC-LR plus FUC 100 mg/kg/day. The present study showed that MC-LR administration was associated with significant increases (p &lt; 0.01) in serum concentrations of hepatic (aspartate transferase, alanine transferase, and alkaline phosphatase), renal (urea and creatinine), and cardiac (creatine kinase and CK-MB) injury biomarkers, as well as serum lactate dehydrogenase, cholesterol, and pro-inflammatory cytokines (interleukins-1β and 6, and tumor necrosis factor-α), compared with the control group. Further, MC-LR-intoxicated mice exhibited significantly higher (p &lt; 0.01) hepatic, renal, and cardiac tissue levels of malondialdehyde and nitric oxide, as well as lower tissue levels of reduced glutathione and activities of glutathione peroxidase, superoxide dismutase, and catalase enzymes in comparison with control mice. Treatment by FUC significantly ameliorated all the above-mentioned alterations in a dosedependent manner with frequent restoration of the normal ranges in the FUC 100 mg/kg/day dose group. Moreover, treatment by FUC alone at 100 mg/kg/day was not associated with significant negative alterations in the assessed biochemical parameters, highlighting its safety at this dose. In conclusion, treatment by FUC significantly ameliorated organ injury, induced by MC-LR in mouse hepatic, renal, and cardiac tissues.","container-title":"Environmental Science and Pollution Research","DOI":"10.1007/s11356-019-06931-z","ISSN":"0944-1344, 1614-7499","issue":"3","journalAbbreviation":"Environ Sci Pollut Res","language":"en","page":"2935-2944","source":"DOI.org (Crossref)","title":"Fucoidan alleviates microcystin-LR-induced hepatic, renal, and cardiac oxidative stress and inflammatory injuries in mice","volume":"27","author":[{"family":"AlKahtane","given":"Abdullah A."},{"family":"Abushouk","given":"Abdelrahman Ibrahim"},{"family":"Mohammed","given":"Eman T."},{"family":"ALNasser","given":"Moonerah"},{"family":"Alarifi","given":"Saud"},{"family":"Ali","given":"Daoud"},{"family":"Alessia","given":"Mohammed S."},{"family":"Almeer","given":"Rafa S."},{"family":"AlBasher","given":"Gadah"},{"family":"Alkahtani","given":"Saad"},{"family":"Aleya","given":"Lotfi"},{"family":"Abdel-Daim","given":"Mohamed M."}],"issued":{"date-parts":[["2020",1]]}}},{"id":793,"uris":["http://zotero.org/users/local/Xm6IMfD4/items/H49ZWNX9"],"itemData":{"id":793,"type":"article-journal","abstract":"Hepatotoxic microcystins (MCs) are the most widespread class of cyanotoxins and the one that has most often been implicated in cyanobacterial toxicosis. One of the main challenges in studying and monitoring MCs is the great structural diversity within the class. The full chemical structure of the first MC was elucidated in the early 1980s and since then, the number of reported structural analogues has grown steadily and continues to do so, thanks largely to advances in analytical methodology. The structures of some of these analogues have been definitively elucidated after chemical isolation using a combination of techniques including nuclear magnetic resonance, amino acid analysis, and tandem mass spectrometry (MS/MS). Others have only been tentatively identified using liquid chromatography-MS/MS without chemical isolation. An understanding of the structural diversity of MCs, the genetic and environmental controls for this diversity and the impact of structure on toxicity are all essential to the ongoing study of MCs across several scientific disciplines. However, because of the diversity of MCs and the range of approaches that have been taken for characterizing them, comprehensive information on the state of knowledge in each of these areas can be challenging to gather. We have conducted an in-depth review of the literature surrounding the identification and toxicity of known MCs and present here a concise review of these topics. At present, at least 279 MCs have been reported and are tabulated here. Among these, about 20% (55 of 279) appear to be the result of chemical or biochemical transformations of MCs that can occur in the environment or during sample handling and extraction of cyanobacteria, including oxidation products, methyl esters, or post-biosynthetic metabolites. The toxicity of many MCs has also been studied using a range of different approaches and a great deal of variability can be observed between reported toxicities, even for the same congener. This review will help clarify the current state of knowledge on the structural diversity of MCs as a class and the impacts of structure on toxicity, as well as to identify gaps in knowledge that should be addressed in future research.","container-title":"Toxins","DOI":"10.3390/toxins11120714","ISSN":"2072-6651","issue":"12","journalAbbreviation":"Toxins","language":"en","license":"https://creativecommons.org/licenses/by/4.0/","page":"714","source":"DOI.org (Crossref)","title":"Structural Diversity, Characterization and Toxicology of Microcystins","volume":"11","author":[{"family":"Bouaïcha","given":"Noureddine"},{"family":"Miles","given":"Christopher"},{"family":"Beach","given":"Daniel"},{"family":"Labidi","given":"Zineb"},{"family":"Djabri","given":"Amina"},{"family":"Benayache","given":"Naila"},{"family":"Nguyen-Quang","given":"Tri"}],"issued":{"date-parts":[["2019",12,7]]}}},{"id":716,"uris":["http://zotero.org/users/local/Xm6IMfD4/items/5R4Z9I9K"],"itemData":{"id":716,"type":"article-journal","container-title":"Frontiers in Microbiology","DOI":"10.3389/fmicb.2018.00306","ISSN":"1664-302X","journalAbbreviation":"Front. Microbiol.","page":"306","source":"DOI.org (Crossref)","title":"Genomic and Genotypic Characterization of Cylindrospermopsis raciborskii: Toward an Intraspecific Phylogenetic Evaluation by Comparative Genomics","title-short":"Genomic and Genotypic Characterization of Cylindrospermopsis raciborskii","volume":"9","author":[{"family":"Abreu","given":"Vinicius A. C."},{"family":"Popin","given":"Rafael V."},{"family":"Alvarenga","given":"Danillo O."},{"family":"Schaker","given":"Patricia D. C."},{"family":"Hoff-Risseti","given":"Caroline"},{"family":"Varani","given":"Alessandro M."},{"family":"Fiore","given":"Marli F."}],"issued":{"date-parts":[["2018",2,26]]}}}],"schema":"https://github.com/citation-style-language/schema/raw/master/csl-citation.json"}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kern w:val="0"/>
          <w:sz w:val="20"/>
          <w:szCs w:val="24"/>
        </w:rPr>
        <w:t>(Abreu et al., 2018; AlKahtane et al., 2020; Bouaïcha et al., 2019)</w:t>
      </w:r>
      <w:r w:rsidRPr="00E33A24">
        <w:rPr>
          <w:rFonts w:ascii="Arial" w:hAnsi="Arial" w:cs="Arial"/>
          <w:sz w:val="20"/>
          <w:szCs w:val="20"/>
        </w:rPr>
        <w:fldChar w:fldCharType="end"/>
      </w:r>
      <w:r w:rsidRPr="00E33A24">
        <w:rPr>
          <w:rFonts w:ascii="Arial" w:hAnsi="Arial" w:cs="Arial"/>
          <w:sz w:val="20"/>
          <w:szCs w:val="20"/>
        </w:rPr>
        <w:t>. These compounds are associated with both acute hepatic injury and long-term toxic effects. Neurotoxins such as anatoxin-a (ATX), saxitoxins (STX), and β-N-methylamino-L-alanine (BMAA) affect the nervous system, leading to neuromuscular dysfunction, respiratory distress, and in severe cases, paralysis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{"citationID":"cN3ZOF9S","properties":{"formattedCitation":"(Al-Sammak et al., 2013; Bumke-Vogt et al., 1996; Lajeunesse et al., 2012)","plainCitation":"(Al-Sammak et al., 2013; Bumke-Vogt et al., 1996; Lajeunesse et al., 2012)","noteIndex":0},"citationItems":[{"id":974,"uris":["http://zotero.org/users/local/Xm6IMfD4/items/Y6I6S3XK"],"itemData":{"id":974,"type":"article-journal","container-title":"Phycologia","DOI":"10.2216/i0031-8884-35-6S-51.1","ISSN":"0031-8884, 2330-2968","issue":"sup6","journalAbbreviation":"Phycologia","language":"en","page":"51-61","source":"DOI.org (Crossref)","title":"A highly sensitive analytical method for the neurotoxin anatoxin-a, using GC-ECD, and first application to laboratory cultures","volume":"35","author":[{"family":"Bumke-Vogt","given":"Christiane"},{"family":"Mailahn","given":"Wolfgang"},{"family":"Rotard","given":"Wolfgang"},{"family":"Chorus","given":"Ingrid"}],"issued":{"date-parts":[["1996",11]]}}},{"id":691,"uris":["http://zotero.org/users/local/Xm6IMfD4/items/VLEJDZ7P"],"itemData":{"id":691,"type":"article-journal","container-title":"Toxicon","DOI":"10.1016/j.toxicon.</w:instrText>
      </w:r>
      <w:r w:rsidR="007410EB" w:rsidRPr="007410EB">
        <w:rPr>
          <w:rFonts w:ascii="Arial" w:hAnsi="Arial" w:cs="Arial"/>
          <w:sz w:val="20"/>
          <w:szCs w:val="20"/>
          <w:lang w:val="it-IT"/>
        </w:rPr>
        <w:instrText xml:space="preserve">2013.10.015","ISSN":"00410101","journalAbbreviation":"Toxicon","language":"en","page":"316-325","source":"DOI.org (Crossref)","title":"Methods for simultaneous detection of the cyanotoxins BMAA, DABA, and anatoxin-a in environmental samples","volume":"76","author":[{"family":"Al-Sammak","given":"Maitham Ahmed"},{"family":"Hoagland","given":"Kyle D."},{"family":"Snow","given":"Daniel D."},{"family":"Cassada","given":"David"}],"issued":{"date-parts":[["2013",12]]}}},{"id":958,"uris":["http://zotero.org/users/local/Xm6IMfD4/items/M4RK5FPE"],"itemData":{"id":958,"type":"article-journal","container-title":"Journal of Chromatography A","DOI":"10.1016/j.chroma.2011.10.092","ISSN":"00219673","journalAbbreviation":"Journal of Chromatography A","language":"en","license":"https://www.elsevier.com/tdm/userlicense/1.0/","page":"93-103","source":"DOI.org (Crossref)","title":"Detection and confirmation of saxitoxin analogues in freshwater benthic Lyngbya wollei algae collected in the St. Lawrence River (Canada) by liquid chromatography–tandem mass spectrometry","volume":"1219","author":[{"family":"Lajeunesse","given":"André"},{"family":"Segura","given":"Pedro A."},{"family":"Gélinas","given":"Malorie"},{"family":"Hudon","given":"Christiane"},{"family":"Thomas","given":"Krista"},{"family":"Quilliam","given":"Michael A."},{"family":"Gagnon","given":"Christian"}],"issued":{"date-parts":[["2012",1]]}}}],"schema":"https://github.com/citation-style-language/schema/raw/master/csl-citation.json"}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lang w:val="it-IT"/>
        </w:rPr>
        <w:t>(Al-Sammak et al., 2013; Bumke-Vogt et al., 1996; Lajeunesse et al., 2012)</w:t>
      </w:r>
      <w:r w:rsidRPr="00E33A24">
        <w:rPr>
          <w:rFonts w:ascii="Arial" w:hAnsi="Arial" w:cs="Arial"/>
          <w:sz w:val="20"/>
          <w:szCs w:val="20"/>
        </w:rPr>
        <w:fldChar w:fldCharType="end"/>
      </w:r>
      <w:r w:rsidRPr="007410EB">
        <w:rPr>
          <w:rFonts w:ascii="Arial" w:hAnsi="Arial" w:cs="Arial"/>
          <w:sz w:val="20"/>
          <w:szCs w:val="20"/>
          <w:lang w:val="it-IT"/>
        </w:rPr>
        <w:t xml:space="preserve">. </w:t>
      </w:r>
      <w:r w:rsidRPr="00E33A24">
        <w:rPr>
          <w:rFonts w:ascii="Arial" w:hAnsi="Arial" w:cs="Arial"/>
          <w:sz w:val="20"/>
          <w:szCs w:val="20"/>
        </w:rPr>
        <w:t>Dermatotoxins induce skin irritation and inflammatory responses upon direct exposure, particularly during recreational or occupational contact with contaminated water. Cytotoxins exert generalized cellular toxicity by interfering with essential metabolic processes, including protein synthesis. Additionally, irritant toxins such as lipopolysaccharides (LPS) contribute to inflammatory and allergic reactions, potentially aggravating existing health conditions. It is important to note that toxin production is not restricted to a single cyanobacterial genus; multiple genera are capable of producing the same class of toxins. This overlap in toxin synthesis complicates environmental monitoring, source attribution, and risk assessment in affected aquatic systems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{"citationID":"31xXQwfN","properties":{"formattedCitation":"(Agathokleous &amp; Pe\\uc0\\u241{}uelas, 2022; Humbert et al., 2010)","plainCitation":"(Agathokleous &amp; Peñuelas, 2022; Humbert et al., 2010)","noteIndex":0},"citationItems":[{"id":660,"uris":["http://zotero.org/users/local/Xm6IMfD4/items/4DG5WKI4"],"itemData":{"id":660,"type":"article-journal","container-title":"Environmental Science &amp; Technology","DOI":"10.1021/acs.est.2c06618","ISSN":"0013-936X, 1520-5851","issue":"20","journalAbbreviation":"Environ. Sci. Technol.","language":"en","license":"https://doi.org/10.15223/policy-029","page":"14225-14227","source":"DOI.org (Crossref)","title":"Monitoring, Regulation, and Mitigation of Cyanotoxins in the Environment to Protect Human Health and Wildlife","volume":"56","author":[{"family":"Agathokleous","given":"Evgenios"},{"family":"Peñuelas","given":"Josep"}],"issued":{"date-parts":[["2022",10,18]]}}},{"id":473,"uris":["http://zotero.org/users/local/Xm6IMfD4/items/XR9WQN92"],"itemData":{"id":473,"type":"article-journal","container-title":"Analytical and Bioanalytical Chemistry","DOI":"10.1007/s00216-010-3642-7","ISSN":"1618-2642, 1618-2650","issue":"5","journalAbbreviation":"Anal Bioanal Chem","language":"en","page":"1723-1732","source":"DOI.org (Crossref)","title":"Molecular approaches for monitoring potentially toxic marine and freshwater phytoplankton species","volume":"397","author":[{"family":"Humbert","given":"J. F."},{"family":"Quiblier","given":"C."},{"family":"Gugger","given":"M."}],"issued":{"date-parts":[["2010",7]]}}}],"schema":"https://github.com/citation-style-language/schema/raw/master/csl-citation.json"}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kern w:val="0"/>
          <w:sz w:val="20"/>
          <w:szCs w:val="24"/>
        </w:rPr>
        <w:t>(Agathokleous &amp; Peñuelas, 2022; Humbert et al., 2010)</w:t>
      </w:r>
      <w:r w:rsidRPr="00E33A24">
        <w:rPr>
          <w:rFonts w:ascii="Arial" w:hAnsi="Arial" w:cs="Arial"/>
          <w:sz w:val="20"/>
          <w:szCs w:val="20"/>
        </w:rPr>
        <w:fldChar w:fldCharType="end"/>
      </w:r>
      <w:r w:rsidRPr="00E33A24">
        <w:rPr>
          <w:rFonts w:ascii="Arial" w:hAnsi="Arial" w:cs="Arial"/>
          <w:sz w:val="20"/>
          <w:szCs w:val="20"/>
        </w:rPr>
        <w:t>.</w:t>
      </w:r>
    </w:p>
    <w:p w14:paraId="3E59817A" w14:textId="77777777" w:rsidR="00D230C2" w:rsidRPr="00E33A24" w:rsidRDefault="00D230C2" w:rsidP="003862DF">
      <w:pPr>
        <w:jc w:val="both"/>
        <w:rPr>
          <w:rFonts w:ascii="Arial" w:hAnsi="Arial" w:cs="Arial"/>
          <w:sz w:val="20"/>
          <w:szCs w:val="20"/>
        </w:rPr>
      </w:pPr>
    </w:p>
    <w:p w14:paraId="5DE8A2EF" w14:textId="77777777" w:rsidR="00D230C2" w:rsidRDefault="00D230C2" w:rsidP="00EF5CA2">
      <w:pPr>
        <w:jc w:val="center"/>
        <w:rPr>
          <w:rFonts w:ascii="Arial" w:hAnsi="Arial" w:cs="Arial"/>
        </w:rPr>
      </w:pPr>
    </w:p>
    <w:p w14:paraId="7D7AA077" w14:textId="646AF0EF" w:rsidR="00B67584" w:rsidRDefault="00B67584" w:rsidP="00EF5CA2">
      <w:pPr>
        <w:jc w:val="center"/>
        <w:rPr>
          <w:rFonts w:ascii="Arial" w:hAnsi="Arial" w:cs="Arial"/>
        </w:rPr>
        <w:sectPr w:rsidR="00B67584" w:rsidSect="00DA0F27">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1440" w:bottom="1440" w:left="1440" w:header="708" w:footer="708" w:gutter="0"/>
          <w:cols w:space="708"/>
          <w:docGrid w:linePitch="360"/>
        </w:sectPr>
      </w:pPr>
    </w:p>
    <w:p w14:paraId="1638D39F" w14:textId="77777777" w:rsidR="00C31FE7" w:rsidRDefault="00C31FE7" w:rsidP="003862DF">
      <w:pPr>
        <w:jc w:val="both"/>
        <w:rPr>
          <w:rFonts w:ascii="Arial" w:hAnsi="Arial" w:cs="Arial"/>
        </w:rPr>
      </w:pPr>
    </w:p>
    <w:p w14:paraId="493CB825" w14:textId="77777777" w:rsidR="00B67584" w:rsidRDefault="00B67584" w:rsidP="00140C09">
      <w:pPr>
        <w:rPr>
          <w:rFonts w:ascii="Arial" w:hAnsi="Arial" w:cs="Arial"/>
          <w:b/>
          <w:bCs/>
        </w:rPr>
      </w:pPr>
    </w:p>
    <w:p w14:paraId="15742A86" w14:textId="32A32867" w:rsidR="00EB5DCF" w:rsidRPr="0058495E" w:rsidRDefault="00B67584" w:rsidP="00140C09">
      <w:pPr>
        <w:rPr>
          <w:rFonts w:ascii="Arial" w:hAnsi="Arial" w:cs="Arial"/>
          <w:b/>
          <w:bCs/>
        </w:rPr>
      </w:pPr>
      <w:r>
        <w:rPr>
          <w:rFonts w:ascii="Arial" w:hAnsi="Arial" w:cs="Arial"/>
          <w:b/>
          <w:bCs/>
        </w:rPr>
        <w:t xml:space="preserve"> </w:t>
      </w:r>
      <w:r w:rsidR="00395D46" w:rsidRPr="0058495E">
        <w:rPr>
          <w:rFonts w:ascii="Arial" w:hAnsi="Arial" w:cs="Arial"/>
          <w:b/>
          <w:bCs/>
        </w:rPr>
        <w:t>Table:1 Major Cyanotoxins, Target Organs, Producing Genera, and Toxicological Characteristics</w:t>
      </w:r>
    </w:p>
    <w:tbl>
      <w:tblPr>
        <w:tblStyle w:val="TableGrid"/>
        <w:tblpPr w:leftFromText="180" w:rightFromText="180" w:vertAnchor="page" w:horzAnchor="margin" w:tblpXSpec="center" w:tblpY="2377"/>
        <w:tblW w:w="13745" w:type="dxa"/>
        <w:tblLayout w:type="fixed"/>
        <w:tblLook w:val="04A0" w:firstRow="1" w:lastRow="0" w:firstColumn="1" w:lastColumn="0" w:noHBand="0" w:noVBand="1"/>
      </w:tblPr>
      <w:tblGrid>
        <w:gridCol w:w="1129"/>
        <w:gridCol w:w="2694"/>
        <w:gridCol w:w="1984"/>
        <w:gridCol w:w="2268"/>
        <w:gridCol w:w="2176"/>
        <w:gridCol w:w="1804"/>
        <w:gridCol w:w="1690"/>
      </w:tblGrid>
      <w:tr w:rsidR="00B67584" w:rsidRPr="0058495E" w14:paraId="5174C19A" w14:textId="77777777" w:rsidTr="0068765B">
        <w:trPr>
          <w:trHeight w:val="588"/>
        </w:trPr>
        <w:tc>
          <w:tcPr>
            <w:tcW w:w="1129" w:type="dxa"/>
          </w:tcPr>
          <w:p w14:paraId="6ECEC852" w14:textId="77777777" w:rsidR="00395D46" w:rsidRPr="0068765B" w:rsidRDefault="00395D46" w:rsidP="00C31FE7">
            <w:pPr>
              <w:jc w:val="center"/>
              <w:rPr>
                <w:rFonts w:ascii="Arial" w:hAnsi="Arial" w:cs="Arial"/>
                <w:b/>
                <w:bCs/>
              </w:rPr>
            </w:pPr>
            <w:r w:rsidRPr="0068765B">
              <w:rPr>
                <w:rFonts w:ascii="Arial" w:hAnsi="Arial" w:cs="Arial"/>
                <w:b/>
                <w:bCs/>
              </w:rPr>
              <w:t>Toxin Class</w:t>
            </w:r>
          </w:p>
        </w:tc>
        <w:tc>
          <w:tcPr>
            <w:tcW w:w="2694" w:type="dxa"/>
          </w:tcPr>
          <w:p w14:paraId="0DE7EC73" w14:textId="77777777" w:rsidR="00395D46" w:rsidRPr="0068765B" w:rsidRDefault="00395D46" w:rsidP="00C31FE7">
            <w:pPr>
              <w:jc w:val="center"/>
              <w:rPr>
                <w:rFonts w:ascii="Arial" w:hAnsi="Arial" w:cs="Arial"/>
                <w:b/>
                <w:bCs/>
              </w:rPr>
            </w:pPr>
            <w:r w:rsidRPr="0068765B">
              <w:rPr>
                <w:rFonts w:ascii="Arial" w:hAnsi="Arial" w:cs="Arial"/>
                <w:b/>
                <w:bCs/>
              </w:rPr>
              <w:t>Major Toxins</w:t>
            </w:r>
          </w:p>
        </w:tc>
        <w:tc>
          <w:tcPr>
            <w:tcW w:w="1984" w:type="dxa"/>
          </w:tcPr>
          <w:p w14:paraId="1566B898" w14:textId="77777777" w:rsidR="00395D46" w:rsidRPr="0068765B" w:rsidRDefault="00395D46" w:rsidP="00C31FE7">
            <w:pPr>
              <w:jc w:val="center"/>
              <w:rPr>
                <w:rFonts w:ascii="Arial" w:hAnsi="Arial" w:cs="Arial"/>
                <w:b/>
                <w:bCs/>
              </w:rPr>
            </w:pPr>
            <w:r w:rsidRPr="0068765B">
              <w:rPr>
                <w:rFonts w:ascii="Arial" w:hAnsi="Arial" w:cs="Arial"/>
                <w:b/>
                <w:bCs/>
              </w:rPr>
              <w:t>Primary Target Organ/System</w:t>
            </w:r>
          </w:p>
        </w:tc>
        <w:tc>
          <w:tcPr>
            <w:tcW w:w="2268" w:type="dxa"/>
          </w:tcPr>
          <w:p w14:paraId="20C45744" w14:textId="77777777" w:rsidR="00395D46" w:rsidRPr="0068765B" w:rsidRDefault="00395D46" w:rsidP="00C31FE7">
            <w:pPr>
              <w:jc w:val="center"/>
              <w:rPr>
                <w:rFonts w:ascii="Arial" w:hAnsi="Arial" w:cs="Arial"/>
                <w:b/>
                <w:bCs/>
              </w:rPr>
            </w:pPr>
            <w:r w:rsidRPr="0068765B">
              <w:rPr>
                <w:rFonts w:ascii="Arial" w:hAnsi="Arial" w:cs="Arial"/>
                <w:b/>
                <w:bCs/>
              </w:rPr>
              <w:t>Common Producing Genera</w:t>
            </w:r>
          </w:p>
        </w:tc>
        <w:tc>
          <w:tcPr>
            <w:tcW w:w="2176" w:type="dxa"/>
          </w:tcPr>
          <w:p w14:paraId="2754A073" w14:textId="77777777" w:rsidR="00395D46" w:rsidRPr="0068765B" w:rsidRDefault="00395D46" w:rsidP="00C31FE7">
            <w:pPr>
              <w:jc w:val="center"/>
              <w:rPr>
                <w:rFonts w:ascii="Arial" w:hAnsi="Arial" w:cs="Arial"/>
                <w:b/>
                <w:bCs/>
              </w:rPr>
            </w:pPr>
            <w:r w:rsidRPr="0068765B">
              <w:rPr>
                <w:rFonts w:ascii="Arial" w:hAnsi="Arial" w:cs="Arial"/>
                <w:b/>
                <w:bCs/>
              </w:rPr>
              <w:t>Mechanism of Action</w:t>
            </w:r>
          </w:p>
        </w:tc>
        <w:tc>
          <w:tcPr>
            <w:tcW w:w="1804" w:type="dxa"/>
          </w:tcPr>
          <w:p w14:paraId="749C1FF6" w14:textId="77777777" w:rsidR="00395D46" w:rsidRPr="0068765B" w:rsidRDefault="00395D46" w:rsidP="00C31FE7">
            <w:pPr>
              <w:jc w:val="center"/>
              <w:rPr>
                <w:rFonts w:ascii="Arial" w:hAnsi="Arial" w:cs="Arial"/>
                <w:b/>
                <w:bCs/>
              </w:rPr>
            </w:pPr>
            <w:r w:rsidRPr="0068765B">
              <w:rPr>
                <w:rFonts w:ascii="Arial" w:hAnsi="Arial" w:cs="Arial"/>
                <w:b/>
                <w:bCs/>
              </w:rPr>
              <w:t>Major Health Effects</w:t>
            </w:r>
          </w:p>
        </w:tc>
        <w:tc>
          <w:tcPr>
            <w:tcW w:w="1690" w:type="dxa"/>
          </w:tcPr>
          <w:p w14:paraId="24830573" w14:textId="77777777" w:rsidR="00395D46" w:rsidRPr="0068765B" w:rsidRDefault="00395D46" w:rsidP="00C31FE7">
            <w:pPr>
              <w:jc w:val="center"/>
              <w:rPr>
                <w:rFonts w:ascii="Arial" w:hAnsi="Arial" w:cs="Arial"/>
                <w:b/>
                <w:bCs/>
              </w:rPr>
            </w:pPr>
            <w:r w:rsidRPr="0068765B">
              <w:rPr>
                <w:rFonts w:ascii="Arial" w:hAnsi="Arial" w:cs="Arial"/>
                <w:b/>
                <w:bCs/>
              </w:rPr>
              <w:t>References</w:t>
            </w:r>
          </w:p>
        </w:tc>
      </w:tr>
      <w:tr w:rsidR="00B67584" w:rsidRPr="0058495E" w14:paraId="24115C67" w14:textId="77777777" w:rsidTr="0068765B">
        <w:trPr>
          <w:trHeight w:val="935"/>
        </w:trPr>
        <w:tc>
          <w:tcPr>
            <w:tcW w:w="1129" w:type="dxa"/>
            <w:vMerge w:val="restart"/>
            <w:textDirection w:val="btLr"/>
          </w:tcPr>
          <w:p w14:paraId="07340CF6" w14:textId="046B74EA" w:rsidR="00395D46" w:rsidRPr="0058495E" w:rsidRDefault="00D93FC4" w:rsidP="00D93FC4">
            <w:pPr>
              <w:ind w:left="113" w:right="113"/>
              <w:rPr>
                <w:rFonts w:ascii="Arial" w:hAnsi="Arial" w:cs="Arial"/>
              </w:rPr>
            </w:pPr>
            <w:r>
              <w:rPr>
                <w:rFonts w:ascii="Arial" w:hAnsi="Arial" w:cs="Arial"/>
                <w:b/>
                <w:bCs/>
              </w:rPr>
              <w:t xml:space="preserve">              </w:t>
            </w:r>
            <w:r w:rsidRPr="00706E54">
              <w:rPr>
                <w:rFonts w:ascii="Arial" w:hAnsi="Arial" w:cs="Arial"/>
                <w:b/>
                <w:bCs/>
              </w:rPr>
              <w:t>Hepatotoxins</w:t>
            </w:r>
            <w:r>
              <w:rPr>
                <w:rFonts w:ascii="Arial" w:hAnsi="Arial" w:cs="Arial"/>
                <w:b/>
                <w:bCs/>
              </w:rPr>
              <w:t xml:space="preserve"> </w:t>
            </w:r>
          </w:p>
        </w:tc>
        <w:tc>
          <w:tcPr>
            <w:tcW w:w="2694" w:type="dxa"/>
          </w:tcPr>
          <w:p w14:paraId="72E1EEF0" w14:textId="77777777" w:rsidR="00395D46" w:rsidRPr="0058495E" w:rsidRDefault="00395D46" w:rsidP="00C31FE7">
            <w:pPr>
              <w:jc w:val="center"/>
              <w:rPr>
                <w:rFonts w:ascii="Arial" w:hAnsi="Arial" w:cs="Arial"/>
              </w:rPr>
            </w:pPr>
            <w:proofErr w:type="spellStart"/>
            <w:r w:rsidRPr="00706E54">
              <w:rPr>
                <w:rFonts w:ascii="Arial" w:hAnsi="Arial" w:cs="Arial"/>
              </w:rPr>
              <w:t>Microcystins</w:t>
            </w:r>
            <w:proofErr w:type="spellEnd"/>
            <w:r w:rsidRPr="00706E54">
              <w:rPr>
                <w:rFonts w:ascii="Arial" w:hAnsi="Arial" w:cs="Arial"/>
              </w:rPr>
              <w:t xml:space="preserve"> (MCs)</w:t>
            </w:r>
          </w:p>
        </w:tc>
        <w:tc>
          <w:tcPr>
            <w:tcW w:w="1984" w:type="dxa"/>
          </w:tcPr>
          <w:p w14:paraId="60986885" w14:textId="77777777" w:rsidR="00395D46" w:rsidRPr="0058495E" w:rsidRDefault="00395D46" w:rsidP="00C31FE7">
            <w:pPr>
              <w:jc w:val="center"/>
              <w:rPr>
                <w:rFonts w:ascii="Arial" w:hAnsi="Arial" w:cs="Arial"/>
              </w:rPr>
            </w:pPr>
            <w:r w:rsidRPr="00706E54">
              <w:rPr>
                <w:rFonts w:ascii="Arial" w:hAnsi="Arial" w:cs="Arial"/>
              </w:rPr>
              <w:t>Liver</w:t>
            </w:r>
          </w:p>
        </w:tc>
        <w:tc>
          <w:tcPr>
            <w:tcW w:w="2268" w:type="dxa"/>
          </w:tcPr>
          <w:p w14:paraId="51EE8F8E" w14:textId="77777777" w:rsidR="00395D46" w:rsidRPr="0058495E" w:rsidRDefault="00395D46" w:rsidP="00C31FE7">
            <w:pPr>
              <w:jc w:val="center"/>
              <w:rPr>
                <w:rFonts w:ascii="Arial" w:hAnsi="Arial" w:cs="Arial"/>
              </w:rPr>
            </w:pPr>
            <w:r w:rsidRPr="00706E54">
              <w:rPr>
                <w:rFonts w:ascii="Arial" w:hAnsi="Arial" w:cs="Arial"/>
                <w:i/>
                <w:iCs/>
              </w:rPr>
              <w:t>Microcystis</w:t>
            </w:r>
            <w:r w:rsidRPr="00706E54">
              <w:rPr>
                <w:rFonts w:ascii="Arial" w:hAnsi="Arial" w:cs="Arial"/>
              </w:rPr>
              <w:t xml:space="preserve">, </w:t>
            </w:r>
            <w:r w:rsidRPr="00706E54">
              <w:rPr>
                <w:rFonts w:ascii="Arial" w:hAnsi="Arial" w:cs="Arial"/>
                <w:i/>
                <w:iCs/>
              </w:rPr>
              <w:t>Anabaena (</w:t>
            </w:r>
            <w:proofErr w:type="spellStart"/>
            <w:r w:rsidRPr="00706E54">
              <w:rPr>
                <w:rFonts w:ascii="Arial" w:hAnsi="Arial" w:cs="Arial"/>
                <w:i/>
                <w:iCs/>
              </w:rPr>
              <w:t>Dolichospermum</w:t>
            </w:r>
            <w:proofErr w:type="spellEnd"/>
            <w:r w:rsidRPr="00706E54">
              <w:rPr>
                <w:rFonts w:ascii="Arial" w:hAnsi="Arial" w:cs="Arial"/>
                <w:i/>
                <w:iCs/>
              </w:rPr>
              <w:t>)</w:t>
            </w:r>
            <w:r w:rsidRPr="00706E54">
              <w:rPr>
                <w:rFonts w:ascii="Arial" w:hAnsi="Arial" w:cs="Arial"/>
              </w:rPr>
              <w:t xml:space="preserve">, </w:t>
            </w:r>
            <w:proofErr w:type="spellStart"/>
            <w:r w:rsidRPr="00706E54">
              <w:rPr>
                <w:rFonts w:ascii="Arial" w:hAnsi="Arial" w:cs="Arial"/>
                <w:i/>
                <w:iCs/>
              </w:rPr>
              <w:t>Planktothrix</w:t>
            </w:r>
            <w:proofErr w:type="spellEnd"/>
            <w:r w:rsidRPr="00706E54">
              <w:rPr>
                <w:rFonts w:ascii="Arial" w:hAnsi="Arial" w:cs="Arial"/>
              </w:rPr>
              <w:t xml:space="preserve">, </w:t>
            </w:r>
            <w:proofErr w:type="spellStart"/>
            <w:r w:rsidRPr="00706E54">
              <w:rPr>
                <w:rFonts w:ascii="Arial" w:hAnsi="Arial" w:cs="Arial"/>
                <w:i/>
                <w:iCs/>
              </w:rPr>
              <w:t>Nostoc</w:t>
            </w:r>
            <w:proofErr w:type="spellEnd"/>
          </w:p>
        </w:tc>
        <w:tc>
          <w:tcPr>
            <w:tcW w:w="2176" w:type="dxa"/>
          </w:tcPr>
          <w:p w14:paraId="4806213D" w14:textId="77777777" w:rsidR="00395D46" w:rsidRPr="0058495E" w:rsidRDefault="00395D46" w:rsidP="00C31FE7">
            <w:pPr>
              <w:jc w:val="center"/>
              <w:rPr>
                <w:rFonts w:ascii="Arial" w:hAnsi="Arial" w:cs="Arial"/>
              </w:rPr>
            </w:pPr>
            <w:r w:rsidRPr="00706E54">
              <w:rPr>
                <w:rFonts w:ascii="Arial" w:hAnsi="Arial" w:cs="Arial"/>
              </w:rPr>
              <w:t>Inhibition of protein phosphatases (PP1, PP2A)</w:t>
            </w:r>
          </w:p>
        </w:tc>
        <w:tc>
          <w:tcPr>
            <w:tcW w:w="1804" w:type="dxa"/>
          </w:tcPr>
          <w:p w14:paraId="2E35F528" w14:textId="77777777" w:rsidR="00395D46" w:rsidRPr="0058495E" w:rsidRDefault="00395D46" w:rsidP="00C31FE7">
            <w:pPr>
              <w:jc w:val="center"/>
              <w:rPr>
                <w:rFonts w:ascii="Arial" w:hAnsi="Arial" w:cs="Arial"/>
              </w:rPr>
            </w:pPr>
            <w:r w:rsidRPr="00706E54">
              <w:rPr>
                <w:rFonts w:ascii="Arial" w:hAnsi="Arial" w:cs="Arial"/>
              </w:rPr>
              <w:t xml:space="preserve">Hepatic </w:t>
            </w:r>
            <w:proofErr w:type="spellStart"/>
            <w:r w:rsidRPr="00706E54">
              <w:rPr>
                <w:rFonts w:ascii="Arial" w:hAnsi="Arial" w:cs="Arial"/>
              </w:rPr>
              <w:t>hemorrhage</w:t>
            </w:r>
            <w:proofErr w:type="spellEnd"/>
            <w:r w:rsidRPr="00706E54">
              <w:rPr>
                <w:rFonts w:ascii="Arial" w:hAnsi="Arial" w:cs="Arial"/>
              </w:rPr>
              <w:t xml:space="preserve">, liver failure, </w:t>
            </w:r>
            <w:proofErr w:type="spellStart"/>
            <w:r w:rsidRPr="00706E54">
              <w:rPr>
                <w:rFonts w:ascii="Arial" w:hAnsi="Arial" w:cs="Arial"/>
              </w:rPr>
              <w:t>tumor</w:t>
            </w:r>
            <w:proofErr w:type="spellEnd"/>
            <w:r w:rsidRPr="00706E54">
              <w:rPr>
                <w:rFonts w:ascii="Arial" w:hAnsi="Arial" w:cs="Arial"/>
              </w:rPr>
              <w:t xml:space="preserve"> promotion</w:t>
            </w:r>
          </w:p>
        </w:tc>
        <w:tc>
          <w:tcPr>
            <w:tcW w:w="1690" w:type="dxa"/>
          </w:tcPr>
          <w:p w14:paraId="670ACAC2" w14:textId="25942A0A"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{"citationID":"HcSczPcd","properties":{"formattedCitation":"(Bostan et al., 2018)","plainCitation":"(Bostan et al., 2018)","noteIndex":0},"citationItems":[{"id":504,"uris":["http://zotero.org/users/local/Xm6IMfD4/items/NH22V7K9"],"itemData":{"id":504,"type":"article-journal","container-title":"Biosensors and Bioelectronics","DOI":"10.1016/j.bios.2018.08.003","ISSN":"09565663","journalAbbreviation":"Biosensors and Bioelectronics","language":"en","page":"110-118","source":"DOI.org (Crossref)","title":"Determination of microcystin-LR, employing aptasensors","volume":"119","author":[{"family":"Bostan","given":"Hasan Badie"},{"family":"Taghdisi","given":"Seyed Mohammad"},{"family":"Bowen","given":"Jenna L."},{"family":"Demertzis","given":"Nikolaos"},{"family":"Rezaee","given":"Ramin"},{"family":"Panahi","given":"Yunes"},{"family":"Tsatsakis","given":"Aristidis M."},{"family":"Karimi","given":"Gholamreza"}],"issued":{"date-parts":[["2018",11]]}}}],"schema":"https://github.com/citation-style-language/schema/raw/master/csl-citation.json"} </w:instrText>
            </w:r>
            <w:r w:rsidRPr="0058495E">
              <w:rPr>
                <w:rFonts w:ascii="Arial" w:hAnsi="Arial" w:cs="Arial"/>
              </w:rPr>
              <w:fldChar w:fldCharType="separate"/>
            </w:r>
            <w:r w:rsidR="007410EB" w:rsidRPr="007410EB">
              <w:rPr>
                <w:rFonts w:ascii="Arial" w:hAnsi="Arial" w:cs="Arial"/>
              </w:rPr>
              <w:t>(Bostan et al., 2018)</w:t>
            </w:r>
            <w:r w:rsidRPr="0058495E">
              <w:rPr>
                <w:rFonts w:ascii="Arial" w:hAnsi="Arial" w:cs="Arial"/>
              </w:rPr>
              <w:fldChar w:fldCharType="end"/>
            </w:r>
          </w:p>
        </w:tc>
      </w:tr>
      <w:tr w:rsidR="00B67584" w:rsidRPr="007410EB" w14:paraId="00F2D303" w14:textId="77777777" w:rsidTr="0068765B">
        <w:trPr>
          <w:trHeight w:val="100"/>
        </w:trPr>
        <w:tc>
          <w:tcPr>
            <w:tcW w:w="1129" w:type="dxa"/>
            <w:vMerge/>
          </w:tcPr>
          <w:p w14:paraId="4912B2C9" w14:textId="77777777" w:rsidR="00395D46" w:rsidRPr="0058495E" w:rsidRDefault="00395D46" w:rsidP="00C31FE7">
            <w:pPr>
              <w:jc w:val="center"/>
              <w:rPr>
                <w:rFonts w:ascii="Arial" w:hAnsi="Arial" w:cs="Arial"/>
              </w:rPr>
            </w:pPr>
          </w:p>
        </w:tc>
        <w:tc>
          <w:tcPr>
            <w:tcW w:w="2694" w:type="dxa"/>
          </w:tcPr>
          <w:p w14:paraId="6D619AEA" w14:textId="77777777" w:rsidR="00395D46" w:rsidRPr="0058495E" w:rsidRDefault="00395D46" w:rsidP="00C31FE7">
            <w:pPr>
              <w:jc w:val="center"/>
              <w:rPr>
                <w:rFonts w:ascii="Arial" w:hAnsi="Arial" w:cs="Arial"/>
              </w:rPr>
            </w:pPr>
            <w:proofErr w:type="spellStart"/>
            <w:r w:rsidRPr="00706E54">
              <w:rPr>
                <w:rFonts w:ascii="Arial" w:hAnsi="Arial" w:cs="Arial"/>
              </w:rPr>
              <w:t>Nodularins</w:t>
            </w:r>
            <w:proofErr w:type="spellEnd"/>
            <w:r w:rsidRPr="00706E54">
              <w:rPr>
                <w:rFonts w:ascii="Arial" w:hAnsi="Arial" w:cs="Arial"/>
              </w:rPr>
              <w:t xml:space="preserve"> (NOD)</w:t>
            </w:r>
          </w:p>
        </w:tc>
        <w:tc>
          <w:tcPr>
            <w:tcW w:w="1984" w:type="dxa"/>
          </w:tcPr>
          <w:p w14:paraId="5480F14D" w14:textId="77777777" w:rsidR="00395D46" w:rsidRPr="0058495E" w:rsidRDefault="00395D46" w:rsidP="00C31FE7">
            <w:pPr>
              <w:jc w:val="center"/>
              <w:rPr>
                <w:rFonts w:ascii="Arial" w:hAnsi="Arial" w:cs="Arial"/>
              </w:rPr>
            </w:pPr>
            <w:r w:rsidRPr="00706E54">
              <w:rPr>
                <w:rFonts w:ascii="Arial" w:hAnsi="Arial" w:cs="Arial"/>
              </w:rPr>
              <w:t>Liver</w:t>
            </w:r>
          </w:p>
        </w:tc>
        <w:tc>
          <w:tcPr>
            <w:tcW w:w="2268" w:type="dxa"/>
          </w:tcPr>
          <w:p w14:paraId="71B5FF32" w14:textId="77777777" w:rsidR="00395D46" w:rsidRPr="0058495E" w:rsidRDefault="00395D46" w:rsidP="00C31FE7">
            <w:pPr>
              <w:jc w:val="center"/>
              <w:rPr>
                <w:rFonts w:ascii="Arial" w:hAnsi="Arial" w:cs="Arial"/>
              </w:rPr>
            </w:pPr>
            <w:r w:rsidRPr="00706E54">
              <w:rPr>
                <w:rFonts w:ascii="Arial" w:hAnsi="Arial" w:cs="Arial"/>
                <w:i/>
                <w:iCs/>
              </w:rPr>
              <w:t>Nodularia</w:t>
            </w:r>
          </w:p>
        </w:tc>
        <w:tc>
          <w:tcPr>
            <w:tcW w:w="2176" w:type="dxa"/>
          </w:tcPr>
          <w:p w14:paraId="6E0C1467" w14:textId="77777777" w:rsidR="00395D46" w:rsidRPr="0058495E" w:rsidRDefault="00395D46" w:rsidP="00C31FE7">
            <w:pPr>
              <w:jc w:val="center"/>
              <w:rPr>
                <w:rFonts w:ascii="Arial" w:hAnsi="Arial" w:cs="Arial"/>
              </w:rPr>
            </w:pPr>
            <w:r w:rsidRPr="00706E54">
              <w:rPr>
                <w:rFonts w:ascii="Arial" w:hAnsi="Arial" w:cs="Arial"/>
              </w:rPr>
              <w:t>Protein phosphatase inhibition</w:t>
            </w:r>
          </w:p>
        </w:tc>
        <w:tc>
          <w:tcPr>
            <w:tcW w:w="1804" w:type="dxa"/>
          </w:tcPr>
          <w:p w14:paraId="60779B58" w14:textId="77777777" w:rsidR="00395D46" w:rsidRPr="0058495E" w:rsidRDefault="00395D46" w:rsidP="00C31FE7">
            <w:pPr>
              <w:jc w:val="center"/>
              <w:rPr>
                <w:rFonts w:ascii="Arial" w:hAnsi="Arial" w:cs="Arial"/>
              </w:rPr>
            </w:pPr>
            <w:r w:rsidRPr="00706E54">
              <w:rPr>
                <w:rFonts w:ascii="Arial" w:hAnsi="Arial" w:cs="Arial"/>
              </w:rPr>
              <w:t>Severe hepatotoxicity</w:t>
            </w:r>
          </w:p>
        </w:tc>
        <w:tc>
          <w:tcPr>
            <w:tcW w:w="1690" w:type="dxa"/>
          </w:tcPr>
          <w:p w14:paraId="678F5668" w14:textId="2F5C4C9B" w:rsidR="00395D46" w:rsidRPr="007410EB" w:rsidRDefault="00395D46" w:rsidP="00C31FE7">
            <w:pPr>
              <w:jc w:val="center"/>
              <w:rPr>
                <w:rFonts w:ascii="Arial" w:hAnsi="Arial" w:cs="Arial"/>
                <w:lang w:val="it-IT"/>
              </w:rPr>
            </w:pPr>
            <w:r w:rsidRPr="0058495E">
              <w:rPr>
                <w:rFonts w:ascii="Arial" w:hAnsi="Arial" w:cs="Arial"/>
              </w:rPr>
              <w:fldChar w:fldCharType="begin"/>
            </w:r>
            <w:r w:rsidR="007410EB" w:rsidRPr="007410EB">
              <w:rPr>
                <w:rFonts w:ascii="Arial" w:hAnsi="Arial" w:cs="Arial"/>
                <w:lang w:val="it-IT"/>
              </w:rPr>
              <w:instrText xml:space="preserve"> ADDIN ZOTERO_ITEM CSL_CITATION {"citationID":"NTT4zcru","properties":{"formattedCitation":"(Galat et al., n.d.)","plainCitation":"(Galat et al., n.d.)","noteIndex":0},"citationItems":[{"id":603,"uris":["http://zotero.org/users/local/Xm6IMfD4/items/E7SSML26"],"itemData":{"id":603,"type":"article-journal","abstract":"Magnitude and long-term periodicity of summer-autumn blooms of the nitrogen-fixing cyanobacterium, Nodularia spumigena, were characterized for hyposaline Pyramid Lake, Nevada, from Landsat MSS band 3 film negatives. Predicted lakewide mean chlorophyll a concentrations for Landsat overpasses during the July-October Nodularia bloom season ranged from 27 to 72 mg m - 3 with an overall average concentration of 32 ± 7 mg m - 3 between 1972 and 1986.","language":"en","source":"Zotero","title":"Large-scale patterns of Nodularia spumigena blooms in Pyramid Lake, Nevada, determined from Landsat imagery: 1972-1986","author":[{"family":"Galat","given":"David L"},{"family":"Verdin","given":"James P"},{"family":"Sims","given":"Lori L"}]}}],"schema":"https://github.com/citation-style-language/schema/raw/master/csl-citation.json"} </w:instrText>
            </w:r>
            <w:r w:rsidRPr="0058495E">
              <w:rPr>
                <w:rFonts w:ascii="Arial" w:hAnsi="Arial" w:cs="Arial"/>
              </w:rPr>
              <w:fldChar w:fldCharType="separate"/>
            </w:r>
            <w:r w:rsidR="007410EB" w:rsidRPr="007410EB">
              <w:rPr>
                <w:rFonts w:ascii="Arial" w:hAnsi="Arial" w:cs="Arial"/>
                <w:lang w:val="it-IT"/>
              </w:rPr>
              <w:t>(Galat et al., n.d.)</w:t>
            </w:r>
            <w:r w:rsidRPr="0058495E">
              <w:rPr>
                <w:rFonts w:ascii="Arial" w:hAnsi="Arial" w:cs="Arial"/>
              </w:rPr>
              <w:fldChar w:fldCharType="end"/>
            </w:r>
          </w:p>
        </w:tc>
      </w:tr>
      <w:tr w:rsidR="00B67584" w:rsidRPr="0058495E" w14:paraId="6AE6F259" w14:textId="77777777" w:rsidTr="0068765B">
        <w:trPr>
          <w:trHeight w:val="982"/>
        </w:trPr>
        <w:tc>
          <w:tcPr>
            <w:tcW w:w="1129" w:type="dxa"/>
            <w:vMerge/>
          </w:tcPr>
          <w:p w14:paraId="7E95DDE5" w14:textId="77777777" w:rsidR="00395D46" w:rsidRPr="007410EB" w:rsidRDefault="00395D46" w:rsidP="00C31FE7">
            <w:pPr>
              <w:jc w:val="center"/>
              <w:rPr>
                <w:rFonts w:ascii="Arial" w:hAnsi="Arial" w:cs="Arial"/>
                <w:lang w:val="it-IT"/>
              </w:rPr>
            </w:pPr>
          </w:p>
        </w:tc>
        <w:tc>
          <w:tcPr>
            <w:tcW w:w="2694" w:type="dxa"/>
          </w:tcPr>
          <w:p w14:paraId="566EA928" w14:textId="77777777" w:rsidR="00395D46" w:rsidRPr="0058495E" w:rsidRDefault="00395D46" w:rsidP="00C31FE7">
            <w:pPr>
              <w:jc w:val="center"/>
              <w:rPr>
                <w:rFonts w:ascii="Arial" w:hAnsi="Arial" w:cs="Arial"/>
              </w:rPr>
            </w:pPr>
            <w:r w:rsidRPr="0058495E">
              <w:rPr>
                <w:rFonts w:ascii="Arial" w:hAnsi="Arial" w:cs="Arial"/>
              </w:rPr>
              <w:t>Cylindrospermopsin (CYN)</w:t>
            </w:r>
          </w:p>
        </w:tc>
        <w:tc>
          <w:tcPr>
            <w:tcW w:w="1984" w:type="dxa"/>
          </w:tcPr>
          <w:p w14:paraId="1CAC72D8" w14:textId="77777777" w:rsidR="00087B14" w:rsidRPr="0058495E" w:rsidRDefault="00087B14" w:rsidP="00C31FE7">
            <w:pPr>
              <w:jc w:val="center"/>
              <w:rPr>
                <w:rFonts w:ascii="Arial" w:hAnsi="Arial" w:cs="Arial"/>
              </w:rPr>
            </w:pPr>
          </w:p>
          <w:p w14:paraId="54AF5729" w14:textId="65AF99CE" w:rsidR="00087B14" w:rsidRPr="0058495E" w:rsidRDefault="00087B14" w:rsidP="00C31FE7">
            <w:pPr>
              <w:jc w:val="center"/>
              <w:rPr>
                <w:rFonts w:ascii="Arial" w:hAnsi="Arial" w:cs="Arial"/>
              </w:rPr>
            </w:pPr>
            <w:r w:rsidRPr="0058495E">
              <w:rPr>
                <w:rFonts w:ascii="Arial" w:hAnsi="Arial" w:cs="Arial"/>
              </w:rPr>
              <w:t>Liver</w:t>
            </w:r>
          </w:p>
          <w:p w14:paraId="4C4992AE" w14:textId="135C70F3" w:rsidR="00395D46" w:rsidRPr="0058495E" w:rsidRDefault="00087B14" w:rsidP="00C31FE7">
            <w:pPr>
              <w:jc w:val="center"/>
              <w:rPr>
                <w:rFonts w:ascii="Arial" w:hAnsi="Arial" w:cs="Arial"/>
              </w:rPr>
            </w:pPr>
            <w:r w:rsidRPr="0058495E">
              <w:rPr>
                <w:rFonts w:ascii="Arial" w:hAnsi="Arial" w:cs="Arial"/>
              </w:rPr>
              <w:t>(</w:t>
            </w:r>
            <w:proofErr w:type="gramStart"/>
            <w:r w:rsidRPr="0058495E">
              <w:rPr>
                <w:rFonts w:ascii="Arial" w:hAnsi="Arial" w:cs="Arial"/>
              </w:rPr>
              <w:t>also</w:t>
            </w:r>
            <w:proofErr w:type="gramEnd"/>
            <w:r w:rsidRPr="0058495E">
              <w:rPr>
                <w:rFonts w:ascii="Arial" w:hAnsi="Arial" w:cs="Arial"/>
              </w:rPr>
              <w:t xml:space="preserve"> kidney)</w:t>
            </w:r>
          </w:p>
        </w:tc>
        <w:tc>
          <w:tcPr>
            <w:tcW w:w="2268" w:type="dxa"/>
          </w:tcPr>
          <w:p w14:paraId="3D8CF913" w14:textId="77777777" w:rsidR="00395D46" w:rsidRPr="0058495E" w:rsidRDefault="00395D46" w:rsidP="00C31FE7">
            <w:pPr>
              <w:jc w:val="center"/>
              <w:rPr>
                <w:rFonts w:ascii="Arial" w:hAnsi="Arial" w:cs="Arial"/>
              </w:rPr>
            </w:pPr>
            <w:proofErr w:type="spellStart"/>
            <w:r w:rsidRPr="00706E54">
              <w:rPr>
                <w:rFonts w:ascii="Arial" w:hAnsi="Arial" w:cs="Arial"/>
                <w:i/>
                <w:iCs/>
              </w:rPr>
              <w:t>Cylindrospermopsis</w:t>
            </w:r>
            <w:proofErr w:type="spellEnd"/>
            <w:r w:rsidRPr="00706E54">
              <w:rPr>
                <w:rFonts w:ascii="Arial" w:hAnsi="Arial" w:cs="Arial"/>
              </w:rPr>
              <w:t xml:space="preserve">, </w:t>
            </w:r>
            <w:proofErr w:type="spellStart"/>
            <w:r w:rsidRPr="00706E54">
              <w:rPr>
                <w:rFonts w:ascii="Arial" w:hAnsi="Arial" w:cs="Arial"/>
                <w:i/>
                <w:iCs/>
              </w:rPr>
              <w:t>Aphanizomenon</w:t>
            </w:r>
            <w:proofErr w:type="spellEnd"/>
            <w:r w:rsidRPr="00706E54">
              <w:rPr>
                <w:rFonts w:ascii="Arial" w:hAnsi="Arial" w:cs="Arial"/>
              </w:rPr>
              <w:t xml:space="preserve">, </w:t>
            </w:r>
            <w:proofErr w:type="spellStart"/>
            <w:r w:rsidRPr="00706E54">
              <w:rPr>
                <w:rFonts w:ascii="Arial" w:hAnsi="Arial" w:cs="Arial"/>
                <w:i/>
                <w:iCs/>
              </w:rPr>
              <w:t>Raphidiopsis</w:t>
            </w:r>
            <w:proofErr w:type="spellEnd"/>
          </w:p>
        </w:tc>
        <w:tc>
          <w:tcPr>
            <w:tcW w:w="2176" w:type="dxa"/>
          </w:tcPr>
          <w:p w14:paraId="643C1BE7" w14:textId="77777777" w:rsidR="00395D46" w:rsidRPr="0058495E" w:rsidRDefault="00395D46" w:rsidP="00C31FE7">
            <w:pPr>
              <w:jc w:val="center"/>
              <w:rPr>
                <w:rFonts w:ascii="Arial" w:hAnsi="Arial" w:cs="Arial"/>
              </w:rPr>
            </w:pPr>
            <w:r w:rsidRPr="0058495E">
              <w:rPr>
                <w:rFonts w:ascii="Arial" w:hAnsi="Arial" w:cs="Arial"/>
              </w:rPr>
              <w:t>Inhibition of protein synthesis, oxidative stress</w:t>
            </w:r>
          </w:p>
        </w:tc>
        <w:tc>
          <w:tcPr>
            <w:tcW w:w="1804" w:type="dxa"/>
          </w:tcPr>
          <w:p w14:paraId="71074A20" w14:textId="77777777" w:rsidR="00395D46" w:rsidRPr="0058495E" w:rsidRDefault="00395D46" w:rsidP="00C31FE7">
            <w:pPr>
              <w:jc w:val="center"/>
              <w:rPr>
                <w:rFonts w:ascii="Arial" w:hAnsi="Arial" w:cs="Arial"/>
              </w:rPr>
            </w:pPr>
            <w:r w:rsidRPr="0058495E">
              <w:rPr>
                <w:rFonts w:ascii="Arial" w:hAnsi="Arial" w:cs="Arial"/>
              </w:rPr>
              <w:t>Hepatotoxicity, nephrotoxicity</w:t>
            </w:r>
          </w:p>
        </w:tc>
        <w:tc>
          <w:tcPr>
            <w:tcW w:w="1690" w:type="dxa"/>
          </w:tcPr>
          <w:p w14:paraId="3FB3AC54" w14:textId="772A47EA"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{"citationID":"ykeJh8Tt","properties":{"formattedCitation":"(Bl\\uc0\\u225{}hov\\uc0\\u225{} et al., 2009)","plainCitation":"(Bláhová et al., 2009)","noteIndex":0},"citationItems":[{"id":978,"uris":["http://zotero.org/users/local/Xm6IMfD4/items/VISGP59F"],"itemData":{"id":978,"type":"article-journal","container-title":"Toxicon","DOI":"10.1016/j.toxicon.2009.01.014","ISSN":"00410101","issue":"5","journalAbbreviation":"Toxicon","language":"en","license":"https://www.elsevier.com/tdm/userlicense/1.0/","page":"519-524","source":"DOI.org (Crossref)","title":"The first occurrence of the cyanobacterial alkaloid toxin cylindrospermopsin in the Czech Republic as determined by immunochemical and LC/MS methods","volume":"53","author":[{"family":"Bláhová","given":"Lucie"},{"family":"Oravec","given":"Michal"},{"family":"Maršálek","given":"Blahoslav"},{"family":"Šejnohová","given":"Lenka"},{"family":"Šimek","given":"Zdeněk"},{"family":"Bláha","given":"Luděk"}],"issued":{"date-parts":[["2009",4]]}}}],"schema":"https://github.com/citation-style-language/schema/raw/master/csl-citation.json"} </w:instrText>
            </w:r>
            <w:r w:rsidRPr="0058495E">
              <w:rPr>
                <w:rFonts w:ascii="Arial" w:hAnsi="Arial" w:cs="Arial"/>
              </w:rPr>
              <w:fldChar w:fldCharType="separate"/>
            </w:r>
            <w:r w:rsidR="007410EB" w:rsidRPr="007410EB">
              <w:rPr>
                <w:rFonts w:ascii="Arial" w:hAnsi="Arial" w:cs="Arial"/>
                <w:kern w:val="0"/>
                <w:szCs w:val="24"/>
              </w:rPr>
              <w:t>(Bláhová et al., 2009)</w:t>
            </w:r>
            <w:r w:rsidRPr="0058495E">
              <w:rPr>
                <w:rFonts w:ascii="Arial" w:hAnsi="Arial" w:cs="Arial"/>
              </w:rPr>
              <w:fldChar w:fldCharType="end"/>
            </w:r>
          </w:p>
        </w:tc>
      </w:tr>
      <w:tr w:rsidR="00B67584" w:rsidRPr="0058495E" w14:paraId="36193BE2" w14:textId="77777777" w:rsidTr="0068765B">
        <w:trPr>
          <w:trHeight w:val="734"/>
        </w:trPr>
        <w:tc>
          <w:tcPr>
            <w:tcW w:w="1129" w:type="dxa"/>
            <w:vMerge w:val="restart"/>
            <w:textDirection w:val="btLr"/>
          </w:tcPr>
          <w:p w14:paraId="38EC2663" w14:textId="5C65E761" w:rsidR="00395D46" w:rsidRPr="003F6093" w:rsidRDefault="00395D46" w:rsidP="00C31FE7">
            <w:pPr>
              <w:ind w:left="113" w:right="113"/>
              <w:jc w:val="center"/>
              <w:rPr>
                <w:rFonts w:ascii="Arial" w:hAnsi="Arial" w:cs="Arial"/>
              </w:rPr>
            </w:pPr>
            <w:r w:rsidRPr="003F6093">
              <w:rPr>
                <w:rFonts w:ascii="Arial" w:hAnsi="Arial" w:cs="Arial"/>
              </w:rPr>
              <w:t>Neurotoxins</w:t>
            </w:r>
          </w:p>
        </w:tc>
        <w:tc>
          <w:tcPr>
            <w:tcW w:w="2694" w:type="dxa"/>
          </w:tcPr>
          <w:p w14:paraId="568966BA" w14:textId="77777777" w:rsidR="00395D46" w:rsidRPr="0058495E" w:rsidRDefault="00395D46" w:rsidP="00C31FE7">
            <w:pPr>
              <w:jc w:val="center"/>
              <w:rPr>
                <w:rFonts w:ascii="Arial" w:hAnsi="Arial" w:cs="Arial"/>
              </w:rPr>
            </w:pPr>
            <w:r w:rsidRPr="0058495E">
              <w:rPr>
                <w:rFonts w:ascii="Arial" w:hAnsi="Arial" w:cs="Arial"/>
              </w:rPr>
              <w:t>Anatoxin-a (ATX)</w:t>
            </w:r>
          </w:p>
        </w:tc>
        <w:tc>
          <w:tcPr>
            <w:tcW w:w="1984" w:type="dxa"/>
          </w:tcPr>
          <w:p w14:paraId="7036C156" w14:textId="77777777" w:rsidR="00395D46" w:rsidRPr="0058495E" w:rsidRDefault="00395D46" w:rsidP="00C31FE7">
            <w:pPr>
              <w:jc w:val="center"/>
              <w:rPr>
                <w:rFonts w:ascii="Arial" w:hAnsi="Arial" w:cs="Arial"/>
              </w:rPr>
            </w:pPr>
            <w:r w:rsidRPr="0058495E">
              <w:rPr>
                <w:rFonts w:ascii="Arial" w:hAnsi="Arial" w:cs="Arial"/>
              </w:rPr>
              <w:t>Nervous system</w:t>
            </w:r>
          </w:p>
        </w:tc>
        <w:tc>
          <w:tcPr>
            <w:tcW w:w="2268" w:type="dxa"/>
          </w:tcPr>
          <w:p w14:paraId="7FA4034A" w14:textId="77777777" w:rsidR="00395D46" w:rsidRPr="0058495E" w:rsidRDefault="00395D46" w:rsidP="00C31FE7">
            <w:pPr>
              <w:jc w:val="center"/>
              <w:rPr>
                <w:rFonts w:ascii="Arial" w:hAnsi="Arial" w:cs="Arial"/>
              </w:rPr>
            </w:pPr>
            <w:r w:rsidRPr="0058495E">
              <w:rPr>
                <w:rFonts w:ascii="Arial" w:hAnsi="Arial" w:cs="Arial"/>
                <w:i/>
                <w:iCs/>
              </w:rPr>
              <w:t>Anabaena (</w:t>
            </w:r>
            <w:proofErr w:type="spellStart"/>
            <w:r w:rsidRPr="0058495E">
              <w:rPr>
                <w:rFonts w:ascii="Arial" w:hAnsi="Arial" w:cs="Arial"/>
                <w:i/>
                <w:iCs/>
              </w:rPr>
              <w:t>Dolichospermum</w:t>
            </w:r>
            <w:proofErr w:type="spellEnd"/>
            <w:r w:rsidRPr="0058495E">
              <w:rPr>
                <w:rFonts w:ascii="Arial" w:hAnsi="Arial" w:cs="Arial"/>
                <w:i/>
                <w:iCs/>
              </w:rPr>
              <w:t>)</w:t>
            </w:r>
            <w:r w:rsidRPr="0058495E">
              <w:rPr>
                <w:rFonts w:ascii="Arial" w:hAnsi="Arial" w:cs="Arial"/>
              </w:rPr>
              <w:t xml:space="preserve">, </w:t>
            </w:r>
            <w:r w:rsidRPr="0058495E">
              <w:rPr>
                <w:rFonts w:ascii="Arial" w:hAnsi="Arial" w:cs="Arial"/>
                <w:i/>
                <w:iCs/>
              </w:rPr>
              <w:t>Oscillatoria</w:t>
            </w:r>
            <w:r w:rsidRPr="0058495E">
              <w:rPr>
                <w:rFonts w:ascii="Arial" w:hAnsi="Arial" w:cs="Arial"/>
              </w:rPr>
              <w:t xml:space="preserve">, </w:t>
            </w:r>
            <w:proofErr w:type="spellStart"/>
            <w:r w:rsidRPr="0058495E">
              <w:rPr>
                <w:rFonts w:ascii="Arial" w:hAnsi="Arial" w:cs="Arial"/>
                <w:i/>
                <w:iCs/>
              </w:rPr>
              <w:t>Aphanizomenon</w:t>
            </w:r>
            <w:proofErr w:type="spellEnd"/>
          </w:p>
        </w:tc>
        <w:tc>
          <w:tcPr>
            <w:tcW w:w="2176" w:type="dxa"/>
          </w:tcPr>
          <w:p w14:paraId="521F223F" w14:textId="77777777" w:rsidR="00395D46" w:rsidRPr="0058495E" w:rsidRDefault="00395D46" w:rsidP="00C31FE7">
            <w:pPr>
              <w:jc w:val="center"/>
              <w:rPr>
                <w:rFonts w:ascii="Arial" w:hAnsi="Arial" w:cs="Arial"/>
              </w:rPr>
            </w:pPr>
            <w:r w:rsidRPr="0058495E">
              <w:rPr>
                <w:rFonts w:ascii="Arial" w:hAnsi="Arial" w:cs="Arial"/>
              </w:rPr>
              <w:t>Nicotinic acetylcholine receptor agonist</w:t>
            </w:r>
          </w:p>
        </w:tc>
        <w:tc>
          <w:tcPr>
            <w:tcW w:w="1804" w:type="dxa"/>
          </w:tcPr>
          <w:p w14:paraId="0F71A82D" w14:textId="77777777" w:rsidR="00395D46" w:rsidRPr="0058495E" w:rsidRDefault="00395D46" w:rsidP="00C31FE7">
            <w:pPr>
              <w:jc w:val="center"/>
              <w:rPr>
                <w:rFonts w:ascii="Arial" w:hAnsi="Arial" w:cs="Arial"/>
              </w:rPr>
            </w:pPr>
            <w:r w:rsidRPr="0058495E">
              <w:rPr>
                <w:rFonts w:ascii="Arial" w:hAnsi="Arial" w:cs="Arial"/>
              </w:rPr>
              <w:t>Muscle paralysis, respiratory failure</w:t>
            </w:r>
          </w:p>
        </w:tc>
        <w:tc>
          <w:tcPr>
            <w:tcW w:w="1690" w:type="dxa"/>
          </w:tcPr>
          <w:p w14:paraId="164D7F4C" w14:textId="53916E8F"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{"citationID":"K46mIsav","properties":{"formattedCitation":"(Rantala-Ylinen et al., 2011)","plainCitation":"(Rantala-Ylinen et al., 2011)","noteIndex":0},"citationItems":[{"id":757,"uris":["http://zotero.org/users/local/Xm6IMfD4/items/ZR6GHN53"],"itemData":{"id":757,"type":"article-journal","abstract":"ABSTRACT\n            \n              Cyanobacterial mass occurrences are common in fresh and brackish waters. They pose a threat to water users due to toxins frequently produced by the cyanobacterial species present. Anatoxin-a and homoanatoxin-a are neurotoxins synthesized by various cyanobacteria, e.g.,\n              Anabaena\n              ,\n              Oscillatoria\n              , and\n              Aphanizomenon\n              . The biosynthesis of these toxins and the genes involved in anatoxin production were recently described for\n              Oscillatoria\n              sp. strain PCC 6506 (A. Méjean et al., J. Am. Chem. Soc.\n              131:\n              7512-7513, 2009). In this study, we identified the anatoxin synthetase gene cluster (\n              anaA\n              to\n              anaG\n              and\n              orf1\n              ; 29 kb) in\n              Anabaena\n              sp. strain 37. The gene (81.6% to 89.2%) and amino acid (78.8% to 86.9%) sequences were highly similar to those of\n              Oscillatoria\n              sp. PCC 6506, while the organization of the genes differed. Molecular detection methods for potential anatoxin-a and homoanatoxin-a producers of the genera\n              Anabaena\n              ,\n              Aphanizomenon\n              , and\n              Oscillatoria\n              were developed by designing primers to recognize the\n              anaC\n              gene.\n              Anabaena\n              and\n              Oscillatoria anaC\n              genes were specifically identified in several cyanobacterial strains by PCR. Restriction fragment length polymorphism (RFLP) analysis of the\n              anaC\n              amplicons enabled simultaneous identification of three producer genera:\n              Anabaena\n              ,\n              Oscillatoria\n              , and\n              Aphanizomenon\n              . The molecular methods developed in this study revealed the presence of both\n              Anabaena\n              and\n              Oscillatoria\n              as potential anatoxin producers in Finnish fresh waters and the Baltic Sea; they could be applied for surveys of these neurotoxin producers in other aquatic environments.","container-title":"Applied and Environmental Microbiology","DOI":"10.1128/AEM.06022-11","ISSN":"0099-2240, 1098-5336","issue":"20","journalAbbreviation":"Appl Environ Microbiol","language":"en","page":"7271-7278","source":"DOI.org (Crossref)","title":"Anatoxin-a Synthetase Gene Cluster of the Cyanobacterium Anabaena sp. Strain 37 and Molecular Methods To Detect Potential Producers","volume":"77","author":[{"family":"Rantala-Ylinen","given":"Anne"},{"family":"Känä","given":"Suvi"},{"family":"Wang","given":"Hao"},{"family":"Rouhiainen","given":"Leo"},{"family":"Wahlsten","given":"Matti"},{"family":"Rizzi","given":"Ermanno"},{"family":"Berg","given":"Katri"},{"family":"Gugger","given":"Muriel"},{"family":"Sivonen","given":"Kaarina"}],"issued":{"date-parts":[["2011",10,15]]}}}],"schema":"https://github.com/citation-style-language/schema/raw/master/csl-citation.json"} </w:instrText>
            </w:r>
            <w:r w:rsidRPr="0058495E">
              <w:rPr>
                <w:rFonts w:ascii="Arial" w:hAnsi="Arial" w:cs="Arial"/>
              </w:rPr>
              <w:fldChar w:fldCharType="separate"/>
            </w:r>
            <w:r w:rsidR="007410EB" w:rsidRPr="007410EB">
              <w:rPr>
                <w:rFonts w:ascii="Arial" w:hAnsi="Arial" w:cs="Arial"/>
              </w:rPr>
              <w:t>(Rantala-Ylinen et al., 2011)</w:t>
            </w:r>
            <w:r w:rsidRPr="0058495E">
              <w:rPr>
                <w:rFonts w:ascii="Arial" w:hAnsi="Arial" w:cs="Arial"/>
              </w:rPr>
              <w:fldChar w:fldCharType="end"/>
            </w:r>
          </w:p>
        </w:tc>
      </w:tr>
      <w:tr w:rsidR="00B67584" w:rsidRPr="0058495E" w14:paraId="7F1F3562" w14:textId="77777777" w:rsidTr="0068765B">
        <w:trPr>
          <w:trHeight w:val="829"/>
        </w:trPr>
        <w:tc>
          <w:tcPr>
            <w:tcW w:w="1129" w:type="dxa"/>
            <w:vMerge/>
          </w:tcPr>
          <w:p w14:paraId="011B2C90" w14:textId="77777777" w:rsidR="00395D46" w:rsidRPr="0058495E" w:rsidRDefault="00395D46" w:rsidP="00C31FE7">
            <w:pPr>
              <w:jc w:val="center"/>
              <w:rPr>
                <w:rFonts w:ascii="Arial" w:hAnsi="Arial" w:cs="Arial"/>
              </w:rPr>
            </w:pPr>
          </w:p>
        </w:tc>
        <w:tc>
          <w:tcPr>
            <w:tcW w:w="2694" w:type="dxa"/>
          </w:tcPr>
          <w:p w14:paraId="0A895387" w14:textId="77777777" w:rsidR="00395D46" w:rsidRPr="00706E54" w:rsidRDefault="00395D46" w:rsidP="00C31FE7">
            <w:pPr>
              <w:jc w:val="center"/>
              <w:rPr>
                <w:rFonts w:ascii="Arial" w:hAnsi="Arial" w:cs="Arial"/>
                <w:vanish/>
              </w:rPr>
            </w:pPr>
          </w:p>
          <w:p w14:paraId="515612E6" w14:textId="77777777" w:rsidR="00395D46" w:rsidRPr="00706E54" w:rsidRDefault="00395D46" w:rsidP="00C31FE7">
            <w:pPr>
              <w:jc w:val="center"/>
              <w:rPr>
                <w:rFonts w:ascii="Arial" w:hAnsi="Arial" w:cs="Arial"/>
                <w:vanish/>
              </w:rPr>
            </w:pPr>
          </w:p>
          <w:p w14:paraId="6E1FD103" w14:textId="77777777" w:rsidR="00395D46" w:rsidRPr="00706E54" w:rsidRDefault="00395D46" w:rsidP="00C31FE7">
            <w:pPr>
              <w:jc w:val="center"/>
              <w:rPr>
                <w:rFonts w:ascii="Arial" w:hAnsi="Arial" w:cs="Arial"/>
                <w:vanish/>
              </w:rPr>
            </w:pPr>
          </w:p>
          <w:p w14:paraId="55A26550" w14:textId="77777777" w:rsidR="00395D46" w:rsidRPr="00706E54" w:rsidRDefault="00395D46" w:rsidP="00C31FE7">
            <w:pPr>
              <w:jc w:val="center"/>
              <w:rPr>
                <w:rFonts w:ascii="Arial" w:hAnsi="Arial" w:cs="Arial"/>
                <w:vanish/>
              </w:rPr>
            </w:pPr>
          </w:p>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5D46" w:rsidRPr="00706E54" w14:paraId="1ED1FD2E" w14:textId="77777777" w:rsidTr="004C7427">
              <w:trPr>
                <w:trHeight w:val="168"/>
                <w:tblCellSpacing w:w="15" w:type="dxa"/>
              </w:trPr>
              <w:tc>
                <w:tcPr>
                  <w:tcW w:w="36" w:type="dxa"/>
                  <w:vAlign w:val="center"/>
                  <w:hideMark/>
                </w:tcPr>
                <w:p w14:paraId="52158667" w14:textId="77777777" w:rsidR="00395D46" w:rsidRPr="00706E54" w:rsidRDefault="00395D46" w:rsidP="004D7DFD">
                  <w:pPr>
                    <w:framePr w:hSpace="180" w:wrap="around" w:vAnchor="page" w:hAnchor="margin" w:xAlign="center" w:y="2377"/>
                    <w:spacing w:after="0" w:line="240" w:lineRule="auto"/>
                    <w:jc w:val="center"/>
                    <w:rPr>
                      <w:rFonts w:ascii="Arial" w:hAnsi="Arial" w:cs="Arial"/>
                    </w:rPr>
                  </w:pPr>
                </w:p>
              </w:tc>
            </w:tr>
          </w:tbl>
          <w:p w14:paraId="78EA866E" w14:textId="77777777" w:rsidR="00395D46" w:rsidRPr="00706E54" w:rsidRDefault="00395D46" w:rsidP="00C31FE7">
            <w:pPr>
              <w:jc w:val="center"/>
              <w:rPr>
                <w:rFonts w:ascii="Arial" w:hAnsi="Arial" w:cs="Arial"/>
                <w:vanish/>
              </w:rPr>
            </w:pPr>
          </w:p>
          <w:p w14:paraId="091D2FBC" w14:textId="77777777" w:rsidR="00395D46" w:rsidRPr="0058495E" w:rsidRDefault="00395D46" w:rsidP="00C31FE7">
            <w:pPr>
              <w:jc w:val="center"/>
              <w:rPr>
                <w:rFonts w:ascii="Arial" w:hAnsi="Arial" w:cs="Arial"/>
              </w:rPr>
            </w:pPr>
            <w:r w:rsidRPr="0058495E">
              <w:rPr>
                <w:rFonts w:ascii="Arial" w:hAnsi="Arial" w:cs="Arial"/>
              </w:rPr>
              <w:t>Saxitoxin (STX)</w:t>
            </w:r>
          </w:p>
        </w:tc>
        <w:tc>
          <w:tcPr>
            <w:tcW w:w="1984" w:type="dxa"/>
          </w:tcPr>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5D46" w:rsidRPr="0058495E" w14:paraId="4FEB19E4" w14:textId="77777777" w:rsidTr="004C7427">
              <w:trPr>
                <w:trHeight w:val="304"/>
                <w:tblCellSpacing w:w="15" w:type="dxa"/>
              </w:trPr>
              <w:tc>
                <w:tcPr>
                  <w:tcW w:w="36" w:type="dxa"/>
                  <w:vAlign w:val="center"/>
                  <w:hideMark/>
                </w:tcPr>
                <w:p w14:paraId="3FBCFAB7" w14:textId="77777777" w:rsidR="00395D46" w:rsidRPr="0058495E" w:rsidRDefault="00395D46" w:rsidP="004D7DFD">
                  <w:pPr>
                    <w:framePr w:hSpace="180" w:wrap="around" w:vAnchor="page" w:hAnchor="margin" w:xAlign="center" w:y="2377"/>
                    <w:jc w:val="center"/>
                    <w:rPr>
                      <w:rFonts w:ascii="Arial" w:hAnsi="Arial" w:cs="Arial"/>
                    </w:rPr>
                  </w:pPr>
                </w:p>
              </w:tc>
            </w:tr>
          </w:tbl>
          <w:p w14:paraId="094D30C0" w14:textId="77777777" w:rsidR="00395D46" w:rsidRPr="0058495E" w:rsidRDefault="00395D46" w:rsidP="00C31FE7">
            <w:pPr>
              <w:jc w:val="center"/>
              <w:rPr>
                <w:rFonts w:ascii="Arial" w:hAnsi="Arial" w:cs="Arial"/>
              </w:rPr>
            </w:pPr>
            <w:r w:rsidRPr="00706E54">
              <w:rPr>
                <w:rFonts w:ascii="Arial" w:hAnsi="Arial" w:cs="Arial"/>
              </w:rPr>
              <w:t>Nervous system</w:t>
            </w:r>
          </w:p>
        </w:tc>
        <w:tc>
          <w:tcPr>
            <w:tcW w:w="2268" w:type="dxa"/>
          </w:tcPr>
          <w:p w14:paraId="7153DEF5" w14:textId="77777777" w:rsidR="00395D46" w:rsidRPr="0058495E" w:rsidRDefault="00395D46" w:rsidP="00C31FE7">
            <w:pPr>
              <w:jc w:val="center"/>
              <w:rPr>
                <w:rFonts w:ascii="Arial" w:hAnsi="Arial" w:cs="Arial"/>
              </w:rPr>
            </w:pPr>
            <w:proofErr w:type="spellStart"/>
            <w:r w:rsidRPr="00706E54">
              <w:rPr>
                <w:rFonts w:ascii="Arial" w:hAnsi="Arial" w:cs="Arial"/>
                <w:i/>
                <w:iCs/>
              </w:rPr>
              <w:t>Aphanizomenon</w:t>
            </w:r>
            <w:proofErr w:type="spellEnd"/>
            <w:r w:rsidRPr="00706E54">
              <w:rPr>
                <w:rFonts w:ascii="Arial" w:hAnsi="Arial" w:cs="Arial"/>
              </w:rPr>
              <w:t xml:space="preserve">, </w:t>
            </w:r>
            <w:proofErr w:type="spellStart"/>
            <w:r w:rsidRPr="00706E54">
              <w:rPr>
                <w:rFonts w:ascii="Arial" w:hAnsi="Arial" w:cs="Arial"/>
                <w:i/>
                <w:iCs/>
              </w:rPr>
              <w:t>Dolichospermum</w:t>
            </w:r>
            <w:proofErr w:type="spellEnd"/>
            <w:r w:rsidRPr="00706E54">
              <w:rPr>
                <w:rFonts w:ascii="Arial" w:hAnsi="Arial" w:cs="Arial"/>
              </w:rPr>
              <w:t xml:space="preserve">, </w:t>
            </w:r>
            <w:proofErr w:type="spellStart"/>
            <w:r w:rsidRPr="00706E54">
              <w:rPr>
                <w:rFonts w:ascii="Arial" w:hAnsi="Arial" w:cs="Arial"/>
                <w:i/>
                <w:iCs/>
              </w:rPr>
              <w:t>Lyngbya</w:t>
            </w:r>
            <w:proofErr w:type="spellEnd"/>
          </w:p>
        </w:tc>
        <w:tc>
          <w:tcPr>
            <w:tcW w:w="2176" w:type="dxa"/>
          </w:tcPr>
          <w:p w14:paraId="399D5976" w14:textId="77777777" w:rsidR="00395D46" w:rsidRPr="0058495E" w:rsidRDefault="00395D46" w:rsidP="00C31FE7">
            <w:pPr>
              <w:jc w:val="center"/>
              <w:rPr>
                <w:rFonts w:ascii="Arial" w:hAnsi="Arial" w:cs="Arial"/>
              </w:rPr>
            </w:pPr>
            <w:r w:rsidRPr="00706E54">
              <w:rPr>
                <w:rFonts w:ascii="Arial" w:hAnsi="Arial" w:cs="Arial"/>
              </w:rPr>
              <w:t>Blockage of voltage-gated sodium channels</w:t>
            </w:r>
          </w:p>
        </w:tc>
        <w:tc>
          <w:tcPr>
            <w:tcW w:w="1804" w:type="dxa"/>
          </w:tcPr>
          <w:p w14:paraId="647DD277" w14:textId="77777777" w:rsidR="00395D46" w:rsidRPr="0058495E" w:rsidRDefault="00395D46" w:rsidP="00C31FE7">
            <w:pPr>
              <w:jc w:val="center"/>
              <w:rPr>
                <w:rFonts w:ascii="Arial" w:hAnsi="Arial" w:cs="Arial"/>
              </w:rPr>
            </w:pPr>
            <w:r w:rsidRPr="00706E54">
              <w:rPr>
                <w:rFonts w:ascii="Arial" w:hAnsi="Arial" w:cs="Arial"/>
              </w:rPr>
              <w:t>Paralytic shellfish poisoning-like symptoms</w:t>
            </w:r>
          </w:p>
        </w:tc>
        <w:tc>
          <w:tcPr>
            <w:tcW w:w="1690" w:type="dxa"/>
          </w:tcPr>
          <w:p w14:paraId="4A000DD3" w14:textId="3A540C34"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{"citationID":"pdClqYOc","properties":{"formattedCitation":"(Hoff-Risseti et al., 2013)","plainCitation":"(Hoff-Risseti et al., 2013)","noteIndex":0},"citationItems":[{"id":858,"uris":["http://zotero.org/users/local/Xm6IMfD4/items/3YIJHJ62"],"itemData":{"id":858,"type":"article-journal","abstract":"The Cylindrospermopsis raciborskii population from Brazilian freshwater is known to produce saxitoxin derivatives (STX), while cylindrospermopsin (CYN), which is commonly detected in isolates from Australia and Asia continents, has thus far not been detected in South American strains. However, during the investigation for the presence of cyrA, cyrB, cyrC and cyrJ CYN synthetase genes in the genomes of four laboratory-cultured C. raciborskii Brazilian strains, the almost complete cyrA gene sequences were obtained for all strains, while cyrB and cyrC gene fragments were observed in two strains. These nucleotide sequences were translated into amino acids, and the predicted protein functions and domains confirmed their identity as CYN synthetase genes. Attempts to PCR amplify cyrJ gene fragments from the four strains were unsuccessful. Phylogenetic analysis grouped the nucleotide sequences together with their homologues found in known CYN synthetase clusters of C. raciborskii strains with high bootstrap support. In addition, fragments of sxtA, sxtB and sxtI genes involved in STX production were also obtained. Extensive LC-MS analyses were unable to detect CYN in the cultured strains, whereas the production of STX and its analogues was confirmed in CENA302, CENA305 and T3. To our knowledge, this is the first study reporting the presence of cyr genes in South American strains of C. raciborskii and the presence of sxt and cyr genes in a single C. raciborskii strain. This discovery suggests a shift in the type of cyanotoxin production over time of South American strains of C. raciborskii and contributes to the reconstruction of the evolutionary history and diversification of cyanobacterial toxins.","container-title":"PLoS ONE","DOI":"10.1371/journal.pone.0074238","ISSN":"1932-6203","issue":"8","journalAbbreviation":"PLoS ONE","language":"en","page":"e74238","source":"DOI.org (Crossref)","title":"Cylindrospermopsin and Saxitoxin Synthetase Genes in Cylindrospermopsis raciborskii Strains from Brazilian Freshwater","volume":"8","author":[{"family":"Hoff-Risseti","given":"Caroline"},{"family":"Dörr","given":"Felipe Augusto"},{"family":"Schaker","given":"Patricia Dayane Carvalho"},{"family":"Pinto","given":"Ernani"},{"family":"Werner","given":"Vera Regina"},{"family":"Fiore","given":"Marli Fatima"}],"editor":[{"family":"Neilan","given":"Brett"}],"issued":{"date-parts":[["2013",8,28]]}}}],"schema":"https://github.com/citation-style-language/schema/raw/master/csl-citation.json"} </w:instrText>
            </w:r>
            <w:r w:rsidRPr="0058495E">
              <w:rPr>
                <w:rFonts w:ascii="Arial" w:hAnsi="Arial" w:cs="Arial"/>
              </w:rPr>
              <w:fldChar w:fldCharType="separate"/>
            </w:r>
            <w:r w:rsidR="007410EB" w:rsidRPr="007410EB">
              <w:rPr>
                <w:rFonts w:ascii="Arial" w:hAnsi="Arial" w:cs="Arial"/>
              </w:rPr>
              <w:t>(Hoff-Risseti et al., 2013)</w:t>
            </w:r>
            <w:r w:rsidRPr="0058495E">
              <w:rPr>
                <w:rFonts w:ascii="Arial" w:hAnsi="Arial" w:cs="Arial"/>
              </w:rPr>
              <w:fldChar w:fldCharType="end"/>
            </w:r>
          </w:p>
        </w:tc>
      </w:tr>
      <w:tr w:rsidR="00B67584" w:rsidRPr="0058495E" w14:paraId="73697516" w14:textId="77777777" w:rsidTr="0068765B">
        <w:trPr>
          <w:trHeight w:val="823"/>
        </w:trPr>
        <w:tc>
          <w:tcPr>
            <w:tcW w:w="1129" w:type="dxa"/>
            <w:vMerge/>
          </w:tcPr>
          <w:p w14:paraId="6B4FF9B8" w14:textId="77777777" w:rsidR="00395D46" w:rsidRPr="0058495E" w:rsidRDefault="00395D46" w:rsidP="00C31FE7">
            <w:pPr>
              <w:jc w:val="center"/>
              <w:rPr>
                <w:rFonts w:ascii="Arial" w:hAnsi="Arial" w:cs="Arial"/>
              </w:rPr>
            </w:pPr>
          </w:p>
        </w:tc>
        <w:tc>
          <w:tcPr>
            <w:tcW w:w="2694" w:type="dxa"/>
          </w:tcPr>
          <w:p w14:paraId="762BF144" w14:textId="59640715" w:rsidR="00395D46" w:rsidRPr="0058495E" w:rsidRDefault="00395D46" w:rsidP="00C31FE7">
            <w:pPr>
              <w:jc w:val="center"/>
              <w:rPr>
                <w:rFonts w:ascii="Arial" w:hAnsi="Arial" w:cs="Arial"/>
              </w:rPr>
            </w:pPr>
            <w:r w:rsidRPr="00D230C2">
              <w:rPr>
                <w:rFonts w:ascii="Arial" w:hAnsi="Arial" w:cs="Arial"/>
              </w:rPr>
              <w:t>β-N-methylamino-L-alanine (BMAA)</w:t>
            </w:r>
          </w:p>
          <w:p w14:paraId="0ED3AD6D" w14:textId="77777777" w:rsidR="00395D46" w:rsidRPr="0058495E" w:rsidRDefault="00395D46" w:rsidP="00C31FE7">
            <w:pPr>
              <w:jc w:val="center"/>
              <w:rPr>
                <w:rFonts w:ascii="Arial" w:hAnsi="Arial" w:cs="Arial"/>
              </w:rPr>
            </w:pPr>
          </w:p>
        </w:tc>
        <w:tc>
          <w:tcPr>
            <w:tcW w:w="1984" w:type="dxa"/>
          </w:tcPr>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5D46" w:rsidRPr="0058495E" w14:paraId="40E0CFF5" w14:textId="77777777" w:rsidTr="004C7427">
              <w:trPr>
                <w:trHeight w:val="304"/>
                <w:tblCellSpacing w:w="15" w:type="dxa"/>
              </w:trPr>
              <w:tc>
                <w:tcPr>
                  <w:tcW w:w="36" w:type="dxa"/>
                  <w:vAlign w:val="center"/>
                  <w:hideMark/>
                </w:tcPr>
                <w:p w14:paraId="69B0DB7A" w14:textId="77777777" w:rsidR="00395D46" w:rsidRPr="0058495E" w:rsidRDefault="00395D46" w:rsidP="004D7DFD">
                  <w:pPr>
                    <w:framePr w:hSpace="180" w:wrap="around" w:vAnchor="page" w:hAnchor="margin" w:xAlign="center" w:y="2377"/>
                    <w:jc w:val="center"/>
                    <w:rPr>
                      <w:rFonts w:ascii="Arial" w:hAnsi="Arial" w:cs="Arial"/>
                    </w:rPr>
                  </w:pPr>
                </w:p>
              </w:tc>
            </w:tr>
          </w:tbl>
          <w:p w14:paraId="0B96AE6B" w14:textId="77777777" w:rsidR="00395D46" w:rsidRPr="0058495E" w:rsidRDefault="00395D46" w:rsidP="00C31FE7">
            <w:pPr>
              <w:jc w:val="center"/>
              <w:rPr>
                <w:rFonts w:ascii="Arial" w:hAnsi="Arial" w:cs="Arial"/>
              </w:rPr>
            </w:pPr>
            <w:r w:rsidRPr="00706E54">
              <w:rPr>
                <w:rFonts w:ascii="Arial" w:hAnsi="Arial" w:cs="Arial"/>
              </w:rPr>
              <w:t>Nervous system</w:t>
            </w:r>
          </w:p>
        </w:tc>
        <w:tc>
          <w:tcPr>
            <w:tcW w:w="2268" w:type="dxa"/>
          </w:tcPr>
          <w:p w14:paraId="2EADEC21" w14:textId="77777777" w:rsidR="00395D46" w:rsidRPr="00D230C2" w:rsidRDefault="00395D46" w:rsidP="00C31FE7">
            <w:pPr>
              <w:jc w:val="center"/>
              <w:rPr>
                <w:rFonts w:ascii="Arial" w:hAnsi="Arial" w:cs="Arial"/>
                <w:vanish/>
              </w:rPr>
            </w:pPr>
            <w:r w:rsidRPr="00706E54">
              <w:rPr>
                <w:rFonts w:ascii="Arial" w:hAnsi="Arial" w:cs="Arial"/>
                <w:i/>
                <w:iCs/>
              </w:rPr>
              <w:t>Nostoc</w:t>
            </w:r>
            <w:r w:rsidRPr="00706E54">
              <w:rPr>
                <w:rFonts w:ascii="Arial" w:hAnsi="Arial" w:cs="Arial"/>
              </w:rPr>
              <w:t xml:space="preserve">, </w:t>
            </w:r>
            <w:r w:rsidRPr="00706E54">
              <w:rPr>
                <w:rFonts w:ascii="Arial" w:hAnsi="Arial" w:cs="Arial"/>
                <w:i/>
                <w:iCs/>
              </w:rPr>
              <w:t>Anabaena</w:t>
            </w:r>
            <w:r w:rsidRPr="00706E54">
              <w:rPr>
                <w:rFonts w:ascii="Arial" w:hAnsi="Arial" w:cs="Arial"/>
              </w:rPr>
              <w:t xml:space="preserve">, </w:t>
            </w:r>
            <w:r w:rsidRPr="00706E54">
              <w:rPr>
                <w:rFonts w:ascii="Arial" w:hAnsi="Arial" w:cs="Arial"/>
                <w:i/>
                <w:iCs/>
              </w:rPr>
              <w:t>Microcystis</w:t>
            </w:r>
          </w:p>
          <w:p w14:paraId="61487CBC" w14:textId="77777777" w:rsidR="00395D46" w:rsidRPr="0058495E" w:rsidRDefault="00395D46" w:rsidP="00C31FE7">
            <w:pPr>
              <w:jc w:val="center"/>
              <w:rPr>
                <w:rFonts w:ascii="Arial" w:hAnsi="Arial" w:cs="Arial"/>
              </w:rPr>
            </w:pPr>
          </w:p>
        </w:tc>
        <w:tc>
          <w:tcPr>
            <w:tcW w:w="2176" w:type="dxa"/>
          </w:tcPr>
          <w:p w14:paraId="34E634D4" w14:textId="77777777" w:rsidR="00395D46" w:rsidRPr="0058495E" w:rsidRDefault="00395D46" w:rsidP="00C31FE7">
            <w:pPr>
              <w:jc w:val="center"/>
              <w:rPr>
                <w:rFonts w:ascii="Arial" w:hAnsi="Arial" w:cs="Arial"/>
              </w:rPr>
            </w:pPr>
            <w:r w:rsidRPr="00D230C2">
              <w:rPr>
                <w:rFonts w:ascii="Arial" w:hAnsi="Arial" w:cs="Arial"/>
              </w:rPr>
              <w:t>Excitotoxicity, protein misincorporation</w:t>
            </w:r>
          </w:p>
          <w:p w14:paraId="7E857E81" w14:textId="77777777" w:rsidR="00395D46" w:rsidRPr="0058495E" w:rsidRDefault="00395D46" w:rsidP="00C31FE7">
            <w:pPr>
              <w:jc w:val="center"/>
              <w:rPr>
                <w:rFonts w:ascii="Arial" w:hAnsi="Arial" w:cs="Arial"/>
              </w:rPr>
            </w:pPr>
          </w:p>
        </w:tc>
        <w:tc>
          <w:tcPr>
            <w:tcW w:w="1804" w:type="dxa"/>
          </w:tcPr>
          <w:p w14:paraId="625324BB" w14:textId="77777777" w:rsidR="00395D46" w:rsidRPr="0058495E" w:rsidRDefault="00395D46" w:rsidP="00C31FE7">
            <w:pPr>
              <w:jc w:val="center"/>
              <w:rPr>
                <w:rFonts w:ascii="Arial" w:hAnsi="Arial" w:cs="Arial"/>
              </w:rPr>
            </w:pPr>
            <w:r w:rsidRPr="00D230C2">
              <w:rPr>
                <w:rFonts w:ascii="Arial" w:hAnsi="Arial" w:cs="Arial"/>
              </w:rPr>
              <w:t>Neurodegenerative disorders</w:t>
            </w:r>
          </w:p>
          <w:p w14:paraId="2AB4FC2B" w14:textId="77777777" w:rsidR="00395D46" w:rsidRPr="0058495E" w:rsidRDefault="00395D46" w:rsidP="00C31FE7">
            <w:pPr>
              <w:jc w:val="center"/>
              <w:rPr>
                <w:rFonts w:ascii="Arial" w:hAnsi="Arial" w:cs="Arial"/>
              </w:rPr>
            </w:pPr>
          </w:p>
        </w:tc>
        <w:tc>
          <w:tcPr>
            <w:tcW w:w="1690" w:type="dxa"/>
          </w:tcPr>
          <w:p w14:paraId="7C3AB61D" w14:textId="0B948F83"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{"citationID":"BXwGRsWx","properties":{"formattedCitation":"(Stewart et al., 2012)","plainCitation":"(Stewart et al., 2012)","noteIndex":0},"citationItems":[{"id":820,"uris":["http://zotero.org/users/local/Xm6IMfD4/items/B8APVKSG"],"itemData":{"id":820,"type":"article-journal","abstract":"Fish collected after a mass mortality at an artificial lake in south-east Queensland, Australia, were examined for the presence of nodularin as the lake had earlier been affected by a Nodularia bloom. Methanol extracts of muscle, liver, peritoneal and stomach contents were analysed by HPLC and tandem mass spectrometry; histological examination was conducted on livers from captured mullet. Livers of sea mullet (Mugil cephalus) involved in the fish kill contained high concentrations of nodularin (median 43.6 mg/kg, range 40.8–47.8 mg/kg dry weight; n = 3) and the toxin was also present in muscle tissue (median 44.0 μg/kg, range 32.3–56.8 μg/kg dry weight). Livers of fish occupying higher trophic levels accumulated much lower concentrations. Mullet captured from the lake 10 months later were also found to have high hepatic nodularin levels. DNA sequencing of mullet specimens revealed two species inhabiting the study lake: M. cephalus and an unidentified mugilid. The two mullet species appear to differ in their exposure and/or uptake of nodularin, with M. cephalus demonstrating higher tissue concentrations. The feeding ecology of mullet would appear to explain the unusual capacity of these fish to concentrate nodularin in their livers; these findings may have public health implications for mullet fisheries and aquaculture production where toxic cyanobacteria blooms affect source waters. This report incorporates a systematic review of the literature on nodularin measured in edible fish, shellfish and crustaceans.","container-title":"International Journal of Environmental Research and Public Health","DOI":"10.3390/ijerph9072412","ISSN":"1660-4601","issue":"7","journalAbbreviation":"IJERPH","language":"en","license":"https://creativecommons.org/licenses/by/3.0/","page":"2412-2443","source":"DOI.org (Crossref)","title":"First Report of a Toxic Nodularia spumigena (Nostocales/ Cyanobacteria) Bloom in Sub-Tropical Australia. II. Bioaccumulation of Nodularin in Isolated Populations of Mullet (Mugilidae)","volume":"9","author":[{"family":"Stewart","given":"Ian"},{"family":"Eaglesham","given":"Geoffrey K."},{"family":"McGregor","given":"Glenn B."},{"family":"Chong","given":"Roger"},{"family":"Seawright","given":"Alan A."},{"family":"Wickramasinghe","given":"Wasantha A."},{"family":"Sadler","given":"Ross"},{"family":"Hunt","given":"Lindsay"},{"family":"Graham","given":"Glenn"}],"issued":{"date-parts":[["2012",7,5]]}}}],"schema":"https://github.com/citation-style-language/schema/raw/master/csl-citation.json"} </w:instrText>
            </w:r>
            <w:r w:rsidRPr="0058495E">
              <w:rPr>
                <w:rFonts w:ascii="Arial" w:hAnsi="Arial" w:cs="Arial"/>
              </w:rPr>
              <w:fldChar w:fldCharType="separate"/>
            </w:r>
            <w:r w:rsidR="007410EB" w:rsidRPr="007410EB">
              <w:rPr>
                <w:rFonts w:ascii="Arial" w:hAnsi="Arial" w:cs="Arial"/>
              </w:rPr>
              <w:t>(Stewart et al., 2012)</w:t>
            </w:r>
            <w:r w:rsidRPr="0058495E">
              <w:rPr>
                <w:rFonts w:ascii="Arial" w:hAnsi="Arial" w:cs="Arial"/>
              </w:rPr>
              <w:fldChar w:fldCharType="end"/>
            </w:r>
          </w:p>
        </w:tc>
      </w:tr>
      <w:tr w:rsidR="00B67584" w:rsidRPr="0058495E" w14:paraId="586B96D0" w14:textId="77777777" w:rsidTr="0068765B">
        <w:trPr>
          <w:trHeight w:val="574"/>
        </w:trPr>
        <w:tc>
          <w:tcPr>
            <w:tcW w:w="1129" w:type="dxa"/>
            <w:vMerge w:val="restart"/>
            <w:textDirection w:val="btLr"/>
          </w:tcPr>
          <w:p w14:paraId="2FBDC541" w14:textId="77777777" w:rsidR="00395D46" w:rsidRPr="0058495E" w:rsidRDefault="00395D46" w:rsidP="00C31FE7">
            <w:pPr>
              <w:ind w:left="113" w:right="113"/>
              <w:jc w:val="center"/>
              <w:rPr>
                <w:rFonts w:ascii="Arial" w:hAnsi="Arial" w:cs="Arial"/>
              </w:rPr>
            </w:pPr>
            <w:r w:rsidRPr="00706E54">
              <w:rPr>
                <w:rFonts w:ascii="Arial" w:hAnsi="Arial" w:cs="Arial"/>
                <w:b/>
                <w:bCs/>
              </w:rPr>
              <w:t>Dermatotoxins</w:t>
            </w:r>
          </w:p>
        </w:tc>
        <w:tc>
          <w:tcPr>
            <w:tcW w:w="2694" w:type="dxa"/>
          </w:tcPr>
          <w:p w14:paraId="1E45169F" w14:textId="77777777" w:rsidR="00395D46" w:rsidRPr="0058495E" w:rsidRDefault="00395D46" w:rsidP="00C31FE7">
            <w:pPr>
              <w:jc w:val="center"/>
              <w:rPr>
                <w:rFonts w:ascii="Arial" w:hAnsi="Arial" w:cs="Arial"/>
              </w:rPr>
            </w:pPr>
            <w:proofErr w:type="spellStart"/>
            <w:r w:rsidRPr="00706E54">
              <w:rPr>
                <w:rFonts w:ascii="Arial" w:hAnsi="Arial" w:cs="Arial"/>
              </w:rPr>
              <w:t>Lyngbyatoxin</w:t>
            </w:r>
            <w:proofErr w:type="spellEnd"/>
            <w:r w:rsidRPr="00706E54">
              <w:rPr>
                <w:rFonts w:ascii="Arial" w:hAnsi="Arial" w:cs="Arial"/>
              </w:rPr>
              <w:t>-a</w:t>
            </w:r>
          </w:p>
        </w:tc>
        <w:tc>
          <w:tcPr>
            <w:tcW w:w="1984" w:type="dxa"/>
          </w:tcPr>
          <w:p w14:paraId="5B819A97" w14:textId="77777777" w:rsidR="00395D46" w:rsidRPr="0058495E" w:rsidRDefault="00395D46" w:rsidP="00C31FE7">
            <w:pPr>
              <w:jc w:val="center"/>
              <w:rPr>
                <w:rFonts w:ascii="Arial" w:hAnsi="Arial" w:cs="Arial"/>
              </w:rPr>
            </w:pPr>
            <w:r w:rsidRPr="00706E54">
              <w:rPr>
                <w:rFonts w:ascii="Arial" w:hAnsi="Arial" w:cs="Arial"/>
              </w:rPr>
              <w:t>Skin</w:t>
            </w:r>
          </w:p>
        </w:tc>
        <w:tc>
          <w:tcPr>
            <w:tcW w:w="2268" w:type="dxa"/>
          </w:tcPr>
          <w:p w14:paraId="161481FA" w14:textId="77777777" w:rsidR="00395D46" w:rsidRPr="0058495E" w:rsidRDefault="00395D46" w:rsidP="00C31FE7">
            <w:pPr>
              <w:jc w:val="center"/>
              <w:rPr>
                <w:rFonts w:ascii="Arial" w:hAnsi="Arial" w:cs="Arial"/>
              </w:rPr>
            </w:pPr>
            <w:proofErr w:type="spellStart"/>
            <w:r w:rsidRPr="00706E54">
              <w:rPr>
                <w:rFonts w:ascii="Arial" w:hAnsi="Arial" w:cs="Arial"/>
                <w:i/>
                <w:iCs/>
              </w:rPr>
              <w:t>Lyngbya</w:t>
            </w:r>
            <w:proofErr w:type="spellEnd"/>
          </w:p>
        </w:tc>
        <w:tc>
          <w:tcPr>
            <w:tcW w:w="2176" w:type="dxa"/>
          </w:tcPr>
          <w:p w14:paraId="2BCB159C" w14:textId="77777777" w:rsidR="00395D46" w:rsidRPr="0058495E" w:rsidRDefault="00395D46" w:rsidP="00C31FE7">
            <w:pPr>
              <w:jc w:val="center"/>
              <w:rPr>
                <w:rFonts w:ascii="Arial" w:hAnsi="Arial" w:cs="Arial"/>
              </w:rPr>
            </w:pPr>
            <w:r w:rsidRPr="00706E54">
              <w:rPr>
                <w:rFonts w:ascii="Arial" w:hAnsi="Arial" w:cs="Arial"/>
              </w:rPr>
              <w:t xml:space="preserve">Protein kinase  </w:t>
            </w:r>
            <w:r w:rsidRPr="0058495E">
              <w:rPr>
                <w:rFonts w:ascii="Arial" w:hAnsi="Arial" w:cs="Arial"/>
              </w:rPr>
              <w:t xml:space="preserve">C </w:t>
            </w:r>
            <w:r w:rsidRPr="00706E54">
              <w:rPr>
                <w:rFonts w:ascii="Arial" w:hAnsi="Arial" w:cs="Arial"/>
              </w:rPr>
              <w:t>activation</w:t>
            </w:r>
          </w:p>
        </w:tc>
        <w:tc>
          <w:tcPr>
            <w:tcW w:w="1804" w:type="dxa"/>
          </w:tcPr>
          <w:p w14:paraId="2908C795" w14:textId="77777777" w:rsidR="00395D46" w:rsidRPr="0058495E" w:rsidRDefault="00395D46" w:rsidP="00C31FE7">
            <w:pPr>
              <w:jc w:val="center"/>
              <w:rPr>
                <w:rFonts w:ascii="Arial" w:hAnsi="Arial" w:cs="Arial"/>
              </w:rPr>
            </w:pPr>
            <w:r w:rsidRPr="00706E54">
              <w:rPr>
                <w:rFonts w:ascii="Arial" w:hAnsi="Arial" w:cs="Arial"/>
              </w:rPr>
              <w:t>Dermatitis, skin inflammation</w:t>
            </w:r>
          </w:p>
        </w:tc>
        <w:tc>
          <w:tcPr>
            <w:tcW w:w="1690" w:type="dxa"/>
          </w:tcPr>
          <w:p w14:paraId="50DD64A9" w14:textId="274D4C47"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{"citationID":"TGlazsUt","properties":{"formattedCitation":"(Chorus, n.d.)","plainCitation":"(Chorus, n.d.)","noteIndex":0},"citationItems":[{"id":540,"uris":["http://zotero.org/users/local/Xm6IMfD4/items/84JIRF8T"],"itemData":{"id":540,"type":"article-journal","language":"en","source":"Zotero","title":"Toxic Cyanobacteria in Water; A Guide to Their Public Health Consequences, Monitoring and Management; Second Edition","author":[{"family":"Chorus","given":"Ingrid"}]}}],"schema":"https://github.com/citation-style-language/schema/raw/master/csl-citation.json"} </w:instrText>
            </w:r>
            <w:r w:rsidRPr="0058495E">
              <w:rPr>
                <w:rFonts w:ascii="Arial" w:hAnsi="Arial" w:cs="Arial"/>
              </w:rPr>
              <w:fldChar w:fldCharType="separate"/>
            </w:r>
            <w:r w:rsidR="007410EB" w:rsidRPr="007410EB">
              <w:rPr>
                <w:rFonts w:ascii="Arial" w:hAnsi="Arial" w:cs="Arial"/>
              </w:rPr>
              <w:t>(Chorus, n.d.)</w:t>
            </w:r>
            <w:r w:rsidRPr="0058495E">
              <w:rPr>
                <w:rFonts w:ascii="Arial" w:hAnsi="Arial" w:cs="Arial"/>
              </w:rPr>
              <w:fldChar w:fldCharType="end"/>
            </w:r>
          </w:p>
        </w:tc>
      </w:tr>
      <w:tr w:rsidR="00B67584" w:rsidRPr="0058495E" w14:paraId="359D04B7" w14:textId="77777777" w:rsidTr="0068765B">
        <w:trPr>
          <w:trHeight w:val="1260"/>
        </w:trPr>
        <w:tc>
          <w:tcPr>
            <w:tcW w:w="1129" w:type="dxa"/>
            <w:vMerge/>
          </w:tcPr>
          <w:p w14:paraId="32858739" w14:textId="77777777" w:rsidR="00395D46" w:rsidRPr="0058495E" w:rsidRDefault="00395D46" w:rsidP="00C31FE7">
            <w:pPr>
              <w:jc w:val="center"/>
              <w:rPr>
                <w:rFonts w:ascii="Arial" w:hAnsi="Arial" w:cs="Arial"/>
                <w:b/>
                <w:bCs/>
              </w:rPr>
            </w:pPr>
          </w:p>
        </w:tc>
        <w:tc>
          <w:tcPr>
            <w:tcW w:w="2694" w:type="dxa"/>
          </w:tcPr>
          <w:p w14:paraId="47A1717E" w14:textId="77777777" w:rsidR="00395D46" w:rsidRPr="0058495E" w:rsidRDefault="00395D46" w:rsidP="00C31FE7">
            <w:pPr>
              <w:jc w:val="center"/>
              <w:rPr>
                <w:rFonts w:ascii="Arial" w:hAnsi="Arial" w:cs="Arial"/>
              </w:rPr>
            </w:pPr>
            <w:proofErr w:type="spellStart"/>
            <w:r w:rsidRPr="00706E54">
              <w:rPr>
                <w:rFonts w:ascii="Arial" w:hAnsi="Arial" w:cs="Arial"/>
              </w:rPr>
              <w:t>Aplysiatoxins</w:t>
            </w:r>
            <w:proofErr w:type="spellEnd"/>
          </w:p>
        </w:tc>
        <w:tc>
          <w:tcPr>
            <w:tcW w:w="1984" w:type="dxa"/>
          </w:tcPr>
          <w:p w14:paraId="178BDC2C" w14:textId="77777777" w:rsidR="00395D46" w:rsidRPr="0058495E" w:rsidRDefault="00395D46" w:rsidP="00C31FE7">
            <w:pPr>
              <w:jc w:val="center"/>
              <w:rPr>
                <w:rFonts w:ascii="Arial" w:hAnsi="Arial" w:cs="Arial"/>
              </w:rPr>
            </w:pPr>
            <w:r w:rsidRPr="00706E54">
              <w:rPr>
                <w:rFonts w:ascii="Arial" w:hAnsi="Arial" w:cs="Arial"/>
              </w:rPr>
              <w:t>Skin</w:t>
            </w:r>
          </w:p>
        </w:tc>
        <w:tc>
          <w:tcPr>
            <w:tcW w:w="2268" w:type="dxa"/>
          </w:tcPr>
          <w:p w14:paraId="6B8A3EF3" w14:textId="77777777" w:rsidR="00395D46" w:rsidRPr="0058495E" w:rsidRDefault="00395D46" w:rsidP="00C31FE7">
            <w:pPr>
              <w:jc w:val="center"/>
              <w:rPr>
                <w:rFonts w:ascii="Arial" w:hAnsi="Arial" w:cs="Arial"/>
                <w:i/>
                <w:iCs/>
              </w:rPr>
            </w:pPr>
            <w:proofErr w:type="spellStart"/>
            <w:r w:rsidRPr="00706E54">
              <w:rPr>
                <w:rFonts w:ascii="Arial" w:hAnsi="Arial" w:cs="Arial"/>
                <w:i/>
                <w:iCs/>
              </w:rPr>
              <w:t>Lyngbya</w:t>
            </w:r>
            <w:proofErr w:type="spellEnd"/>
          </w:p>
        </w:tc>
        <w:tc>
          <w:tcPr>
            <w:tcW w:w="2176" w:type="dxa"/>
          </w:tcPr>
          <w:p w14:paraId="319DEE9C" w14:textId="77777777" w:rsidR="00395D46" w:rsidRPr="0058495E" w:rsidRDefault="00395D46" w:rsidP="00C31FE7">
            <w:pPr>
              <w:jc w:val="center"/>
              <w:rPr>
                <w:rFonts w:ascii="Arial" w:hAnsi="Arial" w:cs="Arial"/>
              </w:rPr>
            </w:pPr>
            <w:proofErr w:type="spellStart"/>
            <w:r w:rsidRPr="00706E54">
              <w:rPr>
                <w:rFonts w:ascii="Arial" w:hAnsi="Arial" w:cs="Arial"/>
              </w:rPr>
              <w:t>Tumor</w:t>
            </w:r>
            <w:proofErr w:type="spellEnd"/>
            <w:r w:rsidRPr="00706E54">
              <w:rPr>
                <w:rFonts w:ascii="Arial" w:hAnsi="Arial" w:cs="Arial"/>
              </w:rPr>
              <w:t>-promoting activity</w:t>
            </w:r>
          </w:p>
        </w:tc>
        <w:tc>
          <w:tcPr>
            <w:tcW w:w="1804" w:type="dxa"/>
          </w:tcPr>
          <w:p w14:paraId="12D793BE" w14:textId="77777777" w:rsidR="00395D46" w:rsidRPr="0058495E" w:rsidRDefault="00395D46" w:rsidP="00C31FE7">
            <w:pPr>
              <w:jc w:val="center"/>
              <w:rPr>
                <w:rFonts w:ascii="Arial" w:hAnsi="Arial" w:cs="Arial"/>
                <w:b/>
                <w:bCs/>
              </w:rPr>
            </w:pPr>
            <w:r w:rsidRPr="00706E54">
              <w:rPr>
                <w:rFonts w:ascii="Arial" w:hAnsi="Arial" w:cs="Arial"/>
              </w:rPr>
              <w:t>Severe skin irritation</w:t>
            </w:r>
          </w:p>
        </w:tc>
        <w:tc>
          <w:tcPr>
            <w:tcW w:w="1690" w:type="dxa"/>
          </w:tcPr>
          <w:p w14:paraId="734B94EC" w14:textId="1E85F7BE"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{"citationID":"a6FVTwWX","properties":{"formattedCitation":"(Banker et al., 2000)","plainCitation":"(Banker et al., 2000)","noteIndex":0},"citationItems":[{"id":711,"uris":["http://zotero.org/users/local/Xm6IMfD4/items/KNGASBDI"],"itemData":{"id":711,"type":"article-journal","container-title":"Journal of Natural Products","DOI":"10.1021/np990498m","ISSN":"0163-3864, 1520-6025","issue":"3","journalAbbreviation":"J. Nat. Prod.","language":"en","page":"387-389","source":"DOI.org (Crossref)","title":"7-Epicylindrospermopsin, a Toxic Minor Metabolite of the Cyanobacterium &lt;i&gt;Aphanizomenon&lt;/i&gt; &lt;i&gt;o&lt;/i&gt; &lt;i&gt;valisporum&lt;/i&gt; from Lake Kinneret, Israel","volume":"63","author":[{"family":"Banker","given":"Ronny"},{"family":"Teltsch","given":"Benjamin"},{"family":"Sukenik","given":"Assaf"},{"family":"Carmeli","given":"Shmuel"}],"issued":{"date-parts":[["2000",3,1]]}}}],"schema":"https://github.com/citation-style-language/schema/raw/master/csl-citation.json"} </w:instrText>
            </w:r>
            <w:r w:rsidRPr="0058495E">
              <w:rPr>
                <w:rFonts w:ascii="Arial" w:hAnsi="Arial" w:cs="Arial"/>
              </w:rPr>
              <w:fldChar w:fldCharType="separate"/>
            </w:r>
            <w:r w:rsidR="007410EB" w:rsidRPr="007410EB">
              <w:rPr>
                <w:rFonts w:ascii="Arial" w:hAnsi="Arial" w:cs="Arial"/>
              </w:rPr>
              <w:t>(Banker et al., 2000)</w:t>
            </w:r>
            <w:r w:rsidRPr="0058495E">
              <w:rPr>
                <w:rFonts w:ascii="Arial" w:hAnsi="Arial" w:cs="Arial"/>
              </w:rPr>
              <w:fldChar w:fldCharType="end"/>
            </w:r>
          </w:p>
        </w:tc>
      </w:tr>
      <w:tr w:rsidR="00B67584" w:rsidRPr="0058495E" w14:paraId="4B1A0B80" w14:textId="77777777" w:rsidTr="0068765B">
        <w:trPr>
          <w:trHeight w:val="1626"/>
        </w:trPr>
        <w:tc>
          <w:tcPr>
            <w:tcW w:w="1129" w:type="dxa"/>
            <w:textDirection w:val="btLr"/>
          </w:tcPr>
          <w:p w14:paraId="63CAB85F" w14:textId="77777777" w:rsidR="00395D46" w:rsidRPr="0058495E" w:rsidRDefault="00395D46" w:rsidP="00C31FE7">
            <w:pPr>
              <w:ind w:left="113" w:right="113"/>
              <w:jc w:val="center"/>
              <w:rPr>
                <w:rFonts w:ascii="Arial" w:hAnsi="Arial" w:cs="Arial"/>
                <w:b/>
                <w:bCs/>
              </w:rPr>
            </w:pPr>
            <w:r w:rsidRPr="00706E54">
              <w:rPr>
                <w:rFonts w:ascii="Arial" w:hAnsi="Arial" w:cs="Arial"/>
                <w:b/>
                <w:bCs/>
              </w:rPr>
              <w:t>Cytotoxins</w:t>
            </w:r>
          </w:p>
        </w:tc>
        <w:tc>
          <w:tcPr>
            <w:tcW w:w="2694" w:type="dxa"/>
          </w:tcPr>
          <w:p w14:paraId="730FF0D2" w14:textId="77777777" w:rsidR="00395D46" w:rsidRPr="0058495E" w:rsidRDefault="00395D46" w:rsidP="00C31FE7">
            <w:pPr>
              <w:jc w:val="center"/>
              <w:rPr>
                <w:rFonts w:ascii="Arial" w:hAnsi="Arial" w:cs="Arial"/>
              </w:rPr>
            </w:pPr>
            <w:r w:rsidRPr="00706E54">
              <w:rPr>
                <w:rFonts w:ascii="Arial" w:hAnsi="Arial" w:cs="Arial"/>
              </w:rPr>
              <w:t>Cylindrospermopsin (also cytotoxic)</w:t>
            </w:r>
          </w:p>
        </w:tc>
        <w:tc>
          <w:tcPr>
            <w:tcW w:w="1984" w:type="dxa"/>
          </w:tcPr>
          <w:p w14:paraId="4596A019" w14:textId="77777777" w:rsidR="00395D46" w:rsidRPr="0058495E" w:rsidRDefault="00395D46" w:rsidP="00C31FE7">
            <w:pPr>
              <w:jc w:val="center"/>
              <w:rPr>
                <w:rFonts w:ascii="Arial" w:hAnsi="Arial" w:cs="Arial"/>
              </w:rPr>
            </w:pPr>
            <w:r w:rsidRPr="00706E54">
              <w:rPr>
                <w:rFonts w:ascii="Arial" w:hAnsi="Arial" w:cs="Arial"/>
              </w:rPr>
              <w:t>Multiple organs</w:t>
            </w:r>
          </w:p>
        </w:tc>
        <w:tc>
          <w:tcPr>
            <w:tcW w:w="2268" w:type="dxa"/>
          </w:tcPr>
          <w:p w14:paraId="3E88CA01" w14:textId="77777777" w:rsidR="00395D46" w:rsidRPr="0058495E" w:rsidRDefault="00395D46" w:rsidP="00C31FE7">
            <w:pPr>
              <w:jc w:val="center"/>
              <w:rPr>
                <w:rFonts w:ascii="Arial" w:hAnsi="Arial" w:cs="Arial"/>
                <w:i/>
                <w:iCs/>
              </w:rPr>
            </w:pPr>
            <w:proofErr w:type="spellStart"/>
            <w:r w:rsidRPr="00706E54">
              <w:rPr>
                <w:rFonts w:ascii="Arial" w:hAnsi="Arial" w:cs="Arial"/>
                <w:i/>
                <w:iCs/>
              </w:rPr>
              <w:t>Cylindrospermopsis</w:t>
            </w:r>
            <w:proofErr w:type="spellEnd"/>
            <w:r w:rsidRPr="00706E54">
              <w:rPr>
                <w:rFonts w:ascii="Arial" w:hAnsi="Arial" w:cs="Arial"/>
              </w:rPr>
              <w:t xml:space="preserve">, </w:t>
            </w:r>
            <w:proofErr w:type="spellStart"/>
            <w:r w:rsidRPr="00706E54">
              <w:rPr>
                <w:rFonts w:ascii="Arial" w:hAnsi="Arial" w:cs="Arial"/>
                <w:i/>
                <w:iCs/>
              </w:rPr>
              <w:t>Raphidiopsis</w:t>
            </w:r>
            <w:proofErr w:type="spellEnd"/>
          </w:p>
        </w:tc>
        <w:tc>
          <w:tcPr>
            <w:tcW w:w="2176" w:type="dxa"/>
          </w:tcPr>
          <w:p w14:paraId="20BA69EC" w14:textId="77777777" w:rsidR="00395D46" w:rsidRPr="0058495E" w:rsidRDefault="00395D46" w:rsidP="00C31FE7">
            <w:pPr>
              <w:jc w:val="center"/>
              <w:rPr>
                <w:rFonts w:ascii="Arial" w:hAnsi="Arial" w:cs="Arial"/>
              </w:rPr>
            </w:pPr>
            <w:r w:rsidRPr="00706E54">
              <w:rPr>
                <w:rFonts w:ascii="Arial" w:hAnsi="Arial" w:cs="Arial"/>
              </w:rPr>
              <w:t>Inhibition of protein synthesis</w:t>
            </w:r>
          </w:p>
        </w:tc>
        <w:tc>
          <w:tcPr>
            <w:tcW w:w="1804" w:type="dxa"/>
          </w:tcPr>
          <w:p w14:paraId="2A7E493E" w14:textId="77777777" w:rsidR="00395D46" w:rsidRPr="0058495E" w:rsidRDefault="00395D46" w:rsidP="00C31FE7">
            <w:pPr>
              <w:jc w:val="center"/>
              <w:rPr>
                <w:rFonts w:ascii="Arial" w:hAnsi="Arial" w:cs="Arial"/>
              </w:rPr>
            </w:pPr>
            <w:r w:rsidRPr="00706E54">
              <w:rPr>
                <w:rFonts w:ascii="Arial" w:hAnsi="Arial" w:cs="Arial"/>
              </w:rPr>
              <w:t>Multi-organ toxicity</w:t>
            </w:r>
          </w:p>
        </w:tc>
        <w:tc>
          <w:tcPr>
            <w:tcW w:w="1690" w:type="dxa"/>
          </w:tcPr>
          <w:p w14:paraId="49CCA671" w14:textId="76EE9F64"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{"citationID":"U1Ks6dF0","properties":{"formattedCitation":"(Bl\\uc0\\u225{}hov\\uc0\\u225{} et al., 2009; Hoff-Risseti et al., 2013)","plainCitation":"(Bláhová et al., 2009; Hoff-Risseti et al., 2013)","noteIndex":0},"citationItems":[{"id":978,"uris":["http://zotero.org/users/local/Xm6IMfD4/items/VISGP59F"],"itemData":{"id":978,"type":"article-journal","container-title":"Toxicon","DOI":"10.1016/j.toxicon.2009.01.014","ISSN":"00410101","issue":"5","journalAbbreviation":"Toxicon","language":"en","license":"https://www.elsevier.com/tdm/userlicense/1.0/","page":"519-524","source":"DOI.org (Crossref)","title":"The first occurrence of the cyanobacterial alkaloid toxin cylindrospermopsin in the Czech Republic as determined by immunochemical and LC/MS methods","volume":"53","author":[{"family":"Bláhová","given":"Lucie"},{"family":"Oravec","given":"Michal"},{"family":"Maršálek","given":"Blahoslav"},{"family":"Šejnohová","given":"Lenka"},{"family":"Šimek","given":"Zdeněk"},{"family":"Bláha","given":"Luděk"}],"issued":{"date-parts":[["2009",4]]}}},{"id":858,"uris":["http://zotero.org/users/local/Xm6IMfD4/items/3YIJHJ62"],"itemData":{"id":858,"type":"article-journal","abstract":"The Cylindrospermopsis raciborskii population from Brazilian freshwater is known to produce saxitoxin derivatives (STX), while cylindrospermopsin (CYN), which is commonly detected in isolates from Australia and Asia continents, has thus far not been detected in South American strains. However, during the investigation for the presence of cyrA, cyrB, cyrC and cyrJ CYN synthetase genes in the genomes of four laboratory-cultured C. raciborskii Brazilian strains, the almost complete cyrA gene sequences were obtained for all strains, while cyrB and cyrC gene fragments were observed in two strains. These nucleotide sequences were translated into amino acids, and the predicted protein functions and domains confirmed their identity as CYN synthetase genes. Attempts to PCR amplify cyrJ gene fragments from the four strains were unsuccessful. Phylogenetic analysis grouped the nucleotide sequences together with their homologues found in known CYN synthetase clusters of C. raciborskii strains with high bootstrap support. In addition, fragments of sxtA, sxtB and sxtI genes involved in STX production were also obtained. Extensive LC-MS analyses were unable to detect CYN in the cultured strains, whereas the production of STX and its analogues was confirmed in CENA302, CENA305 and T3. To our knowledge, this is the first study reporting the presence of cyr genes in South American strains of C. raciborskii and the presence of sxt and cyr genes in a single C. raciborskii strain. This discovery suggests a shift in the type of cyanotoxin production over time of South American strains of C. raciborskii and contributes to the reconstruction of the evolutionary history and diversification of cyanobacterial toxins.","container-title":"PLoS ONE","DOI":"10.1371/journal.pone.0074238","ISSN":"1932-6203","issue":"8","journalAbbreviation":"PLoS ONE","language":"en","page":"e74238","source":"DOI.org (Crossref)","title":"Cylindrospermopsin and Saxitoxin Synthetase Genes in Cylindrospermopsis raciborskii Strains from Brazilian Freshwater","volume":"8","author":[{"family":"Hoff-Risseti","given":"Caroline"},{"family":"Dörr","given":"Felipe Augusto"},{"family":"Schaker","given":"Patricia Dayane Carvalho"},{"family":"Pinto","given":"Ernani"},{"family":"Werner","given":"Vera Regina"},{"family":"Fiore","given":"Marli Fatima"}],"editor":[{"family":"Neilan","given":"Brett"}],"issued":{"date-parts":[["2013",8,28]]}}}],"schema":"https://github.com/citation-style-language/schema/raw/master/csl-citation.json"} </w:instrText>
            </w:r>
            <w:r w:rsidRPr="0058495E">
              <w:rPr>
                <w:rFonts w:ascii="Arial" w:hAnsi="Arial" w:cs="Arial"/>
              </w:rPr>
              <w:fldChar w:fldCharType="separate"/>
            </w:r>
            <w:r w:rsidR="007410EB" w:rsidRPr="007410EB">
              <w:rPr>
                <w:rFonts w:ascii="Arial" w:hAnsi="Arial" w:cs="Arial"/>
                <w:kern w:val="0"/>
                <w:szCs w:val="24"/>
              </w:rPr>
              <w:t>(Bláhová et al., 2009; Hoff-Risseti et al., 2013)</w:t>
            </w:r>
            <w:r w:rsidRPr="0058495E">
              <w:rPr>
                <w:rFonts w:ascii="Arial" w:hAnsi="Arial" w:cs="Arial"/>
              </w:rPr>
              <w:fldChar w:fldCharType="end"/>
            </w:r>
          </w:p>
        </w:tc>
      </w:tr>
      <w:tr w:rsidR="00B67584" w:rsidRPr="0058495E" w14:paraId="46DF188B" w14:textId="77777777" w:rsidTr="0068765B">
        <w:trPr>
          <w:trHeight w:val="1404"/>
        </w:trPr>
        <w:tc>
          <w:tcPr>
            <w:tcW w:w="1129" w:type="dxa"/>
            <w:textDirection w:val="btLr"/>
          </w:tcPr>
          <w:p w14:paraId="41380E28" w14:textId="77777777" w:rsidR="00395D46" w:rsidRPr="0058495E" w:rsidRDefault="00395D46" w:rsidP="00C31FE7">
            <w:pPr>
              <w:ind w:left="113" w:right="113"/>
              <w:jc w:val="center"/>
              <w:rPr>
                <w:rFonts w:ascii="Arial" w:hAnsi="Arial" w:cs="Arial"/>
                <w:b/>
                <w:bCs/>
              </w:rPr>
            </w:pPr>
            <w:r w:rsidRPr="00706E54">
              <w:rPr>
                <w:rFonts w:ascii="Arial" w:hAnsi="Arial" w:cs="Arial"/>
                <w:b/>
                <w:bCs/>
              </w:rPr>
              <w:t>Irritant Toxins</w:t>
            </w:r>
          </w:p>
        </w:tc>
        <w:tc>
          <w:tcPr>
            <w:tcW w:w="2694" w:type="dxa"/>
          </w:tcPr>
          <w:p w14:paraId="1E83FA83" w14:textId="77777777" w:rsidR="00395D46" w:rsidRPr="0058495E" w:rsidRDefault="00395D46" w:rsidP="00C31FE7">
            <w:pPr>
              <w:jc w:val="center"/>
              <w:rPr>
                <w:rFonts w:ascii="Arial" w:hAnsi="Arial" w:cs="Arial"/>
              </w:rPr>
            </w:pPr>
            <w:r w:rsidRPr="00706E54">
              <w:rPr>
                <w:rFonts w:ascii="Arial" w:hAnsi="Arial" w:cs="Arial"/>
              </w:rPr>
              <w:t>Lipopolysaccharides (LPS)</w:t>
            </w:r>
          </w:p>
        </w:tc>
        <w:tc>
          <w:tcPr>
            <w:tcW w:w="1984" w:type="dxa"/>
          </w:tcPr>
          <w:p w14:paraId="482E2F3C" w14:textId="77777777" w:rsidR="00395D46" w:rsidRPr="0058495E" w:rsidRDefault="00395D46" w:rsidP="00C31FE7">
            <w:pPr>
              <w:jc w:val="center"/>
              <w:rPr>
                <w:rFonts w:ascii="Arial" w:hAnsi="Arial" w:cs="Arial"/>
              </w:rPr>
            </w:pPr>
            <w:r w:rsidRPr="00706E54">
              <w:rPr>
                <w:rFonts w:ascii="Arial" w:hAnsi="Arial" w:cs="Arial"/>
              </w:rPr>
              <w:t>Immune system / Skin</w:t>
            </w:r>
          </w:p>
        </w:tc>
        <w:tc>
          <w:tcPr>
            <w:tcW w:w="2268" w:type="dxa"/>
          </w:tcPr>
          <w:p w14:paraId="2ED6DAC1" w14:textId="77777777" w:rsidR="00395D46" w:rsidRPr="0058495E" w:rsidRDefault="00395D46" w:rsidP="00C31FE7">
            <w:pPr>
              <w:jc w:val="center"/>
              <w:rPr>
                <w:rFonts w:ascii="Arial" w:hAnsi="Arial" w:cs="Arial"/>
                <w:i/>
                <w:iCs/>
              </w:rPr>
            </w:pPr>
            <w:r w:rsidRPr="00706E54">
              <w:rPr>
                <w:rFonts w:ascii="Arial" w:hAnsi="Arial" w:cs="Arial"/>
              </w:rPr>
              <w:t>Many cyanobacterial genera</w:t>
            </w:r>
          </w:p>
        </w:tc>
        <w:tc>
          <w:tcPr>
            <w:tcW w:w="2176" w:type="dxa"/>
          </w:tcPr>
          <w:p w14:paraId="0392DC4F" w14:textId="77777777" w:rsidR="00395D46" w:rsidRPr="0058495E" w:rsidRDefault="00395D46" w:rsidP="00C31FE7">
            <w:pPr>
              <w:jc w:val="center"/>
              <w:rPr>
                <w:rFonts w:ascii="Arial" w:hAnsi="Arial" w:cs="Arial"/>
              </w:rPr>
            </w:pPr>
            <w:r w:rsidRPr="00706E54">
              <w:rPr>
                <w:rFonts w:ascii="Arial" w:hAnsi="Arial" w:cs="Arial"/>
              </w:rPr>
              <w:t>Endotoxin-mediated inflammatory response</w:t>
            </w:r>
          </w:p>
        </w:tc>
        <w:tc>
          <w:tcPr>
            <w:tcW w:w="1804" w:type="dxa"/>
          </w:tcPr>
          <w:p w14:paraId="341A6D09" w14:textId="77777777" w:rsidR="00395D46" w:rsidRPr="0058495E" w:rsidRDefault="00395D46" w:rsidP="00C31FE7">
            <w:pPr>
              <w:jc w:val="center"/>
              <w:rPr>
                <w:rFonts w:ascii="Arial" w:hAnsi="Arial" w:cs="Arial"/>
              </w:rPr>
            </w:pPr>
            <w:r w:rsidRPr="00706E54">
              <w:rPr>
                <w:rFonts w:ascii="Arial" w:hAnsi="Arial" w:cs="Arial"/>
              </w:rPr>
              <w:t>Fever, gastrointestinal and dermal irritation</w:t>
            </w:r>
          </w:p>
        </w:tc>
        <w:tc>
          <w:tcPr>
            <w:tcW w:w="1690" w:type="dxa"/>
          </w:tcPr>
          <w:p w14:paraId="74D5BDCB" w14:textId="38537C7F"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{"citationID":"Sbg25I2u","properties":{"formattedCitation":"(Svir\\uc0\\u269{}ev et al., 2019)","plainCitation":"(Svirčev et al., 2019)","noteIndex":0},"citationItems":[{"id":1016,"uris":["http://zotero.org/users/local/Xm6IMfD4/items/DBVJ5C89"],"itemData":{"id":1016,"type":"article-journal","container-title":"Archives of Toxicology","DOI":"10.1007/s00204-019-02524-4","ISSN":"0340-5761, 1432-0738","issue":"9","journalAbbreviation":"Arch Toxicol","language":"en","page":"2429-2481","source":"DOI.org (Crossref)","title":"Global geographical and historical overview of cyanotoxin distribution and cyanobacterial poisonings","volume":"93","author":[{"family":"Svirčev","given":"Zorica"},{"family":"Lalić","given":"Dijana"},{"family":"Bojadžija Savić","given":"Gorenka"},{"family":"Tokodi","given":"Nada"},{"family":"Drobac Backović","given":"Damjana"},{"family":"Chen","given":"Liang"},{"family":"Meriluoto","given":"Jussi"},{"family":"Codd","given":"Geoffrey A."}],"issued":{"date-parts":[["2019",9]]}}}],"schema":"https://github.com/citation-style-language/schema/raw/master/csl-citation.json"} </w:instrText>
            </w:r>
            <w:r w:rsidRPr="0058495E">
              <w:rPr>
                <w:rFonts w:ascii="Arial" w:hAnsi="Arial" w:cs="Arial"/>
              </w:rPr>
              <w:fldChar w:fldCharType="separate"/>
            </w:r>
            <w:r w:rsidR="007410EB" w:rsidRPr="007410EB">
              <w:rPr>
                <w:rFonts w:ascii="Arial" w:hAnsi="Arial" w:cs="Arial"/>
                <w:kern w:val="0"/>
                <w:szCs w:val="24"/>
              </w:rPr>
              <w:t>(Svirčev et al., 2019)</w:t>
            </w:r>
            <w:r w:rsidRPr="0058495E">
              <w:rPr>
                <w:rFonts w:ascii="Arial" w:hAnsi="Arial" w:cs="Arial"/>
              </w:rPr>
              <w:fldChar w:fldCharType="end"/>
            </w:r>
          </w:p>
        </w:tc>
      </w:tr>
    </w:tbl>
    <w:p w14:paraId="447AF6DC" w14:textId="77777777" w:rsidR="00EB5DCF" w:rsidRPr="0058495E" w:rsidRDefault="00EB5DCF" w:rsidP="00EF5CA2">
      <w:pPr>
        <w:jc w:val="center"/>
        <w:rPr>
          <w:rFonts w:ascii="Arial" w:hAnsi="Arial" w:cs="Arial"/>
        </w:rPr>
      </w:pPr>
    </w:p>
    <w:p w14:paraId="5D296715" w14:textId="77777777" w:rsidR="00EB5DCF" w:rsidRPr="0058495E" w:rsidRDefault="00EB5DCF" w:rsidP="00EF5CA2">
      <w:pPr>
        <w:jc w:val="center"/>
        <w:rPr>
          <w:rFonts w:ascii="Arial" w:hAnsi="Arial" w:cs="Arial"/>
        </w:rPr>
      </w:pPr>
    </w:p>
    <w:p w14:paraId="78DF834D" w14:textId="77777777" w:rsidR="00706E54" w:rsidRPr="0058495E" w:rsidRDefault="00706E54" w:rsidP="00EF5CA2">
      <w:pPr>
        <w:jc w:val="center"/>
        <w:rPr>
          <w:rFonts w:ascii="Arial" w:hAnsi="Arial" w:cs="Arial"/>
        </w:rPr>
      </w:pPr>
    </w:p>
    <w:p w14:paraId="79498F20" w14:textId="77777777" w:rsidR="003862DF" w:rsidRDefault="003862DF" w:rsidP="00EF5CA2">
      <w:pPr>
        <w:jc w:val="center"/>
        <w:rPr>
          <w:rFonts w:ascii="Arial" w:hAnsi="Arial" w:cs="Arial"/>
        </w:rPr>
      </w:pPr>
    </w:p>
    <w:p w14:paraId="3F2CB6B3" w14:textId="77777777" w:rsidR="00B67584" w:rsidRDefault="00B67584" w:rsidP="00EF5CA2">
      <w:pPr>
        <w:jc w:val="center"/>
        <w:rPr>
          <w:rFonts w:ascii="Arial" w:hAnsi="Arial" w:cs="Arial"/>
        </w:rPr>
      </w:pPr>
    </w:p>
    <w:p w14:paraId="4413E740" w14:textId="77777777" w:rsidR="00B67584" w:rsidRDefault="00B67584" w:rsidP="00EF5CA2">
      <w:pPr>
        <w:jc w:val="center"/>
        <w:rPr>
          <w:rFonts w:ascii="Arial" w:hAnsi="Arial" w:cs="Arial"/>
        </w:rPr>
      </w:pPr>
    </w:p>
    <w:p w14:paraId="440EFCB4" w14:textId="77777777" w:rsidR="00B67584" w:rsidRDefault="00B67584" w:rsidP="00EF5CA2">
      <w:pPr>
        <w:jc w:val="center"/>
        <w:rPr>
          <w:rFonts w:ascii="Arial" w:hAnsi="Arial" w:cs="Arial"/>
        </w:rPr>
      </w:pPr>
    </w:p>
    <w:p w14:paraId="62E64C2D" w14:textId="77777777" w:rsidR="00B67584" w:rsidRDefault="00B67584" w:rsidP="00EF5CA2">
      <w:pPr>
        <w:jc w:val="center"/>
        <w:rPr>
          <w:rFonts w:ascii="Arial" w:hAnsi="Arial" w:cs="Arial"/>
        </w:rPr>
      </w:pPr>
    </w:p>
    <w:p w14:paraId="3E4D7D78" w14:textId="77777777" w:rsidR="00B67584" w:rsidRDefault="00B67584" w:rsidP="00EF5CA2">
      <w:pPr>
        <w:jc w:val="center"/>
        <w:rPr>
          <w:rFonts w:ascii="Arial" w:hAnsi="Arial" w:cs="Arial"/>
        </w:rPr>
      </w:pPr>
    </w:p>
    <w:p w14:paraId="23808F7F" w14:textId="77777777" w:rsidR="00511CAC" w:rsidRDefault="00511CAC" w:rsidP="00EF5CA2">
      <w:pPr>
        <w:jc w:val="center"/>
        <w:rPr>
          <w:rFonts w:ascii="Arial" w:hAnsi="Arial" w:cs="Arial"/>
        </w:rPr>
      </w:pPr>
    </w:p>
    <w:p w14:paraId="5031E752" w14:textId="77777777" w:rsidR="00511CAC" w:rsidRDefault="00511CAC" w:rsidP="00EF5CA2">
      <w:pPr>
        <w:jc w:val="center"/>
        <w:rPr>
          <w:rFonts w:ascii="Arial" w:hAnsi="Arial" w:cs="Arial"/>
        </w:rPr>
      </w:pPr>
    </w:p>
    <w:p w14:paraId="4DDD2527" w14:textId="77777777" w:rsidR="00511CAC" w:rsidRDefault="00511CAC" w:rsidP="00EF5CA2">
      <w:pPr>
        <w:jc w:val="center"/>
        <w:rPr>
          <w:rFonts w:ascii="Arial" w:hAnsi="Arial" w:cs="Arial"/>
        </w:rPr>
      </w:pPr>
    </w:p>
    <w:p w14:paraId="114FE105" w14:textId="77777777" w:rsidR="00511CAC" w:rsidRDefault="00511CAC" w:rsidP="00EF5CA2">
      <w:pPr>
        <w:jc w:val="center"/>
        <w:rPr>
          <w:rFonts w:ascii="Arial" w:hAnsi="Arial" w:cs="Arial"/>
        </w:rPr>
      </w:pPr>
    </w:p>
    <w:p w14:paraId="49469B90" w14:textId="77777777" w:rsidR="00511CAC" w:rsidRDefault="00511CAC" w:rsidP="00511CAC">
      <w:pPr>
        <w:ind w:left="1843"/>
        <w:jc w:val="center"/>
        <w:rPr>
          <w:rFonts w:ascii="Arial" w:hAnsi="Arial" w:cs="Arial"/>
        </w:rPr>
      </w:pPr>
    </w:p>
    <w:p w14:paraId="6A78CEE4" w14:textId="77777777" w:rsidR="00B67584" w:rsidRDefault="00B67584" w:rsidP="00EF5CA2">
      <w:pPr>
        <w:jc w:val="center"/>
        <w:rPr>
          <w:rFonts w:ascii="Arial" w:hAnsi="Arial" w:cs="Arial"/>
        </w:rPr>
        <w:sectPr w:rsidR="00B67584" w:rsidSect="00DA0F27">
          <w:type w:val="continuous"/>
          <w:pgSz w:w="16838" w:h="11906" w:orient="landscape"/>
          <w:pgMar w:top="22" w:right="851" w:bottom="1440" w:left="1440" w:header="708" w:footer="708" w:gutter="0"/>
          <w:cols w:space="708"/>
          <w:docGrid w:linePitch="360"/>
        </w:sectPr>
      </w:pPr>
    </w:p>
    <w:p w14:paraId="2EC0F7BC" w14:textId="00FBCD82" w:rsidR="008E500A" w:rsidRPr="008E500A" w:rsidRDefault="008E500A" w:rsidP="008E500A">
      <w:pPr>
        <w:pStyle w:val="ListParagraph"/>
        <w:numPr>
          <w:ilvl w:val="0"/>
          <w:numId w:val="1"/>
        </w:numPr>
        <w:ind w:left="284" w:firstLine="0"/>
        <w:rPr>
          <w:rFonts w:ascii="Arial" w:hAnsi="Arial" w:cs="Arial"/>
          <w:b/>
          <w:bCs/>
        </w:rPr>
      </w:pPr>
      <w:r w:rsidRPr="008E500A">
        <w:rPr>
          <w:rFonts w:ascii="Arial" w:hAnsi="Arial" w:cs="Arial"/>
          <w:b/>
          <w:bCs/>
        </w:rPr>
        <w:lastRenderedPageBreak/>
        <w:t>STRUCTURAL DIVERSITY AND BIOSYNTHETIC PATHWAYS OF CYANOTOXINS</w:t>
      </w:r>
    </w:p>
    <w:p w14:paraId="3BECBF57" w14:textId="32C64187" w:rsidR="008E500A" w:rsidRPr="0058495E" w:rsidRDefault="008E500A" w:rsidP="008E500A">
      <w:pPr>
        <w:ind w:left="142"/>
        <w:jc w:val="both"/>
        <w:rPr>
          <w:rFonts w:ascii="Arial" w:hAnsi="Arial" w:cs="Arial"/>
        </w:rPr>
      </w:pPr>
      <w:r w:rsidRPr="00972D2C">
        <w:rPr>
          <w:rFonts w:ascii="Arial" w:hAnsi="Arial" w:cs="Arial"/>
          <w:sz w:val="20"/>
          <w:szCs w:val="20"/>
        </w:rPr>
        <w:t>Cyanotoxins comprise structurally heterogeneous secondary metabolites whose biological activity is closely linked to their molecular configuration and biosynthetic origin. Rather than forming a single chemical family, these compounds arise from distinct metabolic pathways, primarily involving modular non-ribosomal peptide synthetase (NRPS) and polyketide synthase (PKS) systems</w:t>
      </w:r>
      <w:r w:rsidR="00FC777D">
        <w:rPr>
          <w:rFonts w:ascii="Arial" w:hAnsi="Arial" w:cs="Arial"/>
          <w:sz w:val="20"/>
          <w:szCs w:val="20"/>
        </w:rPr>
        <w:fldChar w:fldCharType="begin"/>
      </w:r>
      <w:r w:rsidR="007410EB">
        <w:rPr>
          <w:rFonts w:ascii="Arial" w:hAnsi="Arial" w:cs="Arial"/>
          <w:sz w:val="20"/>
          <w:szCs w:val="20"/>
        </w:rPr>
        <w:instrText xml:space="preserve"> ADDIN ZOTERO_ITEM CSL_CITATION {"citationID":"tzNEZ0na","properties":{"formattedCitation":"(Gademann &amp; Portmann, 2008)","plainCitation":"(Gademann &amp; Portmann, 2008)","noteIndex":0},"citationItems":[{"id":1164,"uris":["http://zotero.org/users/local/Xm6IMfD4/items/DYLQQB3W"],"itemData":{"id":1164,"type":"article-journal","container-title":"Current Organic Chemistry","DOI":"10.2174/138527208783743750","ISSN":"13852728","issue":"4","journalAbbreviation":"COC","language":"en","page":"326-341","source":"DOI.org (Crossref)","title":"Secondary Metabolites from Cyanobacteria: Complex Structures and Powerful Bioactivities","title-short":"Secondary Metabolites from Cyanobacteria","volume":"12","author":[{"family":"Gademann","given":"Karl"},{"family":"Portmann","given":"Cyril"}],"issued":{"date-parts":[["2008",3,1]]}}}],"schema":"https://github.com/citation-style-language/schema/raw/master/csl-citation.json"} </w:instrText>
      </w:r>
      <w:r w:rsidR="00FC777D">
        <w:rPr>
          <w:rFonts w:ascii="Arial" w:hAnsi="Arial" w:cs="Arial"/>
          <w:sz w:val="20"/>
          <w:szCs w:val="20"/>
        </w:rPr>
        <w:fldChar w:fldCharType="separate"/>
      </w:r>
      <w:r w:rsidR="007410EB" w:rsidRPr="007410EB">
        <w:rPr>
          <w:rFonts w:ascii="Arial" w:hAnsi="Arial" w:cs="Arial"/>
          <w:sz w:val="20"/>
        </w:rPr>
        <w:t>(Gademann &amp; Portmann, 2008)</w:t>
      </w:r>
      <w:r w:rsidR="00FC777D">
        <w:rPr>
          <w:rFonts w:ascii="Arial" w:hAnsi="Arial" w:cs="Arial"/>
          <w:sz w:val="20"/>
          <w:szCs w:val="20"/>
        </w:rPr>
        <w:fldChar w:fldCharType="end"/>
      </w:r>
      <w:r w:rsidRPr="00972D2C">
        <w:rPr>
          <w:rFonts w:ascii="Arial" w:hAnsi="Arial" w:cs="Arial"/>
          <w:sz w:val="20"/>
          <w:szCs w:val="20"/>
        </w:rPr>
        <w:t xml:space="preserve">. The modular organization of these enzymatic complexes enables structural variability, resulting in numerous toxin congeners with diverse physicochemical and toxicological characteristics. Peptide-derived hepatotoxins, such as </w:t>
      </w:r>
      <w:proofErr w:type="spellStart"/>
      <w:r w:rsidRPr="00972D2C">
        <w:rPr>
          <w:rFonts w:ascii="Arial" w:hAnsi="Arial" w:cs="Arial"/>
          <w:sz w:val="20"/>
          <w:szCs w:val="20"/>
        </w:rPr>
        <w:t>microcystins</w:t>
      </w:r>
      <w:proofErr w:type="spellEnd"/>
      <w:r w:rsidRPr="00972D2C">
        <w:rPr>
          <w:rFonts w:ascii="Arial" w:hAnsi="Arial" w:cs="Arial"/>
          <w:sz w:val="20"/>
          <w:szCs w:val="20"/>
        </w:rPr>
        <w:t xml:space="preserve"> and </w:t>
      </w:r>
      <w:proofErr w:type="spellStart"/>
      <w:r w:rsidRPr="00972D2C">
        <w:rPr>
          <w:rFonts w:ascii="Arial" w:hAnsi="Arial" w:cs="Arial"/>
          <w:sz w:val="20"/>
          <w:szCs w:val="20"/>
        </w:rPr>
        <w:t>nodularins</w:t>
      </w:r>
      <w:proofErr w:type="spellEnd"/>
      <w:r w:rsidRPr="00972D2C">
        <w:rPr>
          <w:rFonts w:ascii="Arial" w:hAnsi="Arial" w:cs="Arial"/>
          <w:sz w:val="20"/>
          <w:szCs w:val="20"/>
        </w:rPr>
        <w:t xml:space="preserve">, possess macrocyclic frameworks that provide conformational rigidity and enhanced resistance to enzymatic degradation. In </w:t>
      </w:r>
      <w:proofErr w:type="spellStart"/>
      <w:r w:rsidRPr="00972D2C">
        <w:rPr>
          <w:rFonts w:ascii="Arial" w:hAnsi="Arial" w:cs="Arial"/>
          <w:sz w:val="20"/>
          <w:szCs w:val="20"/>
        </w:rPr>
        <w:t>microcystins</w:t>
      </w:r>
      <w:proofErr w:type="spellEnd"/>
      <w:r w:rsidRPr="00972D2C">
        <w:rPr>
          <w:rFonts w:ascii="Arial" w:hAnsi="Arial" w:cs="Arial"/>
          <w:sz w:val="20"/>
          <w:szCs w:val="20"/>
        </w:rPr>
        <w:t xml:space="preserve">, the hydrophobic </w:t>
      </w:r>
      <w:proofErr w:type="spellStart"/>
      <w:r w:rsidRPr="00972D2C">
        <w:rPr>
          <w:rFonts w:ascii="Arial" w:hAnsi="Arial" w:cs="Arial"/>
          <w:sz w:val="20"/>
          <w:szCs w:val="20"/>
        </w:rPr>
        <w:t>Adda</w:t>
      </w:r>
      <w:proofErr w:type="spellEnd"/>
      <w:r w:rsidRPr="00972D2C">
        <w:rPr>
          <w:rFonts w:ascii="Arial" w:hAnsi="Arial" w:cs="Arial"/>
          <w:sz w:val="20"/>
          <w:szCs w:val="20"/>
        </w:rPr>
        <w:t xml:space="preserve"> moiety plays a central role in biological activity by facilitating high-affinity interactions with intracellular protein phosphatases</w:t>
      </w:r>
      <w:r w:rsidR="00FC777D">
        <w:rPr>
          <w:rFonts w:ascii="Arial" w:hAnsi="Arial" w:cs="Arial"/>
          <w:sz w:val="20"/>
          <w:szCs w:val="20"/>
        </w:rPr>
        <w:fldChar w:fldCharType="begin"/>
      </w:r>
      <w:r w:rsidR="007410EB">
        <w:rPr>
          <w:rFonts w:ascii="Arial" w:hAnsi="Arial" w:cs="Arial"/>
          <w:sz w:val="20"/>
          <w:szCs w:val="20"/>
        </w:rPr>
        <w:instrText xml:space="preserve"> ADDIN ZOTERO_ITEM CSL_CITATION {"citationID":"Dtc1qoBn","properties":{"formattedCitation":"(Kurmayer et al., 2020)","plainCitation":"(Kurmayer et al., 2020)","noteIndex":0},"citationItems":[{"id":1166,"uris":["http://zotero.org/users/local/Xm6IMfD4/items/BQSSC5JA"],"itemData":{"id":1166,"type":"article-journal","abstract":"Abstract\n            \n              Harmful algal blooms formed by colony-forming cyanobacteria deteriorate water resources by producing cyanotoxins, which frequently occur at high intracellular concentrations. We aimed to localize toxic microcystins (MCs) and bioactive anabaenopeptins (APs) at the subcellular level under noninvasive conditions. Since both metabolites are synthesized nonribosomally, the relaxed specificity of key enzymes catalyzing substrate activation allowed chemical labeling through a standard copper-catalyzed click chemistry reaction. The genera\n              Planktothrix\n              and\n              Microcystis\n              specifically incorporated unnatural amino acids such as\n              N\n              -propargyloxy-carbonyl-L-lysine or\n              O\n              -propargyl-L-tyrosine, resulting in modified AP or MC peptides carrying the incorporated alkyne moiety. The labeled cells were quantitatively differentiated from the unlabeled control cells. MCs and APs occurred intracellularly as distinct entities showing a cell-wide distribution but a lowered spatial overlap with natural autofluorescence. Using the immunofluorescence technique, colocalization with markers of individual organelles was utilized to relate the distribution of labeled MCs to cellular compartments, e.g., using RbcL and FtsZ (cytosol) and PsbA (thylakoids). The colocalization correlation coefficients calculated pairwise between organelles and autofluorescence were highly positive as opposed to the relatively low positive indices derived from labeled MCs. The lower correlation coefficients imply that only a portion of the labeled MC molecules were related spatially to the organelles in the cell.","container-title":"Scientific Reports","DOI":"10.1038/s41598-020-59381-w","ISSN":"2045-2322","issue":"1","journalAbbreviation":"Sci Rep","language":"en","page":"2781","source":"DOI.org (Crossref)","title":"Chemically labeled toxins or bioactive peptides show a heterogeneous intracellular distribution and low spatial overlap with autofluorescence in bloom-forming cyanobacteria","volume":"10","author":[{"family":"Kurmayer","given":"Rainer"},{"family":"Entfellner","given":"Elisabeth"},{"family":"Weisse","given":"Thomas"},{"family":"Offterdinger","given":"Martin"},{"family":"Rentmeister","given":"Andrea"},{"family":"Deng","given":"Li"}],"issued":{"date-parts":[["2020",2,17]]}}}],"schema":"https://github.com/citation-style-language/schema/raw/master/csl-citation.json"} </w:instrText>
      </w:r>
      <w:r w:rsidR="00FC777D">
        <w:rPr>
          <w:rFonts w:ascii="Arial" w:hAnsi="Arial" w:cs="Arial"/>
          <w:sz w:val="20"/>
          <w:szCs w:val="20"/>
        </w:rPr>
        <w:fldChar w:fldCharType="separate"/>
      </w:r>
      <w:r w:rsidR="007410EB" w:rsidRPr="007410EB">
        <w:rPr>
          <w:rFonts w:ascii="Arial" w:hAnsi="Arial" w:cs="Arial"/>
          <w:sz w:val="20"/>
        </w:rPr>
        <w:t>(Kurmayer et al., 2020)</w:t>
      </w:r>
      <w:r w:rsidR="00FC777D">
        <w:rPr>
          <w:rFonts w:ascii="Arial" w:hAnsi="Arial" w:cs="Arial"/>
          <w:sz w:val="20"/>
          <w:szCs w:val="20"/>
        </w:rPr>
        <w:fldChar w:fldCharType="end"/>
      </w:r>
      <w:r w:rsidRPr="00972D2C">
        <w:rPr>
          <w:rFonts w:ascii="Arial" w:hAnsi="Arial" w:cs="Arial"/>
          <w:sz w:val="20"/>
          <w:szCs w:val="20"/>
        </w:rPr>
        <w:t>. Variability in amino acid residues within the cyclic structure gives rise to multiple congeners, each differing in toxicity and environmental stability. The cyclic configuration contributes not only to persistence in aquatic systems but also to selective accumulation in hepatic tissues. Alkaloid toxins demonstrate distinct structural features. Cylindrospermopsin contains a guanidinium group embedded within a tricyclic backbone and incorporates a uracil-like component, which together influence solubility and systemic distribution</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{"citationID":"tpu5aTKK","properties":{"formattedCitation":"(Evans et al., 2019)","plainCitation":"(Evans et al., 2019)","noteIndex":0},"citationItems":[{"id":1168,"uris":["http://zotero.org/users/local/Xm6IMfD4/items/E9WQHQL8"],"itemData":{"id":1168,"type":"article-journal","container-title":"Chemosphere","DOI":"10.1016/j.chemosphere.2019.06.021","ISSN":"00456535","journalAbbreviation":"Chemosphere","language":"en","page":"139-147","source":"DOI.org (Crossref)","title":"Elucidating cylindrospermopsin toxicity via synthetic analogues: An in vitro approach","title-short":"Elucidating cylindrospermopsin toxicity via synthetic analogues","volume":"234","author":[{"family":"Evans","given":"Daniel M."},{"family":"Hughes","given":"Jack"},{"family":"Jones","given":"Leigh F."},{"family":"Murphy","given":"Patrick J."},{"family":"Falfushynska","given":"Halina"},{"family":"Horyn","given":"Oksana"},{"family":"Sokolova","given":"Inna M."},{"family":"Christensen","given":"Jeppe"},{"family":"Coles","given":"Simon J."},{"family":"Rzymski","given":"Piotr"}],"issued":{"date-parts":[["2019",11]]}}}],"schema":"https://github.com/citation-style-language/schema/raw/master/csl-citation.json"}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sz w:val="20"/>
        </w:rPr>
        <w:t>(Evans et al., 2019)</w:t>
      </w:r>
      <w:r w:rsidR="00C366C4">
        <w:rPr>
          <w:rFonts w:ascii="Arial" w:hAnsi="Arial" w:cs="Arial"/>
          <w:sz w:val="20"/>
          <w:szCs w:val="20"/>
        </w:rPr>
        <w:fldChar w:fldCharType="end"/>
      </w:r>
      <w:r w:rsidRPr="00972D2C">
        <w:rPr>
          <w:rFonts w:ascii="Arial" w:hAnsi="Arial" w:cs="Arial"/>
          <w:sz w:val="20"/>
          <w:szCs w:val="20"/>
        </w:rPr>
        <w:t>. Anatoxin-a is a compact bicyclic amine whose structural resemblance to endogenous neurotransmitters underlies its interaction with cholinergic receptors. Saxitoxins consist of complex heterocyclic scaffolds enriched with guanidinium functionalities that enable strong electrostatic interactions with voltage-gated sodium channels, thereby inhibiting neuronal signal transmission</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{"citationID":"OS5IV9Qg","properties":{"formattedCitation":"(Dur\\uc0\\u225{}n-Riveroll &amp; Cembella, 2017)","plainCitation":"(Durán-Riveroll &amp; Cembella, 2017)","noteIndex":0},"citationItems":[{"id":1170,"uris":["http://zotero.org/users/local/Xm6IMfD4/items/THN86FGP"],"itemData":{"id":1170,"type":"article-journal","abstract":"Guanidinium toxins, such as saxitoxin (STX), tetrodotoxin (TTX) and their analogs, are naturally occurring alkaloids with divergent evolutionary origins and biogeographical distribution, but which share the common chemical feature of guanidinium moieties. These guanidinium groups confer high biological activity with high affinity and ion flux blockage capacity for voltage-gated sodium channels (NaV). Members of the STX group, known collectively as paralytic shellfish toxins (PSTs), are produced among three genera of marine dinoflagellates and about a dozen genera of primarily freshwater or brackish water cyanobacteria. In contrast, toxins of the TTX group occur mainly in macrozoa, particularly among puffer fish, several species of marine invertebrates and a few terrestrial amphibians. In the case of TTX and analogs, most evidence suggests that symbiotic bacteria are the origin of the toxins, although endogenous biosynthesis independent from bacteria has not been excluded. The evolutionary origin of the biosynthetic genes for STX and analogs in dinoflagellates and cyanobacteria remains elusive. These highly potent molecules have been the subject of intensive research since the latter half of the past century; first to study the mode of action of their toxigenicity, and later as tools to characterize the role and structure of NaV channels, and finally as therapeutics. Their pharmacological activities have provided encouragement for their use as therapeutants for ion channel-related pathologies, such as pain control. The functional role in aquatic and terrestrial ecosystems for both groups of toxins is unproven, although plausible mechanisms of ion channel regulation and chemical defense are often invoked. Molecular approaches and the development of improved detection methods will yield deeper understanding of their physiological and ecological roles. This knowledge will facilitate their further biotechnological exploitation and point the way towards development of pharmaceuticals and therapeutic applications.","container-title":"Marine Drugs","DOI":"10.3390/md15100303","ISSN":"1660-3397","issue":"10","journalAbbreviation":"Marine Drugs","language":"en","page":"303","source":"DOI.org (Crossref)","title":"Guanidinium Toxins and Their Interactions with Voltage-Gated Sodium Ion Channels","volume":"15","author":[{"family":"Durán-Riveroll","given":"Lorena"},{"family":"Cembella","given":"Allan"}],"issued":{"date-parts":[["2017",10,13]]}}}],"schema":"https://github.com/citation-style-language/schema/raw/master/csl-citation.json"}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kern w:val="0"/>
          <w:sz w:val="20"/>
          <w:szCs w:val="24"/>
        </w:rPr>
        <w:t>(Durán-Riveroll &amp; Cembella, 2017)</w:t>
      </w:r>
      <w:r w:rsidR="00C366C4">
        <w:rPr>
          <w:rFonts w:ascii="Arial" w:hAnsi="Arial" w:cs="Arial"/>
          <w:sz w:val="20"/>
          <w:szCs w:val="20"/>
        </w:rPr>
        <w:fldChar w:fldCharType="end"/>
      </w:r>
      <w:r w:rsidRPr="0058495E">
        <w:rPr>
          <w:rFonts w:ascii="Arial" w:hAnsi="Arial" w:cs="Arial"/>
        </w:rPr>
        <w:t>.</w:t>
      </w:r>
    </w:p>
    <w:p w14:paraId="0475307F" w14:textId="77777777" w:rsidR="008E500A" w:rsidRPr="00B67584" w:rsidRDefault="008E500A" w:rsidP="008E500A">
      <w:pPr>
        <w:pStyle w:val="ListParagraph"/>
        <w:numPr>
          <w:ilvl w:val="0"/>
          <w:numId w:val="1"/>
        </w:numPr>
        <w:ind w:left="142" w:hanging="11"/>
        <w:jc w:val="both"/>
        <w:rPr>
          <w:rFonts w:ascii="Arial" w:hAnsi="Arial" w:cs="Arial"/>
          <w:b/>
          <w:bCs/>
        </w:rPr>
      </w:pPr>
      <w:r w:rsidRPr="00B67584">
        <w:rPr>
          <w:rFonts w:ascii="Arial" w:hAnsi="Arial" w:cs="Arial"/>
          <w:b/>
          <w:bCs/>
        </w:rPr>
        <w:t>GLOBAL DISTRIBUTION AND GEOGRAPHIC EXPANSION OF CYANOTOXINS</w:t>
      </w:r>
    </w:p>
    <w:p w14:paraId="1ED21AFB" w14:textId="32A470A5" w:rsidR="008E500A" w:rsidRPr="004F2B88" w:rsidRDefault="008E500A" w:rsidP="008E500A">
      <w:pPr>
        <w:ind w:left="142"/>
        <w:jc w:val="both"/>
        <w:rPr>
          <w:rFonts w:ascii="Arial" w:hAnsi="Arial" w:cs="Arial"/>
          <w:sz w:val="20"/>
          <w:szCs w:val="20"/>
        </w:rPr>
      </w:pPr>
      <w:r w:rsidRPr="004F2B88">
        <w:rPr>
          <w:rFonts w:ascii="Arial" w:hAnsi="Arial" w:cs="Arial"/>
          <w:sz w:val="20"/>
          <w:szCs w:val="20"/>
        </w:rPr>
        <w:t>Cyanotoxins have been reported from freshwater, brackish, and marine ecosystems across all inhabited continents, reflecting the ecological plasticity of toxin-producing cyanobacteria and their capacity to colonize diverse climatic zones. Historically, toxin occurrence was considered largely restricted to eutrophic temperate lakes; however, increasing surveillance and improved analytical techniques have revealed a far broader geographic distribution</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{"citationID":"iFXPPm3E","properties":{"formattedCitation":"(Carmichael, 2001)","plainCitation":"(Carmichael, 2001)","noteIndex":0},"citationItems":[{"id":622,"uris":["http://zotero.org/users/local/Xm6IMfD4/items/J2CHQ2LQ"],"itemData":{"id":622,"type":"article-journal","container-title":"Human and Ecological Risk Assessment: An International Journal","DOI":"10.1080/20018091095087","ISSN":"1080-7039, 1549-7860","issue":"5","journalAbbreviation":"Human and Ecological Risk Assessment: An International Journal","language":"en","page":"1393-1407","source":"DOI.org (Crossref)","title":"Health Effects of Toxin-Producing Cyanobacteria: “The CyanoHABs”","title-short":"Health Effects of Toxin-Producing Cyanobacteria","volume":"7","author":[{"family":"Carmichael","given":"Wayne W."}],"issued":{"date-parts":[["2001",9]]}}}],"schema":"https://github.com/citation-style-language/schema/raw/master/csl-citation.json"}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sz w:val="20"/>
        </w:rPr>
        <w:t>(Carmichael, 2001)</w:t>
      </w:r>
      <w:r w:rsidR="00C366C4">
        <w:rPr>
          <w:rFonts w:ascii="Arial" w:hAnsi="Arial" w:cs="Arial"/>
          <w:sz w:val="20"/>
          <w:szCs w:val="20"/>
        </w:rPr>
        <w:fldChar w:fldCharType="end"/>
      </w:r>
      <w:r w:rsidRPr="004F2B88">
        <w:rPr>
          <w:rFonts w:ascii="Arial" w:hAnsi="Arial" w:cs="Arial"/>
          <w:sz w:val="20"/>
          <w:szCs w:val="20"/>
        </w:rPr>
        <w:t xml:space="preserve">. Among the known cyanotoxins, </w:t>
      </w:r>
      <w:proofErr w:type="spellStart"/>
      <w:r w:rsidRPr="004F2B88">
        <w:rPr>
          <w:rFonts w:ascii="Arial" w:hAnsi="Arial" w:cs="Arial"/>
          <w:sz w:val="20"/>
          <w:szCs w:val="20"/>
        </w:rPr>
        <w:t>microcystins</w:t>
      </w:r>
      <w:proofErr w:type="spellEnd"/>
      <w:r w:rsidRPr="004F2B88">
        <w:rPr>
          <w:rFonts w:ascii="Arial" w:hAnsi="Arial" w:cs="Arial"/>
          <w:sz w:val="20"/>
          <w:szCs w:val="20"/>
        </w:rPr>
        <w:t xml:space="preserve"> remain the most frequently detected compounds worldwide, with documented presence in Europe, North America, Asia, Africa, South America, and even polar regions. Their widespread occurrence is largely attributed to bloom-forming genera such as </w:t>
      </w:r>
      <w:r w:rsidRPr="004F2B88">
        <w:rPr>
          <w:rFonts w:ascii="Arial" w:hAnsi="Arial" w:cs="Arial"/>
          <w:i/>
          <w:iCs/>
          <w:sz w:val="20"/>
          <w:szCs w:val="20"/>
        </w:rPr>
        <w:t>Microcystis</w:t>
      </w:r>
      <w:r w:rsidRPr="004F2B88">
        <w:rPr>
          <w:rFonts w:ascii="Arial" w:hAnsi="Arial" w:cs="Arial"/>
          <w:sz w:val="20"/>
          <w:szCs w:val="20"/>
        </w:rPr>
        <w:t xml:space="preserve">, </w:t>
      </w:r>
      <w:proofErr w:type="spellStart"/>
      <w:r w:rsidRPr="004F2B88">
        <w:rPr>
          <w:rFonts w:ascii="Arial" w:hAnsi="Arial" w:cs="Arial"/>
          <w:i/>
          <w:iCs/>
          <w:sz w:val="20"/>
          <w:szCs w:val="20"/>
        </w:rPr>
        <w:t>Dolichospermum</w:t>
      </w:r>
      <w:proofErr w:type="spellEnd"/>
      <w:r w:rsidRPr="004F2B88">
        <w:rPr>
          <w:rFonts w:ascii="Arial" w:hAnsi="Arial" w:cs="Arial"/>
          <w:sz w:val="20"/>
          <w:szCs w:val="20"/>
        </w:rPr>
        <w:t xml:space="preserve">, and </w:t>
      </w:r>
      <w:proofErr w:type="spellStart"/>
      <w:r w:rsidRPr="004F2B88">
        <w:rPr>
          <w:rFonts w:ascii="Arial" w:hAnsi="Arial" w:cs="Arial"/>
          <w:i/>
          <w:iCs/>
          <w:sz w:val="20"/>
          <w:szCs w:val="20"/>
        </w:rPr>
        <w:t>Planktothrix</w:t>
      </w:r>
      <w:proofErr w:type="spellEnd"/>
      <w:r w:rsidRPr="004F2B88">
        <w:rPr>
          <w:rFonts w:ascii="Arial" w:hAnsi="Arial" w:cs="Arial"/>
          <w:sz w:val="20"/>
          <w:szCs w:val="20"/>
        </w:rPr>
        <w:t>, which thrive under nutrient-enriched and thermally stratified conditions</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{"citationID":"Y8ZHo7gu","properties":{"formattedCitation":"(Gaysina et al., 2024)","plainCitation":"(Gaysina et al., 2024)","noteIndex":0},"citationItems":[{"id":1173,"uris":["http://zotero.org/users/local/Xm6IMfD4/items/2WJX3JAF"],"itemData":{"id":1173,"type":"article-journal","container-title":"Inland Water Biology","DOI":"10.1134/S1995082924700627","ISSN":"1995-0829, 1995-0837","issue":"6","journalAbbreviation":"Inland Water Biol","language":"en","page":"977-984","source":"DOI.org (Crossref)","title":"Mutual Influence of Cyanobacteria and Green Algae in Cocultures Using the Example of Dolichospermum spiroides, Planktothrix agardhii, and Chlorella vulgaris","volume":"17","author":[{"family":"Gaysina","given":"L. A."},{"family":"Novikova","given":"E. O."},{"family":"Gibadullina","given":"N. B."},{"family":"Padalka","given":"A. A."},{"family":"Pavlyuk","given":"T. E."}],"issued":{"date-parts":[["2024",12]]}}}],"schema":"https://github.com/citation-style-language/schema/raw/master/csl-citation.json"}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sz w:val="20"/>
        </w:rPr>
        <w:t>(Gaysina et al., 2024)</w:t>
      </w:r>
      <w:r w:rsidR="00C366C4">
        <w:rPr>
          <w:rFonts w:ascii="Arial" w:hAnsi="Arial" w:cs="Arial"/>
          <w:sz w:val="20"/>
          <w:szCs w:val="20"/>
        </w:rPr>
        <w:fldChar w:fldCharType="end"/>
      </w:r>
      <w:r w:rsidRPr="004F2B88">
        <w:rPr>
          <w:rFonts w:ascii="Arial" w:hAnsi="Arial" w:cs="Arial"/>
          <w:sz w:val="20"/>
          <w:szCs w:val="20"/>
        </w:rPr>
        <w:t>.</w:t>
      </w:r>
    </w:p>
    <w:p w14:paraId="7D61D46A" w14:textId="29513569" w:rsidR="008E500A" w:rsidRPr="004D2042" w:rsidRDefault="008E500A" w:rsidP="008E500A">
      <w:pPr>
        <w:ind w:left="142"/>
        <w:jc w:val="both"/>
        <w:rPr>
          <w:rFonts w:ascii="Arial" w:hAnsi="Arial" w:cs="Arial"/>
          <w:sz w:val="20"/>
          <w:szCs w:val="20"/>
        </w:rPr>
      </w:pPr>
      <w:r w:rsidRPr="004F2B88">
        <w:rPr>
          <w:rFonts w:ascii="Arial" w:hAnsi="Arial" w:cs="Arial"/>
          <w:sz w:val="20"/>
          <w:szCs w:val="20"/>
        </w:rPr>
        <w:t xml:space="preserve">Cylindrospermopsin, initially described from tropical and subtropical regions, has demonstrated a notable poleward expansion over the past two decades. Reports from temperate Europe and East Asia indicate that its distribution is no longer geographically constrained, suggesting that climatic warming and hydrological modifications may be facilitating the dispersal of </w:t>
      </w:r>
      <w:proofErr w:type="spellStart"/>
      <w:r w:rsidRPr="004F2B88">
        <w:rPr>
          <w:rFonts w:ascii="Arial" w:hAnsi="Arial" w:cs="Arial"/>
          <w:sz w:val="20"/>
          <w:szCs w:val="20"/>
        </w:rPr>
        <w:t>cylindrospermopsin</w:t>
      </w:r>
      <w:proofErr w:type="spellEnd"/>
      <w:r w:rsidRPr="004F2B88">
        <w:rPr>
          <w:rFonts w:ascii="Arial" w:hAnsi="Arial" w:cs="Arial"/>
          <w:sz w:val="20"/>
          <w:szCs w:val="20"/>
        </w:rPr>
        <w:t xml:space="preserve">-producing taxa such as </w:t>
      </w:r>
      <w:proofErr w:type="spellStart"/>
      <w:r w:rsidRPr="004F2B88">
        <w:rPr>
          <w:rFonts w:ascii="Arial" w:hAnsi="Arial" w:cs="Arial"/>
          <w:i/>
          <w:iCs/>
          <w:sz w:val="20"/>
          <w:szCs w:val="20"/>
        </w:rPr>
        <w:t>Raphidiopsis</w:t>
      </w:r>
      <w:proofErr w:type="spellEnd"/>
      <w:r w:rsidR="00E81518">
        <w:rPr>
          <w:rFonts w:ascii="Arial" w:hAnsi="Arial" w:cs="Arial"/>
          <w:i/>
          <w:iCs/>
          <w:sz w:val="20"/>
          <w:szCs w:val="20"/>
        </w:rPr>
        <w:fldChar w:fldCharType="begin"/>
      </w:r>
      <w:r w:rsidR="007410EB">
        <w:rPr>
          <w:rFonts w:ascii="Arial" w:hAnsi="Arial" w:cs="Arial"/>
          <w:i/>
          <w:iCs/>
          <w:sz w:val="20"/>
          <w:szCs w:val="20"/>
        </w:rPr>
        <w:instrText xml:space="preserve"> ADDIN ZOTERO_ITEM CSL_CITATION {"citationID":"3qIIY46t","properties":{"formattedCitation":"(Hoff-Risseti et al., 2013)","plainCitation":"(Hoff-Risseti et al., 2013)","noteIndex":0},"citationItems":[{"id":858,"uris":["http://zotero.org/users/local/Xm6IMfD4/items/3YIJHJ62"],"itemData":{"id":858,"type":"article-journal","abstract":"The Cylindrospermopsis raciborskii population from Brazilian freshwater is known to produce saxitoxin derivatives (STX), while cylindrospermopsin (CYN), which is commonly detected in isolates from Australia and Asia continents, has thus far not been detected in South American strains. However, during the investigation for the presence of cyrA, cyrB, cyrC and cyrJ CYN synthetase genes in the genomes of four laboratory-cultured C. raciborskii Brazilian strains, the almost complete cyrA gene sequences were obtained for all strains, while cyrB and cyrC gene fragments were observed in two strains. These nucleotide sequences were translated into amino acids, and the predicted protein functions and domains confirmed their identity as CYN synthetase genes. Attempts to PCR amplify cyrJ gene fragments from the four strains were unsuccessful. Phylogenetic analysis grouped the nucleotide sequences together with their homologues found in known CYN synthetase clusters of C. raciborskii strains with high bootstrap support. In addition, fragments of sxtA, sxtB and sxtI genes involved in STX production were also obtained. Extensive LC-MS analyses were unable to detect CYN in the cultured strains, whereas the production of STX and its analogues was confirmed in CENA302, CENA305 and T3. To our knowledge, this is the first study reporting the presence of cyr genes in South American strains of C. raciborskii and the presence of sxt and cyr genes in a single C. raciborskii strain. This discovery suggests a shift in the type of cyanotoxin production over time of South American strains of C. raciborskii and contributes to the reconstruction of the evolutionary history and diversification of cyanobacterial toxins.","container-title":"PLoS ONE","DOI":"10.1371/journal.pone.0074238","ISSN":"1932-6203","issue":"8","journalAbbreviation":"PLoS ONE","language":"en","page":"e74238","source":"DOI.org (Crossref)","title":"Cylindrospermopsin and Saxitoxin Synthetase Genes in Cylindrospermopsis raciborskii Strains from Brazilian Freshwater","volume":"8","author":[{"family":"Hoff-Risseti","given":"Caroline"},{"family":"Dörr","given":"Felipe Augusto"},{"family":"Schaker","given":"Patricia Dayane Carvalho"},{"family":"Pinto","given":"Ernani"},{"family":"Werner","given":"Vera Regina"},{"family":"Fiore","given":"Marli Fatima"}],"editor":[{"family":"Neilan","given":"Brett"}],"issued":{"date-parts":[["2013",8,28]]}}}],"schema":"https://github.com/citation-style-language/schema/raw/master/csl-citation.json"} </w:instrText>
      </w:r>
      <w:r w:rsidR="00E81518">
        <w:rPr>
          <w:rFonts w:ascii="Arial" w:hAnsi="Arial" w:cs="Arial"/>
          <w:i/>
          <w:iCs/>
          <w:sz w:val="20"/>
          <w:szCs w:val="20"/>
        </w:rPr>
        <w:fldChar w:fldCharType="separate"/>
      </w:r>
      <w:r w:rsidR="007410EB" w:rsidRPr="007410EB">
        <w:rPr>
          <w:rFonts w:ascii="Arial" w:hAnsi="Arial" w:cs="Arial"/>
          <w:sz w:val="20"/>
        </w:rPr>
        <w:t>(Hoff-</w:t>
      </w:r>
      <w:proofErr w:type="spellStart"/>
      <w:r w:rsidR="007410EB" w:rsidRPr="007410EB">
        <w:rPr>
          <w:rFonts w:ascii="Arial" w:hAnsi="Arial" w:cs="Arial"/>
          <w:sz w:val="20"/>
        </w:rPr>
        <w:t>Risseti</w:t>
      </w:r>
      <w:proofErr w:type="spellEnd"/>
      <w:r w:rsidR="007410EB" w:rsidRPr="007410EB">
        <w:rPr>
          <w:rFonts w:ascii="Arial" w:hAnsi="Arial" w:cs="Arial"/>
          <w:sz w:val="20"/>
        </w:rPr>
        <w:t xml:space="preserve"> et al., 2013)</w:t>
      </w:r>
      <w:r w:rsidR="00E81518">
        <w:rPr>
          <w:rFonts w:ascii="Arial" w:hAnsi="Arial" w:cs="Arial"/>
          <w:i/>
          <w:iCs/>
          <w:sz w:val="20"/>
          <w:szCs w:val="20"/>
        </w:rPr>
        <w:fldChar w:fldCharType="end"/>
      </w:r>
      <w:r w:rsidRPr="004F2B88">
        <w:rPr>
          <w:rFonts w:ascii="Arial" w:hAnsi="Arial" w:cs="Arial"/>
          <w:sz w:val="20"/>
          <w:szCs w:val="20"/>
        </w:rPr>
        <w:t>. Similarly, saxitoxins and anatoxins, traditionally associated with localized freshwater systems and marine environments, are increasingly documented in inland water bodies, indicating overlapping ecological niches and adaptive flexibility among toxin-producing strains.</w:t>
      </w:r>
      <w:r w:rsidRPr="004D2042">
        <w:rPr>
          <w:rFonts w:ascii="Arial" w:hAnsi="Arial" w:cs="Arial"/>
          <w:sz w:val="20"/>
          <w:szCs w:val="20"/>
        </w:rPr>
        <w:t xml:space="preserve"> </w:t>
      </w:r>
      <w:r w:rsidRPr="004F2B88">
        <w:rPr>
          <w:rFonts w:ascii="Arial" w:hAnsi="Arial" w:cs="Arial"/>
          <w:sz w:val="20"/>
          <w:szCs w:val="20"/>
        </w:rPr>
        <w:t xml:space="preserve">Brackish and estuarine systems represent another important ecological interface, particularly for </w:t>
      </w:r>
      <w:proofErr w:type="spellStart"/>
      <w:r w:rsidRPr="004F2B88">
        <w:rPr>
          <w:rFonts w:ascii="Arial" w:hAnsi="Arial" w:cs="Arial"/>
          <w:sz w:val="20"/>
          <w:szCs w:val="20"/>
        </w:rPr>
        <w:t>nodularins</w:t>
      </w:r>
      <w:proofErr w:type="spellEnd"/>
      <w:r w:rsidRPr="004F2B88">
        <w:rPr>
          <w:rFonts w:ascii="Arial" w:hAnsi="Arial" w:cs="Arial"/>
          <w:sz w:val="20"/>
          <w:szCs w:val="20"/>
        </w:rPr>
        <w:t>, which are frequently reported from semi-enclosed seas such as the Baltic region</w:t>
      </w:r>
      <w:r w:rsidRPr="004D2042">
        <w:rPr>
          <w:rFonts w:ascii="Arial" w:hAnsi="Arial" w:cs="Arial"/>
          <w:sz w:val="20"/>
          <w:szCs w:val="20"/>
        </w:rPr>
        <w:t xml:space="preserve"> (Table 2)</w:t>
      </w:r>
      <w:r w:rsidRPr="004F2B88">
        <w:rPr>
          <w:rFonts w:ascii="Arial" w:hAnsi="Arial" w:cs="Arial"/>
          <w:sz w:val="20"/>
          <w:szCs w:val="20"/>
        </w:rPr>
        <w:t xml:space="preserve">. Meanwhile, marine cyanotoxins including </w:t>
      </w:r>
      <w:proofErr w:type="spellStart"/>
      <w:r w:rsidRPr="004F2B88">
        <w:rPr>
          <w:rFonts w:ascii="Arial" w:hAnsi="Arial" w:cs="Arial"/>
          <w:sz w:val="20"/>
          <w:szCs w:val="20"/>
        </w:rPr>
        <w:t>lyngbyatoxins</w:t>
      </w:r>
      <w:proofErr w:type="spellEnd"/>
      <w:r w:rsidRPr="004F2B88">
        <w:rPr>
          <w:rFonts w:ascii="Arial" w:hAnsi="Arial" w:cs="Arial"/>
          <w:sz w:val="20"/>
          <w:szCs w:val="20"/>
        </w:rPr>
        <w:t xml:space="preserve"> are primarily observed in tropical coastal ecosystems, where elevated sea surface temperatures and nutrient influx promote harmful algal proliferation</w:t>
      </w:r>
      <w:r w:rsidR="00E81518">
        <w:rPr>
          <w:rFonts w:ascii="Arial" w:hAnsi="Arial" w:cs="Arial"/>
          <w:sz w:val="20"/>
          <w:szCs w:val="20"/>
        </w:rPr>
        <w:t>s</w:t>
      </w:r>
      <w:r w:rsidR="00E81518">
        <w:rPr>
          <w:rFonts w:ascii="Arial" w:hAnsi="Arial" w:cs="Arial"/>
          <w:sz w:val="20"/>
          <w:szCs w:val="20"/>
        </w:rPr>
        <w:fldChar w:fldCharType="begin"/>
      </w:r>
      <w:r w:rsidR="007410EB">
        <w:rPr>
          <w:rFonts w:ascii="Arial" w:hAnsi="Arial" w:cs="Arial"/>
          <w:sz w:val="20"/>
          <w:szCs w:val="20"/>
        </w:rPr>
        <w:instrText xml:space="preserve"> ADDIN ZOTERO_ITEM CSL_CITATION {"citationID":"YMf1xLuT","properties":{"formattedCitation":"(Ramya et al., 2024)","plainCitation":"(Ramya et al., 2024)","noteIndex":0},"citationItems":[{"id":840,"uris":["http://zotero.org/users/local/Xm6IMfD4/items/JHW4VYRX"],"itemData":{"id":840,"type":"article-journal","abstract":"Abstract\n            \n              Globally, dwindling potable water supplies and toxic waste triggered by human activities and climate change are substantial concerns. Below these occurrences, the suitability of drinking water regulations and their diligent execution are critical issues in maintaining human health. Unfortunately, even in developed countries, many infectious diseases (and other unidentified health effects) are linked to drinking water. These changes impact the harmful growth of Cyanobacteria or blue-green algae. Cyanobacteria-produced toxins can harm humans if they compromise drinking or ingested foods. Toxins like microcystin kill humans and creatures, leading to severe medical conditions. The present research focussed on the isolation, and identification of Cyanobacteria from the Veeranam Lake in the Cuddalore district of Tamil Nadu, India. The (ADDA)-specific ELISA technique is preferred to check the cytotoxicity in identified strains. The IC50 values of \n              Leptolyngbya\n               sp. showed 17.72 (g/L), and \n              Desertifilum\n               sp. exhibited 19.38 (g/L). Consequently, in (ADDA)-specific Microcystin quantitative assessment,\n              Desertifilum\n              sp. had higher toxin concentrations than\n              Leptolyngbya\n              sp. after the samples' singlet, duplicate, and triplicate values. Such toxicity evidence indicates that the concerns necessitate monitoring and maximum sustainability, especially when considering the various incipient toxins and the constantly evolving techniques to deal with them.","container-title":"Environmental Sciences Europe","DOI":"10.1186/s12302-023-00791-8","ISSN":"2190-4715","issue":"1","journalAbbreviation":"Environ Sci Eur","language":"en","page":"1","source":"DOI.org (Crossref)","title":"Analysis of cyanotoxins in Desertifilum and Leptolyngbya from Veeranam Lake: a potential health risk for Chennai, India","title-short":"Analysis of cyanotoxins in Desertifilum and Leptolyngbya from Veeranam Lake","volume":"36","author":[{"family":"Ramya","given":"Mohan"},{"family":"Elumalai","given":"Sanniyasi"},{"family":"Umamaheswari","given":"Arthanari"}],"issued":{"date-parts":[["2024",1,2]]}}}],"schema":"https://github.com/citation-style-language/schema/raw/master/csl-citation.json"} </w:instrText>
      </w:r>
      <w:r w:rsidR="00E81518">
        <w:rPr>
          <w:rFonts w:ascii="Arial" w:hAnsi="Arial" w:cs="Arial"/>
          <w:sz w:val="20"/>
          <w:szCs w:val="20"/>
        </w:rPr>
        <w:fldChar w:fldCharType="separate"/>
      </w:r>
      <w:r w:rsidR="007410EB" w:rsidRPr="007410EB">
        <w:rPr>
          <w:rFonts w:ascii="Arial" w:hAnsi="Arial" w:cs="Arial"/>
          <w:sz w:val="20"/>
        </w:rPr>
        <w:t>(Ramya et al., 2024)</w:t>
      </w:r>
      <w:r w:rsidR="00E81518">
        <w:rPr>
          <w:rFonts w:ascii="Arial" w:hAnsi="Arial" w:cs="Arial"/>
          <w:sz w:val="20"/>
          <w:szCs w:val="20"/>
        </w:rPr>
        <w:fldChar w:fldCharType="end"/>
      </w:r>
      <w:r w:rsidR="00E81518">
        <w:rPr>
          <w:rFonts w:ascii="Arial" w:hAnsi="Arial" w:cs="Arial"/>
          <w:sz w:val="20"/>
          <w:szCs w:val="20"/>
        </w:rPr>
        <w:t>.</w:t>
      </w:r>
    </w:p>
    <w:p w14:paraId="186B5C08" w14:textId="13BCF458" w:rsidR="00D00BD6" w:rsidRDefault="008E500A" w:rsidP="008E500A">
      <w:pPr>
        <w:ind w:left="142"/>
        <w:jc w:val="both"/>
        <w:rPr>
          <w:rFonts w:ascii="Arial" w:hAnsi="Arial" w:cs="Arial"/>
          <w:sz w:val="20"/>
          <w:szCs w:val="20"/>
        </w:rPr>
      </w:pPr>
      <w:r w:rsidRPr="004D2042">
        <w:rPr>
          <w:rFonts w:ascii="Arial" w:hAnsi="Arial" w:cs="Arial"/>
          <w:sz w:val="20"/>
          <w:szCs w:val="20"/>
        </w:rPr>
        <w:t>Notably, the detection of cyanotoxins in polar and high-altitude environments challenges earlier assumptions regarding their thermal limitations. Evidence from Antarctic and alpine lakes suggests that toxin biosynthesis is not restricted to warm climates but may instead represent an adaptive ecological strategy. Collectively, these observations indicate that cyanotoxin distribution is shaped by a complex interplay of climatic, physicochemical, and biogeographical factors</w:t>
      </w:r>
      <w:r w:rsidR="00E81518">
        <w:rPr>
          <w:rFonts w:ascii="Arial" w:hAnsi="Arial" w:cs="Arial"/>
          <w:sz w:val="20"/>
          <w:szCs w:val="20"/>
        </w:rPr>
        <w:fldChar w:fldCharType="begin"/>
      </w:r>
      <w:r w:rsidR="007410EB">
        <w:rPr>
          <w:rFonts w:ascii="Arial" w:hAnsi="Arial" w:cs="Arial"/>
          <w:sz w:val="20"/>
          <w:szCs w:val="20"/>
        </w:rPr>
        <w:instrText xml:space="preserve"> ADDIN ZOTERO_ITEM CSL_CITATION {"citationID":"pFUhDOoa","properties":{"formattedCitation":"(Dalu &amp; Wasserman, 2018)","plainCitation":"(Dalu &amp; Wasserman, 2018)","noteIndex":0},"citationItems":[{"id":1174,"uris":["http://zotero.org/users/local/Xm6IMfD4/items/5BAFZL2V"],"itemData":{"id":1174,"type":"article-journal","container-title":"Science of The Total Environment","DOI":"10.1016/j.scitotenv.2018.06.256","ISSN":"00489697","journalAbbreviation":"Science of The Total Environment","language":"en","page":"835-841","source":"DOI.org (Crossref)","title":"Cyanobacteria dynamics in a small tropical reservoir: Understanding spatio-temporal variability and influence of environmental variables","title-short":"Cyanobacteria dynamics in a small tropical reservoir","volume":"643","author":[{"family":"Dalu","given":"Tatenda"},{"family":"Wasserman","given":"Ryan J."}],"issued":{"date-parts":[["2018",12]]}}}],"schema":"https://github.com/citation-style-language/schema/raw/master/csl-citation.json"} </w:instrText>
      </w:r>
      <w:r w:rsidR="00E81518">
        <w:rPr>
          <w:rFonts w:ascii="Arial" w:hAnsi="Arial" w:cs="Arial"/>
          <w:sz w:val="20"/>
          <w:szCs w:val="20"/>
        </w:rPr>
        <w:fldChar w:fldCharType="separate"/>
      </w:r>
      <w:r w:rsidR="007410EB" w:rsidRPr="007410EB">
        <w:rPr>
          <w:rFonts w:ascii="Arial" w:hAnsi="Arial" w:cs="Arial"/>
          <w:sz w:val="20"/>
        </w:rPr>
        <w:t>(Dalu &amp; Wasserman, 2018)</w:t>
      </w:r>
      <w:r w:rsidR="00E81518">
        <w:rPr>
          <w:rFonts w:ascii="Arial" w:hAnsi="Arial" w:cs="Arial"/>
          <w:sz w:val="20"/>
          <w:szCs w:val="20"/>
        </w:rPr>
        <w:fldChar w:fldCharType="end"/>
      </w:r>
      <w:r w:rsidR="006A7ED7" w:rsidRPr="004D2042">
        <w:rPr>
          <w:rFonts w:ascii="Arial" w:hAnsi="Arial" w:cs="Arial"/>
          <w:sz w:val="20"/>
          <w:szCs w:val="20"/>
        </w:rPr>
        <w:t>.</w:t>
      </w:r>
    </w:p>
    <w:p w14:paraId="37A99881" w14:textId="39B2F1E4" w:rsidR="0015545D" w:rsidRPr="00D00BD6" w:rsidRDefault="0015545D" w:rsidP="00D00BD6">
      <w:pPr>
        <w:ind w:left="993"/>
        <w:jc w:val="both"/>
        <w:rPr>
          <w:rFonts w:ascii="Arial" w:hAnsi="Arial" w:cs="Arial"/>
          <w:sz w:val="20"/>
          <w:szCs w:val="20"/>
        </w:rPr>
        <w:sectPr w:rsidR="0015545D" w:rsidRPr="00D00BD6" w:rsidSect="00DA0F27">
          <w:type w:val="continuous"/>
          <w:pgSz w:w="11906" w:h="16838"/>
          <w:pgMar w:top="851" w:right="1274" w:bottom="0" w:left="1276" w:header="708" w:footer="708" w:gutter="0"/>
          <w:cols w:space="708"/>
          <w:docGrid w:linePitch="360"/>
        </w:sectPr>
      </w:pPr>
    </w:p>
    <w:p w14:paraId="3923372D" w14:textId="77777777" w:rsidR="006A7ED7" w:rsidRDefault="006A7ED7">
      <w:pPr>
        <w:rPr>
          <w:rFonts w:ascii="Arial" w:hAnsi="Arial" w:cs="Arial"/>
        </w:rPr>
      </w:pPr>
    </w:p>
    <w:p w14:paraId="3ED28C4F" w14:textId="77777777" w:rsidR="00E37D2B" w:rsidRPr="00E37D2B" w:rsidRDefault="00E37D2B" w:rsidP="00E37D2B">
      <w:pPr>
        <w:rPr>
          <w:rFonts w:ascii="Arial" w:hAnsi="Arial" w:cs="Arial"/>
        </w:rPr>
      </w:pPr>
    </w:p>
    <w:p w14:paraId="54D44817" w14:textId="4023F1A0" w:rsidR="00E37D2B" w:rsidRPr="00E37D2B" w:rsidRDefault="00E37D2B" w:rsidP="00E37D2B">
      <w:pPr>
        <w:rPr>
          <w:rFonts w:ascii="Arial" w:hAnsi="Arial" w:cs="Arial"/>
          <w:b/>
          <w:bCs/>
        </w:rPr>
      </w:pPr>
      <w:r w:rsidRPr="00E37D2B">
        <w:rPr>
          <w:rFonts w:ascii="Arial" w:hAnsi="Arial" w:cs="Arial"/>
          <w:b/>
          <w:bCs/>
        </w:rPr>
        <w:t>Table 2: Global Distribution and Characteristics of Major Cyanotoxins</w:t>
      </w:r>
    </w:p>
    <w:tbl>
      <w:tblPr>
        <w:tblStyle w:val="TableGrid"/>
        <w:tblpPr w:leftFromText="180" w:rightFromText="180" w:vertAnchor="text" w:horzAnchor="page" w:tblpX="1256" w:tblpY="1402"/>
        <w:tblW w:w="14737" w:type="dxa"/>
        <w:tblLook w:val="04A0" w:firstRow="1" w:lastRow="0" w:firstColumn="1" w:lastColumn="0" w:noHBand="0" w:noVBand="1"/>
      </w:tblPr>
      <w:tblGrid>
        <w:gridCol w:w="2405"/>
        <w:gridCol w:w="1883"/>
        <w:gridCol w:w="2179"/>
        <w:gridCol w:w="1341"/>
        <w:gridCol w:w="1944"/>
        <w:gridCol w:w="1574"/>
        <w:gridCol w:w="1959"/>
        <w:gridCol w:w="1452"/>
      </w:tblGrid>
      <w:tr w:rsidR="00E37D2B" w:rsidRPr="0058495E" w14:paraId="1256990A" w14:textId="77777777" w:rsidTr="00E37D2B">
        <w:trPr>
          <w:trHeight w:val="108"/>
        </w:trPr>
        <w:tc>
          <w:tcPr>
            <w:tcW w:w="2405" w:type="dxa"/>
            <w:vAlign w:val="center"/>
          </w:tcPr>
          <w:p w14:paraId="726AFCF0" w14:textId="77777777" w:rsidR="00E37D2B" w:rsidRPr="0058495E" w:rsidRDefault="00E37D2B" w:rsidP="00E37D2B">
            <w:pPr>
              <w:jc w:val="both"/>
              <w:rPr>
                <w:rFonts w:ascii="Arial" w:hAnsi="Arial" w:cs="Arial"/>
              </w:rPr>
            </w:pPr>
            <w:r w:rsidRPr="001C3C3E">
              <w:rPr>
                <w:rFonts w:ascii="Arial" w:hAnsi="Arial" w:cs="Arial"/>
                <w:b/>
                <w:bCs/>
              </w:rPr>
              <w:t>Toxin</w:t>
            </w:r>
          </w:p>
        </w:tc>
        <w:tc>
          <w:tcPr>
            <w:tcW w:w="1884" w:type="dxa"/>
            <w:vAlign w:val="center"/>
          </w:tcPr>
          <w:p w14:paraId="0D766F3D" w14:textId="77777777" w:rsidR="00E37D2B" w:rsidRPr="0058495E" w:rsidRDefault="00E37D2B" w:rsidP="00350470">
            <w:pPr>
              <w:jc w:val="center"/>
              <w:rPr>
                <w:rFonts w:ascii="Arial" w:hAnsi="Arial" w:cs="Arial"/>
              </w:rPr>
            </w:pPr>
            <w:r w:rsidRPr="001C3C3E">
              <w:rPr>
                <w:rFonts w:ascii="Arial" w:hAnsi="Arial" w:cs="Arial"/>
                <w:b/>
                <w:bCs/>
              </w:rPr>
              <w:t>Chemical Nature</w:t>
            </w:r>
          </w:p>
        </w:tc>
        <w:tc>
          <w:tcPr>
            <w:tcW w:w="2181" w:type="dxa"/>
            <w:vAlign w:val="center"/>
          </w:tcPr>
          <w:p w14:paraId="139627F1" w14:textId="77777777" w:rsidR="00E37D2B" w:rsidRPr="0058495E" w:rsidRDefault="00E37D2B" w:rsidP="006A1D41">
            <w:pPr>
              <w:jc w:val="center"/>
              <w:rPr>
                <w:rFonts w:ascii="Arial" w:hAnsi="Arial" w:cs="Arial"/>
              </w:rPr>
            </w:pPr>
            <w:r w:rsidRPr="001C3C3E">
              <w:rPr>
                <w:rFonts w:ascii="Arial" w:hAnsi="Arial" w:cs="Arial"/>
                <w:b/>
                <w:bCs/>
              </w:rPr>
              <w:t>Key Structural Feature</w:t>
            </w:r>
          </w:p>
        </w:tc>
        <w:tc>
          <w:tcPr>
            <w:tcW w:w="1342" w:type="dxa"/>
            <w:vAlign w:val="center"/>
          </w:tcPr>
          <w:p w14:paraId="0287058C" w14:textId="77777777" w:rsidR="00E37D2B" w:rsidRPr="0058495E" w:rsidRDefault="00E37D2B" w:rsidP="006A1D41">
            <w:pPr>
              <w:jc w:val="center"/>
              <w:rPr>
                <w:rFonts w:ascii="Arial" w:hAnsi="Arial" w:cs="Arial"/>
              </w:rPr>
            </w:pPr>
            <w:r w:rsidRPr="001C3C3E">
              <w:rPr>
                <w:rFonts w:ascii="Arial" w:hAnsi="Arial" w:cs="Arial"/>
                <w:b/>
                <w:bCs/>
              </w:rPr>
              <w:t>Molecular Weight (approx.)</w:t>
            </w:r>
          </w:p>
        </w:tc>
        <w:tc>
          <w:tcPr>
            <w:tcW w:w="1945" w:type="dxa"/>
            <w:vAlign w:val="center"/>
          </w:tcPr>
          <w:p w14:paraId="10EC79CB" w14:textId="77777777" w:rsidR="00E37D2B" w:rsidRPr="0058495E" w:rsidRDefault="00E37D2B" w:rsidP="006A1D41">
            <w:pPr>
              <w:jc w:val="center"/>
              <w:rPr>
                <w:rFonts w:ascii="Arial" w:hAnsi="Arial" w:cs="Arial"/>
              </w:rPr>
            </w:pPr>
            <w:r w:rsidRPr="001C3C3E">
              <w:rPr>
                <w:rFonts w:ascii="Arial" w:hAnsi="Arial" w:cs="Arial"/>
                <w:b/>
                <w:bCs/>
              </w:rPr>
              <w:t>Major Producing Genera</w:t>
            </w:r>
          </w:p>
        </w:tc>
        <w:tc>
          <w:tcPr>
            <w:tcW w:w="1575" w:type="dxa"/>
            <w:vAlign w:val="center"/>
          </w:tcPr>
          <w:p w14:paraId="5B09217C" w14:textId="77777777" w:rsidR="00E37D2B" w:rsidRPr="0058495E" w:rsidRDefault="00E37D2B" w:rsidP="006A1D41">
            <w:pPr>
              <w:jc w:val="center"/>
              <w:rPr>
                <w:rFonts w:ascii="Arial" w:hAnsi="Arial" w:cs="Arial"/>
              </w:rPr>
            </w:pPr>
            <w:r w:rsidRPr="001C3C3E">
              <w:rPr>
                <w:rFonts w:ascii="Arial" w:hAnsi="Arial" w:cs="Arial"/>
                <w:b/>
                <w:bCs/>
              </w:rPr>
              <w:t>Typical Aquatic Environment</w:t>
            </w:r>
          </w:p>
        </w:tc>
        <w:tc>
          <w:tcPr>
            <w:tcW w:w="1988" w:type="dxa"/>
            <w:vAlign w:val="center"/>
          </w:tcPr>
          <w:p w14:paraId="0856807F" w14:textId="77777777" w:rsidR="00E37D2B" w:rsidRPr="0058495E" w:rsidRDefault="00E37D2B" w:rsidP="006A1D41">
            <w:pPr>
              <w:jc w:val="center"/>
              <w:rPr>
                <w:rFonts w:ascii="Arial" w:hAnsi="Arial" w:cs="Arial"/>
              </w:rPr>
            </w:pPr>
            <w:r w:rsidRPr="001C3C3E">
              <w:rPr>
                <w:rFonts w:ascii="Arial" w:hAnsi="Arial" w:cs="Arial"/>
                <w:b/>
                <w:bCs/>
              </w:rPr>
              <w:t>Global Distribution Pattern</w:t>
            </w:r>
          </w:p>
        </w:tc>
        <w:tc>
          <w:tcPr>
            <w:tcW w:w="1417" w:type="dxa"/>
          </w:tcPr>
          <w:p w14:paraId="798C3192" w14:textId="766BE076" w:rsidR="00E37D2B" w:rsidRPr="001C3C3E" w:rsidRDefault="003573E6" w:rsidP="00E37D2B">
            <w:pPr>
              <w:jc w:val="both"/>
              <w:rPr>
                <w:rFonts w:ascii="Arial" w:hAnsi="Arial" w:cs="Arial"/>
                <w:b/>
                <w:bCs/>
              </w:rPr>
            </w:pPr>
            <w:r>
              <w:rPr>
                <w:rFonts w:ascii="Arial" w:hAnsi="Arial" w:cs="Arial"/>
                <w:b/>
                <w:bCs/>
              </w:rPr>
              <w:t>References</w:t>
            </w:r>
          </w:p>
        </w:tc>
      </w:tr>
      <w:tr w:rsidR="00E37D2B" w:rsidRPr="0058495E" w14:paraId="6F152E68" w14:textId="77777777" w:rsidTr="00E37D2B">
        <w:trPr>
          <w:trHeight w:val="728"/>
        </w:trPr>
        <w:tc>
          <w:tcPr>
            <w:tcW w:w="2405" w:type="dxa"/>
            <w:vAlign w:val="center"/>
          </w:tcPr>
          <w:p w14:paraId="1F39D6CC" w14:textId="77777777" w:rsidR="00E37D2B" w:rsidRPr="0058495E" w:rsidRDefault="00E37D2B" w:rsidP="00E37D2B">
            <w:pPr>
              <w:jc w:val="both"/>
              <w:rPr>
                <w:rFonts w:ascii="Arial" w:hAnsi="Arial" w:cs="Arial"/>
              </w:rPr>
            </w:pPr>
            <w:proofErr w:type="spellStart"/>
            <w:r w:rsidRPr="001C3C3E">
              <w:rPr>
                <w:rFonts w:ascii="Arial" w:hAnsi="Arial" w:cs="Arial"/>
                <w:b/>
                <w:bCs/>
              </w:rPr>
              <w:t>Microcystins</w:t>
            </w:r>
            <w:proofErr w:type="spellEnd"/>
            <w:r w:rsidRPr="001C3C3E">
              <w:rPr>
                <w:rFonts w:ascii="Arial" w:hAnsi="Arial" w:cs="Arial"/>
                <w:b/>
                <w:bCs/>
              </w:rPr>
              <w:t xml:space="preserve"> (MCs)</w:t>
            </w:r>
          </w:p>
        </w:tc>
        <w:tc>
          <w:tcPr>
            <w:tcW w:w="1884" w:type="dxa"/>
            <w:vAlign w:val="center"/>
          </w:tcPr>
          <w:p w14:paraId="08F21280" w14:textId="77777777" w:rsidR="00E37D2B" w:rsidRPr="0058495E" w:rsidRDefault="00E37D2B" w:rsidP="00E37D2B">
            <w:pPr>
              <w:jc w:val="center"/>
              <w:rPr>
                <w:rFonts w:ascii="Arial" w:hAnsi="Arial" w:cs="Arial"/>
              </w:rPr>
            </w:pPr>
            <w:r w:rsidRPr="001C3C3E">
              <w:rPr>
                <w:rFonts w:ascii="Arial" w:hAnsi="Arial" w:cs="Arial"/>
              </w:rPr>
              <w:t>Cyclic heptapeptide</w:t>
            </w:r>
          </w:p>
        </w:tc>
        <w:tc>
          <w:tcPr>
            <w:tcW w:w="2181" w:type="dxa"/>
            <w:vAlign w:val="center"/>
          </w:tcPr>
          <w:p w14:paraId="49BC696E" w14:textId="77777777" w:rsidR="00E37D2B" w:rsidRPr="0058495E" w:rsidRDefault="00E37D2B" w:rsidP="00B135CC">
            <w:pPr>
              <w:jc w:val="center"/>
              <w:rPr>
                <w:rFonts w:ascii="Arial" w:hAnsi="Arial" w:cs="Arial"/>
              </w:rPr>
            </w:pPr>
            <w:r w:rsidRPr="001C3C3E">
              <w:rPr>
                <w:rFonts w:ascii="Arial" w:hAnsi="Arial" w:cs="Arial"/>
              </w:rPr>
              <w:t>Adda side chain (3-amino-9-methoxy-2,6,8-trimethyl-10-phenyldeca-4,6-dienoic acid); stable cyclic ring</w:t>
            </w:r>
          </w:p>
        </w:tc>
        <w:tc>
          <w:tcPr>
            <w:tcW w:w="1342" w:type="dxa"/>
            <w:vAlign w:val="center"/>
          </w:tcPr>
          <w:p w14:paraId="5C256BE3" w14:textId="77777777" w:rsidR="00E37D2B" w:rsidRPr="0058495E" w:rsidRDefault="00E37D2B" w:rsidP="00E37D2B">
            <w:pPr>
              <w:jc w:val="both"/>
              <w:rPr>
                <w:rFonts w:ascii="Arial" w:hAnsi="Arial" w:cs="Arial"/>
              </w:rPr>
            </w:pPr>
            <w:r w:rsidRPr="001C3C3E">
              <w:rPr>
                <w:rFonts w:ascii="Arial" w:hAnsi="Arial" w:cs="Arial"/>
              </w:rPr>
              <w:t>~995–1050 Da (variant dependent)</w:t>
            </w:r>
          </w:p>
        </w:tc>
        <w:tc>
          <w:tcPr>
            <w:tcW w:w="1945" w:type="dxa"/>
            <w:vAlign w:val="center"/>
          </w:tcPr>
          <w:p w14:paraId="22A8D5E2" w14:textId="77777777" w:rsidR="00E37D2B" w:rsidRPr="0058495E" w:rsidRDefault="00E37D2B" w:rsidP="00E37D2B">
            <w:pPr>
              <w:jc w:val="both"/>
              <w:rPr>
                <w:rFonts w:ascii="Arial" w:hAnsi="Arial" w:cs="Arial"/>
              </w:rPr>
            </w:pPr>
            <w:r w:rsidRPr="001C3C3E">
              <w:rPr>
                <w:rFonts w:ascii="Arial" w:hAnsi="Arial" w:cs="Arial"/>
                <w:i/>
                <w:iCs/>
              </w:rPr>
              <w:t>Microcystis</w:t>
            </w:r>
            <w:r w:rsidRPr="001C3C3E">
              <w:rPr>
                <w:rFonts w:ascii="Arial" w:hAnsi="Arial" w:cs="Arial"/>
              </w:rPr>
              <w:t xml:space="preserve">, </w:t>
            </w:r>
            <w:proofErr w:type="spellStart"/>
            <w:r w:rsidRPr="001C3C3E">
              <w:rPr>
                <w:rFonts w:ascii="Arial" w:hAnsi="Arial" w:cs="Arial"/>
                <w:i/>
                <w:iCs/>
              </w:rPr>
              <w:t>Dolichospermum</w:t>
            </w:r>
            <w:proofErr w:type="spellEnd"/>
            <w:r w:rsidRPr="001C3C3E">
              <w:rPr>
                <w:rFonts w:ascii="Arial" w:hAnsi="Arial" w:cs="Arial"/>
              </w:rPr>
              <w:t xml:space="preserve">, </w:t>
            </w:r>
            <w:proofErr w:type="spellStart"/>
            <w:r w:rsidRPr="001C3C3E">
              <w:rPr>
                <w:rFonts w:ascii="Arial" w:hAnsi="Arial" w:cs="Arial"/>
                <w:i/>
                <w:iCs/>
              </w:rPr>
              <w:t>Planktothrix</w:t>
            </w:r>
            <w:proofErr w:type="spellEnd"/>
            <w:r w:rsidRPr="001C3C3E">
              <w:rPr>
                <w:rFonts w:ascii="Arial" w:hAnsi="Arial" w:cs="Arial"/>
              </w:rPr>
              <w:t xml:space="preserve">, </w:t>
            </w:r>
            <w:proofErr w:type="spellStart"/>
            <w:r w:rsidRPr="001C3C3E">
              <w:rPr>
                <w:rFonts w:ascii="Arial" w:hAnsi="Arial" w:cs="Arial"/>
                <w:i/>
                <w:iCs/>
              </w:rPr>
              <w:t>Nostoc</w:t>
            </w:r>
            <w:proofErr w:type="spellEnd"/>
          </w:p>
        </w:tc>
        <w:tc>
          <w:tcPr>
            <w:tcW w:w="1575" w:type="dxa"/>
            <w:vAlign w:val="center"/>
          </w:tcPr>
          <w:p w14:paraId="42220097" w14:textId="77777777" w:rsidR="00E37D2B" w:rsidRPr="0058495E" w:rsidRDefault="00E37D2B" w:rsidP="00E37D2B">
            <w:pPr>
              <w:jc w:val="center"/>
              <w:rPr>
                <w:rFonts w:ascii="Arial" w:hAnsi="Arial" w:cs="Arial"/>
              </w:rPr>
            </w:pPr>
            <w:r w:rsidRPr="001C3C3E">
              <w:rPr>
                <w:rFonts w:ascii="Arial" w:hAnsi="Arial" w:cs="Arial"/>
              </w:rPr>
              <w:t>Freshwater lakes, reservoirs, ponds</w:t>
            </w:r>
          </w:p>
        </w:tc>
        <w:tc>
          <w:tcPr>
            <w:tcW w:w="1988" w:type="dxa"/>
            <w:vAlign w:val="center"/>
          </w:tcPr>
          <w:p w14:paraId="2D7D7141" w14:textId="77777777" w:rsidR="00E37D2B" w:rsidRPr="0058495E" w:rsidRDefault="00E37D2B" w:rsidP="00E37D2B">
            <w:pPr>
              <w:jc w:val="center"/>
              <w:rPr>
                <w:rFonts w:ascii="Arial" w:hAnsi="Arial" w:cs="Arial"/>
              </w:rPr>
            </w:pPr>
            <w:r w:rsidRPr="001C3C3E">
              <w:rPr>
                <w:rFonts w:ascii="Arial" w:hAnsi="Arial" w:cs="Arial"/>
              </w:rPr>
              <w:t>Most widespread cyanotoxin; reported on all continents including Antarctica</w:t>
            </w:r>
          </w:p>
        </w:tc>
        <w:tc>
          <w:tcPr>
            <w:tcW w:w="1417" w:type="dxa"/>
          </w:tcPr>
          <w:p w14:paraId="406EA0A2" w14:textId="68C94BF1"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{"citationID":"CSXqweFS","properties":{"formattedCitation":"(Zagorevskii et al., 1997)","plainCitation":"(Zagorevskii et al., 1997)","noteIndex":0},"citationItems":[{"id":1153,"uris":["http://zotero.org/users/local/Xm6IMfD4/items/3F7B4BFM"],"itemData":{"id":1153,"type":"article-journal","container-title":"European Journal of Mass Spectrometry","DOI":"10.1255/ejms.22","ISSN":"1356-1049","issue":"1","journalAbbreviation":"Eur. J. Mass Spectrom.","language":"en","page":"27","source":"DOI.org (Crossref)","title":"A tandem mass spectrometry and Fourier transform ion cyclotron resonance (FTICR) study of RMn+ (crown-ether) complexes in the gas phase","volume":"3","author":[{"family":"Zagorevskii","given":"Dmitri"},{"family":"Holmes","given":"John"},{"family":"Watson","given":"Clifford"},{"family":"Eyler","given":"John"}],"issued":{"date-parts":[["1997"]]}}}],"schema":"https://github.com/citation-style-language/schema/raw/master/csl-citation.json"} </w:instrText>
            </w:r>
            <w:r>
              <w:rPr>
                <w:rFonts w:ascii="Arial" w:hAnsi="Arial" w:cs="Arial"/>
              </w:rPr>
              <w:fldChar w:fldCharType="separate"/>
            </w:r>
            <w:r w:rsidR="007410EB" w:rsidRPr="007410EB">
              <w:rPr>
                <w:rFonts w:ascii="Arial" w:hAnsi="Arial" w:cs="Arial"/>
              </w:rPr>
              <w:t>(Zagorevskii et al., 1997)</w:t>
            </w:r>
            <w:r>
              <w:rPr>
                <w:rFonts w:ascii="Arial" w:hAnsi="Arial" w:cs="Arial"/>
              </w:rPr>
              <w:fldChar w:fldCharType="end"/>
            </w:r>
          </w:p>
        </w:tc>
      </w:tr>
      <w:tr w:rsidR="00E37D2B" w:rsidRPr="0058495E" w14:paraId="27E378F3" w14:textId="77777777" w:rsidTr="00E37D2B">
        <w:trPr>
          <w:trHeight w:val="773"/>
        </w:trPr>
        <w:tc>
          <w:tcPr>
            <w:tcW w:w="2405" w:type="dxa"/>
            <w:vAlign w:val="center"/>
          </w:tcPr>
          <w:p w14:paraId="1AA23788" w14:textId="77777777" w:rsidR="00E37D2B" w:rsidRPr="0058495E" w:rsidRDefault="00E37D2B" w:rsidP="00E37D2B">
            <w:pPr>
              <w:jc w:val="both"/>
              <w:rPr>
                <w:rFonts w:ascii="Arial" w:hAnsi="Arial" w:cs="Arial"/>
              </w:rPr>
            </w:pPr>
            <w:proofErr w:type="spellStart"/>
            <w:r w:rsidRPr="001C3C3E">
              <w:rPr>
                <w:rFonts w:ascii="Arial" w:hAnsi="Arial" w:cs="Arial"/>
                <w:b/>
                <w:bCs/>
              </w:rPr>
              <w:t>Nodularins</w:t>
            </w:r>
            <w:proofErr w:type="spellEnd"/>
            <w:r w:rsidRPr="001C3C3E">
              <w:rPr>
                <w:rFonts w:ascii="Arial" w:hAnsi="Arial" w:cs="Arial"/>
                <w:b/>
                <w:bCs/>
              </w:rPr>
              <w:t xml:space="preserve"> (NODs)</w:t>
            </w:r>
          </w:p>
        </w:tc>
        <w:tc>
          <w:tcPr>
            <w:tcW w:w="1884" w:type="dxa"/>
            <w:vAlign w:val="center"/>
          </w:tcPr>
          <w:p w14:paraId="5C3917AC" w14:textId="77777777" w:rsidR="00E37D2B" w:rsidRPr="0058495E" w:rsidRDefault="00E37D2B" w:rsidP="00E37D2B">
            <w:pPr>
              <w:jc w:val="center"/>
              <w:rPr>
                <w:rFonts w:ascii="Arial" w:hAnsi="Arial" w:cs="Arial"/>
              </w:rPr>
            </w:pPr>
            <w:r w:rsidRPr="001C3C3E">
              <w:rPr>
                <w:rFonts w:ascii="Arial" w:hAnsi="Arial" w:cs="Arial"/>
              </w:rPr>
              <w:t>Cyclic pentapeptide</w:t>
            </w:r>
          </w:p>
        </w:tc>
        <w:tc>
          <w:tcPr>
            <w:tcW w:w="2181" w:type="dxa"/>
            <w:vAlign w:val="center"/>
          </w:tcPr>
          <w:p w14:paraId="154E1554" w14:textId="77777777" w:rsidR="00E37D2B" w:rsidRPr="0058495E" w:rsidRDefault="00E37D2B" w:rsidP="00B135CC">
            <w:pPr>
              <w:jc w:val="center"/>
              <w:rPr>
                <w:rFonts w:ascii="Arial" w:hAnsi="Arial" w:cs="Arial"/>
              </w:rPr>
            </w:pPr>
            <w:r w:rsidRPr="001C3C3E">
              <w:rPr>
                <w:rFonts w:ascii="Arial" w:hAnsi="Arial" w:cs="Arial"/>
              </w:rPr>
              <w:t>Adda-like moiety; smaller peptide ring than MCs</w:t>
            </w:r>
          </w:p>
        </w:tc>
        <w:tc>
          <w:tcPr>
            <w:tcW w:w="1342" w:type="dxa"/>
            <w:vAlign w:val="center"/>
          </w:tcPr>
          <w:p w14:paraId="6F94E3F2" w14:textId="77777777" w:rsidR="00E37D2B" w:rsidRPr="0058495E" w:rsidRDefault="00E37D2B" w:rsidP="00E37D2B">
            <w:pPr>
              <w:jc w:val="both"/>
              <w:rPr>
                <w:rFonts w:ascii="Arial" w:hAnsi="Arial" w:cs="Arial"/>
              </w:rPr>
            </w:pPr>
            <w:r w:rsidRPr="001C3C3E">
              <w:rPr>
                <w:rFonts w:ascii="Arial" w:hAnsi="Arial" w:cs="Arial"/>
              </w:rPr>
              <w:t>~824 Da</w:t>
            </w:r>
          </w:p>
        </w:tc>
        <w:tc>
          <w:tcPr>
            <w:tcW w:w="1945" w:type="dxa"/>
            <w:vAlign w:val="center"/>
          </w:tcPr>
          <w:p w14:paraId="3DF9B01A" w14:textId="77777777" w:rsidR="00E37D2B" w:rsidRPr="0058495E" w:rsidRDefault="00E37D2B" w:rsidP="00E37D2B">
            <w:pPr>
              <w:jc w:val="both"/>
              <w:rPr>
                <w:rFonts w:ascii="Arial" w:hAnsi="Arial" w:cs="Arial"/>
              </w:rPr>
            </w:pPr>
            <w:r w:rsidRPr="001C3C3E">
              <w:rPr>
                <w:rFonts w:ascii="Arial" w:hAnsi="Arial" w:cs="Arial"/>
                <w:i/>
                <w:iCs/>
              </w:rPr>
              <w:t>Nodularia</w:t>
            </w:r>
          </w:p>
        </w:tc>
        <w:tc>
          <w:tcPr>
            <w:tcW w:w="1575" w:type="dxa"/>
            <w:vAlign w:val="center"/>
          </w:tcPr>
          <w:p w14:paraId="2EE5B295" w14:textId="77777777" w:rsidR="00E37D2B" w:rsidRPr="0058495E" w:rsidRDefault="00E37D2B" w:rsidP="00E37D2B">
            <w:pPr>
              <w:jc w:val="center"/>
              <w:rPr>
                <w:rFonts w:ascii="Arial" w:hAnsi="Arial" w:cs="Arial"/>
              </w:rPr>
            </w:pPr>
            <w:r w:rsidRPr="001C3C3E">
              <w:rPr>
                <w:rFonts w:ascii="Arial" w:hAnsi="Arial" w:cs="Arial"/>
              </w:rPr>
              <w:t>Brackish waters, estuaries</w:t>
            </w:r>
          </w:p>
        </w:tc>
        <w:tc>
          <w:tcPr>
            <w:tcW w:w="1988" w:type="dxa"/>
            <w:vAlign w:val="center"/>
          </w:tcPr>
          <w:p w14:paraId="3D00CF80" w14:textId="77777777" w:rsidR="00E37D2B" w:rsidRPr="0058495E" w:rsidRDefault="00E37D2B" w:rsidP="00E37D2B">
            <w:pPr>
              <w:jc w:val="center"/>
              <w:rPr>
                <w:rFonts w:ascii="Arial" w:hAnsi="Arial" w:cs="Arial"/>
              </w:rPr>
            </w:pPr>
            <w:r w:rsidRPr="001C3C3E">
              <w:rPr>
                <w:rFonts w:ascii="Arial" w:hAnsi="Arial" w:cs="Arial"/>
              </w:rPr>
              <w:t xml:space="preserve">Common in Baltic Sea; </w:t>
            </w:r>
            <w:proofErr w:type="gramStart"/>
            <w:r w:rsidRPr="001C3C3E">
              <w:rPr>
                <w:rFonts w:ascii="Arial" w:hAnsi="Arial" w:cs="Arial"/>
              </w:rPr>
              <w:t>also</w:t>
            </w:r>
            <w:proofErr w:type="gramEnd"/>
            <w:r w:rsidRPr="001C3C3E">
              <w:rPr>
                <w:rFonts w:ascii="Arial" w:hAnsi="Arial" w:cs="Arial"/>
              </w:rPr>
              <w:t xml:space="preserve"> Australia and polar regions</w:t>
            </w:r>
          </w:p>
        </w:tc>
        <w:tc>
          <w:tcPr>
            <w:tcW w:w="1417" w:type="dxa"/>
          </w:tcPr>
          <w:p w14:paraId="63254561" w14:textId="703F7D3C"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{"citationID":"7OeiXh7N","properties":{"formattedCitation":"(Foss et al., 2020)","plainCitation":"(Foss et al., 2020)","noteIndex":0},"citationItems":[{"id":1154,"uris":["http://zotero.org/users/local/Xm6IMfD4/items/SPGXTAR6"],"itemData":{"id":1154,"type":"article-journal","container-title":"Analytica Chimica Acta: X","DOI":"10.1016/j.acax.2020.100060","ISSN":"25901346","journalAbbreviation":"Analytica Chimica Acta: X","language":"en","page":"100060","source":"DOI.org (Crossref)","title":"Analysis of total microcystins and nodularins by oxidative cleavage of their ADMAdda, DMAdda, and Adda moieties","volume":"6","author":[{"family":"Foss","given":"Amanda J."},{"family":"Miles","given":"Christopher O."},{"family":"Wilkins","given":"Alistair L."},{"family":"Rise","given":"Frode"},{"family":"Trovik","given":"Kristian W."},{"family":"Cieslik","given":"Kamil"},{"family":"Aubel","given":"Mark T."}],"issued":{"date-parts":[["2020",11]]}}}],"schema":"https://github.com/citation-style-language/schema/raw/master/csl-citation.json"} </w:instrText>
            </w:r>
            <w:r>
              <w:rPr>
                <w:rFonts w:ascii="Arial" w:hAnsi="Arial" w:cs="Arial"/>
              </w:rPr>
              <w:fldChar w:fldCharType="separate"/>
            </w:r>
            <w:r w:rsidR="007410EB" w:rsidRPr="007410EB">
              <w:rPr>
                <w:rFonts w:ascii="Arial" w:hAnsi="Arial" w:cs="Arial"/>
              </w:rPr>
              <w:t>(Foss et al., 2020)</w:t>
            </w:r>
            <w:r>
              <w:rPr>
                <w:rFonts w:ascii="Arial" w:hAnsi="Arial" w:cs="Arial"/>
              </w:rPr>
              <w:fldChar w:fldCharType="end"/>
            </w:r>
          </w:p>
        </w:tc>
      </w:tr>
      <w:tr w:rsidR="00E37D2B" w:rsidRPr="0058495E" w14:paraId="4FC4CD58" w14:textId="77777777" w:rsidTr="00E37D2B">
        <w:trPr>
          <w:trHeight w:val="728"/>
        </w:trPr>
        <w:tc>
          <w:tcPr>
            <w:tcW w:w="2405" w:type="dxa"/>
            <w:vAlign w:val="center"/>
          </w:tcPr>
          <w:p w14:paraId="5CA3CC88" w14:textId="77777777" w:rsidR="00E37D2B" w:rsidRPr="0058495E" w:rsidRDefault="00E37D2B" w:rsidP="00E37D2B">
            <w:pPr>
              <w:jc w:val="both"/>
              <w:rPr>
                <w:rFonts w:ascii="Arial" w:hAnsi="Arial" w:cs="Arial"/>
              </w:rPr>
            </w:pPr>
            <w:r w:rsidRPr="001C3C3E">
              <w:rPr>
                <w:rFonts w:ascii="Arial" w:hAnsi="Arial" w:cs="Arial"/>
                <w:b/>
                <w:bCs/>
              </w:rPr>
              <w:t>Cylindrospermopsin (CYN)</w:t>
            </w:r>
          </w:p>
        </w:tc>
        <w:tc>
          <w:tcPr>
            <w:tcW w:w="1884" w:type="dxa"/>
            <w:vAlign w:val="center"/>
          </w:tcPr>
          <w:p w14:paraId="12EA5779" w14:textId="77777777" w:rsidR="00E37D2B" w:rsidRPr="0058495E" w:rsidRDefault="00E37D2B" w:rsidP="00E37D2B">
            <w:pPr>
              <w:jc w:val="center"/>
              <w:rPr>
                <w:rFonts w:ascii="Arial" w:hAnsi="Arial" w:cs="Arial"/>
              </w:rPr>
            </w:pPr>
            <w:r w:rsidRPr="001C3C3E">
              <w:rPr>
                <w:rFonts w:ascii="Arial" w:hAnsi="Arial" w:cs="Arial"/>
              </w:rPr>
              <w:t>Tricyclic guanidinium alkaloid</w:t>
            </w:r>
          </w:p>
        </w:tc>
        <w:tc>
          <w:tcPr>
            <w:tcW w:w="2181" w:type="dxa"/>
            <w:vAlign w:val="center"/>
          </w:tcPr>
          <w:p w14:paraId="432A7D2C" w14:textId="77777777" w:rsidR="00E37D2B" w:rsidRPr="0058495E" w:rsidRDefault="00E37D2B" w:rsidP="00B135CC">
            <w:pPr>
              <w:jc w:val="center"/>
              <w:rPr>
                <w:rFonts w:ascii="Arial" w:hAnsi="Arial" w:cs="Arial"/>
              </w:rPr>
            </w:pPr>
            <w:r w:rsidRPr="001C3C3E">
              <w:rPr>
                <w:rFonts w:ascii="Arial" w:hAnsi="Arial" w:cs="Arial"/>
              </w:rPr>
              <w:t xml:space="preserve">Guanidinium group linked to </w:t>
            </w:r>
            <w:proofErr w:type="spellStart"/>
            <w:r w:rsidRPr="001C3C3E">
              <w:rPr>
                <w:rFonts w:ascii="Arial" w:hAnsi="Arial" w:cs="Arial"/>
              </w:rPr>
              <w:t>hydroxymethyluracil</w:t>
            </w:r>
            <w:proofErr w:type="spellEnd"/>
          </w:p>
        </w:tc>
        <w:tc>
          <w:tcPr>
            <w:tcW w:w="1342" w:type="dxa"/>
            <w:vAlign w:val="center"/>
          </w:tcPr>
          <w:p w14:paraId="5010CE03" w14:textId="77777777" w:rsidR="00E37D2B" w:rsidRPr="0058495E" w:rsidRDefault="00E37D2B" w:rsidP="00E37D2B">
            <w:pPr>
              <w:jc w:val="both"/>
              <w:rPr>
                <w:rFonts w:ascii="Arial" w:hAnsi="Arial" w:cs="Arial"/>
              </w:rPr>
            </w:pPr>
            <w:r w:rsidRPr="001C3C3E">
              <w:rPr>
                <w:rFonts w:ascii="Arial" w:hAnsi="Arial" w:cs="Arial"/>
              </w:rPr>
              <w:t>~415 Da</w:t>
            </w:r>
          </w:p>
        </w:tc>
        <w:tc>
          <w:tcPr>
            <w:tcW w:w="1945" w:type="dxa"/>
            <w:vAlign w:val="center"/>
          </w:tcPr>
          <w:p w14:paraId="2FBC1871" w14:textId="77777777" w:rsidR="00E37D2B" w:rsidRPr="0058495E" w:rsidRDefault="00E37D2B" w:rsidP="00E37D2B">
            <w:pPr>
              <w:jc w:val="both"/>
              <w:rPr>
                <w:rFonts w:ascii="Arial" w:hAnsi="Arial" w:cs="Arial"/>
              </w:rPr>
            </w:pPr>
            <w:proofErr w:type="spellStart"/>
            <w:r w:rsidRPr="001C3C3E">
              <w:rPr>
                <w:rFonts w:ascii="Arial" w:hAnsi="Arial" w:cs="Arial"/>
                <w:i/>
                <w:iCs/>
              </w:rPr>
              <w:t>Raphidiopsis</w:t>
            </w:r>
            <w:proofErr w:type="spellEnd"/>
            <w:r w:rsidRPr="001C3C3E">
              <w:rPr>
                <w:rFonts w:ascii="Arial" w:hAnsi="Arial" w:cs="Arial"/>
              </w:rPr>
              <w:t xml:space="preserve">, </w:t>
            </w:r>
            <w:proofErr w:type="spellStart"/>
            <w:r w:rsidRPr="001C3C3E">
              <w:rPr>
                <w:rFonts w:ascii="Arial" w:hAnsi="Arial" w:cs="Arial"/>
                <w:i/>
                <w:iCs/>
              </w:rPr>
              <w:t>Aphanizomenon</w:t>
            </w:r>
            <w:proofErr w:type="spellEnd"/>
            <w:r w:rsidRPr="001C3C3E">
              <w:rPr>
                <w:rFonts w:ascii="Arial" w:hAnsi="Arial" w:cs="Arial"/>
              </w:rPr>
              <w:t xml:space="preserve">, </w:t>
            </w:r>
            <w:proofErr w:type="spellStart"/>
            <w:r w:rsidRPr="001C3C3E">
              <w:rPr>
                <w:rFonts w:ascii="Arial" w:hAnsi="Arial" w:cs="Arial"/>
                <w:i/>
                <w:iCs/>
              </w:rPr>
              <w:t>Dolichospermum</w:t>
            </w:r>
            <w:proofErr w:type="spellEnd"/>
          </w:p>
        </w:tc>
        <w:tc>
          <w:tcPr>
            <w:tcW w:w="1575" w:type="dxa"/>
            <w:vAlign w:val="center"/>
          </w:tcPr>
          <w:p w14:paraId="5E02683D" w14:textId="77777777" w:rsidR="00E37D2B" w:rsidRPr="0058495E" w:rsidRDefault="00E37D2B" w:rsidP="00E37D2B">
            <w:pPr>
              <w:jc w:val="center"/>
              <w:rPr>
                <w:rFonts w:ascii="Arial" w:hAnsi="Arial" w:cs="Arial"/>
              </w:rPr>
            </w:pPr>
            <w:r w:rsidRPr="001C3C3E">
              <w:rPr>
                <w:rFonts w:ascii="Arial" w:hAnsi="Arial" w:cs="Arial"/>
              </w:rPr>
              <w:t>Freshwater reservoirs; tropical &amp; subtropical systems</w:t>
            </w:r>
          </w:p>
        </w:tc>
        <w:tc>
          <w:tcPr>
            <w:tcW w:w="1988" w:type="dxa"/>
            <w:vAlign w:val="center"/>
          </w:tcPr>
          <w:p w14:paraId="1D65C70D" w14:textId="77777777" w:rsidR="00E37D2B" w:rsidRPr="0058495E" w:rsidRDefault="00E37D2B" w:rsidP="00E37D2B">
            <w:pPr>
              <w:jc w:val="center"/>
              <w:rPr>
                <w:rFonts w:ascii="Arial" w:hAnsi="Arial" w:cs="Arial"/>
              </w:rPr>
            </w:pPr>
            <w:r w:rsidRPr="001C3C3E">
              <w:rPr>
                <w:rFonts w:ascii="Arial" w:hAnsi="Arial" w:cs="Arial"/>
              </w:rPr>
              <w:t>Expanding distribution in Europe, Asia, Americas, Australia</w:t>
            </w:r>
          </w:p>
        </w:tc>
        <w:tc>
          <w:tcPr>
            <w:tcW w:w="1417" w:type="dxa"/>
          </w:tcPr>
          <w:p w14:paraId="6491FDDC" w14:textId="73C9C8A9"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{"citationID":"jycmQC8G","properties":{"formattedCitation":"(Cartmell et al., 2017)","plainCitation":"(Cartmell et al., 2017)","noteIndex":0},"citationItems":[{"id":1155,"uris":["http://zotero.org/users/local/Xm6IMfD4/items/5CDZ6MS6"],"itemData":{"id":1155,"type":"article-journal","container-title":"Toxicology in Vitro","DOI":"10.1016/j.tiv.2017.07.007","ISSN":"08872333","journalAbbreviation":"Toxicology in Vitro","language":"en","page":"172-181","source":"DOI.org (Crossref)","title":"Synthetic analogues of cyanobacterial alkaloid cylindrospermopsin and their toxicological activity","volume":"44","author":[{"family":"Cartmell","given":"Christopher"},{"family":"Evans","given":"Daniel M."},{"family":"Elwood","given":"Jessica M.L."},{"family":"Fituri","given":"Hisham S."},{"family":"Murphy","given":"Patrick J."},{"family":"Caspari","given":"Thomas"},{"family":"Poniedziałek","given":"Barbara"},{"family":"Rzymski","given":"Piotr"}],"issued":{"date-parts":[["2017",10]]}}}],"schema":"https://github.com/citation-style-language/schema/raw/master/csl-citation.json"} </w:instrText>
            </w:r>
            <w:r>
              <w:rPr>
                <w:rFonts w:ascii="Arial" w:hAnsi="Arial" w:cs="Arial"/>
              </w:rPr>
              <w:fldChar w:fldCharType="separate"/>
            </w:r>
            <w:r w:rsidR="007410EB" w:rsidRPr="007410EB">
              <w:rPr>
                <w:rFonts w:ascii="Arial" w:hAnsi="Arial" w:cs="Arial"/>
              </w:rPr>
              <w:t>(Cartmell et al., 2017)</w:t>
            </w:r>
            <w:r>
              <w:rPr>
                <w:rFonts w:ascii="Arial" w:hAnsi="Arial" w:cs="Arial"/>
              </w:rPr>
              <w:fldChar w:fldCharType="end"/>
            </w:r>
          </w:p>
        </w:tc>
      </w:tr>
      <w:tr w:rsidR="00E37D2B" w:rsidRPr="0058495E" w14:paraId="30A063DE" w14:textId="77777777" w:rsidTr="00E37D2B">
        <w:trPr>
          <w:trHeight w:val="773"/>
        </w:trPr>
        <w:tc>
          <w:tcPr>
            <w:tcW w:w="2405" w:type="dxa"/>
            <w:vAlign w:val="center"/>
          </w:tcPr>
          <w:p w14:paraId="4C067C70" w14:textId="77777777" w:rsidR="00E37D2B" w:rsidRPr="0058495E" w:rsidRDefault="00E37D2B" w:rsidP="00E37D2B">
            <w:pPr>
              <w:jc w:val="both"/>
              <w:rPr>
                <w:rFonts w:ascii="Arial" w:hAnsi="Arial" w:cs="Arial"/>
              </w:rPr>
            </w:pPr>
            <w:r w:rsidRPr="001C3C3E">
              <w:rPr>
                <w:rFonts w:ascii="Arial" w:hAnsi="Arial" w:cs="Arial"/>
                <w:b/>
                <w:bCs/>
              </w:rPr>
              <w:t>Anatoxin-a (ATX-a)</w:t>
            </w:r>
          </w:p>
        </w:tc>
        <w:tc>
          <w:tcPr>
            <w:tcW w:w="1884" w:type="dxa"/>
            <w:vAlign w:val="center"/>
          </w:tcPr>
          <w:p w14:paraId="2FE0BBDD" w14:textId="77777777" w:rsidR="00E37D2B" w:rsidRPr="0058495E" w:rsidRDefault="00E37D2B" w:rsidP="00E37D2B">
            <w:pPr>
              <w:jc w:val="center"/>
              <w:rPr>
                <w:rFonts w:ascii="Arial" w:hAnsi="Arial" w:cs="Arial"/>
              </w:rPr>
            </w:pPr>
            <w:r w:rsidRPr="001C3C3E">
              <w:rPr>
                <w:rFonts w:ascii="Arial" w:hAnsi="Arial" w:cs="Arial"/>
              </w:rPr>
              <w:t>Bicyclic secondary amine alkaloid</w:t>
            </w:r>
          </w:p>
        </w:tc>
        <w:tc>
          <w:tcPr>
            <w:tcW w:w="2181" w:type="dxa"/>
            <w:vAlign w:val="center"/>
          </w:tcPr>
          <w:p w14:paraId="5B93EBB2" w14:textId="77777777" w:rsidR="00E37D2B" w:rsidRPr="0058495E" w:rsidRDefault="00E37D2B" w:rsidP="00B135CC">
            <w:pPr>
              <w:jc w:val="center"/>
              <w:rPr>
                <w:rFonts w:ascii="Arial" w:hAnsi="Arial" w:cs="Arial"/>
              </w:rPr>
            </w:pPr>
            <w:r w:rsidRPr="001C3C3E">
              <w:rPr>
                <w:rFonts w:ascii="Arial" w:hAnsi="Arial" w:cs="Arial"/>
              </w:rPr>
              <w:t xml:space="preserve">Structural </w:t>
            </w:r>
            <w:proofErr w:type="spellStart"/>
            <w:r w:rsidRPr="001C3C3E">
              <w:rPr>
                <w:rFonts w:ascii="Arial" w:hAnsi="Arial" w:cs="Arial"/>
              </w:rPr>
              <w:t>analog</w:t>
            </w:r>
            <w:proofErr w:type="spellEnd"/>
            <w:r w:rsidRPr="001C3C3E">
              <w:rPr>
                <w:rFonts w:ascii="Arial" w:hAnsi="Arial" w:cs="Arial"/>
              </w:rPr>
              <w:t xml:space="preserve"> of acetylcholine; small bicyclic amine</w:t>
            </w:r>
          </w:p>
        </w:tc>
        <w:tc>
          <w:tcPr>
            <w:tcW w:w="1342" w:type="dxa"/>
            <w:vAlign w:val="center"/>
          </w:tcPr>
          <w:p w14:paraId="54C5E068" w14:textId="77777777" w:rsidR="00E37D2B" w:rsidRPr="0058495E" w:rsidRDefault="00E37D2B" w:rsidP="00E37D2B">
            <w:pPr>
              <w:jc w:val="both"/>
              <w:rPr>
                <w:rFonts w:ascii="Arial" w:hAnsi="Arial" w:cs="Arial"/>
              </w:rPr>
            </w:pPr>
            <w:r w:rsidRPr="001C3C3E">
              <w:rPr>
                <w:rFonts w:ascii="Arial" w:hAnsi="Arial" w:cs="Arial"/>
              </w:rPr>
              <w:t>~165 Da</w:t>
            </w:r>
          </w:p>
        </w:tc>
        <w:tc>
          <w:tcPr>
            <w:tcW w:w="1945" w:type="dxa"/>
            <w:vAlign w:val="center"/>
          </w:tcPr>
          <w:p w14:paraId="463EE054" w14:textId="77777777" w:rsidR="00E37D2B" w:rsidRPr="0058495E" w:rsidRDefault="00E37D2B" w:rsidP="00E37D2B">
            <w:pPr>
              <w:jc w:val="both"/>
              <w:rPr>
                <w:rFonts w:ascii="Arial" w:hAnsi="Arial" w:cs="Arial"/>
              </w:rPr>
            </w:pPr>
            <w:proofErr w:type="spellStart"/>
            <w:r w:rsidRPr="001C3C3E">
              <w:rPr>
                <w:rFonts w:ascii="Arial" w:hAnsi="Arial" w:cs="Arial"/>
                <w:i/>
                <w:iCs/>
              </w:rPr>
              <w:t>Dolichospermum</w:t>
            </w:r>
            <w:proofErr w:type="spellEnd"/>
            <w:r w:rsidRPr="001C3C3E">
              <w:rPr>
                <w:rFonts w:ascii="Arial" w:hAnsi="Arial" w:cs="Arial"/>
              </w:rPr>
              <w:t xml:space="preserve">, </w:t>
            </w:r>
            <w:r w:rsidRPr="001C3C3E">
              <w:rPr>
                <w:rFonts w:ascii="Arial" w:hAnsi="Arial" w:cs="Arial"/>
                <w:i/>
                <w:iCs/>
              </w:rPr>
              <w:t>Oscillatoria</w:t>
            </w:r>
            <w:r w:rsidRPr="001C3C3E">
              <w:rPr>
                <w:rFonts w:ascii="Arial" w:hAnsi="Arial" w:cs="Arial"/>
              </w:rPr>
              <w:t xml:space="preserve">, </w:t>
            </w:r>
            <w:proofErr w:type="spellStart"/>
            <w:r w:rsidRPr="001C3C3E">
              <w:rPr>
                <w:rFonts w:ascii="Arial" w:hAnsi="Arial" w:cs="Arial"/>
                <w:i/>
                <w:iCs/>
              </w:rPr>
              <w:t>Aphanizomenon</w:t>
            </w:r>
            <w:proofErr w:type="spellEnd"/>
          </w:p>
        </w:tc>
        <w:tc>
          <w:tcPr>
            <w:tcW w:w="1575" w:type="dxa"/>
            <w:vAlign w:val="center"/>
          </w:tcPr>
          <w:p w14:paraId="7530DB97" w14:textId="77777777" w:rsidR="00E37D2B" w:rsidRPr="0058495E" w:rsidRDefault="00E37D2B" w:rsidP="00E37D2B">
            <w:pPr>
              <w:jc w:val="center"/>
              <w:rPr>
                <w:rFonts w:ascii="Arial" w:hAnsi="Arial" w:cs="Arial"/>
              </w:rPr>
            </w:pPr>
            <w:r w:rsidRPr="001C3C3E">
              <w:rPr>
                <w:rFonts w:ascii="Arial" w:hAnsi="Arial" w:cs="Arial"/>
              </w:rPr>
              <w:t>Rivers, lakes, benthic mats</w:t>
            </w:r>
          </w:p>
        </w:tc>
        <w:tc>
          <w:tcPr>
            <w:tcW w:w="1988" w:type="dxa"/>
            <w:vAlign w:val="center"/>
          </w:tcPr>
          <w:p w14:paraId="6E653154" w14:textId="77777777" w:rsidR="00E37D2B" w:rsidRPr="0058495E" w:rsidRDefault="00E37D2B" w:rsidP="00E37D2B">
            <w:pPr>
              <w:jc w:val="center"/>
              <w:rPr>
                <w:rFonts w:ascii="Arial" w:hAnsi="Arial" w:cs="Arial"/>
              </w:rPr>
            </w:pPr>
            <w:r w:rsidRPr="001C3C3E">
              <w:rPr>
                <w:rFonts w:ascii="Arial" w:hAnsi="Arial" w:cs="Arial"/>
              </w:rPr>
              <w:t>Reported in Europe, North America, Asia; increasing detections</w:t>
            </w:r>
          </w:p>
        </w:tc>
        <w:tc>
          <w:tcPr>
            <w:tcW w:w="1417" w:type="dxa"/>
          </w:tcPr>
          <w:p w14:paraId="3B225EEC" w14:textId="3005F1B1"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{"citationID":"75pCdvOz","properties":{"formattedCitation":"(Mir et al., 2024)","plainCitation":"(Mir et al., 2024)","noteIndex":0},"citationItems":[{"id":1156,"uris":["http://zotero.org/users/local/Xm6IMfD4/items/YNWZCTCP"],"itemData":{"id":1156,"type":"article-journal","abstract":"Abstract\n            \n              Acetylcholinesterase (AChE) is crucial for the breakdown of acetylcholine to acetate and choline, while the inhibition of AChE by anatoxin-a (ATX-a) results in severe health complications. This study explores the structural characteristics of ATX-a and its interactions with AChE, comparing to the reference molecule atropine for binding mechanisms. Molecular docking simulations reveal strong binding affinity of both ATX-a and atropine to AChE, interacting effectively with specific amino acids in the binding site as potential inhibitors. Quantitative assessment using the MM-PBSA method demonstrates a significantly negative binding free energy of −81.659 kJ mol\n              −1\n              for ATX-a, indicating robust binding, while atropine exhibits a stronger binding affinity with a free energy of −127.565 kJ mol\n              −1\n              . Umbrella sampling calculates the Δ\n              G\n              bind\n              values to evaluate binding free energies, showing a favorable Δ\n              G\n              bind\n              of −36.432 kJ mol\n              −1\n              for ATX-a and a slightly lower value of −30.12 kJ mol\n              −1\n              for atropine. This study reveals the dual functionality of ATX-a, acting as both a nicotinic acetylcholine receptor agonist and an AChE inhibitor. Remarkably, stable complexes form between ATX-a and atropine with AChE at its active site, exhibiting remarkable binding free energies. These findings provide valuable insights into the potential use of ATX-a and atropine as promising candidates for modulating AChE activity.","container-title":"Physical Biology","DOI":"10.1088/1478-3975/ad0caa","ISSN":"1478-3967, 1478-3975","issue":"1","journalAbbreviation":"Phys. Biol.","page":"016002","source":"DOI.org (Crossref)","title":"An exploration of the binding prediction of anatoxin-a and atropine to acetylcholinesterase enzyme using multi-level computer simulations","volume":"21","author":[{"family":"Mir","given":"Showkat Ahmad"},{"family":"Razzokov","given":"Jamoliddin"},{"family":"Mukherjee","given":"Vishwajeet"},{"family":"Baitharu","given":"Iswar"},{"family":"Nayak","given":"Binata"}],"issued":{"date-parts":[["2024",1,1]]}}}],"schema":"https://github.com/citation-style-language/schema/raw/master/csl-citation.json"} </w:instrText>
            </w:r>
            <w:r>
              <w:rPr>
                <w:rFonts w:ascii="Arial" w:hAnsi="Arial" w:cs="Arial"/>
              </w:rPr>
              <w:fldChar w:fldCharType="separate"/>
            </w:r>
            <w:r w:rsidR="007410EB" w:rsidRPr="007410EB">
              <w:rPr>
                <w:rFonts w:ascii="Arial" w:hAnsi="Arial" w:cs="Arial"/>
              </w:rPr>
              <w:t>(Mir et al., 2024)</w:t>
            </w:r>
            <w:r>
              <w:rPr>
                <w:rFonts w:ascii="Arial" w:hAnsi="Arial" w:cs="Arial"/>
              </w:rPr>
              <w:fldChar w:fldCharType="end"/>
            </w:r>
          </w:p>
        </w:tc>
      </w:tr>
      <w:tr w:rsidR="00E37D2B" w:rsidRPr="0058495E" w14:paraId="56AB6563" w14:textId="77777777" w:rsidTr="00E37D2B">
        <w:trPr>
          <w:trHeight w:val="728"/>
        </w:trPr>
        <w:tc>
          <w:tcPr>
            <w:tcW w:w="2405" w:type="dxa"/>
            <w:vAlign w:val="center"/>
          </w:tcPr>
          <w:p w14:paraId="14241737" w14:textId="77777777" w:rsidR="00E37D2B" w:rsidRPr="0058495E" w:rsidRDefault="00E37D2B" w:rsidP="00E37D2B">
            <w:pPr>
              <w:jc w:val="both"/>
              <w:rPr>
                <w:rFonts w:ascii="Arial" w:hAnsi="Arial" w:cs="Arial"/>
              </w:rPr>
            </w:pPr>
            <w:r w:rsidRPr="001C3C3E">
              <w:rPr>
                <w:rFonts w:ascii="Arial" w:hAnsi="Arial" w:cs="Arial"/>
                <w:b/>
                <w:bCs/>
              </w:rPr>
              <w:t>Saxitoxins (STXs)</w:t>
            </w:r>
          </w:p>
        </w:tc>
        <w:tc>
          <w:tcPr>
            <w:tcW w:w="1884" w:type="dxa"/>
            <w:vAlign w:val="center"/>
          </w:tcPr>
          <w:p w14:paraId="479B4B1B" w14:textId="77777777" w:rsidR="00E37D2B" w:rsidRPr="0058495E" w:rsidRDefault="00E37D2B" w:rsidP="00E37D2B">
            <w:pPr>
              <w:jc w:val="center"/>
              <w:rPr>
                <w:rFonts w:ascii="Arial" w:hAnsi="Arial" w:cs="Arial"/>
              </w:rPr>
            </w:pPr>
            <w:proofErr w:type="spellStart"/>
            <w:r w:rsidRPr="001C3C3E">
              <w:rPr>
                <w:rFonts w:ascii="Arial" w:hAnsi="Arial" w:cs="Arial"/>
              </w:rPr>
              <w:t>Tetrahydropurine</w:t>
            </w:r>
            <w:proofErr w:type="spellEnd"/>
            <w:r w:rsidRPr="001C3C3E">
              <w:rPr>
                <w:rFonts w:ascii="Arial" w:hAnsi="Arial" w:cs="Arial"/>
              </w:rPr>
              <w:t xml:space="preserve"> alkaloid</w:t>
            </w:r>
          </w:p>
        </w:tc>
        <w:tc>
          <w:tcPr>
            <w:tcW w:w="2181" w:type="dxa"/>
            <w:vAlign w:val="center"/>
          </w:tcPr>
          <w:p w14:paraId="2B9D3881" w14:textId="77777777" w:rsidR="00E37D2B" w:rsidRPr="0058495E" w:rsidRDefault="00E37D2B" w:rsidP="00B135CC">
            <w:pPr>
              <w:jc w:val="center"/>
              <w:rPr>
                <w:rFonts w:ascii="Arial" w:hAnsi="Arial" w:cs="Arial"/>
              </w:rPr>
            </w:pPr>
            <w:r w:rsidRPr="001C3C3E">
              <w:rPr>
                <w:rFonts w:ascii="Arial" w:hAnsi="Arial" w:cs="Arial"/>
              </w:rPr>
              <w:t>Multiple guanidinium groups; highly polar</w:t>
            </w:r>
          </w:p>
        </w:tc>
        <w:tc>
          <w:tcPr>
            <w:tcW w:w="1342" w:type="dxa"/>
            <w:vAlign w:val="center"/>
          </w:tcPr>
          <w:p w14:paraId="498D83B4" w14:textId="77777777" w:rsidR="00E37D2B" w:rsidRPr="0058495E" w:rsidRDefault="00E37D2B" w:rsidP="00E37D2B">
            <w:pPr>
              <w:jc w:val="both"/>
              <w:rPr>
                <w:rFonts w:ascii="Arial" w:hAnsi="Arial" w:cs="Arial"/>
              </w:rPr>
            </w:pPr>
            <w:r w:rsidRPr="001C3C3E">
              <w:rPr>
                <w:rFonts w:ascii="Arial" w:hAnsi="Arial" w:cs="Arial"/>
              </w:rPr>
              <w:t>~299 Da (parent STX)</w:t>
            </w:r>
          </w:p>
        </w:tc>
        <w:tc>
          <w:tcPr>
            <w:tcW w:w="1945" w:type="dxa"/>
            <w:vAlign w:val="center"/>
          </w:tcPr>
          <w:p w14:paraId="55027E3C" w14:textId="77777777" w:rsidR="00E37D2B" w:rsidRPr="0058495E" w:rsidRDefault="00E37D2B" w:rsidP="00E37D2B">
            <w:pPr>
              <w:jc w:val="both"/>
              <w:rPr>
                <w:rFonts w:ascii="Arial" w:hAnsi="Arial" w:cs="Arial"/>
              </w:rPr>
            </w:pPr>
            <w:proofErr w:type="spellStart"/>
            <w:r w:rsidRPr="001C3C3E">
              <w:rPr>
                <w:rFonts w:ascii="Arial" w:hAnsi="Arial" w:cs="Arial"/>
                <w:i/>
                <w:iCs/>
              </w:rPr>
              <w:t>Aphanizomenon</w:t>
            </w:r>
            <w:proofErr w:type="spellEnd"/>
            <w:r w:rsidRPr="001C3C3E">
              <w:rPr>
                <w:rFonts w:ascii="Arial" w:hAnsi="Arial" w:cs="Arial"/>
              </w:rPr>
              <w:t xml:space="preserve">, </w:t>
            </w:r>
            <w:proofErr w:type="spellStart"/>
            <w:r w:rsidRPr="001C3C3E">
              <w:rPr>
                <w:rFonts w:ascii="Arial" w:hAnsi="Arial" w:cs="Arial"/>
                <w:i/>
                <w:iCs/>
              </w:rPr>
              <w:t>Dolichospermum</w:t>
            </w:r>
            <w:proofErr w:type="spellEnd"/>
            <w:r w:rsidRPr="001C3C3E">
              <w:rPr>
                <w:rFonts w:ascii="Arial" w:hAnsi="Arial" w:cs="Arial"/>
              </w:rPr>
              <w:t xml:space="preserve">, </w:t>
            </w:r>
            <w:proofErr w:type="spellStart"/>
            <w:r w:rsidRPr="001C3C3E">
              <w:rPr>
                <w:rFonts w:ascii="Arial" w:hAnsi="Arial" w:cs="Arial"/>
                <w:i/>
                <w:iCs/>
              </w:rPr>
              <w:t>Lyngbya</w:t>
            </w:r>
            <w:proofErr w:type="spellEnd"/>
          </w:p>
        </w:tc>
        <w:tc>
          <w:tcPr>
            <w:tcW w:w="1575" w:type="dxa"/>
            <w:vAlign w:val="center"/>
          </w:tcPr>
          <w:p w14:paraId="5BB1A893" w14:textId="77777777" w:rsidR="00E37D2B" w:rsidRPr="0058495E" w:rsidRDefault="00E37D2B" w:rsidP="00E37D2B">
            <w:pPr>
              <w:jc w:val="center"/>
              <w:rPr>
                <w:rFonts w:ascii="Arial" w:hAnsi="Arial" w:cs="Arial"/>
              </w:rPr>
            </w:pPr>
            <w:r w:rsidRPr="001C3C3E">
              <w:rPr>
                <w:rFonts w:ascii="Arial" w:hAnsi="Arial" w:cs="Arial"/>
              </w:rPr>
              <w:t>Freshwater and coastal systems</w:t>
            </w:r>
          </w:p>
        </w:tc>
        <w:tc>
          <w:tcPr>
            <w:tcW w:w="1988" w:type="dxa"/>
            <w:vAlign w:val="center"/>
          </w:tcPr>
          <w:p w14:paraId="499CF501" w14:textId="77777777" w:rsidR="00E37D2B" w:rsidRPr="0058495E" w:rsidRDefault="00E37D2B" w:rsidP="00E37D2B">
            <w:pPr>
              <w:jc w:val="center"/>
              <w:rPr>
                <w:rFonts w:ascii="Arial" w:hAnsi="Arial" w:cs="Arial"/>
              </w:rPr>
            </w:pPr>
            <w:r w:rsidRPr="001C3C3E">
              <w:rPr>
                <w:rFonts w:ascii="Arial" w:hAnsi="Arial" w:cs="Arial"/>
              </w:rPr>
              <w:t xml:space="preserve">Global distribution; inland and </w:t>
            </w:r>
            <w:r w:rsidRPr="001C3C3E">
              <w:rPr>
                <w:rFonts w:ascii="Arial" w:hAnsi="Arial" w:cs="Arial"/>
              </w:rPr>
              <w:lastRenderedPageBreak/>
              <w:t>marine environments</w:t>
            </w:r>
          </w:p>
        </w:tc>
        <w:tc>
          <w:tcPr>
            <w:tcW w:w="1417" w:type="dxa"/>
          </w:tcPr>
          <w:p w14:paraId="25700CE5" w14:textId="0C282C03" w:rsidR="00E37D2B" w:rsidRPr="001C3C3E" w:rsidRDefault="00FC777D" w:rsidP="00E37D2B">
            <w:pPr>
              <w:jc w:val="both"/>
              <w:rPr>
                <w:rFonts w:ascii="Arial" w:hAnsi="Arial" w:cs="Arial"/>
              </w:rPr>
            </w:pPr>
            <w:r>
              <w:rPr>
                <w:rFonts w:ascii="Arial" w:hAnsi="Arial" w:cs="Arial"/>
              </w:rPr>
              <w:lastRenderedPageBreak/>
              <w:fldChar w:fldCharType="begin"/>
            </w:r>
            <w:r w:rsidR="007410EB">
              <w:rPr>
                <w:rFonts w:ascii="Arial" w:hAnsi="Arial" w:cs="Arial"/>
              </w:rPr>
              <w:instrText xml:space="preserve"> ADDIN ZOTERO_ITEM CSL_CITATION {"citationID":"mS9uLQcI","properties":{"formattedCitation":"(Testai et al., 2016)","plainCitation":"(Testai et al., 2016)","noteIndex":0},"citationItems":[{"id":1157,"uris":["http://zotero.org/users/local/Xm6IMfD4/items/NFJA2JTV"],"itemData":{"id":1157,"type":"article-journal","container-title":"Critical Reviews in Toxicology","DOI":"10.3109/10408444.2015.1137865","ISSN":"1040-8444, 1547-6898","issue":"5","journalAbbreviation":"Critical Reviews in Toxicology","language":"en","page":"385-419","source":"DOI.org (Crossref)","title":"Risk to human health associated with the environmental occurrence of cyanobacterial neurotoxic alkaloids anatoxins and saxitoxins","volume":"46","author":[{"family":"Testai","given":"Emanuela"},{"family":"Scardala","given":"Simona"},{"family":"Vichi","given":"Susanna"},{"family":"Buratti","given":"Franca M."},{"family":"Funari","given":"Enzo"}],"issued":{"date-parts":[["2016",5,27]]}}}],"schema":"https://github.com/citation-style-language/schema/raw/master/csl-citation.json"} </w:instrText>
            </w:r>
            <w:r>
              <w:rPr>
                <w:rFonts w:ascii="Arial" w:hAnsi="Arial" w:cs="Arial"/>
              </w:rPr>
              <w:fldChar w:fldCharType="separate"/>
            </w:r>
            <w:r w:rsidR="007410EB" w:rsidRPr="007410EB">
              <w:rPr>
                <w:rFonts w:ascii="Arial" w:hAnsi="Arial" w:cs="Arial"/>
              </w:rPr>
              <w:t>(Testai et al., 2016)</w:t>
            </w:r>
            <w:r>
              <w:rPr>
                <w:rFonts w:ascii="Arial" w:hAnsi="Arial" w:cs="Arial"/>
              </w:rPr>
              <w:fldChar w:fldCharType="end"/>
            </w:r>
          </w:p>
        </w:tc>
      </w:tr>
      <w:tr w:rsidR="00E37D2B" w:rsidRPr="0058495E" w14:paraId="48657FC6" w14:textId="77777777" w:rsidTr="00E37D2B">
        <w:trPr>
          <w:trHeight w:val="728"/>
        </w:trPr>
        <w:tc>
          <w:tcPr>
            <w:tcW w:w="2405" w:type="dxa"/>
            <w:vAlign w:val="center"/>
          </w:tcPr>
          <w:p w14:paraId="085D69A6" w14:textId="77777777" w:rsidR="00E37D2B" w:rsidRPr="0058495E" w:rsidRDefault="00E37D2B" w:rsidP="00E37D2B">
            <w:pPr>
              <w:jc w:val="both"/>
              <w:rPr>
                <w:rFonts w:ascii="Arial" w:hAnsi="Arial" w:cs="Arial"/>
                <w:b/>
                <w:bCs/>
              </w:rPr>
            </w:pPr>
            <w:r w:rsidRPr="001C3C3E">
              <w:rPr>
                <w:rFonts w:ascii="Arial" w:hAnsi="Arial" w:cs="Arial"/>
                <w:b/>
                <w:bCs/>
              </w:rPr>
              <w:t>β-N-methylamino-L-alanine (BMAA)</w:t>
            </w:r>
          </w:p>
        </w:tc>
        <w:tc>
          <w:tcPr>
            <w:tcW w:w="1884" w:type="dxa"/>
            <w:vAlign w:val="center"/>
          </w:tcPr>
          <w:p w14:paraId="02AAC140" w14:textId="77777777" w:rsidR="00E37D2B" w:rsidRPr="0058495E" w:rsidRDefault="00E37D2B" w:rsidP="00E37D2B">
            <w:pPr>
              <w:jc w:val="center"/>
              <w:rPr>
                <w:rFonts w:ascii="Arial" w:hAnsi="Arial" w:cs="Arial"/>
              </w:rPr>
            </w:pPr>
            <w:r w:rsidRPr="001C3C3E">
              <w:rPr>
                <w:rFonts w:ascii="Arial" w:hAnsi="Arial" w:cs="Arial"/>
              </w:rPr>
              <w:t>Non-protein amino acid</w:t>
            </w:r>
          </w:p>
        </w:tc>
        <w:tc>
          <w:tcPr>
            <w:tcW w:w="2181" w:type="dxa"/>
            <w:vAlign w:val="center"/>
          </w:tcPr>
          <w:p w14:paraId="6BC473B6" w14:textId="77777777" w:rsidR="00E37D2B" w:rsidRPr="0058495E" w:rsidRDefault="00E37D2B" w:rsidP="00B135CC">
            <w:pPr>
              <w:jc w:val="center"/>
              <w:rPr>
                <w:rFonts w:ascii="Arial" w:hAnsi="Arial" w:cs="Arial"/>
              </w:rPr>
            </w:pPr>
            <w:r w:rsidRPr="001C3C3E">
              <w:rPr>
                <w:rFonts w:ascii="Arial" w:hAnsi="Arial" w:cs="Arial"/>
              </w:rPr>
              <w:t>Small polar amino acid derivative</w:t>
            </w:r>
          </w:p>
        </w:tc>
        <w:tc>
          <w:tcPr>
            <w:tcW w:w="1342" w:type="dxa"/>
            <w:vAlign w:val="center"/>
          </w:tcPr>
          <w:p w14:paraId="6A98078D" w14:textId="77777777" w:rsidR="00E37D2B" w:rsidRPr="0058495E" w:rsidRDefault="00E37D2B" w:rsidP="00E37D2B">
            <w:pPr>
              <w:jc w:val="both"/>
              <w:rPr>
                <w:rFonts w:ascii="Arial" w:hAnsi="Arial" w:cs="Arial"/>
              </w:rPr>
            </w:pPr>
            <w:r w:rsidRPr="001C3C3E">
              <w:rPr>
                <w:rFonts w:ascii="Arial" w:hAnsi="Arial" w:cs="Arial"/>
              </w:rPr>
              <w:t>~118 Da</w:t>
            </w:r>
          </w:p>
        </w:tc>
        <w:tc>
          <w:tcPr>
            <w:tcW w:w="1945" w:type="dxa"/>
            <w:vAlign w:val="center"/>
          </w:tcPr>
          <w:p w14:paraId="6566957F" w14:textId="77777777" w:rsidR="00E37D2B" w:rsidRPr="0058495E" w:rsidRDefault="00E37D2B" w:rsidP="00E37D2B">
            <w:pPr>
              <w:jc w:val="both"/>
              <w:rPr>
                <w:rFonts w:ascii="Arial" w:hAnsi="Arial" w:cs="Arial"/>
                <w:i/>
                <w:iCs/>
              </w:rPr>
            </w:pPr>
            <w:r w:rsidRPr="001C3C3E">
              <w:rPr>
                <w:rFonts w:ascii="Arial" w:hAnsi="Arial" w:cs="Arial"/>
                <w:i/>
                <w:iCs/>
              </w:rPr>
              <w:t>Nostoc</w:t>
            </w:r>
            <w:r w:rsidRPr="001C3C3E">
              <w:rPr>
                <w:rFonts w:ascii="Arial" w:hAnsi="Arial" w:cs="Arial"/>
              </w:rPr>
              <w:t xml:space="preserve">, </w:t>
            </w:r>
            <w:r w:rsidRPr="001C3C3E">
              <w:rPr>
                <w:rFonts w:ascii="Arial" w:hAnsi="Arial" w:cs="Arial"/>
                <w:i/>
                <w:iCs/>
              </w:rPr>
              <w:t>Microcystis</w:t>
            </w:r>
            <w:r w:rsidRPr="001C3C3E">
              <w:rPr>
                <w:rFonts w:ascii="Arial" w:hAnsi="Arial" w:cs="Arial"/>
              </w:rPr>
              <w:t>, marine cyanobacteria</w:t>
            </w:r>
          </w:p>
        </w:tc>
        <w:tc>
          <w:tcPr>
            <w:tcW w:w="1575" w:type="dxa"/>
            <w:vAlign w:val="center"/>
          </w:tcPr>
          <w:p w14:paraId="2B820AD8" w14:textId="77777777" w:rsidR="00E37D2B" w:rsidRPr="0058495E" w:rsidRDefault="00E37D2B" w:rsidP="00E37D2B">
            <w:pPr>
              <w:jc w:val="center"/>
              <w:rPr>
                <w:rFonts w:ascii="Arial" w:hAnsi="Arial" w:cs="Arial"/>
              </w:rPr>
            </w:pPr>
            <w:r w:rsidRPr="001C3C3E">
              <w:rPr>
                <w:rFonts w:ascii="Arial" w:hAnsi="Arial" w:cs="Arial"/>
              </w:rPr>
              <w:t>Freshwater, marine, symbiotic systems</w:t>
            </w:r>
          </w:p>
        </w:tc>
        <w:tc>
          <w:tcPr>
            <w:tcW w:w="1988" w:type="dxa"/>
            <w:vAlign w:val="center"/>
          </w:tcPr>
          <w:p w14:paraId="36E6D4EA" w14:textId="77777777" w:rsidR="00E37D2B" w:rsidRPr="0058495E" w:rsidRDefault="00E37D2B" w:rsidP="00E37D2B">
            <w:pPr>
              <w:jc w:val="center"/>
              <w:rPr>
                <w:rFonts w:ascii="Arial" w:hAnsi="Arial" w:cs="Arial"/>
              </w:rPr>
            </w:pPr>
            <w:r w:rsidRPr="001C3C3E">
              <w:rPr>
                <w:rFonts w:ascii="Arial" w:hAnsi="Arial" w:cs="Arial"/>
              </w:rPr>
              <w:t>Detected in Europe, Asia, Americas</w:t>
            </w:r>
          </w:p>
        </w:tc>
        <w:tc>
          <w:tcPr>
            <w:tcW w:w="1417" w:type="dxa"/>
          </w:tcPr>
          <w:p w14:paraId="5082E3AF" w14:textId="503CE7B3" w:rsidR="00E37D2B" w:rsidRPr="001C3C3E" w:rsidRDefault="00FC777D"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{"citationID":"ovkCfVdL","properties":{"formattedCitation":"(Koksharova &amp; Safronova, 2022)","plainCitation":"(Koksharova &amp; Safronova, 2022)","noteIndex":0},"citationItems":[{"id":1158,"uris":["http://zotero.org/users/local/Xm6IMfD4/items/LZ7BQJP3"],"itemData":{"id":1158,"type":"article-journal","abstract":"Research interest in a non-protein amino acid β-N-methylamino-L-alanine (BMAA) arose due to the discovery of a connection between exposure to BMAA and the occurrence of neurodegenerative diseases. Previous reviews on this topic either considered BMAA as a risk factor for neurodegenerative diseases or focused on the problems of detecting BMAA in various environmental samples. Our review is devoted to a wide range of fundamental biological problems related to BMAA, including the molecular mechanisms of biological activity of BMAA and the complex relationships between producers of BMAA and the environment in various natural ecosystems. At the beginning, we briefly recall the most important facts about the producers of BMAA (cyanobacteria, microalgae, and bacteria), the pathways of BMAA biosynthesis, and reliable methods of identification of BMAA. The main distinctive feature of our review is a detailed examination of the molecular mechanisms underlying the toxicity of BMAA to living cells. A brand new aspect, not previously discussed in any reviews, is the effect of BMAA on cyanobacterial cells. These recent studies, conducted using transcriptomics and proteomics, revealed potent regulatory effects of BMAA on the basic metabolism and cell development of these ancient photoautotrophic prokaryotes. Exogenous BMAA strongly influences cell differentiation and primary metabolic processes in cyanobacteria, such as nitrogen fixation, photosynthesis, carbon fixation, and various biosynthetic processes involving 2-oxoglutarate and glutamate. Cyanobacteria were found to be more sensitive to exogenous BMAA under nitrogen-limited growth conditions. We suggest a hypothesis that this toxic diaminoacid can be used by phytoplankton organisms as a possible allelopathic tool for controlling the population of cyanobacterial cells during a period of intense competition for nitrogen and other resources in various ecosystems.","container-title":"Toxins","DOI":"10.3390/toxins14080539","ISSN":"2072-6651","issue":"8","journalAbbreviation":"Toxins","language":"en","page":"539","source":"DOI.org (Crossref)","title":"Non-Proteinogenic Amino Acid β-N-Methylamino-L-Alanine (BMAA): Bioactivity and Ecological Significance","title-short":"Non-Proteinogenic Amino Acid β-N-Methylamino-L-Alanine (BMAA)","volume":"14","author":[{"family":"Koksharova","given":"Olga A."},{"family":"Safronova","given":"Nina A."}],"issued":{"date-parts":[["2022",8,7]]}}}],"schema":"https://github.com/citation-style-language/schema/raw/master/csl-citation.json"} </w:instrText>
            </w:r>
            <w:r>
              <w:rPr>
                <w:rFonts w:ascii="Arial" w:hAnsi="Arial" w:cs="Arial"/>
              </w:rPr>
              <w:fldChar w:fldCharType="separate"/>
            </w:r>
            <w:r w:rsidR="007410EB" w:rsidRPr="007410EB">
              <w:rPr>
                <w:rFonts w:ascii="Arial" w:hAnsi="Arial" w:cs="Arial"/>
              </w:rPr>
              <w:t>(Koksharova &amp; Safronova, 2022)</w:t>
            </w:r>
            <w:r>
              <w:rPr>
                <w:rFonts w:ascii="Arial" w:hAnsi="Arial" w:cs="Arial"/>
              </w:rPr>
              <w:fldChar w:fldCharType="end"/>
            </w:r>
          </w:p>
        </w:tc>
      </w:tr>
      <w:tr w:rsidR="00E37D2B" w:rsidRPr="0058495E" w14:paraId="45192F14" w14:textId="77777777" w:rsidTr="00E37D2B">
        <w:trPr>
          <w:trHeight w:val="728"/>
        </w:trPr>
        <w:tc>
          <w:tcPr>
            <w:tcW w:w="2405" w:type="dxa"/>
            <w:vAlign w:val="center"/>
          </w:tcPr>
          <w:p w14:paraId="78E3A88A" w14:textId="77777777" w:rsidR="00E37D2B" w:rsidRPr="0058495E" w:rsidRDefault="00E37D2B" w:rsidP="00E37D2B">
            <w:pPr>
              <w:jc w:val="both"/>
              <w:rPr>
                <w:rFonts w:ascii="Arial" w:hAnsi="Arial" w:cs="Arial"/>
                <w:b/>
                <w:bCs/>
              </w:rPr>
            </w:pPr>
            <w:proofErr w:type="spellStart"/>
            <w:r w:rsidRPr="001C3C3E">
              <w:rPr>
                <w:rFonts w:ascii="Arial" w:hAnsi="Arial" w:cs="Arial"/>
                <w:b/>
                <w:bCs/>
              </w:rPr>
              <w:t>Lyngbyatoxin</w:t>
            </w:r>
            <w:proofErr w:type="spellEnd"/>
            <w:r w:rsidRPr="001C3C3E">
              <w:rPr>
                <w:rFonts w:ascii="Arial" w:hAnsi="Arial" w:cs="Arial"/>
                <w:b/>
                <w:bCs/>
              </w:rPr>
              <w:t>-a</w:t>
            </w:r>
          </w:p>
        </w:tc>
        <w:tc>
          <w:tcPr>
            <w:tcW w:w="1884" w:type="dxa"/>
            <w:vAlign w:val="center"/>
          </w:tcPr>
          <w:p w14:paraId="50C5BFA0" w14:textId="77777777" w:rsidR="00E37D2B" w:rsidRPr="0058495E" w:rsidRDefault="00E37D2B" w:rsidP="00E37D2B">
            <w:pPr>
              <w:jc w:val="center"/>
              <w:rPr>
                <w:rFonts w:ascii="Arial" w:hAnsi="Arial" w:cs="Arial"/>
              </w:rPr>
            </w:pPr>
            <w:r w:rsidRPr="001C3C3E">
              <w:rPr>
                <w:rFonts w:ascii="Arial" w:hAnsi="Arial" w:cs="Arial"/>
              </w:rPr>
              <w:t>Indole alkaloid</w:t>
            </w:r>
          </w:p>
        </w:tc>
        <w:tc>
          <w:tcPr>
            <w:tcW w:w="2181" w:type="dxa"/>
            <w:vAlign w:val="center"/>
          </w:tcPr>
          <w:p w14:paraId="4D5542F4" w14:textId="77777777" w:rsidR="00E37D2B" w:rsidRPr="0058495E" w:rsidRDefault="00E37D2B" w:rsidP="00B135CC">
            <w:pPr>
              <w:jc w:val="center"/>
              <w:rPr>
                <w:rFonts w:ascii="Arial" w:hAnsi="Arial" w:cs="Arial"/>
              </w:rPr>
            </w:pPr>
            <w:proofErr w:type="spellStart"/>
            <w:r w:rsidRPr="001C3C3E">
              <w:rPr>
                <w:rFonts w:ascii="Arial" w:hAnsi="Arial" w:cs="Arial"/>
              </w:rPr>
              <w:t>Indolactam</w:t>
            </w:r>
            <w:proofErr w:type="spellEnd"/>
            <w:r w:rsidRPr="001C3C3E">
              <w:rPr>
                <w:rFonts w:ascii="Arial" w:hAnsi="Arial" w:cs="Arial"/>
              </w:rPr>
              <w:t xml:space="preserve"> core; PKC-activating structure</w:t>
            </w:r>
          </w:p>
        </w:tc>
        <w:tc>
          <w:tcPr>
            <w:tcW w:w="1342" w:type="dxa"/>
            <w:vAlign w:val="center"/>
          </w:tcPr>
          <w:p w14:paraId="5AF65EB5" w14:textId="77777777" w:rsidR="00E37D2B" w:rsidRPr="0058495E" w:rsidRDefault="00E37D2B" w:rsidP="00E37D2B">
            <w:pPr>
              <w:jc w:val="both"/>
              <w:rPr>
                <w:rFonts w:ascii="Arial" w:hAnsi="Arial" w:cs="Arial"/>
              </w:rPr>
            </w:pPr>
            <w:r w:rsidRPr="001C3C3E">
              <w:rPr>
                <w:rFonts w:ascii="Arial" w:hAnsi="Arial" w:cs="Arial"/>
              </w:rPr>
              <w:t>~437 Da</w:t>
            </w:r>
          </w:p>
        </w:tc>
        <w:tc>
          <w:tcPr>
            <w:tcW w:w="1945" w:type="dxa"/>
            <w:vAlign w:val="center"/>
          </w:tcPr>
          <w:p w14:paraId="389C3E50" w14:textId="77777777" w:rsidR="00E37D2B" w:rsidRPr="0058495E" w:rsidRDefault="00E37D2B" w:rsidP="00E37D2B">
            <w:pPr>
              <w:jc w:val="both"/>
              <w:rPr>
                <w:rFonts w:ascii="Arial" w:hAnsi="Arial" w:cs="Arial"/>
                <w:i/>
                <w:iCs/>
              </w:rPr>
            </w:pPr>
            <w:proofErr w:type="spellStart"/>
            <w:r w:rsidRPr="001C3C3E">
              <w:rPr>
                <w:rFonts w:ascii="Arial" w:hAnsi="Arial" w:cs="Arial"/>
                <w:i/>
                <w:iCs/>
              </w:rPr>
              <w:t>Lyngbya</w:t>
            </w:r>
            <w:proofErr w:type="spellEnd"/>
          </w:p>
        </w:tc>
        <w:tc>
          <w:tcPr>
            <w:tcW w:w="1575" w:type="dxa"/>
            <w:vAlign w:val="center"/>
          </w:tcPr>
          <w:p w14:paraId="5D0F66DE" w14:textId="77777777" w:rsidR="00E37D2B" w:rsidRPr="0058495E" w:rsidRDefault="00E37D2B" w:rsidP="00E37D2B">
            <w:pPr>
              <w:jc w:val="center"/>
              <w:rPr>
                <w:rFonts w:ascii="Arial" w:hAnsi="Arial" w:cs="Arial"/>
              </w:rPr>
            </w:pPr>
            <w:r w:rsidRPr="001C3C3E">
              <w:rPr>
                <w:rFonts w:ascii="Arial" w:hAnsi="Arial" w:cs="Arial"/>
              </w:rPr>
              <w:t>Marine tropical waters</w:t>
            </w:r>
          </w:p>
        </w:tc>
        <w:tc>
          <w:tcPr>
            <w:tcW w:w="1988" w:type="dxa"/>
            <w:vAlign w:val="center"/>
          </w:tcPr>
          <w:p w14:paraId="32EA2A64" w14:textId="77777777" w:rsidR="00E37D2B" w:rsidRPr="0058495E" w:rsidRDefault="00E37D2B" w:rsidP="00E37D2B">
            <w:pPr>
              <w:jc w:val="center"/>
              <w:rPr>
                <w:rFonts w:ascii="Arial" w:hAnsi="Arial" w:cs="Arial"/>
              </w:rPr>
            </w:pPr>
            <w:r w:rsidRPr="001C3C3E">
              <w:rPr>
                <w:rFonts w:ascii="Arial" w:hAnsi="Arial" w:cs="Arial"/>
              </w:rPr>
              <w:t>Pacific Ocean, Caribbean regions</w:t>
            </w:r>
          </w:p>
        </w:tc>
        <w:tc>
          <w:tcPr>
            <w:tcW w:w="1417" w:type="dxa"/>
          </w:tcPr>
          <w:p w14:paraId="5C690CB4" w14:textId="51CB1564" w:rsidR="00E37D2B" w:rsidRPr="001C3C3E" w:rsidRDefault="00FC777D"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{"citationID":"x8vBRtZy","properties":{"formattedCitation":"(Du et al., 2019)","plainCitation":"(Du et al., 2019)","noteIndex":0},"citationItems":[{"id":985,"uris":["http://zotero.org/users/local/Xm6IMfD4/items/KYQMVJ8R"],"itemData":{"id":985,"type":"article-journal","abstract":"The widespread distribution of cyanobacteria in the aquatic environment is increasing the risk of water pollution caused by cyanotoxins, which poses a serious threat to human health. However, the structural characterization, distribution and identification techniques of cyanotoxins have not been comprehensively reviewed in previous studies. This paper aims to elaborate the existing information systematically on the diversity of cyanotoxins to identify valuable research avenues. According to the chemical structure, cyanotoxins are mainly classified into cyclic peptides, alkaloids, lipopeptides, nonprotein amino acids and lipoglycans. In terms of global distribution, the amount of cyanotoxins are unbalanced in different areas. The diversity of cyanotoxins is more obviously found in many developed countries than that in undeveloped countries. Moreover, the threat of cyanotoxins has promoted the development of identification and detection technology. Many emerging methods have been developed to detect cyanotoxins in the environment. This communication provides a comprehensive review of the diversity of cyanotoxins, and the detection and identification technology was discussed. This detailed information will be a valuable resource for identifying the various types of cyanotoxins which threaten the environment of different areas. The ability to accurately identify specific cyanotoxins is an obvious and essential aspect of cyanobacterial research.","container-title":"Toxins","DOI":"10.3390/toxins11090530","ISSN":"2072-6651","issue":"9","journalAbbreviation":"Toxins","language":"en","license":"https://creativecommons.org/licenses/by/4.0/","page":"530","source":"DOI.org (Crossref)","title":"The Diversity of Cyanobacterial Toxins on Structural Characterization, Distribution and Identification: A Systematic Review","title-short":"The Diversity of Cyanobacterial Toxins on Structural Characterization, Distribution and Identification","volume":"11","author":[{"family":"Du","given":"Xingde"},{"family":"Liu","given":"Haohao"},{"family":"Yuan","given":"Le"},{"family":"Wang","given":"Yueqin"},{"family":"Ma","given":"Ya"},{"family":"Wang","given":"Rui"},{"family":"Chen","given":"Xinghai"},{"family":"Losiewicz","given":"Michael"},{"family":"Guo","given":"Hongxiang"},{"family":"Zhang","given":"Huizhen"}],"issued":{"date-parts":[["2019",9,12]]}}}],"schema":"https://github.com/citation-style-language/schema/raw/master/csl-citation.json"} </w:instrText>
            </w:r>
            <w:r>
              <w:rPr>
                <w:rFonts w:ascii="Arial" w:hAnsi="Arial" w:cs="Arial"/>
              </w:rPr>
              <w:fldChar w:fldCharType="separate"/>
            </w:r>
            <w:r w:rsidR="007410EB" w:rsidRPr="007410EB">
              <w:rPr>
                <w:rFonts w:ascii="Arial" w:hAnsi="Arial" w:cs="Arial"/>
              </w:rPr>
              <w:t>(Du et al., 2019)</w:t>
            </w:r>
            <w:r>
              <w:rPr>
                <w:rFonts w:ascii="Arial" w:hAnsi="Arial" w:cs="Arial"/>
              </w:rPr>
              <w:fldChar w:fldCharType="end"/>
            </w:r>
          </w:p>
        </w:tc>
      </w:tr>
      <w:tr w:rsidR="00E37D2B" w:rsidRPr="0058495E" w14:paraId="299E738F" w14:textId="77777777" w:rsidTr="00E37D2B">
        <w:trPr>
          <w:trHeight w:val="728"/>
        </w:trPr>
        <w:tc>
          <w:tcPr>
            <w:tcW w:w="2405" w:type="dxa"/>
            <w:vAlign w:val="center"/>
          </w:tcPr>
          <w:p w14:paraId="722FFC5D" w14:textId="77777777" w:rsidR="00E37D2B" w:rsidRPr="0058495E" w:rsidRDefault="00E37D2B" w:rsidP="00E37D2B">
            <w:pPr>
              <w:jc w:val="both"/>
              <w:rPr>
                <w:rFonts w:ascii="Arial" w:hAnsi="Arial" w:cs="Arial"/>
                <w:b/>
                <w:bCs/>
              </w:rPr>
            </w:pPr>
            <w:r w:rsidRPr="001C3C3E">
              <w:rPr>
                <w:rFonts w:ascii="Arial" w:hAnsi="Arial" w:cs="Arial"/>
                <w:b/>
                <w:bCs/>
              </w:rPr>
              <w:t>Lipopolysaccharides (LPS)</w:t>
            </w:r>
          </w:p>
        </w:tc>
        <w:tc>
          <w:tcPr>
            <w:tcW w:w="1884" w:type="dxa"/>
            <w:vAlign w:val="center"/>
          </w:tcPr>
          <w:p w14:paraId="35F15D6B" w14:textId="77777777" w:rsidR="00E37D2B" w:rsidRPr="0058495E" w:rsidRDefault="00E37D2B" w:rsidP="00E37D2B">
            <w:pPr>
              <w:jc w:val="center"/>
              <w:rPr>
                <w:rFonts w:ascii="Arial" w:hAnsi="Arial" w:cs="Arial"/>
              </w:rPr>
            </w:pPr>
            <w:r w:rsidRPr="001C3C3E">
              <w:rPr>
                <w:rFonts w:ascii="Arial" w:hAnsi="Arial" w:cs="Arial"/>
              </w:rPr>
              <w:t>Endotoxin (cell wall component)</w:t>
            </w:r>
          </w:p>
        </w:tc>
        <w:tc>
          <w:tcPr>
            <w:tcW w:w="2181" w:type="dxa"/>
            <w:vAlign w:val="center"/>
          </w:tcPr>
          <w:p w14:paraId="07999F6D" w14:textId="77777777" w:rsidR="00E37D2B" w:rsidRPr="0058495E" w:rsidRDefault="00E37D2B" w:rsidP="00B135CC">
            <w:pPr>
              <w:jc w:val="center"/>
              <w:rPr>
                <w:rFonts w:ascii="Arial" w:hAnsi="Arial" w:cs="Arial"/>
              </w:rPr>
            </w:pPr>
            <w:r w:rsidRPr="001C3C3E">
              <w:rPr>
                <w:rFonts w:ascii="Arial" w:hAnsi="Arial" w:cs="Arial"/>
              </w:rPr>
              <w:t>Lipid A + polysaccharide chain</w:t>
            </w:r>
          </w:p>
        </w:tc>
        <w:tc>
          <w:tcPr>
            <w:tcW w:w="1342" w:type="dxa"/>
            <w:vAlign w:val="center"/>
          </w:tcPr>
          <w:p w14:paraId="2B85CC00" w14:textId="77777777" w:rsidR="00E37D2B" w:rsidRPr="0058495E" w:rsidRDefault="00E37D2B" w:rsidP="00E37D2B">
            <w:pPr>
              <w:jc w:val="both"/>
              <w:rPr>
                <w:rFonts w:ascii="Arial" w:hAnsi="Arial" w:cs="Arial"/>
              </w:rPr>
            </w:pPr>
            <w:r w:rsidRPr="001C3C3E">
              <w:rPr>
                <w:rFonts w:ascii="Arial" w:hAnsi="Arial" w:cs="Arial"/>
              </w:rPr>
              <w:t>Variable (high MW)</w:t>
            </w:r>
          </w:p>
        </w:tc>
        <w:tc>
          <w:tcPr>
            <w:tcW w:w="1945" w:type="dxa"/>
            <w:vAlign w:val="center"/>
          </w:tcPr>
          <w:p w14:paraId="46EFE6B4" w14:textId="77777777" w:rsidR="00E37D2B" w:rsidRPr="0058495E" w:rsidRDefault="00E37D2B" w:rsidP="00E37D2B">
            <w:pPr>
              <w:jc w:val="both"/>
              <w:rPr>
                <w:rFonts w:ascii="Arial" w:hAnsi="Arial" w:cs="Arial"/>
                <w:i/>
                <w:iCs/>
              </w:rPr>
            </w:pPr>
            <w:r w:rsidRPr="001C3C3E">
              <w:rPr>
                <w:rFonts w:ascii="Arial" w:hAnsi="Arial" w:cs="Arial"/>
              </w:rPr>
              <w:t>Multiple cyanobacterial genera</w:t>
            </w:r>
          </w:p>
        </w:tc>
        <w:tc>
          <w:tcPr>
            <w:tcW w:w="1575" w:type="dxa"/>
            <w:vAlign w:val="center"/>
          </w:tcPr>
          <w:p w14:paraId="7C7264E6" w14:textId="77777777" w:rsidR="00E37D2B" w:rsidRPr="0058495E" w:rsidRDefault="00E37D2B" w:rsidP="00E37D2B">
            <w:pPr>
              <w:jc w:val="center"/>
              <w:rPr>
                <w:rFonts w:ascii="Arial" w:hAnsi="Arial" w:cs="Arial"/>
              </w:rPr>
            </w:pPr>
            <w:r w:rsidRPr="001C3C3E">
              <w:rPr>
                <w:rFonts w:ascii="Arial" w:hAnsi="Arial" w:cs="Arial"/>
              </w:rPr>
              <w:t>Freshwater and marine blooms</w:t>
            </w:r>
          </w:p>
        </w:tc>
        <w:tc>
          <w:tcPr>
            <w:tcW w:w="1988" w:type="dxa"/>
            <w:vAlign w:val="center"/>
          </w:tcPr>
          <w:p w14:paraId="4B95BFC5" w14:textId="77777777" w:rsidR="00E37D2B" w:rsidRPr="0058495E" w:rsidRDefault="00E37D2B" w:rsidP="00E37D2B">
            <w:pPr>
              <w:jc w:val="center"/>
              <w:rPr>
                <w:rFonts w:ascii="Arial" w:hAnsi="Arial" w:cs="Arial"/>
              </w:rPr>
            </w:pPr>
            <w:r w:rsidRPr="001C3C3E">
              <w:rPr>
                <w:rFonts w:ascii="Arial" w:hAnsi="Arial" w:cs="Arial"/>
              </w:rPr>
              <w:t>Globally present during cyanobacterial proliferations</w:t>
            </w:r>
          </w:p>
        </w:tc>
        <w:tc>
          <w:tcPr>
            <w:tcW w:w="1417" w:type="dxa"/>
          </w:tcPr>
          <w:p w14:paraId="4AEAB7EA" w14:textId="07D57ECE" w:rsidR="00E37D2B" w:rsidRPr="001C3C3E" w:rsidRDefault="00FC777D"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{"citationID":"JDW6Ks8U","properties":{"formattedCitation":"(Stewart et al., 2006)","plainCitation":"(Stewart et al., 2006)","noteIndex":0},"citationItems":[{"id":1162,"uris":["http://zotero.org/users/local/Xm6IMfD4/items/9TRQI4B7"],"itemData":{"id":1162,"type":"article-journal","abstract":"Abstract\n            Cyanobacterial lipopolysaccharide/s (LPS) are frequently cited in the cyanobacteria literature as toxins responsible for a variety of heath effects in humans, from skin rashes to gastrointestinal, respiratory and allergic reactions. The attribution of toxic properties to cyanobacterial LPS dates from the 1970s, when it was thought that lipid A, the toxic moiety of LPS, was structurally and functionally conserved across all Gram-negative bacteria. However, more recent research has shown that this is not the case, and lipid A structures are now known to be very different, expressing properties ranging from LPS agonists, through weak endotoxicity to LPS antagonists. Although cyanobacterial LPS is widely cited as a putative toxin, most of the small number of formal research reports describe cyanobacterial LPS as weakly toxic compared to LPS from the Enterobacteriaceae.\n            We systematically reviewed the literature on cyanobacterial LPS, and also examined the much lager body of literature relating to heterotrophic bacterial LPS and the atypical lipid A structures of some photosynthetic bacteria. While the literature on the biological activity of heterotrophic bacterial LPS is overwhelmingly large and therefore difficult to review for the purposes of exclusion, we were unable to find a convincing body of evidence to suggest that heterotrophic bacterial LPS, in the absence of other virulence factors, is responsible for acute gastrointestinal, dermatological or allergic reactions via natural exposure routes in humans.\n            There is a danger that initial speculation about cyanobacterial LPS may evolve into orthodoxy without basis in research findings. No cyanobacterial lipid A structures have been described and published to date, so a recommendation is made that cyanobacteriologists should not continue to attribute such a diverse range of clinical symptoms to cyanobacterial LPS without research confirmation.","container-title":"Environmental Health","DOI":"10.1186/1476-069X-5-7","ISSN":"1476-069X","issue":"1","journalAbbreviation":"Environ Health","language":"en","page":"7","source":"DOI.org (Crossref)","title":"Cyanobacterial lipopolysaccharides and human health – a review","volume":"5","author":[{"family":"Stewart","given":"Ian"},{"family":"Schluter","given":"Philip J"},{"family":"Shaw","given":"Glen R"}],"issued":{"date-parts":[["2006",12]]}}}],"schema":"https://github.com/citation-style-language/schema/raw/master/csl-citation.json"} </w:instrText>
            </w:r>
            <w:r>
              <w:rPr>
                <w:rFonts w:ascii="Arial" w:hAnsi="Arial" w:cs="Arial"/>
              </w:rPr>
              <w:fldChar w:fldCharType="separate"/>
            </w:r>
            <w:r w:rsidR="007410EB" w:rsidRPr="007410EB">
              <w:rPr>
                <w:rFonts w:ascii="Arial" w:hAnsi="Arial" w:cs="Arial"/>
              </w:rPr>
              <w:t>(Stewart et al., 2006)</w:t>
            </w:r>
            <w:r>
              <w:rPr>
                <w:rFonts w:ascii="Arial" w:hAnsi="Arial" w:cs="Arial"/>
              </w:rPr>
              <w:fldChar w:fldCharType="end"/>
            </w:r>
          </w:p>
        </w:tc>
      </w:tr>
    </w:tbl>
    <w:p w14:paraId="27F79626" w14:textId="77777777" w:rsidR="00E37D2B" w:rsidRDefault="00E37D2B" w:rsidP="00E37D2B">
      <w:pPr>
        <w:rPr>
          <w:rFonts w:ascii="Arial" w:hAnsi="Arial" w:cs="Arial"/>
        </w:rPr>
      </w:pPr>
    </w:p>
    <w:p w14:paraId="43A47346" w14:textId="77777777" w:rsidR="006D022F" w:rsidRPr="006D022F" w:rsidRDefault="006D022F" w:rsidP="006D022F">
      <w:pPr>
        <w:rPr>
          <w:rFonts w:ascii="Arial" w:hAnsi="Arial" w:cs="Arial"/>
        </w:rPr>
      </w:pPr>
    </w:p>
    <w:p w14:paraId="3A395D7B" w14:textId="77777777" w:rsidR="006D022F" w:rsidRPr="006D022F" w:rsidRDefault="006D022F" w:rsidP="006D022F">
      <w:pPr>
        <w:rPr>
          <w:rFonts w:ascii="Arial" w:hAnsi="Arial" w:cs="Arial"/>
        </w:rPr>
      </w:pPr>
    </w:p>
    <w:p w14:paraId="0F3A03D6" w14:textId="77777777" w:rsidR="006D022F" w:rsidRPr="006D022F" w:rsidRDefault="006D022F" w:rsidP="006D022F">
      <w:pPr>
        <w:rPr>
          <w:rFonts w:ascii="Arial" w:hAnsi="Arial" w:cs="Arial"/>
        </w:rPr>
      </w:pPr>
    </w:p>
    <w:p w14:paraId="25E9DB8D" w14:textId="77777777" w:rsidR="006D022F" w:rsidRPr="006D022F" w:rsidRDefault="006D022F" w:rsidP="006D022F">
      <w:pPr>
        <w:rPr>
          <w:rFonts w:ascii="Arial" w:hAnsi="Arial" w:cs="Arial"/>
        </w:rPr>
      </w:pPr>
    </w:p>
    <w:p w14:paraId="4FC1F2D5" w14:textId="77777777" w:rsidR="006D022F" w:rsidRPr="006D022F" w:rsidRDefault="006D022F" w:rsidP="006D022F">
      <w:pPr>
        <w:rPr>
          <w:rFonts w:ascii="Arial" w:hAnsi="Arial" w:cs="Arial"/>
        </w:rPr>
      </w:pPr>
    </w:p>
    <w:p w14:paraId="7CC7062B" w14:textId="77777777" w:rsidR="006D022F" w:rsidRPr="006D022F" w:rsidRDefault="006D022F" w:rsidP="006D022F">
      <w:pPr>
        <w:rPr>
          <w:rFonts w:ascii="Arial" w:hAnsi="Arial" w:cs="Arial"/>
        </w:rPr>
      </w:pPr>
    </w:p>
    <w:p w14:paraId="338C4C3B" w14:textId="77777777" w:rsidR="006D022F" w:rsidRPr="006D022F" w:rsidRDefault="006D022F" w:rsidP="006D022F">
      <w:pPr>
        <w:rPr>
          <w:rFonts w:ascii="Arial" w:hAnsi="Arial" w:cs="Arial"/>
        </w:rPr>
      </w:pPr>
    </w:p>
    <w:p w14:paraId="6A57558D" w14:textId="77777777" w:rsidR="006D022F" w:rsidRPr="006D022F" w:rsidRDefault="006D022F" w:rsidP="006D022F">
      <w:pPr>
        <w:rPr>
          <w:rFonts w:ascii="Arial" w:hAnsi="Arial" w:cs="Arial"/>
        </w:rPr>
      </w:pPr>
    </w:p>
    <w:p w14:paraId="65E7D8E1" w14:textId="77777777" w:rsidR="006D022F" w:rsidRPr="006D022F" w:rsidRDefault="006D022F" w:rsidP="006D022F">
      <w:pPr>
        <w:rPr>
          <w:rFonts w:ascii="Arial" w:hAnsi="Arial" w:cs="Arial"/>
        </w:rPr>
      </w:pPr>
    </w:p>
    <w:p w14:paraId="3B1CB88A" w14:textId="77777777" w:rsidR="006D022F" w:rsidRPr="006D022F" w:rsidRDefault="006D022F" w:rsidP="006D022F">
      <w:pPr>
        <w:rPr>
          <w:rFonts w:ascii="Arial" w:hAnsi="Arial" w:cs="Arial"/>
        </w:rPr>
      </w:pPr>
    </w:p>
    <w:p w14:paraId="5669DE25" w14:textId="77777777" w:rsidR="006D022F" w:rsidRPr="006D022F" w:rsidRDefault="006D022F" w:rsidP="006D022F">
      <w:pPr>
        <w:rPr>
          <w:rFonts w:ascii="Arial" w:hAnsi="Arial" w:cs="Arial"/>
        </w:rPr>
      </w:pPr>
    </w:p>
    <w:p w14:paraId="50DD8E69" w14:textId="77777777" w:rsidR="006D022F" w:rsidRPr="006D022F" w:rsidRDefault="006D022F" w:rsidP="006D022F">
      <w:pPr>
        <w:rPr>
          <w:rFonts w:ascii="Arial" w:hAnsi="Arial" w:cs="Arial"/>
        </w:rPr>
      </w:pPr>
    </w:p>
    <w:p w14:paraId="385FC779" w14:textId="77777777" w:rsidR="006D022F" w:rsidRPr="006D022F" w:rsidRDefault="006D022F" w:rsidP="006D022F">
      <w:pPr>
        <w:rPr>
          <w:rFonts w:ascii="Arial" w:hAnsi="Arial" w:cs="Arial"/>
        </w:rPr>
      </w:pPr>
    </w:p>
    <w:p w14:paraId="7FC45DAD" w14:textId="77777777" w:rsidR="006D022F" w:rsidRPr="006D022F" w:rsidRDefault="006D022F" w:rsidP="006D022F">
      <w:pPr>
        <w:rPr>
          <w:rFonts w:ascii="Arial" w:hAnsi="Arial" w:cs="Arial"/>
        </w:rPr>
      </w:pPr>
    </w:p>
    <w:p w14:paraId="6B792B01" w14:textId="77777777" w:rsidR="006D022F" w:rsidRPr="006D022F" w:rsidRDefault="006D022F" w:rsidP="006D022F">
      <w:pPr>
        <w:rPr>
          <w:rFonts w:ascii="Arial" w:hAnsi="Arial" w:cs="Arial"/>
        </w:rPr>
      </w:pPr>
    </w:p>
    <w:p w14:paraId="6A75D335" w14:textId="28A67A1A" w:rsidR="006D022F" w:rsidRDefault="006D022F" w:rsidP="006D022F">
      <w:pPr>
        <w:tabs>
          <w:tab w:val="left" w:pos="4445"/>
        </w:tabs>
        <w:rPr>
          <w:rFonts w:ascii="Arial" w:hAnsi="Arial" w:cs="Arial"/>
        </w:rPr>
        <w:sectPr w:rsidR="006D022F" w:rsidSect="00DA0F27">
          <w:type w:val="continuous"/>
          <w:pgSz w:w="16838" w:h="11906" w:orient="landscape"/>
          <w:pgMar w:top="22" w:right="851" w:bottom="1274" w:left="1440" w:header="708" w:footer="708" w:gutter="0"/>
          <w:cols w:space="708"/>
          <w:docGrid w:linePitch="360"/>
        </w:sectPr>
      </w:pPr>
    </w:p>
    <w:p w14:paraId="3BEAB027" w14:textId="77777777" w:rsidR="006D022F" w:rsidRDefault="006D022F" w:rsidP="006D022F">
      <w:pPr>
        <w:tabs>
          <w:tab w:val="left" w:pos="4445"/>
        </w:tabs>
        <w:rPr>
          <w:rFonts w:ascii="Arial" w:hAnsi="Arial" w:cs="Arial"/>
        </w:rPr>
      </w:pPr>
    </w:p>
    <w:p w14:paraId="64E41282" w14:textId="77777777" w:rsidR="006D022F" w:rsidRPr="0058495E" w:rsidRDefault="006D022F" w:rsidP="006D022F">
      <w:pPr>
        <w:jc w:val="both"/>
        <w:rPr>
          <w:rFonts w:ascii="Arial" w:hAnsi="Arial" w:cs="Arial"/>
          <w:b/>
          <w:bCs/>
        </w:rPr>
      </w:pPr>
      <w:r>
        <w:rPr>
          <w:rFonts w:ascii="Arial" w:hAnsi="Arial" w:cs="Arial"/>
        </w:rPr>
        <w:tab/>
      </w:r>
      <w:r>
        <w:rPr>
          <w:rFonts w:ascii="Arial" w:hAnsi="Arial" w:cs="Arial"/>
          <w:b/>
          <w:bCs/>
        </w:rPr>
        <w:t xml:space="preserve">5. </w:t>
      </w:r>
      <w:r w:rsidRPr="0058495E">
        <w:rPr>
          <w:rFonts w:ascii="Arial" w:hAnsi="Arial" w:cs="Arial"/>
          <w:b/>
          <w:bCs/>
        </w:rPr>
        <w:t>DETECTION OF CYANOTOXINS</w:t>
      </w:r>
    </w:p>
    <w:p w14:paraId="1CA7025C" w14:textId="77777777" w:rsidR="006D022F" w:rsidRPr="002D575D" w:rsidRDefault="006D022F" w:rsidP="00E512F1">
      <w:pPr>
        <w:ind w:left="709"/>
        <w:jc w:val="both"/>
        <w:rPr>
          <w:rFonts w:ascii="Arial" w:hAnsi="Arial" w:cs="Arial"/>
          <w:b/>
          <w:bCs/>
        </w:rPr>
      </w:pPr>
      <w:r>
        <w:rPr>
          <w:rFonts w:ascii="Arial" w:hAnsi="Arial" w:cs="Arial"/>
          <w:b/>
          <w:bCs/>
        </w:rPr>
        <w:t>5.</w:t>
      </w:r>
      <w:r w:rsidRPr="002D575D">
        <w:rPr>
          <w:rFonts w:ascii="Arial" w:hAnsi="Arial" w:cs="Arial"/>
          <w:b/>
          <w:bCs/>
        </w:rPr>
        <w:t>1. TARGETED ANALYTICAL METHODS</w:t>
      </w:r>
    </w:p>
    <w:p w14:paraId="4E1243EF" w14:textId="31A47ABF" w:rsidR="006D022F" w:rsidRPr="002D575D" w:rsidRDefault="006D022F" w:rsidP="00E512F1">
      <w:pPr>
        <w:ind w:left="709"/>
        <w:jc w:val="both"/>
        <w:rPr>
          <w:rFonts w:ascii="Arial" w:hAnsi="Arial" w:cs="Arial"/>
          <w:sz w:val="20"/>
          <w:szCs w:val="20"/>
        </w:rPr>
      </w:pPr>
      <w:r w:rsidRPr="002D575D">
        <w:rPr>
          <w:rFonts w:ascii="Arial" w:hAnsi="Arial" w:cs="Arial"/>
          <w:sz w:val="20"/>
          <w:szCs w:val="20"/>
        </w:rPr>
        <w:t>Targeted analytical methods remain the cornerstone of cyanotoxin detection, particularly for regulatory compliance and quantitative risk assessment. These approaches are designed to identify and quantify predefined toxin congeners with high sensitivity and selectivity. High-performance liquid chromatography (HPLC) coupled with ultraviolet (UV) or diode-array detection has historically been employed for microcystin analysis; however, limited specificity and co-elution challenges reduce its reliability in complex environmental matrices</w:t>
      </w:r>
      <w:r>
        <w:rPr>
          <w:rFonts w:ascii="Arial" w:hAnsi="Arial" w:cs="Arial"/>
          <w:sz w:val="20"/>
          <w:szCs w:val="20"/>
        </w:rPr>
        <w:fldChar w:fldCharType="begin"/>
      </w:r>
      <w:r w:rsidR="007410EB">
        <w:rPr>
          <w:rFonts w:ascii="Arial" w:hAnsi="Arial" w:cs="Arial"/>
          <w:sz w:val="20"/>
          <w:szCs w:val="20"/>
        </w:rPr>
        <w:instrText xml:space="preserve"> ADDIN ZOTERO_ITEM CSL_CITATION {"citationID":"ODFcWWy3","properties":{"formattedCitation":"(Massey et al., 2020)","plainCitation":"(Massey et al., 2020)","noteIndex":0},"citationItems":[{"id":1175,"uris":["http://zotero.org/users/local/Xm6IMfD4/items/3QVYEGTP"],"itemData":{"id":1175,"type":"article-journal","abstract":"Cyanobacterial harmful algal blooms (CyanoHABs) produce microcystins (MCs) which are associated with animal and human hepatotoxicity. Over 270 variants of MC exist. MCs have been continually studied due of their toxic consequences. Monitoring water quality to assess the presence of MCs is of utmost importance although it is often difficult because CyanoHABs may generate multiple MC variants, and their low concentration in water. To effectively manage and control these toxins and prevent their health risks, sensitive, fast, and reliable methods capable of detecting MCs are required. This paper aims to review the three main analytical methods used to detect MCs ranging from biological (mouse bioassay), biochemical (protein phosphatase inhibition assay and enzyme linked immunosorbent assay), and chemical (high performance liquid chromatography, liquid chromatography-mass spectrometry, high performance capillary electrophoresis, and gas chromatography), as well as the newly emerging biosensor methods. In addition, the current state of these methods regarding their novel development and usage, as well as merits and limitations are presented. Finally, this paper also provides recommendations and future research directions towards method application and improvement.","container-title":"Toxins","DOI":"10.3390/toxins12100641","ISSN":"2072-6651","issue":"10","journalAbbreviation":"Toxins","language":"en","page":"641","source":"DOI.org (Crossref)","title":"A Mini-Review on Detection Methods of Microcystins","volume":"12","author":[{"family":"Massey","given":"Isaac Yaw"},{"family":"Wu","given":"Pian"},{"family":"Wei","given":"Jia"},{"family":"Luo","given":"Jiayou"},{"family":"Ding","given":"Ping"},{"family":"Wei","given":"Haiyan"},{"family":"Yang","given":"Fei"}],"issued":{"date-parts":[["2020",10,4]]}}}],"schema":"https://github.com/citation-style-language/schema/raw/master/csl-citation.json"} </w:instrText>
      </w:r>
      <w:r>
        <w:rPr>
          <w:rFonts w:ascii="Arial" w:hAnsi="Arial" w:cs="Arial"/>
          <w:sz w:val="20"/>
          <w:szCs w:val="20"/>
        </w:rPr>
        <w:fldChar w:fldCharType="separate"/>
      </w:r>
      <w:r w:rsidR="007410EB" w:rsidRPr="007410EB">
        <w:rPr>
          <w:rFonts w:ascii="Arial" w:hAnsi="Arial" w:cs="Arial"/>
          <w:sz w:val="20"/>
        </w:rPr>
        <w:t>(Massey et al., 2020)</w:t>
      </w:r>
      <w:r>
        <w:rPr>
          <w:rFonts w:ascii="Arial" w:hAnsi="Arial" w:cs="Arial"/>
          <w:sz w:val="20"/>
          <w:szCs w:val="20"/>
        </w:rPr>
        <w:fldChar w:fldCharType="end"/>
      </w:r>
      <w:r w:rsidRPr="002D575D">
        <w:rPr>
          <w:rFonts w:ascii="Arial" w:hAnsi="Arial" w:cs="Arial"/>
          <w:sz w:val="20"/>
          <w:szCs w:val="20"/>
        </w:rPr>
        <w:t>.</w:t>
      </w:r>
    </w:p>
    <w:p w14:paraId="2DC510BA" w14:textId="01FD8452" w:rsidR="006D022F" w:rsidRPr="002D575D" w:rsidRDefault="006D022F" w:rsidP="00E512F1">
      <w:pPr>
        <w:ind w:left="709"/>
        <w:jc w:val="both"/>
        <w:rPr>
          <w:rFonts w:ascii="Arial" w:hAnsi="Arial" w:cs="Arial"/>
        </w:rPr>
      </w:pPr>
      <w:r w:rsidRPr="002D575D">
        <w:rPr>
          <w:rFonts w:ascii="Arial" w:hAnsi="Arial" w:cs="Arial"/>
          <w:sz w:val="20"/>
          <w:szCs w:val="20"/>
        </w:rPr>
        <w:t xml:space="preserve">Liquid chromatography coupled with tandem mass spectrometry (LC–MS/MS) is currently regarded as the reference analytical platform. This technique enables simultaneous multi-toxin quantification with low detection limits, structural confirmation, and high reproducibility. Targeted LC–MS/MS methods are especially effective for microcystin congeners, </w:t>
      </w:r>
      <w:proofErr w:type="spellStart"/>
      <w:r w:rsidRPr="002D575D">
        <w:rPr>
          <w:rFonts w:ascii="Arial" w:hAnsi="Arial" w:cs="Arial"/>
          <w:sz w:val="20"/>
          <w:szCs w:val="20"/>
        </w:rPr>
        <w:t>cylindrospermopsin</w:t>
      </w:r>
      <w:proofErr w:type="spellEnd"/>
      <w:r w:rsidRPr="002D575D">
        <w:rPr>
          <w:rFonts w:ascii="Arial" w:hAnsi="Arial" w:cs="Arial"/>
          <w:sz w:val="20"/>
          <w:szCs w:val="20"/>
        </w:rPr>
        <w:t>, anatoxins, and saxitoxins. The use of isotope-</w:t>
      </w:r>
      <w:proofErr w:type="spellStart"/>
      <w:r w:rsidRPr="002D575D">
        <w:rPr>
          <w:rFonts w:ascii="Arial" w:hAnsi="Arial" w:cs="Arial"/>
          <w:sz w:val="20"/>
          <w:szCs w:val="20"/>
        </w:rPr>
        <w:t>labeled</w:t>
      </w:r>
      <w:proofErr w:type="spellEnd"/>
      <w:r w:rsidRPr="002D575D">
        <w:rPr>
          <w:rFonts w:ascii="Arial" w:hAnsi="Arial" w:cs="Arial"/>
          <w:sz w:val="20"/>
          <w:szCs w:val="20"/>
        </w:rPr>
        <w:t xml:space="preserve"> internal standards further enhances analytical accuracy and compensates for matrix suppression effects. Despite its robustness, high operational cost and technical complexity limit accessibility in resource-constrained monitoring programs</w:t>
      </w:r>
      <w:r>
        <w:rPr>
          <w:rFonts w:ascii="Arial" w:hAnsi="Arial" w:cs="Arial"/>
          <w:sz w:val="20"/>
          <w:szCs w:val="20"/>
        </w:rPr>
        <w:fldChar w:fldCharType="begin"/>
      </w:r>
      <w:r w:rsidR="007410EB">
        <w:rPr>
          <w:rFonts w:ascii="Arial" w:hAnsi="Arial" w:cs="Arial"/>
          <w:sz w:val="20"/>
          <w:szCs w:val="20"/>
        </w:rPr>
        <w:instrText xml:space="preserve"> ADDIN ZOTERO_ITEM CSL_CITATION {"citationID":"BX0jPJCU","properties":{"formattedCitation":"(Jacinavicius et al., 2023)","plainCitation":"(Jacinavicius et al., 2023)","noteIndex":0},"citationItems":[{"id":948,"uris":["http://zotero.org/users/local/Xm6IMfD4/items/Q53XKHMZ"],"itemData":{"id":948,"type":"article-journal","abstract":"Cyanobacteria can form harmful blooms in specific environmental conditions due to certain species producing toxic metabolites known as cyanotoxins. These toxins pose significant risks to public health and the environment, making it critical to identify and quantify them in food and water sources to avoid contamination. However, current screening methods only focus on a single class of cyanotoxins, limiting their effectiveness. Thus, fast and sensitive liquid chromatography coupled with tandem mass spectrometry (LC-MS/MS) method was developed to analyze eighteen cyanotoxins simultaneously. A simplified extraction procedure using lyophilized samples of cyanobacterial biomass was also used, eliminating the need for traditional solid-phase extraction methods. This method uses multiple reaction monitoring and allows accurate determination and quantification of eighteen cyanotoxins, including anatoxin-a, homoanatoxin-a, cylindrospermopsin, deoxy-cylindrospermopsin, nodularin, guanitoxin, seven microcystins (RR, [D-Asp3] RR, LA, LR, LY, LW, and YR), and five saxitoxins (gonyautoxins GTX-1&amp;4, GTX-2&amp;3, GTX-5), decarbamoylgonyautoxin (dcGTX-2&amp;3), and N-Sulfocarbamoylgonyautoxin (C1&amp;C2), all in a short acquisition time of 8 min. Therefore, this method provides a simple and efficient approach to identify and quantify harmful compounds produced by cyanobacteria. Hence, this represents the first method to detecting guanitoxin among cyanotoxins. By expanding the range of toxins analyzed, this method can help ensure high-quality food and drinking water and protect recreational users from exposure to cyanotoxins.","container-title":"Toxicon","DOI":"10.1016/j.toxicon.2023.107282","ISSN":"00410101","journalAbbreviation":"Toxicon","language":"en","page":"107282","source":"DOI.org (Crossref)","title":"A rapid LC-MS/MS method for multi-class identification and quantification of cyanotoxins","volume":"234","author":[{"family":"Jacinavicius","given":"Fernanda Rios"},{"family":"Valverde Campos","given":"Thaíssa Giovanna"},{"family":"Passos","given":"Larissa Souza"},{"family":"Pinto","given":"Ernani"},{"family":"Geraldes","given":"Vanessa"}],"issued":{"date-parts":[["2023",10]]}}}],"schema":"https://github.com/citation-style-language/schema/raw/master/csl-citation.json"} </w:instrText>
      </w:r>
      <w:r>
        <w:rPr>
          <w:rFonts w:ascii="Arial" w:hAnsi="Arial" w:cs="Arial"/>
          <w:sz w:val="20"/>
          <w:szCs w:val="20"/>
        </w:rPr>
        <w:fldChar w:fldCharType="separate"/>
      </w:r>
      <w:r w:rsidR="007410EB" w:rsidRPr="007410EB">
        <w:rPr>
          <w:rFonts w:ascii="Arial" w:hAnsi="Arial" w:cs="Arial"/>
          <w:sz w:val="20"/>
        </w:rPr>
        <w:t>(Jacinavicius et al., 2023)</w:t>
      </w:r>
      <w:r>
        <w:rPr>
          <w:rFonts w:ascii="Arial" w:hAnsi="Arial" w:cs="Arial"/>
          <w:sz w:val="20"/>
          <w:szCs w:val="20"/>
        </w:rPr>
        <w:fldChar w:fldCharType="end"/>
      </w:r>
      <w:r w:rsidRPr="002D575D">
        <w:rPr>
          <w:rFonts w:ascii="Arial" w:hAnsi="Arial" w:cs="Arial"/>
          <w:sz w:val="20"/>
          <w:szCs w:val="20"/>
        </w:rPr>
        <w:t>.</w:t>
      </w:r>
    </w:p>
    <w:p w14:paraId="7C1F6E6F" w14:textId="77777777" w:rsidR="006D022F" w:rsidRPr="002D575D" w:rsidRDefault="006D022F" w:rsidP="00E512F1">
      <w:pPr>
        <w:ind w:left="709"/>
        <w:jc w:val="both"/>
        <w:rPr>
          <w:rFonts w:ascii="Arial" w:hAnsi="Arial" w:cs="Arial"/>
          <w:b/>
          <w:bCs/>
        </w:rPr>
      </w:pPr>
      <w:r>
        <w:rPr>
          <w:rFonts w:ascii="Arial" w:hAnsi="Arial" w:cs="Arial"/>
          <w:b/>
          <w:bCs/>
        </w:rPr>
        <w:t>5.</w:t>
      </w:r>
      <w:r w:rsidRPr="002D575D">
        <w:rPr>
          <w:rFonts w:ascii="Arial" w:hAnsi="Arial" w:cs="Arial"/>
          <w:b/>
          <w:bCs/>
        </w:rPr>
        <w:t>2. NON-TARGETED SCREENING APPROACHES</w:t>
      </w:r>
    </w:p>
    <w:p w14:paraId="5CDC815F" w14:textId="43D6B83C" w:rsidR="006D022F" w:rsidRPr="00810680" w:rsidRDefault="006D022F" w:rsidP="00E512F1">
      <w:pPr>
        <w:ind w:left="709"/>
        <w:jc w:val="both"/>
        <w:rPr>
          <w:rFonts w:ascii="Arial" w:hAnsi="Arial" w:cs="Arial"/>
          <w:sz w:val="20"/>
          <w:szCs w:val="20"/>
        </w:rPr>
      </w:pPr>
      <w:r w:rsidRPr="002D575D">
        <w:rPr>
          <w:rFonts w:ascii="Arial" w:hAnsi="Arial" w:cs="Arial"/>
          <w:sz w:val="20"/>
          <w:szCs w:val="20"/>
        </w:rPr>
        <w:t>Non-targeted analytical strategies have gained increasing importance due to the discovery of emerging and structurally modified cyanotoxins. High-resolution mass spectrometry (HRMS), including quadrupole time-of-flight (QTOF) and Orbitrap systems, enables suspect and unknown screening without prior knowledge of toxin identity. This approach allows retrospective data analysis, which is particularly valuable when new toxin analogues are identified after sample collection</w:t>
      </w:r>
      <w:r>
        <w:rPr>
          <w:rFonts w:ascii="Arial" w:hAnsi="Arial" w:cs="Arial"/>
          <w:sz w:val="20"/>
          <w:szCs w:val="20"/>
        </w:rPr>
        <w:fldChar w:fldCharType="begin"/>
      </w:r>
      <w:r w:rsidR="007410EB">
        <w:rPr>
          <w:rFonts w:ascii="Arial" w:hAnsi="Arial" w:cs="Arial"/>
          <w:sz w:val="20"/>
          <w:szCs w:val="20"/>
        </w:rPr>
        <w:instrText xml:space="preserve"> ADDIN ZOTERO_ITEM CSL_CITATION {"citationID":"TG6AZvuC","properties":{"formattedCitation":"(Ortiz et al., 2017)","plainCitation":"(Ortiz et al., 2017)","noteIndex":0},"citationItems":[{"id":1178,"uris":["http://zotero.org/users/local/Xm6IMfD4/items/P92XAJHM"],"itemData":{"id":1178,"type":"article-journal","container-title":"Analytical and Bioanalytical Chemistry","DOI":"10.1007/s00216-017-0437-0","ISSN":"1618-2642, 1618-2650","issue":"21","journalAbbreviation":"Anal Bioanal Chem","language":"en","page":"4959-4969","source":"DOI.org (Crossref)","title":"A high throughput targeted and non-targeted method for the analysis of microcystins and anatoxin-A using on-line solid phase extraction coupled to liquid chromatography–quadrupole time-of-flight high resolution mass spectrometry","volume":"409","author":[{"family":"Ortiz","given":"Xavier"},{"family":"Korenkova","given":"Eva"},{"family":"Jobst","given":"Karl J."},{"family":"MacPherson","given":"Karen A."},{"family":"Reiner","given":"Eric J."}],"issued":{"date-parts":[["2017",8]]}}}],"schema":"https://github.com/citation-style-language/schema/raw/master/csl-citation.json"} </w:instrText>
      </w:r>
      <w:r>
        <w:rPr>
          <w:rFonts w:ascii="Arial" w:hAnsi="Arial" w:cs="Arial"/>
          <w:sz w:val="20"/>
          <w:szCs w:val="20"/>
        </w:rPr>
        <w:fldChar w:fldCharType="separate"/>
      </w:r>
      <w:r w:rsidR="007410EB" w:rsidRPr="007410EB">
        <w:rPr>
          <w:rFonts w:ascii="Arial" w:hAnsi="Arial" w:cs="Arial"/>
          <w:sz w:val="20"/>
        </w:rPr>
        <w:t>(Ortiz et al., 2017)</w:t>
      </w:r>
      <w:r>
        <w:rPr>
          <w:rFonts w:ascii="Arial" w:hAnsi="Arial" w:cs="Arial"/>
          <w:sz w:val="20"/>
          <w:szCs w:val="20"/>
        </w:rPr>
        <w:fldChar w:fldCharType="end"/>
      </w:r>
      <w:r w:rsidRPr="002D575D">
        <w:rPr>
          <w:rFonts w:ascii="Arial" w:hAnsi="Arial" w:cs="Arial"/>
          <w:sz w:val="20"/>
          <w:szCs w:val="20"/>
        </w:rPr>
        <w:t>.</w:t>
      </w:r>
      <w:r>
        <w:rPr>
          <w:rFonts w:ascii="Arial" w:hAnsi="Arial" w:cs="Arial"/>
          <w:sz w:val="20"/>
          <w:szCs w:val="20"/>
        </w:rPr>
        <w:t xml:space="preserve"> </w:t>
      </w:r>
      <w:r w:rsidRPr="00C13C27">
        <w:rPr>
          <w:rFonts w:ascii="Arial" w:hAnsi="Arial" w:cs="Arial"/>
          <w:sz w:val="20"/>
          <w:szCs w:val="20"/>
        </w:rPr>
        <w:t>While non-targeted methods provide broader chemical coverage, challenges remain in compound annotation, spectral database limitations, and quantification without reference standards. Nonetheless, integration of non-targeted workflows with targeted confirmation significantly strengthens comprehensive cyanotoxin surveillance programs.</w:t>
      </w:r>
    </w:p>
    <w:p w14:paraId="125C0CD4" w14:textId="77777777" w:rsidR="006D022F" w:rsidRPr="002D575D" w:rsidRDefault="006D022F" w:rsidP="00E512F1">
      <w:pPr>
        <w:ind w:left="709"/>
        <w:jc w:val="both"/>
        <w:rPr>
          <w:rFonts w:ascii="Arial" w:hAnsi="Arial" w:cs="Arial"/>
          <w:b/>
          <w:bCs/>
        </w:rPr>
      </w:pPr>
      <w:r>
        <w:rPr>
          <w:rFonts w:ascii="Arial" w:hAnsi="Arial" w:cs="Arial"/>
          <w:b/>
          <w:bCs/>
        </w:rPr>
        <w:t>5.</w:t>
      </w:r>
      <w:r w:rsidRPr="002D575D">
        <w:rPr>
          <w:rFonts w:ascii="Arial" w:hAnsi="Arial" w:cs="Arial"/>
          <w:b/>
          <w:bCs/>
        </w:rPr>
        <w:t>3. MOLECULAR AND GENOMIC DETECTION TOOLS</w:t>
      </w:r>
    </w:p>
    <w:p w14:paraId="7064E965" w14:textId="5E93B5D3" w:rsidR="006D022F" w:rsidRPr="002D575D" w:rsidRDefault="006D022F" w:rsidP="00E512F1">
      <w:pPr>
        <w:ind w:left="709"/>
        <w:jc w:val="both"/>
        <w:rPr>
          <w:rFonts w:ascii="Arial" w:hAnsi="Arial" w:cs="Arial"/>
        </w:rPr>
      </w:pPr>
      <w:r w:rsidRPr="002D575D">
        <w:rPr>
          <w:rFonts w:ascii="Arial" w:hAnsi="Arial" w:cs="Arial"/>
        </w:rPr>
        <w:t xml:space="preserve">Molecular detection focuses on identifying toxin biosynthesis potential rather than the toxins themselves. Polymerase chain reaction (PCR)-based techniques target specific gene clusters responsible for toxin production, such as </w:t>
      </w:r>
      <w:proofErr w:type="spellStart"/>
      <w:r w:rsidRPr="002D575D">
        <w:rPr>
          <w:rFonts w:ascii="Arial" w:hAnsi="Arial" w:cs="Arial"/>
          <w:i/>
          <w:iCs/>
        </w:rPr>
        <w:t>mcy</w:t>
      </w:r>
      <w:proofErr w:type="spellEnd"/>
      <w:r w:rsidRPr="002D575D">
        <w:rPr>
          <w:rFonts w:ascii="Arial" w:hAnsi="Arial" w:cs="Arial"/>
        </w:rPr>
        <w:t xml:space="preserve"> (</w:t>
      </w:r>
      <w:proofErr w:type="spellStart"/>
      <w:r w:rsidRPr="002D575D">
        <w:rPr>
          <w:rFonts w:ascii="Arial" w:hAnsi="Arial" w:cs="Arial"/>
        </w:rPr>
        <w:t>microcystins</w:t>
      </w:r>
      <w:proofErr w:type="spellEnd"/>
      <w:r w:rsidRPr="002D575D">
        <w:rPr>
          <w:rFonts w:ascii="Arial" w:hAnsi="Arial" w:cs="Arial"/>
        </w:rPr>
        <w:t xml:space="preserve">), </w:t>
      </w:r>
      <w:proofErr w:type="spellStart"/>
      <w:r w:rsidRPr="002D575D">
        <w:rPr>
          <w:rFonts w:ascii="Arial" w:hAnsi="Arial" w:cs="Arial"/>
          <w:i/>
          <w:iCs/>
        </w:rPr>
        <w:t>cyr</w:t>
      </w:r>
      <w:proofErr w:type="spellEnd"/>
      <w:r w:rsidRPr="002D575D">
        <w:rPr>
          <w:rFonts w:ascii="Arial" w:hAnsi="Arial" w:cs="Arial"/>
        </w:rPr>
        <w:t xml:space="preserve"> (</w:t>
      </w:r>
      <w:proofErr w:type="spellStart"/>
      <w:r w:rsidRPr="002D575D">
        <w:rPr>
          <w:rFonts w:ascii="Arial" w:hAnsi="Arial" w:cs="Arial"/>
        </w:rPr>
        <w:t>cylindrospermopsin</w:t>
      </w:r>
      <w:proofErr w:type="spellEnd"/>
      <w:r w:rsidRPr="002D575D">
        <w:rPr>
          <w:rFonts w:ascii="Arial" w:hAnsi="Arial" w:cs="Arial"/>
        </w:rPr>
        <w:t xml:space="preserve">), </w:t>
      </w:r>
      <w:proofErr w:type="spellStart"/>
      <w:r w:rsidRPr="002D575D">
        <w:rPr>
          <w:rFonts w:ascii="Arial" w:hAnsi="Arial" w:cs="Arial"/>
          <w:i/>
          <w:iCs/>
        </w:rPr>
        <w:t>sxt</w:t>
      </w:r>
      <w:proofErr w:type="spellEnd"/>
      <w:r w:rsidRPr="002D575D">
        <w:rPr>
          <w:rFonts w:ascii="Arial" w:hAnsi="Arial" w:cs="Arial"/>
        </w:rPr>
        <w:t xml:space="preserve"> (saxitoxins), and </w:t>
      </w:r>
      <w:proofErr w:type="spellStart"/>
      <w:r w:rsidRPr="002D575D">
        <w:rPr>
          <w:rFonts w:ascii="Arial" w:hAnsi="Arial" w:cs="Arial"/>
          <w:i/>
          <w:iCs/>
        </w:rPr>
        <w:t>ana</w:t>
      </w:r>
      <w:proofErr w:type="spellEnd"/>
      <w:r w:rsidRPr="002D575D">
        <w:rPr>
          <w:rFonts w:ascii="Arial" w:hAnsi="Arial" w:cs="Arial"/>
        </w:rPr>
        <w:t xml:space="preserve"> (anatoxins)</w:t>
      </w:r>
      <w:r>
        <w:rPr>
          <w:rFonts w:ascii="Arial" w:hAnsi="Arial" w:cs="Arial"/>
        </w:rPr>
        <w:fldChar w:fldCharType="begin"/>
      </w:r>
      <w:r w:rsidR="007410EB">
        <w:rPr>
          <w:rFonts w:ascii="Arial" w:hAnsi="Arial" w:cs="Arial"/>
        </w:rPr>
        <w:instrText xml:space="preserve"> ADDIN ZOTERO_ITEM CSL_CITATION {"citationID":"siUXMdBI","properties":{"formattedCitation":"(Yuan &amp; Yoon, 2022)","plainCitation":"(Yuan &amp; Yoon, 2022)","noteIndex":0},"citationItems":[{"id":1179,"uris":["http://zotero.org/users/local/Xm6IMfD4/items/NM4FXB4U"],"itemData":{"id":1179,"type":"chapter","abstract":"Although cyanobacteria are essential microorganisms on earth, some cyanobacteria produce toxins known as cyanotoxins, threatening humans and animals’ health. Hence, it is imperative to rapidly and accurately identify those toxic cyanobacteria. Unfortunately, traditional microscopic methods have limitations for accurate identification due to the lack of discernable morphological difference between toxic and non-toxic strains within the same cyanobacterial species or genus. In contrast, their genetic profiles are inherently conserved; therefore, nucleic acid-based assays can be more reliable for precise identification. Furthermore, molecular assays can provide high throughput and significantly reduce the turnaround time of test results. Such advantages make those assays a preferred method for rapid detection and early warning of potential toxicity. Toxigenic cyanobacterial species have synthetase genes (DNAs) for toxin production, which can be excellent marker genes. Numerous molecular assays targeting cyanotoxin synthetase genes have been developed for the identification of toxigenic cyanobacteria at various taxonomic levels. Polymerase chain reaction (PCR)-based assays are the most prevailing. Among different versions of PCR assays, the real-time quantitative PCR can be utilized to quantify the genes of interest in samples, fulfilling the purpose of both taxonomic recognition and biomass estimation. Reverse transcription (RT)-PCR assays can be used to detect transcripts (i.e., mRNAs) from toxin synthetase genes, probably enhancing the predictive value of PCR detection for toxin production from observed cyanobacterial species. Nevertheless, the utility of toxin synthetase gene- or its transcript-based PCR assays for routine cyanotoxin monitoring needs to be further evaluated on a large scale.","container-title":"Cyanobacteria - Recent Advances in Taxonomy and Applications","ISBN":"978-1-83962-489-6","language":"en","license":"https://creativecommons.org/licenses/by/3.0/legalcode","note":"DOI: 10.5772/intechopen.97701","publisher":"IntechOpen","source":"DOI.org (Crossref)","title":"Overview of PCR Methods Applied for the Identification of Freshwater Toxigenic Cyanobacteria","URL":"https://www.intechopen.com/chapters/76673","editor":[{"family":"N. Hozzein","given":"Wael"}],"author":[{"family":"Yuan","given":"Jian"},{"family":"Yoon","given":"Kyoung-Jin"}],"accessed":{"date-parts":[["2026",2,28]]},"issued":{"date-parts":[["2022",1,12]]}}}],"schema":"https://github.com/citation-style-language/schema/raw/master/csl-citation.json"} </w:instrText>
      </w:r>
      <w:r>
        <w:rPr>
          <w:rFonts w:ascii="Arial" w:hAnsi="Arial" w:cs="Arial"/>
        </w:rPr>
        <w:fldChar w:fldCharType="separate"/>
      </w:r>
      <w:r w:rsidR="007410EB" w:rsidRPr="007410EB">
        <w:rPr>
          <w:rFonts w:ascii="Arial" w:hAnsi="Arial" w:cs="Arial"/>
        </w:rPr>
        <w:t>(Yuan &amp; Yoon, 2022)</w:t>
      </w:r>
      <w:r>
        <w:rPr>
          <w:rFonts w:ascii="Arial" w:hAnsi="Arial" w:cs="Arial"/>
        </w:rPr>
        <w:fldChar w:fldCharType="end"/>
      </w:r>
      <w:r w:rsidRPr="002D575D">
        <w:rPr>
          <w:rFonts w:ascii="Arial" w:hAnsi="Arial" w:cs="Arial"/>
        </w:rPr>
        <w:t>. Quantitative PCR (qPCR) allows estimation of gene copy numbers, providing insights into the abundance of toxin-producing genotypes.</w:t>
      </w:r>
      <w:r>
        <w:rPr>
          <w:rFonts w:ascii="Arial" w:hAnsi="Arial" w:cs="Arial"/>
        </w:rPr>
        <w:t xml:space="preserve"> </w:t>
      </w:r>
      <w:r w:rsidRPr="002D575D">
        <w:rPr>
          <w:rFonts w:ascii="Arial" w:hAnsi="Arial" w:cs="Arial"/>
        </w:rPr>
        <w:t xml:space="preserve">Digital PCR offers enhanced precision for low-abundance targets and complex matrices. Although gene detection does not confirm active toxin synthesis, it provides an early warning indicator before measurable toxin accumulation occurs. Advances in metagenomics and </w:t>
      </w:r>
      <w:proofErr w:type="spellStart"/>
      <w:r w:rsidRPr="002D575D">
        <w:rPr>
          <w:rFonts w:ascii="Arial" w:hAnsi="Arial" w:cs="Arial"/>
        </w:rPr>
        <w:t>metatranscriptomics</w:t>
      </w:r>
      <w:proofErr w:type="spellEnd"/>
      <w:r w:rsidRPr="002D575D">
        <w:rPr>
          <w:rFonts w:ascii="Arial" w:hAnsi="Arial" w:cs="Arial"/>
        </w:rPr>
        <w:t xml:space="preserve"> further enable evaluation of functional expression patterns, linking environmental drivers with toxin biosynthetic activity.</w:t>
      </w:r>
      <w:r>
        <w:rPr>
          <w:rFonts w:ascii="Arial" w:hAnsi="Arial" w:cs="Arial"/>
        </w:rPr>
        <w:fldChar w:fldCharType="begin"/>
      </w:r>
      <w:r w:rsidR="007410EB">
        <w:rPr>
          <w:rFonts w:ascii="Arial" w:hAnsi="Arial" w:cs="Arial"/>
        </w:rPr>
        <w:instrText xml:space="preserve"> ADDIN ZOTERO_ITEM CSL_CITATION {"citationID":"Pyh9FGY3","properties":{"formattedCitation":"(Y. Zhang et al., 2021)","plainCitation":"(Y. Zhang et al., 2021)","noteIndex":0},"citationItems":[{"id":1181,"uris":["http://zotero.org/users/local/Xm6IMfD4/items/8HSXXB5V"],"itemData":{"id":1181,"type":"article-journal","abstract":"Shotgun metatranscriptomics (MTX) is an increasingly practical way to survey microbial community gene function and regulation at scale. This review begins by summarizing the motivations for community transcriptomics and the history of the field. We then explore the principles, best practices, and challenges of contemporary MTX workflows: beginning with laboratory methods for isolation and sequencing of community RNA, followed by informatics methods for quantifying RNA features, and finally statistical methods for detecting differential expression in a community context. In thesecond half of the review, we survey important biological findings from the MTX literature, drawing examples from the human microbiome, other (nonhuman) host-associated microbiomes, and the environment. Across these examples, MTX methods prove invaluable for probing microbe–microbe and host–microbe interactions, the dynamics of energy harvest and chemical cycling, and responses to environmental stresses. We conclude with a review of open challenges in the MTX field, including making assays and analyses more robust, accessible, and adaptable to new technologies; deciphering roles for millions of uncharacterized microbial transcripts; and solving applied problems such as biomarker discovery and development of microbial therapeutics.","container-title":"Annual Review of Biomedical Data Science","DOI":"10.1146/annurev-biodatasci-031121-103035","ISSN":"2574-3414, 2574-3414","issue":"1","journalAbbreviation":"Annu. Rev. Biomed. Data Sci.","language":"en","page":"279-311","source":"DOI.org (Crossref)","title":"Metatranscriptomics for the Human Microbiome and Microbial Community Functional Profiling","volume":"4","author":[{"family":"Zhang","given":"Yancong"},{"family":"Thompson","given":"Kelsey N."},{"family":"Branck","given":"Tobyn"},{"literal":"Yan Yan"},{"family":"Nguyen","given":"Long H."},{"family":"Franzosa","given":"Eric A."},{"family":"Huttenhower","given":"Curtis"}],"issued":{"date-parts":[["2021",7,20]]}}}],"schema":"https://github.com/citation-style-language/schema/raw/master/csl-citation.json"} </w:instrText>
      </w:r>
      <w:r>
        <w:rPr>
          <w:rFonts w:ascii="Arial" w:hAnsi="Arial" w:cs="Arial"/>
        </w:rPr>
        <w:fldChar w:fldCharType="separate"/>
      </w:r>
      <w:r w:rsidR="007410EB" w:rsidRPr="007410EB">
        <w:rPr>
          <w:rFonts w:ascii="Arial" w:hAnsi="Arial" w:cs="Arial"/>
        </w:rPr>
        <w:t>(Y. Zhang et al., 2021)</w:t>
      </w:r>
      <w:r>
        <w:rPr>
          <w:rFonts w:ascii="Arial" w:hAnsi="Arial" w:cs="Arial"/>
        </w:rPr>
        <w:fldChar w:fldCharType="end"/>
      </w:r>
    </w:p>
    <w:p w14:paraId="538F79E5" w14:textId="6A5AB35C" w:rsidR="006D022F" w:rsidRDefault="006D022F" w:rsidP="006D022F">
      <w:pPr>
        <w:tabs>
          <w:tab w:val="left" w:pos="1487"/>
        </w:tabs>
        <w:ind w:left="993"/>
        <w:rPr>
          <w:rFonts w:ascii="Arial" w:hAnsi="Arial" w:cs="Arial"/>
        </w:rPr>
      </w:pPr>
      <w:r w:rsidRPr="002D575D">
        <w:rPr>
          <w:rFonts w:ascii="Arial" w:hAnsi="Arial" w:cs="Arial"/>
          <w:b/>
          <w:bCs/>
        </w:rPr>
        <w:t>.</w:t>
      </w:r>
    </w:p>
    <w:p w14:paraId="215F9B1C" w14:textId="424418C3" w:rsidR="006D022F" w:rsidRPr="006D022F" w:rsidRDefault="006D022F" w:rsidP="006D022F">
      <w:pPr>
        <w:tabs>
          <w:tab w:val="left" w:pos="1487"/>
        </w:tabs>
        <w:rPr>
          <w:rFonts w:ascii="Arial" w:hAnsi="Arial" w:cs="Arial"/>
        </w:rPr>
        <w:sectPr w:rsidR="006D022F" w:rsidRPr="006D022F" w:rsidSect="00DA0F27">
          <w:type w:val="continuous"/>
          <w:pgSz w:w="11906" w:h="16838"/>
          <w:pgMar w:top="851" w:right="1274" w:bottom="1440" w:left="22" w:header="708" w:footer="708" w:gutter="0"/>
          <w:cols w:space="708"/>
          <w:docGrid w:linePitch="360"/>
        </w:sectPr>
      </w:pPr>
      <w:r>
        <w:rPr>
          <w:rFonts w:ascii="Arial" w:hAnsi="Arial" w:cs="Arial"/>
        </w:rPr>
        <w:tab/>
      </w:r>
    </w:p>
    <w:p w14:paraId="2FA021FF" w14:textId="226BACC6" w:rsidR="00D01B88" w:rsidRDefault="0058495E" w:rsidP="002D575D">
      <w:pPr>
        <w:jc w:val="both"/>
        <w:rPr>
          <w:rFonts w:ascii="Arial" w:hAnsi="Arial" w:cs="Arial"/>
        </w:rPr>
      </w:pPr>
      <w:r w:rsidRPr="0058495E">
        <w:rPr>
          <w:rFonts w:ascii="Arial" w:hAnsi="Arial" w:cs="Arial"/>
          <w:noProof/>
        </w:rPr>
        <w:lastRenderedPageBreak/>
        <w:drawing>
          <wp:inline distT="0" distB="0" distL="0" distR="0" wp14:anchorId="385624EA" wp14:editId="7A4A399B">
            <wp:extent cx="5226761" cy="3561498"/>
            <wp:effectExtent l="0" t="0" r="0" b="1270"/>
            <wp:docPr id="72043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10" r="4981" b="6818"/>
                    <a:stretch>
                      <a:fillRect/>
                    </a:stretch>
                  </pic:blipFill>
                  <pic:spPr bwMode="auto">
                    <a:xfrm>
                      <a:off x="0" y="0"/>
                      <a:ext cx="5227595" cy="3562066"/>
                    </a:xfrm>
                    <a:prstGeom prst="rect">
                      <a:avLst/>
                    </a:prstGeom>
                    <a:noFill/>
                    <a:ln>
                      <a:noFill/>
                    </a:ln>
                    <a:extLst>
                      <a:ext uri="{53640926-AAD7-44D8-BBD7-CCE9431645EC}">
                        <a14:shadowObscured xmlns:a14="http://schemas.microsoft.com/office/drawing/2010/main"/>
                      </a:ext>
                    </a:extLst>
                  </pic:spPr>
                </pic:pic>
              </a:graphicData>
            </a:graphic>
          </wp:inline>
        </w:drawing>
      </w:r>
    </w:p>
    <w:p w14:paraId="650D8760" w14:textId="0C90F1FD" w:rsidR="00D01B88" w:rsidRPr="00D01B88" w:rsidRDefault="00D01B88" w:rsidP="002D575D">
      <w:pPr>
        <w:jc w:val="both"/>
        <w:rPr>
          <w:rFonts w:ascii="Arial" w:hAnsi="Arial" w:cs="Arial"/>
        </w:rPr>
      </w:pPr>
      <w:r>
        <w:rPr>
          <w:rFonts w:ascii="Arial" w:hAnsi="Arial" w:cs="Arial"/>
          <w:b/>
          <w:bCs/>
        </w:rPr>
        <w:t xml:space="preserve">Figure 1: </w:t>
      </w:r>
      <w:r w:rsidRPr="00D01B88">
        <w:rPr>
          <w:rFonts w:ascii="Arial" w:hAnsi="Arial" w:cs="Arial"/>
        </w:rPr>
        <w:t>Overview of major analytical approaches for cyanotoxin detection, including bioassays, immunoassays (ELISA), chromatographic–mass spectrometric techniques (LC–MS/MS, HRMS), molecular gene-based methods, and emerging biosensor technologies.</w:t>
      </w:r>
    </w:p>
    <w:p w14:paraId="2DF63B76" w14:textId="4C9AA9CD" w:rsidR="002D575D" w:rsidRPr="002D575D" w:rsidRDefault="00C13C27" w:rsidP="002D575D">
      <w:pPr>
        <w:jc w:val="both"/>
        <w:rPr>
          <w:rFonts w:ascii="Arial" w:hAnsi="Arial" w:cs="Arial"/>
          <w:b/>
          <w:bCs/>
        </w:rPr>
      </w:pPr>
      <w:r>
        <w:rPr>
          <w:rFonts w:ascii="Arial" w:hAnsi="Arial" w:cs="Arial"/>
          <w:b/>
          <w:bCs/>
        </w:rPr>
        <w:t>5.4</w:t>
      </w:r>
      <w:r w:rsidR="002D575D" w:rsidRPr="002D575D">
        <w:rPr>
          <w:rFonts w:ascii="Arial" w:hAnsi="Arial" w:cs="Arial"/>
          <w:b/>
          <w:bCs/>
        </w:rPr>
        <w:t xml:space="preserve">. </w:t>
      </w:r>
      <w:r w:rsidRPr="002D575D">
        <w:rPr>
          <w:rFonts w:ascii="Arial" w:hAnsi="Arial" w:cs="Arial"/>
          <w:b/>
          <w:bCs/>
        </w:rPr>
        <w:t>RAPID AND IN SITU DETECTION TECHNOLOGIES</w:t>
      </w:r>
    </w:p>
    <w:p w14:paraId="5A53F1B6" w14:textId="4EDBAA4A" w:rsidR="002D575D" w:rsidRPr="002D575D" w:rsidRDefault="002D575D" w:rsidP="002D575D">
      <w:pPr>
        <w:jc w:val="both"/>
        <w:rPr>
          <w:rFonts w:ascii="Arial" w:hAnsi="Arial" w:cs="Arial"/>
          <w:sz w:val="20"/>
          <w:szCs w:val="20"/>
        </w:rPr>
      </w:pPr>
      <w:r w:rsidRPr="002D575D">
        <w:rPr>
          <w:rFonts w:ascii="Arial" w:hAnsi="Arial" w:cs="Arial"/>
          <w:sz w:val="20"/>
          <w:szCs w:val="20"/>
        </w:rPr>
        <w:t>Rapid and field-deployable detection technologies are increasingly being developed to enable timely assessment of cyanotoxins in aquatic environments. Immunochemical methods, particularly enzyme-linked immunosorbent assays (ELISA), remain widely used for preliminary screening due to their operational simplicity, cost-effectiveness, and high analytical throughput</w:t>
      </w:r>
      <w:r w:rsidR="00081330">
        <w:rPr>
          <w:rFonts w:ascii="Arial" w:hAnsi="Arial" w:cs="Arial"/>
          <w:sz w:val="20"/>
          <w:szCs w:val="20"/>
        </w:rPr>
        <w:fldChar w:fldCharType="begin"/>
      </w:r>
      <w:r w:rsidR="007410EB">
        <w:rPr>
          <w:rFonts w:ascii="Arial" w:hAnsi="Arial" w:cs="Arial"/>
          <w:sz w:val="20"/>
          <w:szCs w:val="20"/>
        </w:rPr>
        <w:instrText xml:space="preserve"> ADDIN ZOTERO_ITEM CSL_CITATION {"citationID":"JXNAmdrk","properties":{"formattedCitation":"(J. Liu et al., 2023)","plainCitation":"(J. Liu et al., 2023)","noteIndex":0},"citationItems":[{"id":805,"uris":["http://zotero.org/users/local/Xm6IMfD4/items/CWNTEG38"],"itemData":{"id":805,"type":"article-journal","container-title":"Science of The Total Environment","DOI":"10.1016/j.scitotenv.2023.161988","ISSN":"00489697","journalAbbreviation":"Science of The Total Environment","language":"en","page":"161988","source":"DOI.org (Crossref)","title":"Effect of pretreatment approach on the ELISA-based detection of cyanotoxins in water: Analysis and application","title-short":"Effect of pretreatment approach on the ELISA-based detection of cyanotoxins in water","volume":"871","author":[{"family":"Liu","given":"Jinchuan"},{"family":"Xing","given":"Yunpeng"},{"family":"Lin","given":"Yongshu"},{"family":"Xie","given":"Yangcun"},{"family":"Zhou","given":"Xiaohong"}],"issued":{"date-parts":[["2023",5]]}}}],"schema":"https://github.com/citation-style-language/schema/raw/master/csl-citation.json"} </w:instrText>
      </w:r>
      <w:r w:rsidR="00081330">
        <w:rPr>
          <w:rFonts w:ascii="Arial" w:hAnsi="Arial" w:cs="Arial"/>
          <w:sz w:val="20"/>
          <w:szCs w:val="20"/>
        </w:rPr>
        <w:fldChar w:fldCharType="separate"/>
      </w:r>
      <w:r w:rsidR="007410EB" w:rsidRPr="007410EB">
        <w:rPr>
          <w:rFonts w:ascii="Arial" w:hAnsi="Arial" w:cs="Arial"/>
          <w:sz w:val="20"/>
        </w:rPr>
        <w:t>(J. Liu et al., 2023)</w:t>
      </w:r>
      <w:r w:rsidR="00081330">
        <w:rPr>
          <w:rFonts w:ascii="Arial" w:hAnsi="Arial" w:cs="Arial"/>
          <w:sz w:val="20"/>
          <w:szCs w:val="20"/>
        </w:rPr>
        <w:fldChar w:fldCharType="end"/>
      </w:r>
      <w:r w:rsidRPr="002D575D">
        <w:rPr>
          <w:rFonts w:ascii="Arial" w:hAnsi="Arial" w:cs="Arial"/>
          <w:sz w:val="20"/>
          <w:szCs w:val="20"/>
        </w:rPr>
        <w:t>. Nevertheless, cross-reactivity among toxin congeners and matrix-related interferences may compromise quantitative accuracy, thereby necessitating confirmatory analysis using more selective instrumental techniques for regulatory applications.</w:t>
      </w:r>
    </w:p>
    <w:p w14:paraId="616CB6C5" w14:textId="77E0C5C6" w:rsidR="002D575D" w:rsidRPr="002D575D" w:rsidRDefault="002D575D" w:rsidP="002D575D">
      <w:pPr>
        <w:jc w:val="both"/>
        <w:rPr>
          <w:rFonts w:ascii="Arial" w:hAnsi="Arial" w:cs="Arial"/>
          <w:sz w:val="20"/>
          <w:szCs w:val="20"/>
        </w:rPr>
      </w:pPr>
      <w:r w:rsidRPr="002D575D">
        <w:rPr>
          <w:rFonts w:ascii="Arial" w:hAnsi="Arial" w:cs="Arial"/>
          <w:sz w:val="20"/>
          <w:szCs w:val="20"/>
        </w:rPr>
        <w:t>Biosensor-based platforms employing electrochemical, optical, or aptamer-based recognition elements represent emerging alternatives for on-site toxin detection. Advances in nanomaterials and signal transduction systems have enhanced analytical sensitivity, specificity, and response time. These technologies offer rapid quantification with minimal sample preparation, supporting decentralized monitoring strategies in both drinking water treatment facilities and natural water bodies</w:t>
      </w:r>
      <w:r w:rsidR="00081330">
        <w:rPr>
          <w:rFonts w:ascii="Arial" w:hAnsi="Arial" w:cs="Arial"/>
          <w:sz w:val="20"/>
          <w:szCs w:val="20"/>
        </w:rPr>
        <w:fldChar w:fldCharType="begin"/>
      </w:r>
      <w:r w:rsidR="007410EB">
        <w:rPr>
          <w:rFonts w:ascii="Arial" w:hAnsi="Arial" w:cs="Arial"/>
          <w:sz w:val="20"/>
          <w:szCs w:val="20"/>
        </w:rPr>
        <w:instrText xml:space="preserve"> ADDIN ZOTERO_ITEM CSL_CITATION {"citationID":"AVZDIgbi","properties":{"formattedCitation":"(Y. Li et al., 2024; Z. Li et al., 2019)","plainCitation":"(Y. Li et al., 2024; Z. Li et al., 2019)","noteIndex":0},"citationItems":[{"id":1182,"uris":["http://zotero.org/users/local/Xm6IMfD4/items/GDT5LNHZ"],"itemData":{"id":1182,"type":"article-journal","abstract":"Foodborne mycotoxins (FBMTs) are toxins produced by food itself or during processing and transportation that pose an enormous threat to public health security. However, traditional instrumental and chemical methods for detecting toxins have shortcomings, such as high operational difficulty, time consumption, and high cost, that limit their large-scale applications. In recent years, aptamer-based biosensors have become a new tool for food safety risk assessment and monitoring due to their high affinity, good specificity, and fast response. In this review, we focus on the progress of single-mode and dual-mode aptasensors in basic research and device applications over recent years. Furthermore, we also point out some problems in the current detection strategies, with the aim of stimulating future toxin detection systems for a transition toward ease of operation and rapid detection.","container-title":"Molecules","DOI":"10.3390/molecules29163974","ISSN":"1420-3049","issue":"16","journalAbbreviation":"Molecules","language":"en","page":"3974","source":"DOI.org (Crossref)","title":"Advances in Aptamer-Based Biosensors for the Detection of Foodborne Mycotoxins","volume":"29","author":[{"family":"Li","given":"Yangyang"},{"family":"Zhang","given":"Dan"},{"family":"Zeng","given":"Xiaoyuan"},{"family":"Liu","given":"Cheng"},{"family":"Wu","given":"Yan"},{"family":"Fu","given":"Cuicui"}],"issued":{"date-parts":[["2024",8,22]]}}},{"id":506,"uris":["http://zotero.org/users/local/Xm6IMfD4/items/8DVN65YL"],"itemData":{"id":506,"type":"article-journal","abstract":"Developing easy-to-use and miniaturized detectors is essential for in-ﬁeld monitoring of environmentally hazardous substances, such as the cyanotoxins. We demonstrated a diﬀerential ﬂuorescent sensor array made of aptamers and single-stranded DNA (ssDNA) dyes for multiplexed detection and discrimination of four common cyanotoxins with an ordinary smartphone within 5 min of reaction. The assay reagents were preloaded and dried in a microﬂuidic chip with a long shelf life over 60 days. Upon the addition of analyte solutions, competitive binding of cyanotoxin to the speciﬁc aptamer-dye conjugate occurred. A zone-speciﬁc and concentration-dependent reduction in the green ﬂuorescence was observed as a result of the aptamer conformation change. The aptasensors are fully optimized by quantiﬁcation of their dissociation constants, tuning the stoichiometric ratios of reaction mixtures, and implementation of an internal intensity correction step. The ﬂuorescent sensor array allowed for accurate identiﬁcation and measurement of four important cyanotoxins, including anatoxin-a (ATX), cylindrospermopsin (CYN), nodularin (NOD), and microcystin-LR (MC-LR), in parallel, with the limit of detection (LOD) down to a few nanomolar (&lt;3 nM), which is close to the World Health Organization’s guideline for the maximum concentration allowed in drinking water. The smartphone-based sensor platform also showed remarkable chemical speciﬁcity against potential interfering agents in water. The performance of the system was tested and validated with real lake water samples that were contaminated with trace levels of individual cyanotoxins as well as binary, ternary, and quaternary mixtures. Finally, a smartphone app interface has been developed for rapid on-site data processing and result display.","container-title":"Analytical Chemistry","DOI":"10.1021/acs.analchem.9b00750","ISSN":"0003-2700, 1520-6882","issue":"16","journalAbbreviation":"Anal. Chem.","language":"en","page":"10448-10457","source":"DOI.org (Crossref)","title":"Aptamer-Based Fluorescent Sensor Array for Multiplexed Detection of Cyanotoxins on a Smartphone","volume":"91","author":[{"family":"Li","given":"Zheng"},{"family":"Zhang","given":"Shengwei"},{"family":"Yu","given":"Tao"},{"family":"Dai","given":"Zhiming"},{"family":"Wei","given":"Qingshan"}],"issued":{"date-parts":[["2019",8,20]]}}}],"schema":"https://github.com/citation-style-language/schema/raw/master/csl-citation.json"} </w:instrText>
      </w:r>
      <w:r w:rsidR="00081330">
        <w:rPr>
          <w:rFonts w:ascii="Arial" w:hAnsi="Arial" w:cs="Arial"/>
          <w:sz w:val="20"/>
          <w:szCs w:val="20"/>
        </w:rPr>
        <w:fldChar w:fldCharType="separate"/>
      </w:r>
      <w:r w:rsidR="007410EB" w:rsidRPr="007410EB">
        <w:rPr>
          <w:rFonts w:ascii="Arial" w:hAnsi="Arial" w:cs="Arial"/>
          <w:sz w:val="20"/>
        </w:rPr>
        <w:t>(Y. Li et al., 2024; Z. Li et al., 2019)</w:t>
      </w:r>
      <w:r w:rsidR="00081330">
        <w:rPr>
          <w:rFonts w:ascii="Arial" w:hAnsi="Arial" w:cs="Arial"/>
          <w:sz w:val="20"/>
          <w:szCs w:val="20"/>
        </w:rPr>
        <w:fldChar w:fldCharType="end"/>
      </w:r>
      <w:r w:rsidRPr="002D575D">
        <w:rPr>
          <w:rFonts w:ascii="Arial" w:hAnsi="Arial" w:cs="Arial"/>
          <w:sz w:val="20"/>
          <w:szCs w:val="20"/>
        </w:rPr>
        <w:t>.</w:t>
      </w:r>
    </w:p>
    <w:p w14:paraId="5E680EF2" w14:textId="04256BF6" w:rsidR="002D575D" w:rsidRDefault="002D575D" w:rsidP="002D575D">
      <w:pPr>
        <w:jc w:val="both"/>
        <w:rPr>
          <w:rFonts w:ascii="Arial" w:hAnsi="Arial" w:cs="Arial"/>
          <w:sz w:val="20"/>
          <w:szCs w:val="20"/>
        </w:rPr>
      </w:pPr>
      <w:r w:rsidRPr="002D575D">
        <w:rPr>
          <w:rFonts w:ascii="Arial" w:hAnsi="Arial" w:cs="Arial"/>
          <w:sz w:val="20"/>
          <w:szCs w:val="20"/>
        </w:rPr>
        <w:t>Portable analytical devices and microfluidic systems further contribute to in situ detection by reducing reliance on centralized laboratory infrastructure. Such systems are particularly advantageous in remote or resource-limited settings where immediate analytical feedback is critical for risk management decisions.</w:t>
      </w:r>
      <w:r w:rsidR="00E41F0A">
        <w:rPr>
          <w:rFonts w:ascii="Arial" w:hAnsi="Arial" w:cs="Arial"/>
          <w:sz w:val="20"/>
          <w:szCs w:val="20"/>
        </w:rPr>
        <w:t xml:space="preserve"> </w:t>
      </w:r>
      <w:r w:rsidRPr="002D575D">
        <w:rPr>
          <w:rFonts w:ascii="Arial" w:hAnsi="Arial" w:cs="Arial"/>
          <w:sz w:val="20"/>
          <w:szCs w:val="20"/>
        </w:rPr>
        <w:t>Although remote sensing technologies are primarily applied to estimate cyanobacterial biomass rather than direct toxin concentrations, they play an important role in early warning systems.</w:t>
      </w:r>
      <w:r w:rsidR="00810680">
        <w:rPr>
          <w:rFonts w:ascii="Arial" w:hAnsi="Arial" w:cs="Arial"/>
          <w:sz w:val="20"/>
          <w:szCs w:val="20"/>
        </w:rPr>
        <w:t xml:space="preserve"> S</w:t>
      </w:r>
      <w:r w:rsidRPr="002D575D">
        <w:rPr>
          <w:rFonts w:ascii="Arial" w:hAnsi="Arial" w:cs="Arial"/>
          <w:sz w:val="20"/>
          <w:szCs w:val="20"/>
        </w:rPr>
        <w:t xml:space="preserve">urveillance data, can improve predictive </w:t>
      </w:r>
      <w:proofErr w:type="spellStart"/>
      <w:r w:rsidRPr="002D575D">
        <w:rPr>
          <w:rFonts w:ascii="Arial" w:hAnsi="Arial" w:cs="Arial"/>
          <w:sz w:val="20"/>
          <w:szCs w:val="20"/>
        </w:rPr>
        <w:t>modeling</w:t>
      </w:r>
      <w:proofErr w:type="spellEnd"/>
      <w:r w:rsidRPr="002D575D">
        <w:rPr>
          <w:rFonts w:ascii="Arial" w:hAnsi="Arial" w:cs="Arial"/>
          <w:sz w:val="20"/>
          <w:szCs w:val="20"/>
        </w:rPr>
        <w:t xml:space="preserve"> of toxin occurrence and bloom toxicity potential.</w:t>
      </w:r>
      <w:r w:rsidR="00E41F0A">
        <w:rPr>
          <w:rFonts w:ascii="Arial" w:hAnsi="Arial" w:cs="Arial"/>
          <w:sz w:val="20"/>
          <w:szCs w:val="20"/>
        </w:rPr>
        <w:t xml:space="preserve"> </w:t>
      </w:r>
      <w:r w:rsidRPr="002D575D">
        <w:rPr>
          <w:rFonts w:ascii="Arial" w:hAnsi="Arial" w:cs="Arial"/>
          <w:sz w:val="20"/>
          <w:szCs w:val="20"/>
        </w:rPr>
        <w:t>Collectively, rapid and in situ detection technologies enhance temporal monitoring resolution and strengthen proactive management frameworks for cyanobacterial bloom events</w:t>
      </w:r>
      <w:r w:rsidR="00601DD6">
        <w:rPr>
          <w:rFonts w:ascii="Arial" w:hAnsi="Arial" w:cs="Arial"/>
          <w:sz w:val="20"/>
          <w:szCs w:val="20"/>
        </w:rPr>
        <w:fldChar w:fldCharType="begin"/>
      </w:r>
      <w:r w:rsidR="007410EB">
        <w:rPr>
          <w:rFonts w:ascii="Arial" w:hAnsi="Arial" w:cs="Arial"/>
          <w:sz w:val="20"/>
          <w:szCs w:val="20"/>
        </w:rPr>
        <w:instrText xml:space="preserve"> ADDIN ZOTERO_ITEM CSL_CITATION {"citationID":"w6dUcmps","properties":{"formattedCitation":"(Akbarnejad Nesheli et al., 2024)","plainCitation":"(Akbarnejad Nesheli et al., 2024)","noteIndex":0},"citationItems":[{"id":1184,"uris":["http://zotero.org/users/local/Xm6IMfD4/items/J3KR8BIB"],"itemData":{"id":1184,"type":"article-journal","abstract":"Harmful algae blooms (HABs) have been reported with greater frequency in lakes across New York State (NYS) in recent years. In situ sampling is used to assess water quality, but such observations are time intensive and therefore practically limited in their spatial extent. Previous research has used remote sensing imagery to estimate phytoplankton pigments (typically chlorophyll-a or phycocyanin) as HAB indicators. The primary goal of this study was to validate a remote sensing-based method to estimate cyanobacteria concentrations at high temporal (5 days) and spatial (10–20 m) resolution, to allow identification of lakes across NYS at a significant risk of algal blooms, thereby facilitating targeted field investigations. We used Google Earth Engine (GEE) as a cloud computing platform to develop an efficient methodology to process Sentinel-2 image collections at a large spatial and temporal scale. Our research used linear regression to model the correlation between in situ observations of chlorophyll-a (Chl-a) and phycocyanin and indices derived from Sentinel-2 data to evaluate the potential of remote sensing-derived inputs for estimating cyanobacteria concentrations. We tested the performance of empirical models based on seven remote-sensing-derived indices, two in situ measurements, two cloud mitigation approaches, and three temporal sampling windows across NYS lakes for 2019 and 2020. Our best base model (R2 of 0.63), using concurrent sampling data and the ESA cloud masking—i.e., the QA60 bitmask—approach, related the maximum peak height (MPH) index to phycocyanin concentrations. Expanding the temporal match using a one-day time window increased the available training dataset size and improved the fit of the linear regression model (R2 of 0.71), highlighting the positive impact of increasing the training dataset on model fit. Applying the Cloud Score+ method for filtering cloud and cloud shadows further improved the fit of the phycocyanin estimation model, with an R2 of 0.84, but did not result in substantial improvements in the model’s application. The fit of the Chl-a models was generally poorer, but these models still had good accuracy in detecting moderate and high Chl-a values. Future work will focus on exploring alternative algorithms that can incorporate diverse data sources and lake characteristics, contributing to a deeper understanding of the relationship between remote sensing data and water quality parameters. This research provides a valuable tool for cyanobacteria parameter estimation with confidence quantification to identify lakes at risk of algal blooms.","container-title":"Remote Sensing","DOI":"10.3390/rs16183504","ISSN":"2072-4292","issue":"18","journalAbbreviation":"Remote Sensing","language":"en","page":"3504","source":"DOI.org (Crossref)","title":"Estimating Chlorophyll-a and Phycocyanin Concentrations in Inland Temperate Lakes across New York State Using Sentinel-2 Images: Application of Google Earth Engine for Efficient Satellite Image Processing","title-short":"Estimating Chlorophyll-a and Phycocyanin Concentrations in Inland Temperate Lakes across New York State Using Sentinel-2 Images","volume":"16","author":[{"family":"Akbarnejad Nesheli","given":"Sara"},{"family":"Quackenbush","given":"Lindi J."},{"family":"McCaffrey","given":"Lewis"}],"issued":{"date-parts":[["2024",9,21]]}}}],"schema":"https://github.com/citation-style-language/schema/raw/master/csl-citation.json"} </w:instrText>
      </w:r>
      <w:r w:rsidR="00601DD6">
        <w:rPr>
          <w:rFonts w:ascii="Arial" w:hAnsi="Arial" w:cs="Arial"/>
          <w:sz w:val="20"/>
          <w:szCs w:val="20"/>
        </w:rPr>
        <w:fldChar w:fldCharType="separate"/>
      </w:r>
      <w:r w:rsidR="007410EB" w:rsidRPr="007410EB">
        <w:rPr>
          <w:rFonts w:ascii="Arial" w:hAnsi="Arial" w:cs="Arial"/>
          <w:sz w:val="20"/>
        </w:rPr>
        <w:t>(Akbarnejad Nesheli et al., 2024)</w:t>
      </w:r>
      <w:r w:rsidR="00601DD6">
        <w:rPr>
          <w:rFonts w:ascii="Arial" w:hAnsi="Arial" w:cs="Arial"/>
          <w:sz w:val="20"/>
          <w:szCs w:val="20"/>
        </w:rPr>
        <w:fldChar w:fldCharType="end"/>
      </w:r>
      <w:r w:rsidRPr="002D575D">
        <w:rPr>
          <w:rFonts w:ascii="Arial" w:hAnsi="Arial" w:cs="Arial"/>
          <w:sz w:val="20"/>
          <w:szCs w:val="20"/>
        </w:rPr>
        <w:t>.</w:t>
      </w:r>
    </w:p>
    <w:p w14:paraId="11D11B5F" w14:textId="791E199B"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 xml:space="preserve">5.5 </w:t>
      </w:r>
      <w:r w:rsidR="008D01A7" w:rsidRPr="00AF65C7">
        <w:rPr>
          <w:rFonts w:ascii="Arial" w:hAnsi="Arial" w:cs="Arial"/>
          <w:b/>
          <w:bCs/>
          <w:sz w:val="20"/>
          <w:szCs w:val="20"/>
        </w:rPr>
        <w:t>BIOSENSOR TECHNOLOGIES</w:t>
      </w:r>
    </w:p>
    <w:p w14:paraId="77BDB421" w14:textId="496743B1" w:rsidR="00AF65C7" w:rsidRPr="00AF65C7" w:rsidRDefault="00AF65C7" w:rsidP="00AF65C7">
      <w:pPr>
        <w:jc w:val="both"/>
        <w:rPr>
          <w:rFonts w:ascii="Arial" w:hAnsi="Arial" w:cs="Arial"/>
          <w:sz w:val="20"/>
          <w:szCs w:val="20"/>
        </w:rPr>
      </w:pPr>
      <w:r w:rsidRPr="00AF65C7">
        <w:rPr>
          <w:rFonts w:ascii="Arial" w:hAnsi="Arial" w:cs="Arial"/>
          <w:sz w:val="20"/>
          <w:szCs w:val="20"/>
        </w:rPr>
        <w:lastRenderedPageBreak/>
        <w:t>Biosensors have emerged as versatile and sensitive platforms for cyanotoxin detection, combining a selective biorecognition element with a physical transducer to convert binding events into measurable signals. They offer rapid response, high sensitivity, and potential for field deployment, making them highly suitable for environmental monitoring of cyanotoxins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{"citationID":"lFNDyThv","properties":{"formattedCitation":"(Kulabhusan &amp; Campbell, 2021; Y. Li et al., 2024)","plainCitation":"(Kulabhusan &amp; Campbell, 2021; Y. Li et al., 2024)","noteIndex":0},"citationItems":[{"id":952,"uris":["http://zotero.org/users/local/Xm6IMfD4/items/LQS7PHDR"],"itemData":{"id":952,"type":"article-journal","container-title":"Trends in Environmental Analytical Chemistry","DOI":"10.1016/j.teac.2021.e00150","ISSN":"22141588","journalAbbreviation":"Trends in Environmental Analytical Chemistry","language":"en","page":"e00150","source":"DOI.org (Crossref)","title":"Recent trends in the detection of freshwater cyanotoxins with a critical note on their occurrence in Asia","volume":"32","author":[{"family":"Kulabhusan","given":"Prabir Kumar"},{"family":"Campbell","given":"Katrina"}],"issued":{"date-parts":[["2021",12]]}}},{"id":1182,"uris":["http://zotero.org/users/local/Xm6IMfD4/items/GDT5LNHZ"],"itemData":{"id":1182,"type":"article-journal","abstract":"Foodborne mycotoxins (FBMTs) are toxins produced by food itself or during processing and transportation that pose an enormous threat to public health security. However, traditional instrumental and chemical methods for detecting toxins have shortcomings, such as high operational difficulty, time consumption, and high cost, that limit their large-scale applications. In recent years, aptamer-based biosensors have become a new tool for food safety risk assessment and monitoring due to their high affinity, good specificity, and fast response. In this review, we focus on the progress of single-mode and dual-mode aptasensors in basic research and device applications over recent years. Furthermore, we also point out some problems in the current detection strategies, with the aim of stimulating future toxin detection systems for a transition toward ease of operation and rapid detection.","container-title":"Molecules","DOI":"10.3390/molecules29163974","ISSN":"1420-3049","issue":"16","journalAbbreviation":"Molecules","language":"en","page":"3974","source":"DOI.org (Crossref)","title":"Advances in Aptamer-Based Biosensors for the Detection of Foodborne Mycotoxins","volume":"29","author":[{"family":"Li","given":"Yangyang"},{"family":"Zhang","given":"Dan"},{"family":"Zeng","given":"Xiaoyuan"},{"family":"Liu","given":"Cheng"},{"family":"Wu","given":"Yan"},{"family":"Fu","given":"Cuicui"}],"issued":{"date-parts":[["2024",8,22]]}}}],"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(Kulabhusan &amp; Campbell, 2021; Y. Li et al., 2024)</w:t>
      </w:r>
      <w:r w:rsidR="00810680">
        <w:rPr>
          <w:rFonts w:ascii="Arial" w:hAnsi="Arial" w:cs="Arial"/>
          <w:sz w:val="20"/>
          <w:szCs w:val="20"/>
        </w:rPr>
        <w:fldChar w:fldCharType="end"/>
      </w:r>
      <w:r w:rsidRPr="00AF65C7">
        <w:rPr>
          <w:rFonts w:ascii="Arial" w:hAnsi="Arial" w:cs="Arial"/>
          <w:sz w:val="20"/>
          <w:szCs w:val="20"/>
        </w:rPr>
        <w:t>. Detection limits for biosensors often range from 0.1 to 5 ng/L, approaching those of advanced chromatographic techniques, while reducing sample preparation time and reagent use. Key biosensor types include:</w:t>
      </w:r>
    </w:p>
    <w:p w14:paraId="774D33B3"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5.5.1 Aptamer-Based Sensors (</w:t>
      </w:r>
      <w:proofErr w:type="spellStart"/>
      <w:r w:rsidRPr="00AF65C7">
        <w:rPr>
          <w:rFonts w:ascii="Arial" w:hAnsi="Arial" w:cs="Arial"/>
          <w:b/>
          <w:bCs/>
          <w:sz w:val="20"/>
          <w:szCs w:val="20"/>
        </w:rPr>
        <w:t>Aptasensors</w:t>
      </w:r>
      <w:proofErr w:type="spellEnd"/>
      <w:r w:rsidRPr="00AF65C7">
        <w:rPr>
          <w:rFonts w:ascii="Arial" w:hAnsi="Arial" w:cs="Arial"/>
          <w:b/>
          <w:bCs/>
          <w:sz w:val="20"/>
          <w:szCs w:val="20"/>
        </w:rPr>
        <w:t>)</w:t>
      </w:r>
    </w:p>
    <w:p w14:paraId="5C58CCCA" w14:textId="4DBF93F4" w:rsidR="00AF65C7" w:rsidRDefault="00AF65C7" w:rsidP="00AF65C7">
      <w:pPr>
        <w:jc w:val="both"/>
        <w:rPr>
          <w:rFonts w:ascii="Arial" w:hAnsi="Arial" w:cs="Arial"/>
          <w:sz w:val="20"/>
          <w:szCs w:val="20"/>
        </w:rPr>
      </w:pPr>
      <w:proofErr w:type="spellStart"/>
      <w:r w:rsidRPr="00AF65C7">
        <w:rPr>
          <w:rFonts w:ascii="Arial" w:hAnsi="Arial" w:cs="Arial"/>
          <w:sz w:val="20"/>
          <w:szCs w:val="20"/>
        </w:rPr>
        <w:t>Aptasensors</w:t>
      </w:r>
      <w:proofErr w:type="spellEnd"/>
      <w:r w:rsidRPr="00AF65C7">
        <w:rPr>
          <w:rFonts w:ascii="Arial" w:hAnsi="Arial" w:cs="Arial"/>
          <w:sz w:val="20"/>
          <w:szCs w:val="20"/>
        </w:rPr>
        <w:t xml:space="preserve"> utilize short single-stranded DNA or RNA molecules that specifically bind to target cyanotoxins such as </w:t>
      </w:r>
      <w:proofErr w:type="spellStart"/>
      <w:r w:rsidRPr="00AF65C7">
        <w:rPr>
          <w:rFonts w:ascii="Arial" w:hAnsi="Arial" w:cs="Arial"/>
          <w:sz w:val="20"/>
          <w:szCs w:val="20"/>
        </w:rPr>
        <w:t>microcystins</w:t>
      </w:r>
      <w:proofErr w:type="spellEnd"/>
      <w:r w:rsidRPr="00AF65C7">
        <w:rPr>
          <w:rFonts w:ascii="Arial" w:hAnsi="Arial" w:cs="Arial"/>
          <w:sz w:val="20"/>
          <w:szCs w:val="20"/>
        </w:rPr>
        <w:t xml:space="preserve">, </w:t>
      </w:r>
      <w:proofErr w:type="spellStart"/>
      <w:r w:rsidRPr="00AF65C7">
        <w:rPr>
          <w:rFonts w:ascii="Arial" w:hAnsi="Arial" w:cs="Arial"/>
          <w:sz w:val="20"/>
          <w:szCs w:val="20"/>
        </w:rPr>
        <w:t>cylindrospermopsin</w:t>
      </w:r>
      <w:proofErr w:type="spellEnd"/>
      <w:r w:rsidRPr="00AF65C7">
        <w:rPr>
          <w:rFonts w:ascii="Arial" w:hAnsi="Arial" w:cs="Arial"/>
          <w:sz w:val="20"/>
          <w:szCs w:val="20"/>
        </w:rPr>
        <w:t xml:space="preserve">, and saxitoxins. Compared to antibodies, aptamers offer higher chemical stability, reproducibility, and cost-effectiveness. Electrochemical </w:t>
      </w:r>
      <w:proofErr w:type="spellStart"/>
      <w:r w:rsidRPr="00AF65C7">
        <w:rPr>
          <w:rFonts w:ascii="Arial" w:hAnsi="Arial" w:cs="Arial"/>
          <w:sz w:val="20"/>
          <w:szCs w:val="20"/>
        </w:rPr>
        <w:t>aptasensors</w:t>
      </w:r>
      <w:proofErr w:type="spellEnd"/>
      <w:r w:rsidRPr="00AF65C7">
        <w:rPr>
          <w:rFonts w:ascii="Arial" w:hAnsi="Arial" w:cs="Arial"/>
          <w:sz w:val="20"/>
          <w:szCs w:val="20"/>
        </w:rPr>
        <w:t xml:space="preserve"> detect binding events via changes in current, voltage, or impedance, achieving detection limits of 0.1–2 ng/L. Optical </w:t>
      </w:r>
      <w:proofErr w:type="spellStart"/>
      <w:r w:rsidRPr="00AF65C7">
        <w:rPr>
          <w:rFonts w:ascii="Arial" w:hAnsi="Arial" w:cs="Arial"/>
          <w:sz w:val="20"/>
          <w:szCs w:val="20"/>
        </w:rPr>
        <w:t>aptasensors</w:t>
      </w:r>
      <w:proofErr w:type="spellEnd"/>
      <w:r w:rsidRPr="00AF65C7">
        <w:rPr>
          <w:rFonts w:ascii="Arial" w:hAnsi="Arial" w:cs="Arial"/>
          <w:sz w:val="20"/>
          <w:szCs w:val="20"/>
        </w:rPr>
        <w:t xml:space="preserve">, including fluorescence and FRET-based designs, allow real-time monitoring with enhanced signal amplification. </w:t>
      </w:r>
      <w:proofErr w:type="spellStart"/>
      <w:r w:rsidRPr="00AF65C7">
        <w:rPr>
          <w:rFonts w:ascii="Arial" w:hAnsi="Arial" w:cs="Arial"/>
          <w:sz w:val="20"/>
          <w:szCs w:val="20"/>
        </w:rPr>
        <w:t>Aptasensors</w:t>
      </w:r>
      <w:proofErr w:type="spellEnd"/>
      <w:r w:rsidRPr="00AF65C7">
        <w:rPr>
          <w:rFonts w:ascii="Arial" w:hAnsi="Arial" w:cs="Arial"/>
          <w:sz w:val="20"/>
          <w:szCs w:val="20"/>
        </w:rPr>
        <w:t xml:space="preserve"> are particularly suitable for portable, on-site monitoring and can be adapted for multiplexed detection of multiple toxins in complex water matrices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{"citationID":"W4LoXBGd","properties":{"formattedCitation":"(Lan et al., 2022; K. Zhang et al., 2020)","plainCitation":"(Lan et al., 2022; K. Zhang et al., 2020)","noteIndex":0},"citationItems":[{"id":1187,"uris":["http://zotero.org/users/local/Xm6IMfD4/items/RQ4ABVMF"],"itemData":{"id":1187,"type":"article-journal","container-title":"ACS Sensors","DOI":"10.1021/acssensors.0c01740","ISSN":"2379-3694, 2379-3694","issue":"12","journalAbbreviation":"ACS Sens.","language":"en","license":"https://doi.org/10.15223/policy-029","page":"3721-3738","source":"DOI.org (Crossref)","title":"Application of Multiplexed Aptasensors in Food Contaminants Detection","volume":"5","author":[{"family":"Zhang","given":"Kai"},{"family":"Li","given":"Hongyang"},{"family":"Wang","given":"Wenjing"},{"family":"Cao","given":"Jinxuan"},{"family":"Gan","given":"Ning"},{"family":"Han","given":"Heyou"}],"issued":{"date-parts":[["2020",12,24]]}}},{"id":528,"uris":["http://zotero.org/users/local/Xm6IMfD4/items/87DDRP3A"],"itemData":{"id":528,"type":"article-journal","abstract":"Aptamers are a particular class of functional recognition ligands with high speciﬁcity and afﬁnity to their targets. As the candidate recognition layer of biosensors, aptamers can be used to sense biomolecules. Aptasensors, aptamer-based biosensors, have been demonstrated to be speciﬁc, sensitive, and cost-effective. Furthermore, smartphone-based devices have shown their advantages in binding to aptasensors for point-of-care testing (POCT), which offers an immediate or spontaneous responding time for biological testing. This review describes smartphone-based aptasensors to detect various targets such as metal ions, nucleic acids, proteins, and cells. Additionally, the focus is also on aptasensors-related technologies and conﬁgurations.","container-title":"Biosensors","DOI":"10.3390/bios12070477","ISSN":"2079-6374","issue":"7","journalAbbreviation":"Biosensors","language":"en","page":"477","source":"DOI.org (Crossref)","title":"Applications of Smartphone-Based Aptasensor for Diverse Targets Detection","volume":"12","author":[{"family":"Lan","given":"Ying"},{"family":"He","given":"Baixun"},{"family":"Tan","given":"Cherie S."},{"family":"Ming","given":"Dong"}],"issued":{"date-parts":[["2022",6,30]]}}}],"schema":"https://github.com/citation-style-language/schema/raw/master/csl-citation.json"}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(Lan et al., 2022; K. Zhang et al., 2020)</w:t>
      </w:r>
      <w:r w:rsidR="00810680">
        <w:rPr>
          <w:rFonts w:ascii="Arial" w:hAnsi="Arial" w:cs="Arial"/>
          <w:sz w:val="20"/>
          <w:szCs w:val="20"/>
        </w:rPr>
        <w:fldChar w:fldCharType="end"/>
      </w:r>
      <w:r w:rsidRPr="00AF65C7">
        <w:rPr>
          <w:rFonts w:ascii="Arial" w:hAnsi="Arial" w:cs="Arial"/>
          <w:sz w:val="20"/>
          <w:szCs w:val="20"/>
        </w:rPr>
        <w:t>.</w:t>
      </w:r>
    </w:p>
    <w:p w14:paraId="71FE0287" w14:textId="5C19943D"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5.5.2 Electrochemical Immunosensors</w:t>
      </w:r>
    </w:p>
    <w:p w14:paraId="6B27AD98" w14:textId="4FDCEFB1" w:rsidR="00AF65C7" w:rsidRPr="00AF65C7" w:rsidRDefault="00AF65C7" w:rsidP="00AF65C7">
      <w:pPr>
        <w:jc w:val="both"/>
        <w:rPr>
          <w:rFonts w:ascii="Arial" w:hAnsi="Arial" w:cs="Arial"/>
          <w:sz w:val="20"/>
          <w:szCs w:val="20"/>
        </w:rPr>
      </w:pPr>
      <w:r w:rsidRPr="00AF65C7">
        <w:rPr>
          <w:rFonts w:ascii="Arial" w:hAnsi="Arial" w:cs="Arial"/>
          <w:sz w:val="20"/>
          <w:szCs w:val="20"/>
        </w:rPr>
        <w:t>Electrochemical immunosensors combine antigen–antibody interactions with electrochemical transduction. They are highly sensitive (LOD: 0.1–5 ng/L) and can provide rapid, quantitative results. Integration with nanomaterials, such as gold nanoparticles or graphene, enhances surface area and electron transfer efficiency, improving sensitivity and response time. These sensors are suitable for both laboratory and field applications, though careful matrix validation is required</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{"citationID":"HjW1DHuv","properties":{"formattedCitation":"(X. Liu et al., 2019)","plainCitation":"(X. Liu et al., 2019)","noteIndex":0},"citationItems":[{"id":503,"uris":["http://zotero.org/users/local/Xm6IMfD4/items/NVDHDBGL"],"itemData":{"id":503,"type":"article-journal","abstract":"In this work, a sensitive and selective electrochemical aptasensor for detection of microcystin-LR was developed based on a dual signal amplification system consisted of a novel ternary composite and horseradish peroxidase.\n          , \n            \n              In this work, a sensitive and selective electrochemical aptasensor for determination of microcystin-LR (MC-LR) was developed based on a dual signal amplification system consisting of a novel ternary composite and horseradish peroxidase (HRP). The ternary composite was prepared by depositing gold nanoparticles (AuNPs) on molybdenum disulfide (MoS\n              2\n              ) covered TiO\n              2\n              nanobeads (TiONBs). MoS\n              2\n              nanosheet modified TiONBs provided a large surface area for immobilization of AuNPs and biomolecules. The ternary composite also possesses an improved electron transfer and catalytic capability. To construct the aptasensor, thiolated MC-LR aptamers were immobilized on the AuNP@MoS\n              2\n              -TiONB modified electrode through a gold–sulfur bond. Then, biotin–cDNA with a sequence complementary to the MC-LR aptamer competed with MC-LR for binding to the immobilized aptamer. The current signal catalyzed by avidin–HRP decreased with the increase of MC-LR, based on which a linear range of 0.005–30 nM and a detection limit of 0.002 nM were obtained.","container-title":"The Analyst","DOI":"10.1039/C8AN01971A","ISSN":"0003-2654, 1364-5528","issue":"5","journalAbbreviation":"Analyst","language":"en","page":"1671-1678","source":"DOI.org (Crossref)","title":"A highly sensitive electrochemical aptasensor for detection of microcystin-LR based on a dual signal amplification strategy","volume":"144","author":[{"family":"Liu","given":"Xiaoqiang"},{"family":"Tang","given":"Yunfei"},{"family":"Liu","given":"Peipei"},{"family":"Yang","given":"Liwei"},{"family":"Li","given":"Lele"},{"family":"Zhang","given":"Qingyou"},{"family":"Zhou","given":"Yanmei"},{"family":"Khan","given":"Md. Zaved Hossain"}],"issued":{"date-parts":[["2019"]]}}}],"schema":"https://github.com/citation-style-language/schema/raw/master/csl-citation.json"}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(X. Liu et al., 2019)</w:t>
      </w:r>
      <w:r w:rsidR="00810680">
        <w:rPr>
          <w:rFonts w:ascii="Arial" w:hAnsi="Arial" w:cs="Arial"/>
          <w:sz w:val="20"/>
          <w:szCs w:val="20"/>
        </w:rPr>
        <w:fldChar w:fldCharType="end"/>
      </w:r>
      <w:r w:rsidRPr="00AF65C7">
        <w:rPr>
          <w:rFonts w:ascii="Arial" w:hAnsi="Arial" w:cs="Arial"/>
          <w:sz w:val="20"/>
          <w:szCs w:val="20"/>
        </w:rPr>
        <w:t>.</w:t>
      </w:r>
    </w:p>
    <w:p w14:paraId="42786FBE"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5.5.3 Molecularly Imprinted Polymer (MIP) Sensors</w:t>
      </w:r>
    </w:p>
    <w:p w14:paraId="07A2582B" w14:textId="3DFA0882" w:rsidR="00AF65C7" w:rsidRPr="00AF65C7" w:rsidRDefault="00AF65C7" w:rsidP="00AF65C7">
      <w:pPr>
        <w:jc w:val="both"/>
        <w:rPr>
          <w:rFonts w:ascii="Arial" w:hAnsi="Arial" w:cs="Arial"/>
          <w:sz w:val="20"/>
          <w:szCs w:val="20"/>
        </w:rPr>
      </w:pPr>
      <w:r w:rsidRPr="00AF65C7">
        <w:rPr>
          <w:rFonts w:ascii="Arial" w:hAnsi="Arial" w:cs="Arial"/>
          <w:sz w:val="20"/>
          <w:szCs w:val="20"/>
        </w:rPr>
        <w:t>MIP-based sensors employ synthetic polymers with specific binding sites complementary to the target cyanotoxin. They are chemically stable, reusable, and resistant to harsh environmental conditions. MIP sensors have achieved LODs in the range of 0.5–5 ng/L.</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{"citationID":"KClmlgQr","properties":{"formattedCitation":"(Garc\\uc0\\u237{}a et al., 2022)","plainCitation":"(García et al., 2022)","noteIndex":0},"citationItems":[{"id":1189,"uris":["http://zotero.org/users/local/Xm6IMfD4/items/82VJKHU7"],"itemData":{"id":1189,"type":"article-journal","container-title":"Analytical Chemistry","DOI":"10.1021/acs.analchem.1c04090","ISSN":"0003-2700, 1520-6882","issue":"1","journalAbbreviation":"Anal. Chem.","language":"en","license":"https://doi.org/10.15223/policy-029","page":"464-478","source":"DOI.org (Crossref)","title":"Microcystins Detection Methods: A Focus on Recent Advances Using Molecularly Imprinted Polymers","title-short":"Microcystins Detection Methods","volume":"94","author":[{"family":"García","given":"Yadiris"},{"family":"Vera","given":"Myleidi"},{"family":"Giraldo","given":"Juan D."},{"family":"Garrido-Miranda","given":"Karla"},{"family":"Jiménez","given":"Verónica A."},{"family":"Urbano","given":"Bruno F."},{"family":"Pereira","given":"Eduardo D."}],"issued":{"date-parts":[["2022",1,11]]}}}],"schema":"https://github.com/citation-style-language/schema/raw/master/csl-citation.json"}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kern w:val="0"/>
          <w:sz w:val="20"/>
          <w:szCs w:val="24"/>
        </w:rPr>
        <w:t>(García et al., 2022)</w:t>
      </w:r>
      <w:r w:rsidR="00810680">
        <w:rPr>
          <w:rFonts w:ascii="Arial" w:hAnsi="Arial" w:cs="Arial"/>
          <w:sz w:val="20"/>
          <w:szCs w:val="20"/>
        </w:rPr>
        <w:fldChar w:fldCharType="end"/>
      </w:r>
      <w:r w:rsidRPr="00AF65C7">
        <w:rPr>
          <w:rFonts w:ascii="Arial" w:hAnsi="Arial" w:cs="Arial"/>
          <w:sz w:val="20"/>
          <w:szCs w:val="20"/>
        </w:rPr>
        <w:t xml:space="preserve"> While less sensitive than </w:t>
      </w:r>
      <w:proofErr w:type="spellStart"/>
      <w:r w:rsidRPr="00AF65C7">
        <w:rPr>
          <w:rFonts w:ascii="Arial" w:hAnsi="Arial" w:cs="Arial"/>
          <w:sz w:val="20"/>
          <w:szCs w:val="20"/>
        </w:rPr>
        <w:t>aptasensors</w:t>
      </w:r>
      <w:proofErr w:type="spellEnd"/>
      <w:r w:rsidRPr="00AF65C7">
        <w:rPr>
          <w:rFonts w:ascii="Arial" w:hAnsi="Arial" w:cs="Arial"/>
          <w:sz w:val="20"/>
          <w:szCs w:val="20"/>
        </w:rPr>
        <w:t xml:space="preserve"> in some cases, their robustness and long shelf-life make them advantageous for remote or decentralized monitoring programs.</w:t>
      </w:r>
    </w:p>
    <w:p w14:paraId="48206EB4"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5.5.4 Optical Biosensors</w:t>
      </w:r>
    </w:p>
    <w:p w14:paraId="4F995E6A" w14:textId="5254D814" w:rsidR="00AF65C7" w:rsidRPr="00AF65C7" w:rsidRDefault="00AF65C7" w:rsidP="00AF65C7">
      <w:pPr>
        <w:jc w:val="both"/>
        <w:rPr>
          <w:rFonts w:ascii="Arial" w:hAnsi="Arial" w:cs="Arial"/>
          <w:sz w:val="20"/>
          <w:szCs w:val="20"/>
        </w:rPr>
      </w:pPr>
      <w:r w:rsidRPr="00AF65C7">
        <w:rPr>
          <w:rFonts w:ascii="Arial" w:hAnsi="Arial" w:cs="Arial"/>
          <w:sz w:val="20"/>
          <w:szCs w:val="20"/>
        </w:rPr>
        <w:t>Optical biosensors include surface plasmon resonance (SPR), localized SPR (LSPR), surface-enhanced Raman spectroscopy (SERS), fluorescence, and chemiluminescence platforms. SPR and LSPR allow label-free, real-time monitoring of toxin–receptor interactions with LODs typically between 10–70 ng/L. SERS offers ultra-trace detection (LOD: 0.01–1 ng/L) using plasmonic nanostructures, while fluorescence and chemiluminescence provide highly sensitive signal amplification for rapid assays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{"citationID":"5ppxks8n","properties":{"formattedCitation":"(Nurrohman &amp; Chiu, 2021)","plainCitation":"(Nurrohman &amp; Chiu, 2021)","noteIndex":0},"citationItems":[{"id":1192,"uris":["http://zotero.org/users/local/Xm6IMfD4/items/4XIXJ7LF"],"itemData":{"id":1192,"type":"article-journal","abstract":"The surface plasmon resonance (SPR) biosensor has become a powerful analytical tool for investigating biomolecular interactions. There are several methods to excite surface plasmon, such as coupling with prisms, fiber optics, grating, nanoparticles, etc. The challenge in developing this type of biosensor is to increase its sensitivity. In relation to this, graphene is one of the materials that is widely studied because of its unique properties. In several studies, this material has been proven theoretically and experimentally to increase the sensitivity of SPR. This paper discusses the current development of a graphene-based SPR biosensor for various excitation methods. The discussion begins with a discussion regarding the properties of graphene in general and its use in biosensors. Simulation and experimental results of several excitation methods are presented. Furthermore, the discussion regarding the SPR biosensor is expanded by providing a review regarding graphene-based Surface-Enhanced Raman Scattering (SERS) biosensor to provide an overview of the development of materials in the biosensor in the future.","container-title":"Nanomaterials","DOI":"10.3390/nano11010216","ISSN":"2079-4991","issue":"1","journalAbbreviation":"Nanomaterials","language":"en","page":"216","source":"DOI.org (Crossref)","title":"A Review of Graphene-Based Surface Plasmon Resonance and Surface-Enhanced Raman Scattering Biosensors: Current Status and Future Prospects","title-short":"A Review of Graphene-Based Surface Plasmon Resonance and Surface-Enhanced Raman Scattering Biosensors","volume":"11","author":[{"family":"Nurrohman","given":"Devi Taufiq"},{"family":"Chiu","given":"Nan-Fu"}],"issued":{"date-parts":[["2021",1,15]]}}}],"schema":"https://github.com/citation-style-language/schema/raw/master/csl-citation.json"}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(Nurrohman &amp; Chiu, 2021)</w:t>
      </w:r>
      <w:r w:rsidR="00810680">
        <w:rPr>
          <w:rFonts w:ascii="Arial" w:hAnsi="Arial" w:cs="Arial"/>
          <w:sz w:val="20"/>
          <w:szCs w:val="20"/>
        </w:rPr>
        <w:fldChar w:fldCharType="end"/>
      </w:r>
      <w:r w:rsidRPr="00AF65C7">
        <w:rPr>
          <w:rFonts w:ascii="Arial" w:hAnsi="Arial" w:cs="Arial"/>
          <w:sz w:val="20"/>
          <w:szCs w:val="20"/>
        </w:rPr>
        <w:t>. Optical biosensors are particularly valuable for mechanistic studies, early-warning systems, and multi-toxin detection.</w:t>
      </w:r>
    </w:p>
    <w:p w14:paraId="49C7E113"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5.5.7 Lateral Flow Immunoassays (LFIA)</w:t>
      </w:r>
    </w:p>
    <w:p w14:paraId="209AF19D" w14:textId="28E628AA" w:rsidR="00AF65C7" w:rsidRPr="00AF65C7" w:rsidRDefault="00AF65C7" w:rsidP="00AF65C7">
      <w:pPr>
        <w:jc w:val="both"/>
        <w:rPr>
          <w:rFonts w:ascii="Arial" w:hAnsi="Arial" w:cs="Arial"/>
          <w:sz w:val="20"/>
          <w:szCs w:val="20"/>
        </w:rPr>
      </w:pPr>
      <w:r w:rsidRPr="00AF65C7">
        <w:rPr>
          <w:rFonts w:ascii="Arial" w:hAnsi="Arial" w:cs="Arial"/>
          <w:sz w:val="20"/>
          <w:szCs w:val="20"/>
        </w:rPr>
        <w:t>Lateral flow assays are paper-based devices designed for rapid, on-site detection of cyanotoxins. They are simple, inexpensive, and provide qualitative or semi-quantitative results within minutes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{"citationID":"KGW2Baen","properties":{"formattedCitation":"(Kinyua et al., 2025)","plainCitation":"(Kinyua et al., 2025)","noteIndex":0},"citationItems":[{"id":1194,"uris":["http://zotero.org/users/local/Xm6IMfD4/items/AHHTRSVM"],"itemData":{"id":1194,"type":"article-journal","abstract":"Over a decade ago, WHO introduced the ASSURED (Affordable, Sensitive, Specific, User-friendly, Rapid and Robust, Equipment-free, and Deliverable to end-users) criteria to guide diagnostic assay development. Today, lateral flow assays (LFAs) best meet these standards, evolving from simple rapid tests to advanced diagnostics integrating AI and nanotechnology for precise, quantitative results. Notably, nanoparticle-enhanced LFAs have achieved limits of detection (LOD) as low as 0.01 pg/mL (a 100-fold improvement over conventional methods), while AI algorithms have reduced interpretation errors by 40% in low-contrast conditions. The COVID-19 pandemic underscored the societal impact of LFAs, with over 3 billion antigen tests deployed globally, demonstrating 98% specificity in real-world surveillance. Beyond infectious diseases, LFAs are revolutionizing cancer screening through liquid biopsy, achieving a 92% concordance rate with gold-standard assays, food safety and environmental monitoring. Despite these advancements, challenges remain in scalability, reproducibility, sustainable manufacturing, and how to enhance the sensitivities and lower the LOD. However, innovations in biodegradable materials, roll-to-roll printing, CRISPR-integrated multiplexing, and efficient functionalization methods like photochemical immobilization technique offer promising solutions, with projected further cost reductions and scalability. This review highlights the technological evolution, diverse applications, and future trajectories of LFAs, highlighting their critical role in democratizing diagnostics.","container-title":"Sensors","DOI":"10.3390/s25175414","ISSN":"1424-8220","issue":"17","journalAbbreviation":"Sensors","language":"en","page":"5414","source":"DOI.org (Crossref)","title":"Advancements and Applications of Lateral Flow Assays (LFAs): A Comprehensive Review","title-short":"Advancements and Applications of Lateral Flow Assays (LFAs)","volume":"25","author":[{"family":"Kinyua","given":"Dickson Mwenda"},{"family":"Memeu","given":"Daniel Maitethia"},{"family":"Mugo Mwenda","given":"Cynthia Nyambura"},{"family":"Ventura","given":"Bartolomeo Della"},{"family":"Velotta","given":"Raffaele"}],"issued":{"date-parts":[["2025",9,2]]}}}],"schema":"https://github.com/citation-style-language/schema/raw/master/csl-citation.json"}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(Kinyua et al., 2025)</w:t>
      </w:r>
      <w:r w:rsidR="00810680">
        <w:rPr>
          <w:rFonts w:ascii="Arial" w:hAnsi="Arial" w:cs="Arial"/>
          <w:sz w:val="20"/>
          <w:szCs w:val="20"/>
        </w:rPr>
        <w:fldChar w:fldCharType="end"/>
      </w:r>
      <w:r w:rsidRPr="00AF65C7">
        <w:rPr>
          <w:rFonts w:ascii="Arial" w:hAnsi="Arial" w:cs="Arial"/>
          <w:sz w:val="20"/>
          <w:szCs w:val="20"/>
        </w:rPr>
        <w:t>. LODs typically range from 1–50 ng/L. LFIA is particularly useful for preliminary screening in decentralized monitoring programs, though confirmatory laboratory analysis is recommended for regulatory purposes.</w:t>
      </w:r>
    </w:p>
    <w:p w14:paraId="27879B16"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5.5.8 Multiplexed and Array-Based Biosensors</w:t>
      </w:r>
    </w:p>
    <w:p w14:paraId="3F324BE2" w14:textId="0F8D7499" w:rsidR="00816CBD" w:rsidRDefault="00AF65C7" w:rsidP="00AF65C7">
      <w:pPr>
        <w:jc w:val="both"/>
        <w:rPr>
          <w:rFonts w:ascii="Arial" w:hAnsi="Arial" w:cs="Arial"/>
          <w:sz w:val="20"/>
          <w:szCs w:val="20"/>
        </w:rPr>
      </w:pPr>
      <w:r w:rsidRPr="00AF65C7">
        <w:rPr>
          <w:rFonts w:ascii="Arial" w:hAnsi="Arial" w:cs="Arial"/>
          <w:sz w:val="20"/>
          <w:szCs w:val="20"/>
        </w:rPr>
        <w:t>Multiplexed biosensors combine multiple recognition elements to detect several cyanotoxins simultaneously. These platforms, including microarrays and sensor arrays, improve monitoring efficiency and provide a comprehensive assessment of cyanotoxin presence in environmental samples. Sensitivity varies with the platform, generally achieving LODs in the 0.1–10 ng/L range</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{"citationID":"QBbakn8u","properties":{"formattedCitation":"(Z. Li et al., 2019)","plainCitation":"(Z. Li et al., 2019)","noteIndex":0},"citationItems":[{"id":506,"uris":["http://zotero.org/users/local/Xm6IMfD4/items/8DVN65YL"],"itemData":{"id":506,"type":"article-journal","abstract":"Developing easy-to-use and miniaturized detectors is essential for in-ﬁeld monitoring of environmentally hazardous substances, such as the cyanotoxins. We demonstrated a diﬀerential ﬂuorescent sensor array made of aptamers and single-stranded DNA (ssDNA) dyes for multiplexed detection and discrimination of four common cyanotoxins with an ordinary smartphone within 5 min of reaction. The assay reagents were preloaded and dried in a microﬂuidic chip with a long shelf life over 60 days. Upon the addition of analyte solutions, competitive binding of cyanotoxin to the speciﬁc aptamer-dye conjugate occurred. A zone-speciﬁc and concentration-dependent reduction in the green ﬂuorescence was observed as a result of the aptamer conformation change. The aptasensors are fully optimized by quantiﬁcation of their dissociation constants, tuning the stoichiometric ratios of reaction mixtures, and implementation of an internal intensity correction step. The ﬂuorescent sensor array allowed for accurate identiﬁcation and measurement of four important cyanotoxins, including anatoxin-a (ATX), cylindrospermopsin (CYN), nodularin (NOD), and microcystin-LR (MC-LR), in parallel, with the limit of detection (LOD) down to a few nanomolar (&lt;3 nM), which is close to the World Health Organization’s guideline for the maximum concentration allowed in drinking water. The smartphone-based sensor platform also showed remarkable chemical speciﬁcity against potential interfering agents in water. The performance of the system was tested and validated with real lake water samples that were contaminated with trace levels of individual cyanotoxins as well as binary, ternary, and quaternary mixtures. Finally, a smartphone app interface has been developed for rapid on-site data processing and result display.","container-title":"Analytical Chemistry","DOI":"10.1021/acs.analchem.9b00750","ISSN":"0003-2700, 1520-6882","issue":"16","journalAbbreviation":"Anal. Chem.","language":"en","page":"10448-10457","source":"DOI.org (Crossref)","title":"Aptamer-Based Fluorescent Sensor Array for Multiplexed Detection of Cyanotoxins on a Smartphone","volume":"91","author":[{"family":"Li","given":"Zheng"},{"family":"Zhang","given":"Shengwei"},{"family":"Yu","given":"Tao"},{"family":"Dai","given":"Zhiming"},{"family":"Wei","given":"Qingshan"}],"issued":{"date-parts":[["2019",8,20]]}}}],"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(Z. Li et al., 2019)</w:t>
      </w:r>
      <w:r w:rsidR="00810680">
        <w:rPr>
          <w:rFonts w:ascii="Arial" w:hAnsi="Arial" w:cs="Arial"/>
          <w:sz w:val="20"/>
          <w:szCs w:val="20"/>
        </w:rPr>
        <w:fldChar w:fldCharType="end"/>
      </w:r>
      <w:r w:rsidRPr="00AF65C7">
        <w:rPr>
          <w:rFonts w:ascii="Arial" w:hAnsi="Arial" w:cs="Arial"/>
          <w:sz w:val="20"/>
          <w:szCs w:val="20"/>
        </w:rPr>
        <w:t>.</w:t>
      </w:r>
    </w:p>
    <w:p w14:paraId="03AE225B" w14:textId="77777777" w:rsidR="006D022F" w:rsidRDefault="006D022F" w:rsidP="002D575D">
      <w:pPr>
        <w:jc w:val="both"/>
        <w:sectPr w:rsidR="006D022F" w:rsidSect="00DA0F27">
          <w:type w:val="continuous"/>
          <w:pgSz w:w="11906" w:h="16838"/>
          <w:pgMar w:top="1440" w:right="1440" w:bottom="1440" w:left="1440" w:header="708" w:footer="708" w:gutter="0"/>
          <w:cols w:space="708"/>
          <w:docGrid w:linePitch="360"/>
        </w:sectPr>
      </w:pPr>
    </w:p>
    <w:p w14:paraId="0E38B656" w14:textId="13EB31B9" w:rsidR="00A30224" w:rsidRDefault="00A30224" w:rsidP="00A30224">
      <w:pPr>
        <w:jc w:val="both"/>
        <w:rPr>
          <w:rFonts w:ascii="Arial" w:hAnsi="Arial" w:cs="Arial"/>
          <w:sz w:val="20"/>
          <w:szCs w:val="20"/>
        </w:rPr>
      </w:pPr>
      <w:r w:rsidRPr="008D01A7">
        <w:rPr>
          <w:rFonts w:ascii="Arial" w:hAnsi="Arial" w:cs="Arial"/>
          <w:b/>
          <w:bCs/>
          <w:sz w:val="20"/>
          <w:szCs w:val="20"/>
        </w:rPr>
        <w:lastRenderedPageBreak/>
        <w:t xml:space="preserve">Table </w:t>
      </w:r>
      <w:proofErr w:type="gramStart"/>
      <w:r w:rsidRPr="008D01A7">
        <w:rPr>
          <w:rFonts w:ascii="Arial" w:hAnsi="Arial" w:cs="Arial"/>
          <w:b/>
          <w:bCs/>
          <w:sz w:val="20"/>
          <w:szCs w:val="20"/>
        </w:rPr>
        <w:t>3</w:t>
      </w:r>
      <w:r w:rsidRPr="008D01A7">
        <w:rPr>
          <w:rFonts w:ascii="Arial" w:hAnsi="Arial" w:cs="Arial"/>
          <w:b/>
          <w:bCs/>
        </w:rPr>
        <w:t>:.</w:t>
      </w:r>
      <w:proofErr w:type="gramEnd"/>
      <w:r w:rsidRPr="008D01A7">
        <w:rPr>
          <w:rFonts w:ascii="Arial" w:hAnsi="Arial" w:cs="Arial"/>
          <w:b/>
          <w:bCs/>
        </w:rPr>
        <w:t xml:space="preserve"> Analytical Performance and Sensitivity of Cyanotoxin Detection Methods</w:t>
      </w:r>
    </w:p>
    <w:p w14:paraId="1C7D6C43" w14:textId="77777777" w:rsidR="00816CBD" w:rsidRDefault="00816CBD" w:rsidP="002D575D">
      <w:pPr>
        <w:jc w:val="both"/>
        <w:rPr>
          <w:rFonts w:ascii="Arial" w:hAnsi="Arial" w:cs="Arial"/>
          <w:sz w:val="20"/>
          <w:szCs w:val="20"/>
        </w:rPr>
      </w:pPr>
    </w:p>
    <w:p w14:paraId="621F25A4" w14:textId="77777777" w:rsidR="00816CBD" w:rsidRDefault="00816CBD" w:rsidP="002D575D">
      <w:pPr>
        <w:jc w:val="both"/>
        <w:rPr>
          <w:rFonts w:ascii="Arial" w:hAnsi="Arial" w:cs="Arial"/>
          <w:sz w:val="20"/>
          <w:szCs w:val="20"/>
        </w:rPr>
      </w:pPr>
    </w:p>
    <w:tbl>
      <w:tblPr>
        <w:tblStyle w:val="TableGrid"/>
        <w:tblW w:w="14381" w:type="dxa"/>
        <w:tblLook w:val="04A0" w:firstRow="1" w:lastRow="0" w:firstColumn="1" w:lastColumn="0" w:noHBand="0" w:noVBand="1"/>
      </w:tblPr>
      <w:tblGrid>
        <w:gridCol w:w="2917"/>
        <w:gridCol w:w="2917"/>
        <w:gridCol w:w="3121"/>
        <w:gridCol w:w="2713"/>
        <w:gridCol w:w="2713"/>
      </w:tblGrid>
      <w:tr w:rsidR="00A30224" w:rsidRPr="0058495E" w14:paraId="29D8281E" w14:textId="77777777" w:rsidTr="00155DD2">
        <w:trPr>
          <w:trHeight w:val="868"/>
        </w:trPr>
        <w:tc>
          <w:tcPr>
            <w:tcW w:w="2917" w:type="dxa"/>
            <w:vAlign w:val="center"/>
          </w:tcPr>
          <w:p w14:paraId="3763376A" w14:textId="77777777" w:rsidR="00A30224" w:rsidRPr="0058495E" w:rsidRDefault="00A30224" w:rsidP="00155DD2">
            <w:pPr>
              <w:jc w:val="center"/>
              <w:rPr>
                <w:rFonts w:ascii="Arial" w:hAnsi="Arial" w:cs="Arial"/>
              </w:rPr>
            </w:pPr>
            <w:r w:rsidRPr="005C4AC7">
              <w:rPr>
                <w:b/>
                <w:bCs/>
              </w:rPr>
              <w:t>Detection Technique</w:t>
            </w:r>
          </w:p>
        </w:tc>
        <w:tc>
          <w:tcPr>
            <w:tcW w:w="2917" w:type="dxa"/>
            <w:vAlign w:val="center"/>
          </w:tcPr>
          <w:p w14:paraId="7451C20F" w14:textId="77777777" w:rsidR="00A30224" w:rsidRPr="0058495E" w:rsidRDefault="00A30224" w:rsidP="00155DD2">
            <w:pPr>
              <w:jc w:val="center"/>
              <w:rPr>
                <w:rFonts w:ascii="Arial" w:hAnsi="Arial" w:cs="Arial"/>
              </w:rPr>
            </w:pPr>
            <w:r w:rsidRPr="005C4AC7">
              <w:rPr>
                <w:b/>
                <w:bCs/>
              </w:rPr>
              <w:t>Typical LOD Range</w:t>
            </w:r>
          </w:p>
        </w:tc>
        <w:tc>
          <w:tcPr>
            <w:tcW w:w="3121" w:type="dxa"/>
            <w:vAlign w:val="center"/>
          </w:tcPr>
          <w:p w14:paraId="7F8EB082" w14:textId="77777777" w:rsidR="00A30224" w:rsidRPr="0058495E" w:rsidRDefault="00A30224" w:rsidP="00155DD2">
            <w:pPr>
              <w:jc w:val="center"/>
              <w:rPr>
                <w:rFonts w:ascii="Arial" w:hAnsi="Arial" w:cs="Arial"/>
              </w:rPr>
            </w:pPr>
            <w:r w:rsidRPr="005C4AC7">
              <w:rPr>
                <w:b/>
                <w:bCs/>
              </w:rPr>
              <w:t>Target Toxins (Common)</w:t>
            </w:r>
          </w:p>
        </w:tc>
        <w:tc>
          <w:tcPr>
            <w:tcW w:w="2713" w:type="dxa"/>
            <w:vAlign w:val="center"/>
          </w:tcPr>
          <w:p w14:paraId="20165D32" w14:textId="77777777" w:rsidR="00A30224" w:rsidRPr="0058495E" w:rsidRDefault="00A30224" w:rsidP="00155DD2">
            <w:pPr>
              <w:jc w:val="center"/>
              <w:rPr>
                <w:rFonts w:ascii="Arial" w:hAnsi="Arial" w:cs="Arial"/>
              </w:rPr>
            </w:pPr>
            <w:r>
              <w:rPr>
                <w:b/>
                <w:bCs/>
              </w:rPr>
              <w:t xml:space="preserve">Analytical </w:t>
            </w:r>
            <w:r w:rsidRPr="009A75D1">
              <w:rPr>
                <w:b/>
                <w:bCs/>
              </w:rPr>
              <w:t>Capabilities</w:t>
            </w:r>
          </w:p>
        </w:tc>
        <w:tc>
          <w:tcPr>
            <w:tcW w:w="2713" w:type="dxa"/>
          </w:tcPr>
          <w:p w14:paraId="15020548" w14:textId="77777777" w:rsidR="00A30224" w:rsidRDefault="00A30224" w:rsidP="00155DD2">
            <w:pPr>
              <w:jc w:val="center"/>
              <w:rPr>
                <w:b/>
                <w:bCs/>
              </w:rPr>
            </w:pPr>
          </w:p>
          <w:p w14:paraId="099164E4" w14:textId="77777777" w:rsidR="00A30224" w:rsidRPr="005C4AC7" w:rsidRDefault="00A30224" w:rsidP="00155DD2">
            <w:pPr>
              <w:jc w:val="center"/>
              <w:rPr>
                <w:b/>
                <w:bCs/>
              </w:rPr>
            </w:pPr>
            <w:r>
              <w:rPr>
                <w:b/>
                <w:bCs/>
              </w:rPr>
              <w:t>References</w:t>
            </w:r>
          </w:p>
        </w:tc>
      </w:tr>
      <w:tr w:rsidR="00A30224" w:rsidRPr="0058495E" w14:paraId="52521CBA" w14:textId="77777777" w:rsidTr="00155DD2">
        <w:trPr>
          <w:trHeight w:val="868"/>
        </w:trPr>
        <w:tc>
          <w:tcPr>
            <w:tcW w:w="2917" w:type="dxa"/>
            <w:vAlign w:val="center"/>
          </w:tcPr>
          <w:p w14:paraId="6487BD98" w14:textId="77777777" w:rsidR="00A30224" w:rsidRPr="005C4AC7" w:rsidRDefault="00A30224" w:rsidP="00155DD2">
            <w:pPr>
              <w:jc w:val="center"/>
              <w:rPr>
                <w:b/>
                <w:bCs/>
              </w:rPr>
            </w:pPr>
            <w:r w:rsidRPr="005C4AC7">
              <w:rPr>
                <w:b/>
                <w:bCs/>
              </w:rPr>
              <w:t>HPLC–UV/DAD</w:t>
            </w:r>
          </w:p>
        </w:tc>
        <w:tc>
          <w:tcPr>
            <w:tcW w:w="2917" w:type="dxa"/>
            <w:vAlign w:val="center"/>
          </w:tcPr>
          <w:p w14:paraId="468160FC" w14:textId="77777777" w:rsidR="00A30224" w:rsidRPr="005C4AC7" w:rsidRDefault="00A30224" w:rsidP="00155DD2">
            <w:pPr>
              <w:jc w:val="center"/>
              <w:rPr>
                <w:b/>
                <w:bCs/>
              </w:rPr>
            </w:pPr>
            <w:r w:rsidRPr="005C4AC7">
              <w:t>0.5–1 µg/L</w:t>
            </w:r>
          </w:p>
        </w:tc>
        <w:tc>
          <w:tcPr>
            <w:tcW w:w="3121" w:type="dxa"/>
            <w:vAlign w:val="center"/>
          </w:tcPr>
          <w:p w14:paraId="6C728B8C" w14:textId="77777777" w:rsidR="00A30224" w:rsidRPr="005C4AC7" w:rsidRDefault="00A30224" w:rsidP="00155DD2">
            <w:pPr>
              <w:jc w:val="center"/>
              <w:rPr>
                <w:b/>
                <w:bCs/>
              </w:rPr>
            </w:pPr>
            <w:r w:rsidRPr="005C4AC7">
              <w:t>MCs</w:t>
            </w:r>
          </w:p>
        </w:tc>
        <w:tc>
          <w:tcPr>
            <w:tcW w:w="2713" w:type="dxa"/>
            <w:vAlign w:val="center"/>
          </w:tcPr>
          <w:p w14:paraId="01605833" w14:textId="77777777" w:rsidR="00A30224" w:rsidRPr="005C4AC7" w:rsidRDefault="00A30224" w:rsidP="00155DD2">
            <w:pPr>
              <w:jc w:val="center"/>
              <w:rPr>
                <w:b/>
                <w:bCs/>
              </w:rPr>
            </w:pPr>
            <w:r w:rsidRPr="005C4AC7">
              <w:t>Limited specificity; matrix interference possible</w:t>
            </w:r>
          </w:p>
        </w:tc>
        <w:tc>
          <w:tcPr>
            <w:tcW w:w="2713" w:type="dxa"/>
            <w:vAlign w:val="center"/>
          </w:tcPr>
          <w:p w14:paraId="68244403" w14:textId="63798297" w:rsidR="00A30224" w:rsidRPr="005C4AC7" w:rsidRDefault="00810680" w:rsidP="00155DD2">
            <w:pPr>
              <w:jc w:val="center"/>
              <w:rPr>
                <w:b/>
                <w:bCs/>
              </w:rPr>
            </w:pPr>
            <w:r>
              <w:rPr>
                <w:b/>
                <w:bCs/>
              </w:rPr>
              <w:fldChar w:fldCharType="begin"/>
            </w:r>
            <w:r w:rsidR="007410EB">
              <w:rPr>
                <w:b/>
                <w:bCs/>
              </w:rPr>
              <w:instrText xml:space="preserve"> ADDIN ZOTERO_ITEM CSL_CITATION {"citationID":"jHG9S1cg","properties":{"formattedCitation":"(Bouteiller et al., 2022)","plainCitation":"(Bouteiller et al., 2022)","noteIndex":0},"citationItems":[{"id":1196,"uris":["http://zotero.org/users/local/Xm6IMfD4/items/V2MXNKHB"],"itemData":{"id":1196,"type":"article-journal","abstract":"Microcystins (MCs) are cyclic heptapeptidic toxins produced by many cyanobacteria. Microcystins can be accumulated in various matrices in two forms: a free cellular fraction and a covalently protein-bound form. To detect and quantify the concentration of microcystins, a panel of techniques on various matrices (water, sediments, and animal tissues) is available. The analysis of MCs can concern the free or the total (free plus covalently bound) fractions. Free-form analyses of MCs are the most common and easiest to detect, whereas total-form analyses are much less frequent and more complex to achieve. The objective of this review is to summarize the different methods of extraction and analysis that have been developed for total forms. Four extraction methods were identified: MMPB (2-methyl-3-methoxy-4-phenylbutyric acid) method, deconjugation at basic pH, ozonolysis, and laser irradiation desorption. The study of the bibliography on the methods of extraction and analysis of the total forms of MCs showed that the reference method for the subject remains the MMPB method even if alternative methods and, in particular, deconjugation at basic pH, showed results encouraging the continuation of the methodological development on different matrices and on naturally-contaminated samples.","container-title":"Toxins","DOI":"10.3390/toxins14080550","ISSN":"2072-6651","issue":"8","journalAbbreviation":"Toxins","language":"en","page":"550","source":"DOI.org (Crossref)","title":"Analysis of Total-Forms of Cyanotoxins Microcystins in Biological Matrices: A Methodological Review","title-short":"Analysis of Total-Forms of Cyanotoxins Microcystins in Biological Matrices","volume":"14","author":[{"family":"Bouteiller","given":"Pierre"},{"family":"Lance","given":"Emilie"},{"family":"Guérin","given":"Thierry"},{"family":"Biré","given":"Ronel"}],"issued":{"date-parts":[["2022",8,11]]}}}],"schema":"https://github.com/citation-style-language/schema/raw/master/csl-citation.json"} </w:instrText>
            </w:r>
            <w:r>
              <w:rPr>
                <w:b/>
                <w:bCs/>
              </w:rPr>
              <w:fldChar w:fldCharType="separate"/>
            </w:r>
            <w:r w:rsidR="007410EB" w:rsidRPr="007410EB">
              <w:rPr>
                <w:rFonts w:ascii="Calibri" w:hAnsi="Calibri" w:cs="Calibri"/>
              </w:rPr>
              <w:t>(Bouteiller et al., 2022)</w:t>
            </w:r>
            <w:r>
              <w:rPr>
                <w:b/>
                <w:bCs/>
              </w:rPr>
              <w:fldChar w:fldCharType="end"/>
            </w:r>
          </w:p>
        </w:tc>
      </w:tr>
      <w:tr w:rsidR="00A30224" w:rsidRPr="0058495E" w14:paraId="1E6CF57B" w14:textId="77777777" w:rsidTr="00155DD2">
        <w:trPr>
          <w:trHeight w:val="868"/>
        </w:trPr>
        <w:tc>
          <w:tcPr>
            <w:tcW w:w="2917" w:type="dxa"/>
            <w:vAlign w:val="center"/>
          </w:tcPr>
          <w:p w14:paraId="3324F79E" w14:textId="77777777" w:rsidR="00A30224" w:rsidRPr="005C4AC7" w:rsidRDefault="00A30224" w:rsidP="00155DD2">
            <w:pPr>
              <w:jc w:val="center"/>
              <w:rPr>
                <w:b/>
                <w:bCs/>
              </w:rPr>
            </w:pPr>
            <w:r w:rsidRPr="005C4AC7">
              <w:rPr>
                <w:b/>
                <w:bCs/>
              </w:rPr>
              <w:t>HPLC–FLD (Fluorescence Detection)</w:t>
            </w:r>
          </w:p>
        </w:tc>
        <w:tc>
          <w:tcPr>
            <w:tcW w:w="2917" w:type="dxa"/>
            <w:vAlign w:val="center"/>
          </w:tcPr>
          <w:p w14:paraId="2C3C3F64" w14:textId="77777777" w:rsidR="00A30224" w:rsidRPr="005C4AC7" w:rsidRDefault="00A30224" w:rsidP="00155DD2">
            <w:pPr>
              <w:jc w:val="center"/>
              <w:rPr>
                <w:b/>
                <w:bCs/>
              </w:rPr>
            </w:pPr>
            <w:r w:rsidRPr="005C4AC7">
              <w:t>0.02–0.1 µg/L</w:t>
            </w:r>
          </w:p>
        </w:tc>
        <w:tc>
          <w:tcPr>
            <w:tcW w:w="3121" w:type="dxa"/>
            <w:vAlign w:val="center"/>
          </w:tcPr>
          <w:p w14:paraId="1E58B4C0" w14:textId="77777777" w:rsidR="00A30224" w:rsidRPr="005C4AC7" w:rsidRDefault="00A30224" w:rsidP="00155DD2">
            <w:pPr>
              <w:jc w:val="center"/>
              <w:rPr>
                <w:b/>
                <w:bCs/>
              </w:rPr>
            </w:pPr>
            <w:r w:rsidRPr="005C4AC7">
              <w:t>MCs, CYN (after derivatization)</w:t>
            </w:r>
          </w:p>
        </w:tc>
        <w:tc>
          <w:tcPr>
            <w:tcW w:w="2713" w:type="dxa"/>
            <w:vAlign w:val="center"/>
          </w:tcPr>
          <w:p w14:paraId="4C1ADFEC" w14:textId="77777777" w:rsidR="00A30224" w:rsidRPr="005C4AC7" w:rsidRDefault="00A30224" w:rsidP="00155DD2">
            <w:pPr>
              <w:jc w:val="center"/>
              <w:rPr>
                <w:b/>
                <w:bCs/>
              </w:rPr>
            </w:pPr>
            <w:r w:rsidRPr="005C4AC7">
              <w:t>Improved sensitivity; requires chemical derivatization</w:t>
            </w:r>
          </w:p>
        </w:tc>
        <w:tc>
          <w:tcPr>
            <w:tcW w:w="2713" w:type="dxa"/>
            <w:vAlign w:val="center"/>
          </w:tcPr>
          <w:p w14:paraId="3E0D4716" w14:textId="675B14E4" w:rsidR="00A30224" w:rsidRPr="005C4AC7" w:rsidRDefault="00D14E74" w:rsidP="00155DD2">
            <w:pPr>
              <w:jc w:val="center"/>
              <w:rPr>
                <w:b/>
                <w:bCs/>
              </w:rPr>
            </w:pPr>
            <w:r>
              <w:rPr>
                <w:b/>
                <w:bCs/>
              </w:rPr>
              <w:fldChar w:fldCharType="begin"/>
            </w:r>
            <w:r w:rsidR="007410EB">
              <w:rPr>
                <w:b/>
                <w:bCs/>
              </w:rPr>
              <w:instrText xml:space="preserve"> ADDIN ZOTERO_ITEM CSL_CITATION {"citationID":"caRoUAHV","properties":{"formattedCitation":"(Zeng et al., 2017)","plainCitation":"(Zeng et al., 2017)","noteIndex":0},"citationItems":[{"id":1198,"uris":["http://zotero.org/users/local/Xm6IMfD4/items/BSNYDXDY"],"itemData":{"id":1198,"type":"article-journal","container-title":"Journal of Chromatography B","DOI":"10.1016/j.jchromb.2017.07.037","ISSN":"15700232","journalAbbreviation":"Journal of Chromatography B","language":"en","page":"151-159","source":"DOI.org (Crossref)","title":"A sensitive pre-column derivatization method for the analysis of free fatty acids by RP-HPLC with fluorescence detector and its application to Caragana species","volume":"1064","author":[{"family":"Zeng","given":"Zhi"},{"family":"Ji","given":"Zhongyin"},{"family":"Hu","given":"Na"},{"family":"Bai","given":"Bo"},{"family":"Wang","given":"Honglun"},{"family":"Suo","given":"Yourui"}],"issued":{"date-parts":[["2017",10]]}}}],"schema":"https://github.com/citation-style-language/schema/raw/master/csl-citation.json"} </w:instrText>
            </w:r>
            <w:r>
              <w:rPr>
                <w:b/>
                <w:bCs/>
              </w:rPr>
              <w:fldChar w:fldCharType="separate"/>
            </w:r>
            <w:r w:rsidR="007410EB" w:rsidRPr="007410EB">
              <w:rPr>
                <w:rFonts w:ascii="Calibri" w:hAnsi="Calibri" w:cs="Calibri"/>
              </w:rPr>
              <w:t>(Zeng et al., 2017)</w:t>
            </w:r>
            <w:r>
              <w:rPr>
                <w:b/>
                <w:bCs/>
              </w:rPr>
              <w:fldChar w:fldCharType="end"/>
            </w:r>
          </w:p>
        </w:tc>
      </w:tr>
      <w:tr w:rsidR="00A30224" w:rsidRPr="0058495E" w14:paraId="51D3269F" w14:textId="77777777" w:rsidTr="00155DD2">
        <w:trPr>
          <w:trHeight w:val="789"/>
        </w:trPr>
        <w:tc>
          <w:tcPr>
            <w:tcW w:w="2917" w:type="dxa"/>
            <w:vAlign w:val="center"/>
          </w:tcPr>
          <w:p w14:paraId="55122508" w14:textId="77777777" w:rsidR="00A30224" w:rsidRPr="00816CBD" w:rsidRDefault="00A30224" w:rsidP="00155DD2">
            <w:pPr>
              <w:jc w:val="center"/>
              <w:rPr>
                <w:rFonts w:ascii="Arial" w:hAnsi="Arial" w:cs="Arial"/>
                <w:b/>
                <w:bCs/>
              </w:rPr>
            </w:pPr>
            <w:r w:rsidRPr="005C4AC7">
              <w:rPr>
                <w:b/>
                <w:bCs/>
              </w:rPr>
              <w:t>LC–MS/MS</w:t>
            </w:r>
          </w:p>
        </w:tc>
        <w:tc>
          <w:tcPr>
            <w:tcW w:w="2917" w:type="dxa"/>
            <w:vAlign w:val="center"/>
          </w:tcPr>
          <w:p w14:paraId="34238A56" w14:textId="77777777" w:rsidR="00A30224" w:rsidRPr="0058495E" w:rsidRDefault="00A30224" w:rsidP="00155DD2">
            <w:pPr>
              <w:jc w:val="center"/>
              <w:rPr>
                <w:rFonts w:ascii="Arial" w:hAnsi="Arial" w:cs="Arial"/>
              </w:rPr>
            </w:pPr>
            <w:r w:rsidRPr="005C4AC7">
              <w:t>0.01–0.5 ng/L</w:t>
            </w:r>
          </w:p>
        </w:tc>
        <w:tc>
          <w:tcPr>
            <w:tcW w:w="3121" w:type="dxa"/>
            <w:vAlign w:val="center"/>
          </w:tcPr>
          <w:p w14:paraId="527EC455" w14:textId="77777777" w:rsidR="00A30224" w:rsidRPr="0058495E" w:rsidRDefault="00A30224" w:rsidP="00155DD2">
            <w:pPr>
              <w:jc w:val="center"/>
              <w:rPr>
                <w:rFonts w:ascii="Arial" w:hAnsi="Arial" w:cs="Arial"/>
              </w:rPr>
            </w:pPr>
            <w:r w:rsidRPr="005C4AC7">
              <w:t>MCs, CYN, ATX, STXs</w:t>
            </w:r>
          </w:p>
        </w:tc>
        <w:tc>
          <w:tcPr>
            <w:tcW w:w="2713" w:type="dxa"/>
            <w:vAlign w:val="center"/>
          </w:tcPr>
          <w:p w14:paraId="643EC878" w14:textId="77777777" w:rsidR="00A30224" w:rsidRPr="0058495E" w:rsidRDefault="00A30224" w:rsidP="00155DD2">
            <w:pPr>
              <w:jc w:val="both"/>
              <w:rPr>
                <w:rFonts w:ascii="Arial" w:hAnsi="Arial" w:cs="Arial"/>
              </w:rPr>
            </w:pPr>
            <w:r w:rsidRPr="005C4AC7">
              <w:t>Gold standard; high specificity and multi-toxin capability</w:t>
            </w:r>
          </w:p>
        </w:tc>
        <w:tc>
          <w:tcPr>
            <w:tcW w:w="2713" w:type="dxa"/>
          </w:tcPr>
          <w:p w14:paraId="579D8A65" w14:textId="1D5728AE" w:rsidR="00A30224" w:rsidRPr="0058495E" w:rsidRDefault="00D14E74" w:rsidP="00155DD2">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{"citationID":"n2jQ3uUg","properties":{"formattedCitation":"(Volante &amp; Villa, 2017)","plainCitation":"(Volante &amp; Villa, 2017)","noteIndex":0},"citationItems":[{"id":1199,"uris":["http://zotero.org/users/local/Xm6IMfD4/items/BQQR66EI"],"itemData":{"id":1199,"type":"article-journal","container-title":"Current Chromatography","DOI":"10.2174/2213240604666170531081457","ISSN":"22132406","issue":"2","journalAbbreviation":"CCHG","language":"en","source":"DOI.org (Crossref)","title":"Advanced and Consolidated Separation Methods for the Determination of Cyanobacterial Toxins in Aquatic Systems","URL":"http://www.eurekaselect.com/152802/article","volume":"4","author":[{"family":"Volante","given":"Marco"},{"family":"Villa","given":"Elisa"}],"accessed":{"date-parts":[["2026",3,1]]},"issued":{"date-parts":[["2017",9,26]]}}}],"schema":"https://github.com/citation-style-language/schema/raw/master/csl-citation.json"} </w:instrText>
            </w:r>
            <w:r>
              <w:rPr>
                <w:rFonts w:ascii="Arial" w:hAnsi="Arial" w:cs="Arial"/>
              </w:rPr>
              <w:fldChar w:fldCharType="separate"/>
            </w:r>
            <w:r w:rsidR="007410EB" w:rsidRPr="007410EB">
              <w:rPr>
                <w:rFonts w:ascii="Arial" w:hAnsi="Arial" w:cs="Arial"/>
              </w:rPr>
              <w:t>(Volante &amp; Villa, 2017)</w:t>
            </w:r>
            <w:r>
              <w:rPr>
                <w:rFonts w:ascii="Arial" w:hAnsi="Arial" w:cs="Arial"/>
              </w:rPr>
              <w:fldChar w:fldCharType="end"/>
            </w:r>
          </w:p>
        </w:tc>
      </w:tr>
      <w:tr w:rsidR="00A30224" w:rsidRPr="0058495E" w14:paraId="5BA8945B" w14:textId="77777777" w:rsidTr="00155DD2">
        <w:trPr>
          <w:trHeight w:val="868"/>
        </w:trPr>
        <w:tc>
          <w:tcPr>
            <w:tcW w:w="2917" w:type="dxa"/>
            <w:vAlign w:val="center"/>
          </w:tcPr>
          <w:p w14:paraId="2C7D8B1D" w14:textId="77777777" w:rsidR="00A30224" w:rsidRPr="00816CBD" w:rsidRDefault="00A30224" w:rsidP="00155DD2">
            <w:pPr>
              <w:jc w:val="center"/>
              <w:rPr>
                <w:rFonts w:ascii="Arial" w:hAnsi="Arial" w:cs="Arial"/>
                <w:b/>
                <w:bCs/>
              </w:rPr>
            </w:pPr>
            <w:r w:rsidRPr="005C4AC7">
              <w:rPr>
                <w:b/>
                <w:bCs/>
              </w:rPr>
              <w:t>High-Resolution MS (Orbitrap/QTOF)</w:t>
            </w:r>
          </w:p>
        </w:tc>
        <w:tc>
          <w:tcPr>
            <w:tcW w:w="2917" w:type="dxa"/>
            <w:vAlign w:val="center"/>
          </w:tcPr>
          <w:p w14:paraId="674E99D8" w14:textId="77777777" w:rsidR="00A30224" w:rsidRPr="0058495E" w:rsidRDefault="00A30224" w:rsidP="00155DD2">
            <w:pPr>
              <w:jc w:val="center"/>
              <w:rPr>
                <w:rFonts w:ascii="Arial" w:hAnsi="Arial" w:cs="Arial"/>
              </w:rPr>
            </w:pPr>
            <w:r w:rsidRPr="005C4AC7">
              <w:t>0.1–1 ng/L</w:t>
            </w:r>
          </w:p>
        </w:tc>
        <w:tc>
          <w:tcPr>
            <w:tcW w:w="3121" w:type="dxa"/>
            <w:vAlign w:val="center"/>
          </w:tcPr>
          <w:p w14:paraId="4D70EA28" w14:textId="77777777" w:rsidR="00A30224" w:rsidRPr="0058495E" w:rsidRDefault="00A30224" w:rsidP="00155DD2">
            <w:pPr>
              <w:jc w:val="center"/>
              <w:rPr>
                <w:rFonts w:ascii="Arial" w:hAnsi="Arial" w:cs="Arial"/>
              </w:rPr>
            </w:pPr>
            <w:r w:rsidRPr="005C4AC7">
              <w:t>MC variants, emerging toxins</w:t>
            </w:r>
          </w:p>
        </w:tc>
        <w:tc>
          <w:tcPr>
            <w:tcW w:w="2713" w:type="dxa"/>
            <w:vAlign w:val="center"/>
          </w:tcPr>
          <w:p w14:paraId="7FD3CF94" w14:textId="77777777" w:rsidR="00A30224" w:rsidRPr="0058495E" w:rsidRDefault="00A30224" w:rsidP="00155DD2">
            <w:pPr>
              <w:jc w:val="both"/>
              <w:rPr>
                <w:rFonts w:ascii="Arial" w:hAnsi="Arial" w:cs="Arial"/>
              </w:rPr>
            </w:pPr>
            <w:r w:rsidRPr="005C4AC7">
              <w:t>Enables non-target and suspect screening</w:t>
            </w:r>
          </w:p>
        </w:tc>
        <w:tc>
          <w:tcPr>
            <w:tcW w:w="2713" w:type="dxa"/>
          </w:tcPr>
          <w:p w14:paraId="7BCF52CE" w14:textId="122DF535" w:rsidR="00A30224" w:rsidRPr="0058495E" w:rsidRDefault="00D14E74" w:rsidP="00155DD2">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{"citationID":"LyPyIjoW","properties":{"formattedCitation":"(Picardo et al., 2021)","plainCitation":"(Picardo et al., 2021)","noteIndex":0},"citationItems":[{"id":1200,"uris":["http://zotero.org/users/local/Xm6IMfD4/items/NAJLP5SK"],"itemData":{"id":1200,"type":"article-journal","container-title":"MethodsX","DOI":"10.1016/j.mex.2021.101286","ISSN":"22150161","journalAbbreviation":"MethodsX","language":"en","page":"101286","source":"DOI.org (Crossref)","title":"A data independent acquisition all ion fragmentation mode tool for the suspect screening of natural toxins in surface water","volume":"8","author":[{"family":"Picardo","given":"M."},{"family":"Núñez","given":"O"},{"family":"Farré","given":"M."}],"issued":{"date-parts":[["2021"]]}}}],"schema":"https://github.com/citation-style-language/schema/raw/master/csl-citation.json"} </w:instrText>
            </w:r>
            <w:r>
              <w:rPr>
                <w:rFonts w:ascii="Arial" w:hAnsi="Arial" w:cs="Arial"/>
              </w:rPr>
              <w:fldChar w:fldCharType="separate"/>
            </w:r>
            <w:r w:rsidR="007410EB" w:rsidRPr="007410EB">
              <w:rPr>
                <w:rFonts w:ascii="Arial" w:hAnsi="Arial" w:cs="Arial"/>
              </w:rPr>
              <w:t>(Picardo et al., 2021)</w:t>
            </w:r>
            <w:r>
              <w:rPr>
                <w:rFonts w:ascii="Arial" w:hAnsi="Arial" w:cs="Arial"/>
              </w:rPr>
              <w:fldChar w:fldCharType="end"/>
            </w:r>
          </w:p>
        </w:tc>
      </w:tr>
      <w:tr w:rsidR="00A30224" w:rsidRPr="0058495E" w14:paraId="0F7562E8" w14:textId="77777777" w:rsidTr="00155DD2">
        <w:trPr>
          <w:trHeight w:val="789"/>
        </w:trPr>
        <w:tc>
          <w:tcPr>
            <w:tcW w:w="2917" w:type="dxa"/>
            <w:vAlign w:val="center"/>
          </w:tcPr>
          <w:p w14:paraId="6D505A12" w14:textId="77777777" w:rsidR="00A30224" w:rsidRPr="00816CBD" w:rsidRDefault="00A30224" w:rsidP="00155DD2">
            <w:pPr>
              <w:jc w:val="center"/>
              <w:rPr>
                <w:rFonts w:ascii="Arial" w:hAnsi="Arial" w:cs="Arial"/>
                <w:b/>
                <w:bCs/>
              </w:rPr>
            </w:pPr>
            <w:r w:rsidRPr="005C4AC7">
              <w:rPr>
                <w:b/>
                <w:bCs/>
              </w:rPr>
              <w:t>ELISA</w:t>
            </w:r>
          </w:p>
        </w:tc>
        <w:tc>
          <w:tcPr>
            <w:tcW w:w="2917" w:type="dxa"/>
            <w:vAlign w:val="center"/>
          </w:tcPr>
          <w:p w14:paraId="3E9C5DC6" w14:textId="77777777" w:rsidR="00A30224" w:rsidRPr="0058495E" w:rsidRDefault="00A30224" w:rsidP="00155DD2">
            <w:pPr>
              <w:jc w:val="center"/>
              <w:rPr>
                <w:rFonts w:ascii="Arial" w:hAnsi="Arial" w:cs="Arial"/>
              </w:rPr>
            </w:pPr>
            <w:r w:rsidRPr="005C4AC7">
              <w:t>0.05–0.1 µg/L</w:t>
            </w:r>
          </w:p>
        </w:tc>
        <w:tc>
          <w:tcPr>
            <w:tcW w:w="3121" w:type="dxa"/>
            <w:vAlign w:val="center"/>
          </w:tcPr>
          <w:p w14:paraId="0FC64AE0" w14:textId="77777777" w:rsidR="00A30224" w:rsidRPr="0058495E" w:rsidRDefault="00A30224" w:rsidP="00155DD2">
            <w:pPr>
              <w:jc w:val="center"/>
              <w:rPr>
                <w:rFonts w:ascii="Arial" w:hAnsi="Arial" w:cs="Arial"/>
              </w:rPr>
            </w:pPr>
            <w:r w:rsidRPr="005C4AC7">
              <w:t>Primarily MCs, CYN, STXs</w:t>
            </w:r>
          </w:p>
        </w:tc>
        <w:tc>
          <w:tcPr>
            <w:tcW w:w="2713" w:type="dxa"/>
            <w:vAlign w:val="center"/>
          </w:tcPr>
          <w:p w14:paraId="453333F7" w14:textId="77777777" w:rsidR="00A30224" w:rsidRPr="0058495E" w:rsidRDefault="00A30224" w:rsidP="00155DD2">
            <w:pPr>
              <w:jc w:val="both"/>
              <w:rPr>
                <w:rFonts w:ascii="Arial" w:hAnsi="Arial" w:cs="Arial"/>
              </w:rPr>
            </w:pPr>
            <w:r w:rsidRPr="005C4AC7">
              <w:t>Rapid screening; congener cross-reactivity possible</w:t>
            </w:r>
          </w:p>
        </w:tc>
        <w:tc>
          <w:tcPr>
            <w:tcW w:w="2713" w:type="dxa"/>
          </w:tcPr>
          <w:p w14:paraId="585D543C" w14:textId="215438D6" w:rsidR="00A30224" w:rsidRPr="0058495E" w:rsidRDefault="00D14E74" w:rsidP="00155DD2">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{"citationID":"gv0tZ3mT","properties":{"formattedCitation":"(He et al., 2017)","plainCitation":"(He et al., 2017)","noteIndex":0},"citationItems":[{"id":696,"uris":["http://zotero.org/users/local/Xm6IMfD4/items/26LGSSB9"],"itemData":{"id":696,"type":"article-journal","container-title":"Water Research","DOI":"10.1016/j.watres.2017.09.037","ISSN":"00431354","journalAbbreviation":"Water Research","language":"en","page":"515-523","source":"DOI.org (Crossref)","title":"Varied influence of microcystin structural difference on ELISA cross-reactivity and chlorination efficiency of congener mixtures","volume":"126","author":[{"family":"He","given":"Xuexiang"},{"family":"Stanford","given":"Benjamin D."},{"family":"Adams","given":"Craig"},{"family":"Rosenfeldt","given":"Erik J."},{"family":"Wert","given":"Eric C."}],"issued":{"date-parts":[["2017",12]]}}}],"schema":"https://github.com/citation-style-language/schema/raw/master/csl-citation.json"} </w:instrText>
            </w:r>
            <w:r>
              <w:rPr>
                <w:rFonts w:ascii="Arial" w:hAnsi="Arial" w:cs="Arial"/>
              </w:rPr>
              <w:fldChar w:fldCharType="separate"/>
            </w:r>
            <w:r w:rsidR="007410EB" w:rsidRPr="007410EB">
              <w:rPr>
                <w:rFonts w:ascii="Arial" w:hAnsi="Arial" w:cs="Arial"/>
              </w:rPr>
              <w:t>(He et al., 2017)</w:t>
            </w:r>
            <w:r>
              <w:rPr>
                <w:rFonts w:ascii="Arial" w:hAnsi="Arial" w:cs="Arial"/>
              </w:rPr>
              <w:fldChar w:fldCharType="end"/>
            </w:r>
          </w:p>
        </w:tc>
      </w:tr>
      <w:tr w:rsidR="00A30224" w:rsidRPr="0058495E" w14:paraId="198FA40A" w14:textId="77777777" w:rsidTr="00155DD2">
        <w:trPr>
          <w:trHeight w:val="868"/>
        </w:trPr>
        <w:tc>
          <w:tcPr>
            <w:tcW w:w="2917" w:type="dxa"/>
            <w:vAlign w:val="center"/>
          </w:tcPr>
          <w:p w14:paraId="25602158" w14:textId="77777777" w:rsidR="00A30224" w:rsidRPr="00816CBD" w:rsidRDefault="00A30224" w:rsidP="00155DD2">
            <w:pPr>
              <w:jc w:val="center"/>
              <w:rPr>
                <w:rFonts w:ascii="Arial" w:hAnsi="Arial" w:cs="Arial"/>
                <w:b/>
                <w:bCs/>
              </w:rPr>
            </w:pPr>
            <w:r w:rsidRPr="005C4AC7">
              <w:rPr>
                <w:b/>
                <w:bCs/>
              </w:rPr>
              <w:t>Protein Phosphatase Inhibition Assay (PPIA)</w:t>
            </w:r>
          </w:p>
        </w:tc>
        <w:tc>
          <w:tcPr>
            <w:tcW w:w="2917" w:type="dxa"/>
            <w:vAlign w:val="center"/>
          </w:tcPr>
          <w:p w14:paraId="73EBF63F" w14:textId="77777777" w:rsidR="00A30224" w:rsidRPr="0058495E" w:rsidRDefault="00A30224" w:rsidP="00155DD2">
            <w:pPr>
              <w:jc w:val="center"/>
              <w:rPr>
                <w:rFonts w:ascii="Arial" w:hAnsi="Arial" w:cs="Arial"/>
              </w:rPr>
            </w:pPr>
            <w:r w:rsidRPr="005C4AC7">
              <w:t>~0.1 µg/L</w:t>
            </w:r>
          </w:p>
        </w:tc>
        <w:tc>
          <w:tcPr>
            <w:tcW w:w="3121" w:type="dxa"/>
            <w:vAlign w:val="center"/>
          </w:tcPr>
          <w:p w14:paraId="3E52C174" w14:textId="77777777" w:rsidR="00A30224" w:rsidRPr="0058495E" w:rsidRDefault="00A30224" w:rsidP="00155DD2">
            <w:pPr>
              <w:jc w:val="center"/>
              <w:rPr>
                <w:rFonts w:ascii="Arial" w:hAnsi="Arial" w:cs="Arial"/>
              </w:rPr>
            </w:pPr>
            <w:proofErr w:type="spellStart"/>
            <w:r w:rsidRPr="005C4AC7">
              <w:t>Microcystins</w:t>
            </w:r>
            <w:proofErr w:type="spellEnd"/>
            <w:r w:rsidRPr="005C4AC7">
              <w:t xml:space="preserve">, </w:t>
            </w:r>
            <w:proofErr w:type="spellStart"/>
            <w:r>
              <w:t>N</w:t>
            </w:r>
            <w:r w:rsidRPr="005C4AC7">
              <w:t>odularins</w:t>
            </w:r>
            <w:proofErr w:type="spellEnd"/>
          </w:p>
        </w:tc>
        <w:tc>
          <w:tcPr>
            <w:tcW w:w="2713" w:type="dxa"/>
            <w:vAlign w:val="center"/>
          </w:tcPr>
          <w:p w14:paraId="07D44EA5" w14:textId="77777777" w:rsidR="00A30224" w:rsidRPr="0058495E" w:rsidRDefault="00A30224" w:rsidP="00155DD2">
            <w:pPr>
              <w:jc w:val="both"/>
              <w:rPr>
                <w:rFonts w:ascii="Arial" w:hAnsi="Arial" w:cs="Arial"/>
              </w:rPr>
            </w:pPr>
            <w:r w:rsidRPr="005C4AC7">
              <w:t>Functional toxicity-based detection</w:t>
            </w:r>
          </w:p>
        </w:tc>
        <w:tc>
          <w:tcPr>
            <w:tcW w:w="2713" w:type="dxa"/>
          </w:tcPr>
          <w:p w14:paraId="76D9B8B3" w14:textId="1663A9E9" w:rsidR="00A30224" w:rsidRPr="0058495E" w:rsidRDefault="00D14E74" w:rsidP="00155DD2">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{"citationID":"DAlXOOgd","properties":{"formattedCitation":"(Alba Posse et al., 2023)","plainCitation":"(Alba Posse et al., 2023)","noteIndex":0},"citationItems":[{"id":1203,"uris":["http://zotero.org/users/local/Xm6IMfD4/items/VEM2R4QU"],"itemData":{"id":1203,"type":"article-journal","container-title":"Talanta","DOI":"10.1016/j.talanta.2022.124174","ISSN":"00399140","journalAbbreviation":"Talanta","language":"en","page":"124174","source":"DOI.org (Crossref)","title":"Optimization and validation of a protein phosphatase inhibition assay for accessible microcystin detection","volume":"255","author":[{"family":"Alba Posse","given":"Ezequiel Jorge"},{"family":"González","given":"Carolina"},{"family":"Carriquiriborde","given":"Pedro"},{"family":"Nadra","given":"Alejandro"},{"family":"Gasulla","given":"Javier"}],"issued":{"date-parts":[["2023",4]]}}}],"schema":"https://github.com/citation-style-language/schema/raw/master/csl-citation.json"} </w:instrText>
            </w:r>
            <w:r>
              <w:rPr>
                <w:rFonts w:ascii="Arial" w:hAnsi="Arial" w:cs="Arial"/>
              </w:rPr>
              <w:fldChar w:fldCharType="separate"/>
            </w:r>
            <w:r w:rsidR="007410EB" w:rsidRPr="007410EB">
              <w:rPr>
                <w:rFonts w:ascii="Arial" w:hAnsi="Arial" w:cs="Arial"/>
              </w:rPr>
              <w:t>(Alba Posse et al., 2023)</w:t>
            </w:r>
            <w:r>
              <w:rPr>
                <w:rFonts w:ascii="Arial" w:hAnsi="Arial" w:cs="Arial"/>
              </w:rPr>
              <w:fldChar w:fldCharType="end"/>
            </w:r>
          </w:p>
        </w:tc>
      </w:tr>
      <w:tr w:rsidR="00A30224" w:rsidRPr="0058495E" w14:paraId="003FE517" w14:textId="77777777" w:rsidTr="00155DD2">
        <w:trPr>
          <w:trHeight w:val="868"/>
        </w:trPr>
        <w:tc>
          <w:tcPr>
            <w:tcW w:w="2917" w:type="dxa"/>
            <w:vAlign w:val="center"/>
          </w:tcPr>
          <w:p w14:paraId="3694D499" w14:textId="77777777" w:rsidR="00A30224" w:rsidRPr="00816CBD" w:rsidRDefault="00A30224" w:rsidP="00155DD2">
            <w:pPr>
              <w:jc w:val="center"/>
              <w:rPr>
                <w:rFonts w:ascii="Arial" w:hAnsi="Arial" w:cs="Arial"/>
                <w:b/>
                <w:bCs/>
              </w:rPr>
            </w:pPr>
            <w:r w:rsidRPr="005C4AC7">
              <w:rPr>
                <w:b/>
                <w:bCs/>
              </w:rPr>
              <w:t>Electrochemical Immunosensors</w:t>
            </w:r>
          </w:p>
        </w:tc>
        <w:tc>
          <w:tcPr>
            <w:tcW w:w="2917" w:type="dxa"/>
            <w:vAlign w:val="center"/>
          </w:tcPr>
          <w:p w14:paraId="06ACB792" w14:textId="77777777" w:rsidR="00A30224" w:rsidRPr="0058495E" w:rsidRDefault="00A30224" w:rsidP="00155DD2">
            <w:pPr>
              <w:jc w:val="center"/>
              <w:rPr>
                <w:rFonts w:ascii="Arial" w:hAnsi="Arial" w:cs="Arial"/>
              </w:rPr>
            </w:pPr>
            <w:r w:rsidRPr="005C4AC7">
              <w:t>0.5–5 ng/L</w:t>
            </w:r>
          </w:p>
        </w:tc>
        <w:tc>
          <w:tcPr>
            <w:tcW w:w="3121" w:type="dxa"/>
            <w:vAlign w:val="center"/>
          </w:tcPr>
          <w:p w14:paraId="2B0B022E" w14:textId="77777777" w:rsidR="00A30224" w:rsidRPr="0058495E" w:rsidRDefault="00A30224" w:rsidP="00155DD2">
            <w:pPr>
              <w:jc w:val="center"/>
              <w:rPr>
                <w:rFonts w:ascii="Arial" w:hAnsi="Arial" w:cs="Arial"/>
              </w:rPr>
            </w:pPr>
            <w:r w:rsidRPr="005C4AC7">
              <w:t>MC-LR mainly</w:t>
            </w:r>
          </w:p>
        </w:tc>
        <w:tc>
          <w:tcPr>
            <w:tcW w:w="2713" w:type="dxa"/>
            <w:vAlign w:val="center"/>
          </w:tcPr>
          <w:p w14:paraId="605F63A5" w14:textId="77777777" w:rsidR="00A30224" w:rsidRPr="0058495E" w:rsidRDefault="00A30224" w:rsidP="00155DD2">
            <w:pPr>
              <w:jc w:val="both"/>
              <w:rPr>
                <w:rFonts w:ascii="Arial" w:hAnsi="Arial" w:cs="Arial"/>
              </w:rPr>
            </w:pPr>
            <w:r w:rsidRPr="005C4AC7">
              <w:t>Portable; enhanced sensitivity via nanomaterials</w:t>
            </w:r>
          </w:p>
        </w:tc>
        <w:tc>
          <w:tcPr>
            <w:tcW w:w="2713" w:type="dxa"/>
            <w:vAlign w:val="center"/>
          </w:tcPr>
          <w:p w14:paraId="467E8EFA" w14:textId="120E70FB" w:rsidR="00A30224" w:rsidRPr="0058495E" w:rsidRDefault="00D14E74" w:rsidP="00155DD2">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{"citationID":"3Kw7nRBE","properties":{"formattedCitation":"(Dai et al., 2025)","plainCitation":"(Dai et al., 2025)","noteIndex":0},"citationItems":[{"id":1205,"uris":["http://zotero.org/users/local/Xm6IMfD4/items/GVXFRJX8"],"itemData":{"id":1205,"type":"article-journal","abstract":"This review offers a comprehensive overview of the advancements in optical sensors for MC-LR detection, focusing on recognition elements and optical signal transduction methods, and highlighting the achievements, challenges, and future prospects.\n          , \n            Microcystin-leucine-arginine (MC-LR), stands out as the most lethal and broadly occurring variant of microcystins, which are harmful substances generated by cyanobacteria during periods of excessive nutrient enrichment in water bodies. Even at low levels, MC-LR can cause acute or chronic hepatic injury, leading to inflammation and potentially promoting tumorigenesis, thereby imposing a significant burden on human health. Vigilant surveillance of MC-LR is vital for safeguarding both the well-being of the public and environmental security. Optical sensors are particularly advantageous for the detection of MC-LR, owing to their exceptional sensitivity and ease of use. This review presents a comprehensive overview of the current advancements and emerging trends in optical sensors for MC-LR detection, focusing on two primary aspects: recognition elements and optical signal transduction. Recognition elements, including enzymes, antibodies, molecular imprinted polymers (MIPs), and aptamers, are summarized along with their characteristics. The review also thoroughly discusses optical signal transduction and its performance, specifically addressing colorimetry, fluorescence, surface-enhanced Raman scattering (SERS), surface plasmon resonance (SPR), electrochemiluminescence (ECL) and other signal transduction methods. Additionally, the review provides a summary of the achievements and challenges of current optical sensors, as well as future application prospects for MC-LR optical sensors. This systematic review aims to facilitate the further development of optical sensors for detecting microcystins.","container-title":"The Analyst","DOI":"10.1039/D4AN01576B","ISSN":"0003-2654, 1364-5528","issue":"8","journalAbbreviation":"Analyst","language":"en","page":"1470-1489","source":"DOI.org (Crossref)","title":"Recent advances in optical sensors for microcystin-LR: from recognition elements to signal transduction","title-short":"Recent advances in optical sensors for microcystin-LR","volume":"150","author":[{"family":"Dai","given":"Heng"},{"family":"Liu","given":"Jun"},{"family":"Wang","given":"Shanlin"},{"family":"Wang","given":"Bin"},{"family":"Kai","given":"Tianhan"},{"family":"Wu","given":"Pian"},{"family":"Ding","given":"Ping"}],"issued":{"date-parts":[["2025"]]}}}],"schema":"https://github.com/citation-style-language/schema/raw/master/csl-citation.json"} </w:instrText>
            </w:r>
            <w:r>
              <w:rPr>
                <w:rFonts w:ascii="Arial" w:hAnsi="Arial" w:cs="Arial"/>
              </w:rPr>
              <w:fldChar w:fldCharType="separate"/>
            </w:r>
            <w:r w:rsidR="007410EB" w:rsidRPr="007410EB">
              <w:rPr>
                <w:rFonts w:ascii="Arial" w:hAnsi="Arial" w:cs="Arial"/>
              </w:rPr>
              <w:t>(Dai et al., 2025)</w:t>
            </w:r>
            <w:r>
              <w:rPr>
                <w:rFonts w:ascii="Arial" w:hAnsi="Arial" w:cs="Arial"/>
              </w:rPr>
              <w:fldChar w:fldCharType="end"/>
            </w:r>
          </w:p>
        </w:tc>
      </w:tr>
      <w:tr w:rsidR="00A30224" w:rsidRPr="0058495E" w14:paraId="7FCF4270" w14:textId="77777777" w:rsidTr="00155DD2">
        <w:trPr>
          <w:trHeight w:val="868"/>
        </w:trPr>
        <w:tc>
          <w:tcPr>
            <w:tcW w:w="2917" w:type="dxa"/>
            <w:vAlign w:val="center"/>
          </w:tcPr>
          <w:p w14:paraId="2E4455C9" w14:textId="77777777" w:rsidR="00A30224" w:rsidRPr="00816CBD" w:rsidRDefault="00A30224" w:rsidP="00155DD2">
            <w:pPr>
              <w:jc w:val="center"/>
              <w:rPr>
                <w:rFonts w:ascii="Arial" w:hAnsi="Arial" w:cs="Arial"/>
                <w:b/>
                <w:bCs/>
              </w:rPr>
            </w:pPr>
            <w:r w:rsidRPr="005C4AC7">
              <w:rPr>
                <w:b/>
                <w:bCs/>
              </w:rPr>
              <w:t>Aptamer-Based Biosensors</w:t>
            </w:r>
          </w:p>
        </w:tc>
        <w:tc>
          <w:tcPr>
            <w:tcW w:w="2917" w:type="dxa"/>
            <w:vAlign w:val="center"/>
          </w:tcPr>
          <w:p w14:paraId="0E9BBCDE" w14:textId="77777777" w:rsidR="00A30224" w:rsidRPr="0058495E" w:rsidRDefault="00A30224" w:rsidP="00155DD2">
            <w:pPr>
              <w:jc w:val="center"/>
              <w:rPr>
                <w:rFonts w:ascii="Arial" w:hAnsi="Arial" w:cs="Arial"/>
              </w:rPr>
            </w:pPr>
            <w:r w:rsidRPr="005C4AC7">
              <w:t>0.1–5 ng/L</w:t>
            </w:r>
          </w:p>
        </w:tc>
        <w:tc>
          <w:tcPr>
            <w:tcW w:w="3121" w:type="dxa"/>
            <w:vAlign w:val="center"/>
          </w:tcPr>
          <w:p w14:paraId="07A93F08" w14:textId="77777777" w:rsidR="00A30224" w:rsidRPr="0058495E" w:rsidRDefault="00A30224" w:rsidP="00155DD2">
            <w:pPr>
              <w:jc w:val="center"/>
              <w:rPr>
                <w:rFonts w:ascii="Arial" w:hAnsi="Arial" w:cs="Arial"/>
              </w:rPr>
            </w:pPr>
            <w:r w:rsidRPr="005C4AC7">
              <w:t>MC-LR</w:t>
            </w:r>
          </w:p>
        </w:tc>
        <w:tc>
          <w:tcPr>
            <w:tcW w:w="2713" w:type="dxa"/>
            <w:vAlign w:val="center"/>
          </w:tcPr>
          <w:p w14:paraId="02E3DA18" w14:textId="77777777" w:rsidR="00A30224" w:rsidRPr="0058495E" w:rsidRDefault="00A30224" w:rsidP="00155DD2">
            <w:pPr>
              <w:jc w:val="both"/>
              <w:rPr>
                <w:rFonts w:ascii="Arial" w:hAnsi="Arial" w:cs="Arial"/>
              </w:rPr>
            </w:pPr>
            <w:r w:rsidRPr="005C4AC7">
              <w:t>High selectivity; adaptable to multiple platforms</w:t>
            </w:r>
          </w:p>
        </w:tc>
        <w:tc>
          <w:tcPr>
            <w:tcW w:w="2713" w:type="dxa"/>
            <w:vAlign w:val="center"/>
          </w:tcPr>
          <w:p w14:paraId="7A32896E" w14:textId="5CFA29AA" w:rsidR="00A30224" w:rsidRPr="0058495E" w:rsidRDefault="00D14E74" w:rsidP="00155DD2">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{"citationID":"SYFla3oa","properties":{"formattedCitation":"(G. Zhang et al., 2018)","plainCitation":"(G. Zhang et al., 2018)","noteIndex":0},"citationItems":[{"id":1206,"uris":["http://zotero.org/users/local/Xm6IMfD4/items/NG7ZUE2H"],"itemData":{"id":1206,"type":"article-journal","container-title":"Sensors and Actuators B: Chemical","DOI":"10.1016/j.snb.2017.12.112","ISSN":"09254005","journalAbbreviation":"Sensors and Actuators B: Chemical","language":"en","page":"42-47","source":"DOI.org (Crossref)","title":"Label-free aptamer-based detection of microcystin-LR using a microcantilever array biosensor","volume":"260","author":[{"family":"Zhang","given":"Guangping"},{"family":"Li","given":"Chao"},{"family":"Wu","given":"Shangquan"},{"family":"Zhang","given":"Qingchuan"}],"issued":{"date-parts":[["2018",5]]}}}],"schema":"https://github.com/citation-style-language/schema/raw/master/csl-citation.json"} </w:instrText>
            </w:r>
            <w:r>
              <w:rPr>
                <w:rFonts w:ascii="Arial" w:hAnsi="Arial" w:cs="Arial"/>
              </w:rPr>
              <w:fldChar w:fldCharType="separate"/>
            </w:r>
            <w:r w:rsidR="007410EB" w:rsidRPr="007410EB">
              <w:rPr>
                <w:rFonts w:ascii="Arial" w:hAnsi="Arial" w:cs="Arial"/>
              </w:rPr>
              <w:t>(G. Zhang et al., 2018)</w:t>
            </w:r>
            <w:r>
              <w:rPr>
                <w:rFonts w:ascii="Arial" w:hAnsi="Arial" w:cs="Arial"/>
              </w:rPr>
              <w:fldChar w:fldCharType="end"/>
            </w:r>
          </w:p>
        </w:tc>
      </w:tr>
      <w:tr w:rsidR="00A30224" w:rsidRPr="0058495E" w14:paraId="096B7250" w14:textId="77777777" w:rsidTr="00155DD2">
        <w:trPr>
          <w:trHeight w:val="868"/>
        </w:trPr>
        <w:tc>
          <w:tcPr>
            <w:tcW w:w="2917" w:type="dxa"/>
            <w:vAlign w:val="center"/>
          </w:tcPr>
          <w:p w14:paraId="4D34AECF" w14:textId="77777777" w:rsidR="00A30224" w:rsidRPr="005C4AC7" w:rsidRDefault="00A30224" w:rsidP="00155DD2">
            <w:pPr>
              <w:jc w:val="center"/>
              <w:rPr>
                <w:b/>
                <w:bCs/>
              </w:rPr>
            </w:pPr>
            <w:r w:rsidRPr="005C4AC7">
              <w:rPr>
                <w:b/>
                <w:bCs/>
              </w:rPr>
              <w:lastRenderedPageBreak/>
              <w:t>Aptamer-Based Electrochemical Sensor</w:t>
            </w:r>
          </w:p>
        </w:tc>
        <w:tc>
          <w:tcPr>
            <w:tcW w:w="2917" w:type="dxa"/>
            <w:vAlign w:val="center"/>
          </w:tcPr>
          <w:p w14:paraId="7923193B" w14:textId="77777777" w:rsidR="00A30224" w:rsidRPr="005C4AC7" w:rsidRDefault="00A30224" w:rsidP="00155DD2">
            <w:pPr>
              <w:jc w:val="center"/>
            </w:pPr>
            <w:r w:rsidRPr="005C4AC7">
              <w:t>0.1–2 ng/L</w:t>
            </w:r>
          </w:p>
        </w:tc>
        <w:tc>
          <w:tcPr>
            <w:tcW w:w="3121" w:type="dxa"/>
            <w:vAlign w:val="center"/>
          </w:tcPr>
          <w:p w14:paraId="528BEB10" w14:textId="77777777" w:rsidR="00A30224" w:rsidRPr="005C4AC7" w:rsidRDefault="00A30224" w:rsidP="00155DD2">
            <w:pPr>
              <w:jc w:val="center"/>
            </w:pPr>
            <w:r w:rsidRPr="005C4AC7">
              <w:t>MC-LR</w:t>
            </w:r>
          </w:p>
        </w:tc>
        <w:tc>
          <w:tcPr>
            <w:tcW w:w="2713" w:type="dxa"/>
            <w:vAlign w:val="center"/>
          </w:tcPr>
          <w:p w14:paraId="5CC59DC0" w14:textId="77777777" w:rsidR="00A30224" w:rsidRPr="005C4AC7" w:rsidRDefault="00A30224" w:rsidP="00155DD2">
            <w:pPr>
              <w:jc w:val="both"/>
            </w:pPr>
            <w:r w:rsidRPr="005C4AC7">
              <w:t>High selectivity; stable synthetic recognition elements</w:t>
            </w:r>
          </w:p>
        </w:tc>
        <w:tc>
          <w:tcPr>
            <w:tcW w:w="2713" w:type="dxa"/>
            <w:vAlign w:val="center"/>
          </w:tcPr>
          <w:p w14:paraId="2441BFE5" w14:textId="653ED71E" w:rsidR="00A30224" w:rsidRPr="005C4AC7" w:rsidRDefault="00D14E74" w:rsidP="00155DD2">
            <w:pPr>
              <w:jc w:val="both"/>
              <w:rPr>
                <w:b/>
                <w:bCs/>
              </w:rPr>
            </w:pPr>
            <w:r>
              <w:rPr>
                <w:b/>
                <w:bCs/>
              </w:rPr>
              <w:fldChar w:fldCharType="begin"/>
            </w:r>
            <w:r w:rsidR="007410EB">
              <w:rPr>
                <w:b/>
                <w:bCs/>
              </w:rPr>
              <w:instrText xml:space="preserve"> ADDIN ZOTERO_ITEM CSL_CITATION {"citationID":"WSn8Zlmu","properties":{"formattedCitation":"(Wei et al., 2022)","plainCitation":"(Wei et al., 2022)","noteIndex":0},"citationItems":[{"id":1207,"uris":["http://zotero.org/users/local/Xm6IMfD4/items/CA7GS5DY"],"itemData":{"id":1207,"type":"article-journal","abstract":"We report a methylene blue (MB)-modified electrochemical aptamer (E-AB) sensor for determining microcystin-LR (MC-LR). The signal transduction of the sensor was based on changes in conformation and position of MB induced by the binding between MC-LR and the modified aptamer probe. In the absence of MC-LR, an aptamer probe was considered partially folded. After combining aptamer and MC-LR, the configuration of the aptamer probe changed and facilitated the electron transfer between MB and the electrode surface. As a result, an increased current response was observed. We optimized the parameters and evaluated the electrochemical performance of the sensor using square wave voltammetry (SWV). MC-LR was measured from 1.0 to 750.0 ng/L with a detection limit of 0.53 ng/L. The reliability of the method was verified by the determination of MC-LR in environmental real samples, such as pond water and tap water. Moreover, we demonstrated that this reagent-less biosensor could be regenerated and reused after rinsing with deionized water with good accuracy and reproducibility. As a reusable and regenerable E-AB sensor, this rapid, reagent-free, and sensitive sensing platform will facilitate routine monitoring of MC-LR in actual samples.","container-title":"Biosensors","DOI":"10.3390/bios12080556","ISSN":"2079-6374","issue":"8","journalAbbreviation":"Biosensors","language":"en","page":"556","source":"DOI.org (Crossref)","title":"Sensitive Identification of Microcystin-LR via a Reagent-Free and Reusable Electrochemical Biosensor Using a Methylene Blue-Labeled Aptamer","volume":"12","author":[{"family":"Wei","given":"Xiaoqian"},{"family":"Wang","given":"Shanlin"},{"family":"Zhan","given":"Yujuan"},{"family":"Kai","given":"Tianhan"},{"family":"Ding","given":"Ping"}],"issued":{"date-parts":[["2022",7,22]]}}}],"schema":"https://github.com/citation-style-language/schema/raw/master/csl-citation.json"} </w:instrText>
            </w:r>
            <w:r>
              <w:rPr>
                <w:b/>
                <w:bCs/>
              </w:rPr>
              <w:fldChar w:fldCharType="separate"/>
            </w:r>
            <w:r w:rsidR="007410EB" w:rsidRPr="007410EB">
              <w:rPr>
                <w:rFonts w:ascii="Calibri" w:hAnsi="Calibri" w:cs="Calibri"/>
              </w:rPr>
              <w:t>(Wei et al., 2022)</w:t>
            </w:r>
            <w:r>
              <w:rPr>
                <w:b/>
                <w:bCs/>
              </w:rPr>
              <w:fldChar w:fldCharType="end"/>
            </w:r>
          </w:p>
        </w:tc>
      </w:tr>
      <w:tr w:rsidR="00A30224" w:rsidRPr="0058495E" w14:paraId="4430FE15" w14:textId="77777777" w:rsidTr="00155DD2">
        <w:trPr>
          <w:trHeight w:val="868"/>
        </w:trPr>
        <w:tc>
          <w:tcPr>
            <w:tcW w:w="2917" w:type="dxa"/>
            <w:vAlign w:val="center"/>
          </w:tcPr>
          <w:p w14:paraId="7A0D0A6D" w14:textId="77777777" w:rsidR="00A30224" w:rsidRPr="00816CBD" w:rsidRDefault="00A30224" w:rsidP="00155DD2">
            <w:pPr>
              <w:jc w:val="center"/>
              <w:rPr>
                <w:rFonts w:ascii="Arial" w:hAnsi="Arial" w:cs="Arial"/>
                <w:b/>
                <w:bCs/>
              </w:rPr>
            </w:pPr>
            <w:r w:rsidRPr="005C4AC7">
              <w:rPr>
                <w:b/>
                <w:bCs/>
              </w:rPr>
              <w:t>Surface Plasmon Resonance (SPR)</w:t>
            </w:r>
          </w:p>
        </w:tc>
        <w:tc>
          <w:tcPr>
            <w:tcW w:w="2917" w:type="dxa"/>
            <w:vAlign w:val="center"/>
          </w:tcPr>
          <w:p w14:paraId="6155ED9C" w14:textId="77777777" w:rsidR="00A30224" w:rsidRPr="0058495E" w:rsidRDefault="00A30224" w:rsidP="00155DD2">
            <w:pPr>
              <w:jc w:val="center"/>
              <w:rPr>
                <w:rFonts w:ascii="Arial" w:hAnsi="Arial" w:cs="Arial"/>
              </w:rPr>
            </w:pPr>
            <w:r w:rsidRPr="005C4AC7">
              <w:t>10–70 ng/L</w:t>
            </w:r>
          </w:p>
        </w:tc>
        <w:tc>
          <w:tcPr>
            <w:tcW w:w="3121" w:type="dxa"/>
            <w:vAlign w:val="center"/>
          </w:tcPr>
          <w:p w14:paraId="388956CF" w14:textId="77777777" w:rsidR="00A30224" w:rsidRPr="0058495E" w:rsidRDefault="00A30224" w:rsidP="00155DD2">
            <w:pPr>
              <w:jc w:val="center"/>
              <w:rPr>
                <w:rFonts w:ascii="Arial" w:hAnsi="Arial" w:cs="Arial"/>
              </w:rPr>
            </w:pPr>
            <w:r w:rsidRPr="005C4AC7">
              <w:t>MC-LR</w:t>
            </w:r>
          </w:p>
        </w:tc>
        <w:tc>
          <w:tcPr>
            <w:tcW w:w="2713" w:type="dxa"/>
            <w:vAlign w:val="center"/>
          </w:tcPr>
          <w:p w14:paraId="07D41493" w14:textId="77777777" w:rsidR="00A30224" w:rsidRPr="0058495E" w:rsidRDefault="00A30224" w:rsidP="00155DD2">
            <w:pPr>
              <w:jc w:val="both"/>
              <w:rPr>
                <w:rFonts w:ascii="Arial" w:hAnsi="Arial" w:cs="Arial"/>
              </w:rPr>
            </w:pPr>
            <w:r w:rsidRPr="005C4AC7">
              <w:t>Label-free real-time optical detection</w:t>
            </w:r>
          </w:p>
        </w:tc>
        <w:tc>
          <w:tcPr>
            <w:tcW w:w="2713" w:type="dxa"/>
            <w:vAlign w:val="center"/>
          </w:tcPr>
          <w:p w14:paraId="6E2608EA" w14:textId="25285AED" w:rsidR="00A30224" w:rsidRPr="0058495E" w:rsidRDefault="00925439" w:rsidP="00155DD2">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{"citationID":"PiQdMJWi","properties":{"formattedCitation":"(Tan et al., 2023)","plainCitation":"(Tan et al., 2023)","noteIndex":0},"citationItems":[{"id":1209,"uris":["http://zotero.org/users/local/Xm6IMfD4/items/YU2QYDHK"],"itemData":{"id":1209,"type":"article-journal","container-title":"Environmental Science &amp; Technology","DOI":"10.1021/acs.est.3c01328","ISSN":"0013-936X, 1520-5851","issue":"22","journalAbbreviation":"Environ. Sci. Technol.","language":"en","license":"https://doi.org/10.15223/policy-029","page":"8313-8322","source":"DOI.org (Crossref)","title":"An Ultrasensitive and Universal Surface Plasmonic Biosensor for Detection of Micropollutants in Aquatic Environments","volume":"57","author":[{"family":"Tan","given":"Jisui"},{"family":"Dai","given":"Zongren"},{"family":"Zhou","given":"Kaiming"},{"family":"Zhang","given":"Lin"},{"family":"He","given":"Miao"},{"family":"Tan","given":"Yidong"},{"family":"Zhou","given":"Xiaohong"}],"issued":{"date-parts":[["2023",6,6]]}}}],"schema":"https://github.com/citation-style-language/schema/raw/master/csl-citation.json"} </w:instrText>
            </w:r>
            <w:r>
              <w:rPr>
                <w:rFonts w:ascii="Arial" w:hAnsi="Arial" w:cs="Arial"/>
              </w:rPr>
              <w:fldChar w:fldCharType="separate"/>
            </w:r>
            <w:r w:rsidR="007410EB" w:rsidRPr="007410EB">
              <w:rPr>
                <w:rFonts w:ascii="Arial" w:hAnsi="Arial" w:cs="Arial"/>
              </w:rPr>
              <w:t>(Tan et al., 2023)</w:t>
            </w:r>
            <w:r>
              <w:rPr>
                <w:rFonts w:ascii="Arial" w:hAnsi="Arial" w:cs="Arial"/>
              </w:rPr>
              <w:fldChar w:fldCharType="end"/>
            </w:r>
          </w:p>
        </w:tc>
      </w:tr>
      <w:tr w:rsidR="00A30224" w:rsidRPr="0058495E" w14:paraId="606A088F" w14:textId="77777777" w:rsidTr="00155DD2">
        <w:trPr>
          <w:trHeight w:val="868"/>
        </w:trPr>
        <w:tc>
          <w:tcPr>
            <w:tcW w:w="2917" w:type="dxa"/>
            <w:vAlign w:val="center"/>
          </w:tcPr>
          <w:p w14:paraId="269035E2" w14:textId="77777777" w:rsidR="00A30224" w:rsidRPr="00816CBD" w:rsidRDefault="00A30224" w:rsidP="00155DD2">
            <w:pPr>
              <w:jc w:val="center"/>
              <w:rPr>
                <w:rFonts w:ascii="Arial" w:hAnsi="Arial" w:cs="Arial"/>
                <w:b/>
                <w:bCs/>
              </w:rPr>
            </w:pPr>
            <w:r w:rsidRPr="005C4AC7">
              <w:rPr>
                <w:b/>
                <w:bCs/>
              </w:rPr>
              <w:t>Surface-Enhanced Raman Spectroscopy (SERS)</w:t>
            </w:r>
          </w:p>
        </w:tc>
        <w:tc>
          <w:tcPr>
            <w:tcW w:w="2917" w:type="dxa"/>
            <w:vAlign w:val="center"/>
          </w:tcPr>
          <w:p w14:paraId="056FF92B" w14:textId="77777777" w:rsidR="00A30224" w:rsidRPr="0058495E" w:rsidRDefault="00A30224" w:rsidP="00155DD2">
            <w:pPr>
              <w:jc w:val="center"/>
              <w:rPr>
                <w:rFonts w:ascii="Arial" w:hAnsi="Arial" w:cs="Arial"/>
              </w:rPr>
            </w:pPr>
            <w:r w:rsidRPr="005C4AC7">
              <w:t>0.01–1 ng/L</w:t>
            </w:r>
          </w:p>
        </w:tc>
        <w:tc>
          <w:tcPr>
            <w:tcW w:w="3121" w:type="dxa"/>
            <w:vAlign w:val="center"/>
          </w:tcPr>
          <w:p w14:paraId="33B6A6D6" w14:textId="77777777" w:rsidR="00A30224" w:rsidRPr="0058495E" w:rsidRDefault="00A30224" w:rsidP="00155DD2">
            <w:pPr>
              <w:jc w:val="center"/>
              <w:rPr>
                <w:rFonts w:ascii="Arial" w:hAnsi="Arial" w:cs="Arial"/>
              </w:rPr>
            </w:pPr>
            <w:r w:rsidRPr="005C4AC7">
              <w:t>MC-LR</w:t>
            </w:r>
          </w:p>
        </w:tc>
        <w:tc>
          <w:tcPr>
            <w:tcW w:w="2713" w:type="dxa"/>
            <w:vAlign w:val="center"/>
          </w:tcPr>
          <w:p w14:paraId="012B2CC6" w14:textId="77777777" w:rsidR="00A30224" w:rsidRPr="0058495E" w:rsidRDefault="00A30224" w:rsidP="00155DD2">
            <w:pPr>
              <w:jc w:val="both"/>
              <w:rPr>
                <w:rFonts w:ascii="Arial" w:hAnsi="Arial" w:cs="Arial"/>
              </w:rPr>
            </w:pPr>
            <w:r w:rsidRPr="005C4AC7">
              <w:t>Ultra-sensitive; requires specialized substrates</w:t>
            </w:r>
          </w:p>
        </w:tc>
        <w:tc>
          <w:tcPr>
            <w:tcW w:w="2713" w:type="dxa"/>
            <w:vAlign w:val="center"/>
          </w:tcPr>
          <w:p w14:paraId="706150EA" w14:textId="4A453682" w:rsidR="00A30224" w:rsidRPr="0058495E" w:rsidRDefault="00925439" w:rsidP="00155DD2">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{"citationID":"jdXZ2rj0","properties":{"formattedCitation":"(Qin et al., 2024)","plainCitation":"(Qin et al., 2024)","noteIndex":0},"citationItems":[{"id":1211,"uris":["http://zotero.org/users/local/Xm6IMfD4/items/77NEREDA"],"itemData":{"id":1211,"type":"article-journal","container-title":"Critical Reviews in Analytical Chemistry","DOI":"10.1080/10408347.2023.2257795","ISSN":"1040-8347, 1547-6510","issue":"8","journalAbbreviation":"Critical Reviews in Analytical Chemistry","language":"en","page":"3592-3613","source":"DOI.org (Crossref)","title":"Recent Advances in Aptasensors for Rapid Pesticide Residues Detection","volume":"54","author":[{"family":"Qin","given":"Na"},{"family":"Liu","given":"Jinfeng"},{"family":"Li","given":"Fengyun"},{"family":"Liu","given":"Jingbo"}],"issued":{"date-parts":[["2024",11,16]]}}}],"schema":"https://github.com/citation-style-language/schema/raw/master/csl-citation.json"} </w:instrText>
            </w:r>
            <w:r>
              <w:rPr>
                <w:rFonts w:ascii="Arial" w:hAnsi="Arial" w:cs="Arial"/>
              </w:rPr>
              <w:fldChar w:fldCharType="separate"/>
            </w:r>
            <w:r w:rsidR="007410EB" w:rsidRPr="007410EB">
              <w:rPr>
                <w:rFonts w:ascii="Arial" w:hAnsi="Arial" w:cs="Arial"/>
              </w:rPr>
              <w:t>(Qin et al., 2024)</w:t>
            </w:r>
            <w:r>
              <w:rPr>
                <w:rFonts w:ascii="Arial" w:hAnsi="Arial" w:cs="Arial"/>
              </w:rPr>
              <w:fldChar w:fldCharType="end"/>
            </w:r>
          </w:p>
        </w:tc>
      </w:tr>
      <w:tr w:rsidR="00A30224" w:rsidRPr="0058495E" w14:paraId="7D85EB97" w14:textId="77777777" w:rsidTr="00155DD2">
        <w:trPr>
          <w:trHeight w:val="868"/>
        </w:trPr>
        <w:tc>
          <w:tcPr>
            <w:tcW w:w="2917" w:type="dxa"/>
            <w:vAlign w:val="center"/>
          </w:tcPr>
          <w:p w14:paraId="5ED73C60" w14:textId="77777777" w:rsidR="00A30224" w:rsidRPr="005C4AC7" w:rsidRDefault="00A30224" w:rsidP="00155DD2">
            <w:pPr>
              <w:rPr>
                <w:b/>
                <w:bCs/>
              </w:rPr>
            </w:pPr>
            <w:r w:rsidRPr="005C4AC7">
              <w:rPr>
                <w:b/>
                <w:bCs/>
              </w:rPr>
              <w:t>Fluorescence Polarization Assay</w:t>
            </w:r>
          </w:p>
        </w:tc>
        <w:tc>
          <w:tcPr>
            <w:tcW w:w="2917" w:type="dxa"/>
            <w:vAlign w:val="center"/>
          </w:tcPr>
          <w:p w14:paraId="02341455" w14:textId="77777777" w:rsidR="00A30224" w:rsidRPr="005C4AC7" w:rsidRDefault="00A30224" w:rsidP="00155DD2">
            <w:pPr>
              <w:jc w:val="center"/>
            </w:pPr>
            <w:r w:rsidRPr="005C4AC7">
              <w:t>0.05–0.1 µg/L</w:t>
            </w:r>
          </w:p>
        </w:tc>
        <w:tc>
          <w:tcPr>
            <w:tcW w:w="3121" w:type="dxa"/>
            <w:vAlign w:val="center"/>
          </w:tcPr>
          <w:p w14:paraId="22FCB21C" w14:textId="77777777" w:rsidR="00A30224" w:rsidRPr="005C4AC7" w:rsidRDefault="00A30224" w:rsidP="00155DD2">
            <w:pPr>
              <w:jc w:val="center"/>
            </w:pPr>
            <w:proofErr w:type="spellStart"/>
            <w:r w:rsidRPr="005C4AC7">
              <w:t>Microcystins</w:t>
            </w:r>
            <w:proofErr w:type="spellEnd"/>
          </w:p>
        </w:tc>
        <w:tc>
          <w:tcPr>
            <w:tcW w:w="2713" w:type="dxa"/>
            <w:vAlign w:val="center"/>
          </w:tcPr>
          <w:p w14:paraId="53499C9D" w14:textId="77777777" w:rsidR="00A30224" w:rsidRPr="005C4AC7" w:rsidRDefault="00A30224" w:rsidP="00155DD2">
            <w:pPr>
              <w:jc w:val="both"/>
            </w:pPr>
            <w:r w:rsidRPr="005C4AC7">
              <w:t>Rapid homogeneous assay format</w:t>
            </w:r>
          </w:p>
        </w:tc>
        <w:tc>
          <w:tcPr>
            <w:tcW w:w="2713" w:type="dxa"/>
            <w:vAlign w:val="center"/>
          </w:tcPr>
          <w:p w14:paraId="4A0A059B" w14:textId="2AA6BCDD" w:rsidR="00A30224" w:rsidRPr="005C4AC7" w:rsidRDefault="00925439" w:rsidP="00155DD2">
            <w:pPr>
              <w:jc w:val="both"/>
              <w:rPr>
                <w:b/>
                <w:bCs/>
              </w:rPr>
            </w:pPr>
            <w:r>
              <w:rPr>
                <w:b/>
                <w:bCs/>
              </w:rPr>
              <w:fldChar w:fldCharType="begin"/>
            </w:r>
            <w:r w:rsidR="007410EB">
              <w:rPr>
                <w:b/>
                <w:bCs/>
              </w:rPr>
              <w:instrText xml:space="preserve"> ADDIN ZOTERO_ITEM CSL_CITATION {"citationID":"z1n9dWl1","properties":{"formattedCitation":"(H. Zhang et al., 2017)","plainCitation":"(H. Zhang et al., 2017)","noteIndex":0},"citationItems":[{"id":1212,"uris":["http://zotero.org/users/local/Xm6IMfD4/items/2LGLHP27"],"itemData":{"id":1212,"type":"article-journal","container-title":"Analytica Chimica Acta","DOI":"10.1016/j.aca.2017.09.010","ISSN":"00032670","journalAbbreviation":"Analytica Chimica Acta","language":"en","page":"119-127","source":"DOI.org (Crossref)","title":"Simple, high efficiency detection of microcystins and nodularin-R in water by fluorescence polarization immunoassay","volume":"992","author":[{"family":"Zhang","given":"Huiyan"},{"family":"Yang","given":"Shupeng"},{"family":"Beier","given":"Ross C."},{"family":"Beloglazova","given":"Natalia V."},{"family":"Lei","given":"Hongtao"},{"family":"Sun","given":"Xiulan"},{"family":"Ke","given":"Yuebin"},{"family":"Zhang","given":"Suxia"},{"family":"Wang","given":"Zhanhui"}],"issued":{"date-parts":[["2017",11]]}}}],"schema":"https://github.com/citation-style-language/schema/raw/master/csl-citation.json"} </w:instrText>
            </w:r>
            <w:r>
              <w:rPr>
                <w:b/>
                <w:bCs/>
              </w:rPr>
              <w:fldChar w:fldCharType="separate"/>
            </w:r>
            <w:r w:rsidR="007410EB" w:rsidRPr="007410EB">
              <w:rPr>
                <w:rFonts w:ascii="Calibri" w:hAnsi="Calibri" w:cs="Calibri"/>
              </w:rPr>
              <w:t>(H. Zhang et al., 2017)</w:t>
            </w:r>
            <w:r>
              <w:rPr>
                <w:b/>
                <w:bCs/>
              </w:rPr>
              <w:fldChar w:fldCharType="end"/>
            </w:r>
          </w:p>
        </w:tc>
      </w:tr>
      <w:tr w:rsidR="00A30224" w:rsidRPr="0058495E" w14:paraId="4258AA2C" w14:textId="77777777" w:rsidTr="00155DD2">
        <w:trPr>
          <w:trHeight w:val="868"/>
        </w:trPr>
        <w:tc>
          <w:tcPr>
            <w:tcW w:w="2917" w:type="dxa"/>
            <w:vAlign w:val="center"/>
          </w:tcPr>
          <w:p w14:paraId="15ABE95B" w14:textId="77777777" w:rsidR="00A30224" w:rsidRPr="005C4AC7" w:rsidRDefault="00A30224" w:rsidP="00155DD2">
            <w:pPr>
              <w:rPr>
                <w:b/>
                <w:bCs/>
              </w:rPr>
            </w:pPr>
            <w:r w:rsidRPr="005C4AC7">
              <w:rPr>
                <w:b/>
                <w:bCs/>
              </w:rPr>
              <w:t>Capillary Electrophoresis (CE)</w:t>
            </w:r>
          </w:p>
        </w:tc>
        <w:tc>
          <w:tcPr>
            <w:tcW w:w="2917" w:type="dxa"/>
            <w:vAlign w:val="center"/>
          </w:tcPr>
          <w:p w14:paraId="7F24184E" w14:textId="77777777" w:rsidR="00A30224" w:rsidRPr="005C4AC7" w:rsidRDefault="00A30224" w:rsidP="00155DD2">
            <w:pPr>
              <w:jc w:val="center"/>
            </w:pPr>
            <w:r w:rsidRPr="005C4AC7">
              <w:t>0.1–1 µg/L</w:t>
            </w:r>
          </w:p>
        </w:tc>
        <w:tc>
          <w:tcPr>
            <w:tcW w:w="3121" w:type="dxa"/>
            <w:vAlign w:val="center"/>
          </w:tcPr>
          <w:p w14:paraId="26C556C8" w14:textId="77777777" w:rsidR="00A30224" w:rsidRPr="005C4AC7" w:rsidRDefault="00A30224" w:rsidP="00155DD2">
            <w:pPr>
              <w:jc w:val="center"/>
            </w:pPr>
            <w:r w:rsidRPr="005C4AC7">
              <w:t>MCs, CYN</w:t>
            </w:r>
          </w:p>
        </w:tc>
        <w:tc>
          <w:tcPr>
            <w:tcW w:w="2713" w:type="dxa"/>
            <w:vAlign w:val="center"/>
          </w:tcPr>
          <w:p w14:paraId="7B9F069A" w14:textId="77777777" w:rsidR="00A30224" w:rsidRPr="005C4AC7" w:rsidRDefault="00A30224" w:rsidP="00155DD2">
            <w:pPr>
              <w:jc w:val="both"/>
            </w:pPr>
            <w:r w:rsidRPr="005C4AC7">
              <w:t>Fast separation; moderate sensitivity</w:t>
            </w:r>
          </w:p>
        </w:tc>
        <w:tc>
          <w:tcPr>
            <w:tcW w:w="2713" w:type="dxa"/>
            <w:vAlign w:val="center"/>
          </w:tcPr>
          <w:p w14:paraId="1ECD3AE2" w14:textId="12EA1B49" w:rsidR="00A30224" w:rsidRPr="005C4AC7" w:rsidRDefault="00925439" w:rsidP="00155DD2">
            <w:pPr>
              <w:jc w:val="both"/>
              <w:rPr>
                <w:b/>
                <w:bCs/>
              </w:rPr>
            </w:pPr>
            <w:r>
              <w:rPr>
                <w:b/>
                <w:bCs/>
              </w:rPr>
              <w:fldChar w:fldCharType="begin"/>
            </w:r>
            <w:r w:rsidR="007410EB">
              <w:rPr>
                <w:b/>
                <w:bCs/>
              </w:rPr>
              <w:instrText xml:space="preserve"> ADDIN ZOTERO_ITEM CSL_CITATION {"citationID":"FaQ2l3Yq","properties":{"formattedCitation":"(Carmona-Molero et al., 2024)","plainCitation":"(Carmona-Molero et al., 2024)","noteIndex":0},"citationItems":[{"id":1213,"uris":["http://zotero.org/users/local/Xm6IMfD4/items/Z6NPXXGD"],"itemData":{"id":1213,"type":"article-journal","container-title":"Journal of Chromatography A","DOI":"10.1016/j.chroma.2024.464666","ISSN":"00219673","journalAbbreviation":"Journal of Chromatography A","language":"en","page":"464666","source":"DOI.org (Crossref)","title":"Capillary electrophoresis tandem mass spectrometry to determine multiclass cyanotoxins in reservoir water and spinach samples","volume":"1717","author":[{"family":"Carmona-Molero","given":"Rocío"},{"family":"Aparicio-Muriana","given":"M. Mar"},{"family":"Lara","given":"Francisco J."},{"family":"García-Campaña","given":"Ana M."},{"family":"Olmo-Iruela","given":"Monsalud Del"}],"issued":{"date-parts":[["2024",2]]}}}],"schema":"https://github.com/citation-style-language/schema/raw/master/csl-citation.json"} </w:instrText>
            </w:r>
            <w:r>
              <w:rPr>
                <w:b/>
                <w:bCs/>
              </w:rPr>
              <w:fldChar w:fldCharType="separate"/>
            </w:r>
            <w:r w:rsidR="007410EB" w:rsidRPr="007410EB">
              <w:rPr>
                <w:rFonts w:ascii="Calibri" w:hAnsi="Calibri" w:cs="Calibri"/>
              </w:rPr>
              <w:t>(Carmona-Molero et al., 2024)</w:t>
            </w:r>
            <w:r>
              <w:rPr>
                <w:b/>
                <w:bCs/>
              </w:rPr>
              <w:fldChar w:fldCharType="end"/>
            </w:r>
          </w:p>
        </w:tc>
      </w:tr>
      <w:tr w:rsidR="00A30224" w:rsidRPr="0058495E" w14:paraId="66694F4A" w14:textId="77777777" w:rsidTr="00155DD2">
        <w:trPr>
          <w:trHeight w:val="868"/>
        </w:trPr>
        <w:tc>
          <w:tcPr>
            <w:tcW w:w="2917" w:type="dxa"/>
            <w:vAlign w:val="center"/>
          </w:tcPr>
          <w:p w14:paraId="5E852B0E" w14:textId="77777777" w:rsidR="00A30224" w:rsidRPr="005C4AC7" w:rsidRDefault="00A30224" w:rsidP="00155DD2">
            <w:pPr>
              <w:rPr>
                <w:b/>
                <w:bCs/>
              </w:rPr>
            </w:pPr>
            <w:r w:rsidRPr="005C4AC7">
              <w:rPr>
                <w:b/>
                <w:bCs/>
              </w:rPr>
              <w:t>MALDI–TOF MS</w:t>
            </w:r>
          </w:p>
        </w:tc>
        <w:tc>
          <w:tcPr>
            <w:tcW w:w="2917" w:type="dxa"/>
            <w:vAlign w:val="center"/>
          </w:tcPr>
          <w:p w14:paraId="35D1A675" w14:textId="77777777" w:rsidR="00A30224" w:rsidRPr="005C4AC7" w:rsidRDefault="00A30224" w:rsidP="00155DD2">
            <w:pPr>
              <w:jc w:val="center"/>
            </w:pPr>
            <w:r w:rsidRPr="005C4AC7">
              <w:t>1–100 ng/L</w:t>
            </w:r>
          </w:p>
        </w:tc>
        <w:tc>
          <w:tcPr>
            <w:tcW w:w="3121" w:type="dxa"/>
            <w:vAlign w:val="center"/>
          </w:tcPr>
          <w:p w14:paraId="46EB9F56" w14:textId="77777777" w:rsidR="00A30224" w:rsidRPr="005C4AC7" w:rsidRDefault="00A30224" w:rsidP="00155DD2">
            <w:pPr>
              <w:jc w:val="center"/>
            </w:pPr>
            <w:r w:rsidRPr="005C4AC7">
              <w:t>MC variants</w:t>
            </w:r>
          </w:p>
        </w:tc>
        <w:tc>
          <w:tcPr>
            <w:tcW w:w="2713" w:type="dxa"/>
            <w:vAlign w:val="center"/>
          </w:tcPr>
          <w:p w14:paraId="584C6EFF" w14:textId="77777777" w:rsidR="00A30224" w:rsidRPr="005C4AC7" w:rsidRDefault="00A30224" w:rsidP="00155DD2">
            <w:pPr>
              <w:jc w:val="both"/>
            </w:pPr>
            <w:r w:rsidRPr="005C4AC7">
              <w:t>Rapid toxin profiling in extracts</w:t>
            </w:r>
          </w:p>
        </w:tc>
        <w:tc>
          <w:tcPr>
            <w:tcW w:w="2713" w:type="dxa"/>
            <w:vAlign w:val="center"/>
          </w:tcPr>
          <w:p w14:paraId="074B14CA" w14:textId="4D4FFF23" w:rsidR="00A30224" w:rsidRPr="005C4AC7" w:rsidRDefault="00925439" w:rsidP="00155DD2">
            <w:pPr>
              <w:jc w:val="both"/>
              <w:rPr>
                <w:b/>
                <w:bCs/>
              </w:rPr>
            </w:pPr>
            <w:r>
              <w:rPr>
                <w:b/>
                <w:bCs/>
              </w:rPr>
              <w:fldChar w:fldCharType="begin"/>
            </w:r>
            <w:r w:rsidR="007410EB">
              <w:rPr>
                <w:b/>
                <w:bCs/>
              </w:rPr>
              <w:instrText xml:space="preserve"> ADDIN ZOTERO_ITEM CSL_CITATION {"citationID":"C6xjOluo","properties":{"formattedCitation":"(Ahuja et al., 2023)","plainCitation":"(Ahuja et al., 2023)","noteIndex":0},"citationItems":[{"id":1215,"uris":["http://zotero.org/users/local/Xm6IMfD4/items/QXCBKUDV"],"itemData":{"id":1215,"type":"article-journal","container-title":"Chemical Research in Toxicology","DOI":"10.1021/acs.chemrestox.3c00241","ISSN":"0893-228X, 1520-5010","issue":"12","journalAbbreviation":"Chem. Res. Toxicol.","language":"en","license":"https://creativecommons.org/licenses/by/4.0/","page":"1834-1863","source":"DOI.org (Crossref)","title":"Recent Advances in the Detection of Food Toxins Using Mass Spectrometry","volume":"36","author":[{"family":"Ahuja","given":"Vishal"},{"family":"Singh","given":"Amanpreet"},{"family":"Paul","given":"Debarati"},{"family":"Dasgupta","given":"Diptarka"},{"family":"Urajová","given":"Petra"},{"family":"Ghosh","given":"Sounak"},{"family":"Singh","given":"Roshani"},{"family":"Sahoo","given":"Gobardhan"},{"family":"Ewe","given":"Daniela"},{"family":"Saurav","given":"Kumar"}],"issued":{"date-parts":[["2023",12,18]]}}}],"schema":"https://github.com/citation-style-language/schema/raw/master/csl-citation.json"} </w:instrText>
            </w:r>
            <w:r>
              <w:rPr>
                <w:b/>
                <w:bCs/>
              </w:rPr>
              <w:fldChar w:fldCharType="separate"/>
            </w:r>
            <w:r w:rsidR="007410EB" w:rsidRPr="007410EB">
              <w:rPr>
                <w:rFonts w:ascii="Calibri" w:hAnsi="Calibri" w:cs="Calibri"/>
              </w:rPr>
              <w:t>(Ahuja et al., 2023)</w:t>
            </w:r>
            <w:r>
              <w:rPr>
                <w:b/>
                <w:bCs/>
              </w:rPr>
              <w:fldChar w:fldCharType="end"/>
            </w:r>
          </w:p>
        </w:tc>
      </w:tr>
      <w:tr w:rsidR="00A30224" w:rsidRPr="0058495E" w14:paraId="6515AFED" w14:textId="77777777" w:rsidTr="00155DD2">
        <w:trPr>
          <w:trHeight w:val="868"/>
        </w:trPr>
        <w:tc>
          <w:tcPr>
            <w:tcW w:w="2917" w:type="dxa"/>
            <w:vAlign w:val="center"/>
          </w:tcPr>
          <w:p w14:paraId="7113B5C7" w14:textId="77777777" w:rsidR="00A30224" w:rsidRPr="005C4AC7" w:rsidRDefault="00A30224" w:rsidP="00155DD2">
            <w:pPr>
              <w:rPr>
                <w:b/>
                <w:bCs/>
              </w:rPr>
            </w:pPr>
            <w:r w:rsidRPr="005C4AC7">
              <w:rPr>
                <w:b/>
                <w:bCs/>
              </w:rPr>
              <w:t>Microfluidic Lab-on-a-Chip Systems</w:t>
            </w:r>
          </w:p>
        </w:tc>
        <w:tc>
          <w:tcPr>
            <w:tcW w:w="2917" w:type="dxa"/>
            <w:vAlign w:val="center"/>
          </w:tcPr>
          <w:p w14:paraId="1C3182B7" w14:textId="77777777" w:rsidR="00A30224" w:rsidRPr="005C4AC7" w:rsidRDefault="00A30224" w:rsidP="00155DD2">
            <w:pPr>
              <w:jc w:val="center"/>
            </w:pPr>
            <w:r w:rsidRPr="005C4AC7">
              <w:t>1–10 ng/L</w:t>
            </w:r>
          </w:p>
        </w:tc>
        <w:tc>
          <w:tcPr>
            <w:tcW w:w="3121" w:type="dxa"/>
            <w:vAlign w:val="center"/>
          </w:tcPr>
          <w:p w14:paraId="32705DDB" w14:textId="77777777" w:rsidR="00A30224" w:rsidRPr="005C4AC7" w:rsidRDefault="00A30224" w:rsidP="00155DD2">
            <w:pPr>
              <w:jc w:val="center"/>
            </w:pPr>
            <w:r w:rsidRPr="005C4AC7">
              <w:t>MC-LR</w:t>
            </w:r>
          </w:p>
        </w:tc>
        <w:tc>
          <w:tcPr>
            <w:tcW w:w="2713" w:type="dxa"/>
            <w:vAlign w:val="center"/>
          </w:tcPr>
          <w:p w14:paraId="1BCD56F4" w14:textId="77777777" w:rsidR="00A30224" w:rsidRPr="005C4AC7" w:rsidRDefault="00A30224" w:rsidP="00155DD2">
            <w:pPr>
              <w:jc w:val="both"/>
            </w:pPr>
            <w:r w:rsidRPr="005C4AC7">
              <w:t>Field-deployable; low reagent consumption</w:t>
            </w:r>
          </w:p>
        </w:tc>
        <w:tc>
          <w:tcPr>
            <w:tcW w:w="2713" w:type="dxa"/>
            <w:vAlign w:val="center"/>
          </w:tcPr>
          <w:p w14:paraId="2F8D918E" w14:textId="7F7D9006" w:rsidR="00A30224" w:rsidRPr="005C4AC7" w:rsidRDefault="00925439" w:rsidP="00155DD2">
            <w:pPr>
              <w:jc w:val="both"/>
              <w:rPr>
                <w:b/>
                <w:bCs/>
              </w:rPr>
            </w:pPr>
            <w:r>
              <w:rPr>
                <w:b/>
                <w:bCs/>
              </w:rPr>
              <w:fldChar w:fldCharType="begin"/>
            </w:r>
            <w:r w:rsidR="007410EB">
              <w:rPr>
                <w:b/>
                <w:bCs/>
              </w:rPr>
              <w:instrText xml:space="preserve"> ADDIN ZOTERO_ITEM CSL_CITATION {"citationID":"G7N9atLx","properties":{"formattedCitation":"(Abedi-Firouzjah et al., 2025)","plainCitation":"(Abedi-Firouzjah et al., 2025)","noteIndex":0},"citationItems":[{"id":1216,"uris":["http://zotero.org/users/local/Xm6IMfD4/items/CZKAZXWE"],"itemData":{"id":1216,"type":"article-journal","container-title":"Food Analytical Methods","DOI":"10.1007/s12161-024-02693-8","ISSN":"1936-9751, 1936-976X","issue":"1","journalAbbreviation":"Food Anal. Methods","language":"en","page":"1-26","source":"DOI.org (Crossref)","title":"Recent Advances in Applications of Aptasensors/Nanomaterials Platform for Food and Biomedical: a Review","title-short":"Recent Advances in Applications of Aptasensors/Nanomaterials Platform for Food and Biomedical","volume":"18","author":[{"family":"Abedi-Firouzjah","given":"Reza"},{"family":"Tavassoli","given":"Milad"},{"family":"Khezerlou","given":"Arezou"},{"family":"Mazaheri","given":"Yeganeh"},{"family":"Alizadeh-Sani","given":"Mahmoud"},{"family":"Ehsani","given":"Ali"},{"family":"Moore","given":"Matthew D."}],"issued":{"date-parts":[["2025",1]]}}}],"schema":"https://github.com/citation-style-language/schema/raw/master/csl-citation.json"} </w:instrText>
            </w:r>
            <w:r>
              <w:rPr>
                <w:b/>
                <w:bCs/>
              </w:rPr>
              <w:fldChar w:fldCharType="separate"/>
            </w:r>
            <w:r w:rsidR="007410EB" w:rsidRPr="007410EB">
              <w:rPr>
                <w:rFonts w:ascii="Calibri" w:hAnsi="Calibri" w:cs="Calibri"/>
              </w:rPr>
              <w:t>(Abedi-Firouzjah et al., 2025)</w:t>
            </w:r>
            <w:r>
              <w:rPr>
                <w:b/>
                <w:bCs/>
              </w:rPr>
              <w:fldChar w:fldCharType="end"/>
            </w:r>
          </w:p>
        </w:tc>
      </w:tr>
      <w:tr w:rsidR="00A30224" w:rsidRPr="0058495E" w14:paraId="2F504207" w14:textId="77777777" w:rsidTr="00155DD2">
        <w:trPr>
          <w:trHeight w:val="868"/>
        </w:trPr>
        <w:tc>
          <w:tcPr>
            <w:tcW w:w="2917" w:type="dxa"/>
            <w:vAlign w:val="center"/>
          </w:tcPr>
          <w:p w14:paraId="0C0B11E9" w14:textId="77777777" w:rsidR="00A30224" w:rsidRPr="005C4AC7" w:rsidRDefault="00A30224" w:rsidP="00155DD2">
            <w:pPr>
              <w:rPr>
                <w:b/>
                <w:bCs/>
              </w:rPr>
            </w:pPr>
            <w:r w:rsidRPr="005C4AC7">
              <w:rPr>
                <w:b/>
                <w:bCs/>
              </w:rPr>
              <w:t>Colorimetric Nanoparticle Sensors</w:t>
            </w:r>
          </w:p>
        </w:tc>
        <w:tc>
          <w:tcPr>
            <w:tcW w:w="2917" w:type="dxa"/>
            <w:vAlign w:val="center"/>
          </w:tcPr>
          <w:p w14:paraId="1FBABFF5" w14:textId="77777777" w:rsidR="00A30224" w:rsidRPr="005C4AC7" w:rsidRDefault="00A30224" w:rsidP="00155DD2">
            <w:pPr>
              <w:jc w:val="center"/>
            </w:pPr>
            <w:r w:rsidRPr="005C4AC7">
              <w:t>5–50 ng/L</w:t>
            </w:r>
          </w:p>
        </w:tc>
        <w:tc>
          <w:tcPr>
            <w:tcW w:w="3121" w:type="dxa"/>
            <w:vAlign w:val="center"/>
          </w:tcPr>
          <w:p w14:paraId="5A62E934" w14:textId="77777777" w:rsidR="00A30224" w:rsidRPr="005C4AC7" w:rsidRDefault="00A30224" w:rsidP="00155DD2">
            <w:pPr>
              <w:jc w:val="center"/>
            </w:pPr>
            <w:r w:rsidRPr="005C4AC7">
              <w:t>MC-LR</w:t>
            </w:r>
          </w:p>
        </w:tc>
        <w:tc>
          <w:tcPr>
            <w:tcW w:w="2713" w:type="dxa"/>
            <w:vAlign w:val="center"/>
          </w:tcPr>
          <w:p w14:paraId="1F994982" w14:textId="77777777" w:rsidR="00A30224" w:rsidRPr="005C4AC7" w:rsidRDefault="00A30224" w:rsidP="00155DD2">
            <w:pPr>
              <w:jc w:val="both"/>
            </w:pPr>
            <w:r w:rsidRPr="005C4AC7">
              <w:t>Visual detection; suitable for rapid screening</w:t>
            </w:r>
          </w:p>
        </w:tc>
        <w:tc>
          <w:tcPr>
            <w:tcW w:w="2713" w:type="dxa"/>
            <w:vAlign w:val="center"/>
          </w:tcPr>
          <w:p w14:paraId="56A5BCFE" w14:textId="253FED21" w:rsidR="00A30224" w:rsidRPr="005C4AC7" w:rsidRDefault="00925439" w:rsidP="00155DD2">
            <w:pPr>
              <w:jc w:val="both"/>
              <w:rPr>
                <w:b/>
                <w:bCs/>
              </w:rPr>
            </w:pPr>
            <w:r>
              <w:rPr>
                <w:b/>
                <w:bCs/>
              </w:rPr>
              <w:fldChar w:fldCharType="begin"/>
            </w:r>
            <w:r w:rsidR="007410EB">
              <w:rPr>
                <w:b/>
                <w:bCs/>
              </w:rPr>
              <w:instrText xml:space="preserve"> ADDIN ZOTERO_ITEM CSL_CITATION {"citationID":"7ks30OxK","properties":{"formattedCitation":"(Yang et al., 2011)","plainCitation":"(Yang et al., 2011)","noteIndex":0},"citationItems":[{"id":476,"uris":["http://zotero.org/users/local/Xm6IMfD4/items/W2BVKL8Z"],"itemData":{"id":476,"type":"article-journal","abstract":"This work presents an aptasensor for Ochratoxin A (OTA) using unmodiﬁed gold nanoparticles (AuNPs) indicator. The assay method is based on the conformation change of OTA’s aptamer in phosphate buffered saline (PBS) containing Mg2+ and OTA, and the phenomenon of salt-induced AuNPs aggregation. A single measurement took only ﬁve minutes. Circular dichroism spectroscopic experiments revealed for the ﬁrst time that upon the addition of OTA, the conformation of OTA’s aptamer in PBS buffer changed from random coil structure to compact rigid antiparallel G-quadruplex structure. This compact rigid Gquadruplex structure could not protect AuNPs against salt-induced aggregation, and thus the color change from red to blue could be observed by the naked eye. The linear range of the colorimetric aptasensor covered a large variation of OTA concentration from 20 to 625 nM and the detection limit of 20 nM (3 ) was obtained.","container-title":"Biosensors and Bioelectronics","DOI":"10.1016/j.bios.2010.09.032","ISSN":"09565663","issue":"5","journalAbbreviation":"Biosensors and Bioelectronics","language":"en","page":"2724-2727","source":"DOI.org (Crossref)","title":"Aptamer-based colorimetric biosensing of Ochratoxin A using unmodified gold nanoparticles indicator","volume":"26","author":[{"family":"Yang","given":"Cheng"},{"family":"Wang","given":"Yong"},{"family":"Marty","given":"Jean-Louis"},{"family":"Yang","given":"Xiurong"}],"issued":{"date-parts":[["2011",1]]}}}],"schema":"https://github.com/citation-style-language/schema/raw/master/csl-citation.json"} </w:instrText>
            </w:r>
            <w:r>
              <w:rPr>
                <w:b/>
                <w:bCs/>
              </w:rPr>
              <w:fldChar w:fldCharType="separate"/>
            </w:r>
            <w:r w:rsidR="007410EB" w:rsidRPr="007410EB">
              <w:rPr>
                <w:rFonts w:ascii="Calibri" w:hAnsi="Calibri" w:cs="Calibri"/>
              </w:rPr>
              <w:t>(Yang et al., 2011)</w:t>
            </w:r>
            <w:r>
              <w:rPr>
                <w:b/>
                <w:bCs/>
              </w:rPr>
              <w:fldChar w:fldCharType="end"/>
            </w:r>
          </w:p>
        </w:tc>
      </w:tr>
      <w:tr w:rsidR="00A30224" w:rsidRPr="0058495E" w14:paraId="2199F961" w14:textId="77777777" w:rsidTr="00155DD2">
        <w:trPr>
          <w:trHeight w:val="868"/>
        </w:trPr>
        <w:tc>
          <w:tcPr>
            <w:tcW w:w="2917" w:type="dxa"/>
            <w:vAlign w:val="center"/>
          </w:tcPr>
          <w:p w14:paraId="3501D3A5" w14:textId="77777777" w:rsidR="00A30224" w:rsidRPr="005C4AC7" w:rsidRDefault="00A30224" w:rsidP="00155DD2">
            <w:pPr>
              <w:rPr>
                <w:b/>
                <w:bCs/>
              </w:rPr>
            </w:pPr>
            <w:r w:rsidRPr="005C4AC7">
              <w:rPr>
                <w:b/>
                <w:bCs/>
              </w:rPr>
              <w:t>Fluorescence Resonance Energy Transfer (FRET) Sensor</w:t>
            </w:r>
          </w:p>
        </w:tc>
        <w:tc>
          <w:tcPr>
            <w:tcW w:w="2917" w:type="dxa"/>
            <w:vAlign w:val="center"/>
          </w:tcPr>
          <w:p w14:paraId="22213743" w14:textId="77777777" w:rsidR="00A30224" w:rsidRPr="005C4AC7" w:rsidRDefault="00A30224" w:rsidP="00155DD2">
            <w:pPr>
              <w:jc w:val="center"/>
            </w:pPr>
            <w:r w:rsidRPr="005C4AC7">
              <w:t>0.1–5 ng/L</w:t>
            </w:r>
          </w:p>
        </w:tc>
        <w:tc>
          <w:tcPr>
            <w:tcW w:w="3121" w:type="dxa"/>
            <w:vAlign w:val="center"/>
          </w:tcPr>
          <w:p w14:paraId="6F51C267" w14:textId="77777777" w:rsidR="00A30224" w:rsidRPr="005C4AC7" w:rsidRDefault="00A30224" w:rsidP="00155DD2">
            <w:pPr>
              <w:jc w:val="center"/>
            </w:pPr>
            <w:r w:rsidRPr="005C4AC7">
              <w:t>MC-LR</w:t>
            </w:r>
          </w:p>
        </w:tc>
        <w:tc>
          <w:tcPr>
            <w:tcW w:w="2713" w:type="dxa"/>
            <w:vAlign w:val="center"/>
          </w:tcPr>
          <w:p w14:paraId="2E9BEB0C" w14:textId="77777777" w:rsidR="00A30224" w:rsidRPr="005C4AC7" w:rsidRDefault="00A30224" w:rsidP="00155DD2">
            <w:pPr>
              <w:jc w:val="both"/>
            </w:pPr>
            <w:r w:rsidRPr="005C4AC7">
              <w:t>Highly sensitive fluorescence-based detection</w:t>
            </w:r>
          </w:p>
        </w:tc>
        <w:tc>
          <w:tcPr>
            <w:tcW w:w="2713" w:type="dxa"/>
            <w:vAlign w:val="center"/>
          </w:tcPr>
          <w:p w14:paraId="2E94E821" w14:textId="50DEDA5C" w:rsidR="00A30224" w:rsidRPr="005C4AC7" w:rsidRDefault="00D674E4" w:rsidP="00155DD2">
            <w:pPr>
              <w:jc w:val="both"/>
              <w:rPr>
                <w:b/>
                <w:bCs/>
              </w:rPr>
            </w:pPr>
            <w:r>
              <w:rPr>
                <w:b/>
                <w:bCs/>
              </w:rPr>
              <w:fldChar w:fldCharType="begin"/>
            </w:r>
            <w:r w:rsidR="007410EB">
              <w:rPr>
                <w:b/>
                <w:bCs/>
              </w:rPr>
              <w:instrText xml:space="preserve"> ADDIN ZOTERO_ITEM CSL_CITATION {"citationID":"Rh9ws7rB","properties":{"formattedCitation":"(Lee &amp; Son, 2019)","plainCitation":"(Lee &amp; Son, 2019)","noteIndex":0},"citationItems":[{"id":1217,"uris":["http://zotero.org/users/local/Xm6IMfD4/items/SRP7BC63"],"itemData":{"id":1217,"type":"article-journal","container-title":"Chemical Engineering Journal","DOI":"10.1016/j.cej.2018.11.027","ISSN":"13858947","journalAbbreviation":"Chemical Engineering Journal","language":"en","page":"1493-1501","source":"DOI.org (Crossref)","title":"Fluorescence resonance energy transfer based quantum dot-Aptasensor for the selective detection of microcystin-LR in eutrophic water","volume":"359","author":[{"family":"Lee","given":"Eun-Hee"},{"family":"Son","given":"Ahjeong"}],"issued":{"date-parts":[["2019",3]]}}}],"schema":"https://github.com/citation-style-language/schema/raw/master/csl-citation.json"} </w:instrText>
            </w:r>
            <w:r>
              <w:rPr>
                <w:b/>
                <w:bCs/>
              </w:rPr>
              <w:fldChar w:fldCharType="separate"/>
            </w:r>
            <w:r w:rsidR="007410EB" w:rsidRPr="007410EB">
              <w:rPr>
                <w:rFonts w:ascii="Calibri" w:hAnsi="Calibri" w:cs="Calibri"/>
              </w:rPr>
              <w:t>(Lee &amp; Son, 2019)</w:t>
            </w:r>
            <w:r>
              <w:rPr>
                <w:b/>
                <w:bCs/>
              </w:rPr>
              <w:fldChar w:fldCharType="end"/>
            </w:r>
          </w:p>
        </w:tc>
      </w:tr>
      <w:tr w:rsidR="00A30224" w:rsidRPr="0058495E" w14:paraId="2982416D" w14:textId="77777777" w:rsidTr="00155DD2">
        <w:trPr>
          <w:trHeight w:val="868"/>
        </w:trPr>
        <w:tc>
          <w:tcPr>
            <w:tcW w:w="2917" w:type="dxa"/>
            <w:vAlign w:val="center"/>
          </w:tcPr>
          <w:p w14:paraId="2B00CB57" w14:textId="77777777" w:rsidR="00A30224" w:rsidRPr="005C4AC7" w:rsidRDefault="00A30224" w:rsidP="00155DD2">
            <w:pPr>
              <w:rPr>
                <w:b/>
                <w:bCs/>
              </w:rPr>
            </w:pPr>
            <w:r w:rsidRPr="005C4AC7">
              <w:rPr>
                <w:b/>
                <w:bCs/>
              </w:rPr>
              <w:t>Chemiluminescent Immunosensor</w:t>
            </w:r>
          </w:p>
        </w:tc>
        <w:tc>
          <w:tcPr>
            <w:tcW w:w="2917" w:type="dxa"/>
            <w:vAlign w:val="center"/>
          </w:tcPr>
          <w:p w14:paraId="58859EEC" w14:textId="77777777" w:rsidR="00A30224" w:rsidRPr="005C4AC7" w:rsidRDefault="00A30224" w:rsidP="00155DD2">
            <w:pPr>
              <w:jc w:val="center"/>
            </w:pPr>
            <w:r w:rsidRPr="005C4AC7">
              <w:t>0.01–1 ng/L</w:t>
            </w:r>
          </w:p>
        </w:tc>
        <w:tc>
          <w:tcPr>
            <w:tcW w:w="3121" w:type="dxa"/>
            <w:vAlign w:val="center"/>
          </w:tcPr>
          <w:p w14:paraId="192EA72B" w14:textId="77777777" w:rsidR="00A30224" w:rsidRPr="005C4AC7" w:rsidRDefault="00A30224" w:rsidP="00155DD2">
            <w:pPr>
              <w:jc w:val="center"/>
            </w:pPr>
            <w:r w:rsidRPr="005C4AC7">
              <w:t>MC-LR</w:t>
            </w:r>
          </w:p>
        </w:tc>
        <w:tc>
          <w:tcPr>
            <w:tcW w:w="2713" w:type="dxa"/>
            <w:vAlign w:val="center"/>
          </w:tcPr>
          <w:p w14:paraId="2DCFD186" w14:textId="77777777" w:rsidR="00A30224" w:rsidRPr="005C4AC7" w:rsidRDefault="00A30224" w:rsidP="00155DD2">
            <w:pPr>
              <w:jc w:val="both"/>
            </w:pPr>
            <w:r w:rsidRPr="005C4AC7">
              <w:t>Enhanced signal intensity; high analytical sensitivity</w:t>
            </w:r>
          </w:p>
        </w:tc>
        <w:tc>
          <w:tcPr>
            <w:tcW w:w="2713" w:type="dxa"/>
            <w:vAlign w:val="center"/>
          </w:tcPr>
          <w:p w14:paraId="18A5BE4D" w14:textId="385CF28A" w:rsidR="00A30224" w:rsidRPr="005C4AC7" w:rsidRDefault="00D674E4" w:rsidP="00155DD2">
            <w:pPr>
              <w:jc w:val="both"/>
              <w:rPr>
                <w:b/>
                <w:bCs/>
              </w:rPr>
            </w:pPr>
            <w:r>
              <w:rPr>
                <w:b/>
                <w:bCs/>
              </w:rPr>
              <w:fldChar w:fldCharType="begin"/>
            </w:r>
            <w:r w:rsidR="007410EB">
              <w:rPr>
                <w:b/>
                <w:bCs/>
              </w:rPr>
              <w:instrText xml:space="preserve"> ADDIN ZOTERO_ITEM CSL_CITATION {"citationID":"BAluo0Am","properties":{"formattedCitation":"(Pang et al., 2020)","plainCitation":"(Pang et al., 2020)","noteIndex":0},"citationItems":[{"id":1218,"uris":["http://zotero.org/users/local/Xm6IMfD4/items/6YUGDE46"],"itemData":{"id":1218,"type":"article-journal","abstract":"Abstract\n            Microcystins are a class of toxins that are mainly produced by cyanobacteria and among them, microcystin-leucine arginine (microcystin-LR) is one of the most toxic and harmful of the fresh water toxins causing many accidents and threats to human health. The detection of microcystin-LR in drinking water and environmental water samples is therefore crucial. To date, methods such as high performance liquid chromatography, protein phosphatase inhibition assay, enzyme-linked immunosorbent assay, and Raman spectroscopy have been employed to monitor microcystin-LR levels. Although these techniques are precise and sensitive, they require expensive instrumentation, well-trained personnel and involve time-consuming processes meaning that their application is generally limited to well-resourced and centralized laboratory facilities. Among the emerging microcystin-LR detection methods, biosensors have received great attention because of their remarkable sensitivity, selectivity, and simplicity. In this review, we will discuss the current state-of-the-art microcystin-LR biosensing platforms, and evaluate the advantages and limitations of typical transduction technologies to identify the most efficient detection system for the potentially harmful cyanobacteria.","container-title":"Bulletin of the Chemical Society of Japan","DOI":"10.1246/bcsj.20190365","ISSN":"0009-2673, 1348-0634","issue":"5","language":"en","license":"https://academic.oup.com/pages/standard-publication-reuse-rights","page":"637-646","source":"DOI.org (Crossref)","title":"Recent Advancement of Biosensor Technology for the Detection of Microcystin-LR","volume":"93","author":[{"family":"Pang","given":"Pengfei"},{"family":"Lai","given":"Yanqiong"},{"family":"Zhang","given":"Yanli"},{"family":"Wang","given":"Hongbin"},{"family":"Conlan","given":"Xavier A"},{"family":"Barrow","given":"Colin J"},{"family":"Yang","given":"Wenrong"}],"issued":{"date-parts":[["2020",5,15]]}}}],"schema":"https://github.com/citation-style-language/schema/raw/master/csl-citation.json"} </w:instrText>
            </w:r>
            <w:r>
              <w:rPr>
                <w:b/>
                <w:bCs/>
              </w:rPr>
              <w:fldChar w:fldCharType="separate"/>
            </w:r>
            <w:r w:rsidR="007410EB" w:rsidRPr="007410EB">
              <w:rPr>
                <w:rFonts w:ascii="Calibri" w:hAnsi="Calibri" w:cs="Calibri"/>
              </w:rPr>
              <w:t>(Pang et al., 2020)</w:t>
            </w:r>
            <w:r>
              <w:rPr>
                <w:b/>
                <w:bCs/>
              </w:rPr>
              <w:fldChar w:fldCharType="end"/>
            </w:r>
          </w:p>
        </w:tc>
      </w:tr>
      <w:tr w:rsidR="00A30224" w:rsidRPr="0058495E" w14:paraId="43E7CA4E" w14:textId="77777777" w:rsidTr="00155DD2">
        <w:trPr>
          <w:trHeight w:val="868"/>
        </w:trPr>
        <w:tc>
          <w:tcPr>
            <w:tcW w:w="2917" w:type="dxa"/>
            <w:vAlign w:val="center"/>
          </w:tcPr>
          <w:p w14:paraId="0514C7F2" w14:textId="77777777" w:rsidR="00A30224" w:rsidRPr="005C4AC7" w:rsidRDefault="00A30224" w:rsidP="00155DD2">
            <w:pPr>
              <w:rPr>
                <w:b/>
                <w:bCs/>
              </w:rPr>
            </w:pPr>
            <w:r w:rsidRPr="005C4AC7">
              <w:rPr>
                <w:b/>
                <w:bCs/>
              </w:rPr>
              <w:lastRenderedPageBreak/>
              <w:t>Quartz Crystal Microbalance (QCM) Biosensor</w:t>
            </w:r>
          </w:p>
        </w:tc>
        <w:tc>
          <w:tcPr>
            <w:tcW w:w="2917" w:type="dxa"/>
            <w:vAlign w:val="center"/>
          </w:tcPr>
          <w:p w14:paraId="09473E1F" w14:textId="77777777" w:rsidR="00A30224" w:rsidRPr="005C4AC7" w:rsidRDefault="00A30224" w:rsidP="00155DD2">
            <w:pPr>
              <w:jc w:val="center"/>
            </w:pPr>
            <w:r w:rsidRPr="005C4AC7">
              <w:t>1–10 ng/L</w:t>
            </w:r>
          </w:p>
        </w:tc>
        <w:tc>
          <w:tcPr>
            <w:tcW w:w="3121" w:type="dxa"/>
            <w:vAlign w:val="center"/>
          </w:tcPr>
          <w:p w14:paraId="0D26EF60" w14:textId="77777777" w:rsidR="00A30224" w:rsidRPr="005C4AC7" w:rsidRDefault="00A30224" w:rsidP="00155DD2">
            <w:pPr>
              <w:jc w:val="center"/>
            </w:pPr>
            <w:r w:rsidRPr="005C4AC7">
              <w:t>MC-LR</w:t>
            </w:r>
          </w:p>
        </w:tc>
        <w:tc>
          <w:tcPr>
            <w:tcW w:w="2713" w:type="dxa"/>
            <w:vAlign w:val="center"/>
          </w:tcPr>
          <w:p w14:paraId="29B9EDA0" w14:textId="77777777" w:rsidR="00A30224" w:rsidRPr="005C4AC7" w:rsidRDefault="00A30224" w:rsidP="00155DD2">
            <w:pPr>
              <w:jc w:val="both"/>
            </w:pPr>
            <w:r w:rsidRPr="005C4AC7">
              <w:t>Mass-sensitive detection; real-time analysis</w:t>
            </w:r>
          </w:p>
        </w:tc>
        <w:tc>
          <w:tcPr>
            <w:tcW w:w="2713" w:type="dxa"/>
            <w:vAlign w:val="center"/>
          </w:tcPr>
          <w:p w14:paraId="5CDDCBFF" w14:textId="68C1141E" w:rsidR="00A30224" w:rsidRPr="005C4AC7" w:rsidRDefault="00D674E4" w:rsidP="00155DD2">
            <w:pPr>
              <w:jc w:val="both"/>
              <w:rPr>
                <w:b/>
                <w:bCs/>
              </w:rPr>
            </w:pPr>
            <w:r>
              <w:rPr>
                <w:b/>
                <w:bCs/>
              </w:rPr>
              <w:fldChar w:fldCharType="begin"/>
            </w:r>
            <w:r w:rsidR="007410EB">
              <w:rPr>
                <w:b/>
                <w:bCs/>
              </w:rPr>
              <w:instrText xml:space="preserve"> ADDIN ZOTERO_ITEM CSL_CITATION {"citationID":"LHQ2qrUo","properties":{"formattedCitation":"(Hou et al., 2016)","plainCitation":"(Hou et al., 2016)","noteIndex":0},"citationItems":[{"id":1219,"uris":["http://zotero.org/users/local/Xm6IMfD4/items/2CT7PSI9"],"itemData":{"id":1219,"type":"article-journal","container-title":"Sensors and Actuators B: Chemical","DOI":"10.1016/j.snb.2016.04.034","ISSN":"09254005","journalAbbreviation":"Sensors and Actuators B: Chemical","language":"en","page":"63-70","source":"DOI.org (Crossref)","title":"An ultrasensitive competitive immunosensor for impedimetric detection of microcystin-LR via antibody-conjugated enzymatic biocatalytic precipitation","volume":"233","author":[{"family":"Hou","given":"Li"},{"family":"Ding","given":"Yunhua"},{"family":"Zhang","given":"Lili"},{"family":"Guo","given":"Yuan"},{"family":"Li","given":"Minsheng"},{"family":"Chen","given":"Zhen"},{"family":"Wu","given":"Xiaoping"}],"issued":{"date-parts":[["2016",10]]}}}],"schema":"https://github.com/citation-style-language/schema/raw/master/csl-citation.json"} </w:instrText>
            </w:r>
            <w:r>
              <w:rPr>
                <w:b/>
                <w:bCs/>
              </w:rPr>
              <w:fldChar w:fldCharType="separate"/>
            </w:r>
            <w:r w:rsidR="007410EB" w:rsidRPr="007410EB">
              <w:rPr>
                <w:rFonts w:ascii="Calibri" w:hAnsi="Calibri" w:cs="Calibri"/>
              </w:rPr>
              <w:t>(Hou et al., 2016)</w:t>
            </w:r>
            <w:r>
              <w:rPr>
                <w:b/>
                <w:bCs/>
              </w:rPr>
              <w:fldChar w:fldCharType="end"/>
            </w:r>
          </w:p>
        </w:tc>
      </w:tr>
    </w:tbl>
    <w:p w14:paraId="2D79D493" w14:textId="77777777" w:rsidR="00816CBD" w:rsidRDefault="00816CBD" w:rsidP="002D575D">
      <w:pPr>
        <w:jc w:val="both"/>
        <w:rPr>
          <w:rFonts w:ascii="Arial" w:hAnsi="Arial" w:cs="Arial"/>
          <w:sz w:val="20"/>
          <w:szCs w:val="20"/>
        </w:rPr>
      </w:pPr>
    </w:p>
    <w:p w14:paraId="00C13CB9" w14:textId="77777777" w:rsidR="00A30224" w:rsidRDefault="00A30224" w:rsidP="002D575D">
      <w:pPr>
        <w:jc w:val="both"/>
        <w:rPr>
          <w:rFonts w:ascii="Arial" w:hAnsi="Arial" w:cs="Arial"/>
          <w:sz w:val="20"/>
          <w:szCs w:val="20"/>
        </w:rPr>
        <w:sectPr w:rsidR="00A30224" w:rsidSect="00DA0F27">
          <w:type w:val="continuous"/>
          <w:pgSz w:w="16838" w:h="11906" w:orient="landscape"/>
          <w:pgMar w:top="1440" w:right="1440" w:bottom="1440" w:left="1440" w:header="708" w:footer="708" w:gutter="0"/>
          <w:cols w:space="708"/>
          <w:docGrid w:linePitch="360"/>
        </w:sectPr>
      </w:pPr>
    </w:p>
    <w:p w14:paraId="105A470C" w14:textId="77777777" w:rsidR="00816CBD" w:rsidRDefault="00816CBD" w:rsidP="00DB0FB2">
      <w:pPr>
        <w:jc w:val="both"/>
        <w:rPr>
          <w:rFonts w:ascii="Arial" w:hAnsi="Arial" w:cs="Arial"/>
          <w:sz w:val="20"/>
          <w:szCs w:val="20"/>
        </w:rPr>
      </w:pPr>
    </w:p>
    <w:p w14:paraId="59A98BE5" w14:textId="10717CB0" w:rsidR="00E95760" w:rsidRPr="00605B5D" w:rsidRDefault="00913A69" w:rsidP="00605B5D">
      <w:pPr>
        <w:pStyle w:val="ListParagraph"/>
        <w:numPr>
          <w:ilvl w:val="0"/>
          <w:numId w:val="2"/>
        </w:numPr>
        <w:jc w:val="both"/>
        <w:rPr>
          <w:rFonts w:ascii="Arial" w:hAnsi="Arial" w:cs="Arial"/>
          <w:b/>
          <w:bCs/>
        </w:rPr>
      </w:pPr>
      <w:r w:rsidRPr="00605B5D">
        <w:rPr>
          <w:rFonts w:ascii="Arial" w:hAnsi="Arial" w:cs="Arial"/>
          <w:b/>
          <w:bCs/>
        </w:rPr>
        <w:t>DISCUSSION</w:t>
      </w:r>
    </w:p>
    <w:p w14:paraId="5868C5D4" w14:textId="2AC9D0A0" w:rsidR="00E95760" w:rsidRPr="00805047" w:rsidRDefault="00E95760" w:rsidP="00325E74">
      <w:pPr>
        <w:ind w:left="567"/>
        <w:jc w:val="both"/>
        <w:rPr>
          <w:rFonts w:ascii="Arial" w:hAnsi="Arial" w:cs="Arial"/>
          <w:sz w:val="20"/>
          <w:szCs w:val="20"/>
        </w:rPr>
      </w:pPr>
      <w:r w:rsidRPr="00805047">
        <w:rPr>
          <w:rFonts w:ascii="Arial" w:hAnsi="Arial" w:cs="Arial"/>
          <w:sz w:val="20"/>
          <w:szCs w:val="20"/>
        </w:rPr>
        <w:t xml:space="preserve">The comparative assessment of cyanotoxin detection technologies demonstrates substantial variation in analytical sensitivity, specificity, operational complexity, and suitability for regulatory implementation. As summarized in Table </w:t>
      </w:r>
      <w:r w:rsidR="00D674E4">
        <w:rPr>
          <w:rFonts w:ascii="Arial" w:hAnsi="Arial" w:cs="Arial"/>
          <w:sz w:val="20"/>
          <w:szCs w:val="20"/>
        </w:rPr>
        <w:t>3</w:t>
      </w:r>
      <w:r w:rsidRPr="00805047">
        <w:rPr>
          <w:rFonts w:ascii="Arial" w:hAnsi="Arial" w:cs="Arial"/>
          <w:sz w:val="20"/>
          <w:szCs w:val="20"/>
        </w:rPr>
        <w:t xml:space="preserve">, detection limits span several orders of magnitude, ranging from sub-ng/L levels for advanced mass spectrometric techniques to µg/L levels for conventional chromatographic and colorimetric methods. This broad analytical spectrum reflects both technological evolution and the diverse objectives of monitoring programs, from rapid screening to confirmatory quantification. Liquid chromatography coupled with tandem mass spectrometry (LC–MS/MS) consistently exhibits the highest analytical sensitivity among targeted methods, with reported limits of detection (LOD) commonly between 0.01 and 0.5 ng/L for </w:t>
      </w:r>
      <w:proofErr w:type="spellStart"/>
      <w:r w:rsidRPr="00805047">
        <w:rPr>
          <w:rFonts w:ascii="Arial" w:hAnsi="Arial" w:cs="Arial"/>
          <w:sz w:val="20"/>
          <w:szCs w:val="20"/>
        </w:rPr>
        <w:t>microcystins</w:t>
      </w:r>
      <w:proofErr w:type="spellEnd"/>
      <w:r w:rsidRPr="00805047">
        <w:rPr>
          <w:rFonts w:ascii="Arial" w:hAnsi="Arial" w:cs="Arial"/>
          <w:sz w:val="20"/>
          <w:szCs w:val="20"/>
        </w:rPr>
        <w:t xml:space="preserve"> and other cyanotoxins. Such sensitivity is well below the provisional guideline value of 1 µg/L for microcystin-LR in drinking water established by the World Health Organization and documented in Toxic Cyanobacteria in Water. The capacity of LC–MS/MS to simultaneously quantify multiple congeners with structural confirmation renders it the current reference method for regulatory and research applications. High-resolution mass spectrometry (HRMS), including Orbitrap and QTOF platforms, further enhances analytical coverage by enabling suspect and non-target screening, thereby addressing the growing recognition of structurally diverse and emerging cyanotoxin analogues reported in journals such as Water Research and Toxins.</w:t>
      </w:r>
    </w:p>
    <w:p w14:paraId="467A3699" w14:textId="4F4710E6" w:rsidR="00E95760" w:rsidRPr="00805047" w:rsidRDefault="00E95760" w:rsidP="00325E74">
      <w:pPr>
        <w:ind w:left="567"/>
        <w:jc w:val="both"/>
        <w:rPr>
          <w:rFonts w:ascii="Arial" w:hAnsi="Arial" w:cs="Arial"/>
          <w:sz w:val="20"/>
          <w:szCs w:val="20"/>
        </w:rPr>
      </w:pPr>
      <w:r w:rsidRPr="00805047">
        <w:rPr>
          <w:rFonts w:ascii="Arial" w:hAnsi="Arial" w:cs="Arial"/>
          <w:sz w:val="20"/>
          <w:szCs w:val="20"/>
        </w:rPr>
        <w:t xml:space="preserve">Conventional chromatographic techniques such as HPLC–UV typically exhibit LODs in the range of 0.5–1 µg/L, reflecting comparatively lower sensitivity and susceptibility to matrix interference. Fluorescence detection following derivatization improves sensitivity to approximately 0.02–0.1 µg/L, yet remains inferior to MS-based platforms in terms of structural specificity. These methods, while historically significant, are increasingly limited to supplementary or resource-constrained applications. Immunochemical assays, particularly ELISA, generally achieve LODs around 0.05–0.1 µg/L for </w:t>
      </w:r>
      <w:proofErr w:type="spellStart"/>
      <w:r w:rsidRPr="00805047">
        <w:rPr>
          <w:rFonts w:ascii="Arial" w:hAnsi="Arial" w:cs="Arial"/>
          <w:sz w:val="20"/>
          <w:szCs w:val="20"/>
        </w:rPr>
        <w:t>microcystins</w:t>
      </w:r>
      <w:proofErr w:type="spellEnd"/>
      <w:r w:rsidRPr="00805047">
        <w:rPr>
          <w:rFonts w:ascii="Arial" w:hAnsi="Arial" w:cs="Arial"/>
          <w:sz w:val="20"/>
          <w:szCs w:val="20"/>
        </w:rPr>
        <w:t>. Although adequate for screening relative to health-based guideline thresholds, cross-reactivity among congeners may result in overestimation of total toxin concentrations. Protein phosphatase inhibition assays demonstrate similar sensitivity (~0.1 µg/L) but measure functional toxicity rather than specific molecular identity. As discussed in Harmful Algae, such bioassays provide useful hazard indication but lack the analytical resolution required for detailed congener profiling. Emerging biosensor technologies display highly variable but often impressive sensitivity. Electrochemical immunosensors and aptamer-based sensors frequently report LODs between 0.1 and 5 ng/L, approaching those of chromatographic–mass spectrometric techniques under controlled conditions</w:t>
      </w:r>
      <w:r w:rsidR="00D674E4">
        <w:rPr>
          <w:rFonts w:ascii="Arial" w:hAnsi="Arial" w:cs="Arial"/>
          <w:sz w:val="20"/>
          <w:szCs w:val="20"/>
        </w:rPr>
        <w:fldChar w:fldCharType="begin"/>
      </w:r>
      <w:r w:rsidR="007410EB">
        <w:rPr>
          <w:rFonts w:ascii="Arial" w:hAnsi="Arial" w:cs="Arial"/>
          <w:sz w:val="20"/>
          <w:szCs w:val="20"/>
        </w:rPr>
        <w:instrText xml:space="preserve"> ADDIN ZOTERO_ITEM CSL_CITATION {"citationID":"wdGI9kIg","properties":{"formattedCitation":"(Xie et al., 2025)","plainCitation":"(Xie et al., 2025)","noteIndex":0},"citationItems":[{"id":1220,"uris":["http://zotero.org/users/local/Xm6IMfD4/items/FCCC4SZP"],"itemData":{"id":1220,"type":"article-journal","abstract":"This review surveys recent progress in electrochemical aptasensors for organic pollutants, covering sensor design, aptamer choice, transduction, applications, performance, and real-sample use, with future prospects in stability and portability.\n          , \n            \n              Emerging organic pollutants (EOPs), encompassing a vast array of substances like pharmaceuticals, pesticides, endocrine disruptors, and industrial chemicals, pose a significant threat to environmental integrity and human health. Traditional analytical methods for their detection, while accurate, are often laboratory-bound, costly, and time-consuming, hindering effective environmental monitoring. Electrochemical aptasensors (hereafter, ‘aptasensors’) have surfaced as a highly promising alternative, merging the high sensitivity, potential for portability, and cost-effectiveness of electrochemical transduction with the specific molecular recognition capabilities and stability of aptamers – short, synthetic nucleic acid sequences. This review comprehensively examines the fundamental principles underpinning these sensors, including aptamer selection methodologies like SELEX, particularly addressing the challenges associated with small molecule targets characteristic of many EOPs. It delves into various electrochemical transduction mechanisms such as voltammetry, impedance spectroscopy, and electrochemiluminescence, alongside critical aptamer immobilization techniques onto electrode surfaces. The significant role of diverse nanomaterials (\n              e.g.\n              , gold nanoparticles, carbon-based materials, metal oxides, and MOFs) in enhancing sensor performance through increased surface area, improved conductivity, and signal amplification is thoroughly discussed. Furthermore, this review surveys recent advancements and applications of these aptasensors for detecting key classes of EOPs in environmental matrices like water and soil, critically evaluating reported analytical performance metrics like limits of detection and selectivity.","container-title":"Analytical Methods","DOI":"10.1039/D5AY01084E","ISSN":"1759-9660, 1759-9679","issue":"38","journalAbbreviation":"Anal. Methods","language":"en","page":"7586-7607","source":"DOI.org (Crossref)","title":"Electrochemical aptasensing strategies for emerging organic pollutants in environmental analysis","volume":"17","author":[{"family":"Xie","given":"Anyou"},{"family":"Wu","given":"Weihong"},{"family":"Jin","given":"Meiqing"}],"issued":{"date-parts":[["2025"]]}}}],"schema":"https://github.com/citation-style-language/schema/raw/master/csl-citation.json"} </w:instrText>
      </w:r>
      <w:r w:rsidR="00D674E4">
        <w:rPr>
          <w:rFonts w:ascii="Arial" w:hAnsi="Arial" w:cs="Arial"/>
          <w:sz w:val="20"/>
          <w:szCs w:val="20"/>
        </w:rPr>
        <w:fldChar w:fldCharType="separate"/>
      </w:r>
      <w:r w:rsidR="007410EB" w:rsidRPr="007410EB">
        <w:rPr>
          <w:rFonts w:ascii="Arial" w:hAnsi="Arial" w:cs="Arial"/>
          <w:sz w:val="20"/>
        </w:rPr>
        <w:t>(Xie et al., 2025)</w:t>
      </w:r>
      <w:r w:rsidR="00D674E4">
        <w:rPr>
          <w:rFonts w:ascii="Arial" w:hAnsi="Arial" w:cs="Arial"/>
          <w:sz w:val="20"/>
          <w:szCs w:val="20"/>
        </w:rPr>
        <w:fldChar w:fldCharType="end"/>
      </w:r>
      <w:r w:rsidRPr="00805047">
        <w:rPr>
          <w:rFonts w:ascii="Arial" w:hAnsi="Arial" w:cs="Arial"/>
          <w:sz w:val="20"/>
          <w:szCs w:val="20"/>
        </w:rPr>
        <w:t xml:space="preserve">. Chemiluminescent and fluorescence resonance energy transfer (FRET)-based systems have demonstrated detection limits as low as 0.01–1 ng/L. Surface-enhanced Raman spectroscopy (SERS) platforms, leveraging nanostructured substrates, may achieve LODs in the 0.01–1 ng/L range, positioning them among the most sensitive reported methods. However, reproducibility, substrate stability, and matrix interference remain critical barriers to routine environmental implementation. Surface plasmon resonance (SPR) and quartz crystal microbalance (QCM) biosensors typically exhibit LODs between 1 and 70 ng/L, offering real-time and label-free detection capabilities. Microfluidic lab-on-a-chip systems similarly report detection limits around 1–10 ng/L, with the added advantages of reduced reagent consumption and portability. Colorimetric nanoparticle-based assays, while attractive for rapid field screening, generally present higher detection limits (5–50 ng/L), limiting their utility for ultra-trace quantification. </w:t>
      </w:r>
    </w:p>
    <w:p w14:paraId="598D6A97" w14:textId="77777777" w:rsidR="00E95760" w:rsidRPr="00805047" w:rsidRDefault="00E95760" w:rsidP="00325E74">
      <w:pPr>
        <w:ind w:left="567"/>
        <w:jc w:val="both"/>
        <w:rPr>
          <w:rFonts w:ascii="Arial" w:hAnsi="Arial" w:cs="Arial"/>
          <w:sz w:val="20"/>
          <w:szCs w:val="20"/>
        </w:rPr>
      </w:pPr>
      <w:r w:rsidRPr="00805047">
        <w:rPr>
          <w:rFonts w:ascii="Arial" w:hAnsi="Arial" w:cs="Arial"/>
          <w:sz w:val="20"/>
          <w:szCs w:val="20"/>
        </w:rPr>
        <w:t xml:space="preserve">Overall, the comparative limits of detection (LODs) indicate that no single analytical platform simultaneously satisfies all essential performance criteria, including ultra-trace sensitivity, structural specificity, operational cost-efficiency, portability, and comprehensive multi-toxin capability. Each methodological category presents inherent trade-offs between analytical precision and practical applicability. Therefore, a tiered monitoring framework represents the most rational strategy. In this approach, rapid immunochemical assays or sensor-based technologies are employed for preliminary screening and early risk identification, whereas confirmatory analysis using liquid chromatography–tandem mass spectrometry (LC–MS/MS) ensures accurate quantification and congener-specific structural verification. Harmonization of analytical validation protocols, standardized quality </w:t>
      </w:r>
      <w:r w:rsidRPr="00805047">
        <w:rPr>
          <w:rFonts w:ascii="Arial" w:hAnsi="Arial" w:cs="Arial"/>
          <w:sz w:val="20"/>
          <w:szCs w:val="20"/>
        </w:rPr>
        <w:lastRenderedPageBreak/>
        <w:t>assurance procedures, and interlaboratory calibration remains imperative to guarantee reproducibility and global comparability of cyanotoxin monitoring data.</w:t>
      </w:r>
    </w:p>
    <w:p w14:paraId="213F08FC" w14:textId="50480FE2" w:rsidR="00E95760" w:rsidRPr="00805047" w:rsidRDefault="00E95760" w:rsidP="00325E74">
      <w:pPr>
        <w:ind w:left="567"/>
        <w:jc w:val="both"/>
        <w:rPr>
          <w:rFonts w:ascii="Arial" w:hAnsi="Arial" w:cs="Arial"/>
          <w:sz w:val="20"/>
          <w:szCs w:val="20"/>
        </w:rPr>
      </w:pPr>
      <w:r w:rsidRPr="00805047">
        <w:rPr>
          <w:rFonts w:ascii="Arial" w:hAnsi="Arial" w:cs="Arial"/>
          <w:sz w:val="20"/>
          <w:szCs w:val="20"/>
        </w:rPr>
        <w:t xml:space="preserve">With the increasing frequency, spatial expansion, and seasonal persistence of cyanobacterial blooms driven by eutrophication and climate warming, the demand for sensitive, rapid, and scalable detection technologies is expected to intensify. Future advancements should prioritize multiplexed platforms capable of simultaneous detection of diverse toxin classes, enhanced analytical robustness in complex environmental matrices, and integration with predictive </w:t>
      </w:r>
      <w:proofErr w:type="spellStart"/>
      <w:r w:rsidRPr="00805047">
        <w:rPr>
          <w:rFonts w:ascii="Arial" w:hAnsi="Arial" w:cs="Arial"/>
          <w:sz w:val="20"/>
          <w:szCs w:val="20"/>
        </w:rPr>
        <w:t>modeling</w:t>
      </w:r>
      <w:proofErr w:type="spellEnd"/>
      <w:r w:rsidRPr="00805047">
        <w:rPr>
          <w:rFonts w:ascii="Arial" w:hAnsi="Arial" w:cs="Arial"/>
          <w:sz w:val="20"/>
          <w:szCs w:val="20"/>
        </w:rPr>
        <w:t xml:space="preserve"> and early-warning systems. In this context, rapid lateral flow sensor technologies are emerging as promising field-deployable tools, offering cost-effective, user-friendly, and real-time screening capabilities that may substantially strengthen decentralized monitoring and public health protection strategies</w:t>
      </w:r>
      <w:r w:rsidR="00D674E4">
        <w:rPr>
          <w:rFonts w:ascii="Arial" w:hAnsi="Arial" w:cs="Arial"/>
          <w:sz w:val="20"/>
          <w:szCs w:val="20"/>
        </w:rPr>
        <w:fldChar w:fldCharType="begin"/>
      </w:r>
      <w:r w:rsidR="007410EB">
        <w:rPr>
          <w:rFonts w:ascii="Arial" w:hAnsi="Arial" w:cs="Arial"/>
          <w:sz w:val="20"/>
          <w:szCs w:val="20"/>
        </w:rPr>
        <w:instrText xml:space="preserve"> ADDIN ZOTERO_ITEM CSL_CITATION {"citationID":"JVrC9kCX","properties":{"formattedCitation":"(Alves et al., 2025)","plainCitation":"(Alves et al., 2025)","noteIndex":0},"citationItems":[{"id":1221,"uris":["http://zotero.org/users/local/Xm6IMfD4/items/L44H769L"],"itemData":{"id":1221,"type":"article-journal","container-title":"Critical Reviews in Analytical Chemistry","DOI":"10.1080/10408347.2025.2553122","ISSN":"1040-8347, 1547-6510","journalAbbreviation":"Critical Reviews in Analytical Chemistry","language":"en","page":"1-50","source":"DOI.org (Crossref)","title":"Next-Generation Miniaturized Separation Platforms: Converging Detection, Automation, and Sustainable Design for Intelligent Analytical Science","title-short":"Next-Generation Miniaturized Separation Platforms","author":[{"family":"Alves","given":"Erica"},{"family":"Gurupadayya","given":"B. M."},{"family":"Prabhakaran","given":"Prabitha"}],"issued":{"date-parts":[["2025",9,7]]}}}],"schema":"https://github.com/citation-style-language/schema/raw/master/csl-citation.json"} </w:instrText>
      </w:r>
      <w:r w:rsidR="00D674E4">
        <w:rPr>
          <w:rFonts w:ascii="Arial" w:hAnsi="Arial" w:cs="Arial"/>
          <w:sz w:val="20"/>
          <w:szCs w:val="20"/>
        </w:rPr>
        <w:fldChar w:fldCharType="separate"/>
      </w:r>
      <w:r w:rsidR="007410EB" w:rsidRPr="007410EB">
        <w:rPr>
          <w:rFonts w:ascii="Arial" w:hAnsi="Arial" w:cs="Arial"/>
          <w:sz w:val="20"/>
        </w:rPr>
        <w:t>(Alves et al., 2025)</w:t>
      </w:r>
      <w:r w:rsidR="00D674E4">
        <w:rPr>
          <w:rFonts w:ascii="Arial" w:hAnsi="Arial" w:cs="Arial"/>
          <w:sz w:val="20"/>
          <w:szCs w:val="20"/>
        </w:rPr>
        <w:fldChar w:fldCharType="end"/>
      </w:r>
      <w:r w:rsidRPr="00805047">
        <w:rPr>
          <w:rFonts w:ascii="Arial" w:hAnsi="Arial" w:cs="Arial"/>
          <w:sz w:val="20"/>
          <w:szCs w:val="20"/>
        </w:rPr>
        <w:t xml:space="preserve">. When comparatively evaluated, a clear performance hierarchy emerges. LC–MS/MS and HRMS provide the lowest detection limits with the highest structural certainty, making them indispensable for confirmatory analysis. Advanced biosensors, although increasingly sensitive, require comprehensive validation in natural waters characterized by high dissolved organic carbon, fluctuating pH, and co-occurring metabolites. Immunoassays occupy an intermediate position, balancing sensitivity and operational simplicity but lacking molecular discrimination. A critical observation from the compiled data is the predominant analytical emphasis on microcystin-LR as the model analyte. While its toxicological relevance justifies extensive study, other cyanotoxins such as </w:t>
      </w:r>
      <w:proofErr w:type="spellStart"/>
      <w:r w:rsidRPr="00805047">
        <w:rPr>
          <w:rFonts w:ascii="Arial" w:hAnsi="Arial" w:cs="Arial"/>
          <w:sz w:val="20"/>
          <w:szCs w:val="20"/>
        </w:rPr>
        <w:t>cylindrospermopsin</w:t>
      </w:r>
      <w:proofErr w:type="spellEnd"/>
      <w:r w:rsidRPr="00805047">
        <w:rPr>
          <w:rFonts w:ascii="Arial" w:hAnsi="Arial" w:cs="Arial"/>
          <w:sz w:val="20"/>
          <w:szCs w:val="20"/>
        </w:rPr>
        <w:t>, anatoxins, and saxitoxins receive comparatively less methodological coverage in sensor development</w:t>
      </w:r>
      <w:r w:rsidR="00D674E4">
        <w:rPr>
          <w:rFonts w:ascii="Arial" w:hAnsi="Arial" w:cs="Arial"/>
          <w:sz w:val="20"/>
          <w:szCs w:val="20"/>
        </w:rPr>
        <w:t>.</w:t>
      </w:r>
    </w:p>
    <w:p w14:paraId="0A487521" w14:textId="77777777" w:rsidR="00E95760" w:rsidRDefault="00E95760" w:rsidP="00E95760">
      <w:pPr>
        <w:jc w:val="both"/>
        <w:rPr>
          <w:rFonts w:ascii="Arial" w:hAnsi="Arial" w:cs="Arial"/>
          <w:b/>
          <w:bCs/>
          <w:sz w:val="20"/>
          <w:szCs w:val="20"/>
        </w:rPr>
      </w:pPr>
    </w:p>
    <w:p w14:paraId="18C234B4" w14:textId="6A5AD889" w:rsidR="00E95760" w:rsidRPr="00913A69" w:rsidRDefault="00913A69" w:rsidP="00605B5D">
      <w:pPr>
        <w:pStyle w:val="ListParagraph"/>
        <w:numPr>
          <w:ilvl w:val="0"/>
          <w:numId w:val="2"/>
        </w:numPr>
        <w:jc w:val="both"/>
        <w:rPr>
          <w:rFonts w:ascii="Arial" w:hAnsi="Arial" w:cs="Arial"/>
          <w:b/>
          <w:bCs/>
          <w:sz w:val="20"/>
          <w:szCs w:val="20"/>
        </w:rPr>
      </w:pPr>
      <w:r w:rsidRPr="00913A69">
        <w:rPr>
          <w:rFonts w:ascii="Arial" w:hAnsi="Arial" w:cs="Arial"/>
          <w:b/>
          <w:bCs/>
          <w:sz w:val="20"/>
          <w:szCs w:val="20"/>
        </w:rPr>
        <w:t>CONCLUSION</w:t>
      </w:r>
    </w:p>
    <w:p w14:paraId="780754AE" w14:textId="35DC6185" w:rsidR="003909DB" w:rsidRDefault="00E95760" w:rsidP="00325E74">
      <w:pPr>
        <w:ind w:left="567"/>
        <w:jc w:val="both"/>
        <w:rPr>
          <w:rFonts w:ascii="Arial" w:hAnsi="Arial" w:cs="Arial"/>
          <w:sz w:val="20"/>
          <w:szCs w:val="20"/>
        </w:rPr>
      </w:pPr>
      <w:r w:rsidRPr="007F7181">
        <w:rPr>
          <w:rFonts w:ascii="Arial" w:hAnsi="Arial" w:cs="Arial"/>
          <w:sz w:val="20"/>
          <w:szCs w:val="20"/>
        </w:rPr>
        <w:t>Cyanotoxins continue to pose a significant global threat to water quality, aquatic ecosystems, and public health due to the increasing frequency, geographic expansion, and persistence of harmful cyanobacterial blooms. Over the past decades, substantial advances in detection technologies have greatly enhanced our ability to identify and quantify these toxins, ranging from conventional chromatographic and immunoassay methods to advanced mass spectrometry and emerging biosensor platforms. Each technique offers distinct advantages: chromatographic and mass spectrometric approaches provide high sensitivity and structural specificity; immunoassays and bioassays allow rapid screening; and biosensors, particularly aptamer-based and multiplexed platforms, offer portability, real-time monitoring, and the potential for on-site application.</w:t>
      </w:r>
      <w:r>
        <w:rPr>
          <w:rFonts w:ascii="Arial" w:hAnsi="Arial" w:cs="Arial"/>
          <w:sz w:val="20"/>
          <w:szCs w:val="20"/>
        </w:rPr>
        <w:t xml:space="preserve"> </w:t>
      </w:r>
      <w:r w:rsidRPr="007F7181">
        <w:rPr>
          <w:rFonts w:ascii="Arial" w:hAnsi="Arial" w:cs="Arial"/>
          <w:sz w:val="20"/>
          <w:szCs w:val="20"/>
        </w:rPr>
        <w:t xml:space="preserve">Despite these advancements, no single method simultaneously </w:t>
      </w:r>
      <w:proofErr w:type="spellStart"/>
      <w:r w:rsidRPr="007F7181">
        <w:rPr>
          <w:rFonts w:ascii="Arial" w:hAnsi="Arial" w:cs="Arial"/>
          <w:sz w:val="20"/>
          <w:szCs w:val="20"/>
        </w:rPr>
        <w:t>fulfills</w:t>
      </w:r>
      <w:proofErr w:type="spellEnd"/>
      <w:r w:rsidRPr="007F7181">
        <w:rPr>
          <w:rFonts w:ascii="Arial" w:hAnsi="Arial" w:cs="Arial"/>
          <w:sz w:val="20"/>
          <w:szCs w:val="20"/>
        </w:rPr>
        <w:t xml:space="preserve"> all requirements of ultra-trace detection, multi-toxin coverage, rapidity, field </w:t>
      </w:r>
      <w:proofErr w:type="spellStart"/>
      <w:r w:rsidRPr="007F7181">
        <w:rPr>
          <w:rFonts w:ascii="Arial" w:hAnsi="Arial" w:cs="Arial"/>
          <w:sz w:val="20"/>
          <w:szCs w:val="20"/>
        </w:rPr>
        <w:t>deployability</w:t>
      </w:r>
      <w:proofErr w:type="spellEnd"/>
      <w:r w:rsidRPr="007F7181">
        <w:rPr>
          <w:rFonts w:ascii="Arial" w:hAnsi="Arial" w:cs="Arial"/>
          <w:sz w:val="20"/>
          <w:szCs w:val="20"/>
        </w:rPr>
        <w:t>, and cost-effectiveness. Therefore, a tiered monitoring strategy, integrating rapid screening tools with confirmatory LC–MS/MS analysis, remains the most robust and practical approach for comprehensive cyanotoxin assessment. Emerging portable biosensors, including lateral flow assays, microfluidic lab-on-a-chip devices, and multiplexed sensor arrays, show particular promise for decentralized, real-time monitoring, complementing laboratory-based techniques and supporting early-warning programs.</w:t>
      </w:r>
      <w:r>
        <w:rPr>
          <w:rFonts w:ascii="Arial" w:hAnsi="Arial" w:cs="Arial"/>
          <w:sz w:val="20"/>
          <w:szCs w:val="20"/>
        </w:rPr>
        <w:t xml:space="preserve"> </w:t>
      </w:r>
      <w:r w:rsidRPr="007F7181">
        <w:rPr>
          <w:rFonts w:ascii="Arial" w:hAnsi="Arial" w:cs="Arial"/>
          <w:sz w:val="20"/>
          <w:szCs w:val="20"/>
        </w:rPr>
        <w:t xml:space="preserve">Future research should focus on developing multi-analyte, matrix-robust, and field-deployable platforms, alongside harmonized validation procedures to ensure data comparability across laboratories and regions. Coupling advanced detection technologies with predictive </w:t>
      </w:r>
      <w:proofErr w:type="spellStart"/>
      <w:r w:rsidRPr="007F7181">
        <w:rPr>
          <w:rFonts w:ascii="Arial" w:hAnsi="Arial" w:cs="Arial"/>
          <w:sz w:val="20"/>
          <w:szCs w:val="20"/>
        </w:rPr>
        <w:t>modeling</w:t>
      </w:r>
      <w:proofErr w:type="spellEnd"/>
      <w:r w:rsidRPr="007F7181">
        <w:rPr>
          <w:rFonts w:ascii="Arial" w:hAnsi="Arial" w:cs="Arial"/>
          <w:sz w:val="20"/>
          <w:szCs w:val="20"/>
        </w:rPr>
        <w:t xml:space="preserve"> and early-warning frameworks will be critical for proactive risk management, allowing timely mitigation of cyanotoxin exposure and sustainable protection of water resources under evolving environmental and climate change scenarios</w:t>
      </w:r>
      <w:r w:rsidR="007410EB">
        <w:rPr>
          <w:rFonts w:ascii="Arial" w:hAnsi="Arial" w:cs="Arial"/>
          <w:sz w:val="20"/>
          <w:szCs w:val="20"/>
        </w:rPr>
        <w:t>.</w:t>
      </w:r>
    </w:p>
    <w:p w14:paraId="5D167408" w14:textId="77777777" w:rsidR="00AA2B6A" w:rsidRDefault="00AA2B6A" w:rsidP="00AA674C">
      <w:pPr>
        <w:ind w:left="567"/>
        <w:jc w:val="both"/>
        <w:rPr>
          <w:rFonts w:ascii="Arial" w:hAnsi="Arial" w:cs="Arial"/>
          <w:b/>
          <w:bCs/>
        </w:rPr>
      </w:pPr>
    </w:p>
    <w:p w14:paraId="3D19EC7F" w14:textId="77777777" w:rsidR="00AA2B6A" w:rsidRDefault="00AA2B6A" w:rsidP="00AA674C">
      <w:pPr>
        <w:ind w:left="567"/>
        <w:jc w:val="both"/>
        <w:rPr>
          <w:rFonts w:ascii="Arial" w:hAnsi="Arial" w:cs="Arial"/>
          <w:b/>
          <w:bCs/>
        </w:rPr>
      </w:pPr>
    </w:p>
    <w:p w14:paraId="613C3792" w14:textId="77777777" w:rsidR="00AA2B6A" w:rsidRDefault="00AA2B6A" w:rsidP="00AA674C">
      <w:pPr>
        <w:ind w:left="567"/>
        <w:jc w:val="both"/>
        <w:rPr>
          <w:rFonts w:ascii="Arial" w:hAnsi="Arial" w:cs="Arial"/>
          <w:b/>
          <w:bCs/>
        </w:rPr>
      </w:pPr>
    </w:p>
    <w:p w14:paraId="7480E7F3" w14:textId="77777777" w:rsidR="00AA2B6A" w:rsidRDefault="00AA2B6A" w:rsidP="00AA674C">
      <w:pPr>
        <w:ind w:left="567"/>
        <w:jc w:val="both"/>
        <w:rPr>
          <w:rFonts w:ascii="Arial" w:hAnsi="Arial" w:cs="Arial"/>
          <w:b/>
          <w:bCs/>
        </w:rPr>
      </w:pPr>
    </w:p>
    <w:p w14:paraId="351E60F2" w14:textId="77777777" w:rsidR="00AA2B6A" w:rsidRDefault="00AA2B6A" w:rsidP="008E500A">
      <w:pPr>
        <w:jc w:val="both"/>
        <w:rPr>
          <w:rFonts w:ascii="Arial" w:hAnsi="Arial" w:cs="Arial"/>
          <w:b/>
          <w:bCs/>
        </w:rPr>
      </w:pPr>
    </w:p>
    <w:p w14:paraId="29D788DB" w14:textId="31DA95D0" w:rsidR="003909DB" w:rsidRPr="003909DB" w:rsidRDefault="003909DB" w:rsidP="00AA674C">
      <w:pPr>
        <w:ind w:left="567"/>
        <w:jc w:val="both"/>
        <w:rPr>
          <w:rFonts w:ascii="Arial" w:hAnsi="Arial" w:cs="Arial"/>
          <w:b/>
          <w:bCs/>
        </w:rPr>
      </w:pPr>
      <w:bookmarkStart w:id="0" w:name="_GoBack"/>
      <w:bookmarkEnd w:id="0"/>
      <w:r w:rsidRPr="003909DB">
        <w:rPr>
          <w:rFonts w:ascii="Arial" w:hAnsi="Arial" w:cs="Arial"/>
          <w:b/>
          <w:bCs/>
        </w:rPr>
        <w:lastRenderedPageBreak/>
        <w:t>Competing Interests</w:t>
      </w:r>
    </w:p>
    <w:p w14:paraId="4CAA1485" w14:textId="77777777" w:rsidR="003909DB" w:rsidRPr="003909DB" w:rsidRDefault="003909DB" w:rsidP="00AA674C">
      <w:pPr>
        <w:ind w:left="567"/>
        <w:jc w:val="both"/>
        <w:rPr>
          <w:rFonts w:ascii="Arial" w:hAnsi="Arial" w:cs="Arial"/>
        </w:rPr>
      </w:pPr>
      <w:r w:rsidRPr="003909DB">
        <w:rPr>
          <w:rFonts w:ascii="Arial" w:hAnsi="Arial" w:cs="Arial"/>
        </w:rPr>
        <w:t>The authors declare that they have no known competing financial or non-financial interests that could have influenced the work reported in this manuscript.</w:t>
      </w:r>
    </w:p>
    <w:p w14:paraId="72157D0A" w14:textId="77777777" w:rsidR="003909DB" w:rsidRPr="003909DB" w:rsidRDefault="003909DB" w:rsidP="00AA674C">
      <w:pPr>
        <w:ind w:left="567"/>
        <w:jc w:val="both"/>
        <w:rPr>
          <w:rFonts w:ascii="Arial" w:hAnsi="Arial" w:cs="Arial"/>
          <w:b/>
          <w:bCs/>
        </w:rPr>
      </w:pPr>
      <w:r w:rsidRPr="003909DB">
        <w:rPr>
          <w:rFonts w:ascii="Arial" w:hAnsi="Arial" w:cs="Arial"/>
          <w:b/>
          <w:bCs/>
        </w:rPr>
        <w:t>Consent (Where Applicable)</w:t>
      </w:r>
    </w:p>
    <w:p w14:paraId="3D6AD727" w14:textId="77777777" w:rsidR="003909DB" w:rsidRPr="003909DB" w:rsidRDefault="003909DB" w:rsidP="00AA674C">
      <w:pPr>
        <w:ind w:left="567"/>
        <w:jc w:val="both"/>
        <w:rPr>
          <w:rFonts w:ascii="Arial" w:hAnsi="Arial" w:cs="Arial"/>
        </w:rPr>
      </w:pPr>
      <w:r w:rsidRPr="003909DB">
        <w:rPr>
          <w:rFonts w:ascii="Arial" w:hAnsi="Arial" w:cs="Arial"/>
        </w:rPr>
        <w:t>Not applicable for this study, as no human participants or personal data were involved.</w:t>
      </w:r>
    </w:p>
    <w:p w14:paraId="4D843D64" w14:textId="77777777" w:rsidR="003909DB" w:rsidRPr="003909DB" w:rsidRDefault="003909DB" w:rsidP="00AA674C">
      <w:pPr>
        <w:ind w:left="567"/>
        <w:jc w:val="both"/>
        <w:rPr>
          <w:rFonts w:ascii="Arial" w:hAnsi="Arial" w:cs="Arial"/>
          <w:b/>
          <w:bCs/>
        </w:rPr>
      </w:pPr>
      <w:r w:rsidRPr="003909DB">
        <w:rPr>
          <w:rFonts w:ascii="Arial" w:hAnsi="Arial" w:cs="Arial"/>
          <w:b/>
          <w:bCs/>
        </w:rPr>
        <w:t>Ethical Approval (Where Applicable)</w:t>
      </w:r>
    </w:p>
    <w:p w14:paraId="5C899209" w14:textId="77777777" w:rsidR="003909DB" w:rsidRDefault="003909DB" w:rsidP="00AA674C">
      <w:pPr>
        <w:ind w:left="567"/>
        <w:jc w:val="both"/>
        <w:rPr>
          <w:rFonts w:ascii="Arial" w:hAnsi="Arial" w:cs="Arial"/>
        </w:rPr>
      </w:pPr>
      <w:r w:rsidRPr="003909DB">
        <w:rPr>
          <w:rFonts w:ascii="Arial" w:hAnsi="Arial" w:cs="Arial"/>
        </w:rPr>
        <w:t xml:space="preserve">Not applicable for this study, as no animal or human </w:t>
      </w:r>
      <w:proofErr w:type="gramStart"/>
      <w:r w:rsidRPr="003909DB">
        <w:rPr>
          <w:rFonts w:ascii="Arial" w:hAnsi="Arial" w:cs="Arial"/>
        </w:rPr>
        <w:t xml:space="preserve">experiments </w:t>
      </w:r>
      <w:r w:rsidR="00AA674C">
        <w:rPr>
          <w:rFonts w:ascii="Arial" w:hAnsi="Arial" w:cs="Arial"/>
        </w:rPr>
        <w:t xml:space="preserve"> </w:t>
      </w:r>
      <w:r w:rsidR="00AA674C" w:rsidRPr="00AA674C">
        <w:rPr>
          <w:rFonts w:ascii="Arial" w:hAnsi="Arial" w:cs="Arial"/>
        </w:rPr>
        <w:t>were</w:t>
      </w:r>
      <w:proofErr w:type="gramEnd"/>
      <w:r w:rsidR="00AA674C" w:rsidRPr="00AA674C">
        <w:rPr>
          <w:rFonts w:ascii="Arial" w:hAnsi="Arial" w:cs="Arial"/>
        </w:rPr>
        <w:t xml:space="preserve"> conducted.</w:t>
      </w:r>
    </w:p>
    <w:p w14:paraId="35B6C637" w14:textId="77777777" w:rsidR="00DA0F27" w:rsidRDefault="00DA0F27" w:rsidP="00AA674C">
      <w:pPr>
        <w:ind w:left="567"/>
        <w:jc w:val="both"/>
        <w:rPr>
          <w:rFonts w:ascii="Arial" w:hAnsi="Arial" w:cs="Arial"/>
        </w:rPr>
      </w:pPr>
    </w:p>
    <w:p w14:paraId="491AB8C7" w14:textId="77777777" w:rsidR="00DA0F27" w:rsidRDefault="00DA0F27" w:rsidP="00AA674C">
      <w:pPr>
        <w:ind w:left="567"/>
        <w:jc w:val="both"/>
        <w:rPr>
          <w:rFonts w:ascii="Arial" w:hAnsi="Arial" w:cs="Arial"/>
        </w:rPr>
      </w:pPr>
    </w:p>
    <w:p w14:paraId="5AD0C4B0" w14:textId="77777777" w:rsidR="00DA0F27" w:rsidRPr="00A32AFD" w:rsidRDefault="00DA0F27" w:rsidP="00DA0F27">
      <w:pPr>
        <w:jc w:val="both"/>
        <w:rPr>
          <w:rFonts w:ascii="Arial" w:hAnsi="Arial" w:cs="Arial"/>
          <w:b/>
          <w:bCs/>
          <w:sz w:val="24"/>
          <w:szCs w:val="24"/>
        </w:rPr>
      </w:pPr>
      <w:r w:rsidRPr="00A32AFD">
        <w:rPr>
          <w:rFonts w:ascii="Arial" w:hAnsi="Arial" w:cs="Arial"/>
          <w:b/>
          <w:bCs/>
          <w:sz w:val="24"/>
          <w:szCs w:val="24"/>
        </w:rPr>
        <w:t>Acronyms and Abbreviations</w:t>
      </w:r>
    </w:p>
    <w:p w14:paraId="16167246"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ATX – Anatoxin-a</w:t>
      </w:r>
    </w:p>
    <w:p w14:paraId="762AB53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BMAA – β-N-methylamino-L-alanine</w:t>
      </w:r>
    </w:p>
    <w:p w14:paraId="5F767A8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CE – Capillary Electrophoresis</w:t>
      </w:r>
    </w:p>
    <w:p w14:paraId="5F48A4BA"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CYN – </w:t>
      </w:r>
      <w:proofErr w:type="spellStart"/>
      <w:r w:rsidRPr="00A32AFD">
        <w:rPr>
          <w:rFonts w:ascii="Arial" w:hAnsi="Arial" w:cs="Arial"/>
          <w:sz w:val="24"/>
          <w:szCs w:val="24"/>
        </w:rPr>
        <w:t>Cylindrospermopsin</w:t>
      </w:r>
      <w:proofErr w:type="spellEnd"/>
    </w:p>
    <w:p w14:paraId="00E4592D"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DAD – Diode Array Detector</w:t>
      </w:r>
    </w:p>
    <w:p w14:paraId="533DD283"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ELISA – Enzyme-Linked Immunosorbent Assay</w:t>
      </w:r>
    </w:p>
    <w:p w14:paraId="05C1CA28"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FRET – Fluorescence Resonance Energy Transfer</w:t>
      </w:r>
    </w:p>
    <w:p w14:paraId="767501F2"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GC–MS – Gas Chromatography–Mass Spectrometry</w:t>
      </w:r>
    </w:p>
    <w:p w14:paraId="01D8A192"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HPLC – High-Performance Liquid Chromatography</w:t>
      </w:r>
    </w:p>
    <w:p w14:paraId="6EBB0CDE"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HRMS – High-Resolution Mass Spectrometry</w:t>
      </w:r>
    </w:p>
    <w:p w14:paraId="18E98EA6"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LC–FLD – Liquid Chromatography with Fluorescence Detection</w:t>
      </w:r>
    </w:p>
    <w:p w14:paraId="5312335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LC–MS/MS – Liquid Chromatography–Tandem Mass Spectrometry</w:t>
      </w:r>
    </w:p>
    <w:p w14:paraId="7C499EC5"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LFIA – Lateral Flow Immunoassay</w:t>
      </w:r>
    </w:p>
    <w:p w14:paraId="2F5CF4E9"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LOD – Limit of Detection</w:t>
      </w:r>
    </w:p>
    <w:p w14:paraId="1C2C668A"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LOQ – Limit of Quantification</w:t>
      </w:r>
    </w:p>
    <w:p w14:paraId="6E66721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LSPR – Localized Surface Plasmon Resonance</w:t>
      </w:r>
    </w:p>
    <w:p w14:paraId="6B336113"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MEKC – Micellar Electrokinetic Chromatography</w:t>
      </w:r>
    </w:p>
    <w:p w14:paraId="2D2000D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MIP – Molecularly Imprinted Polymer</w:t>
      </w:r>
    </w:p>
    <w:p w14:paraId="3FCC8049"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µPAD – Microfluidic Paper-Based Analytical Device</w:t>
      </w:r>
    </w:p>
    <w:p w14:paraId="23623DF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MCs – </w:t>
      </w:r>
      <w:proofErr w:type="spellStart"/>
      <w:r w:rsidRPr="00A32AFD">
        <w:rPr>
          <w:rFonts w:ascii="Arial" w:hAnsi="Arial" w:cs="Arial"/>
          <w:sz w:val="24"/>
          <w:szCs w:val="24"/>
        </w:rPr>
        <w:t>Microcystins</w:t>
      </w:r>
      <w:proofErr w:type="spellEnd"/>
    </w:p>
    <w:p w14:paraId="0AF13270"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NOD – </w:t>
      </w:r>
      <w:proofErr w:type="spellStart"/>
      <w:r w:rsidRPr="00A32AFD">
        <w:rPr>
          <w:rFonts w:ascii="Arial" w:hAnsi="Arial" w:cs="Arial"/>
          <w:sz w:val="24"/>
          <w:szCs w:val="24"/>
        </w:rPr>
        <w:t>Nodularins</w:t>
      </w:r>
      <w:proofErr w:type="spellEnd"/>
    </w:p>
    <w:p w14:paraId="62289B26"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PPIA – Protein Phosphatase Inhibition Assay</w:t>
      </w:r>
    </w:p>
    <w:p w14:paraId="4AD4DDF1"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QCM – Quartz Crystal Microbalance</w:t>
      </w:r>
    </w:p>
    <w:p w14:paraId="635337EC"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SPR – Surface Plasmon Resonance</w:t>
      </w:r>
    </w:p>
    <w:p w14:paraId="0A953C9E"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SERS – Surface-Enhanced Raman Spectroscopy</w:t>
      </w:r>
    </w:p>
    <w:p w14:paraId="1A4331B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TOF – Time-of-Flight (Mass Spectrometry)</w:t>
      </w:r>
    </w:p>
    <w:p w14:paraId="1ED836A5"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UPLC – Ultra-Performance Liquid Chromatography</w:t>
      </w:r>
    </w:p>
    <w:p w14:paraId="67B50BA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UV – Ultraviolet</w:t>
      </w:r>
    </w:p>
    <w:p w14:paraId="278C7928"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WHO – World Health Organization</w:t>
      </w:r>
    </w:p>
    <w:p w14:paraId="74D6394D" w14:textId="7E20E05E" w:rsidR="00DA0F27" w:rsidRDefault="00DA0F27" w:rsidP="00AA674C">
      <w:pPr>
        <w:ind w:left="567"/>
        <w:jc w:val="both"/>
        <w:rPr>
          <w:rFonts w:ascii="Arial" w:hAnsi="Arial" w:cs="Arial"/>
        </w:rPr>
        <w:sectPr w:rsidR="00DA0F27" w:rsidSect="00DA0F27">
          <w:type w:val="continuous"/>
          <w:pgSz w:w="11906" w:h="16838"/>
          <w:pgMar w:top="1440" w:right="1440" w:bottom="1440" w:left="1134" w:header="708" w:footer="708" w:gutter="0"/>
          <w:cols w:space="708"/>
          <w:docGrid w:linePitch="360"/>
        </w:sectPr>
      </w:pPr>
    </w:p>
    <w:p w14:paraId="165E9526" w14:textId="4A98B2CD" w:rsidR="00D21086" w:rsidRPr="005E0404" w:rsidRDefault="005E0404" w:rsidP="003862DF">
      <w:pPr>
        <w:jc w:val="both"/>
        <w:rPr>
          <w:rFonts w:ascii="Arial" w:hAnsi="Arial" w:cs="Arial"/>
          <w:b/>
          <w:bCs/>
        </w:rPr>
      </w:pPr>
      <w:r w:rsidRPr="005E0404">
        <w:rPr>
          <w:rFonts w:ascii="Arial" w:hAnsi="Arial" w:cs="Arial"/>
          <w:b/>
          <w:bCs/>
        </w:rPr>
        <w:t>References</w:t>
      </w:r>
    </w:p>
    <w:p w14:paraId="7DCAABB4" w14:textId="77777777" w:rsidR="007410EB" w:rsidRDefault="00D21086" w:rsidP="007410EB">
      <w:pPr>
        <w:pStyle w:val="Bibliography"/>
        <w:spacing w:line="240" w:lineRule="auto"/>
      </w:pPr>
      <w:r w:rsidRPr="0058495E">
        <w:rPr>
          <w:rFonts w:ascii="Arial" w:hAnsi="Arial" w:cs="Arial"/>
        </w:rPr>
        <w:lastRenderedPageBreak/>
        <w:fldChar w:fldCharType="begin"/>
      </w:r>
      <w:r w:rsidR="007410EB">
        <w:rPr>
          <w:rFonts w:ascii="Arial" w:hAnsi="Arial" w:cs="Arial"/>
        </w:rPr>
        <w:instrText xml:space="preserve"> ADDIN ZOTERO_BIBL {"uncited":[],"omitted":[],"custom":[]} CSL_BIBLIOGRAPHY </w:instrText>
      </w:r>
      <w:r w:rsidRPr="0058495E">
        <w:rPr>
          <w:rFonts w:ascii="Arial" w:hAnsi="Arial" w:cs="Arial"/>
        </w:rPr>
        <w:fldChar w:fldCharType="separate"/>
      </w:r>
      <w:r w:rsidR="007410EB">
        <w:t xml:space="preserve">Abdallah, M. F., Van Hassel, W. H. R., Andjelkovic, M., Wilmotte, A., &amp; Rajkovic, A. (2021). Cyanotoxins and Food Contamination in Developing Countries: Review of Their Types, Toxicity, Analysis, Occurrence and Mitigation Strategies. </w:t>
      </w:r>
      <w:r w:rsidR="007410EB">
        <w:rPr>
          <w:i/>
          <w:iCs/>
        </w:rPr>
        <w:t>Toxins</w:t>
      </w:r>
      <w:r w:rsidR="007410EB">
        <w:t xml:space="preserve">, </w:t>
      </w:r>
      <w:r w:rsidR="007410EB">
        <w:rPr>
          <w:i/>
          <w:iCs/>
        </w:rPr>
        <w:t>13</w:t>
      </w:r>
      <w:r w:rsidR="007410EB">
        <w:t>(11), 786. https://doi.org/10.3390/toxins13110786</w:t>
      </w:r>
    </w:p>
    <w:p w14:paraId="632A0D80" w14:textId="77777777" w:rsidR="007410EB" w:rsidRDefault="007410EB" w:rsidP="007410EB">
      <w:pPr>
        <w:pStyle w:val="Bibliography"/>
        <w:spacing w:line="240" w:lineRule="auto"/>
      </w:pPr>
      <w:r>
        <w:t xml:space="preserve">Abedi-Firouzjah, R., Tavassoli, M., Khezerlou, A., Mazaheri, Y., Alizadeh-Sani, M., Ehsani, A., &amp; Moore, M. D. (2025). Recent Advances in Applications of Aptasensors/Nanomaterials Platform for Food and Biomedical: A Review. </w:t>
      </w:r>
      <w:r>
        <w:rPr>
          <w:i/>
          <w:iCs/>
        </w:rPr>
        <w:t>Food Analytical Methods</w:t>
      </w:r>
      <w:r>
        <w:t xml:space="preserve">, </w:t>
      </w:r>
      <w:r>
        <w:rPr>
          <w:i/>
          <w:iCs/>
        </w:rPr>
        <w:t>18</w:t>
      </w:r>
      <w:r>
        <w:t>(1), 1–26. https://doi.org/10.1007/s12161-024-02693-8</w:t>
      </w:r>
    </w:p>
    <w:p w14:paraId="5F54E41B" w14:textId="77777777" w:rsidR="007410EB" w:rsidRDefault="007410EB" w:rsidP="007410EB">
      <w:pPr>
        <w:pStyle w:val="Bibliography"/>
        <w:spacing w:line="240" w:lineRule="auto"/>
      </w:pPr>
      <w:r>
        <w:t xml:space="preserve">Abreu, V. A. C., Popin, R. V., Alvarenga, D. O., Schaker, P. D. C., Hoff-Risseti, C., Varani, A. M., &amp; Fiore, M. F. (2018). Genomic and Genotypic Characterization of Cylindrospermopsis raciborskii: Toward an Intraspecific Phylogenetic Evaluation by Comparative Genomics. </w:t>
      </w:r>
      <w:r>
        <w:rPr>
          <w:i/>
          <w:iCs/>
        </w:rPr>
        <w:t>Frontiers in Microbiology</w:t>
      </w:r>
      <w:r>
        <w:t xml:space="preserve">, </w:t>
      </w:r>
      <w:r>
        <w:rPr>
          <w:i/>
          <w:iCs/>
        </w:rPr>
        <w:t>9</w:t>
      </w:r>
      <w:r>
        <w:t>, 306. https://doi.org/10.3389/fmicb.2018.00306</w:t>
      </w:r>
    </w:p>
    <w:p w14:paraId="56BFBC45" w14:textId="77777777" w:rsidR="007410EB" w:rsidRDefault="007410EB" w:rsidP="007410EB">
      <w:pPr>
        <w:pStyle w:val="Bibliography"/>
        <w:spacing w:line="240" w:lineRule="auto"/>
      </w:pPr>
      <w:r>
        <w:t xml:space="preserve">Agathokleous, E., &amp; Peñuelas, J. (2022). Monitoring, Regulation, and Mitigation of Cyanotoxins in the Environment to Protect Human Health and Wildlife. </w:t>
      </w:r>
      <w:r>
        <w:rPr>
          <w:i/>
          <w:iCs/>
        </w:rPr>
        <w:t>Environmental Science &amp; Technology</w:t>
      </w:r>
      <w:r>
        <w:t xml:space="preserve">, </w:t>
      </w:r>
      <w:r>
        <w:rPr>
          <w:i/>
          <w:iCs/>
        </w:rPr>
        <w:t>56</w:t>
      </w:r>
      <w:r>
        <w:t>(20), 14225–14227. https://doi.org/10.1021/acs.est.2c06618</w:t>
      </w:r>
    </w:p>
    <w:p w14:paraId="14A68274" w14:textId="77777777" w:rsidR="007410EB" w:rsidRDefault="007410EB" w:rsidP="007410EB">
      <w:pPr>
        <w:pStyle w:val="Bibliography"/>
        <w:spacing w:line="240" w:lineRule="auto"/>
      </w:pPr>
      <w:r>
        <w:t xml:space="preserve">Ahuja, V., Singh, A., Paul, D., Dasgupta, D., Urajová, P., Ghosh, S., Singh, R., Sahoo, G., Ewe, D., &amp; Saurav, K. (2023). Recent Advances in the Detection of Food Toxins Using Mass Spectrometry. </w:t>
      </w:r>
      <w:r>
        <w:rPr>
          <w:i/>
          <w:iCs/>
        </w:rPr>
        <w:t>Chemical Research in Toxicology</w:t>
      </w:r>
      <w:r>
        <w:t xml:space="preserve">, </w:t>
      </w:r>
      <w:r>
        <w:rPr>
          <w:i/>
          <w:iCs/>
        </w:rPr>
        <w:t>36</w:t>
      </w:r>
      <w:r>
        <w:t>(12), 1834–1863. https://doi.org/10.1021/acs.chemrestox.3c00241</w:t>
      </w:r>
    </w:p>
    <w:p w14:paraId="52E75862" w14:textId="77777777" w:rsidR="007410EB" w:rsidRDefault="007410EB" w:rsidP="007410EB">
      <w:pPr>
        <w:pStyle w:val="Bibliography"/>
        <w:spacing w:line="240" w:lineRule="auto"/>
      </w:pPr>
      <w:r>
        <w:t xml:space="preserve">Akbarnejad Nesheli, S., Quackenbush, L. J., &amp; McCaffrey, L. (2024). Estimating Chlorophyll-a and Phycocyanin Concentrations in Inland Temperate Lakes across New York State Using Sentinel-2 Images: Application of Google Earth Engine for Efficient Satellite Image Processing. </w:t>
      </w:r>
      <w:r>
        <w:rPr>
          <w:i/>
          <w:iCs/>
        </w:rPr>
        <w:t>Remote Sensing</w:t>
      </w:r>
      <w:r>
        <w:t xml:space="preserve">, </w:t>
      </w:r>
      <w:r>
        <w:rPr>
          <w:i/>
          <w:iCs/>
        </w:rPr>
        <w:t>16</w:t>
      </w:r>
      <w:r>
        <w:t>(18), 3504. https://doi.org/10.3390/rs16183504</w:t>
      </w:r>
    </w:p>
    <w:p w14:paraId="103682F1" w14:textId="77777777" w:rsidR="007410EB" w:rsidRPr="007410EB" w:rsidRDefault="007410EB" w:rsidP="007410EB">
      <w:pPr>
        <w:pStyle w:val="Bibliography"/>
        <w:spacing w:line="240" w:lineRule="auto"/>
        <w:rPr>
          <w:lang w:val="it-IT"/>
        </w:rPr>
      </w:pPr>
      <w:r>
        <w:t xml:space="preserve">Alba Posse, E. J., González, C., Carriquiriborde, P., Nadra, A., &amp; Gasulla, J. (2023). Optimization and validation of a protein phosphatase inhibition assay for accessible microcystin detection. </w:t>
      </w:r>
      <w:r w:rsidRPr="007410EB">
        <w:rPr>
          <w:i/>
          <w:iCs/>
          <w:lang w:val="it-IT"/>
        </w:rPr>
        <w:t>Talanta</w:t>
      </w:r>
      <w:r w:rsidRPr="007410EB">
        <w:rPr>
          <w:lang w:val="it-IT"/>
        </w:rPr>
        <w:t xml:space="preserve">, </w:t>
      </w:r>
      <w:r w:rsidRPr="007410EB">
        <w:rPr>
          <w:i/>
          <w:iCs/>
          <w:lang w:val="it-IT"/>
        </w:rPr>
        <w:t>255</w:t>
      </w:r>
      <w:r w:rsidRPr="007410EB">
        <w:rPr>
          <w:lang w:val="it-IT"/>
        </w:rPr>
        <w:t>, 124174. https://doi.org/10.1016/j.talanta.2022.124174</w:t>
      </w:r>
    </w:p>
    <w:p w14:paraId="164A1B24" w14:textId="77777777" w:rsidR="007410EB" w:rsidRDefault="007410EB" w:rsidP="007410EB">
      <w:pPr>
        <w:pStyle w:val="Bibliography"/>
        <w:spacing w:line="240" w:lineRule="auto"/>
      </w:pPr>
      <w:r w:rsidRPr="007410EB">
        <w:rPr>
          <w:lang w:val="it-IT"/>
        </w:rPr>
        <w:t xml:space="preserve">AlKahtane, A. A., Abushouk, A. I., Mohammed, E. T., ALNasser, M., Alarifi, S., Ali, D., Alessia, M. S., Almeer, R. S., AlBasher, G., Alkahtani, S., Aleya, L., &amp; Abdel-Daim, M. M. (2020). </w:t>
      </w:r>
      <w:r>
        <w:t xml:space="preserve">Fucoidan alleviates microcystin-LR-induced hepatic, renal, and cardiac oxidative stress and inflammatory injuries in mice. </w:t>
      </w:r>
      <w:r>
        <w:rPr>
          <w:i/>
          <w:iCs/>
        </w:rPr>
        <w:t>Environmental Science and Pollution Research</w:t>
      </w:r>
      <w:r>
        <w:t xml:space="preserve">, </w:t>
      </w:r>
      <w:r>
        <w:rPr>
          <w:i/>
          <w:iCs/>
        </w:rPr>
        <w:t>27</w:t>
      </w:r>
      <w:r>
        <w:t>(3), 2935–2944. https://doi.org/10.1007/s11356-019-06931-z</w:t>
      </w:r>
    </w:p>
    <w:p w14:paraId="33FFE169" w14:textId="77777777" w:rsidR="007410EB" w:rsidRPr="007410EB" w:rsidRDefault="007410EB" w:rsidP="007410EB">
      <w:pPr>
        <w:pStyle w:val="Bibliography"/>
        <w:spacing w:line="240" w:lineRule="auto"/>
        <w:rPr>
          <w:lang w:val="it-IT"/>
        </w:rPr>
      </w:pPr>
      <w:r>
        <w:t xml:space="preserve">Al-Sammak, M. A., Hoagland, K. D., Snow, D. D., &amp; Cassada, D. (2013). Methods for simultaneous detection of the cyanotoxins BMAA, DABA, and anatoxin-a in environmental samples. </w:t>
      </w:r>
      <w:r w:rsidRPr="007410EB">
        <w:rPr>
          <w:i/>
          <w:iCs/>
          <w:lang w:val="it-IT"/>
        </w:rPr>
        <w:t>Toxicon</w:t>
      </w:r>
      <w:r w:rsidRPr="007410EB">
        <w:rPr>
          <w:lang w:val="it-IT"/>
        </w:rPr>
        <w:t xml:space="preserve">, </w:t>
      </w:r>
      <w:r w:rsidRPr="007410EB">
        <w:rPr>
          <w:i/>
          <w:iCs/>
          <w:lang w:val="it-IT"/>
        </w:rPr>
        <w:t>76</w:t>
      </w:r>
      <w:r w:rsidRPr="007410EB">
        <w:rPr>
          <w:lang w:val="it-IT"/>
        </w:rPr>
        <w:t>, 316–325. https://doi.org/10.1016/j.toxicon.2013.10.015</w:t>
      </w:r>
    </w:p>
    <w:p w14:paraId="7A774EDC" w14:textId="77777777" w:rsidR="007410EB" w:rsidRDefault="007410EB" w:rsidP="007410EB">
      <w:pPr>
        <w:pStyle w:val="Bibliography"/>
        <w:spacing w:line="240" w:lineRule="auto"/>
      </w:pPr>
      <w:r w:rsidRPr="007410EB">
        <w:rPr>
          <w:lang w:val="it-IT"/>
        </w:rPr>
        <w:t xml:space="preserve">Alves, E., Gurupadayya, B. M., &amp; Prabhakaran, P. (2025). </w:t>
      </w:r>
      <w:r>
        <w:t xml:space="preserve">Next-Generation Miniaturized Separation Platforms: Converging Detection, Automation, and Sustainable Design for Intelligent Analytical Science. </w:t>
      </w:r>
      <w:r>
        <w:rPr>
          <w:i/>
          <w:iCs/>
        </w:rPr>
        <w:t>Critical Reviews in Analytical Chemistry</w:t>
      </w:r>
      <w:r>
        <w:t>, 1–50. https://doi.org/10.1080/10408347.2025.2553122</w:t>
      </w:r>
    </w:p>
    <w:p w14:paraId="4E194655" w14:textId="77777777" w:rsidR="007410EB" w:rsidRDefault="007410EB" w:rsidP="007410EB">
      <w:pPr>
        <w:pStyle w:val="Bibliography"/>
        <w:spacing w:line="240" w:lineRule="auto"/>
      </w:pPr>
      <w:r>
        <w:t xml:space="preserve">Atoui, A., Hafez, H., &amp; Slim, K. (2013). Occurrence of toxic cyanobacterial blooms for the first time in </w:t>
      </w:r>
      <w:r>
        <w:rPr>
          <w:smallCaps/>
        </w:rPr>
        <w:t>L</w:t>
      </w:r>
      <w:r>
        <w:t xml:space="preserve"> ake </w:t>
      </w:r>
      <w:r>
        <w:rPr>
          <w:smallCaps/>
        </w:rPr>
        <w:t>K</w:t>
      </w:r>
      <w:r>
        <w:t xml:space="preserve"> araoun, </w:t>
      </w:r>
      <w:r>
        <w:rPr>
          <w:smallCaps/>
        </w:rPr>
        <w:t>L</w:t>
      </w:r>
      <w:r>
        <w:t xml:space="preserve"> ebanon. </w:t>
      </w:r>
      <w:r>
        <w:rPr>
          <w:i/>
          <w:iCs/>
        </w:rPr>
        <w:t>Water and Environment Journal</w:t>
      </w:r>
      <w:r>
        <w:t xml:space="preserve">, </w:t>
      </w:r>
      <w:r>
        <w:rPr>
          <w:i/>
          <w:iCs/>
        </w:rPr>
        <w:t>27</w:t>
      </w:r>
      <w:r>
        <w:t>(1), 42–49. https://doi.org/10.1111/j.1747-6593.2012.00324.x</w:t>
      </w:r>
    </w:p>
    <w:p w14:paraId="3AAC00D3" w14:textId="77777777" w:rsidR="007410EB" w:rsidRDefault="007410EB" w:rsidP="007410EB">
      <w:pPr>
        <w:pStyle w:val="Bibliography"/>
        <w:spacing w:line="240" w:lineRule="auto"/>
      </w:pPr>
      <w:r>
        <w:t xml:space="preserve">Banker, R., Teltsch, B., Sukenik, A., &amp; Carmeli, S. (2000). 7-Epicylindrospermopsin, a Toxic Minor Metabolite of the Cyanobacterium </w:t>
      </w:r>
      <w:r>
        <w:rPr>
          <w:i/>
          <w:iCs/>
        </w:rPr>
        <w:t>Aphanizomenon</w:t>
      </w:r>
      <w:r>
        <w:t xml:space="preserve"> </w:t>
      </w:r>
      <w:r>
        <w:rPr>
          <w:i/>
          <w:iCs/>
        </w:rPr>
        <w:t>o</w:t>
      </w:r>
      <w:r>
        <w:t xml:space="preserve"> </w:t>
      </w:r>
      <w:r>
        <w:rPr>
          <w:i/>
          <w:iCs/>
        </w:rPr>
        <w:t>valisporum</w:t>
      </w:r>
      <w:r>
        <w:t xml:space="preserve"> from Lake Kinneret, Israel. </w:t>
      </w:r>
      <w:r>
        <w:rPr>
          <w:i/>
          <w:iCs/>
        </w:rPr>
        <w:t>Journal of Natural Products</w:t>
      </w:r>
      <w:r>
        <w:t xml:space="preserve">, </w:t>
      </w:r>
      <w:r>
        <w:rPr>
          <w:i/>
          <w:iCs/>
        </w:rPr>
        <w:t>63</w:t>
      </w:r>
      <w:r>
        <w:t>(3), 387–389. https://doi.org/10.1021/np990498m</w:t>
      </w:r>
    </w:p>
    <w:p w14:paraId="73A85F3D" w14:textId="77777777" w:rsidR="007410EB" w:rsidRDefault="007410EB" w:rsidP="007410EB">
      <w:pPr>
        <w:pStyle w:val="Bibliography"/>
        <w:spacing w:line="240" w:lineRule="auto"/>
      </w:pPr>
      <w:r>
        <w:t xml:space="preserve">Benayache, N.-Y., Nguyen-Quang, T., Hushchyna, K., McLellan, K., Afri-Mehennaoui, F.-Z., &amp; Bouaïcha, N. (2019). An Overview of Cyanobacteria Harmful Algal Bloom (CyanoHAB) Issues in Freshwater Ecosystems. In D. Gökçe (Ed.), </w:t>
      </w:r>
      <w:r>
        <w:rPr>
          <w:i/>
          <w:iCs/>
        </w:rPr>
        <w:t>Limnology—Some New Aspects of Inland Water Ecology</w:t>
      </w:r>
      <w:r>
        <w:t>. IntechOpen. https://doi.org/10.5772/intechopen.84155</w:t>
      </w:r>
    </w:p>
    <w:p w14:paraId="1D5A9708" w14:textId="77777777" w:rsidR="007410EB" w:rsidRDefault="007410EB" w:rsidP="007410EB">
      <w:pPr>
        <w:pStyle w:val="Bibliography"/>
        <w:spacing w:line="240" w:lineRule="auto"/>
      </w:pPr>
      <w:r>
        <w:t xml:space="preserve">Bláhová, L., Oravec, M., Maršálek, B., Šejnohová, L., Šimek, Z., &amp; Bláha, L. (2009). The first occurrence of the cyanobacterial alkaloid toxin cylindrospermopsin in the Czech Republic as determined </w:t>
      </w:r>
      <w:r>
        <w:lastRenderedPageBreak/>
        <w:t xml:space="preserve">by immunochemical and LC/MS methods. </w:t>
      </w:r>
      <w:r>
        <w:rPr>
          <w:i/>
          <w:iCs/>
        </w:rPr>
        <w:t>Toxicon</w:t>
      </w:r>
      <w:r>
        <w:t xml:space="preserve">, </w:t>
      </w:r>
      <w:r>
        <w:rPr>
          <w:i/>
          <w:iCs/>
        </w:rPr>
        <w:t>53</w:t>
      </w:r>
      <w:r>
        <w:t>(5), 519–524. https://doi.org/10.1016/j.toxicon.2009.01.014</w:t>
      </w:r>
    </w:p>
    <w:p w14:paraId="3760C8BA" w14:textId="77777777" w:rsidR="007410EB" w:rsidRDefault="007410EB" w:rsidP="007410EB">
      <w:pPr>
        <w:pStyle w:val="Bibliography"/>
        <w:spacing w:line="240" w:lineRule="auto"/>
      </w:pPr>
      <w:r>
        <w:t xml:space="preserve">Bostan, H. B., Taghdisi, S. M., Bowen, J. L., Demertzis, N., Rezaee, R., Panahi, Y., Tsatsakis, A. M., &amp; Karimi, G. (2018). Determination of microcystin-LR, employing aptasensors. </w:t>
      </w:r>
      <w:r>
        <w:rPr>
          <w:i/>
          <w:iCs/>
        </w:rPr>
        <w:t>Biosensors and Bioelectronics</w:t>
      </w:r>
      <w:r>
        <w:t xml:space="preserve">, </w:t>
      </w:r>
      <w:r>
        <w:rPr>
          <w:i/>
          <w:iCs/>
        </w:rPr>
        <w:t>119</w:t>
      </w:r>
      <w:r>
        <w:t>, 110–118. https://doi.org/10.1016/j.bios.2018.08.003</w:t>
      </w:r>
    </w:p>
    <w:p w14:paraId="1701519A" w14:textId="77777777" w:rsidR="007410EB" w:rsidRDefault="007410EB" w:rsidP="007410EB">
      <w:pPr>
        <w:pStyle w:val="Bibliography"/>
        <w:spacing w:line="240" w:lineRule="auto"/>
      </w:pPr>
      <w:r>
        <w:t xml:space="preserve">Bouaïcha, N., Miles, C., Beach, D., Labidi, Z., Djabri, A., Benayache, N., &amp; Nguyen-Quang, T. (2019). Structural Diversity, Characterization and Toxicology of Microcystins. </w:t>
      </w:r>
      <w:r>
        <w:rPr>
          <w:i/>
          <w:iCs/>
        </w:rPr>
        <w:t>Toxins</w:t>
      </w:r>
      <w:r>
        <w:t xml:space="preserve">, </w:t>
      </w:r>
      <w:r>
        <w:rPr>
          <w:i/>
          <w:iCs/>
        </w:rPr>
        <w:t>11</w:t>
      </w:r>
      <w:r>
        <w:t>(12), 714. https://doi.org/10.3390/toxins11120714</w:t>
      </w:r>
    </w:p>
    <w:p w14:paraId="28A4461B" w14:textId="77777777" w:rsidR="007410EB" w:rsidRDefault="007410EB" w:rsidP="007410EB">
      <w:pPr>
        <w:pStyle w:val="Bibliography"/>
        <w:spacing w:line="240" w:lineRule="auto"/>
      </w:pPr>
      <w:r>
        <w:t xml:space="preserve">Bouteiller, P., Lance, E., Guérin, T., &amp; Biré, R. (2022). Analysis of Total-Forms of Cyanotoxins Microcystins in Biological Matrices: A Methodological Review. </w:t>
      </w:r>
      <w:r>
        <w:rPr>
          <w:i/>
          <w:iCs/>
        </w:rPr>
        <w:t>Toxins</w:t>
      </w:r>
      <w:r>
        <w:t xml:space="preserve">, </w:t>
      </w:r>
      <w:r>
        <w:rPr>
          <w:i/>
          <w:iCs/>
        </w:rPr>
        <w:t>14</w:t>
      </w:r>
      <w:r>
        <w:t>(8), 550. https://doi.org/10.3390/toxins14080550</w:t>
      </w:r>
    </w:p>
    <w:p w14:paraId="41224663" w14:textId="77777777" w:rsidR="007410EB" w:rsidRPr="007410EB" w:rsidRDefault="007410EB" w:rsidP="007410EB">
      <w:pPr>
        <w:pStyle w:val="Bibliography"/>
        <w:spacing w:line="240" w:lineRule="auto"/>
        <w:rPr>
          <w:lang w:val="it-IT"/>
        </w:rPr>
      </w:pPr>
      <w:r>
        <w:t xml:space="preserve">Bumke-Vogt, C., Mailahn, W., Rotard, W., &amp; Chorus, I. (1996). A highly sensitive analytical method for the neurotoxin anatoxin-a, using GC-ECD, and first application to laboratory cultures. </w:t>
      </w:r>
      <w:r w:rsidRPr="007410EB">
        <w:rPr>
          <w:i/>
          <w:iCs/>
          <w:lang w:val="it-IT"/>
        </w:rPr>
        <w:t>Phycologia</w:t>
      </w:r>
      <w:r w:rsidRPr="007410EB">
        <w:rPr>
          <w:lang w:val="it-IT"/>
        </w:rPr>
        <w:t xml:space="preserve">, </w:t>
      </w:r>
      <w:r w:rsidRPr="007410EB">
        <w:rPr>
          <w:i/>
          <w:iCs/>
          <w:lang w:val="it-IT"/>
        </w:rPr>
        <w:t>35</w:t>
      </w:r>
      <w:r w:rsidRPr="007410EB">
        <w:rPr>
          <w:lang w:val="it-IT"/>
        </w:rPr>
        <w:t>(sup6), 51–61. https://doi.org/10.2216/i0031-8884-35-6S-51.1</w:t>
      </w:r>
    </w:p>
    <w:p w14:paraId="5AF30FDE" w14:textId="77777777" w:rsidR="007410EB" w:rsidRDefault="007410EB" w:rsidP="007410EB">
      <w:pPr>
        <w:pStyle w:val="Bibliography"/>
        <w:spacing w:line="240" w:lineRule="auto"/>
      </w:pPr>
      <w:r w:rsidRPr="007410EB">
        <w:rPr>
          <w:lang w:val="it-IT"/>
        </w:rPr>
        <w:t xml:space="preserve">Carmichael, W. W. (1992). </w:t>
      </w:r>
      <w:r>
        <w:t xml:space="preserve">Cyanobacteria secondary metabolites—The cyanotoxins. </w:t>
      </w:r>
      <w:r>
        <w:rPr>
          <w:i/>
          <w:iCs/>
        </w:rPr>
        <w:t>Journal of Applied Bacteriology</w:t>
      </w:r>
      <w:r>
        <w:t xml:space="preserve">, </w:t>
      </w:r>
      <w:r>
        <w:rPr>
          <w:i/>
          <w:iCs/>
        </w:rPr>
        <w:t>72</w:t>
      </w:r>
      <w:r>
        <w:t>(6), 445–459. https://doi.org/10.1111/j.1365-2672.1992.tb01858.x</w:t>
      </w:r>
    </w:p>
    <w:p w14:paraId="39B49190" w14:textId="77777777" w:rsidR="007410EB" w:rsidRDefault="007410EB" w:rsidP="007410EB">
      <w:pPr>
        <w:pStyle w:val="Bibliography"/>
        <w:spacing w:line="240" w:lineRule="auto"/>
      </w:pPr>
      <w:r>
        <w:t xml:space="preserve">Carmichael, W. W. (2001). Health Effects of Toxin-Producing Cyanobacteria: “The CyanoHABs.” </w:t>
      </w:r>
      <w:r>
        <w:rPr>
          <w:i/>
          <w:iCs/>
        </w:rPr>
        <w:t>Human and Ecological Risk Assessment: An International Journal</w:t>
      </w:r>
      <w:r>
        <w:t xml:space="preserve">, </w:t>
      </w:r>
      <w:r>
        <w:rPr>
          <w:i/>
          <w:iCs/>
        </w:rPr>
        <w:t>7</w:t>
      </w:r>
      <w:r>
        <w:t>(5), 1393–1407. https://doi.org/10.1080/20018091095087</w:t>
      </w:r>
    </w:p>
    <w:p w14:paraId="5F4119F3" w14:textId="77777777" w:rsidR="007410EB" w:rsidRDefault="007410EB" w:rsidP="007410EB">
      <w:pPr>
        <w:pStyle w:val="Bibliography"/>
        <w:spacing w:line="240" w:lineRule="auto"/>
      </w:pPr>
      <w:r w:rsidRPr="007410EB">
        <w:rPr>
          <w:lang w:val="it-IT"/>
        </w:rPr>
        <w:t xml:space="preserve">Carmona-Molero, R., Aparicio-Muriana, M. M., Lara, F. J., García-Campaña, A. M., &amp; Olmo-Iruela, M. D. (2024). </w:t>
      </w:r>
      <w:r>
        <w:t xml:space="preserve">Capillary electrophoresis tandem mass spectrometry to determine multiclass cyanotoxins in reservoir water and spinach samples. </w:t>
      </w:r>
      <w:r>
        <w:rPr>
          <w:i/>
          <w:iCs/>
        </w:rPr>
        <w:t>Journal of Chromatography A</w:t>
      </w:r>
      <w:r>
        <w:t xml:space="preserve">, </w:t>
      </w:r>
      <w:r>
        <w:rPr>
          <w:i/>
          <w:iCs/>
        </w:rPr>
        <w:t>1717</w:t>
      </w:r>
      <w:r>
        <w:t>, 464666. https://doi.org/10.1016/j.chroma.2024.464666</w:t>
      </w:r>
    </w:p>
    <w:p w14:paraId="5F8D7AE8" w14:textId="77777777" w:rsidR="007410EB" w:rsidRDefault="007410EB" w:rsidP="007410EB">
      <w:pPr>
        <w:pStyle w:val="Bibliography"/>
        <w:spacing w:line="240" w:lineRule="auto"/>
      </w:pPr>
      <w:r>
        <w:t xml:space="preserve">Cartmell, C., Evans, D. M., Elwood, J. M. L., Fituri, H. S., Murphy, P. J., Caspari, T., Poniedziałek, B., &amp; Rzymski, P. (2017). Synthetic analogues of cyanobacterial alkaloid cylindrospermopsin and their toxicological activity. </w:t>
      </w:r>
      <w:r>
        <w:rPr>
          <w:i/>
          <w:iCs/>
        </w:rPr>
        <w:t>Toxicology in Vitro</w:t>
      </w:r>
      <w:r>
        <w:t xml:space="preserve">, </w:t>
      </w:r>
      <w:r>
        <w:rPr>
          <w:i/>
          <w:iCs/>
        </w:rPr>
        <w:t>44</w:t>
      </w:r>
      <w:r>
        <w:t>, 172–181. https://doi.org/10.1016/j.tiv.2017.07.007</w:t>
      </w:r>
    </w:p>
    <w:p w14:paraId="51B10B3E" w14:textId="77777777" w:rsidR="007410EB" w:rsidRDefault="007410EB" w:rsidP="007410EB">
      <w:pPr>
        <w:pStyle w:val="Bibliography"/>
        <w:spacing w:line="240" w:lineRule="auto"/>
      </w:pPr>
      <w:r>
        <w:t xml:space="preserve">Chorus, I. (n.d.). </w:t>
      </w:r>
      <w:r>
        <w:rPr>
          <w:i/>
          <w:iCs/>
        </w:rPr>
        <w:t>Toxic Cyanobacteria in Water; A Guide to Their Public Health Consequences, Monitoring and Management; Second Edition</w:t>
      </w:r>
      <w:r>
        <w:t>.</w:t>
      </w:r>
    </w:p>
    <w:p w14:paraId="1009381F" w14:textId="77777777" w:rsidR="007410EB" w:rsidRDefault="007410EB" w:rsidP="007410EB">
      <w:pPr>
        <w:pStyle w:val="Bibliography"/>
        <w:spacing w:line="240" w:lineRule="auto"/>
      </w:pPr>
      <w:r>
        <w:t xml:space="preserve">Dai, H., Liu, J., Wang, S., Wang, B., Kai, T., Wu, P., &amp; Ding, P. (2025). Recent advances in optical sensors for microcystin-LR: From recognition elements to signal transduction. </w:t>
      </w:r>
      <w:r>
        <w:rPr>
          <w:i/>
          <w:iCs/>
        </w:rPr>
        <w:t>The Analyst</w:t>
      </w:r>
      <w:r>
        <w:t xml:space="preserve">, </w:t>
      </w:r>
      <w:r>
        <w:rPr>
          <w:i/>
          <w:iCs/>
        </w:rPr>
        <w:t>150</w:t>
      </w:r>
      <w:r>
        <w:t>(8), 1470–1489. https://doi.org/10.1039/D4AN01576B</w:t>
      </w:r>
    </w:p>
    <w:p w14:paraId="4CBAB4A2" w14:textId="77777777" w:rsidR="007410EB" w:rsidRDefault="007410EB" w:rsidP="007410EB">
      <w:pPr>
        <w:pStyle w:val="Bibliography"/>
        <w:spacing w:line="240" w:lineRule="auto"/>
      </w:pPr>
      <w:r>
        <w:t xml:space="preserve">Dalu, T., &amp; Wasserman, R. J. (2018). Cyanobacteria dynamics in a small tropical reservoir: Understanding spatio-temporal variability and influence of environmental variables. </w:t>
      </w:r>
      <w:r>
        <w:rPr>
          <w:i/>
          <w:iCs/>
        </w:rPr>
        <w:t>Science of The Total Environment</w:t>
      </w:r>
      <w:r>
        <w:t xml:space="preserve">, </w:t>
      </w:r>
      <w:r>
        <w:rPr>
          <w:i/>
          <w:iCs/>
        </w:rPr>
        <w:t>643</w:t>
      </w:r>
      <w:r>
        <w:t>, 835–841. https://doi.org/10.1016/j.scitotenv.2018.06.256</w:t>
      </w:r>
    </w:p>
    <w:p w14:paraId="31B08D9C" w14:textId="77777777" w:rsidR="007410EB" w:rsidRDefault="007410EB" w:rsidP="007410EB">
      <w:pPr>
        <w:pStyle w:val="Bibliography"/>
        <w:spacing w:line="240" w:lineRule="auto"/>
      </w:pPr>
      <w:r>
        <w:t xml:space="preserve">Du, X., Liu, H., Yuan, L., Wang, Y., Ma, Y., Wang, R., Chen, X., Losiewicz, M., Guo, H., &amp; Zhang, H. (2019). The Diversity of Cyanobacterial Toxins on Structural Characterization, Distribution and Identification: A Systematic Review. </w:t>
      </w:r>
      <w:r>
        <w:rPr>
          <w:i/>
          <w:iCs/>
        </w:rPr>
        <w:t>Toxins</w:t>
      </w:r>
      <w:r>
        <w:t xml:space="preserve">, </w:t>
      </w:r>
      <w:r>
        <w:rPr>
          <w:i/>
          <w:iCs/>
        </w:rPr>
        <w:t>11</w:t>
      </w:r>
      <w:r>
        <w:t>(9), 530. https://doi.org/10.3390/toxins11090530</w:t>
      </w:r>
    </w:p>
    <w:p w14:paraId="5D355C95" w14:textId="77777777" w:rsidR="007410EB" w:rsidRDefault="007410EB" w:rsidP="007410EB">
      <w:pPr>
        <w:pStyle w:val="Bibliography"/>
        <w:spacing w:line="240" w:lineRule="auto"/>
      </w:pPr>
      <w:r>
        <w:t xml:space="preserve">Durán-Riveroll, L., &amp; Cembella, A. (2017). Guanidinium Toxins and Their Interactions with Voltage-Gated Sodium Ion Channels. </w:t>
      </w:r>
      <w:r>
        <w:rPr>
          <w:i/>
          <w:iCs/>
        </w:rPr>
        <w:t>Marine Drugs</w:t>
      </w:r>
      <w:r>
        <w:t xml:space="preserve">, </w:t>
      </w:r>
      <w:r>
        <w:rPr>
          <w:i/>
          <w:iCs/>
        </w:rPr>
        <w:t>15</w:t>
      </w:r>
      <w:r>
        <w:t>(10), 303. https://doi.org/10.3390/md15100303</w:t>
      </w:r>
    </w:p>
    <w:p w14:paraId="632DA1D5" w14:textId="77777777" w:rsidR="007410EB" w:rsidRDefault="007410EB" w:rsidP="007410EB">
      <w:pPr>
        <w:pStyle w:val="Bibliography"/>
        <w:spacing w:line="240" w:lineRule="auto"/>
      </w:pPr>
      <w:r>
        <w:t xml:space="preserve">Evans, D. M., Hughes, J., Jones, L. F., Murphy, P. J., Falfushynska, H., Horyn, O., Sokolova, I. M., Christensen, J., Coles, S. J., &amp; Rzymski, P. (2019). Elucidating cylindrospermopsin toxicity via synthetic analogues: An in vitro approach. </w:t>
      </w:r>
      <w:r>
        <w:rPr>
          <w:i/>
          <w:iCs/>
        </w:rPr>
        <w:t>Chemosphere</w:t>
      </w:r>
      <w:r>
        <w:t xml:space="preserve">, </w:t>
      </w:r>
      <w:r>
        <w:rPr>
          <w:i/>
          <w:iCs/>
        </w:rPr>
        <w:t>234</w:t>
      </w:r>
      <w:r>
        <w:t>, 139–147. https://doi.org/10.1016/j.chemosphere.2019.06.021</w:t>
      </w:r>
    </w:p>
    <w:p w14:paraId="68A6632F" w14:textId="77777777" w:rsidR="007410EB" w:rsidRPr="007410EB" w:rsidRDefault="007410EB" w:rsidP="007410EB">
      <w:pPr>
        <w:pStyle w:val="Bibliography"/>
        <w:spacing w:line="240" w:lineRule="auto"/>
        <w:rPr>
          <w:lang w:val="it-IT"/>
        </w:rPr>
      </w:pPr>
      <w:r>
        <w:t xml:space="preserve">Foss, A. J., Miles, C. O., Wilkins, A. L., Rise, F., Trovik, K. W., Cieslik, K., &amp; Aubel, M. T. (2020). Analysis of total microcystins and nodularins by oxidative cleavage of their ADMAdda, DMAdda, and Adda moieties. </w:t>
      </w:r>
      <w:r w:rsidRPr="007410EB">
        <w:rPr>
          <w:i/>
          <w:iCs/>
          <w:lang w:val="it-IT"/>
        </w:rPr>
        <w:t>Analytica Chimica Acta: X</w:t>
      </w:r>
      <w:r w:rsidRPr="007410EB">
        <w:rPr>
          <w:lang w:val="it-IT"/>
        </w:rPr>
        <w:t xml:space="preserve">, </w:t>
      </w:r>
      <w:r w:rsidRPr="007410EB">
        <w:rPr>
          <w:i/>
          <w:iCs/>
          <w:lang w:val="it-IT"/>
        </w:rPr>
        <w:t>6</w:t>
      </w:r>
      <w:r w:rsidRPr="007410EB">
        <w:rPr>
          <w:lang w:val="it-IT"/>
        </w:rPr>
        <w:t>, 100060. https://doi.org/10.1016/j.acax.2020.100060</w:t>
      </w:r>
    </w:p>
    <w:p w14:paraId="5237F71D" w14:textId="77777777" w:rsidR="007410EB" w:rsidRDefault="007410EB" w:rsidP="007410EB">
      <w:pPr>
        <w:pStyle w:val="Bibliography"/>
        <w:spacing w:line="240" w:lineRule="auto"/>
      </w:pPr>
      <w:r w:rsidRPr="007410EB">
        <w:rPr>
          <w:lang w:val="it-IT"/>
        </w:rPr>
        <w:lastRenderedPageBreak/>
        <w:t xml:space="preserve">Gademann, K., &amp; Portmann, C. (2008). </w:t>
      </w:r>
      <w:r>
        <w:t xml:space="preserve">Secondary Metabolites from Cyanobacteria: Complex Structures and Powerful Bioactivities. </w:t>
      </w:r>
      <w:r>
        <w:rPr>
          <w:i/>
          <w:iCs/>
        </w:rPr>
        <w:t>Current Organic Chemistry</w:t>
      </w:r>
      <w:r>
        <w:t xml:space="preserve">, </w:t>
      </w:r>
      <w:r>
        <w:rPr>
          <w:i/>
          <w:iCs/>
        </w:rPr>
        <w:t>12</w:t>
      </w:r>
      <w:r>
        <w:t>(4), 326–341. https://doi.org/10.2174/138527208783743750</w:t>
      </w:r>
    </w:p>
    <w:p w14:paraId="480FE2BC" w14:textId="77777777" w:rsidR="007410EB" w:rsidRDefault="007410EB" w:rsidP="007410EB">
      <w:pPr>
        <w:pStyle w:val="Bibliography"/>
        <w:spacing w:line="240" w:lineRule="auto"/>
      </w:pPr>
      <w:r>
        <w:t xml:space="preserve">Galat, D. L., Verdin, J. P., &amp; Sims, L. L. (n.d.). </w:t>
      </w:r>
      <w:r>
        <w:rPr>
          <w:i/>
          <w:iCs/>
        </w:rPr>
        <w:t>Large-scale patterns of Nodularia spumigena blooms in Pyramid Lake, Nevada, determined from Landsat imagery: 1972-1986</w:t>
      </w:r>
      <w:r>
        <w:t>.</w:t>
      </w:r>
    </w:p>
    <w:p w14:paraId="247A1FEA" w14:textId="77777777" w:rsidR="007410EB" w:rsidRDefault="007410EB" w:rsidP="007410EB">
      <w:pPr>
        <w:pStyle w:val="Bibliography"/>
        <w:spacing w:line="240" w:lineRule="auto"/>
      </w:pPr>
      <w:r w:rsidRPr="007410EB">
        <w:rPr>
          <w:lang w:val="it-IT"/>
        </w:rPr>
        <w:t xml:space="preserve">García, Y., Vera, M., Giraldo, J. D., Garrido-Miranda, K., Jiménez, V. A., Urbano, B. F., &amp; Pereira, E. D. (2022). </w:t>
      </w:r>
      <w:r>
        <w:t xml:space="preserve">Microcystins Detection Methods: A Focus on Recent Advances Using Molecularly Imprinted Polymers. </w:t>
      </w:r>
      <w:r>
        <w:rPr>
          <w:i/>
          <w:iCs/>
        </w:rPr>
        <w:t>Analytical Chemistry</w:t>
      </w:r>
      <w:r>
        <w:t xml:space="preserve">, </w:t>
      </w:r>
      <w:r>
        <w:rPr>
          <w:i/>
          <w:iCs/>
        </w:rPr>
        <w:t>94</w:t>
      </w:r>
      <w:r>
        <w:t>(1), 464–478. https://doi.org/10.1021/acs.analchem.1c04090</w:t>
      </w:r>
    </w:p>
    <w:p w14:paraId="7C2710C5" w14:textId="77777777" w:rsidR="007410EB" w:rsidRDefault="007410EB" w:rsidP="007410EB">
      <w:pPr>
        <w:pStyle w:val="Bibliography"/>
        <w:spacing w:line="240" w:lineRule="auto"/>
      </w:pPr>
      <w:r>
        <w:t xml:space="preserve">Gaysina, L. A., Novikova, E. O., Gibadullina, N. B., Padalka, A. A., &amp; Pavlyuk, T. E. (2024). Mutual Influence of Cyanobacteria and Green Algae in Cocultures Using the Example of Dolichospermum spiroides, Planktothrix agardhii, and Chlorella vulgaris. </w:t>
      </w:r>
      <w:r>
        <w:rPr>
          <w:i/>
          <w:iCs/>
        </w:rPr>
        <w:t>Inland Water Biology</w:t>
      </w:r>
      <w:r>
        <w:t xml:space="preserve">, </w:t>
      </w:r>
      <w:r>
        <w:rPr>
          <w:i/>
          <w:iCs/>
        </w:rPr>
        <w:t>17</w:t>
      </w:r>
      <w:r>
        <w:t>(6), 977–984. https://doi.org/10.1134/S1995082924700627</w:t>
      </w:r>
    </w:p>
    <w:p w14:paraId="01BB61B0" w14:textId="77777777" w:rsidR="007410EB" w:rsidRDefault="007410EB" w:rsidP="007410EB">
      <w:pPr>
        <w:pStyle w:val="Bibliography"/>
        <w:spacing w:line="240" w:lineRule="auto"/>
      </w:pPr>
      <w:r>
        <w:t xml:space="preserve">He, X., Stanford, B. D., Adams, C., Rosenfeldt, E. J., &amp; Wert, E. C. (2017). Varied influence of microcystin structural difference on ELISA cross-reactivity and chlorination efficiency of congener mixtures. </w:t>
      </w:r>
      <w:r>
        <w:rPr>
          <w:i/>
          <w:iCs/>
        </w:rPr>
        <w:t>Water Research</w:t>
      </w:r>
      <w:r>
        <w:t xml:space="preserve">, </w:t>
      </w:r>
      <w:r>
        <w:rPr>
          <w:i/>
          <w:iCs/>
        </w:rPr>
        <w:t>126</w:t>
      </w:r>
      <w:r>
        <w:t>, 515–523. https://doi.org/10.1016/j.watres.2017.09.037</w:t>
      </w:r>
    </w:p>
    <w:p w14:paraId="0C9F43D4" w14:textId="77777777" w:rsidR="007410EB" w:rsidRDefault="007410EB" w:rsidP="007410EB">
      <w:pPr>
        <w:pStyle w:val="Bibliography"/>
        <w:spacing w:line="240" w:lineRule="auto"/>
      </w:pPr>
      <w:r>
        <w:t xml:space="preserve">Hoff-Risseti, C., Dörr, F. A., Schaker, P. D. C., Pinto, E., Werner, V. R., &amp; Fiore, M. F. (2013). Cylindrospermopsin and Saxitoxin Synthetase Genes in Cylindrospermopsis raciborskii Strains from Brazilian Freshwater. </w:t>
      </w:r>
      <w:r>
        <w:rPr>
          <w:i/>
          <w:iCs/>
        </w:rPr>
        <w:t>PLoS ONE</w:t>
      </w:r>
      <w:r>
        <w:t xml:space="preserve">, </w:t>
      </w:r>
      <w:r>
        <w:rPr>
          <w:i/>
          <w:iCs/>
        </w:rPr>
        <w:t>8</w:t>
      </w:r>
      <w:r>
        <w:t>(8), e74238. https://doi.org/10.1371/journal.pone.0074238</w:t>
      </w:r>
    </w:p>
    <w:p w14:paraId="54F9D9E8" w14:textId="77777777" w:rsidR="007410EB" w:rsidRDefault="007410EB" w:rsidP="007410EB">
      <w:pPr>
        <w:pStyle w:val="Bibliography"/>
        <w:spacing w:line="240" w:lineRule="auto"/>
      </w:pPr>
      <w:r>
        <w:t xml:space="preserve">Hou, L., Ding, Y., Zhang, L., Guo, Y., Li, M., Chen, Z., &amp; Wu, X. (2016). An ultrasensitive competitive immunosensor for impedimetric detection of microcystin-LR via antibody-conjugated enzymatic biocatalytic precipitation. </w:t>
      </w:r>
      <w:r>
        <w:rPr>
          <w:i/>
          <w:iCs/>
        </w:rPr>
        <w:t>Sensors and Actuators B: Chemical</w:t>
      </w:r>
      <w:r>
        <w:t xml:space="preserve">, </w:t>
      </w:r>
      <w:r>
        <w:rPr>
          <w:i/>
          <w:iCs/>
        </w:rPr>
        <w:t>233</w:t>
      </w:r>
      <w:r>
        <w:t>, 63–70. https://doi.org/10.1016/j.snb.2016.04.034</w:t>
      </w:r>
    </w:p>
    <w:p w14:paraId="10298B77" w14:textId="77777777" w:rsidR="007410EB" w:rsidRDefault="007410EB" w:rsidP="007410EB">
      <w:pPr>
        <w:pStyle w:val="Bibliography"/>
        <w:spacing w:line="240" w:lineRule="auto"/>
      </w:pPr>
      <w:r>
        <w:t xml:space="preserve">Humbert, J. F., Quiblier, C., &amp; Gugger, M. (2010). Molecular approaches for monitoring potentially toxic marine and freshwater phytoplankton species. </w:t>
      </w:r>
      <w:r>
        <w:rPr>
          <w:i/>
          <w:iCs/>
        </w:rPr>
        <w:t>Analytical and Bioanalytical Chemistry</w:t>
      </w:r>
      <w:r>
        <w:t xml:space="preserve">, </w:t>
      </w:r>
      <w:r>
        <w:rPr>
          <w:i/>
          <w:iCs/>
        </w:rPr>
        <w:t>397</w:t>
      </w:r>
      <w:r>
        <w:t>(5), 1723–1732. https://doi.org/10.1007/s00216-010-3642-7</w:t>
      </w:r>
    </w:p>
    <w:p w14:paraId="24D817E5" w14:textId="77777777" w:rsidR="007410EB" w:rsidRDefault="007410EB" w:rsidP="007410EB">
      <w:pPr>
        <w:pStyle w:val="Bibliography"/>
        <w:spacing w:line="240" w:lineRule="auto"/>
      </w:pPr>
      <w:r>
        <w:t xml:space="preserve">Igwaran, A., Kayode, A. J., Moloantoa, K. M., Khetsha, Z. P., &amp; Unuofin, J. O. (2024). Cyanobacteria Harmful Algae Blooms: Causes, Impacts, and Risk Management. </w:t>
      </w:r>
      <w:r>
        <w:rPr>
          <w:i/>
          <w:iCs/>
        </w:rPr>
        <w:t>Water, Air, &amp; Soil Pollution</w:t>
      </w:r>
      <w:r>
        <w:t xml:space="preserve">, </w:t>
      </w:r>
      <w:r>
        <w:rPr>
          <w:i/>
          <w:iCs/>
        </w:rPr>
        <w:t>235</w:t>
      </w:r>
      <w:r>
        <w:t>(1), 71. https://doi.org/10.1007/s11270-023-06782-y</w:t>
      </w:r>
    </w:p>
    <w:p w14:paraId="1119607F" w14:textId="77777777" w:rsidR="007410EB" w:rsidRPr="007410EB" w:rsidRDefault="007410EB" w:rsidP="007410EB">
      <w:pPr>
        <w:pStyle w:val="Bibliography"/>
        <w:spacing w:line="240" w:lineRule="auto"/>
        <w:rPr>
          <w:lang w:val="it-IT"/>
        </w:rPr>
      </w:pPr>
      <w:r w:rsidRPr="007410EB">
        <w:rPr>
          <w:lang w:val="it-IT"/>
        </w:rPr>
        <w:t xml:space="preserve">Jacinavicius, F. R., Valverde Campos, T. G., Passos, L. S., Pinto, E., &amp; Geraldes, V. (2023). </w:t>
      </w:r>
      <w:r>
        <w:t xml:space="preserve">A rapid LC-MS/MS method for multi-class identification and quantification of cyanotoxins. </w:t>
      </w:r>
      <w:r w:rsidRPr="007410EB">
        <w:rPr>
          <w:i/>
          <w:iCs/>
          <w:lang w:val="it-IT"/>
        </w:rPr>
        <w:t>Toxicon</w:t>
      </w:r>
      <w:r w:rsidRPr="007410EB">
        <w:rPr>
          <w:lang w:val="it-IT"/>
        </w:rPr>
        <w:t xml:space="preserve">, </w:t>
      </w:r>
      <w:r w:rsidRPr="007410EB">
        <w:rPr>
          <w:i/>
          <w:iCs/>
          <w:lang w:val="it-IT"/>
        </w:rPr>
        <w:t>234</w:t>
      </w:r>
      <w:r w:rsidRPr="007410EB">
        <w:rPr>
          <w:lang w:val="it-IT"/>
        </w:rPr>
        <w:t>, 107282. https://doi.org/10.1016/j.toxicon.2023.107282</w:t>
      </w:r>
    </w:p>
    <w:p w14:paraId="15979360" w14:textId="77777777" w:rsidR="007410EB" w:rsidRDefault="007410EB" w:rsidP="007410EB">
      <w:pPr>
        <w:pStyle w:val="Bibliography"/>
        <w:spacing w:line="240" w:lineRule="auto"/>
      </w:pPr>
      <w:r w:rsidRPr="007410EB">
        <w:rPr>
          <w:lang w:val="it-IT"/>
        </w:rPr>
        <w:t xml:space="preserve">Kinyua, D. M., Memeu, D. M., Mugo Mwenda, C. N., Ventura, B. D., &amp; Velotta, R. (2025). </w:t>
      </w:r>
      <w:r>
        <w:t xml:space="preserve">Advancements and Applications of Lateral Flow Assays (LFAs): A Comprehensive Review. </w:t>
      </w:r>
      <w:r>
        <w:rPr>
          <w:i/>
          <w:iCs/>
        </w:rPr>
        <w:t>Sensors</w:t>
      </w:r>
      <w:r>
        <w:t xml:space="preserve">, </w:t>
      </w:r>
      <w:r>
        <w:rPr>
          <w:i/>
          <w:iCs/>
        </w:rPr>
        <w:t>25</w:t>
      </w:r>
      <w:r>
        <w:t>(17), 5414. https://doi.org/10.3390/s25175414</w:t>
      </w:r>
    </w:p>
    <w:p w14:paraId="72FD75EE" w14:textId="77777777" w:rsidR="007410EB" w:rsidRDefault="007410EB" w:rsidP="007410EB">
      <w:pPr>
        <w:pStyle w:val="Bibliography"/>
        <w:spacing w:line="240" w:lineRule="auto"/>
      </w:pPr>
      <w:r>
        <w:t xml:space="preserve">Koksharova, O. A., &amp; Safronova, N. A. (2022). Non-Proteinogenic Amino Acid β-N-Methylamino-L-Alanine (BMAA): Bioactivity and Ecological Significance. </w:t>
      </w:r>
      <w:r>
        <w:rPr>
          <w:i/>
          <w:iCs/>
        </w:rPr>
        <w:t>Toxins</w:t>
      </w:r>
      <w:r>
        <w:t xml:space="preserve">, </w:t>
      </w:r>
      <w:r>
        <w:rPr>
          <w:i/>
          <w:iCs/>
        </w:rPr>
        <w:t>14</w:t>
      </w:r>
      <w:r>
        <w:t>(8), 539. https://doi.org/10.3390/toxins14080539</w:t>
      </w:r>
    </w:p>
    <w:p w14:paraId="00A2242D" w14:textId="77777777" w:rsidR="007410EB" w:rsidRDefault="007410EB" w:rsidP="007410EB">
      <w:pPr>
        <w:pStyle w:val="Bibliography"/>
        <w:spacing w:line="240" w:lineRule="auto"/>
      </w:pPr>
      <w:r>
        <w:t xml:space="preserve">Kulabhusan, P. K., &amp; Campbell, K. (2021). Recent trends in the detection of freshwater cyanotoxins with a critical note on their occurrence in Asia. </w:t>
      </w:r>
      <w:r>
        <w:rPr>
          <w:i/>
          <w:iCs/>
        </w:rPr>
        <w:t>Trends in Environmental Analytical Chemistry</w:t>
      </w:r>
      <w:r>
        <w:t xml:space="preserve">, </w:t>
      </w:r>
      <w:r>
        <w:rPr>
          <w:i/>
          <w:iCs/>
        </w:rPr>
        <w:t>32</w:t>
      </w:r>
      <w:r>
        <w:t>, e00150. https://doi.org/10.1016/j.teac.2021.e00150</w:t>
      </w:r>
    </w:p>
    <w:p w14:paraId="6752776F" w14:textId="77777777" w:rsidR="007410EB" w:rsidRDefault="007410EB" w:rsidP="007410EB">
      <w:pPr>
        <w:pStyle w:val="Bibliography"/>
        <w:spacing w:line="240" w:lineRule="auto"/>
      </w:pPr>
      <w:r>
        <w:t xml:space="preserve">Kurmayer, R., Entfellner, E., Weisse, T., Offterdinger, M., Rentmeister, A., &amp; Deng, L. (2020). Chemically labeled toxins or bioactive peptides show a heterogeneous intracellular distribution and low spatial overlap with autofluorescence in bloom-forming cyanobacteria. </w:t>
      </w:r>
      <w:r>
        <w:rPr>
          <w:i/>
          <w:iCs/>
        </w:rPr>
        <w:t>Scientific Reports</w:t>
      </w:r>
      <w:r>
        <w:t xml:space="preserve">, </w:t>
      </w:r>
      <w:r>
        <w:rPr>
          <w:i/>
          <w:iCs/>
        </w:rPr>
        <w:t>10</w:t>
      </w:r>
      <w:r>
        <w:t>(1), 2781. https://doi.org/10.1038/s41598-020-59381-w</w:t>
      </w:r>
    </w:p>
    <w:p w14:paraId="61BCDA27" w14:textId="77777777" w:rsidR="007410EB" w:rsidRDefault="007410EB" w:rsidP="007410EB">
      <w:pPr>
        <w:pStyle w:val="Bibliography"/>
        <w:spacing w:line="240" w:lineRule="auto"/>
      </w:pPr>
      <w:r>
        <w:t xml:space="preserve">Lajeunesse, A., Segura, P. A., Gélinas, M., Hudon, C., Thomas, K., Quilliam, M. A., &amp; Gagnon, C. (2012). Detection and confirmation of saxitoxin analogues in freshwater benthic Lyngbya wollei algae collected in the St. Lawrence River (Canada) by liquid chromatography–tandem mass </w:t>
      </w:r>
      <w:r>
        <w:lastRenderedPageBreak/>
        <w:t xml:space="preserve">spectrometry. </w:t>
      </w:r>
      <w:r>
        <w:rPr>
          <w:i/>
          <w:iCs/>
        </w:rPr>
        <w:t>Journal of Chromatography A</w:t>
      </w:r>
      <w:r>
        <w:t xml:space="preserve">, </w:t>
      </w:r>
      <w:r>
        <w:rPr>
          <w:i/>
          <w:iCs/>
        </w:rPr>
        <w:t>1219</w:t>
      </w:r>
      <w:r>
        <w:t>, 93–103. https://doi.org/10.1016/j.chroma.2011.10.092</w:t>
      </w:r>
    </w:p>
    <w:p w14:paraId="250A0700" w14:textId="77777777" w:rsidR="007410EB" w:rsidRDefault="007410EB" w:rsidP="007410EB">
      <w:pPr>
        <w:pStyle w:val="Bibliography"/>
        <w:spacing w:line="240" w:lineRule="auto"/>
      </w:pPr>
      <w:r>
        <w:t xml:space="preserve">Lan, Y., He, B., Tan, C. S., &amp; Ming, D. (2022). Applications of Smartphone-Based Aptasensor for Diverse Targets Detection. </w:t>
      </w:r>
      <w:r>
        <w:rPr>
          <w:i/>
          <w:iCs/>
        </w:rPr>
        <w:t>Biosensors</w:t>
      </w:r>
      <w:r>
        <w:t xml:space="preserve">, </w:t>
      </w:r>
      <w:r>
        <w:rPr>
          <w:i/>
          <w:iCs/>
        </w:rPr>
        <w:t>12</w:t>
      </w:r>
      <w:r>
        <w:t>(7), 477. https://doi.org/10.3390/bios12070477</w:t>
      </w:r>
    </w:p>
    <w:p w14:paraId="0CBB5602" w14:textId="77777777" w:rsidR="007410EB" w:rsidRDefault="007410EB" w:rsidP="007410EB">
      <w:pPr>
        <w:pStyle w:val="Bibliography"/>
        <w:spacing w:line="240" w:lineRule="auto"/>
      </w:pPr>
      <w:r>
        <w:t xml:space="preserve">Lee, E.-H., &amp; Son, A. (2019). Fluorescence resonance energy transfer based quantum dot-Aptasensor for the selective detection of microcystin-LR in eutrophic water. </w:t>
      </w:r>
      <w:r>
        <w:rPr>
          <w:i/>
          <w:iCs/>
        </w:rPr>
        <w:t>Chemical Engineering Journal</w:t>
      </w:r>
      <w:r>
        <w:t xml:space="preserve">, </w:t>
      </w:r>
      <w:r>
        <w:rPr>
          <w:i/>
          <w:iCs/>
        </w:rPr>
        <w:t>359</w:t>
      </w:r>
      <w:r>
        <w:t>, 1493–1501. https://doi.org/10.1016/j.cej.2018.11.027</w:t>
      </w:r>
    </w:p>
    <w:p w14:paraId="09DF3763" w14:textId="77777777" w:rsidR="007410EB" w:rsidRDefault="007410EB" w:rsidP="007410EB">
      <w:pPr>
        <w:pStyle w:val="Bibliography"/>
        <w:spacing w:line="240" w:lineRule="auto"/>
      </w:pPr>
      <w:r>
        <w:t xml:space="preserve">Li, Y., Zhang, D., Zeng, X., Liu, C., Wu, Y., &amp; Fu, C. (2024). Advances in Aptamer-Based Biosensors for the Detection of Foodborne Mycotoxins. </w:t>
      </w:r>
      <w:r>
        <w:rPr>
          <w:i/>
          <w:iCs/>
        </w:rPr>
        <w:t>Molecules</w:t>
      </w:r>
      <w:r>
        <w:t xml:space="preserve">, </w:t>
      </w:r>
      <w:r>
        <w:rPr>
          <w:i/>
          <w:iCs/>
        </w:rPr>
        <w:t>29</w:t>
      </w:r>
      <w:r>
        <w:t>(16), 3974. https://doi.org/10.3390/molecules29163974</w:t>
      </w:r>
    </w:p>
    <w:p w14:paraId="535C8E55" w14:textId="77777777" w:rsidR="007410EB" w:rsidRDefault="007410EB" w:rsidP="007410EB">
      <w:pPr>
        <w:pStyle w:val="Bibliography"/>
        <w:spacing w:line="240" w:lineRule="auto"/>
      </w:pPr>
      <w:r>
        <w:t xml:space="preserve">Li, Z., Zhang, S., Yu, T., Dai, Z., &amp; Wei, Q. (2019). Aptamer-Based Fluorescent Sensor Array for Multiplexed Detection of Cyanotoxins on a Smartphone. </w:t>
      </w:r>
      <w:r>
        <w:rPr>
          <w:i/>
          <w:iCs/>
        </w:rPr>
        <w:t>Analytical Chemistry</w:t>
      </w:r>
      <w:r>
        <w:t xml:space="preserve">, </w:t>
      </w:r>
      <w:r>
        <w:rPr>
          <w:i/>
          <w:iCs/>
        </w:rPr>
        <w:t>91</w:t>
      </w:r>
      <w:r>
        <w:t>(16), 10448–10457. https://doi.org/10.1021/acs.analchem.9b00750</w:t>
      </w:r>
    </w:p>
    <w:p w14:paraId="20CD23A7" w14:textId="77777777" w:rsidR="007410EB" w:rsidRDefault="007410EB" w:rsidP="007410EB">
      <w:pPr>
        <w:pStyle w:val="Bibliography"/>
        <w:spacing w:line="240" w:lineRule="auto"/>
      </w:pPr>
      <w:r>
        <w:t xml:space="preserve">Liu, J., Xing, Y., Lin, Y., Xie, Y., &amp; Zhou, X. (2023). Effect of pretreatment approach on the ELISA-based detection of cyanotoxins in water: Analysis and application. </w:t>
      </w:r>
      <w:r>
        <w:rPr>
          <w:i/>
          <w:iCs/>
        </w:rPr>
        <w:t>Science of The Total Environment</w:t>
      </w:r>
      <w:r>
        <w:t xml:space="preserve">, </w:t>
      </w:r>
      <w:r>
        <w:rPr>
          <w:i/>
          <w:iCs/>
        </w:rPr>
        <w:t>871</w:t>
      </w:r>
      <w:r>
        <w:t>, 161988. https://doi.org/10.1016/j.scitotenv.2023.161988</w:t>
      </w:r>
    </w:p>
    <w:p w14:paraId="78DD9029" w14:textId="77777777" w:rsidR="007410EB" w:rsidRDefault="007410EB" w:rsidP="007410EB">
      <w:pPr>
        <w:pStyle w:val="Bibliography"/>
        <w:spacing w:line="240" w:lineRule="auto"/>
      </w:pPr>
      <w:r>
        <w:t xml:space="preserve">Liu, X., Tang, Y., Liu, P., Yang, L., Li, L., Zhang, Q., Zhou, Y., &amp; Khan, Md. Z. H. (2019). A highly sensitive electrochemical aptasensor for detection of microcystin-LR based on a dual signal amplification strategy. </w:t>
      </w:r>
      <w:r>
        <w:rPr>
          <w:i/>
          <w:iCs/>
        </w:rPr>
        <w:t>The Analyst</w:t>
      </w:r>
      <w:r>
        <w:t xml:space="preserve">, </w:t>
      </w:r>
      <w:r>
        <w:rPr>
          <w:i/>
          <w:iCs/>
        </w:rPr>
        <w:t>144</w:t>
      </w:r>
      <w:r>
        <w:t>(5), 1671–1678. https://doi.org/10.1039/C8AN01971A</w:t>
      </w:r>
    </w:p>
    <w:p w14:paraId="66F07492" w14:textId="77777777" w:rsidR="007410EB" w:rsidRDefault="007410EB" w:rsidP="007410EB">
      <w:pPr>
        <w:pStyle w:val="Bibliography"/>
        <w:spacing w:line="240" w:lineRule="auto"/>
      </w:pPr>
      <w:r>
        <w:t xml:space="preserve">Massey, I. Y., Wu, P., Wei, J., Luo, J., Ding, P., Wei, H., &amp; Yang, F. (2020). A Mini-Review on Detection Methods of Microcystins. </w:t>
      </w:r>
      <w:r>
        <w:rPr>
          <w:i/>
          <w:iCs/>
        </w:rPr>
        <w:t>Toxins</w:t>
      </w:r>
      <w:r>
        <w:t xml:space="preserve">, </w:t>
      </w:r>
      <w:r>
        <w:rPr>
          <w:i/>
          <w:iCs/>
        </w:rPr>
        <w:t>12</w:t>
      </w:r>
      <w:r>
        <w:t>(10), 641. https://doi.org/10.3390/toxins12100641</w:t>
      </w:r>
    </w:p>
    <w:p w14:paraId="31B4F2A9" w14:textId="77777777" w:rsidR="007410EB" w:rsidRDefault="007410EB" w:rsidP="007410EB">
      <w:pPr>
        <w:pStyle w:val="Bibliography"/>
        <w:spacing w:line="240" w:lineRule="auto"/>
      </w:pPr>
      <w:r>
        <w:t xml:space="preserve">Mir, S. A., Razzokov, J., Mukherjee, V., Baitharu, I., &amp; Nayak, B. (2024). An exploration of the binding prediction of anatoxin-a and atropine to acetylcholinesterase enzyme using multi-level computer simulations. </w:t>
      </w:r>
      <w:r>
        <w:rPr>
          <w:i/>
          <w:iCs/>
        </w:rPr>
        <w:t>Physical Biology</w:t>
      </w:r>
      <w:r>
        <w:t xml:space="preserve">, </w:t>
      </w:r>
      <w:r>
        <w:rPr>
          <w:i/>
          <w:iCs/>
        </w:rPr>
        <w:t>21</w:t>
      </w:r>
      <w:r>
        <w:t>(1), 016002. https://doi.org/10.1088/1478-3975/ad0caa</w:t>
      </w:r>
    </w:p>
    <w:p w14:paraId="05CE0D46" w14:textId="77777777" w:rsidR="007410EB" w:rsidRDefault="007410EB" w:rsidP="007410EB">
      <w:pPr>
        <w:pStyle w:val="Bibliography"/>
        <w:spacing w:line="240" w:lineRule="auto"/>
      </w:pPr>
      <w:r>
        <w:t xml:space="preserve">Nurrohman, D. T., &amp; Chiu, N.-F. (2021). A Review of Graphene-Based Surface Plasmon Resonance and Surface-Enhanced Raman Scattering Biosensors: Current Status and Future Prospects. </w:t>
      </w:r>
      <w:r>
        <w:rPr>
          <w:i/>
          <w:iCs/>
        </w:rPr>
        <w:t>Nanomaterials</w:t>
      </w:r>
      <w:r>
        <w:t xml:space="preserve">, </w:t>
      </w:r>
      <w:r>
        <w:rPr>
          <w:i/>
          <w:iCs/>
        </w:rPr>
        <w:t>11</w:t>
      </w:r>
      <w:r>
        <w:t>(1), 216. https://doi.org/10.3390/nano11010216</w:t>
      </w:r>
    </w:p>
    <w:p w14:paraId="4CDFDBAB" w14:textId="77777777" w:rsidR="007410EB" w:rsidRDefault="007410EB" w:rsidP="007410EB">
      <w:pPr>
        <w:pStyle w:val="Bibliography"/>
        <w:spacing w:line="240" w:lineRule="auto"/>
      </w:pPr>
      <w:r>
        <w:t xml:space="preserve">Ortiz, X., Korenkova, E., Jobst, K. J., MacPherson, K. A., &amp; Reiner, E. J. (2017). A high throughput targeted and non-targeted method for the analysis of microcystins and anatoxin-A using on-line solid phase extraction coupled to liquid chromatography–quadrupole time-of-flight high resolution mass spectrometry. </w:t>
      </w:r>
      <w:r>
        <w:rPr>
          <w:i/>
          <w:iCs/>
        </w:rPr>
        <w:t>Analytical and Bioanalytical Chemistry</w:t>
      </w:r>
      <w:r>
        <w:t xml:space="preserve">, </w:t>
      </w:r>
      <w:r>
        <w:rPr>
          <w:i/>
          <w:iCs/>
        </w:rPr>
        <w:t>409</w:t>
      </w:r>
      <w:r>
        <w:t>(21), 4959–4969. https://doi.org/10.1007/s00216-017-0437-0</w:t>
      </w:r>
    </w:p>
    <w:p w14:paraId="42FB1386" w14:textId="77777777" w:rsidR="007410EB" w:rsidRDefault="007410EB" w:rsidP="007410EB">
      <w:pPr>
        <w:pStyle w:val="Bibliography"/>
        <w:spacing w:line="240" w:lineRule="auto"/>
      </w:pPr>
      <w:r>
        <w:t xml:space="preserve">Paerl, H. W., Hall, N. S., &amp; Calandrino, E. S. (2011). Controlling harmful cyanobacterial blooms in a world experiencing anthropogenic and climatic-induced change. </w:t>
      </w:r>
      <w:r>
        <w:rPr>
          <w:i/>
          <w:iCs/>
        </w:rPr>
        <w:t>Science of The Total Environment</w:t>
      </w:r>
      <w:r>
        <w:t xml:space="preserve">, </w:t>
      </w:r>
      <w:r>
        <w:rPr>
          <w:i/>
          <w:iCs/>
        </w:rPr>
        <w:t>409</w:t>
      </w:r>
      <w:r>
        <w:t>(10), 1739–1745. https://doi.org/10.1016/j.scitotenv.2011.02.001</w:t>
      </w:r>
    </w:p>
    <w:p w14:paraId="3528E4CE" w14:textId="77777777" w:rsidR="007410EB" w:rsidRDefault="007410EB" w:rsidP="007410EB">
      <w:pPr>
        <w:pStyle w:val="Bibliography"/>
        <w:spacing w:line="240" w:lineRule="auto"/>
      </w:pPr>
      <w:r>
        <w:t xml:space="preserve">Pang, P., Lai, Y., Zhang, Y., Wang, H., Conlan, X. A., Barrow, C. J., &amp; Yang, W. (2020). Recent Advancement of Biosensor Technology for the Detection of Microcystin-LR. </w:t>
      </w:r>
      <w:r>
        <w:rPr>
          <w:i/>
          <w:iCs/>
        </w:rPr>
        <w:t>Bulletin of the Chemical Society of Japan</w:t>
      </w:r>
      <w:r>
        <w:t xml:space="preserve">, </w:t>
      </w:r>
      <w:r>
        <w:rPr>
          <w:i/>
          <w:iCs/>
        </w:rPr>
        <w:t>93</w:t>
      </w:r>
      <w:r>
        <w:t>(5), 637–646. https://doi.org/10.1246/bcsj.20190365</w:t>
      </w:r>
    </w:p>
    <w:p w14:paraId="7CDE869A" w14:textId="77777777" w:rsidR="007410EB" w:rsidRPr="007410EB" w:rsidRDefault="007410EB" w:rsidP="007410EB">
      <w:pPr>
        <w:pStyle w:val="Bibliography"/>
        <w:spacing w:line="240" w:lineRule="auto"/>
        <w:rPr>
          <w:lang w:val="it-IT"/>
        </w:rPr>
      </w:pPr>
      <w:r w:rsidRPr="007410EB">
        <w:rPr>
          <w:lang w:val="it-IT"/>
        </w:rPr>
        <w:t xml:space="preserve">Picardo, M., Núñez, O., &amp; Farré, M. (2021). </w:t>
      </w:r>
      <w:r>
        <w:t xml:space="preserve">A data independent acquisition all ion fragmentation mode tool for the suspect screening of natural toxins in surface water. </w:t>
      </w:r>
      <w:r w:rsidRPr="007410EB">
        <w:rPr>
          <w:i/>
          <w:iCs/>
          <w:lang w:val="it-IT"/>
        </w:rPr>
        <w:t>MethodsX</w:t>
      </w:r>
      <w:r w:rsidRPr="007410EB">
        <w:rPr>
          <w:lang w:val="it-IT"/>
        </w:rPr>
        <w:t xml:space="preserve">, </w:t>
      </w:r>
      <w:r w:rsidRPr="007410EB">
        <w:rPr>
          <w:i/>
          <w:iCs/>
          <w:lang w:val="it-IT"/>
        </w:rPr>
        <w:t>8</w:t>
      </w:r>
      <w:r w:rsidRPr="007410EB">
        <w:rPr>
          <w:lang w:val="it-IT"/>
        </w:rPr>
        <w:t>, 101286. https://doi.org/10.1016/j.mex.2021.101286</w:t>
      </w:r>
    </w:p>
    <w:p w14:paraId="7FDEC4FE" w14:textId="77777777" w:rsidR="007410EB" w:rsidRDefault="007410EB" w:rsidP="007410EB">
      <w:pPr>
        <w:pStyle w:val="Bibliography"/>
        <w:spacing w:line="240" w:lineRule="auto"/>
      </w:pPr>
      <w:r w:rsidRPr="007410EB">
        <w:rPr>
          <w:lang w:val="it-IT"/>
        </w:rPr>
        <w:t xml:space="preserve">Qin, N., Liu, J., Li, F., &amp; Liu, J. (2024). </w:t>
      </w:r>
      <w:r>
        <w:t xml:space="preserve">Recent Advances in Aptasensors for Rapid Pesticide Residues Detection. </w:t>
      </w:r>
      <w:r>
        <w:rPr>
          <w:i/>
          <w:iCs/>
        </w:rPr>
        <w:t>Critical Reviews in Analytical Chemistry</w:t>
      </w:r>
      <w:r>
        <w:t xml:space="preserve">, </w:t>
      </w:r>
      <w:r>
        <w:rPr>
          <w:i/>
          <w:iCs/>
        </w:rPr>
        <w:t>54</w:t>
      </w:r>
      <w:r>
        <w:t>(8), 3592–3613. https://doi.org/10.1080/10408347.2023.2257795</w:t>
      </w:r>
    </w:p>
    <w:p w14:paraId="203838A4" w14:textId="77777777" w:rsidR="007410EB" w:rsidRDefault="007410EB" w:rsidP="007410EB">
      <w:pPr>
        <w:pStyle w:val="Bibliography"/>
        <w:spacing w:line="240" w:lineRule="auto"/>
      </w:pPr>
      <w:r>
        <w:t xml:space="preserve">Ramya, M., Elumalai, S., &amp; Umamaheswari, A. (2024). Analysis of cyanotoxins in Desertifilum and Leptolyngbya from Veeranam Lake: A potential health risk for Chennai, India. </w:t>
      </w:r>
      <w:r>
        <w:rPr>
          <w:i/>
          <w:iCs/>
        </w:rPr>
        <w:t>Environmental Sciences Europe</w:t>
      </w:r>
      <w:r>
        <w:t xml:space="preserve">, </w:t>
      </w:r>
      <w:r>
        <w:rPr>
          <w:i/>
          <w:iCs/>
        </w:rPr>
        <w:t>36</w:t>
      </w:r>
      <w:r>
        <w:t>(1), 1. https://doi.org/10.1186/s12302-023-00791-8</w:t>
      </w:r>
    </w:p>
    <w:p w14:paraId="27E1A281" w14:textId="77777777" w:rsidR="007410EB" w:rsidRDefault="007410EB" w:rsidP="007410EB">
      <w:pPr>
        <w:pStyle w:val="Bibliography"/>
        <w:spacing w:line="240" w:lineRule="auto"/>
      </w:pPr>
      <w:r>
        <w:t xml:space="preserve">Rantala-Ylinen, A., Känä, S., Wang, H., Rouhiainen, L., Wahlsten, M., Rizzi, E., Berg, K., Gugger, M., &amp; Sivonen, K. (2011). Anatoxin-a Synthetase Gene Cluster of the Cyanobacterium Anabaena sp. </w:t>
      </w:r>
      <w:r>
        <w:lastRenderedPageBreak/>
        <w:t xml:space="preserve">Strain 37 and Molecular Methods To Detect Potential Producers. </w:t>
      </w:r>
      <w:r>
        <w:rPr>
          <w:i/>
          <w:iCs/>
        </w:rPr>
        <w:t>Applied and Environmental Microbiology</w:t>
      </w:r>
      <w:r>
        <w:t xml:space="preserve">, </w:t>
      </w:r>
      <w:r>
        <w:rPr>
          <w:i/>
          <w:iCs/>
        </w:rPr>
        <w:t>77</w:t>
      </w:r>
      <w:r>
        <w:t>(20), 7271–7278. https://doi.org/10.1128/AEM.06022-11</w:t>
      </w:r>
    </w:p>
    <w:p w14:paraId="1623E7D0" w14:textId="77777777" w:rsidR="007410EB" w:rsidRDefault="007410EB" w:rsidP="007410EB">
      <w:pPr>
        <w:pStyle w:val="Bibliography"/>
        <w:spacing w:line="240" w:lineRule="auto"/>
      </w:pPr>
      <w:r>
        <w:t xml:space="preserve">Rastogi, R. P., Madamwar, D., &amp; Incharoensakdi, A. (2015). Bloom Dynamics of Cyanobacteria and Their Toxins: Environmental Health Impacts and Mitigation Strategies. </w:t>
      </w:r>
      <w:r>
        <w:rPr>
          <w:i/>
          <w:iCs/>
        </w:rPr>
        <w:t>Frontiers in Microbiology</w:t>
      </w:r>
      <w:r>
        <w:t xml:space="preserve">, </w:t>
      </w:r>
      <w:r>
        <w:rPr>
          <w:i/>
          <w:iCs/>
        </w:rPr>
        <w:t>6</w:t>
      </w:r>
      <w:r>
        <w:t>. https://doi.org/10.3389/fmicb.2015.01254</w:t>
      </w:r>
    </w:p>
    <w:p w14:paraId="7A80CBD5" w14:textId="77777777" w:rsidR="007410EB" w:rsidRDefault="007410EB" w:rsidP="007410EB">
      <w:pPr>
        <w:pStyle w:val="Bibliography"/>
        <w:spacing w:line="240" w:lineRule="auto"/>
      </w:pPr>
      <w:r>
        <w:t xml:space="preserve">Stewart, I., Eaglesham, G. K., McGregor, G. B., Chong, R., Seawright, A. A., Wickramasinghe, W. A., Sadler, R., Hunt, L., &amp; Graham, G. (2012). First Report of a Toxic Nodularia spumigena (Nostocales/ Cyanobacteria) Bloom in Sub-Tropical Australia. II. Bioaccumulation of Nodularin in Isolated Populations of Mullet (Mugilidae). </w:t>
      </w:r>
      <w:r>
        <w:rPr>
          <w:i/>
          <w:iCs/>
        </w:rPr>
        <w:t>International Journal of Environmental Research and Public Health</w:t>
      </w:r>
      <w:r>
        <w:t xml:space="preserve">, </w:t>
      </w:r>
      <w:r>
        <w:rPr>
          <w:i/>
          <w:iCs/>
        </w:rPr>
        <w:t>9</w:t>
      </w:r>
      <w:r>
        <w:t>(7), 2412–2443. https://doi.org/10.3390/ijerph9072412</w:t>
      </w:r>
    </w:p>
    <w:p w14:paraId="3A18B034" w14:textId="77777777" w:rsidR="007410EB" w:rsidRDefault="007410EB" w:rsidP="007410EB">
      <w:pPr>
        <w:pStyle w:val="Bibliography"/>
        <w:spacing w:line="240" w:lineRule="auto"/>
      </w:pPr>
      <w:r>
        <w:t xml:space="preserve">Stewart, I., Schluter, P. J., &amp; Shaw, G. R. (2006). Cyanobacterial lipopolysaccharides and human health – a review. </w:t>
      </w:r>
      <w:r>
        <w:rPr>
          <w:i/>
          <w:iCs/>
        </w:rPr>
        <w:t>Environmental Health</w:t>
      </w:r>
      <w:r>
        <w:t xml:space="preserve">, </w:t>
      </w:r>
      <w:r>
        <w:rPr>
          <w:i/>
          <w:iCs/>
        </w:rPr>
        <w:t>5</w:t>
      </w:r>
      <w:r>
        <w:t>(1), 7. https://doi.org/10.1186/1476-069X-5-7</w:t>
      </w:r>
    </w:p>
    <w:p w14:paraId="602C7E40" w14:textId="77777777" w:rsidR="007410EB" w:rsidRDefault="007410EB" w:rsidP="007410EB">
      <w:pPr>
        <w:pStyle w:val="Bibliography"/>
        <w:spacing w:line="240" w:lineRule="auto"/>
      </w:pPr>
      <w:r>
        <w:t xml:space="preserve">Svirčev, Z., Lalić, D., Bojadžija Savić, G., Tokodi, N., Drobac Backović, D., Chen, L., Meriluoto, J., &amp; Codd, G. A. (2019). Global geographical and historical overview of cyanotoxin distribution and cyanobacterial poisonings. </w:t>
      </w:r>
      <w:r>
        <w:rPr>
          <w:i/>
          <w:iCs/>
        </w:rPr>
        <w:t>Archives of Toxicology</w:t>
      </w:r>
      <w:r>
        <w:t xml:space="preserve">, </w:t>
      </w:r>
      <w:r>
        <w:rPr>
          <w:i/>
          <w:iCs/>
        </w:rPr>
        <w:t>93</w:t>
      </w:r>
      <w:r>
        <w:t>(9), 2429–2481. https://doi.org/10.1007/s00204-019-02524-4</w:t>
      </w:r>
    </w:p>
    <w:p w14:paraId="25F44268" w14:textId="77777777" w:rsidR="007410EB" w:rsidRDefault="007410EB" w:rsidP="007410EB">
      <w:pPr>
        <w:pStyle w:val="Bibliography"/>
        <w:spacing w:line="240" w:lineRule="auto"/>
      </w:pPr>
      <w:r>
        <w:t xml:space="preserve">Tan, J., Dai, Z., Zhou, K., Zhang, L., He, M., Tan, Y., &amp; Zhou, X. (2023). An Ultrasensitive and Universal Surface Plasmonic Biosensor for Detection of Micropollutants in Aquatic Environments. </w:t>
      </w:r>
      <w:r>
        <w:rPr>
          <w:i/>
          <w:iCs/>
        </w:rPr>
        <w:t>Environmental Science &amp; Technology</w:t>
      </w:r>
      <w:r>
        <w:t xml:space="preserve">, </w:t>
      </w:r>
      <w:r>
        <w:rPr>
          <w:i/>
          <w:iCs/>
        </w:rPr>
        <w:t>57</w:t>
      </w:r>
      <w:r>
        <w:t>(22), 8313–8322. https://doi.org/10.1021/acs.est.3c01328</w:t>
      </w:r>
    </w:p>
    <w:p w14:paraId="26A44B80" w14:textId="77777777" w:rsidR="007410EB" w:rsidRDefault="007410EB" w:rsidP="007410EB">
      <w:pPr>
        <w:pStyle w:val="Bibliography"/>
        <w:spacing w:line="240" w:lineRule="auto"/>
      </w:pPr>
      <w:r>
        <w:t xml:space="preserve">Testai, E., Scardala, S., Vichi, S., Buratti, F. M., &amp; Funari, E. (2016). Risk to human health associated with the environmental occurrence of cyanobacterial neurotoxic alkaloids anatoxins and saxitoxins. </w:t>
      </w:r>
      <w:r>
        <w:rPr>
          <w:i/>
          <w:iCs/>
        </w:rPr>
        <w:t>Critical Reviews in Toxicology</w:t>
      </w:r>
      <w:r>
        <w:t xml:space="preserve">, </w:t>
      </w:r>
      <w:r>
        <w:rPr>
          <w:i/>
          <w:iCs/>
        </w:rPr>
        <w:t>46</w:t>
      </w:r>
      <w:r>
        <w:t>(5), 385–419. https://doi.org/10.3109/10408444.2015.1137865</w:t>
      </w:r>
    </w:p>
    <w:p w14:paraId="07F13E6D" w14:textId="77777777" w:rsidR="007410EB" w:rsidRDefault="007410EB" w:rsidP="007410EB">
      <w:pPr>
        <w:pStyle w:val="Bibliography"/>
        <w:spacing w:line="240" w:lineRule="auto"/>
      </w:pPr>
      <w:r>
        <w:t xml:space="preserve">Volante, M., &amp; Villa, E. (2017). Advanced and Consolidated Separation Methods for the Determination of Cyanobacterial Toxins in Aquatic Systems. </w:t>
      </w:r>
      <w:r>
        <w:rPr>
          <w:i/>
          <w:iCs/>
        </w:rPr>
        <w:t>Current Chromatography</w:t>
      </w:r>
      <w:r>
        <w:t xml:space="preserve">, </w:t>
      </w:r>
      <w:r>
        <w:rPr>
          <w:i/>
          <w:iCs/>
        </w:rPr>
        <w:t>4</w:t>
      </w:r>
      <w:r>
        <w:t>(2). https://doi.org/10.2174/2213240604666170531081457</w:t>
      </w:r>
    </w:p>
    <w:p w14:paraId="4CF495AB" w14:textId="77777777" w:rsidR="007410EB" w:rsidRDefault="007410EB" w:rsidP="007410EB">
      <w:pPr>
        <w:pStyle w:val="Bibliography"/>
        <w:spacing w:line="240" w:lineRule="auto"/>
      </w:pPr>
      <w:r>
        <w:t xml:space="preserve">Wei, X., Wang, S., Zhan, Y., Kai, T., &amp; Ding, P. (2022). Sensitive Identification of Microcystin-LR via a Reagent-Free and Reusable Electrochemical Biosensor Using a Methylene Blue-Labeled Aptamer. </w:t>
      </w:r>
      <w:r>
        <w:rPr>
          <w:i/>
          <w:iCs/>
        </w:rPr>
        <w:t>Biosensors</w:t>
      </w:r>
      <w:r>
        <w:t xml:space="preserve">, </w:t>
      </w:r>
      <w:r>
        <w:rPr>
          <w:i/>
          <w:iCs/>
        </w:rPr>
        <w:t>12</w:t>
      </w:r>
      <w:r>
        <w:t>(8), 556. https://doi.org/10.3390/bios12080556</w:t>
      </w:r>
    </w:p>
    <w:p w14:paraId="5E1E9231" w14:textId="77777777" w:rsidR="007410EB" w:rsidRDefault="007410EB" w:rsidP="007410EB">
      <w:pPr>
        <w:pStyle w:val="Bibliography"/>
        <w:spacing w:line="240" w:lineRule="auto"/>
      </w:pPr>
      <w:r>
        <w:t xml:space="preserve">Xie, A., Wu, W., &amp; Jin, M. (2025). Electrochemical aptasensing strategies for emerging organic pollutants in environmental analysis. </w:t>
      </w:r>
      <w:r>
        <w:rPr>
          <w:i/>
          <w:iCs/>
        </w:rPr>
        <w:t>Analytical Methods</w:t>
      </w:r>
      <w:r>
        <w:t xml:space="preserve">, </w:t>
      </w:r>
      <w:r>
        <w:rPr>
          <w:i/>
          <w:iCs/>
        </w:rPr>
        <w:t>17</w:t>
      </w:r>
      <w:r>
        <w:t>(38), 7586–7607. https://doi.org/10.1039/D5AY01084E</w:t>
      </w:r>
    </w:p>
    <w:p w14:paraId="55DB502B" w14:textId="77777777" w:rsidR="007410EB" w:rsidRDefault="007410EB" w:rsidP="007410EB">
      <w:pPr>
        <w:pStyle w:val="Bibliography"/>
        <w:spacing w:line="240" w:lineRule="auto"/>
      </w:pPr>
      <w:r>
        <w:t xml:space="preserve">Yang, C., Wang, Y., Marty, J.-L., &amp; Yang, X. (2011). Aptamer-based colorimetric biosensing of Ochratoxin A using unmodified gold nanoparticles indicator. </w:t>
      </w:r>
      <w:r>
        <w:rPr>
          <w:i/>
          <w:iCs/>
        </w:rPr>
        <w:t>Biosensors and Bioelectronics</w:t>
      </w:r>
      <w:r>
        <w:t xml:space="preserve">, </w:t>
      </w:r>
      <w:r>
        <w:rPr>
          <w:i/>
          <w:iCs/>
        </w:rPr>
        <w:t>26</w:t>
      </w:r>
      <w:r>
        <w:t>(5), 2724–2727. https://doi.org/10.1016/j.bios.2010.09.032</w:t>
      </w:r>
    </w:p>
    <w:p w14:paraId="599F70D0" w14:textId="77777777" w:rsidR="007410EB" w:rsidRDefault="007410EB" w:rsidP="007410EB">
      <w:pPr>
        <w:pStyle w:val="Bibliography"/>
        <w:spacing w:line="240" w:lineRule="auto"/>
      </w:pPr>
      <w:r>
        <w:t xml:space="preserve">Yuan, J., &amp; Yoon, K.-J. (2022). Overview of PCR Methods Applied for the Identification of Freshwater Toxigenic Cyanobacteria. In W. N. Hozzein (Ed.), </w:t>
      </w:r>
      <w:r>
        <w:rPr>
          <w:i/>
          <w:iCs/>
        </w:rPr>
        <w:t>Cyanobacteria—Recent Advances in Taxonomy and Applications</w:t>
      </w:r>
      <w:r>
        <w:t>. IntechOpen. https://doi.org/10.5772/intechopen.97701</w:t>
      </w:r>
    </w:p>
    <w:p w14:paraId="54B7CAAE" w14:textId="77777777" w:rsidR="007410EB" w:rsidRDefault="007410EB" w:rsidP="007410EB">
      <w:pPr>
        <w:pStyle w:val="Bibliography"/>
        <w:spacing w:line="240" w:lineRule="auto"/>
      </w:pPr>
      <w:r>
        <w:t xml:space="preserve">Zagorevskii, D., Holmes, J., Watson, C., &amp; Eyler, J. (1997). A tandem mass spectrometry and Fourier transform ion cyclotron resonance (FTICR) study of RMn+ (crown-ether) complexes in the gas phase. </w:t>
      </w:r>
      <w:r>
        <w:rPr>
          <w:i/>
          <w:iCs/>
        </w:rPr>
        <w:t>European Journal of Mass Spectrometry</w:t>
      </w:r>
      <w:r>
        <w:t xml:space="preserve">, </w:t>
      </w:r>
      <w:r>
        <w:rPr>
          <w:i/>
          <w:iCs/>
        </w:rPr>
        <w:t>3</w:t>
      </w:r>
      <w:r>
        <w:t>(1), 27. https://doi.org/10.1255/ejms.22</w:t>
      </w:r>
    </w:p>
    <w:p w14:paraId="29E75D5D" w14:textId="77777777" w:rsidR="007410EB" w:rsidRDefault="007410EB" w:rsidP="007410EB">
      <w:pPr>
        <w:pStyle w:val="Bibliography"/>
        <w:spacing w:line="240" w:lineRule="auto"/>
      </w:pPr>
      <w:r>
        <w:t xml:space="preserve">Zeng, Z., Ji, Z., Hu, N., Bai, B., Wang, H., &amp; Suo, Y. (2017). A sensitive pre-column derivatization method for the analysis of free fatty acids by RP-HPLC with fluorescence detector and its application to Caragana species. </w:t>
      </w:r>
      <w:r>
        <w:rPr>
          <w:i/>
          <w:iCs/>
        </w:rPr>
        <w:t>Journal of Chromatography B</w:t>
      </w:r>
      <w:r>
        <w:t xml:space="preserve">, </w:t>
      </w:r>
      <w:r>
        <w:rPr>
          <w:i/>
          <w:iCs/>
        </w:rPr>
        <w:t>1064</w:t>
      </w:r>
      <w:r>
        <w:t>, 151–159. https://doi.org/10.1016/j.jchromb.2017.07.037</w:t>
      </w:r>
    </w:p>
    <w:p w14:paraId="2BF57EB2" w14:textId="77777777" w:rsidR="007410EB" w:rsidRDefault="007410EB" w:rsidP="007410EB">
      <w:pPr>
        <w:pStyle w:val="Bibliography"/>
        <w:spacing w:line="240" w:lineRule="auto"/>
      </w:pPr>
      <w:r>
        <w:t xml:space="preserve">Zhang, G., Li, C., Wu, S., &amp; Zhang, Q. (2018). Label-free aptamer-based detection of microcystin-LR using a microcantilever array biosensor. </w:t>
      </w:r>
      <w:r>
        <w:rPr>
          <w:i/>
          <w:iCs/>
        </w:rPr>
        <w:t>Sensors and Actuators B: Chemical</w:t>
      </w:r>
      <w:r>
        <w:t xml:space="preserve">, </w:t>
      </w:r>
      <w:r>
        <w:rPr>
          <w:i/>
          <w:iCs/>
        </w:rPr>
        <w:t>260</w:t>
      </w:r>
      <w:r>
        <w:t>, 42–47. https://doi.org/10.1016/j.snb.2017.12.112</w:t>
      </w:r>
    </w:p>
    <w:p w14:paraId="040A3834" w14:textId="77777777" w:rsidR="007410EB" w:rsidRPr="007410EB" w:rsidRDefault="007410EB" w:rsidP="007410EB">
      <w:pPr>
        <w:pStyle w:val="Bibliography"/>
        <w:spacing w:line="240" w:lineRule="auto"/>
        <w:rPr>
          <w:lang w:val="it-IT"/>
        </w:rPr>
      </w:pPr>
      <w:r>
        <w:t xml:space="preserve">Zhang, H., Yang, S., Beier, R. C., Beloglazova, N. V., Lei, H., Sun, X., Ke, Y., Zhang, S., &amp; Wang, Z. (2017). Simple, high efficiency detection of microcystins and nodularin-R in water by fluorescence </w:t>
      </w:r>
      <w:r>
        <w:lastRenderedPageBreak/>
        <w:t xml:space="preserve">polarization immunoassay. </w:t>
      </w:r>
      <w:r w:rsidRPr="007410EB">
        <w:rPr>
          <w:i/>
          <w:iCs/>
          <w:lang w:val="it-IT"/>
        </w:rPr>
        <w:t>Analytica Chimica Acta</w:t>
      </w:r>
      <w:r w:rsidRPr="007410EB">
        <w:rPr>
          <w:lang w:val="it-IT"/>
        </w:rPr>
        <w:t xml:space="preserve">, </w:t>
      </w:r>
      <w:r w:rsidRPr="007410EB">
        <w:rPr>
          <w:i/>
          <w:iCs/>
          <w:lang w:val="it-IT"/>
        </w:rPr>
        <w:t>992</w:t>
      </w:r>
      <w:r w:rsidRPr="007410EB">
        <w:rPr>
          <w:lang w:val="it-IT"/>
        </w:rPr>
        <w:t>, 119–127. https://doi.org/10.1016/j.aca.2017.09.010</w:t>
      </w:r>
    </w:p>
    <w:p w14:paraId="171AC596" w14:textId="77777777" w:rsidR="007410EB" w:rsidRDefault="007410EB" w:rsidP="007410EB">
      <w:pPr>
        <w:pStyle w:val="Bibliography"/>
        <w:spacing w:line="240" w:lineRule="auto"/>
      </w:pPr>
      <w:r w:rsidRPr="007410EB">
        <w:rPr>
          <w:lang w:val="it-IT"/>
        </w:rPr>
        <w:t xml:space="preserve">Zhang, K., Li, H., Wang, W., Cao, J., Gan, N., &amp; Han, H. (2020). </w:t>
      </w:r>
      <w:r>
        <w:t xml:space="preserve">Application of Multiplexed Aptasensors in Food Contaminants Detection. </w:t>
      </w:r>
      <w:r>
        <w:rPr>
          <w:i/>
          <w:iCs/>
        </w:rPr>
        <w:t>ACS Sensors</w:t>
      </w:r>
      <w:r>
        <w:t xml:space="preserve">, </w:t>
      </w:r>
      <w:r>
        <w:rPr>
          <w:i/>
          <w:iCs/>
        </w:rPr>
        <w:t>5</w:t>
      </w:r>
      <w:r>
        <w:t>(12), 3721–3738. https://doi.org/10.1021/acssensors.0c01740</w:t>
      </w:r>
    </w:p>
    <w:p w14:paraId="791AC2C9" w14:textId="77777777" w:rsidR="007410EB" w:rsidRDefault="007410EB" w:rsidP="007410EB">
      <w:pPr>
        <w:pStyle w:val="Bibliography"/>
        <w:spacing w:line="240" w:lineRule="auto"/>
      </w:pPr>
      <w:r>
        <w:t xml:space="preserve">Zhang, Y., Thompson, K. N., Branck, T., Yan Yan, Nguyen, L. H., Franzosa, E. A., &amp; Huttenhower, C. (2021). Metatranscriptomics for the Human Microbiome and Microbial Community Functional Profiling. </w:t>
      </w:r>
      <w:r>
        <w:rPr>
          <w:i/>
          <w:iCs/>
        </w:rPr>
        <w:t>Annual Review of Biomedical Data Science</w:t>
      </w:r>
      <w:r>
        <w:t xml:space="preserve">, </w:t>
      </w:r>
      <w:r>
        <w:rPr>
          <w:i/>
          <w:iCs/>
        </w:rPr>
        <w:t>4</w:t>
      </w:r>
      <w:r>
        <w:t>(1), 279–311. https://doi.org/10.1146/annurev-biodatasci-031121-103035</w:t>
      </w:r>
    </w:p>
    <w:p w14:paraId="45FC6986" w14:textId="75E0AE17" w:rsidR="00D21086" w:rsidRDefault="00D21086" w:rsidP="007410EB">
      <w:pPr>
        <w:spacing w:line="240" w:lineRule="auto"/>
        <w:jc w:val="both"/>
        <w:rPr>
          <w:rFonts w:ascii="Arial" w:hAnsi="Arial" w:cs="Arial"/>
        </w:rPr>
      </w:pPr>
      <w:r w:rsidRPr="0058495E">
        <w:rPr>
          <w:rFonts w:ascii="Arial" w:hAnsi="Arial" w:cs="Arial"/>
        </w:rPr>
        <w:fldChar w:fldCharType="end"/>
      </w:r>
    </w:p>
    <w:p w14:paraId="7B120FD6" w14:textId="77777777" w:rsidR="008E500A" w:rsidRDefault="008E500A" w:rsidP="007410EB">
      <w:pPr>
        <w:spacing w:line="240" w:lineRule="auto"/>
        <w:jc w:val="both"/>
        <w:rPr>
          <w:rFonts w:ascii="Arial" w:hAnsi="Arial" w:cs="Arial"/>
        </w:rPr>
      </w:pPr>
    </w:p>
    <w:p w14:paraId="6EAA1274" w14:textId="77777777" w:rsidR="008E500A" w:rsidRDefault="008E500A" w:rsidP="003862DF">
      <w:pPr>
        <w:jc w:val="both"/>
        <w:rPr>
          <w:rFonts w:ascii="Arial" w:hAnsi="Arial" w:cs="Arial"/>
        </w:rPr>
      </w:pPr>
    </w:p>
    <w:p w14:paraId="58569F94" w14:textId="77777777" w:rsidR="008E500A" w:rsidRDefault="008E500A" w:rsidP="003862DF">
      <w:pPr>
        <w:jc w:val="both"/>
        <w:rPr>
          <w:rFonts w:ascii="Arial" w:hAnsi="Arial" w:cs="Arial"/>
        </w:rPr>
      </w:pPr>
    </w:p>
    <w:p w14:paraId="569A39B9" w14:textId="77777777" w:rsidR="008E500A" w:rsidRDefault="008E500A" w:rsidP="003862DF">
      <w:pPr>
        <w:jc w:val="both"/>
        <w:rPr>
          <w:rFonts w:ascii="Arial" w:hAnsi="Arial" w:cs="Arial"/>
        </w:rPr>
      </w:pPr>
    </w:p>
    <w:p w14:paraId="456F148F" w14:textId="77777777" w:rsidR="00A32AFD" w:rsidRDefault="00A32AFD" w:rsidP="003862DF">
      <w:pPr>
        <w:jc w:val="both"/>
        <w:rPr>
          <w:rFonts w:ascii="Arial" w:hAnsi="Arial" w:cs="Arial"/>
        </w:rPr>
      </w:pPr>
    </w:p>
    <w:p w14:paraId="7F0F76F5" w14:textId="77777777" w:rsidR="00A32AFD" w:rsidRDefault="00A32AFD" w:rsidP="003862DF">
      <w:pPr>
        <w:jc w:val="both"/>
        <w:rPr>
          <w:rFonts w:ascii="Arial" w:hAnsi="Arial" w:cs="Arial"/>
        </w:rPr>
      </w:pPr>
    </w:p>
    <w:p w14:paraId="13119547" w14:textId="77777777" w:rsidR="00A32AFD" w:rsidRDefault="00A32AFD" w:rsidP="003862DF">
      <w:pPr>
        <w:jc w:val="both"/>
        <w:rPr>
          <w:rFonts w:ascii="Arial" w:hAnsi="Arial" w:cs="Arial"/>
        </w:rPr>
      </w:pPr>
    </w:p>
    <w:p w14:paraId="0BF6B674" w14:textId="77777777" w:rsidR="00A32AFD" w:rsidRDefault="00A32AFD" w:rsidP="003862DF">
      <w:pPr>
        <w:jc w:val="both"/>
        <w:rPr>
          <w:rFonts w:ascii="Arial" w:hAnsi="Arial" w:cs="Arial"/>
        </w:rPr>
      </w:pPr>
    </w:p>
    <w:p w14:paraId="3E76EF41" w14:textId="77777777" w:rsidR="00A32AFD" w:rsidRDefault="00A32AFD" w:rsidP="003862DF">
      <w:pPr>
        <w:jc w:val="both"/>
        <w:rPr>
          <w:rFonts w:ascii="Arial" w:hAnsi="Arial" w:cs="Arial"/>
        </w:rPr>
      </w:pPr>
    </w:p>
    <w:p w14:paraId="755B6F49" w14:textId="77777777" w:rsidR="00A32AFD" w:rsidRDefault="00A32AFD" w:rsidP="003862DF">
      <w:pPr>
        <w:jc w:val="both"/>
        <w:rPr>
          <w:rFonts w:ascii="Arial" w:hAnsi="Arial" w:cs="Arial"/>
        </w:rPr>
      </w:pPr>
    </w:p>
    <w:p w14:paraId="781817DD" w14:textId="77777777" w:rsidR="00A32AFD" w:rsidRDefault="00A32AFD" w:rsidP="003862DF">
      <w:pPr>
        <w:jc w:val="both"/>
        <w:rPr>
          <w:rFonts w:ascii="Arial" w:hAnsi="Arial" w:cs="Arial"/>
        </w:rPr>
      </w:pPr>
    </w:p>
    <w:p w14:paraId="0F05EFEC" w14:textId="77777777" w:rsidR="00A32AFD" w:rsidRDefault="00A32AFD" w:rsidP="003862DF">
      <w:pPr>
        <w:jc w:val="both"/>
        <w:rPr>
          <w:rFonts w:ascii="Arial" w:hAnsi="Arial" w:cs="Arial"/>
        </w:rPr>
      </w:pPr>
    </w:p>
    <w:p w14:paraId="1EF2BD59" w14:textId="77777777" w:rsidR="00A32AFD" w:rsidRDefault="00A32AFD" w:rsidP="003862DF">
      <w:pPr>
        <w:jc w:val="both"/>
        <w:rPr>
          <w:rFonts w:ascii="Arial" w:hAnsi="Arial" w:cs="Arial"/>
        </w:rPr>
      </w:pPr>
    </w:p>
    <w:p w14:paraId="58B7229C" w14:textId="77777777" w:rsidR="00A32AFD" w:rsidRDefault="00A32AFD" w:rsidP="003862DF">
      <w:pPr>
        <w:jc w:val="both"/>
        <w:rPr>
          <w:rFonts w:ascii="Arial" w:hAnsi="Arial" w:cs="Arial"/>
        </w:rPr>
      </w:pPr>
    </w:p>
    <w:p w14:paraId="10EEC118" w14:textId="77777777" w:rsidR="00A32AFD" w:rsidRDefault="00A32AFD" w:rsidP="003862DF">
      <w:pPr>
        <w:jc w:val="both"/>
        <w:rPr>
          <w:rFonts w:ascii="Arial" w:hAnsi="Arial" w:cs="Arial"/>
        </w:rPr>
      </w:pPr>
    </w:p>
    <w:p w14:paraId="6B1AAABF" w14:textId="77777777" w:rsidR="00A32AFD" w:rsidRDefault="00A32AFD" w:rsidP="003862DF">
      <w:pPr>
        <w:jc w:val="both"/>
        <w:rPr>
          <w:rFonts w:ascii="Arial" w:hAnsi="Arial" w:cs="Arial"/>
        </w:rPr>
      </w:pPr>
    </w:p>
    <w:p w14:paraId="420EC978" w14:textId="77777777" w:rsidR="00A32AFD" w:rsidRDefault="00A32AFD" w:rsidP="003862DF">
      <w:pPr>
        <w:jc w:val="both"/>
        <w:rPr>
          <w:rFonts w:ascii="Arial" w:hAnsi="Arial" w:cs="Arial"/>
        </w:rPr>
      </w:pPr>
    </w:p>
    <w:p w14:paraId="45F5BCC2" w14:textId="77777777" w:rsidR="00A32AFD" w:rsidRDefault="00A32AFD" w:rsidP="003862DF">
      <w:pPr>
        <w:jc w:val="both"/>
        <w:rPr>
          <w:rFonts w:ascii="Arial" w:hAnsi="Arial" w:cs="Arial"/>
        </w:rPr>
      </w:pPr>
    </w:p>
    <w:p w14:paraId="4F7D1415" w14:textId="77777777" w:rsidR="00A32AFD" w:rsidRDefault="00A32AFD" w:rsidP="003862DF">
      <w:pPr>
        <w:jc w:val="both"/>
        <w:rPr>
          <w:rFonts w:ascii="Arial" w:hAnsi="Arial" w:cs="Arial"/>
        </w:rPr>
      </w:pPr>
    </w:p>
    <w:p w14:paraId="7B8AB23B" w14:textId="77777777" w:rsidR="00A32AFD" w:rsidRDefault="00A32AFD" w:rsidP="003862DF">
      <w:pPr>
        <w:jc w:val="both"/>
        <w:rPr>
          <w:rFonts w:ascii="Arial" w:hAnsi="Arial" w:cs="Arial"/>
        </w:rPr>
      </w:pPr>
    </w:p>
    <w:p w14:paraId="60F2771E" w14:textId="77777777" w:rsidR="00A32AFD" w:rsidRDefault="00A32AFD" w:rsidP="003862DF">
      <w:pPr>
        <w:jc w:val="both"/>
        <w:rPr>
          <w:rFonts w:ascii="Arial" w:hAnsi="Arial" w:cs="Arial"/>
        </w:rPr>
      </w:pPr>
    </w:p>
    <w:p w14:paraId="70F0BB17" w14:textId="77777777" w:rsidR="00A32AFD" w:rsidRDefault="00A32AFD" w:rsidP="003862DF">
      <w:pPr>
        <w:jc w:val="both"/>
        <w:rPr>
          <w:rFonts w:ascii="Arial" w:hAnsi="Arial" w:cs="Arial"/>
        </w:rPr>
      </w:pPr>
    </w:p>
    <w:p w14:paraId="4CA3A213" w14:textId="77777777" w:rsidR="00A32AFD" w:rsidRDefault="00A32AFD" w:rsidP="003862DF">
      <w:pPr>
        <w:jc w:val="both"/>
        <w:rPr>
          <w:rFonts w:ascii="Arial" w:hAnsi="Arial" w:cs="Arial"/>
        </w:rPr>
      </w:pPr>
    </w:p>
    <w:p w14:paraId="1BF5D6DD" w14:textId="77777777" w:rsidR="00A32AFD" w:rsidRDefault="00A32AFD" w:rsidP="003862DF">
      <w:pPr>
        <w:jc w:val="both"/>
        <w:rPr>
          <w:rFonts w:ascii="Arial" w:hAnsi="Arial" w:cs="Arial"/>
        </w:rPr>
      </w:pPr>
    </w:p>
    <w:p w14:paraId="673C41F7" w14:textId="77777777" w:rsidR="00A32AFD" w:rsidRDefault="00A32AFD" w:rsidP="003862DF">
      <w:pPr>
        <w:jc w:val="both"/>
        <w:rPr>
          <w:rFonts w:ascii="Arial" w:hAnsi="Arial" w:cs="Arial"/>
        </w:rPr>
      </w:pPr>
    </w:p>
    <w:p w14:paraId="6CF81D98" w14:textId="77777777" w:rsidR="00A32AFD" w:rsidRDefault="00A32AFD" w:rsidP="003862DF">
      <w:pPr>
        <w:jc w:val="both"/>
        <w:rPr>
          <w:rFonts w:ascii="Arial" w:hAnsi="Arial" w:cs="Arial"/>
        </w:rPr>
      </w:pPr>
    </w:p>
    <w:p w14:paraId="6392A5F5" w14:textId="77777777" w:rsidR="008E500A" w:rsidRPr="00A32AFD" w:rsidRDefault="008E500A" w:rsidP="003862DF">
      <w:pPr>
        <w:jc w:val="both"/>
        <w:rPr>
          <w:rFonts w:ascii="Arial" w:hAnsi="Arial" w:cs="Arial"/>
          <w:sz w:val="24"/>
          <w:szCs w:val="24"/>
        </w:rPr>
      </w:pPr>
    </w:p>
    <w:p w14:paraId="50855E9C" w14:textId="77777777" w:rsidR="008E500A" w:rsidRPr="00130051" w:rsidRDefault="008E500A" w:rsidP="00130051">
      <w:pPr>
        <w:ind w:left="720"/>
        <w:jc w:val="both"/>
        <w:rPr>
          <w:rFonts w:ascii="Arial" w:hAnsi="Arial" w:cs="Arial"/>
        </w:rPr>
      </w:pPr>
    </w:p>
    <w:sectPr w:rsidR="008E500A" w:rsidRPr="00130051" w:rsidSect="00DA0F27">
      <w:type w:val="continuous"/>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70D46" w14:textId="77777777" w:rsidR="00A75683" w:rsidRDefault="00A75683" w:rsidP="002D575D">
      <w:pPr>
        <w:spacing w:after="0" w:line="240" w:lineRule="auto"/>
      </w:pPr>
      <w:r>
        <w:separator/>
      </w:r>
    </w:p>
  </w:endnote>
  <w:endnote w:type="continuationSeparator" w:id="0">
    <w:p w14:paraId="0EC4B764" w14:textId="77777777" w:rsidR="00A75683" w:rsidRDefault="00A75683" w:rsidP="002D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7334" w14:textId="77777777" w:rsidR="004D7DFD" w:rsidRDefault="004D7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85C7C" w14:textId="77777777" w:rsidR="004D7DFD" w:rsidRDefault="004D7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8FF8" w14:textId="77777777" w:rsidR="004D7DFD" w:rsidRDefault="004D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C6B16" w14:textId="77777777" w:rsidR="00A75683" w:rsidRDefault="00A75683" w:rsidP="002D575D">
      <w:pPr>
        <w:spacing w:after="0" w:line="240" w:lineRule="auto"/>
      </w:pPr>
      <w:r>
        <w:separator/>
      </w:r>
    </w:p>
  </w:footnote>
  <w:footnote w:type="continuationSeparator" w:id="0">
    <w:p w14:paraId="735B7767" w14:textId="77777777" w:rsidR="00A75683" w:rsidRDefault="00A75683" w:rsidP="002D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6C08" w14:textId="538FBB2A" w:rsidR="004D7DFD" w:rsidRDefault="004D7DFD">
    <w:pPr>
      <w:pStyle w:val="Header"/>
    </w:pPr>
    <w:r>
      <w:rPr>
        <w:noProof/>
      </w:rPr>
      <w:pict w14:anchorId="37585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6"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0620" w14:textId="19EFB89C" w:rsidR="004D7DFD" w:rsidRDefault="004D7DFD">
    <w:pPr>
      <w:pStyle w:val="Header"/>
    </w:pPr>
    <w:r>
      <w:rPr>
        <w:noProof/>
      </w:rPr>
      <w:pict w14:anchorId="0FC88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7"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B736" w14:textId="386E18B3" w:rsidR="004D7DFD" w:rsidRDefault="004D7DFD">
    <w:pPr>
      <w:pStyle w:val="Header"/>
    </w:pPr>
    <w:r>
      <w:rPr>
        <w:noProof/>
      </w:rPr>
      <w:pict w14:anchorId="2D01C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5"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0C21"/>
    <w:multiLevelType w:val="multilevel"/>
    <w:tmpl w:val="476EC1B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A4187"/>
    <w:multiLevelType w:val="hybridMultilevel"/>
    <w:tmpl w:val="08A29CCE"/>
    <w:lvl w:ilvl="0" w:tplc="A198DA08">
      <w:start w:val="6"/>
      <w:numFmt w:val="decimal"/>
      <w:lvlText w:val="%1."/>
      <w:lvlJc w:val="left"/>
      <w:pPr>
        <w:ind w:left="1069"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1B5CF8"/>
    <w:multiLevelType w:val="hybridMultilevel"/>
    <w:tmpl w:val="FB2C59BA"/>
    <w:lvl w:ilvl="0" w:tplc="B28C1CA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8AC241F"/>
    <w:multiLevelType w:val="multilevel"/>
    <w:tmpl w:val="6132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27390"/>
    <w:multiLevelType w:val="hybridMultilevel"/>
    <w:tmpl w:val="7B9EC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403467"/>
    <w:multiLevelType w:val="hybridMultilevel"/>
    <w:tmpl w:val="7B9EC3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1B58F6"/>
    <w:multiLevelType w:val="multilevel"/>
    <w:tmpl w:val="336C1A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B8"/>
    <w:rsid w:val="00005562"/>
    <w:rsid w:val="00070B7D"/>
    <w:rsid w:val="00081330"/>
    <w:rsid w:val="00087B14"/>
    <w:rsid w:val="00090CD7"/>
    <w:rsid w:val="00122A93"/>
    <w:rsid w:val="001242F5"/>
    <w:rsid w:val="00130051"/>
    <w:rsid w:val="00140C09"/>
    <w:rsid w:val="0015545D"/>
    <w:rsid w:val="00162F6B"/>
    <w:rsid w:val="001669C5"/>
    <w:rsid w:val="00177D04"/>
    <w:rsid w:val="001E1DE4"/>
    <w:rsid w:val="001E2CE0"/>
    <w:rsid w:val="00201CE4"/>
    <w:rsid w:val="0027723D"/>
    <w:rsid w:val="00292FF1"/>
    <w:rsid w:val="002D575D"/>
    <w:rsid w:val="003207F8"/>
    <w:rsid w:val="00325E74"/>
    <w:rsid w:val="00350470"/>
    <w:rsid w:val="003573E6"/>
    <w:rsid w:val="00357CA1"/>
    <w:rsid w:val="003862DF"/>
    <w:rsid w:val="003909DB"/>
    <w:rsid w:val="00395D46"/>
    <w:rsid w:val="003F6093"/>
    <w:rsid w:val="00452735"/>
    <w:rsid w:val="004B5930"/>
    <w:rsid w:val="004D2042"/>
    <w:rsid w:val="004D7DFD"/>
    <w:rsid w:val="004E35C0"/>
    <w:rsid w:val="004F2B88"/>
    <w:rsid w:val="00511CAC"/>
    <w:rsid w:val="00511FAF"/>
    <w:rsid w:val="005708F5"/>
    <w:rsid w:val="0058495E"/>
    <w:rsid w:val="00593FB0"/>
    <w:rsid w:val="005D7500"/>
    <w:rsid w:val="005E0404"/>
    <w:rsid w:val="00601DD6"/>
    <w:rsid w:val="00605B5D"/>
    <w:rsid w:val="0062317C"/>
    <w:rsid w:val="00665C9A"/>
    <w:rsid w:val="006802A4"/>
    <w:rsid w:val="0068765B"/>
    <w:rsid w:val="006A1D41"/>
    <w:rsid w:val="006A7ED7"/>
    <w:rsid w:val="006D022F"/>
    <w:rsid w:val="00706E54"/>
    <w:rsid w:val="007410EB"/>
    <w:rsid w:val="007478B4"/>
    <w:rsid w:val="00747F27"/>
    <w:rsid w:val="007F7181"/>
    <w:rsid w:val="0080114B"/>
    <w:rsid w:val="00805047"/>
    <w:rsid w:val="00810680"/>
    <w:rsid w:val="00816CBD"/>
    <w:rsid w:val="008506CF"/>
    <w:rsid w:val="00892696"/>
    <w:rsid w:val="008D01A7"/>
    <w:rsid w:val="008E4979"/>
    <w:rsid w:val="008E500A"/>
    <w:rsid w:val="008F57D6"/>
    <w:rsid w:val="008F6F1C"/>
    <w:rsid w:val="00913A69"/>
    <w:rsid w:val="00925439"/>
    <w:rsid w:val="00972D2C"/>
    <w:rsid w:val="009A75D1"/>
    <w:rsid w:val="009B46B8"/>
    <w:rsid w:val="009F6C18"/>
    <w:rsid w:val="00A30224"/>
    <w:rsid w:val="00A32AFD"/>
    <w:rsid w:val="00A75683"/>
    <w:rsid w:val="00A92A60"/>
    <w:rsid w:val="00AA2B6A"/>
    <w:rsid w:val="00AA674C"/>
    <w:rsid w:val="00AC4769"/>
    <w:rsid w:val="00AC6C06"/>
    <w:rsid w:val="00AF65C7"/>
    <w:rsid w:val="00B135CC"/>
    <w:rsid w:val="00B24D79"/>
    <w:rsid w:val="00B67584"/>
    <w:rsid w:val="00B70079"/>
    <w:rsid w:val="00BE5408"/>
    <w:rsid w:val="00C0036D"/>
    <w:rsid w:val="00C0351D"/>
    <w:rsid w:val="00C120B6"/>
    <w:rsid w:val="00C13C27"/>
    <w:rsid w:val="00C31FE7"/>
    <w:rsid w:val="00C366C4"/>
    <w:rsid w:val="00C67347"/>
    <w:rsid w:val="00C93F6B"/>
    <w:rsid w:val="00CD572C"/>
    <w:rsid w:val="00CE08F0"/>
    <w:rsid w:val="00D00BD6"/>
    <w:rsid w:val="00D01B88"/>
    <w:rsid w:val="00D14E74"/>
    <w:rsid w:val="00D21086"/>
    <w:rsid w:val="00D230C1"/>
    <w:rsid w:val="00D230C2"/>
    <w:rsid w:val="00D46949"/>
    <w:rsid w:val="00D674E4"/>
    <w:rsid w:val="00D93FC4"/>
    <w:rsid w:val="00DA0F27"/>
    <w:rsid w:val="00DA7A01"/>
    <w:rsid w:val="00DB0FB2"/>
    <w:rsid w:val="00DB4830"/>
    <w:rsid w:val="00E33A24"/>
    <w:rsid w:val="00E37D2B"/>
    <w:rsid w:val="00E41F0A"/>
    <w:rsid w:val="00E43383"/>
    <w:rsid w:val="00E512F1"/>
    <w:rsid w:val="00E542BE"/>
    <w:rsid w:val="00E81518"/>
    <w:rsid w:val="00E95760"/>
    <w:rsid w:val="00EB5DCF"/>
    <w:rsid w:val="00EF5CA2"/>
    <w:rsid w:val="00F021A3"/>
    <w:rsid w:val="00F269D2"/>
    <w:rsid w:val="00FC77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1F9560"/>
  <w15:chartTrackingRefBased/>
  <w15:docId w15:val="{D3DBD6D7-929B-4ECB-930F-439D1D5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6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6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6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6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B8"/>
    <w:rPr>
      <w:rFonts w:eastAsiaTheme="majorEastAsia" w:cstheme="majorBidi"/>
      <w:color w:val="272727" w:themeColor="text1" w:themeTint="D8"/>
    </w:rPr>
  </w:style>
  <w:style w:type="paragraph" w:styleId="Title">
    <w:name w:val="Title"/>
    <w:basedOn w:val="Normal"/>
    <w:next w:val="Normal"/>
    <w:link w:val="TitleChar"/>
    <w:uiPriority w:val="10"/>
    <w:qFormat/>
    <w:rsid w:val="009B4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B8"/>
    <w:pPr>
      <w:spacing w:before="160"/>
      <w:jc w:val="center"/>
    </w:pPr>
    <w:rPr>
      <w:i/>
      <w:iCs/>
      <w:color w:val="404040" w:themeColor="text1" w:themeTint="BF"/>
    </w:rPr>
  </w:style>
  <w:style w:type="character" w:customStyle="1" w:styleId="QuoteChar">
    <w:name w:val="Quote Char"/>
    <w:basedOn w:val="DefaultParagraphFont"/>
    <w:link w:val="Quote"/>
    <w:uiPriority w:val="29"/>
    <w:rsid w:val="009B46B8"/>
    <w:rPr>
      <w:i/>
      <w:iCs/>
      <w:color w:val="404040" w:themeColor="text1" w:themeTint="BF"/>
    </w:rPr>
  </w:style>
  <w:style w:type="paragraph" w:styleId="ListParagraph">
    <w:name w:val="List Paragraph"/>
    <w:basedOn w:val="Normal"/>
    <w:uiPriority w:val="34"/>
    <w:qFormat/>
    <w:rsid w:val="009B46B8"/>
    <w:pPr>
      <w:ind w:left="720"/>
      <w:contextualSpacing/>
    </w:pPr>
  </w:style>
  <w:style w:type="character" w:styleId="IntenseEmphasis">
    <w:name w:val="Intense Emphasis"/>
    <w:basedOn w:val="DefaultParagraphFont"/>
    <w:uiPriority w:val="21"/>
    <w:qFormat/>
    <w:rsid w:val="009B46B8"/>
    <w:rPr>
      <w:i/>
      <w:iCs/>
      <w:color w:val="2F5496" w:themeColor="accent1" w:themeShade="BF"/>
    </w:rPr>
  </w:style>
  <w:style w:type="paragraph" w:styleId="IntenseQuote">
    <w:name w:val="Intense Quote"/>
    <w:basedOn w:val="Normal"/>
    <w:next w:val="Normal"/>
    <w:link w:val="IntenseQuoteChar"/>
    <w:uiPriority w:val="30"/>
    <w:qFormat/>
    <w:rsid w:val="009B4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6B8"/>
    <w:rPr>
      <w:i/>
      <w:iCs/>
      <w:color w:val="2F5496" w:themeColor="accent1" w:themeShade="BF"/>
    </w:rPr>
  </w:style>
  <w:style w:type="character" w:styleId="IntenseReference">
    <w:name w:val="Intense Reference"/>
    <w:basedOn w:val="DefaultParagraphFont"/>
    <w:uiPriority w:val="32"/>
    <w:qFormat/>
    <w:rsid w:val="009B46B8"/>
    <w:rPr>
      <w:b/>
      <w:bCs/>
      <w:smallCaps/>
      <w:color w:val="2F5496" w:themeColor="accent1" w:themeShade="BF"/>
      <w:spacing w:val="5"/>
    </w:rPr>
  </w:style>
  <w:style w:type="character" w:styleId="Hyperlink">
    <w:name w:val="Hyperlink"/>
    <w:basedOn w:val="DefaultParagraphFont"/>
    <w:uiPriority w:val="99"/>
    <w:unhideWhenUsed/>
    <w:rsid w:val="00D21086"/>
    <w:rPr>
      <w:color w:val="0563C1" w:themeColor="hyperlink"/>
      <w:u w:val="single"/>
    </w:rPr>
  </w:style>
  <w:style w:type="character" w:styleId="UnresolvedMention">
    <w:name w:val="Unresolved Mention"/>
    <w:basedOn w:val="DefaultParagraphFont"/>
    <w:uiPriority w:val="99"/>
    <w:semiHidden/>
    <w:unhideWhenUsed/>
    <w:rsid w:val="00D21086"/>
    <w:rPr>
      <w:color w:val="605E5C"/>
      <w:shd w:val="clear" w:color="auto" w:fill="E1DFDD"/>
    </w:rPr>
  </w:style>
  <w:style w:type="paragraph" w:styleId="Bibliography">
    <w:name w:val="Bibliography"/>
    <w:basedOn w:val="Normal"/>
    <w:next w:val="Normal"/>
    <w:uiPriority w:val="37"/>
    <w:unhideWhenUsed/>
    <w:rsid w:val="00D21086"/>
    <w:pPr>
      <w:spacing w:after="0" w:line="480" w:lineRule="auto"/>
      <w:ind w:left="720" w:hanging="720"/>
    </w:pPr>
  </w:style>
  <w:style w:type="table" w:styleId="TableGrid">
    <w:name w:val="Table Grid"/>
    <w:basedOn w:val="TableNormal"/>
    <w:uiPriority w:val="39"/>
    <w:rsid w:val="00EB5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6E54"/>
    <w:rPr>
      <w:b/>
      <w:bCs/>
    </w:rPr>
  </w:style>
  <w:style w:type="character" w:styleId="Emphasis">
    <w:name w:val="Emphasis"/>
    <w:basedOn w:val="DefaultParagraphFont"/>
    <w:uiPriority w:val="20"/>
    <w:qFormat/>
    <w:rsid w:val="00706E54"/>
    <w:rPr>
      <w:i/>
      <w:iCs/>
    </w:rPr>
  </w:style>
  <w:style w:type="paragraph" w:styleId="Header">
    <w:name w:val="header"/>
    <w:basedOn w:val="Normal"/>
    <w:link w:val="HeaderChar"/>
    <w:uiPriority w:val="99"/>
    <w:unhideWhenUsed/>
    <w:rsid w:val="002D5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75D"/>
  </w:style>
  <w:style w:type="paragraph" w:styleId="Footer">
    <w:name w:val="footer"/>
    <w:basedOn w:val="Normal"/>
    <w:link w:val="FooterChar"/>
    <w:uiPriority w:val="99"/>
    <w:unhideWhenUsed/>
    <w:rsid w:val="002D5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75D"/>
  </w:style>
  <w:style w:type="table" w:styleId="PlainTable2">
    <w:name w:val="Plain Table 2"/>
    <w:basedOn w:val="TableNormal"/>
    <w:uiPriority w:val="42"/>
    <w:rsid w:val="003F60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511CAC"/>
  </w:style>
  <w:style w:type="table" w:styleId="PlainTable3">
    <w:name w:val="Plain Table 3"/>
    <w:basedOn w:val="TableNormal"/>
    <w:uiPriority w:val="43"/>
    <w:rsid w:val="006876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396C-91A3-4362-BF7A-BD402391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25</Pages>
  <Words>30936</Words>
  <Characters>176341</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Rao</dc:creator>
  <cp:keywords/>
  <dc:description/>
  <cp:lastModifiedBy>SDI 1084</cp:lastModifiedBy>
  <cp:revision>81</cp:revision>
  <dcterms:created xsi:type="dcterms:W3CDTF">2026-02-27T15:08:00Z</dcterms:created>
  <dcterms:modified xsi:type="dcterms:W3CDTF">2026-03-02T12:13:00Z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id="i1yyCKtq"/&gt;&lt;style id="http://www.zotero.org/styles/apa" locale="en-US" hasBibliography="1" bibliographyStyleHasBeenSet="1"/&gt;&lt;prefs&gt;&lt;pref name="fieldType" value="Field"/&gt;&lt;/prefs&gt;&lt;/data&gt;</vt:lpwstr>
  </property>
</Properties>
</file>