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FF" w:rsidRPr="00CB05E7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CB05E7">
        <w:rPr>
          <w:rFonts w:ascii="Arial" w:hAnsi="Arial" w:cs="Arial"/>
          <w:b/>
          <w:sz w:val="20"/>
          <w:szCs w:val="20"/>
          <w:u w:val="single"/>
        </w:rPr>
        <w:t>Editor’s</w:t>
      </w:r>
      <w:proofErr w:type="gramEnd"/>
      <w:r w:rsidRPr="00CB05E7">
        <w:rPr>
          <w:rFonts w:ascii="Arial" w:hAnsi="Arial" w:cs="Arial"/>
          <w:b/>
          <w:sz w:val="20"/>
          <w:szCs w:val="20"/>
          <w:u w:val="single"/>
        </w:rPr>
        <w:t xml:space="preserve"> Comment:</w:t>
      </w:r>
    </w:p>
    <w:p w:rsidR="008C3DAF" w:rsidRPr="008C3DAF" w:rsidRDefault="008C3DAF" w:rsidP="008C3DAF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This study investigates the anti-inflammatory and anti-ulcer potentials of the aqueous extract of fermented seeds of </w:t>
      </w:r>
      <w:proofErr w:type="spell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Prosopis</w:t>
      </w:r>
      <w:proofErr w:type="spell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 </w:t>
      </w:r>
      <w:proofErr w:type="spell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africana</w:t>
      </w:r>
      <w:proofErr w:type="spell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 (</w:t>
      </w:r>
      <w:proofErr w:type="spell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okpeye</w:t>
      </w:r>
      <w:proofErr w:type="spell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) using </w:t>
      </w:r>
      <w:proofErr w:type="spell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Wistar</w:t>
      </w:r>
      <w:proofErr w:type="spell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 rat models. Importantly, the use of standard reference drugs (cimetidine and diclofenac) strengthens the validity of the comparative analysis. However, two additional points </w:t>
      </w:r>
      <w:proofErr w:type="gram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should be addressed</w:t>
      </w:r>
      <w:proofErr w:type="gram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 </w:t>
      </w:r>
      <w:r w:rsidRPr="008C3DAF">
        <w:rPr>
          <w:rFonts w:ascii="Arial" w:eastAsia="Times New Roman" w:hAnsi="Arial" w:cs="Arial"/>
          <w:color w:val="222222"/>
          <w:sz w:val="20"/>
          <w:szCs w:val="20"/>
          <w:highlight w:val="yellow"/>
          <w:lang w:val="en-US"/>
        </w:rPr>
        <w:t>before publication:</w:t>
      </w:r>
    </w:p>
    <w:p w:rsidR="008C3DAF" w:rsidRPr="008C3DAF" w:rsidRDefault="008C3DAF" w:rsidP="008C3D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Briefly describe the two standard reference drugs (cimetidine and diclofenac) in either the Introduction section or the Results and Discussion section, particularly in relation to the fermented seeds of </w:t>
      </w:r>
      <w:proofErr w:type="spell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Prosopis</w:t>
      </w:r>
      <w:proofErr w:type="spell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 xml:space="preserve"> </w:t>
      </w:r>
      <w:proofErr w:type="spellStart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africana</w:t>
      </w:r>
      <w:proofErr w:type="spellEnd"/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.</w:t>
      </w:r>
    </w:p>
    <w:p w:rsidR="008C3DAF" w:rsidRPr="008C3DAF" w:rsidRDefault="008C3DAF" w:rsidP="008C3DA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945"/>
        <w:rPr>
          <w:rFonts w:ascii="Arial" w:eastAsia="Times New Roman" w:hAnsi="Arial" w:cs="Arial"/>
          <w:color w:val="222222"/>
          <w:sz w:val="20"/>
          <w:szCs w:val="20"/>
          <w:lang w:val="en-US"/>
        </w:rPr>
      </w:pPr>
      <w:r w:rsidRPr="008C3DAF">
        <w:rPr>
          <w:rFonts w:ascii="Arial" w:eastAsia="Times New Roman" w:hAnsi="Arial" w:cs="Arial"/>
          <w:color w:val="222222"/>
          <w:sz w:val="20"/>
          <w:szCs w:val="20"/>
          <w:lang w:val="en-US"/>
        </w:rPr>
        <w:t>Further studies involving detailed phytochemical characterization and mechanistic investigations—such as matrix metalloproteinase (MMP-2) and cyclooxygenase-2 (COX-2) expression—would provide stronger scientific impact.</w:t>
      </w:r>
    </w:p>
    <w:p w:rsidR="009344FF" w:rsidRPr="00CB05E7" w:rsidRDefault="009344FF" w:rsidP="009344FF">
      <w:pPr>
        <w:rPr>
          <w:rFonts w:ascii="Arial" w:hAnsi="Arial" w:cs="Arial"/>
          <w:sz w:val="20"/>
          <w:szCs w:val="20"/>
        </w:rPr>
      </w:pPr>
    </w:p>
    <w:p w:rsidR="000F2F46" w:rsidRPr="00CB05E7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CB05E7">
        <w:rPr>
          <w:rFonts w:ascii="Arial" w:hAnsi="Arial" w:cs="Arial"/>
          <w:b/>
          <w:sz w:val="20"/>
          <w:szCs w:val="20"/>
          <w:u w:val="single"/>
        </w:rPr>
        <w:t>Editor’s</w:t>
      </w:r>
      <w:proofErr w:type="gramEnd"/>
      <w:r w:rsidRPr="00CB05E7">
        <w:rPr>
          <w:rFonts w:ascii="Arial" w:hAnsi="Arial" w:cs="Arial"/>
          <w:b/>
          <w:sz w:val="20"/>
          <w:szCs w:val="20"/>
          <w:u w:val="single"/>
        </w:rPr>
        <w:t xml:space="preserve"> Details:</w:t>
      </w:r>
    </w:p>
    <w:p w:rsidR="00CB05E7" w:rsidRPr="00CB05E7" w:rsidRDefault="00CB05E7" w:rsidP="00CB05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CB05E7">
        <w:rPr>
          <w:rFonts w:ascii="Arial" w:eastAsia="Times New Roman" w:hAnsi="Arial" w:cs="Arial"/>
          <w:sz w:val="20"/>
          <w:szCs w:val="20"/>
          <w:lang w:val="en-US"/>
        </w:rPr>
        <w:t>Dr. Yi-Ren Hong</w:t>
      </w:r>
      <w:r w:rsidRPr="00CB05E7">
        <w:rPr>
          <w:rFonts w:ascii="Arial" w:eastAsia="Times New Roman" w:hAnsi="Arial" w:cs="Arial"/>
          <w:sz w:val="20"/>
          <w:szCs w:val="20"/>
          <w:lang w:val="en-US"/>
        </w:rPr>
        <w:t>, Kaohsiung Medical University, Taiwan</w:t>
      </w:r>
    </w:p>
    <w:p w:rsidR="00CB05E7" w:rsidRPr="00CB05E7" w:rsidRDefault="00CB05E7" w:rsidP="009344FF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sectPr w:rsidR="00CB05E7" w:rsidRPr="00CB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30C82"/>
    <w:multiLevelType w:val="multilevel"/>
    <w:tmpl w:val="029A4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96"/>
    <w:rsid w:val="002C0B2C"/>
    <w:rsid w:val="008C3DAF"/>
    <w:rsid w:val="009344FF"/>
    <w:rsid w:val="009F328F"/>
    <w:rsid w:val="00A72896"/>
    <w:rsid w:val="00CB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1A94E"/>
  <w15:docId w15:val="{4097FCE3-8B89-4A77-92A4-AE08FEC4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5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770</Characters>
  <Application>Microsoft Office Word</Application>
  <DocSecurity>0</DocSecurity>
  <Lines>6</Lines>
  <Paragraphs>1</Paragraphs>
  <ScaleCrop>false</ScaleCrop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4</cp:revision>
  <dcterms:created xsi:type="dcterms:W3CDTF">2025-02-19T08:37:00Z</dcterms:created>
  <dcterms:modified xsi:type="dcterms:W3CDTF">2026-03-05T10:14:00Z</dcterms:modified>
</cp:coreProperties>
</file>