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E92D" w14:textId="79A6951F" w:rsidR="000C61AF" w:rsidRPr="00A52898" w:rsidRDefault="000C61AF" w:rsidP="00427003">
      <w:pPr>
        <w:pStyle w:val="NoSpacing"/>
        <w:jc w:val="center"/>
        <w:rPr>
          <w:rFonts w:ascii="Times New Roman" w:hAnsi="Times New Roman" w:cs="Times New Roman"/>
          <w:b/>
          <w:bCs/>
          <w:sz w:val="28"/>
          <w:szCs w:val="28"/>
        </w:rPr>
      </w:pPr>
      <w:bookmarkStart w:id="0" w:name="_GoBack"/>
      <w:bookmarkEnd w:id="0"/>
      <w:r w:rsidRPr="00A52898">
        <w:rPr>
          <w:rFonts w:ascii="Times New Roman" w:hAnsi="Times New Roman" w:cs="Times New Roman"/>
          <w:b/>
          <w:bCs/>
          <w:sz w:val="28"/>
          <w:szCs w:val="28"/>
        </w:rPr>
        <w:t>Original Research Article</w:t>
      </w:r>
    </w:p>
    <w:p w14:paraId="387E643D" w14:textId="77777777" w:rsidR="000C61AF" w:rsidRPr="00A52898" w:rsidRDefault="000C61AF" w:rsidP="00427003">
      <w:pPr>
        <w:pStyle w:val="NoSpacing"/>
        <w:jc w:val="center"/>
        <w:rPr>
          <w:rFonts w:ascii="Times New Roman" w:hAnsi="Times New Roman" w:cs="Times New Roman"/>
          <w:b/>
          <w:bCs/>
          <w:sz w:val="28"/>
          <w:szCs w:val="28"/>
        </w:rPr>
      </w:pPr>
    </w:p>
    <w:p w14:paraId="68C6EADC" w14:textId="7AF4798A" w:rsidR="00427003" w:rsidRPr="003A226E" w:rsidRDefault="00280965" w:rsidP="00427003">
      <w:pPr>
        <w:pStyle w:val="NoSpacing"/>
        <w:rPr>
          <w:rFonts w:ascii="Times New Roman" w:hAnsi="Times New Roman" w:cs="Times New Roman"/>
          <w:b/>
          <w:bCs/>
          <w:sz w:val="36"/>
          <w:szCs w:val="24"/>
        </w:rPr>
      </w:pPr>
      <w:r w:rsidRPr="003A226E">
        <w:rPr>
          <w:rFonts w:ascii="Times New Roman" w:hAnsi="Times New Roman" w:cs="Times New Roman"/>
          <w:b/>
          <w:sz w:val="32"/>
          <w:highlight w:val="yellow"/>
        </w:rPr>
        <w:t xml:space="preserve">Integrating Sustainable Development Goals into Digital Marketing Strategies: </w:t>
      </w:r>
      <w:r w:rsidR="00596D61">
        <w:rPr>
          <w:rFonts w:ascii="Times New Roman" w:hAnsi="Times New Roman" w:cs="Times New Roman"/>
          <w:b/>
          <w:sz w:val="32"/>
          <w:highlight w:val="yellow"/>
        </w:rPr>
        <w:t xml:space="preserve">An </w:t>
      </w:r>
      <w:r w:rsidRPr="003A226E">
        <w:rPr>
          <w:rFonts w:ascii="Times New Roman" w:hAnsi="Times New Roman" w:cs="Times New Roman"/>
          <w:b/>
          <w:sz w:val="32"/>
          <w:highlight w:val="yellow"/>
        </w:rPr>
        <w:t>Empirical Evidence from India</w:t>
      </w:r>
    </w:p>
    <w:p w14:paraId="370C902C" w14:textId="5F35B2C3" w:rsidR="0096350D" w:rsidRDefault="0096350D" w:rsidP="00427003">
      <w:pPr>
        <w:pStyle w:val="NoSpacing"/>
        <w:rPr>
          <w:rFonts w:ascii="Times New Roman" w:hAnsi="Times New Roman" w:cs="Times New Roman"/>
          <w:sz w:val="24"/>
          <w:szCs w:val="24"/>
        </w:rPr>
      </w:pPr>
    </w:p>
    <w:p w14:paraId="57C59F1B" w14:textId="77777777" w:rsidR="00427003" w:rsidRPr="00A52898" w:rsidRDefault="00427003" w:rsidP="00427003">
      <w:p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ABSTRACT</w:t>
      </w:r>
    </w:p>
    <w:p w14:paraId="5CC6166C" w14:textId="30DB5B57" w:rsidR="004152A1" w:rsidRDefault="004152A1" w:rsidP="00427003">
      <w:pPr>
        <w:spacing w:line="480" w:lineRule="auto"/>
        <w:jc w:val="both"/>
        <w:rPr>
          <w:rFonts w:ascii="Times New Roman" w:hAnsi="Times New Roman" w:cs="Times New Roman"/>
          <w:sz w:val="24"/>
          <w:szCs w:val="24"/>
        </w:rPr>
      </w:pPr>
      <w:r w:rsidRPr="003A226E">
        <w:rPr>
          <w:rFonts w:ascii="Times New Roman" w:hAnsi="Times New Roman" w:cs="Times New Roman"/>
          <w:b/>
          <w:sz w:val="24"/>
          <w:szCs w:val="24"/>
        </w:rPr>
        <w:t>Background</w:t>
      </w:r>
      <w:r>
        <w:rPr>
          <w:rFonts w:ascii="Times New Roman" w:hAnsi="Times New Roman" w:cs="Times New Roman"/>
          <w:sz w:val="24"/>
          <w:szCs w:val="24"/>
        </w:rPr>
        <w:t xml:space="preserve">: </w:t>
      </w:r>
      <w:r w:rsidR="00427003" w:rsidRPr="00A52898">
        <w:rPr>
          <w:rFonts w:ascii="Times New Roman" w:hAnsi="Times New Roman" w:cs="Times New Roman"/>
          <w:sz w:val="24"/>
          <w:szCs w:val="24"/>
        </w:rPr>
        <w:t xml:space="preserve">In the era of digital revolution, companies are progressively aligning their marketing practices with the Sustainable Development Goals (SDGs) to promote responsible, inclusive, and sustainable growth. India, as a dynamic emerging economy with a rapidly expanding digital ecosystem, offers a vital platform for examining how sustainability values are incorporated into corporate communication strategies. </w:t>
      </w:r>
      <w:bookmarkStart w:id="1" w:name="_Hlk219908324"/>
    </w:p>
    <w:p w14:paraId="7A87A049" w14:textId="28B59152" w:rsidR="004152A1" w:rsidRPr="003A226E" w:rsidRDefault="004152A1" w:rsidP="00427003">
      <w:pPr>
        <w:spacing w:line="480" w:lineRule="auto"/>
        <w:jc w:val="both"/>
        <w:rPr>
          <w:rFonts w:ascii="Times New Roman" w:hAnsi="Times New Roman" w:cs="Times New Roman"/>
          <w:sz w:val="24"/>
          <w:szCs w:val="24"/>
          <w:highlight w:val="yellow"/>
        </w:rPr>
      </w:pPr>
      <w:r w:rsidRPr="003A226E">
        <w:rPr>
          <w:rFonts w:ascii="Times New Roman" w:hAnsi="Times New Roman" w:cs="Times New Roman"/>
          <w:b/>
          <w:sz w:val="24"/>
          <w:szCs w:val="24"/>
        </w:rPr>
        <w:t>Aim</w:t>
      </w:r>
      <w:r>
        <w:rPr>
          <w:rFonts w:ascii="Times New Roman" w:hAnsi="Times New Roman" w:cs="Times New Roman"/>
          <w:sz w:val="24"/>
          <w:szCs w:val="24"/>
        </w:rPr>
        <w:t xml:space="preserve">: </w:t>
      </w:r>
      <w:r w:rsidR="00427003" w:rsidRPr="00A52898">
        <w:rPr>
          <w:rFonts w:ascii="Times New Roman" w:hAnsi="Times New Roman" w:cs="Times New Roman"/>
          <w:sz w:val="24"/>
          <w:szCs w:val="24"/>
        </w:rPr>
        <w:t xml:space="preserve">This study examines how different industries and corporate sectors in India incorporate SDG objectives into their digital marketing initiatives and compares the intensity and </w:t>
      </w:r>
      <w:r w:rsidR="00427003" w:rsidRPr="003A226E">
        <w:rPr>
          <w:rFonts w:ascii="Times New Roman" w:hAnsi="Times New Roman" w:cs="Times New Roman"/>
          <w:sz w:val="24"/>
          <w:szCs w:val="24"/>
          <w:highlight w:val="yellow"/>
        </w:rPr>
        <w:t>effectiveness of such integration across sectors</w:t>
      </w:r>
      <w:bookmarkEnd w:id="1"/>
      <w:r w:rsidR="00427003" w:rsidRPr="003A226E">
        <w:rPr>
          <w:rFonts w:ascii="Times New Roman" w:hAnsi="Times New Roman" w:cs="Times New Roman"/>
          <w:sz w:val="24"/>
          <w:szCs w:val="24"/>
          <w:highlight w:val="yellow"/>
        </w:rPr>
        <w:t xml:space="preserve">. </w:t>
      </w:r>
    </w:p>
    <w:p w14:paraId="5894D127" w14:textId="7FED3D39" w:rsidR="004152A1" w:rsidRDefault="004152A1" w:rsidP="00427003">
      <w:pPr>
        <w:spacing w:line="480" w:lineRule="auto"/>
        <w:jc w:val="both"/>
        <w:rPr>
          <w:rFonts w:ascii="Times New Roman" w:hAnsi="Times New Roman" w:cs="Times New Roman"/>
          <w:sz w:val="24"/>
          <w:szCs w:val="24"/>
        </w:rPr>
      </w:pPr>
      <w:r w:rsidRPr="003A226E">
        <w:rPr>
          <w:rFonts w:ascii="Times New Roman" w:hAnsi="Times New Roman" w:cs="Times New Roman"/>
          <w:b/>
          <w:sz w:val="24"/>
          <w:szCs w:val="24"/>
          <w:highlight w:val="yellow"/>
        </w:rPr>
        <w:t>Method:</w:t>
      </w:r>
      <w:r w:rsidRPr="003A226E">
        <w:rPr>
          <w:rFonts w:ascii="Times New Roman" w:hAnsi="Times New Roman" w:cs="Times New Roman"/>
          <w:sz w:val="24"/>
          <w:szCs w:val="24"/>
          <w:highlight w:val="yellow"/>
        </w:rPr>
        <w:t xml:space="preserve"> The study </w:t>
      </w:r>
      <w:r w:rsidR="001C5F13">
        <w:rPr>
          <w:rFonts w:ascii="Times New Roman" w:hAnsi="Times New Roman" w:cs="Times New Roman"/>
          <w:sz w:val="24"/>
          <w:szCs w:val="24"/>
          <w:highlight w:val="yellow"/>
        </w:rPr>
        <w:t>depends</w:t>
      </w:r>
      <w:r w:rsidRPr="003A226E">
        <w:rPr>
          <w:rFonts w:ascii="Times New Roman" w:hAnsi="Times New Roman" w:cs="Times New Roman"/>
          <w:sz w:val="24"/>
          <w:szCs w:val="24"/>
          <w:highlight w:val="yellow"/>
        </w:rPr>
        <w:t xml:space="preserve"> on secondary data sources, including official reports from NITI Aayog, UN SDG India Index, corporate sustainability reports, and digital marketing campaign documents.</w:t>
      </w:r>
    </w:p>
    <w:p w14:paraId="22460B27" w14:textId="77777777" w:rsidR="004152A1" w:rsidRDefault="004152A1" w:rsidP="00427003">
      <w:pPr>
        <w:spacing w:line="480" w:lineRule="auto"/>
        <w:jc w:val="both"/>
        <w:rPr>
          <w:rFonts w:ascii="Times New Roman" w:hAnsi="Times New Roman" w:cs="Times New Roman"/>
          <w:sz w:val="24"/>
          <w:szCs w:val="24"/>
        </w:rPr>
      </w:pPr>
      <w:r>
        <w:rPr>
          <w:rFonts w:ascii="Times New Roman" w:hAnsi="Times New Roman" w:cs="Times New Roman"/>
          <w:b/>
          <w:sz w:val="24"/>
          <w:szCs w:val="24"/>
        </w:rPr>
        <w:t>Results</w:t>
      </w:r>
      <w:r>
        <w:rPr>
          <w:rFonts w:ascii="Times New Roman" w:hAnsi="Times New Roman" w:cs="Times New Roman"/>
          <w:sz w:val="24"/>
          <w:szCs w:val="24"/>
        </w:rPr>
        <w:t xml:space="preserve">: </w:t>
      </w:r>
      <w:r w:rsidR="00427003" w:rsidRPr="00A52898">
        <w:rPr>
          <w:rFonts w:ascii="Times New Roman" w:hAnsi="Times New Roman" w:cs="Times New Roman"/>
          <w:sz w:val="24"/>
          <w:szCs w:val="24"/>
        </w:rPr>
        <w:t xml:space="preserve">The analysis highlights that industries such as FMCG, banking, and e-commerce actively employ digital platforms to promote sustainability narratives related to environmental protection, responsible consumption, and social inclusion. In contrast, sectors such as agriculture and traditional manufacturing demonstrate moderate levels of integration, often limited by technological adaptation and strategic focus. </w:t>
      </w:r>
    </w:p>
    <w:p w14:paraId="5375AFEA" w14:textId="5E98E125" w:rsidR="00427003" w:rsidRPr="00A52898" w:rsidRDefault="004152A1" w:rsidP="00427003">
      <w:pPr>
        <w:spacing w:line="480" w:lineRule="auto"/>
        <w:jc w:val="both"/>
        <w:rPr>
          <w:rFonts w:ascii="Times New Roman" w:hAnsi="Times New Roman" w:cs="Times New Roman"/>
          <w:sz w:val="24"/>
          <w:szCs w:val="24"/>
        </w:rPr>
      </w:pPr>
      <w:r w:rsidRPr="003A226E">
        <w:rPr>
          <w:rFonts w:ascii="Times New Roman" w:hAnsi="Times New Roman" w:cs="Times New Roman"/>
          <w:b/>
          <w:sz w:val="24"/>
          <w:szCs w:val="24"/>
        </w:rPr>
        <w:t>Conclusion:</w:t>
      </w:r>
      <w:r>
        <w:rPr>
          <w:rFonts w:ascii="Times New Roman" w:hAnsi="Times New Roman" w:cs="Times New Roman"/>
          <w:sz w:val="24"/>
          <w:szCs w:val="24"/>
        </w:rPr>
        <w:t xml:space="preserve"> </w:t>
      </w:r>
      <w:r w:rsidR="00427003" w:rsidRPr="00A52898">
        <w:rPr>
          <w:rFonts w:ascii="Times New Roman" w:hAnsi="Times New Roman" w:cs="Times New Roman"/>
          <w:sz w:val="24"/>
          <w:szCs w:val="24"/>
        </w:rPr>
        <w:t>The study emphasizes that digital marketing serves not merely as a promotional channel but as a transformative tool for advancing SDG awareness, strengthening stakeholder trust, and fostering sustainable development within India’s evolving business landscape.</w:t>
      </w:r>
    </w:p>
    <w:p w14:paraId="64EA8D6E" w14:textId="11881F23" w:rsidR="00427003"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b/>
          <w:bCs/>
          <w:sz w:val="24"/>
          <w:szCs w:val="24"/>
        </w:rPr>
        <w:t>Keywords:</w:t>
      </w:r>
      <w:r w:rsidRPr="00A52898">
        <w:rPr>
          <w:rFonts w:ascii="Times New Roman" w:hAnsi="Times New Roman" w:cs="Times New Roman"/>
          <w:sz w:val="24"/>
          <w:szCs w:val="24"/>
        </w:rPr>
        <w:t xml:space="preserve"> </w:t>
      </w:r>
      <w:r w:rsidR="00596D61" w:rsidRPr="003A226E">
        <w:rPr>
          <w:highlight w:val="yellow"/>
        </w:rPr>
        <w:t>SDGs, Digital Marketing, Sustainability Communication, Green Branding, Inclusive Growth</w:t>
      </w:r>
      <w:r w:rsidR="00596D61" w:rsidRPr="004152A1" w:rsidDel="00596D61">
        <w:rPr>
          <w:rFonts w:ascii="Times New Roman" w:hAnsi="Times New Roman" w:cs="Times New Roman"/>
          <w:sz w:val="24"/>
          <w:szCs w:val="24"/>
        </w:rPr>
        <w:t xml:space="preserve"> </w:t>
      </w:r>
    </w:p>
    <w:p w14:paraId="7FC7DFD2" w14:textId="77777777" w:rsidR="000B7DBD" w:rsidRPr="00A52898" w:rsidRDefault="000B7DBD" w:rsidP="00427003">
      <w:pPr>
        <w:spacing w:line="480" w:lineRule="auto"/>
        <w:jc w:val="both"/>
        <w:rPr>
          <w:rFonts w:ascii="Times New Roman" w:hAnsi="Times New Roman" w:cs="Times New Roman"/>
          <w:sz w:val="24"/>
          <w:szCs w:val="24"/>
        </w:rPr>
      </w:pPr>
    </w:p>
    <w:p w14:paraId="1540A49B"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Introduction</w:t>
      </w:r>
    </w:p>
    <w:p w14:paraId="6BF79A82" w14:textId="68C5EDAF" w:rsidR="00427003" w:rsidRPr="00A52898" w:rsidRDefault="006409EC" w:rsidP="00427003">
      <w:pPr>
        <w:spacing w:line="480" w:lineRule="auto"/>
        <w:jc w:val="both"/>
        <w:rPr>
          <w:rFonts w:ascii="Times New Roman" w:hAnsi="Times New Roman" w:cs="Times New Roman"/>
          <w:sz w:val="24"/>
          <w:szCs w:val="24"/>
        </w:rPr>
      </w:pPr>
      <w:r w:rsidRPr="003A226E">
        <w:rPr>
          <w:rFonts w:ascii="Arial" w:hAnsi="Arial" w:cs="Arial"/>
          <w:color w:val="222222"/>
          <w:sz w:val="20"/>
          <w:szCs w:val="20"/>
          <w:highlight w:val="yellow"/>
          <w:shd w:val="clear" w:color="auto" w:fill="FFFFFF"/>
        </w:rPr>
        <w:t xml:space="preserve">Sustainability is an increasingly significant component of organizations across multiple industries. Sustainability emerges as a critical imperative for contemporary organizations in response to the escalating prominence of global environmental concerns. Within the realm of marketing, sustainability is delineated as a multifaceted process encompassing strategic planning, execution, and oversight of product development, pricing strategies, promotional </w:t>
      </w:r>
      <w:proofErr w:type="spellStart"/>
      <w:r w:rsidRPr="003A226E">
        <w:rPr>
          <w:rFonts w:ascii="Arial" w:hAnsi="Arial" w:cs="Arial"/>
          <w:color w:val="222222"/>
          <w:sz w:val="20"/>
          <w:szCs w:val="20"/>
          <w:highlight w:val="yellow"/>
          <w:shd w:val="clear" w:color="auto" w:fill="FFFFFF"/>
        </w:rPr>
        <w:t>endeavors</w:t>
      </w:r>
      <w:proofErr w:type="spellEnd"/>
      <w:r w:rsidRPr="003A226E">
        <w:rPr>
          <w:rFonts w:ascii="Arial" w:hAnsi="Arial" w:cs="Arial"/>
          <w:color w:val="222222"/>
          <w:sz w:val="20"/>
          <w:szCs w:val="20"/>
          <w:highlight w:val="yellow"/>
          <w:shd w:val="clear" w:color="auto" w:fill="FFFFFF"/>
        </w:rPr>
        <w:t>, and distribution channels in alignment with the exigencies of clientele, corporate objectives, and environmental preservation (</w:t>
      </w:r>
      <w:r w:rsidR="001C5F13" w:rsidRPr="003A226E">
        <w:rPr>
          <w:rFonts w:ascii="Arial" w:eastAsia="Times New Roman" w:hAnsi="Arial" w:cs="Arial"/>
          <w:color w:val="333333"/>
          <w:kern w:val="0"/>
          <w:sz w:val="20"/>
          <w:szCs w:val="27"/>
          <w:highlight w:val="yellow"/>
          <w:lang w:val="en-US"/>
          <w14:ligatures w14:val="none"/>
        </w:rPr>
        <w:t>Kenneth</w:t>
      </w:r>
      <w:r w:rsidR="001C5F13" w:rsidRPr="001C5F13">
        <w:rPr>
          <w:rFonts w:ascii="inherit" w:eastAsia="Times New Roman" w:hAnsi="inherit" w:cs="Helvetica"/>
          <w:color w:val="222222"/>
          <w:kern w:val="0"/>
          <w:sz w:val="18"/>
          <w:szCs w:val="18"/>
          <w:highlight w:val="yellow"/>
          <w:lang w:val="en-US"/>
          <w14:ligatures w14:val="none"/>
        </w:rPr>
        <w:t>, 2022</w:t>
      </w:r>
      <w:r w:rsidR="001C5F13">
        <w:rPr>
          <w:rFonts w:ascii="inherit" w:eastAsia="Times New Roman" w:hAnsi="inherit" w:cs="Helvetica"/>
          <w:color w:val="222222"/>
          <w:kern w:val="0"/>
          <w:sz w:val="18"/>
          <w:szCs w:val="18"/>
          <w:highlight w:val="yellow"/>
          <w:lang w:val="en-US"/>
          <w14:ligatures w14:val="none"/>
        </w:rPr>
        <w:t xml:space="preserve">; </w:t>
      </w:r>
      <w:proofErr w:type="spellStart"/>
      <w:r w:rsidRPr="003A226E">
        <w:rPr>
          <w:rFonts w:ascii="inherit" w:eastAsia="Times New Roman" w:hAnsi="inherit" w:cs="Helvetica"/>
          <w:color w:val="222222"/>
          <w:kern w:val="0"/>
          <w:sz w:val="18"/>
          <w:szCs w:val="18"/>
          <w:highlight w:val="yellow"/>
          <w:lang w:val="en-US"/>
          <w14:ligatures w14:val="none"/>
        </w:rPr>
        <w:t>Boza</w:t>
      </w:r>
      <w:proofErr w:type="spellEnd"/>
      <w:r w:rsidRPr="003A226E">
        <w:rPr>
          <w:rFonts w:ascii="inherit" w:eastAsia="Times New Roman" w:hAnsi="inherit" w:cs="Helvetica"/>
          <w:color w:val="222222"/>
          <w:kern w:val="0"/>
          <w:sz w:val="18"/>
          <w:szCs w:val="18"/>
          <w:highlight w:val="yellow"/>
          <w:lang w:val="en-US"/>
          <w14:ligatures w14:val="none"/>
        </w:rPr>
        <w:t xml:space="preserve"> et al., 2024</w:t>
      </w:r>
      <w:r w:rsidRPr="003A226E">
        <w:rPr>
          <w:rFonts w:ascii="Arial" w:hAnsi="Arial" w:cs="Arial"/>
          <w:color w:val="222222"/>
          <w:sz w:val="20"/>
          <w:szCs w:val="20"/>
          <w:highlight w:val="yellow"/>
          <w:shd w:val="clear" w:color="auto" w:fill="FFFFFF"/>
        </w:rPr>
        <w:t>)</w:t>
      </w:r>
      <w:r w:rsidRPr="003A226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427003" w:rsidRPr="00A52898">
        <w:rPr>
          <w:rFonts w:ascii="Times New Roman" w:hAnsi="Times New Roman" w:cs="Times New Roman"/>
          <w:sz w:val="24"/>
          <w:szCs w:val="24"/>
        </w:rPr>
        <w:t>The Sustainable Development Goals, adopted by the United Nations in 2015, represent a comprehensive global framework including 17 goals aimed at eradicating poverty, ensuring environmental protection, and promoting inclusive economic development by 2030. These goals ranging from quality education and gender equality to responsible consumption and climate action serve as a guiding blueprint for governments, industries, and communities worldwide. In this background, digital marketing has evolved into a transformative instrument capable of accelerating the realization of SDGs through innovative communication, awareness generation, and stakeholder engagement.</w:t>
      </w:r>
      <w:r w:rsidR="00660ED8">
        <w:rPr>
          <w:rFonts w:ascii="Times New Roman" w:hAnsi="Times New Roman" w:cs="Times New Roman"/>
          <w:sz w:val="24"/>
          <w:szCs w:val="24"/>
        </w:rPr>
        <w:t xml:space="preserve"> </w:t>
      </w:r>
      <w:r w:rsidR="00660ED8" w:rsidRPr="003A226E">
        <w:rPr>
          <w:color w:val="222222"/>
          <w:szCs w:val="27"/>
          <w:highlight w:val="yellow"/>
          <w:shd w:val="clear" w:color="auto" w:fill="FFFFFF"/>
        </w:rPr>
        <w:t>Digital marketing has certain advantages which can be used when promoting knowledge of SDGs in higher educational institutions.</w:t>
      </w:r>
      <w:r w:rsidR="00660ED8" w:rsidRPr="003A226E">
        <w:rPr>
          <w:rFonts w:ascii="Times New Roman" w:hAnsi="Times New Roman" w:cs="Times New Roman"/>
          <w:sz w:val="20"/>
          <w:szCs w:val="24"/>
          <w:highlight w:val="yellow"/>
        </w:rPr>
        <w:t xml:space="preserve"> </w:t>
      </w:r>
      <w:r w:rsidR="00660ED8" w:rsidRPr="003A226E">
        <w:rPr>
          <w:color w:val="222222"/>
          <w:szCs w:val="27"/>
          <w:highlight w:val="yellow"/>
          <w:shd w:val="clear" w:color="auto" w:fill="FFFFFF"/>
        </w:rPr>
        <w:t>Internet marketing refers to the use of web-based promotion techniques and assets that are aimed at the communication of specific messages to target audience</w:t>
      </w:r>
      <w:r w:rsidR="001C5F13">
        <w:rPr>
          <w:color w:val="222222"/>
          <w:szCs w:val="27"/>
          <w:highlight w:val="yellow"/>
          <w:shd w:val="clear" w:color="auto" w:fill="FFFFFF"/>
        </w:rPr>
        <w:t xml:space="preserve"> (</w:t>
      </w:r>
      <w:proofErr w:type="spellStart"/>
      <w:r w:rsidR="001C5F13" w:rsidRPr="007918D1">
        <w:rPr>
          <w:rFonts w:ascii="Arial" w:eastAsia="Times New Roman" w:hAnsi="Arial" w:cs="Arial"/>
          <w:color w:val="333333"/>
          <w:kern w:val="0"/>
          <w:sz w:val="18"/>
          <w:szCs w:val="27"/>
          <w:highlight w:val="yellow"/>
          <w:lang w:val="en-US"/>
          <w14:ligatures w14:val="none"/>
        </w:rPr>
        <w:t>Haeruddin</w:t>
      </w:r>
      <w:proofErr w:type="spellEnd"/>
      <w:r w:rsidR="001C5F13">
        <w:rPr>
          <w:rFonts w:ascii="Arial" w:eastAsia="Times New Roman" w:hAnsi="Arial" w:cs="Arial"/>
          <w:color w:val="333333"/>
          <w:kern w:val="0"/>
          <w:sz w:val="18"/>
          <w:szCs w:val="27"/>
          <w:highlight w:val="yellow"/>
          <w:lang w:val="en-US"/>
          <w14:ligatures w14:val="none"/>
        </w:rPr>
        <w:t xml:space="preserve"> et al., 2025</w:t>
      </w:r>
      <w:r w:rsidR="001C5F13">
        <w:rPr>
          <w:color w:val="222222"/>
          <w:szCs w:val="27"/>
          <w:highlight w:val="yellow"/>
          <w:shd w:val="clear" w:color="auto" w:fill="FFFFFF"/>
        </w:rPr>
        <w:t>)</w:t>
      </w:r>
      <w:r w:rsidR="00660ED8" w:rsidRPr="003A226E">
        <w:rPr>
          <w:color w:val="222222"/>
          <w:szCs w:val="27"/>
          <w:highlight w:val="yellow"/>
          <w:shd w:val="clear" w:color="auto" w:fill="FFFFFF"/>
        </w:rPr>
        <w:t>. Due to its broad coverage and user participation characteristic, it is an appropriate tool for passing information and creating a discussion in the society</w:t>
      </w:r>
      <w:r w:rsidR="00660ED8">
        <w:rPr>
          <w:color w:val="222222"/>
          <w:szCs w:val="27"/>
          <w:highlight w:val="yellow"/>
          <w:shd w:val="clear" w:color="auto" w:fill="FFFFFF"/>
        </w:rPr>
        <w:t xml:space="preserve"> (</w:t>
      </w:r>
      <w:proofErr w:type="spellStart"/>
      <w:r w:rsidR="00660ED8" w:rsidRPr="007918D1">
        <w:rPr>
          <w:rFonts w:ascii="Helvetica" w:hAnsi="Helvetica" w:cs="Helvetica"/>
          <w:color w:val="222222"/>
          <w:sz w:val="20"/>
          <w:highlight w:val="yellow"/>
        </w:rPr>
        <w:t>Alshaketheep</w:t>
      </w:r>
      <w:proofErr w:type="spellEnd"/>
      <w:r w:rsidR="00660ED8">
        <w:rPr>
          <w:rFonts w:ascii="Helvetica" w:hAnsi="Helvetica" w:cs="Helvetica"/>
          <w:color w:val="222222"/>
          <w:sz w:val="20"/>
          <w:highlight w:val="yellow"/>
        </w:rPr>
        <w:t xml:space="preserve"> et al., 2024</w:t>
      </w:r>
      <w:r w:rsidR="00660ED8">
        <w:rPr>
          <w:color w:val="222222"/>
          <w:szCs w:val="27"/>
          <w:highlight w:val="yellow"/>
          <w:shd w:val="clear" w:color="auto" w:fill="FFFFFF"/>
        </w:rPr>
        <w:t>)</w:t>
      </w:r>
      <w:r w:rsidR="00660ED8" w:rsidRPr="003A226E">
        <w:rPr>
          <w:color w:val="222222"/>
          <w:szCs w:val="27"/>
          <w:highlight w:val="yellow"/>
          <w:shd w:val="clear" w:color="auto" w:fill="FFFFFF"/>
        </w:rPr>
        <w:t>.</w:t>
      </w:r>
    </w:p>
    <w:p w14:paraId="14EF6304"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In India, the intersection of digital marketing and sustainability has gathered substantial momentum, driven by the swift growth of internet penetration, mobile connectivity, and social media engagement. Companies are increasingly aligning their brand narratives with SDG priorities such as clean energy (Goal 7), decent work and economic growth (Goal 8), reduced inequalities (Goal 10), and responsible consumption and production (Goal 12). Digital </w:t>
      </w:r>
      <w:r w:rsidRPr="00A52898">
        <w:rPr>
          <w:rFonts w:ascii="Times New Roman" w:hAnsi="Times New Roman" w:cs="Times New Roman"/>
          <w:sz w:val="24"/>
          <w:szCs w:val="24"/>
        </w:rPr>
        <w:lastRenderedPageBreak/>
        <w:t>platforms provide opportunities to amplify these initiatives, foster consumer participation, and enhance transparency. Hence, examining how Indian industries integrate SDG principles into digital marketing practices offers vital insights into the evolving dynamics of sustainable business communication.</w:t>
      </w:r>
    </w:p>
    <w:p w14:paraId="3EB6589C" w14:textId="77777777"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In the modern global economy, digital marketing has emerged as a powerful medium for advancing sustainable development and corporate responsibility. The incorporation of the United Nations SDGs into digital marketing strategies enables companies to balance profitability with societal and environmental goals. In India, rapid digitalization across industries has transformed how organizations communicate sustainability values and engage with stakeholders. This study focuses on examining how various industries incorporate SDG principles into their digital marketing practices, comparing the intensity and effectiveness of such integration across sectors, and identifying the obstacles and prospects in executing sustainability-driven digital initiatives. By linking digital innovation with sustainability communication, Indian industries are redefining business strategies to achieve long-term economic, social, and environmental impact, reinforcing digital marketing’s role as a major catalyst for inclusive and responsible growth.</w:t>
      </w:r>
    </w:p>
    <w:p w14:paraId="74722F70" w14:textId="77777777" w:rsidR="00427003" w:rsidRPr="00A52898" w:rsidRDefault="00427003" w:rsidP="00427003">
      <w:pPr>
        <w:spacing w:after="0" w:line="480" w:lineRule="auto"/>
        <w:jc w:val="both"/>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SDGs in the Indian Context</w:t>
      </w:r>
    </w:p>
    <w:p w14:paraId="5B92C290" w14:textId="57644E2A" w:rsidR="00427003" w:rsidRPr="00A52898" w:rsidRDefault="00427003" w:rsidP="00427003">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3A226E">
        <w:rPr>
          <w:rFonts w:ascii="Times New Roman" w:eastAsia="Times New Roman" w:hAnsi="Times New Roman" w:cs="Times New Roman"/>
          <w:color w:val="000000"/>
          <w:kern w:val="0"/>
          <w:sz w:val="24"/>
          <w:szCs w:val="24"/>
          <w:highlight w:val="yellow"/>
          <w:lang w:eastAsia="en-IN"/>
          <w14:ligatures w14:val="none"/>
        </w:rPr>
        <w:t>India</w:t>
      </w:r>
      <w:r w:rsidR="001C5F13" w:rsidRPr="003A226E">
        <w:rPr>
          <w:rFonts w:ascii="Times New Roman" w:eastAsia="Times New Roman" w:hAnsi="Times New Roman" w:cs="Times New Roman"/>
          <w:color w:val="000000"/>
          <w:kern w:val="0"/>
          <w:sz w:val="24"/>
          <w:szCs w:val="24"/>
          <w:highlight w:val="yellow"/>
          <w:lang w:eastAsia="en-IN"/>
          <w14:ligatures w14:val="none"/>
        </w:rPr>
        <w:t>,</w:t>
      </w:r>
      <w:r w:rsidRPr="003A226E">
        <w:rPr>
          <w:highlight w:val="yellow"/>
        </w:rPr>
        <w:t xml:space="preserve"> </w:t>
      </w:r>
      <w:r w:rsidRPr="003A226E">
        <w:rPr>
          <w:rFonts w:ascii="Times New Roman" w:eastAsia="Times New Roman" w:hAnsi="Times New Roman" w:cs="Times New Roman"/>
          <w:color w:val="000000"/>
          <w:kern w:val="0"/>
          <w:sz w:val="24"/>
          <w:szCs w:val="24"/>
          <w:highlight w:val="yellow"/>
          <w:lang w:eastAsia="en-IN"/>
          <w14:ligatures w14:val="none"/>
        </w:rPr>
        <w:t>as</w:t>
      </w:r>
      <w:r w:rsidRPr="00A52898">
        <w:rPr>
          <w:rFonts w:ascii="Times New Roman" w:eastAsia="Times New Roman" w:hAnsi="Times New Roman" w:cs="Times New Roman"/>
          <w:color w:val="000000"/>
          <w:kern w:val="0"/>
          <w:sz w:val="24"/>
          <w:szCs w:val="24"/>
          <w:lang w:eastAsia="en-IN"/>
          <w14:ligatures w14:val="none"/>
        </w:rPr>
        <w:t xml:space="preserve"> a participant in the 2030 Agenda, has aligned its national development programs such as Digital India, Skill India, Swachh Bharat Mission, Make in India, and </w:t>
      </w:r>
      <w:proofErr w:type="spellStart"/>
      <w:r w:rsidRPr="00A52898">
        <w:rPr>
          <w:rFonts w:ascii="Times New Roman" w:eastAsia="Times New Roman" w:hAnsi="Times New Roman" w:cs="Times New Roman"/>
          <w:color w:val="000000"/>
          <w:kern w:val="0"/>
          <w:sz w:val="24"/>
          <w:szCs w:val="24"/>
          <w:lang w:eastAsia="en-IN"/>
          <w14:ligatures w14:val="none"/>
        </w:rPr>
        <w:t>Atmanirbhar</w:t>
      </w:r>
      <w:proofErr w:type="spellEnd"/>
      <w:r w:rsidRPr="00A52898">
        <w:rPr>
          <w:rFonts w:ascii="Times New Roman" w:eastAsia="Times New Roman" w:hAnsi="Times New Roman" w:cs="Times New Roman"/>
          <w:color w:val="000000"/>
          <w:kern w:val="0"/>
          <w:sz w:val="24"/>
          <w:szCs w:val="24"/>
          <w:lang w:eastAsia="en-IN"/>
          <w14:ligatures w14:val="none"/>
        </w:rPr>
        <w:t xml:space="preserve"> Bharat</w:t>
      </w:r>
      <w:r w:rsidR="001C5F13">
        <w:rPr>
          <w:rFonts w:ascii="Times New Roman" w:eastAsia="Times New Roman" w:hAnsi="Times New Roman" w:cs="Times New Roman"/>
          <w:color w:val="000000"/>
          <w:kern w:val="0"/>
          <w:sz w:val="24"/>
          <w:szCs w:val="24"/>
          <w:lang w:eastAsia="en-IN"/>
          <w14:ligatures w14:val="none"/>
        </w:rPr>
        <w:t>,</w:t>
      </w:r>
      <w:r w:rsidRPr="00A52898">
        <w:rPr>
          <w:rFonts w:ascii="Times New Roman" w:eastAsia="Times New Roman" w:hAnsi="Times New Roman" w:cs="Times New Roman"/>
          <w:color w:val="000000"/>
          <w:kern w:val="0"/>
          <w:sz w:val="24"/>
          <w:szCs w:val="24"/>
          <w:lang w:eastAsia="en-IN"/>
          <w14:ligatures w14:val="none"/>
        </w:rPr>
        <w:t xml:space="preserve"> with SDG priorities. The NITI Aayog functions as the central agency responsible for coordinating SDG implementation, monitoring progress through the SDG India Index, which assesses state-level performance. Significant advancement has been observed in areas like clean energy (Goal 7), infrastructure (Goal 9), and gender empowerment (Goal 5), though challenges persist in poverty reduction, climate action, and sustainable consumption.</w:t>
      </w:r>
    </w:p>
    <w:p w14:paraId="283EF74A" w14:textId="3E178BA8" w:rsidR="00427003" w:rsidRPr="00A52898" w:rsidRDefault="00427003" w:rsidP="00427003">
      <w:pPr>
        <w:spacing w:after="0" w:line="480" w:lineRule="auto"/>
        <w:jc w:val="both"/>
        <w:rPr>
          <w:color w:val="000000"/>
        </w:rPr>
      </w:pPr>
      <w:r w:rsidRPr="00A52898">
        <w:rPr>
          <w:rFonts w:ascii="Times New Roman" w:eastAsia="Times New Roman" w:hAnsi="Times New Roman" w:cs="Times New Roman"/>
          <w:color w:val="000000"/>
          <w:kern w:val="0"/>
          <w:sz w:val="24"/>
          <w:szCs w:val="24"/>
          <w:lang w:eastAsia="en-IN"/>
          <w14:ligatures w14:val="none"/>
        </w:rPr>
        <w:lastRenderedPageBreak/>
        <w:t xml:space="preserve">The effective realization of SDGs in India requires active participation </w:t>
      </w:r>
      <w:r w:rsidRPr="003A226E">
        <w:rPr>
          <w:rFonts w:ascii="Times New Roman" w:eastAsia="Times New Roman" w:hAnsi="Times New Roman" w:cs="Times New Roman"/>
          <w:color w:val="000000"/>
          <w:kern w:val="0"/>
          <w:sz w:val="24"/>
          <w:szCs w:val="24"/>
          <w:highlight w:val="yellow"/>
          <w:lang w:eastAsia="en-IN"/>
          <w14:ligatures w14:val="none"/>
        </w:rPr>
        <w:t xml:space="preserve">from </w:t>
      </w:r>
      <w:r w:rsidR="001C5F13" w:rsidRPr="003A226E">
        <w:rPr>
          <w:rFonts w:ascii="Times New Roman" w:eastAsia="Times New Roman" w:hAnsi="Times New Roman" w:cs="Times New Roman"/>
          <w:color w:val="000000"/>
          <w:kern w:val="0"/>
          <w:sz w:val="24"/>
          <w:szCs w:val="24"/>
          <w:highlight w:val="yellow"/>
          <w:lang w:eastAsia="en-IN"/>
          <w14:ligatures w14:val="none"/>
        </w:rPr>
        <w:t xml:space="preserve">the </w:t>
      </w:r>
      <w:r w:rsidRPr="003A226E">
        <w:rPr>
          <w:rFonts w:ascii="Times New Roman" w:eastAsia="Times New Roman" w:hAnsi="Times New Roman" w:cs="Times New Roman"/>
          <w:color w:val="000000"/>
          <w:kern w:val="0"/>
          <w:sz w:val="24"/>
          <w:szCs w:val="24"/>
          <w:highlight w:val="yellow"/>
          <w:lang w:eastAsia="en-IN"/>
          <w14:ligatures w14:val="none"/>
        </w:rPr>
        <w:t>corporate</w:t>
      </w:r>
      <w:r w:rsidRPr="00A52898">
        <w:rPr>
          <w:rFonts w:ascii="Times New Roman" w:eastAsia="Times New Roman" w:hAnsi="Times New Roman" w:cs="Times New Roman"/>
          <w:color w:val="000000"/>
          <w:kern w:val="0"/>
          <w:sz w:val="24"/>
          <w:szCs w:val="24"/>
          <w:lang w:eastAsia="en-IN"/>
          <w14:ligatures w14:val="none"/>
        </w:rPr>
        <w:t xml:space="preserve"> sectors, policymakers, academia, and digital marketers. Integrating SDG narratives </w:t>
      </w:r>
      <w:r w:rsidRPr="00A52898">
        <w:rPr>
          <w:rFonts w:ascii="Times New Roman" w:hAnsi="Times New Roman" w:cs="Times New Roman"/>
          <w:color w:val="000000"/>
          <w:sz w:val="24"/>
          <w:szCs w:val="24"/>
        </w:rPr>
        <w:t>into digital marketing not only strengthens</w:t>
      </w:r>
      <w:r w:rsidRPr="00A52898">
        <w:rPr>
          <w:rFonts w:ascii="Times New Roman" w:eastAsia="Times New Roman" w:hAnsi="Times New Roman" w:cs="Times New Roman"/>
          <w:color w:val="000000"/>
          <w:kern w:val="0"/>
          <w:sz w:val="24"/>
          <w:szCs w:val="24"/>
          <w:lang w:eastAsia="en-IN"/>
          <w14:ligatures w14:val="none"/>
        </w:rPr>
        <w:t xml:space="preserve"> brand value and consumer trust but also fosters collective responsibility toward sustainable growth.</w:t>
      </w:r>
    </w:p>
    <w:p w14:paraId="12A197B8" w14:textId="77777777" w:rsidR="00427003" w:rsidRPr="00A52898" w:rsidRDefault="00427003" w:rsidP="00427003">
      <w:pPr>
        <w:spacing w:after="0" w:line="48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SDGs and Business Integration</w:t>
      </w:r>
    </w:p>
    <w:p w14:paraId="5C462C68" w14:textId="77777777" w:rsidR="00427003" w:rsidRPr="00A52898" w:rsidRDefault="00427003" w:rsidP="00427003">
      <w:pPr>
        <w:spacing w:after="0"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Enterprises play a vital role in achieving SDGs through innovation, responsible production, inclusive employment, and sustainability-driven marketing. Many organizations integrate SDG principles into corporate social responsibility (CSR), green marketing, and digital campaigns to align profitability with societal impact. Digital technologies, particularly social media, artificial intelligence, and data analytics, are reshaping how organizations communicate sustainability, engage stakeholders, and promote ethical consumption.</w:t>
      </w:r>
    </w:p>
    <w:p w14:paraId="0B228553"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Objectives of the Study</w:t>
      </w:r>
    </w:p>
    <w:p w14:paraId="46617813" w14:textId="77777777" w:rsidR="00427003" w:rsidRPr="00A52898" w:rsidRDefault="00427003" w:rsidP="00427003">
      <w:pPr>
        <w:pStyle w:val="ListParagraph"/>
        <w:spacing w:line="480" w:lineRule="auto"/>
        <w:ind w:left="1080"/>
        <w:jc w:val="both"/>
        <w:rPr>
          <w:rFonts w:ascii="Times New Roman" w:hAnsi="Times New Roman" w:cs="Times New Roman"/>
          <w:sz w:val="24"/>
          <w:szCs w:val="24"/>
        </w:rPr>
      </w:pPr>
      <w:r w:rsidRPr="00A52898">
        <w:rPr>
          <w:rFonts w:ascii="Times New Roman" w:hAnsi="Times New Roman" w:cs="Times New Roman"/>
          <w:sz w:val="24"/>
          <w:szCs w:val="24"/>
        </w:rPr>
        <w:t>The specific objectives of the study are as under;</w:t>
      </w:r>
    </w:p>
    <w:p w14:paraId="24485037" w14:textId="77777777" w:rsidR="00427003" w:rsidRPr="00A52898" w:rsidRDefault="00427003" w:rsidP="00427003">
      <w:pPr>
        <w:numPr>
          <w:ilvl w:val="0"/>
          <w:numId w:val="4"/>
        </w:numPr>
        <w:spacing w:line="480" w:lineRule="auto"/>
        <w:rPr>
          <w:rFonts w:ascii="Times New Roman" w:hAnsi="Times New Roman" w:cs="Times New Roman"/>
          <w:sz w:val="24"/>
          <w:szCs w:val="24"/>
        </w:rPr>
      </w:pPr>
      <w:r w:rsidRPr="00A52898">
        <w:rPr>
          <w:rFonts w:ascii="Times New Roman" w:hAnsi="Times New Roman" w:cs="Times New Roman"/>
          <w:sz w:val="24"/>
          <w:szCs w:val="24"/>
        </w:rPr>
        <w:t>To examine the relationship between India’s progress on SDGs and the development of its digital marketing sector.</w:t>
      </w:r>
    </w:p>
    <w:p w14:paraId="053A0342" w14:textId="77777777" w:rsidR="00427003" w:rsidRPr="00A52898" w:rsidRDefault="00427003" w:rsidP="00427003">
      <w:pPr>
        <w:pStyle w:val="NormalWeb"/>
        <w:numPr>
          <w:ilvl w:val="0"/>
          <w:numId w:val="4"/>
        </w:numPr>
        <w:spacing w:line="480" w:lineRule="auto"/>
      </w:pPr>
      <w:r w:rsidRPr="00A52898">
        <w:t>To analyze India’s businesses, integrate Sustainable Development Goals (SDGs) into their digital marketing approaches for promoting sustainable development.</w:t>
      </w:r>
    </w:p>
    <w:p w14:paraId="1D9BB413" w14:textId="77777777" w:rsidR="00427003" w:rsidRPr="00A52898" w:rsidRDefault="00427003" w:rsidP="00427003">
      <w:pPr>
        <w:numPr>
          <w:ilvl w:val="0"/>
          <w:numId w:val="4"/>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To examine how various industries and corporate sectors in India integrate Sustainable Development Goals (SDGs) into their digital marketing strategies; and,</w:t>
      </w:r>
    </w:p>
    <w:p w14:paraId="7958001C" w14:textId="77777777" w:rsidR="00427003" w:rsidRPr="00A52898" w:rsidRDefault="00427003" w:rsidP="00427003">
      <w:pPr>
        <w:numPr>
          <w:ilvl w:val="0"/>
          <w:numId w:val="4"/>
        </w:numPr>
        <w:spacing w:line="480" w:lineRule="auto"/>
        <w:rPr>
          <w:rFonts w:ascii="Times New Roman" w:hAnsi="Times New Roman" w:cs="Times New Roman"/>
          <w:sz w:val="24"/>
          <w:szCs w:val="24"/>
        </w:rPr>
      </w:pPr>
      <w:r w:rsidRPr="00A52898">
        <w:rPr>
          <w:rFonts w:ascii="Times New Roman" w:hAnsi="Times New Roman" w:cs="Times New Roman"/>
          <w:sz w:val="24"/>
          <w:szCs w:val="24"/>
        </w:rPr>
        <w:t>To suggest strategies for strengthening Sustainable Development Goals with digital marketing linkages in India.</w:t>
      </w:r>
    </w:p>
    <w:p w14:paraId="40092FC1" w14:textId="77777777" w:rsidR="00427003" w:rsidRPr="00A52898" w:rsidRDefault="00427003" w:rsidP="00427003">
      <w:pPr>
        <w:pStyle w:val="ListParagraph"/>
        <w:numPr>
          <w:ilvl w:val="0"/>
          <w:numId w:val="3"/>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Research Design</w:t>
      </w:r>
    </w:p>
    <w:p w14:paraId="3B79C313" w14:textId="7E25EC05" w:rsidR="00427003" w:rsidRPr="00A52898" w:rsidRDefault="00427003" w:rsidP="00427003">
      <w:pPr>
        <w:spacing w:line="480" w:lineRule="auto"/>
        <w:ind w:left="360"/>
        <w:jc w:val="both"/>
        <w:rPr>
          <w:rFonts w:ascii="Times New Roman" w:hAnsi="Times New Roman" w:cs="Times New Roman"/>
          <w:sz w:val="24"/>
          <w:szCs w:val="24"/>
        </w:rPr>
      </w:pPr>
      <w:r w:rsidRPr="00A52898">
        <w:rPr>
          <w:rFonts w:ascii="Times New Roman" w:hAnsi="Times New Roman" w:cs="Times New Roman"/>
          <w:sz w:val="24"/>
          <w:szCs w:val="24"/>
        </w:rPr>
        <w:t xml:space="preserve">The study </w:t>
      </w:r>
      <w:r w:rsidR="001C5F13" w:rsidRPr="003A226E">
        <w:rPr>
          <w:rFonts w:ascii="Times New Roman" w:hAnsi="Times New Roman" w:cs="Times New Roman"/>
          <w:sz w:val="24"/>
          <w:szCs w:val="24"/>
          <w:highlight w:val="yellow"/>
        </w:rPr>
        <w:t>depends</w:t>
      </w:r>
      <w:r w:rsidRPr="003A226E">
        <w:rPr>
          <w:rFonts w:ascii="Times New Roman" w:hAnsi="Times New Roman" w:cs="Times New Roman"/>
          <w:sz w:val="24"/>
          <w:szCs w:val="24"/>
          <w:highlight w:val="yellow"/>
        </w:rPr>
        <w:t xml:space="preserve"> on secondary</w:t>
      </w:r>
      <w:r w:rsidRPr="00A52898">
        <w:rPr>
          <w:rFonts w:ascii="Times New Roman" w:hAnsi="Times New Roman" w:cs="Times New Roman"/>
          <w:sz w:val="24"/>
          <w:szCs w:val="24"/>
        </w:rPr>
        <w:t xml:space="preserve"> data sources, including official reports from NITI Aayog, UN SDG India Index, corporate sustainability reports, and digital marketing campaign </w:t>
      </w:r>
      <w:r w:rsidRPr="00A52898">
        <w:rPr>
          <w:rFonts w:ascii="Times New Roman" w:hAnsi="Times New Roman" w:cs="Times New Roman"/>
          <w:sz w:val="24"/>
          <w:szCs w:val="24"/>
        </w:rPr>
        <w:lastRenderedPageBreak/>
        <w:t>documents. The analysis focuses on identifying and comparing how various Indian industries align their digital marketing practices with SDGs.</w:t>
      </w:r>
    </w:p>
    <w:p w14:paraId="493D8013" w14:textId="77777777" w:rsidR="00427003" w:rsidRPr="00A52898" w:rsidRDefault="00427003" w:rsidP="00427003">
      <w:pPr>
        <w:pStyle w:val="ListParagraph"/>
        <w:numPr>
          <w:ilvl w:val="0"/>
          <w:numId w:val="5"/>
        </w:numPr>
        <w:spacing w:line="48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Review of Literature</w:t>
      </w:r>
    </w:p>
    <w:p w14:paraId="57674061" w14:textId="0FDC86A9" w:rsidR="00427003" w:rsidRPr="00A52898" w:rsidRDefault="00427003" w:rsidP="00427003">
      <w:pPr>
        <w:pStyle w:val="ListParagraph"/>
        <w:spacing w:line="480" w:lineRule="auto"/>
        <w:jc w:val="both"/>
        <w:rPr>
          <w:rFonts w:ascii="Times New Roman" w:hAnsi="Times New Roman" w:cs="Times New Roman"/>
          <w:sz w:val="24"/>
          <w:szCs w:val="24"/>
        </w:rPr>
      </w:pPr>
      <w:r w:rsidRPr="00A52898">
        <w:rPr>
          <w:rFonts w:ascii="Times New Roman" w:hAnsi="Times New Roman" w:cs="Times New Roman"/>
          <w:b/>
          <w:bCs/>
          <w:sz w:val="24"/>
          <w:szCs w:val="24"/>
        </w:rPr>
        <w:t>Singh, S., &amp; Pandey, L. (2023)</w:t>
      </w:r>
      <w:r w:rsidRPr="00A52898">
        <w:rPr>
          <w:rFonts w:ascii="Times New Roman" w:hAnsi="Times New Roman" w:cs="Times New Roman"/>
          <w:b/>
          <w:bCs/>
          <w:sz w:val="24"/>
          <w:szCs w:val="24"/>
          <w:vertAlign w:val="superscript"/>
        </w:rPr>
        <w:t>1</w:t>
      </w:r>
      <w:r w:rsidRPr="00A52898">
        <w:rPr>
          <w:rFonts w:ascii="Times New Roman" w:hAnsi="Times New Roman" w:cs="Times New Roman"/>
          <w:sz w:val="24"/>
          <w:szCs w:val="24"/>
        </w:rPr>
        <w:t xml:space="preserve"> explore</w:t>
      </w:r>
      <w:r w:rsidR="001C5F13">
        <w:rPr>
          <w:rFonts w:ascii="Times New Roman" w:hAnsi="Times New Roman" w:cs="Times New Roman"/>
          <w:sz w:val="24"/>
          <w:szCs w:val="24"/>
        </w:rPr>
        <w:t>s</w:t>
      </w:r>
      <w:r w:rsidRPr="00A52898">
        <w:rPr>
          <w:rFonts w:ascii="Times New Roman" w:hAnsi="Times New Roman" w:cs="Times New Roman"/>
          <w:sz w:val="24"/>
          <w:szCs w:val="24"/>
        </w:rPr>
        <w:t xml:space="preserve"> the influence of SDGs on sustainable marketing practices within Indian businesses. The study identifies SDGs 2, 3, 5, 6, 7, and 10 as areas requiring immediate attention in India. It </w:t>
      </w:r>
      <w:r w:rsidR="001C5F13" w:rsidRPr="00A52898">
        <w:rPr>
          <w:rFonts w:ascii="Times New Roman" w:hAnsi="Times New Roman" w:cs="Times New Roman"/>
          <w:sz w:val="24"/>
          <w:szCs w:val="24"/>
        </w:rPr>
        <w:t>emphasi</w:t>
      </w:r>
      <w:r w:rsidR="001C5F13">
        <w:rPr>
          <w:rFonts w:ascii="Times New Roman" w:hAnsi="Times New Roman" w:cs="Times New Roman"/>
          <w:sz w:val="24"/>
          <w:szCs w:val="24"/>
        </w:rPr>
        <w:t>s</w:t>
      </w:r>
      <w:r w:rsidR="001C5F13" w:rsidRPr="00A52898">
        <w:rPr>
          <w:rFonts w:ascii="Times New Roman" w:hAnsi="Times New Roman" w:cs="Times New Roman"/>
          <w:sz w:val="24"/>
          <w:szCs w:val="24"/>
        </w:rPr>
        <w:t xml:space="preserve">es </w:t>
      </w:r>
      <w:r w:rsidRPr="00A52898">
        <w:rPr>
          <w:rFonts w:ascii="Times New Roman" w:hAnsi="Times New Roman" w:cs="Times New Roman"/>
          <w:sz w:val="24"/>
          <w:szCs w:val="24"/>
        </w:rPr>
        <w:t>the incorporation of sustainability into marketing strategies, highlighting challenges such as defining indicators, financing SDGs, and measuring progress. The authors propose that businesses align their marketing strategies with the SDGs to enhance their international positioning and contribute to sustainable development. This conceptual study serves as a foundation for future research and applications in sustainable marketing.</w:t>
      </w:r>
    </w:p>
    <w:p w14:paraId="2F1D9D29" w14:textId="77777777" w:rsidR="00427003" w:rsidRPr="00A52898" w:rsidRDefault="00427003" w:rsidP="00427003">
      <w:pPr>
        <w:pStyle w:val="NormalWeb"/>
        <w:spacing w:line="480" w:lineRule="auto"/>
        <w:ind w:left="720"/>
        <w:jc w:val="both"/>
      </w:pPr>
      <w:proofErr w:type="spellStart"/>
      <w:r w:rsidRPr="00A52898">
        <w:rPr>
          <w:b/>
          <w:bCs/>
        </w:rPr>
        <w:t>Surjani</w:t>
      </w:r>
      <w:proofErr w:type="spellEnd"/>
      <w:r w:rsidRPr="00A52898">
        <w:rPr>
          <w:b/>
          <w:bCs/>
        </w:rPr>
        <w:t xml:space="preserve"> and </w:t>
      </w:r>
      <w:proofErr w:type="spellStart"/>
      <w:r w:rsidRPr="00A52898">
        <w:rPr>
          <w:b/>
          <w:bCs/>
        </w:rPr>
        <w:t>Dangi</w:t>
      </w:r>
      <w:proofErr w:type="spellEnd"/>
      <w:r w:rsidRPr="00A52898">
        <w:rPr>
          <w:b/>
          <w:bCs/>
        </w:rPr>
        <w:t xml:space="preserve"> (2023)</w:t>
      </w:r>
      <w:r w:rsidRPr="00A52898">
        <w:rPr>
          <w:b/>
          <w:bCs/>
          <w:vertAlign w:val="superscript"/>
        </w:rPr>
        <w:t>2</w:t>
      </w:r>
      <w:r w:rsidRPr="00A52898">
        <w:t xml:space="preserve"> explore how advertising acts as a strategic instrument for promoting SDGs by businesses in emerging economies like India. The authors argue that advertising can move beyond persuasion and sales generation to influence social consciousness, environmental awareness, and sustainable consumer behavior. They analyze case studies of Indian brands that align advertising messages with SDG themes such as gender equality, clean energy, and responsible consumption. The study finds that purpose-driven campaigns enhance brand loyalty, stakeholder trust, and long-term corporate reputation. It concludes that integrating SDG narratives in advertising not only contributes to sustainability objectives but also strengthens firms’ competitive positioning in a socially conscious market.</w:t>
      </w:r>
    </w:p>
    <w:p w14:paraId="1E22F228" w14:textId="77777777" w:rsidR="00427003" w:rsidRPr="00A52898" w:rsidRDefault="00427003" w:rsidP="00427003">
      <w:pPr>
        <w:pStyle w:val="NormalWeb"/>
        <w:spacing w:line="480" w:lineRule="auto"/>
        <w:ind w:left="720"/>
        <w:jc w:val="both"/>
      </w:pPr>
      <w:r w:rsidRPr="00A52898">
        <w:rPr>
          <w:b/>
          <w:bCs/>
        </w:rPr>
        <w:t>Nambiar, J. P. (2025)</w:t>
      </w:r>
      <w:r w:rsidRPr="00A52898">
        <w:rPr>
          <w:b/>
          <w:bCs/>
          <w:vertAlign w:val="superscript"/>
        </w:rPr>
        <w:t>3</w:t>
      </w:r>
      <w:r w:rsidRPr="00A52898">
        <w:rPr>
          <w:b/>
          <w:bCs/>
        </w:rPr>
        <w:t xml:space="preserve"> </w:t>
      </w:r>
      <w:r w:rsidRPr="00A52898">
        <w:t xml:space="preserve">highlights how digital marketing serves as a transformative force for attaining the United Nations SDGs. The study emphasizes the role of technology-driven marketing tools—such as social media analytics, influencer </w:t>
      </w:r>
      <w:r w:rsidRPr="00A52898">
        <w:lastRenderedPageBreak/>
        <w:t>campaigns, and digital storytelling—in promoting sustainable behaviors and brand responsibility. It concludes that aligning digital strategies with SDGs enhances corporate image, consumer trust, and stakeholder engagement while driving long-term economic and social value.</w:t>
      </w:r>
    </w:p>
    <w:p w14:paraId="3DB0AE37" w14:textId="77777777" w:rsidR="00427003" w:rsidRPr="00A52898" w:rsidRDefault="00427003" w:rsidP="00427003">
      <w:pPr>
        <w:pStyle w:val="NormalWeb"/>
        <w:spacing w:line="480" w:lineRule="auto"/>
        <w:ind w:left="720"/>
        <w:jc w:val="both"/>
      </w:pPr>
      <w:r w:rsidRPr="00A52898">
        <w:rPr>
          <w:b/>
          <w:bCs/>
        </w:rPr>
        <w:t>Singh, P., &amp; Singh, S. (2024)</w:t>
      </w:r>
      <w:r w:rsidRPr="00A52898">
        <w:rPr>
          <w:b/>
          <w:bCs/>
          <w:vertAlign w:val="superscript"/>
        </w:rPr>
        <w:t>4</w:t>
      </w:r>
      <w:r w:rsidRPr="00A52898">
        <w:t xml:space="preserve"> examine the ways in which social media platforms like Facebook, Instagram, Twitter, and WhatsApp are being used in India to promote awareness and engagement around the SDGs. The literature emphases on user engagement metrics, content strategies, and the importance of youth in awareness campaigns. It highlights that social media is a potent tool for amplifying messages related to sustainability, but effectiveness depends on authenticity, consistency, and adaptation to local socio-cultural contexts. The authors also identify gaps such as lack of measurement of long-term behavioural change and unequal access across regions.</w:t>
      </w:r>
    </w:p>
    <w:p w14:paraId="3E184AF9" w14:textId="77777777" w:rsidR="00427003" w:rsidRPr="00A52898" w:rsidRDefault="00427003" w:rsidP="00427003">
      <w:pPr>
        <w:pStyle w:val="ListParagraph"/>
        <w:numPr>
          <w:ilvl w:val="0"/>
          <w:numId w:val="3"/>
        </w:numPr>
        <w:spacing w:after="0" w:line="48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Sustainable Development Goals (SDGs) – Key Targets and Relevance to Business and Digital Marketing</w:t>
      </w:r>
    </w:p>
    <w:p w14:paraId="450107E0" w14:textId="77777777" w:rsidR="00427003" w:rsidRPr="00A52898" w:rsidRDefault="00427003" w:rsidP="00427003">
      <w:pPr>
        <w:spacing w:after="0" w:line="480" w:lineRule="auto"/>
        <w:ind w:left="720"/>
        <w:jc w:val="both"/>
        <w:rPr>
          <w:color w:val="000000"/>
        </w:rPr>
      </w:pPr>
      <w:r w:rsidRPr="00A52898">
        <w:rPr>
          <w:rFonts w:ascii="Times New Roman" w:eastAsia="Times New Roman" w:hAnsi="Times New Roman" w:cs="Times New Roman"/>
          <w:color w:val="000000"/>
          <w:kern w:val="0"/>
          <w:sz w:val="24"/>
          <w:szCs w:val="24"/>
          <w:lang w:eastAsia="en-IN"/>
          <w14:ligatures w14:val="none"/>
        </w:rPr>
        <w:t xml:space="preserve">The goals provide a global framework for achieving inclusive and sustainable growth. For businesses and digital marketing, SDGs offer opportunities to align strategies with social, environmental, and economic objectives, enabling organizations to promote responsible practices, enhance brand value, and contribute meaningfully </w:t>
      </w:r>
      <w:r w:rsidRPr="00A52898">
        <w:rPr>
          <w:rFonts w:ascii="Times New Roman" w:hAnsi="Times New Roman" w:cs="Times New Roman"/>
          <w:color w:val="000000"/>
          <w:sz w:val="24"/>
          <w:szCs w:val="24"/>
        </w:rPr>
        <w:t>towards achieving sustainable development</w:t>
      </w:r>
      <w:r w:rsidRPr="00A52898">
        <w:rPr>
          <w:color w:val="000000"/>
        </w:rPr>
        <w:t xml:space="preserve"> </w:t>
      </w:r>
      <w:r w:rsidRPr="00A52898">
        <w:rPr>
          <w:rFonts w:ascii="Times New Roman" w:eastAsia="Times New Roman" w:hAnsi="Times New Roman" w:cs="Times New Roman"/>
          <w:color w:val="000000"/>
          <w:kern w:val="0"/>
          <w:sz w:val="24"/>
          <w:szCs w:val="24"/>
          <w:lang w:eastAsia="en-IN"/>
          <w14:ligatures w14:val="none"/>
        </w:rPr>
        <w:t>through digital engagement.</w:t>
      </w:r>
    </w:p>
    <w:p w14:paraId="5397F8E9" w14:textId="77777777" w:rsidR="00427003" w:rsidRPr="00A52898" w:rsidRDefault="00427003" w:rsidP="00427003">
      <w:pPr>
        <w:spacing w:after="0" w:line="240" w:lineRule="auto"/>
        <w:rPr>
          <w:rFonts w:ascii="Times New Roman" w:eastAsia="Times New Roman" w:hAnsi="Times New Roman" w:cs="Times New Roman"/>
          <w:i/>
          <w:iCs/>
          <w:color w:val="000000"/>
          <w:kern w:val="0"/>
          <w:sz w:val="24"/>
          <w:szCs w:val="24"/>
          <w:lang w:eastAsia="en-IN"/>
          <w14:ligatures w14:val="none"/>
        </w:rPr>
        <w:sectPr w:rsidR="00427003" w:rsidRPr="00A52898" w:rsidSect="0042700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834E900" w14:textId="77777777" w:rsidR="00427003" w:rsidRPr="00A52898" w:rsidRDefault="00427003" w:rsidP="00427003">
      <w:pPr>
        <w:spacing w:after="0" w:line="240" w:lineRule="auto"/>
        <w:rPr>
          <w:rFonts w:ascii="Times New Roman" w:eastAsia="Times New Roman" w:hAnsi="Times New Roman" w:cs="Times New Roman"/>
          <w:b/>
          <w:bCs/>
          <w:color w:val="000000"/>
          <w:kern w:val="0"/>
          <w:sz w:val="24"/>
          <w:szCs w:val="24"/>
          <w:lang w:eastAsia="en-IN"/>
          <w14:ligatures w14:val="none"/>
        </w:rPr>
      </w:pPr>
    </w:p>
    <w:p w14:paraId="70DB5D1E" w14:textId="77777777" w:rsidR="00427003" w:rsidRPr="00A52898" w:rsidRDefault="00427003" w:rsidP="004270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Table: 1 SDGs - Key Targets and Relevance to Business and Digital Marketing</w:t>
      </w:r>
    </w:p>
    <w:tbl>
      <w:tblPr>
        <w:tblW w:w="5000" w:type="pct"/>
        <w:tblLook w:val="04A0" w:firstRow="1" w:lastRow="0" w:firstColumn="1" w:lastColumn="0" w:noHBand="0" w:noVBand="1"/>
      </w:tblPr>
      <w:tblGrid>
        <w:gridCol w:w="1099"/>
        <w:gridCol w:w="3149"/>
        <w:gridCol w:w="4818"/>
        <w:gridCol w:w="4882"/>
      </w:tblGrid>
      <w:tr w:rsidR="00427003" w:rsidRPr="00A52898" w14:paraId="131C69E5" w14:textId="77777777" w:rsidTr="003729D9">
        <w:trPr>
          <w:trHeight w:val="312"/>
        </w:trPr>
        <w:tc>
          <w:tcPr>
            <w:tcW w:w="394" w:type="pct"/>
            <w:tcBorders>
              <w:top w:val="single" w:sz="4" w:space="0" w:color="auto"/>
              <w:left w:val="single" w:sz="4" w:space="0" w:color="auto"/>
              <w:bottom w:val="single" w:sz="4" w:space="0" w:color="auto"/>
              <w:right w:val="single" w:sz="4" w:space="0" w:color="auto"/>
            </w:tcBorders>
            <w:vAlign w:val="center"/>
            <w:hideMark/>
          </w:tcPr>
          <w:p w14:paraId="2A9049FA"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SDG No.</w:t>
            </w:r>
          </w:p>
        </w:tc>
        <w:tc>
          <w:tcPr>
            <w:tcW w:w="1129" w:type="pct"/>
            <w:tcBorders>
              <w:top w:val="single" w:sz="4" w:space="0" w:color="auto"/>
              <w:left w:val="nil"/>
              <w:bottom w:val="single" w:sz="4" w:space="0" w:color="auto"/>
              <w:right w:val="single" w:sz="4" w:space="0" w:color="auto"/>
            </w:tcBorders>
            <w:vAlign w:val="center"/>
            <w:hideMark/>
          </w:tcPr>
          <w:p w14:paraId="7C72BBE1" w14:textId="77777777" w:rsidR="00427003" w:rsidRPr="00A52898" w:rsidRDefault="00427003" w:rsidP="003729D9">
            <w:pPr>
              <w:spacing w:after="0" w:line="24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Goal</w:t>
            </w:r>
          </w:p>
        </w:tc>
        <w:tc>
          <w:tcPr>
            <w:tcW w:w="1727" w:type="pct"/>
            <w:tcBorders>
              <w:top w:val="single" w:sz="4" w:space="0" w:color="auto"/>
              <w:left w:val="nil"/>
              <w:bottom w:val="single" w:sz="4" w:space="0" w:color="auto"/>
              <w:right w:val="single" w:sz="4" w:space="0" w:color="auto"/>
            </w:tcBorders>
            <w:vAlign w:val="center"/>
            <w:hideMark/>
          </w:tcPr>
          <w:p w14:paraId="589EB28E"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Key Targets (Summarized)</w:t>
            </w:r>
          </w:p>
        </w:tc>
        <w:tc>
          <w:tcPr>
            <w:tcW w:w="1750" w:type="pct"/>
            <w:tcBorders>
              <w:top w:val="single" w:sz="4" w:space="0" w:color="auto"/>
              <w:left w:val="nil"/>
              <w:bottom w:val="single" w:sz="4" w:space="0" w:color="auto"/>
              <w:right w:val="single" w:sz="4" w:space="0" w:color="auto"/>
            </w:tcBorders>
            <w:vAlign w:val="center"/>
            <w:hideMark/>
          </w:tcPr>
          <w:p w14:paraId="5B34C953" w14:textId="77777777" w:rsidR="00427003" w:rsidRPr="00A52898" w:rsidRDefault="00427003" w:rsidP="003729D9">
            <w:pPr>
              <w:spacing w:after="0" w:line="24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Relevance to Business and Digital Marketing</w:t>
            </w:r>
          </w:p>
        </w:tc>
      </w:tr>
      <w:tr w:rsidR="00427003" w:rsidRPr="00A52898" w14:paraId="0E9F71B8"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44172984"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w:t>
            </w:r>
          </w:p>
        </w:tc>
        <w:tc>
          <w:tcPr>
            <w:tcW w:w="1129" w:type="pct"/>
            <w:tcBorders>
              <w:top w:val="nil"/>
              <w:left w:val="nil"/>
              <w:bottom w:val="single" w:sz="4" w:space="0" w:color="auto"/>
              <w:right w:val="single" w:sz="4" w:space="0" w:color="auto"/>
            </w:tcBorders>
            <w:vAlign w:val="center"/>
            <w:hideMark/>
          </w:tcPr>
          <w:p w14:paraId="47A0970D"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No Poverty</w:t>
            </w:r>
          </w:p>
        </w:tc>
        <w:tc>
          <w:tcPr>
            <w:tcW w:w="1727" w:type="pct"/>
            <w:tcBorders>
              <w:top w:val="nil"/>
              <w:left w:val="nil"/>
              <w:bottom w:val="single" w:sz="4" w:space="0" w:color="auto"/>
              <w:right w:val="single" w:sz="4" w:space="0" w:color="auto"/>
            </w:tcBorders>
            <w:vAlign w:val="center"/>
            <w:hideMark/>
          </w:tcPr>
          <w:p w14:paraId="76CFAF5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Eradicate extreme poverty for all; Ensure equal access to resources and services.</w:t>
            </w:r>
          </w:p>
        </w:tc>
        <w:tc>
          <w:tcPr>
            <w:tcW w:w="1750" w:type="pct"/>
            <w:tcBorders>
              <w:top w:val="nil"/>
              <w:left w:val="nil"/>
              <w:bottom w:val="single" w:sz="4" w:space="0" w:color="auto"/>
              <w:right w:val="single" w:sz="4" w:space="0" w:color="auto"/>
            </w:tcBorders>
            <w:vAlign w:val="center"/>
            <w:hideMark/>
          </w:tcPr>
          <w:p w14:paraId="1887038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can promote inclusive employment, financial inclusion, and social welfare through CSR campaigns and digital awareness drives.</w:t>
            </w:r>
          </w:p>
        </w:tc>
      </w:tr>
      <w:tr w:rsidR="00427003" w:rsidRPr="00A52898" w14:paraId="14D92209"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5DA563F"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2</w:t>
            </w:r>
          </w:p>
        </w:tc>
        <w:tc>
          <w:tcPr>
            <w:tcW w:w="1129" w:type="pct"/>
            <w:tcBorders>
              <w:top w:val="nil"/>
              <w:left w:val="nil"/>
              <w:bottom w:val="single" w:sz="4" w:space="0" w:color="auto"/>
              <w:right w:val="single" w:sz="4" w:space="0" w:color="auto"/>
            </w:tcBorders>
            <w:vAlign w:val="center"/>
            <w:hideMark/>
          </w:tcPr>
          <w:p w14:paraId="742B5D6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Zero Hunger</w:t>
            </w:r>
          </w:p>
        </w:tc>
        <w:tc>
          <w:tcPr>
            <w:tcW w:w="1727" w:type="pct"/>
            <w:tcBorders>
              <w:top w:val="nil"/>
              <w:left w:val="nil"/>
              <w:bottom w:val="single" w:sz="4" w:space="0" w:color="auto"/>
              <w:right w:val="single" w:sz="4" w:space="0" w:color="auto"/>
            </w:tcBorders>
            <w:vAlign w:val="center"/>
            <w:hideMark/>
          </w:tcPr>
          <w:p w14:paraId="3EABA3F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Eradicate hunger, ensure food security, and foster sustainable agricultural practices.</w:t>
            </w:r>
          </w:p>
        </w:tc>
        <w:tc>
          <w:tcPr>
            <w:tcW w:w="1750" w:type="pct"/>
            <w:tcBorders>
              <w:top w:val="nil"/>
              <w:left w:val="nil"/>
              <w:bottom w:val="single" w:sz="4" w:space="0" w:color="auto"/>
              <w:right w:val="single" w:sz="4" w:space="0" w:color="auto"/>
            </w:tcBorders>
            <w:vAlign w:val="center"/>
            <w:hideMark/>
          </w:tcPr>
          <w:p w14:paraId="59BF241C"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Agribusinesses and food brands can use digital storytelling and campaigns to promote nutrition and sustainable sourcing.</w:t>
            </w:r>
          </w:p>
        </w:tc>
      </w:tr>
      <w:tr w:rsidR="00427003" w:rsidRPr="00A52898" w14:paraId="45B3DA42"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68FB8145"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3</w:t>
            </w:r>
          </w:p>
        </w:tc>
        <w:tc>
          <w:tcPr>
            <w:tcW w:w="1129" w:type="pct"/>
            <w:tcBorders>
              <w:top w:val="nil"/>
              <w:left w:val="nil"/>
              <w:bottom w:val="single" w:sz="4" w:space="0" w:color="auto"/>
              <w:right w:val="single" w:sz="4" w:space="0" w:color="auto"/>
            </w:tcBorders>
            <w:vAlign w:val="center"/>
            <w:hideMark/>
          </w:tcPr>
          <w:p w14:paraId="139B1148"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Good Health and Well-being</w:t>
            </w:r>
          </w:p>
        </w:tc>
        <w:tc>
          <w:tcPr>
            <w:tcW w:w="1727" w:type="pct"/>
            <w:tcBorders>
              <w:top w:val="nil"/>
              <w:left w:val="nil"/>
              <w:bottom w:val="single" w:sz="4" w:space="0" w:color="auto"/>
              <w:right w:val="single" w:sz="4" w:space="0" w:color="auto"/>
            </w:tcBorders>
            <w:vAlign w:val="center"/>
            <w:hideMark/>
          </w:tcPr>
          <w:p w14:paraId="3EF2A9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healthy lives, universal healthcare access, and mental health awareness.</w:t>
            </w:r>
          </w:p>
        </w:tc>
        <w:tc>
          <w:tcPr>
            <w:tcW w:w="1750" w:type="pct"/>
            <w:tcBorders>
              <w:top w:val="nil"/>
              <w:left w:val="nil"/>
              <w:bottom w:val="single" w:sz="4" w:space="0" w:color="auto"/>
              <w:right w:val="single" w:sz="4" w:space="0" w:color="auto"/>
            </w:tcBorders>
            <w:vAlign w:val="center"/>
            <w:hideMark/>
          </w:tcPr>
          <w:p w14:paraId="7E4F5D1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 brands use social media to promote wellness campaigns, preventive health, and SDG-driven public health initiatives.</w:t>
            </w:r>
          </w:p>
        </w:tc>
      </w:tr>
      <w:tr w:rsidR="00427003" w:rsidRPr="00A52898" w14:paraId="52EA5F79"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FC8DCC9"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4</w:t>
            </w:r>
          </w:p>
        </w:tc>
        <w:tc>
          <w:tcPr>
            <w:tcW w:w="1129" w:type="pct"/>
            <w:tcBorders>
              <w:top w:val="nil"/>
              <w:left w:val="nil"/>
              <w:bottom w:val="single" w:sz="4" w:space="0" w:color="auto"/>
              <w:right w:val="single" w:sz="4" w:space="0" w:color="auto"/>
            </w:tcBorders>
            <w:vAlign w:val="center"/>
            <w:hideMark/>
          </w:tcPr>
          <w:p w14:paraId="77CAD77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Quality Education</w:t>
            </w:r>
          </w:p>
        </w:tc>
        <w:tc>
          <w:tcPr>
            <w:tcW w:w="1727" w:type="pct"/>
            <w:tcBorders>
              <w:top w:val="nil"/>
              <w:left w:val="nil"/>
              <w:bottom w:val="single" w:sz="4" w:space="0" w:color="auto"/>
              <w:right w:val="single" w:sz="4" w:space="0" w:color="auto"/>
            </w:tcBorders>
            <w:vAlign w:val="center"/>
            <w:hideMark/>
          </w:tcPr>
          <w:p w14:paraId="3BB814B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inclusive, equitable education and lifelong learning opportunities.</w:t>
            </w:r>
          </w:p>
        </w:tc>
        <w:tc>
          <w:tcPr>
            <w:tcW w:w="1750" w:type="pct"/>
            <w:tcBorders>
              <w:top w:val="nil"/>
              <w:left w:val="nil"/>
              <w:bottom w:val="single" w:sz="4" w:space="0" w:color="auto"/>
              <w:right w:val="single" w:sz="4" w:space="0" w:color="auto"/>
            </w:tcBorders>
            <w:vAlign w:val="center"/>
            <w:hideMark/>
          </w:tcPr>
          <w:p w14:paraId="20009F4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EdTech firms and corporates can conduct online literacy programs and e-learning awareness through digital platforms.</w:t>
            </w:r>
          </w:p>
        </w:tc>
      </w:tr>
      <w:tr w:rsidR="00427003" w:rsidRPr="00A52898" w14:paraId="1C5A6521"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045D7D27"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5</w:t>
            </w:r>
          </w:p>
        </w:tc>
        <w:tc>
          <w:tcPr>
            <w:tcW w:w="1129" w:type="pct"/>
            <w:tcBorders>
              <w:top w:val="nil"/>
              <w:left w:val="nil"/>
              <w:bottom w:val="single" w:sz="4" w:space="0" w:color="auto"/>
              <w:right w:val="single" w:sz="4" w:space="0" w:color="auto"/>
            </w:tcBorders>
            <w:vAlign w:val="center"/>
            <w:hideMark/>
          </w:tcPr>
          <w:p w14:paraId="1196ECA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Gender Equality</w:t>
            </w:r>
          </w:p>
        </w:tc>
        <w:tc>
          <w:tcPr>
            <w:tcW w:w="1727" w:type="pct"/>
            <w:tcBorders>
              <w:top w:val="nil"/>
              <w:left w:val="nil"/>
              <w:bottom w:val="single" w:sz="4" w:space="0" w:color="auto"/>
              <w:right w:val="single" w:sz="4" w:space="0" w:color="auto"/>
            </w:tcBorders>
            <w:vAlign w:val="center"/>
            <w:hideMark/>
          </w:tcPr>
          <w:p w14:paraId="66009D73"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Eliminate gender-based discrimination and promote women’s empowerment.</w:t>
            </w:r>
          </w:p>
        </w:tc>
        <w:tc>
          <w:tcPr>
            <w:tcW w:w="1750" w:type="pct"/>
            <w:tcBorders>
              <w:top w:val="nil"/>
              <w:left w:val="nil"/>
              <w:bottom w:val="single" w:sz="4" w:space="0" w:color="auto"/>
              <w:right w:val="single" w:sz="4" w:space="0" w:color="auto"/>
            </w:tcBorders>
            <w:vAlign w:val="center"/>
            <w:hideMark/>
          </w:tcPr>
          <w:p w14:paraId="40A5312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use digital marketing to highlight women’s achievements, promote gender-inclusive workplaces, and campaign for equality.</w:t>
            </w:r>
          </w:p>
        </w:tc>
      </w:tr>
      <w:tr w:rsidR="00427003" w:rsidRPr="00A52898" w14:paraId="35F48B92"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52E667E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6</w:t>
            </w:r>
          </w:p>
        </w:tc>
        <w:tc>
          <w:tcPr>
            <w:tcW w:w="1129" w:type="pct"/>
            <w:tcBorders>
              <w:top w:val="nil"/>
              <w:left w:val="nil"/>
              <w:bottom w:val="single" w:sz="4" w:space="0" w:color="auto"/>
              <w:right w:val="single" w:sz="4" w:space="0" w:color="auto"/>
            </w:tcBorders>
            <w:vAlign w:val="center"/>
            <w:hideMark/>
          </w:tcPr>
          <w:p w14:paraId="6C2DA6C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Clean Water and Sanitation</w:t>
            </w:r>
          </w:p>
        </w:tc>
        <w:tc>
          <w:tcPr>
            <w:tcW w:w="1727" w:type="pct"/>
            <w:tcBorders>
              <w:top w:val="nil"/>
              <w:left w:val="nil"/>
              <w:bottom w:val="single" w:sz="4" w:space="0" w:color="auto"/>
              <w:right w:val="single" w:sz="4" w:space="0" w:color="auto"/>
            </w:tcBorders>
            <w:vAlign w:val="center"/>
            <w:hideMark/>
          </w:tcPr>
          <w:p w14:paraId="2E63ABD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sustainable water management and sanitation for all.</w:t>
            </w:r>
          </w:p>
        </w:tc>
        <w:tc>
          <w:tcPr>
            <w:tcW w:w="1750" w:type="pct"/>
            <w:tcBorders>
              <w:top w:val="nil"/>
              <w:left w:val="nil"/>
              <w:bottom w:val="single" w:sz="4" w:space="0" w:color="auto"/>
              <w:right w:val="single" w:sz="4" w:space="0" w:color="auto"/>
            </w:tcBorders>
            <w:vAlign w:val="center"/>
            <w:hideMark/>
          </w:tcPr>
          <w:p w14:paraId="40C3E35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Companies can run digital advocacy campaigns on water conservation and responsible manufacturing practices.</w:t>
            </w:r>
          </w:p>
        </w:tc>
      </w:tr>
      <w:tr w:rsidR="00427003" w:rsidRPr="00A52898" w14:paraId="16389C14"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019B1E29"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7</w:t>
            </w:r>
          </w:p>
        </w:tc>
        <w:tc>
          <w:tcPr>
            <w:tcW w:w="1129" w:type="pct"/>
            <w:tcBorders>
              <w:top w:val="nil"/>
              <w:left w:val="nil"/>
              <w:bottom w:val="single" w:sz="4" w:space="0" w:color="auto"/>
              <w:right w:val="single" w:sz="4" w:space="0" w:color="auto"/>
            </w:tcBorders>
            <w:vAlign w:val="center"/>
            <w:hideMark/>
          </w:tcPr>
          <w:p w14:paraId="36E0AE43"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Affordable and Clean Energy</w:t>
            </w:r>
          </w:p>
        </w:tc>
        <w:tc>
          <w:tcPr>
            <w:tcW w:w="1727" w:type="pct"/>
            <w:tcBorders>
              <w:top w:val="nil"/>
              <w:left w:val="nil"/>
              <w:bottom w:val="single" w:sz="4" w:space="0" w:color="auto"/>
              <w:right w:val="single" w:sz="4" w:space="0" w:color="auto"/>
            </w:tcBorders>
            <w:vAlign w:val="center"/>
            <w:hideMark/>
          </w:tcPr>
          <w:p w14:paraId="648A0FFD"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Ensure access to sustainable, modern, and clean energy.</w:t>
            </w:r>
          </w:p>
        </w:tc>
        <w:tc>
          <w:tcPr>
            <w:tcW w:w="1750" w:type="pct"/>
            <w:tcBorders>
              <w:top w:val="nil"/>
              <w:left w:val="nil"/>
              <w:bottom w:val="single" w:sz="4" w:space="0" w:color="auto"/>
              <w:right w:val="single" w:sz="4" w:space="0" w:color="auto"/>
            </w:tcBorders>
            <w:vAlign w:val="center"/>
            <w:hideMark/>
          </w:tcPr>
          <w:p w14:paraId="1F94457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Energy firms and startups use online platforms to market renewable energy solutions and raise awareness about clean energy adoption.</w:t>
            </w:r>
          </w:p>
        </w:tc>
      </w:tr>
      <w:tr w:rsidR="00427003" w:rsidRPr="00A52898" w14:paraId="5B6B7F45"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14C85C32"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8</w:t>
            </w:r>
          </w:p>
        </w:tc>
        <w:tc>
          <w:tcPr>
            <w:tcW w:w="1129" w:type="pct"/>
            <w:tcBorders>
              <w:top w:val="nil"/>
              <w:left w:val="nil"/>
              <w:bottom w:val="single" w:sz="4" w:space="0" w:color="auto"/>
              <w:right w:val="single" w:sz="4" w:space="0" w:color="auto"/>
            </w:tcBorders>
            <w:vAlign w:val="center"/>
            <w:hideMark/>
          </w:tcPr>
          <w:p w14:paraId="6585B51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Decent Work and Economic Growth</w:t>
            </w:r>
          </w:p>
        </w:tc>
        <w:tc>
          <w:tcPr>
            <w:tcW w:w="1727" w:type="pct"/>
            <w:tcBorders>
              <w:top w:val="nil"/>
              <w:left w:val="nil"/>
              <w:bottom w:val="single" w:sz="4" w:space="0" w:color="auto"/>
              <w:right w:val="single" w:sz="4" w:space="0" w:color="auto"/>
            </w:tcBorders>
            <w:vAlign w:val="center"/>
            <w:hideMark/>
          </w:tcPr>
          <w:p w14:paraId="558125C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inclusive economic growth, employment, and entrepreneurship.</w:t>
            </w:r>
          </w:p>
        </w:tc>
        <w:tc>
          <w:tcPr>
            <w:tcW w:w="1750" w:type="pct"/>
            <w:tcBorders>
              <w:top w:val="nil"/>
              <w:left w:val="nil"/>
              <w:bottom w:val="single" w:sz="4" w:space="0" w:color="auto"/>
              <w:right w:val="single" w:sz="4" w:space="0" w:color="auto"/>
            </w:tcBorders>
            <w:vAlign w:val="center"/>
            <w:hideMark/>
          </w:tcPr>
          <w:p w14:paraId="5692DE6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platforms can foster entrepreneurship and promote ethical labor practices through corporate campaigns.</w:t>
            </w:r>
          </w:p>
        </w:tc>
      </w:tr>
      <w:tr w:rsidR="00427003" w:rsidRPr="00A52898" w14:paraId="77AE3F48" w14:textId="77777777" w:rsidTr="003729D9">
        <w:trPr>
          <w:trHeight w:val="1560"/>
        </w:trPr>
        <w:tc>
          <w:tcPr>
            <w:tcW w:w="394" w:type="pct"/>
            <w:tcBorders>
              <w:top w:val="nil"/>
              <w:left w:val="single" w:sz="4" w:space="0" w:color="auto"/>
              <w:bottom w:val="single" w:sz="4" w:space="0" w:color="auto"/>
              <w:right w:val="single" w:sz="4" w:space="0" w:color="auto"/>
            </w:tcBorders>
            <w:vAlign w:val="center"/>
            <w:hideMark/>
          </w:tcPr>
          <w:p w14:paraId="45FE5016"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9</w:t>
            </w:r>
          </w:p>
        </w:tc>
        <w:tc>
          <w:tcPr>
            <w:tcW w:w="1129" w:type="pct"/>
            <w:tcBorders>
              <w:top w:val="nil"/>
              <w:left w:val="nil"/>
              <w:bottom w:val="single" w:sz="4" w:space="0" w:color="auto"/>
              <w:right w:val="single" w:sz="4" w:space="0" w:color="auto"/>
            </w:tcBorders>
            <w:vAlign w:val="center"/>
            <w:hideMark/>
          </w:tcPr>
          <w:p w14:paraId="4853238C"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Industry, Innovation and Infrastructure</w:t>
            </w:r>
          </w:p>
        </w:tc>
        <w:tc>
          <w:tcPr>
            <w:tcW w:w="1727" w:type="pct"/>
            <w:tcBorders>
              <w:top w:val="nil"/>
              <w:left w:val="nil"/>
              <w:bottom w:val="single" w:sz="4" w:space="0" w:color="auto"/>
              <w:right w:val="single" w:sz="4" w:space="0" w:color="auto"/>
            </w:tcBorders>
            <w:vAlign w:val="center"/>
            <w:hideMark/>
          </w:tcPr>
          <w:p w14:paraId="38879D9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Develop resilient infrastructure, sustainable industrialization, and innovation.</w:t>
            </w:r>
          </w:p>
        </w:tc>
        <w:tc>
          <w:tcPr>
            <w:tcW w:w="1750" w:type="pct"/>
            <w:tcBorders>
              <w:top w:val="nil"/>
              <w:left w:val="nil"/>
              <w:bottom w:val="single" w:sz="4" w:space="0" w:color="auto"/>
              <w:right w:val="single" w:sz="4" w:space="0" w:color="auto"/>
            </w:tcBorders>
            <w:vAlign w:val="center"/>
            <w:hideMark/>
          </w:tcPr>
          <w:p w14:paraId="45B624C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leverage digital marketing to highlight innovation, R&amp;D, and eco-friendly industrial solutions.</w:t>
            </w:r>
          </w:p>
        </w:tc>
      </w:tr>
      <w:tr w:rsidR="00427003" w:rsidRPr="00A52898" w14:paraId="5AE00ACE"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72BEAE8E"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10</w:t>
            </w:r>
          </w:p>
        </w:tc>
        <w:tc>
          <w:tcPr>
            <w:tcW w:w="1129" w:type="pct"/>
            <w:tcBorders>
              <w:top w:val="nil"/>
              <w:left w:val="nil"/>
              <w:bottom w:val="single" w:sz="4" w:space="0" w:color="auto"/>
              <w:right w:val="single" w:sz="4" w:space="0" w:color="auto"/>
            </w:tcBorders>
            <w:vAlign w:val="center"/>
            <w:hideMark/>
          </w:tcPr>
          <w:p w14:paraId="183B721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Reduced Inequalities</w:t>
            </w:r>
          </w:p>
        </w:tc>
        <w:tc>
          <w:tcPr>
            <w:tcW w:w="1727" w:type="pct"/>
            <w:tcBorders>
              <w:top w:val="nil"/>
              <w:left w:val="nil"/>
              <w:bottom w:val="single" w:sz="4" w:space="0" w:color="auto"/>
              <w:right w:val="single" w:sz="4" w:space="0" w:color="auto"/>
            </w:tcBorders>
            <w:vAlign w:val="center"/>
            <w:hideMark/>
          </w:tcPr>
          <w:p w14:paraId="3B95144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Reduce income and opportunity inequality within and among countries.</w:t>
            </w:r>
          </w:p>
        </w:tc>
        <w:tc>
          <w:tcPr>
            <w:tcW w:w="1750" w:type="pct"/>
            <w:tcBorders>
              <w:top w:val="nil"/>
              <w:left w:val="nil"/>
              <w:bottom w:val="single" w:sz="4" w:space="0" w:color="auto"/>
              <w:right w:val="single" w:sz="4" w:space="0" w:color="auto"/>
            </w:tcBorders>
            <w:vAlign w:val="center"/>
            <w:hideMark/>
          </w:tcPr>
          <w:p w14:paraId="6138CB6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Companies showcase inclusive hiring, accessibility initiatives, and social equality programs through digital engagement.</w:t>
            </w:r>
          </w:p>
        </w:tc>
      </w:tr>
      <w:tr w:rsidR="00427003" w:rsidRPr="00A52898" w14:paraId="0144F501" w14:textId="77777777" w:rsidTr="003729D9">
        <w:trPr>
          <w:trHeight w:val="936"/>
        </w:trPr>
        <w:tc>
          <w:tcPr>
            <w:tcW w:w="394" w:type="pct"/>
            <w:tcBorders>
              <w:top w:val="nil"/>
              <w:left w:val="single" w:sz="4" w:space="0" w:color="auto"/>
              <w:bottom w:val="single" w:sz="4" w:space="0" w:color="auto"/>
              <w:right w:val="single" w:sz="4" w:space="0" w:color="auto"/>
            </w:tcBorders>
            <w:vAlign w:val="center"/>
            <w:hideMark/>
          </w:tcPr>
          <w:p w14:paraId="600B5940"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11</w:t>
            </w:r>
          </w:p>
        </w:tc>
        <w:tc>
          <w:tcPr>
            <w:tcW w:w="1129" w:type="pct"/>
            <w:tcBorders>
              <w:top w:val="nil"/>
              <w:left w:val="nil"/>
              <w:bottom w:val="single" w:sz="4" w:space="0" w:color="auto"/>
              <w:right w:val="single" w:sz="4" w:space="0" w:color="auto"/>
            </w:tcBorders>
            <w:vAlign w:val="center"/>
            <w:hideMark/>
          </w:tcPr>
          <w:p w14:paraId="2E6BD2F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Sustainable Cities and Communities</w:t>
            </w:r>
          </w:p>
        </w:tc>
        <w:tc>
          <w:tcPr>
            <w:tcW w:w="1727" w:type="pct"/>
            <w:tcBorders>
              <w:top w:val="nil"/>
              <w:left w:val="nil"/>
              <w:bottom w:val="single" w:sz="4" w:space="0" w:color="auto"/>
              <w:right w:val="single" w:sz="4" w:space="0" w:color="auto"/>
            </w:tcBorders>
            <w:vAlign w:val="center"/>
            <w:hideMark/>
          </w:tcPr>
          <w:p w14:paraId="79899BC8"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inclusive, safe, and sustainable urbanization.</w:t>
            </w:r>
          </w:p>
        </w:tc>
        <w:tc>
          <w:tcPr>
            <w:tcW w:w="1750" w:type="pct"/>
            <w:tcBorders>
              <w:top w:val="nil"/>
              <w:left w:val="nil"/>
              <w:bottom w:val="single" w:sz="4" w:space="0" w:color="auto"/>
              <w:right w:val="single" w:sz="4" w:space="0" w:color="auto"/>
            </w:tcBorders>
            <w:vAlign w:val="center"/>
            <w:hideMark/>
          </w:tcPr>
          <w:p w14:paraId="2F2A352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Real estate and construction sectors use digital outreach to promote green buildings and eco-urban initiatives.</w:t>
            </w:r>
          </w:p>
        </w:tc>
      </w:tr>
      <w:tr w:rsidR="00427003" w:rsidRPr="00A52898" w14:paraId="44DAB24B"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4D77DBD0"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12</w:t>
            </w:r>
          </w:p>
        </w:tc>
        <w:tc>
          <w:tcPr>
            <w:tcW w:w="1129" w:type="pct"/>
            <w:tcBorders>
              <w:top w:val="nil"/>
              <w:left w:val="nil"/>
              <w:bottom w:val="single" w:sz="4" w:space="0" w:color="auto"/>
              <w:right w:val="single" w:sz="4" w:space="0" w:color="auto"/>
            </w:tcBorders>
            <w:vAlign w:val="center"/>
            <w:hideMark/>
          </w:tcPr>
          <w:p w14:paraId="0A389A1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Responsible Consumption and Production</w:t>
            </w:r>
          </w:p>
        </w:tc>
        <w:tc>
          <w:tcPr>
            <w:tcW w:w="1727" w:type="pct"/>
            <w:tcBorders>
              <w:top w:val="nil"/>
              <w:left w:val="nil"/>
              <w:bottom w:val="single" w:sz="4" w:space="0" w:color="auto"/>
              <w:right w:val="single" w:sz="4" w:space="0" w:color="auto"/>
            </w:tcBorders>
            <w:vAlign w:val="center"/>
            <w:hideMark/>
          </w:tcPr>
          <w:p w14:paraId="387C86B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resource efficiency and reduce waste generation.</w:t>
            </w:r>
          </w:p>
        </w:tc>
        <w:tc>
          <w:tcPr>
            <w:tcW w:w="1750" w:type="pct"/>
            <w:tcBorders>
              <w:top w:val="nil"/>
              <w:left w:val="nil"/>
              <w:bottom w:val="single" w:sz="4" w:space="0" w:color="auto"/>
              <w:right w:val="single" w:sz="4" w:space="0" w:color="auto"/>
            </w:tcBorders>
            <w:vAlign w:val="center"/>
            <w:hideMark/>
          </w:tcPr>
          <w:p w14:paraId="1C4958A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Green marketing promotes recycling, circular economy practices, and eco-friendly products through digital media.</w:t>
            </w:r>
          </w:p>
        </w:tc>
      </w:tr>
      <w:tr w:rsidR="00427003" w:rsidRPr="00A52898" w14:paraId="41989312"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4F6C6D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13</w:t>
            </w:r>
          </w:p>
        </w:tc>
        <w:tc>
          <w:tcPr>
            <w:tcW w:w="1129" w:type="pct"/>
            <w:tcBorders>
              <w:top w:val="nil"/>
              <w:left w:val="nil"/>
              <w:bottom w:val="single" w:sz="4" w:space="0" w:color="auto"/>
              <w:right w:val="single" w:sz="4" w:space="0" w:color="auto"/>
            </w:tcBorders>
            <w:vAlign w:val="center"/>
            <w:hideMark/>
          </w:tcPr>
          <w:p w14:paraId="5A3790B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Climate Action</w:t>
            </w:r>
          </w:p>
        </w:tc>
        <w:tc>
          <w:tcPr>
            <w:tcW w:w="1727" w:type="pct"/>
            <w:tcBorders>
              <w:top w:val="nil"/>
              <w:left w:val="nil"/>
              <w:bottom w:val="single" w:sz="4" w:space="0" w:color="auto"/>
              <w:right w:val="single" w:sz="4" w:space="0" w:color="auto"/>
            </w:tcBorders>
            <w:vAlign w:val="center"/>
            <w:hideMark/>
          </w:tcPr>
          <w:p w14:paraId="20B73EB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Combat climate change and reduce its impacts.</w:t>
            </w:r>
          </w:p>
        </w:tc>
        <w:tc>
          <w:tcPr>
            <w:tcW w:w="1750" w:type="pct"/>
            <w:tcBorders>
              <w:top w:val="nil"/>
              <w:left w:val="nil"/>
              <w:bottom w:val="single" w:sz="4" w:space="0" w:color="auto"/>
              <w:right w:val="single" w:sz="4" w:space="0" w:color="auto"/>
            </w:tcBorders>
            <w:vAlign w:val="center"/>
            <w:hideMark/>
          </w:tcPr>
          <w:p w14:paraId="30EE50A5"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align digital campaigns with climate awareness days and sustainability pledges to influence behavior change.</w:t>
            </w:r>
          </w:p>
        </w:tc>
      </w:tr>
      <w:tr w:rsidR="00427003" w:rsidRPr="00A52898" w14:paraId="38CE2D06"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154EFE2C"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14</w:t>
            </w:r>
          </w:p>
        </w:tc>
        <w:tc>
          <w:tcPr>
            <w:tcW w:w="1129" w:type="pct"/>
            <w:tcBorders>
              <w:top w:val="nil"/>
              <w:left w:val="nil"/>
              <w:bottom w:val="single" w:sz="4" w:space="0" w:color="auto"/>
              <w:right w:val="single" w:sz="4" w:space="0" w:color="auto"/>
            </w:tcBorders>
            <w:vAlign w:val="center"/>
            <w:hideMark/>
          </w:tcPr>
          <w:p w14:paraId="12798F4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Life Below Water</w:t>
            </w:r>
          </w:p>
        </w:tc>
        <w:tc>
          <w:tcPr>
            <w:tcW w:w="1727" w:type="pct"/>
            <w:tcBorders>
              <w:top w:val="nil"/>
              <w:left w:val="nil"/>
              <w:bottom w:val="single" w:sz="4" w:space="0" w:color="auto"/>
              <w:right w:val="single" w:sz="4" w:space="0" w:color="auto"/>
            </w:tcBorders>
            <w:vAlign w:val="center"/>
            <w:hideMark/>
          </w:tcPr>
          <w:p w14:paraId="5C7AD14A"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Conserve oceans, seas, and marine resources.</w:t>
            </w:r>
          </w:p>
        </w:tc>
        <w:tc>
          <w:tcPr>
            <w:tcW w:w="1750" w:type="pct"/>
            <w:tcBorders>
              <w:top w:val="nil"/>
              <w:left w:val="nil"/>
              <w:bottom w:val="single" w:sz="4" w:space="0" w:color="auto"/>
              <w:right w:val="single" w:sz="4" w:space="0" w:color="auto"/>
            </w:tcBorders>
            <w:vAlign w:val="center"/>
            <w:hideMark/>
          </w:tcPr>
          <w:p w14:paraId="6EBBE1B1"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Businesses highlight ocean cleanup efforts and sustainable seafood sourcing in online branding.</w:t>
            </w:r>
          </w:p>
        </w:tc>
      </w:tr>
      <w:tr w:rsidR="00427003" w:rsidRPr="00A52898" w14:paraId="3F5B9EDE" w14:textId="77777777" w:rsidTr="003729D9">
        <w:trPr>
          <w:trHeight w:val="312"/>
        </w:trPr>
        <w:tc>
          <w:tcPr>
            <w:tcW w:w="394" w:type="pct"/>
            <w:tcBorders>
              <w:top w:val="nil"/>
              <w:left w:val="single" w:sz="4" w:space="0" w:color="auto"/>
              <w:bottom w:val="single" w:sz="4" w:space="0" w:color="auto"/>
              <w:right w:val="single" w:sz="4" w:space="0" w:color="auto"/>
            </w:tcBorders>
            <w:vAlign w:val="center"/>
            <w:hideMark/>
          </w:tcPr>
          <w:p w14:paraId="58A22468"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15</w:t>
            </w:r>
          </w:p>
        </w:tc>
        <w:tc>
          <w:tcPr>
            <w:tcW w:w="1129" w:type="pct"/>
            <w:tcBorders>
              <w:top w:val="nil"/>
              <w:left w:val="nil"/>
              <w:bottom w:val="single" w:sz="4" w:space="0" w:color="auto"/>
              <w:right w:val="single" w:sz="4" w:space="0" w:color="auto"/>
            </w:tcBorders>
            <w:vAlign w:val="center"/>
            <w:hideMark/>
          </w:tcPr>
          <w:p w14:paraId="5F5B92D4"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Life on Land</w:t>
            </w:r>
          </w:p>
        </w:tc>
        <w:tc>
          <w:tcPr>
            <w:tcW w:w="1727" w:type="pct"/>
            <w:tcBorders>
              <w:top w:val="nil"/>
              <w:left w:val="nil"/>
              <w:bottom w:val="single" w:sz="4" w:space="0" w:color="auto"/>
              <w:right w:val="single" w:sz="4" w:space="0" w:color="auto"/>
            </w:tcBorders>
            <w:vAlign w:val="center"/>
            <w:hideMark/>
          </w:tcPr>
          <w:p w14:paraId="571CC22E"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Protect ecosystems, forests, and biodiversity.</w:t>
            </w:r>
          </w:p>
        </w:tc>
        <w:tc>
          <w:tcPr>
            <w:tcW w:w="1750" w:type="pct"/>
            <w:tcBorders>
              <w:top w:val="nil"/>
              <w:left w:val="nil"/>
              <w:bottom w:val="single" w:sz="4" w:space="0" w:color="auto"/>
              <w:right w:val="single" w:sz="4" w:space="0" w:color="auto"/>
            </w:tcBorders>
            <w:vAlign w:val="center"/>
            <w:hideMark/>
          </w:tcPr>
          <w:p w14:paraId="05523F86"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Brands market eco-tourism, afforestation drives, and biodiversity-friendly products via digital storytelling.</w:t>
            </w:r>
          </w:p>
        </w:tc>
      </w:tr>
      <w:tr w:rsidR="00427003" w:rsidRPr="00A52898" w14:paraId="7297EC60" w14:textId="77777777" w:rsidTr="003729D9">
        <w:trPr>
          <w:trHeight w:val="1248"/>
        </w:trPr>
        <w:tc>
          <w:tcPr>
            <w:tcW w:w="394" w:type="pct"/>
            <w:tcBorders>
              <w:top w:val="nil"/>
              <w:left w:val="single" w:sz="4" w:space="0" w:color="auto"/>
              <w:bottom w:val="single" w:sz="4" w:space="0" w:color="auto"/>
              <w:right w:val="single" w:sz="4" w:space="0" w:color="auto"/>
            </w:tcBorders>
            <w:vAlign w:val="center"/>
            <w:hideMark/>
          </w:tcPr>
          <w:p w14:paraId="38EA846A"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16</w:t>
            </w:r>
          </w:p>
        </w:tc>
        <w:tc>
          <w:tcPr>
            <w:tcW w:w="1129" w:type="pct"/>
            <w:tcBorders>
              <w:top w:val="nil"/>
              <w:left w:val="nil"/>
              <w:bottom w:val="single" w:sz="4" w:space="0" w:color="auto"/>
              <w:right w:val="single" w:sz="4" w:space="0" w:color="auto"/>
            </w:tcBorders>
            <w:vAlign w:val="center"/>
            <w:hideMark/>
          </w:tcPr>
          <w:p w14:paraId="17E6A13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Peace, Justice and Strong Institutions</w:t>
            </w:r>
          </w:p>
        </w:tc>
        <w:tc>
          <w:tcPr>
            <w:tcW w:w="1727" w:type="pct"/>
            <w:tcBorders>
              <w:top w:val="nil"/>
              <w:left w:val="nil"/>
              <w:bottom w:val="single" w:sz="4" w:space="0" w:color="auto"/>
              <w:right w:val="single" w:sz="4" w:space="0" w:color="auto"/>
            </w:tcBorders>
            <w:vAlign w:val="center"/>
            <w:hideMark/>
          </w:tcPr>
          <w:p w14:paraId="05C372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 peace, justice, transparency, and accountability.</w:t>
            </w:r>
          </w:p>
        </w:tc>
        <w:tc>
          <w:tcPr>
            <w:tcW w:w="1750" w:type="pct"/>
            <w:tcBorders>
              <w:top w:val="nil"/>
              <w:left w:val="nil"/>
              <w:bottom w:val="single" w:sz="4" w:space="0" w:color="auto"/>
              <w:right w:val="single" w:sz="4" w:space="0" w:color="auto"/>
            </w:tcBorders>
            <w:vAlign w:val="center"/>
            <w:hideMark/>
          </w:tcPr>
          <w:p w14:paraId="35FE29D7"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Organizations build public trust by communicating ethics, governance, and anti-corruption initiatives online.</w:t>
            </w:r>
          </w:p>
        </w:tc>
      </w:tr>
      <w:tr w:rsidR="00427003" w:rsidRPr="00A52898" w14:paraId="7ADAC16F" w14:textId="77777777" w:rsidTr="003729D9">
        <w:trPr>
          <w:trHeight w:val="624"/>
        </w:trPr>
        <w:tc>
          <w:tcPr>
            <w:tcW w:w="394" w:type="pct"/>
            <w:tcBorders>
              <w:top w:val="nil"/>
              <w:left w:val="single" w:sz="4" w:space="0" w:color="auto"/>
              <w:bottom w:val="single" w:sz="4" w:space="0" w:color="auto"/>
              <w:right w:val="single" w:sz="4" w:space="0" w:color="auto"/>
            </w:tcBorders>
            <w:vAlign w:val="center"/>
            <w:hideMark/>
          </w:tcPr>
          <w:p w14:paraId="495425D2" w14:textId="77777777" w:rsidR="00427003" w:rsidRPr="00A52898" w:rsidRDefault="00427003" w:rsidP="003729D9">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17</w:t>
            </w:r>
          </w:p>
        </w:tc>
        <w:tc>
          <w:tcPr>
            <w:tcW w:w="1129" w:type="pct"/>
            <w:tcBorders>
              <w:top w:val="nil"/>
              <w:left w:val="nil"/>
              <w:bottom w:val="single" w:sz="4" w:space="0" w:color="auto"/>
              <w:right w:val="single" w:sz="4" w:space="0" w:color="auto"/>
            </w:tcBorders>
            <w:vAlign w:val="center"/>
            <w:hideMark/>
          </w:tcPr>
          <w:p w14:paraId="3C3BC860"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Partnerships for the Goals</w:t>
            </w:r>
          </w:p>
        </w:tc>
        <w:tc>
          <w:tcPr>
            <w:tcW w:w="1727" w:type="pct"/>
            <w:tcBorders>
              <w:top w:val="nil"/>
              <w:left w:val="nil"/>
              <w:bottom w:val="single" w:sz="4" w:space="0" w:color="auto"/>
              <w:right w:val="single" w:sz="4" w:space="0" w:color="auto"/>
            </w:tcBorders>
            <w:vAlign w:val="center"/>
            <w:hideMark/>
          </w:tcPr>
          <w:p w14:paraId="5C82D19B"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 implementation through global, regional, and multi-stakeholder partnerships.</w:t>
            </w:r>
          </w:p>
        </w:tc>
        <w:tc>
          <w:tcPr>
            <w:tcW w:w="1750" w:type="pct"/>
            <w:tcBorders>
              <w:top w:val="nil"/>
              <w:left w:val="nil"/>
              <w:bottom w:val="single" w:sz="4" w:space="0" w:color="auto"/>
              <w:right w:val="single" w:sz="4" w:space="0" w:color="auto"/>
            </w:tcBorders>
            <w:vAlign w:val="center"/>
            <w:hideMark/>
          </w:tcPr>
          <w:p w14:paraId="21B01322" w14:textId="77777777" w:rsidR="00427003" w:rsidRPr="00A52898" w:rsidRDefault="00427003" w:rsidP="003729D9">
            <w:pPr>
              <w:spacing w:after="0" w:line="24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platforms foster collaborations among governments, NGOs, and private sectors to promote joint sustainability actions.</w:t>
            </w:r>
          </w:p>
        </w:tc>
      </w:tr>
    </w:tbl>
    <w:p w14:paraId="353BC778"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sz w:val="24"/>
          <w:szCs w:val="24"/>
        </w:rPr>
        <w:t xml:space="preserve">Source: </w:t>
      </w:r>
      <w:r w:rsidRPr="00A52898">
        <w:rPr>
          <w:rFonts w:ascii="Times New Roman" w:hAnsi="Times New Roman" w:cs="Times New Roman"/>
          <w:i/>
          <w:iCs/>
          <w:sz w:val="24"/>
          <w:szCs w:val="24"/>
        </w:rPr>
        <w:t>United Nations Development Programme (UNDP) – SDGs,</w:t>
      </w:r>
      <w:r w:rsidRPr="00A52898">
        <w:rPr>
          <w:rFonts w:ascii="Times New Roman" w:hAnsi="Times New Roman" w:cs="Times New Roman"/>
          <w:sz w:val="24"/>
          <w:szCs w:val="24"/>
        </w:rPr>
        <w:t xml:space="preserve"> </w:t>
      </w:r>
      <w:r w:rsidRPr="00A52898">
        <w:rPr>
          <w:rFonts w:ascii="Times New Roman" w:hAnsi="Times New Roman" w:cs="Times New Roman"/>
          <w:i/>
          <w:iCs/>
          <w:sz w:val="24"/>
          <w:szCs w:val="24"/>
        </w:rPr>
        <w:t xml:space="preserve">NITI Aayog, India – SDG India Index Reports </w:t>
      </w:r>
    </w:p>
    <w:p w14:paraId="51602215" w14:textId="77777777" w:rsidR="00427003" w:rsidRPr="00A52898" w:rsidRDefault="00427003" w:rsidP="00427003">
      <w:pPr>
        <w:spacing w:after="0" w:line="240" w:lineRule="auto"/>
        <w:jc w:val="center"/>
        <w:rPr>
          <w:rFonts w:ascii="Times New Roman" w:eastAsia="Times New Roman" w:hAnsi="Times New Roman" w:cs="Times New Roman"/>
          <w:b/>
          <w:bCs/>
          <w:color w:val="000000"/>
          <w:kern w:val="0"/>
          <w:sz w:val="24"/>
          <w:szCs w:val="24"/>
          <w:lang w:eastAsia="en-IN"/>
          <w14:ligatures w14:val="none"/>
        </w:rPr>
        <w:sectPr w:rsidR="00427003" w:rsidRPr="00A52898" w:rsidSect="00427003">
          <w:pgSz w:w="16838" w:h="11906" w:orient="landscape"/>
          <w:pgMar w:top="1276" w:right="1440" w:bottom="1135" w:left="1440" w:header="708" w:footer="708" w:gutter="0"/>
          <w:cols w:space="708"/>
          <w:docGrid w:linePitch="360"/>
        </w:sectPr>
      </w:pPr>
    </w:p>
    <w:p w14:paraId="70085126" w14:textId="77777777" w:rsidR="00427003" w:rsidRPr="00A52898" w:rsidRDefault="00427003" w:rsidP="004270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Table 2: Inda- SDG Progress and Digital Access (2025)</w:t>
      </w:r>
    </w:p>
    <w:tbl>
      <w:tblPr>
        <w:tblW w:w="5000" w:type="pct"/>
        <w:tblLook w:val="04A0" w:firstRow="1" w:lastRow="0" w:firstColumn="1" w:lastColumn="0" w:noHBand="0" w:noVBand="1"/>
      </w:tblPr>
      <w:tblGrid>
        <w:gridCol w:w="1914"/>
        <w:gridCol w:w="1660"/>
        <w:gridCol w:w="5911"/>
      </w:tblGrid>
      <w:tr w:rsidR="00427003" w:rsidRPr="00A52898" w14:paraId="2CADA99A" w14:textId="77777777" w:rsidTr="003729D9">
        <w:trPr>
          <w:trHeight w:val="146"/>
        </w:trPr>
        <w:tc>
          <w:tcPr>
            <w:tcW w:w="1009" w:type="pct"/>
            <w:tcBorders>
              <w:top w:val="single" w:sz="4" w:space="0" w:color="auto"/>
              <w:left w:val="single" w:sz="4" w:space="0" w:color="auto"/>
              <w:bottom w:val="single" w:sz="4" w:space="0" w:color="auto"/>
              <w:right w:val="single" w:sz="4" w:space="0" w:color="auto"/>
            </w:tcBorders>
            <w:vAlign w:val="center"/>
          </w:tcPr>
          <w:p w14:paraId="0A1E10A0"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Indicator</w:t>
            </w:r>
          </w:p>
        </w:tc>
        <w:tc>
          <w:tcPr>
            <w:tcW w:w="875" w:type="pct"/>
            <w:tcBorders>
              <w:top w:val="single" w:sz="4" w:space="0" w:color="auto"/>
              <w:left w:val="nil"/>
              <w:bottom w:val="single" w:sz="4" w:space="0" w:color="auto"/>
              <w:right w:val="single" w:sz="4" w:space="0" w:color="auto"/>
            </w:tcBorders>
            <w:vAlign w:val="center"/>
          </w:tcPr>
          <w:p w14:paraId="3E707A4E"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Value (2025)</w:t>
            </w:r>
          </w:p>
        </w:tc>
        <w:tc>
          <w:tcPr>
            <w:tcW w:w="3116" w:type="pct"/>
            <w:tcBorders>
              <w:top w:val="single" w:sz="4" w:space="0" w:color="auto"/>
              <w:left w:val="nil"/>
              <w:bottom w:val="single" w:sz="4" w:space="0" w:color="auto"/>
              <w:right w:val="single" w:sz="4" w:space="0" w:color="auto"/>
            </w:tcBorders>
            <w:vAlign w:val="center"/>
          </w:tcPr>
          <w:p w14:paraId="7C10D44E" w14:textId="77777777" w:rsidR="00427003" w:rsidRPr="00A52898" w:rsidRDefault="00427003" w:rsidP="003729D9">
            <w:pPr>
              <w:pStyle w:val="NoSpacing"/>
              <w:spacing w:line="480" w:lineRule="auto"/>
              <w:jc w:val="center"/>
              <w:rPr>
                <w:rFonts w:ascii="Times New Roman" w:eastAsia="Times New Roman" w:hAnsi="Times New Roman" w:cs="Times New Roman"/>
                <w:i/>
                <w:iCs/>
                <w:color w:val="000000"/>
                <w:kern w:val="0"/>
                <w:sz w:val="24"/>
                <w:szCs w:val="24"/>
                <w:lang w:eastAsia="en-IN"/>
                <w14:ligatures w14:val="none"/>
              </w:rPr>
            </w:pPr>
            <w:r w:rsidRPr="00A52898">
              <w:rPr>
                <w:rFonts w:ascii="Times New Roman" w:hAnsi="Times New Roman" w:cs="Times New Roman"/>
                <w:i/>
                <w:iCs/>
                <w:sz w:val="24"/>
                <w:szCs w:val="24"/>
              </w:rPr>
              <w:t>Explanation</w:t>
            </w:r>
          </w:p>
        </w:tc>
      </w:tr>
      <w:tr w:rsidR="00427003" w:rsidRPr="00A52898" w14:paraId="7F99B5B0" w14:textId="77777777" w:rsidTr="003729D9">
        <w:trPr>
          <w:trHeight w:val="2412"/>
        </w:trPr>
        <w:tc>
          <w:tcPr>
            <w:tcW w:w="1009" w:type="pct"/>
            <w:tcBorders>
              <w:top w:val="single" w:sz="4" w:space="0" w:color="auto"/>
              <w:left w:val="single" w:sz="4" w:space="0" w:color="auto"/>
              <w:bottom w:val="single" w:sz="4" w:space="0" w:color="auto"/>
              <w:right w:val="single" w:sz="4" w:space="0" w:color="auto"/>
            </w:tcBorders>
            <w:vAlign w:val="center"/>
            <w:hideMark/>
          </w:tcPr>
          <w:p w14:paraId="1D5036C3"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Global Rank (out of 167)</w:t>
            </w:r>
          </w:p>
        </w:tc>
        <w:tc>
          <w:tcPr>
            <w:tcW w:w="875" w:type="pct"/>
            <w:tcBorders>
              <w:top w:val="single" w:sz="4" w:space="0" w:color="auto"/>
              <w:left w:val="nil"/>
              <w:bottom w:val="single" w:sz="4" w:space="0" w:color="auto"/>
              <w:right w:val="single" w:sz="4" w:space="0" w:color="auto"/>
            </w:tcBorders>
            <w:vAlign w:val="center"/>
            <w:hideMark/>
          </w:tcPr>
          <w:p w14:paraId="2951AB10"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99</w:t>
            </w:r>
          </w:p>
        </w:tc>
        <w:tc>
          <w:tcPr>
            <w:tcW w:w="3116" w:type="pct"/>
            <w:tcBorders>
              <w:top w:val="single" w:sz="4" w:space="0" w:color="auto"/>
              <w:left w:val="nil"/>
              <w:bottom w:val="single" w:sz="4" w:space="0" w:color="auto"/>
              <w:right w:val="single" w:sz="4" w:space="0" w:color="auto"/>
            </w:tcBorders>
            <w:vAlign w:val="center"/>
            <w:hideMark/>
          </w:tcPr>
          <w:p w14:paraId="3D1C3E95"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 ranks 99th globally among 167 countries in terms of SDG performance. This ranking positions India in the mid-range globally, highlighting both achievements and challenges in meeting the 2030 Plan for Sustainable Development.</w:t>
            </w:r>
          </w:p>
        </w:tc>
      </w:tr>
      <w:tr w:rsidR="00427003" w:rsidRPr="00A52898" w14:paraId="65F2C78B" w14:textId="77777777" w:rsidTr="003729D9">
        <w:trPr>
          <w:trHeight w:val="2479"/>
        </w:trPr>
        <w:tc>
          <w:tcPr>
            <w:tcW w:w="1009" w:type="pct"/>
            <w:tcBorders>
              <w:top w:val="nil"/>
              <w:left w:val="single" w:sz="4" w:space="0" w:color="auto"/>
              <w:bottom w:val="single" w:sz="4" w:space="0" w:color="auto"/>
              <w:right w:val="single" w:sz="4" w:space="0" w:color="auto"/>
            </w:tcBorders>
            <w:vAlign w:val="center"/>
            <w:hideMark/>
          </w:tcPr>
          <w:p w14:paraId="46DC1FCA"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Internet Penetration (% of population)</w:t>
            </w:r>
          </w:p>
        </w:tc>
        <w:tc>
          <w:tcPr>
            <w:tcW w:w="875" w:type="pct"/>
            <w:tcBorders>
              <w:top w:val="nil"/>
              <w:left w:val="nil"/>
              <w:bottom w:val="single" w:sz="4" w:space="0" w:color="auto"/>
              <w:right w:val="single" w:sz="4" w:space="0" w:color="auto"/>
            </w:tcBorders>
            <w:vAlign w:val="center"/>
            <w:hideMark/>
          </w:tcPr>
          <w:p w14:paraId="05BC7628"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55.3 % (806 million users)</w:t>
            </w:r>
          </w:p>
        </w:tc>
        <w:tc>
          <w:tcPr>
            <w:tcW w:w="3116" w:type="pct"/>
            <w:tcBorders>
              <w:top w:val="nil"/>
              <w:left w:val="nil"/>
              <w:bottom w:val="single" w:sz="4" w:space="0" w:color="auto"/>
              <w:right w:val="single" w:sz="4" w:space="0" w:color="auto"/>
            </w:tcBorders>
            <w:vAlign w:val="center"/>
            <w:hideMark/>
          </w:tcPr>
          <w:p w14:paraId="2A0D93FB"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Over half of India’s population now uses the internet, indicating remarkable growth in digital connectivity. This penetration supports e-governance, online education, e-commerce, and digital financial services.</w:t>
            </w:r>
          </w:p>
        </w:tc>
      </w:tr>
      <w:tr w:rsidR="00427003" w:rsidRPr="00A52898" w14:paraId="223398E6" w14:textId="77777777" w:rsidTr="003729D9">
        <w:trPr>
          <w:trHeight w:val="1195"/>
        </w:trPr>
        <w:tc>
          <w:tcPr>
            <w:tcW w:w="1009" w:type="pct"/>
            <w:tcBorders>
              <w:top w:val="nil"/>
              <w:left w:val="single" w:sz="4" w:space="0" w:color="auto"/>
              <w:bottom w:val="single" w:sz="4" w:space="0" w:color="auto"/>
              <w:right w:val="single" w:sz="4" w:space="0" w:color="auto"/>
            </w:tcBorders>
            <w:vAlign w:val="center"/>
            <w:hideMark/>
          </w:tcPr>
          <w:p w14:paraId="2DDE04A7"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Social Media Penetration</w:t>
            </w:r>
          </w:p>
        </w:tc>
        <w:tc>
          <w:tcPr>
            <w:tcW w:w="875" w:type="pct"/>
            <w:tcBorders>
              <w:top w:val="nil"/>
              <w:left w:val="nil"/>
              <w:bottom w:val="single" w:sz="4" w:space="0" w:color="auto"/>
              <w:right w:val="single" w:sz="4" w:space="0" w:color="auto"/>
            </w:tcBorders>
            <w:vAlign w:val="center"/>
            <w:hideMark/>
          </w:tcPr>
          <w:p w14:paraId="39653663"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33.7 % (491 million users)</w:t>
            </w:r>
          </w:p>
        </w:tc>
        <w:tc>
          <w:tcPr>
            <w:tcW w:w="3116" w:type="pct"/>
            <w:tcBorders>
              <w:top w:val="nil"/>
              <w:left w:val="nil"/>
              <w:bottom w:val="single" w:sz="4" w:space="0" w:color="auto"/>
              <w:right w:val="single" w:sz="4" w:space="0" w:color="auto"/>
            </w:tcBorders>
            <w:vAlign w:val="center"/>
            <w:hideMark/>
          </w:tcPr>
          <w:p w14:paraId="7AE444E2"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Approximately one-third of India’s population actively uses social media platforms. This widespread usage indicates the increasing influence of social media in shaping public opinion, marketing strategies, and consumer behavior.</w:t>
            </w:r>
          </w:p>
        </w:tc>
      </w:tr>
      <w:tr w:rsidR="00427003" w:rsidRPr="00A52898" w14:paraId="57A27B0D" w14:textId="77777777" w:rsidTr="003729D9">
        <w:trPr>
          <w:trHeight w:val="1074"/>
        </w:trPr>
        <w:tc>
          <w:tcPr>
            <w:tcW w:w="1009" w:type="pct"/>
            <w:tcBorders>
              <w:top w:val="nil"/>
              <w:left w:val="single" w:sz="4" w:space="0" w:color="auto"/>
              <w:bottom w:val="single" w:sz="4" w:space="0" w:color="auto"/>
              <w:right w:val="single" w:sz="4" w:space="0" w:color="auto"/>
            </w:tcBorders>
            <w:vAlign w:val="center"/>
            <w:hideMark/>
          </w:tcPr>
          <w:p w14:paraId="307D80B4"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Marketing Market Size</w:t>
            </w:r>
          </w:p>
        </w:tc>
        <w:tc>
          <w:tcPr>
            <w:tcW w:w="875" w:type="pct"/>
            <w:tcBorders>
              <w:top w:val="nil"/>
              <w:left w:val="nil"/>
              <w:bottom w:val="single" w:sz="4" w:space="0" w:color="auto"/>
              <w:right w:val="single" w:sz="4" w:space="0" w:color="auto"/>
            </w:tcBorders>
            <w:vAlign w:val="center"/>
            <w:hideMark/>
          </w:tcPr>
          <w:p w14:paraId="59BF485D"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USD 5.15 billion</w:t>
            </w:r>
          </w:p>
        </w:tc>
        <w:tc>
          <w:tcPr>
            <w:tcW w:w="3116" w:type="pct"/>
            <w:tcBorders>
              <w:top w:val="nil"/>
              <w:left w:val="nil"/>
              <w:bottom w:val="single" w:sz="4" w:space="0" w:color="auto"/>
              <w:right w:val="single" w:sz="4" w:space="0" w:color="auto"/>
            </w:tcBorders>
            <w:vAlign w:val="center"/>
            <w:hideMark/>
          </w:tcPr>
          <w:p w14:paraId="1A4802DC"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India’s digital marketing industry has grown substantially, with an estimated market size of USD 5.15 billion in 2024, driven by growing internet and social media adoption, e-commerce growth, and mobile marketing.</w:t>
            </w:r>
          </w:p>
        </w:tc>
      </w:tr>
      <w:tr w:rsidR="00427003" w:rsidRPr="00A52898" w14:paraId="6E08429C" w14:textId="77777777" w:rsidTr="003729D9">
        <w:trPr>
          <w:trHeight w:val="810"/>
        </w:trPr>
        <w:tc>
          <w:tcPr>
            <w:tcW w:w="1009" w:type="pct"/>
            <w:tcBorders>
              <w:top w:val="nil"/>
              <w:left w:val="single" w:sz="4" w:space="0" w:color="auto"/>
              <w:bottom w:val="single" w:sz="4" w:space="0" w:color="auto"/>
              <w:right w:val="single" w:sz="4" w:space="0" w:color="auto"/>
            </w:tcBorders>
            <w:vAlign w:val="center"/>
            <w:hideMark/>
          </w:tcPr>
          <w:p w14:paraId="0F57865B"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Ad Share in Total Ad Spend</w:t>
            </w:r>
          </w:p>
        </w:tc>
        <w:tc>
          <w:tcPr>
            <w:tcW w:w="875" w:type="pct"/>
            <w:tcBorders>
              <w:top w:val="nil"/>
              <w:left w:val="nil"/>
              <w:bottom w:val="single" w:sz="4" w:space="0" w:color="auto"/>
              <w:right w:val="single" w:sz="4" w:space="0" w:color="auto"/>
            </w:tcBorders>
            <w:vAlign w:val="center"/>
            <w:hideMark/>
          </w:tcPr>
          <w:p w14:paraId="2BCA025D" w14:textId="77777777" w:rsidR="00427003" w:rsidRPr="00A52898" w:rsidRDefault="00427003" w:rsidP="003729D9">
            <w:pPr>
              <w:pStyle w:val="NoSpacing"/>
              <w:spacing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41%</w:t>
            </w:r>
          </w:p>
        </w:tc>
        <w:tc>
          <w:tcPr>
            <w:tcW w:w="3116" w:type="pct"/>
            <w:tcBorders>
              <w:top w:val="nil"/>
              <w:left w:val="nil"/>
              <w:bottom w:val="single" w:sz="4" w:space="0" w:color="auto"/>
              <w:right w:val="single" w:sz="4" w:space="0" w:color="auto"/>
            </w:tcBorders>
            <w:vAlign w:val="center"/>
            <w:hideMark/>
          </w:tcPr>
          <w:p w14:paraId="7FC97130" w14:textId="77777777" w:rsidR="00427003" w:rsidRPr="00A52898" w:rsidRDefault="00427003" w:rsidP="003729D9">
            <w:pPr>
              <w:pStyle w:val="NoSpacing"/>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advertising accounts for 41% of the total advertising expenditure in India, reflecting a shift from traditional media (print, radio, TV) to digital platforms due to better targeting, engagement, and measurement capabilities.</w:t>
            </w:r>
          </w:p>
        </w:tc>
      </w:tr>
    </w:tbl>
    <w:p w14:paraId="4DF04465" w14:textId="77777777" w:rsidR="00427003" w:rsidRPr="00A52898" w:rsidRDefault="00427003" w:rsidP="00427003">
      <w:pPr>
        <w:spacing w:after="0" w:line="240" w:lineRule="auto"/>
        <w:rPr>
          <w:rFonts w:ascii="Times New Roman" w:eastAsia="Times New Roman" w:hAnsi="Times New Roman" w:cs="Times New Roman"/>
          <w:b/>
          <w:bCs/>
          <w:color w:val="000000"/>
          <w:kern w:val="0"/>
          <w:sz w:val="24"/>
          <w:szCs w:val="24"/>
          <w:lang w:eastAsia="en-IN"/>
          <w14:ligatures w14:val="none"/>
        </w:rPr>
        <w:sectPr w:rsidR="00427003" w:rsidRPr="00A52898" w:rsidSect="00427003">
          <w:pgSz w:w="11906" w:h="16838"/>
          <w:pgMar w:top="1440" w:right="1135" w:bottom="1440" w:left="1276" w:header="708" w:footer="708" w:gutter="0"/>
          <w:cols w:space="708"/>
          <w:docGrid w:linePitch="360"/>
        </w:sectPr>
      </w:pPr>
      <w:r w:rsidRPr="00A52898">
        <w:rPr>
          <w:rFonts w:ascii="Times New Roman" w:eastAsia="Times New Roman" w:hAnsi="Times New Roman" w:cs="Times New Roman"/>
          <w:i/>
          <w:iCs/>
          <w:color w:val="000000"/>
          <w:kern w:val="0"/>
          <w:sz w:val="24"/>
          <w:szCs w:val="24"/>
          <w:lang w:eastAsia="en-IN"/>
          <w14:ligatures w14:val="none"/>
        </w:rPr>
        <w:t>Source:</w:t>
      </w:r>
      <w:r w:rsidRPr="00A52898">
        <w:rPr>
          <w:rFonts w:ascii="Times New Roman" w:hAnsi="Times New Roman" w:cs="Times New Roman"/>
          <w:i/>
          <w:iCs/>
          <w:sz w:val="24"/>
          <w:szCs w:val="24"/>
        </w:rPr>
        <w:t xml:space="preserve"> </w:t>
      </w:r>
      <w:r w:rsidRPr="00A52898">
        <w:rPr>
          <w:rFonts w:ascii="Times New Roman" w:eastAsia="Times New Roman" w:hAnsi="Times New Roman" w:cs="Times New Roman"/>
          <w:i/>
          <w:iCs/>
          <w:color w:val="000000"/>
          <w:kern w:val="0"/>
          <w:sz w:val="24"/>
          <w:szCs w:val="24"/>
          <w:lang w:eastAsia="en-IN"/>
          <w14:ligatures w14:val="none"/>
        </w:rPr>
        <w:t xml:space="preserve">Consolidated from UN SDG Report 2025, UN SDG Index, </w:t>
      </w:r>
      <w:proofErr w:type="spellStart"/>
      <w:r w:rsidRPr="00A52898">
        <w:rPr>
          <w:rFonts w:ascii="Times New Roman" w:eastAsia="Times New Roman" w:hAnsi="Times New Roman" w:cs="Times New Roman"/>
          <w:i/>
          <w:iCs/>
          <w:color w:val="000000"/>
          <w:kern w:val="0"/>
          <w:sz w:val="24"/>
          <w:szCs w:val="24"/>
          <w:lang w:eastAsia="en-IN"/>
          <w14:ligatures w14:val="none"/>
        </w:rPr>
        <w:t>Datareportal</w:t>
      </w:r>
      <w:proofErr w:type="spellEnd"/>
      <w:r w:rsidRPr="00A52898">
        <w:rPr>
          <w:rFonts w:ascii="Times New Roman" w:eastAsia="Times New Roman" w:hAnsi="Times New Roman" w:cs="Times New Roman"/>
          <w:i/>
          <w:iCs/>
          <w:color w:val="000000"/>
          <w:kern w:val="0"/>
          <w:sz w:val="24"/>
          <w:szCs w:val="24"/>
          <w:lang w:eastAsia="en-IN"/>
          <w14:ligatures w14:val="none"/>
        </w:rPr>
        <w:t xml:space="preserve"> 2025, Meltwater2025, Expert Market Research 2024, and Ipsos 2024.</w:t>
      </w:r>
    </w:p>
    <w:p w14:paraId="157CBBEC" w14:textId="77777777" w:rsidR="00427003" w:rsidRPr="00A52898" w:rsidRDefault="00427003" w:rsidP="00427003">
      <w:pPr>
        <w:pStyle w:val="ListParagraph"/>
        <w:numPr>
          <w:ilvl w:val="0"/>
          <w:numId w:val="3"/>
        </w:numPr>
        <w:spacing w:after="0" w:line="240" w:lineRule="auto"/>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lastRenderedPageBreak/>
        <w:t>Indian Companies Linking SDGs with Digital Marketing</w:t>
      </w:r>
    </w:p>
    <w:p w14:paraId="6D420F6B" w14:textId="77777777" w:rsidR="00427003" w:rsidRPr="00A52898" w:rsidRDefault="00427003" w:rsidP="00427003">
      <w:pPr>
        <w:spacing w:after="0" w:line="240" w:lineRule="auto"/>
        <w:rPr>
          <w:rFonts w:ascii="Times New Roman" w:eastAsia="Times New Roman" w:hAnsi="Times New Roman" w:cs="Times New Roman"/>
          <w:color w:val="000000"/>
          <w:kern w:val="0"/>
          <w:sz w:val="24"/>
          <w:szCs w:val="24"/>
          <w:lang w:eastAsia="en-IN"/>
          <w14:ligatures w14:val="none"/>
        </w:rPr>
      </w:pPr>
    </w:p>
    <w:p w14:paraId="1A566F0A" w14:textId="77777777" w:rsidR="00427003" w:rsidRPr="00A52898" w:rsidRDefault="00427003" w:rsidP="0042700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Many Indian firms are progressively realigning their digital marketing strategies with the SDGs. Through campaigns promoting environmental awareness, gender equality, responsible consumption, and social inclusion, businesses such as Tata, Infosys, ITC, and HUL leverage digital platforms to communicate sustainability initiatives, engage consumers, and strengthen their corporate social responsibility impact.</w:t>
      </w:r>
    </w:p>
    <w:p w14:paraId="00EE8D28" w14:textId="77777777" w:rsidR="00427003" w:rsidRPr="00A52898" w:rsidRDefault="00427003" w:rsidP="004270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Table: 3 Indian Companies Linking SDGs with Digital Marketing</w:t>
      </w:r>
    </w:p>
    <w:tbl>
      <w:tblPr>
        <w:tblW w:w="14400" w:type="dxa"/>
        <w:tblLook w:val="04A0" w:firstRow="1" w:lastRow="0" w:firstColumn="1" w:lastColumn="0" w:noHBand="0" w:noVBand="1"/>
      </w:tblPr>
      <w:tblGrid>
        <w:gridCol w:w="1840"/>
        <w:gridCol w:w="1840"/>
        <w:gridCol w:w="5380"/>
        <w:gridCol w:w="5340"/>
      </w:tblGrid>
      <w:tr w:rsidR="00427003" w:rsidRPr="00A52898" w14:paraId="25548768" w14:textId="77777777" w:rsidTr="003729D9">
        <w:trPr>
          <w:trHeight w:val="288"/>
        </w:trPr>
        <w:tc>
          <w:tcPr>
            <w:tcW w:w="1840" w:type="dxa"/>
            <w:tcBorders>
              <w:top w:val="single" w:sz="4" w:space="0" w:color="auto"/>
              <w:left w:val="single" w:sz="4" w:space="0" w:color="auto"/>
              <w:bottom w:val="single" w:sz="4" w:space="0" w:color="auto"/>
              <w:right w:val="single" w:sz="4" w:space="0" w:color="auto"/>
            </w:tcBorders>
            <w:vAlign w:val="center"/>
            <w:hideMark/>
          </w:tcPr>
          <w:p w14:paraId="5AA9E5B0"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Company</w:t>
            </w:r>
          </w:p>
        </w:tc>
        <w:tc>
          <w:tcPr>
            <w:tcW w:w="1840" w:type="dxa"/>
            <w:tcBorders>
              <w:top w:val="single" w:sz="4" w:space="0" w:color="auto"/>
              <w:left w:val="nil"/>
              <w:bottom w:val="single" w:sz="4" w:space="0" w:color="auto"/>
              <w:right w:val="single" w:sz="4" w:space="0" w:color="auto"/>
            </w:tcBorders>
            <w:vAlign w:val="center"/>
            <w:hideMark/>
          </w:tcPr>
          <w:p w14:paraId="42DD669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SDGs Addressed</w:t>
            </w:r>
          </w:p>
        </w:tc>
        <w:tc>
          <w:tcPr>
            <w:tcW w:w="5380" w:type="dxa"/>
            <w:tcBorders>
              <w:top w:val="single" w:sz="4" w:space="0" w:color="auto"/>
              <w:left w:val="nil"/>
              <w:bottom w:val="single" w:sz="4" w:space="0" w:color="auto"/>
              <w:right w:val="single" w:sz="4" w:space="0" w:color="auto"/>
            </w:tcBorders>
            <w:vAlign w:val="center"/>
            <w:hideMark/>
          </w:tcPr>
          <w:p w14:paraId="42B538AC"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Digital Campaign Example</w:t>
            </w:r>
          </w:p>
        </w:tc>
        <w:tc>
          <w:tcPr>
            <w:tcW w:w="5340" w:type="dxa"/>
            <w:tcBorders>
              <w:top w:val="single" w:sz="4" w:space="0" w:color="auto"/>
              <w:left w:val="nil"/>
              <w:bottom w:val="single" w:sz="4" w:space="0" w:color="auto"/>
              <w:right w:val="single" w:sz="4" w:space="0" w:color="auto"/>
            </w:tcBorders>
            <w:vAlign w:val="center"/>
            <w:hideMark/>
          </w:tcPr>
          <w:p w14:paraId="3D4BF07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Outcome / Impact</w:t>
            </w:r>
          </w:p>
        </w:tc>
      </w:tr>
      <w:tr w:rsidR="00427003" w:rsidRPr="00A52898" w14:paraId="0D9DE82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36DB5E8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Power</w:t>
            </w:r>
          </w:p>
        </w:tc>
        <w:tc>
          <w:tcPr>
            <w:tcW w:w="1840" w:type="dxa"/>
            <w:tcBorders>
              <w:top w:val="nil"/>
              <w:left w:val="nil"/>
              <w:bottom w:val="single" w:sz="4" w:space="0" w:color="auto"/>
              <w:right w:val="single" w:sz="4" w:space="0" w:color="auto"/>
            </w:tcBorders>
            <w:vAlign w:val="center"/>
            <w:hideMark/>
          </w:tcPr>
          <w:p w14:paraId="18C607E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5380" w:type="dxa"/>
            <w:tcBorders>
              <w:top w:val="nil"/>
              <w:left w:val="nil"/>
              <w:bottom w:val="single" w:sz="4" w:space="0" w:color="auto"/>
              <w:right w:val="single" w:sz="4" w:space="0" w:color="auto"/>
            </w:tcBorders>
            <w:vAlign w:val="center"/>
            <w:hideMark/>
          </w:tcPr>
          <w:p w14:paraId="002B19B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“Switch to Green Energy” social media drive</w:t>
            </w:r>
          </w:p>
        </w:tc>
        <w:tc>
          <w:tcPr>
            <w:tcW w:w="5340" w:type="dxa"/>
            <w:tcBorders>
              <w:top w:val="nil"/>
              <w:left w:val="nil"/>
              <w:bottom w:val="single" w:sz="4" w:space="0" w:color="auto"/>
              <w:right w:val="single" w:sz="4" w:space="0" w:color="auto"/>
            </w:tcBorders>
            <w:vAlign w:val="center"/>
            <w:hideMark/>
          </w:tcPr>
          <w:p w14:paraId="10865CA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renewable energy adoption among urban users</w:t>
            </w:r>
          </w:p>
        </w:tc>
      </w:tr>
      <w:tr w:rsidR="00427003" w:rsidRPr="00A52898" w14:paraId="36C1E162"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7DDF4AA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ITC Limited</w:t>
            </w:r>
          </w:p>
        </w:tc>
        <w:tc>
          <w:tcPr>
            <w:tcW w:w="1840" w:type="dxa"/>
            <w:tcBorders>
              <w:top w:val="nil"/>
              <w:left w:val="nil"/>
              <w:bottom w:val="single" w:sz="4" w:space="0" w:color="auto"/>
              <w:right w:val="single" w:sz="4" w:space="0" w:color="auto"/>
            </w:tcBorders>
            <w:vAlign w:val="center"/>
            <w:hideMark/>
          </w:tcPr>
          <w:p w14:paraId="7A3FE7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5380" w:type="dxa"/>
            <w:tcBorders>
              <w:top w:val="nil"/>
              <w:left w:val="nil"/>
              <w:bottom w:val="single" w:sz="4" w:space="0" w:color="auto"/>
              <w:right w:val="single" w:sz="4" w:space="0" w:color="auto"/>
            </w:tcBorders>
            <w:vAlign w:val="center"/>
            <w:hideMark/>
          </w:tcPr>
          <w:p w14:paraId="008FCFD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“Well-being Out of Waste” campaign</w:t>
            </w:r>
          </w:p>
        </w:tc>
        <w:tc>
          <w:tcPr>
            <w:tcW w:w="5340" w:type="dxa"/>
            <w:tcBorders>
              <w:top w:val="nil"/>
              <w:left w:val="nil"/>
              <w:bottom w:val="single" w:sz="4" w:space="0" w:color="auto"/>
              <w:right w:val="single" w:sz="4" w:space="0" w:color="auto"/>
            </w:tcBorders>
            <w:vAlign w:val="center"/>
            <w:hideMark/>
          </w:tcPr>
          <w:p w14:paraId="2825372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Raised awareness on waste recycling and circular economy</w:t>
            </w:r>
          </w:p>
        </w:tc>
      </w:tr>
      <w:tr w:rsidR="00427003" w:rsidRPr="00A52898" w14:paraId="4D6292B3"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46F0488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Infosys</w:t>
            </w:r>
          </w:p>
        </w:tc>
        <w:tc>
          <w:tcPr>
            <w:tcW w:w="1840" w:type="dxa"/>
            <w:tcBorders>
              <w:top w:val="nil"/>
              <w:left w:val="nil"/>
              <w:bottom w:val="single" w:sz="4" w:space="0" w:color="auto"/>
              <w:right w:val="single" w:sz="4" w:space="0" w:color="auto"/>
            </w:tcBorders>
            <w:vAlign w:val="center"/>
            <w:hideMark/>
          </w:tcPr>
          <w:p w14:paraId="0B1A3B3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085E188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“Carbon Neutral by 2030” digital storytelling campaign</w:t>
            </w:r>
          </w:p>
        </w:tc>
        <w:tc>
          <w:tcPr>
            <w:tcW w:w="5340" w:type="dxa"/>
            <w:tcBorders>
              <w:top w:val="nil"/>
              <w:left w:val="nil"/>
              <w:bottom w:val="single" w:sz="4" w:space="0" w:color="auto"/>
              <w:right w:val="single" w:sz="4" w:space="0" w:color="auto"/>
            </w:tcBorders>
            <w:vAlign w:val="center"/>
            <w:hideMark/>
          </w:tcPr>
          <w:p w14:paraId="1CDFB65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Strengthened corporate ESG image and investor confidence</w:t>
            </w:r>
          </w:p>
        </w:tc>
      </w:tr>
      <w:tr w:rsidR="00427003" w:rsidRPr="00A52898" w14:paraId="2629BBD4"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59A2C33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Hindustan Unilever (HUL)</w:t>
            </w:r>
          </w:p>
        </w:tc>
        <w:tc>
          <w:tcPr>
            <w:tcW w:w="1840" w:type="dxa"/>
            <w:tcBorders>
              <w:top w:val="nil"/>
              <w:left w:val="nil"/>
              <w:bottom w:val="single" w:sz="4" w:space="0" w:color="auto"/>
              <w:right w:val="single" w:sz="4" w:space="0" w:color="auto"/>
            </w:tcBorders>
            <w:vAlign w:val="center"/>
            <w:hideMark/>
          </w:tcPr>
          <w:p w14:paraId="54287EF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12</w:t>
            </w:r>
          </w:p>
        </w:tc>
        <w:tc>
          <w:tcPr>
            <w:tcW w:w="5380" w:type="dxa"/>
            <w:tcBorders>
              <w:top w:val="nil"/>
              <w:left w:val="nil"/>
              <w:bottom w:val="single" w:sz="4" w:space="0" w:color="auto"/>
              <w:right w:val="single" w:sz="4" w:space="0" w:color="auto"/>
            </w:tcBorders>
            <w:vAlign w:val="center"/>
            <w:hideMark/>
          </w:tcPr>
          <w:p w14:paraId="309C472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“Dirt is Good” &amp; “Project Shakti” digital initiatives</w:t>
            </w:r>
          </w:p>
        </w:tc>
        <w:tc>
          <w:tcPr>
            <w:tcW w:w="5340" w:type="dxa"/>
            <w:tcBorders>
              <w:top w:val="nil"/>
              <w:left w:val="nil"/>
              <w:bottom w:val="single" w:sz="4" w:space="0" w:color="auto"/>
              <w:right w:val="single" w:sz="4" w:space="0" w:color="auto"/>
            </w:tcBorders>
            <w:vAlign w:val="center"/>
            <w:hideMark/>
          </w:tcPr>
          <w:p w14:paraId="7661EF6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Empowered women entrepreneurs, promoted responsible consumption</w:t>
            </w:r>
          </w:p>
        </w:tc>
      </w:tr>
      <w:tr w:rsidR="00427003" w:rsidRPr="00A52898" w14:paraId="1BDA3985"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2A17681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Tea (Jaago Re)</w:t>
            </w:r>
          </w:p>
        </w:tc>
        <w:tc>
          <w:tcPr>
            <w:tcW w:w="1840" w:type="dxa"/>
            <w:tcBorders>
              <w:top w:val="nil"/>
              <w:left w:val="nil"/>
              <w:bottom w:val="single" w:sz="4" w:space="0" w:color="auto"/>
              <w:right w:val="single" w:sz="4" w:space="0" w:color="auto"/>
            </w:tcBorders>
            <w:vAlign w:val="center"/>
            <w:hideMark/>
          </w:tcPr>
          <w:p w14:paraId="5F011D6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16</w:t>
            </w:r>
          </w:p>
        </w:tc>
        <w:tc>
          <w:tcPr>
            <w:tcW w:w="5380" w:type="dxa"/>
            <w:tcBorders>
              <w:top w:val="nil"/>
              <w:left w:val="nil"/>
              <w:bottom w:val="single" w:sz="4" w:space="0" w:color="auto"/>
              <w:right w:val="single" w:sz="4" w:space="0" w:color="auto"/>
            </w:tcBorders>
            <w:vAlign w:val="center"/>
            <w:hideMark/>
          </w:tcPr>
          <w:p w14:paraId="48D223E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“Jaago Re – Social Awakening” campaign</w:t>
            </w:r>
          </w:p>
        </w:tc>
        <w:tc>
          <w:tcPr>
            <w:tcW w:w="5340" w:type="dxa"/>
            <w:tcBorders>
              <w:top w:val="nil"/>
              <w:left w:val="nil"/>
              <w:bottom w:val="single" w:sz="4" w:space="0" w:color="auto"/>
              <w:right w:val="single" w:sz="4" w:space="0" w:color="auto"/>
            </w:tcBorders>
            <w:vAlign w:val="center"/>
            <w:hideMark/>
          </w:tcPr>
          <w:p w14:paraId="40B932A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Stimulated civic engagement and voter awareness</w:t>
            </w:r>
          </w:p>
        </w:tc>
      </w:tr>
      <w:tr w:rsidR="00427003" w:rsidRPr="00A52898" w14:paraId="5EC71100"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1DDD63E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Mahindra Group</w:t>
            </w:r>
          </w:p>
        </w:tc>
        <w:tc>
          <w:tcPr>
            <w:tcW w:w="1840" w:type="dxa"/>
            <w:tcBorders>
              <w:top w:val="nil"/>
              <w:left w:val="nil"/>
              <w:bottom w:val="single" w:sz="4" w:space="0" w:color="auto"/>
              <w:right w:val="single" w:sz="4" w:space="0" w:color="auto"/>
            </w:tcBorders>
            <w:vAlign w:val="center"/>
            <w:hideMark/>
          </w:tcPr>
          <w:p w14:paraId="514E84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4C48F42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“Rise for Good” digital series</w:t>
            </w:r>
          </w:p>
        </w:tc>
        <w:tc>
          <w:tcPr>
            <w:tcW w:w="5340" w:type="dxa"/>
            <w:tcBorders>
              <w:top w:val="nil"/>
              <w:left w:val="nil"/>
              <w:bottom w:val="single" w:sz="4" w:space="0" w:color="auto"/>
              <w:right w:val="single" w:sz="4" w:space="0" w:color="auto"/>
            </w:tcBorders>
            <w:vAlign w:val="center"/>
            <w:hideMark/>
          </w:tcPr>
          <w:p w14:paraId="25CA59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Highlighted corporate sustainability, renewable mobility</w:t>
            </w:r>
          </w:p>
        </w:tc>
      </w:tr>
      <w:tr w:rsidR="00427003" w:rsidRPr="00A52898" w14:paraId="37F6E4DD"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15E41F9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Reliance Industries (Jio)</w:t>
            </w:r>
          </w:p>
        </w:tc>
        <w:tc>
          <w:tcPr>
            <w:tcW w:w="1840" w:type="dxa"/>
            <w:tcBorders>
              <w:top w:val="nil"/>
              <w:left w:val="nil"/>
              <w:bottom w:val="single" w:sz="4" w:space="0" w:color="auto"/>
              <w:right w:val="single" w:sz="4" w:space="0" w:color="auto"/>
            </w:tcBorders>
            <w:vAlign w:val="center"/>
            <w:hideMark/>
          </w:tcPr>
          <w:p w14:paraId="6B9BCD1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8</w:t>
            </w:r>
          </w:p>
        </w:tc>
        <w:tc>
          <w:tcPr>
            <w:tcW w:w="5380" w:type="dxa"/>
            <w:tcBorders>
              <w:top w:val="nil"/>
              <w:left w:val="nil"/>
              <w:bottom w:val="single" w:sz="4" w:space="0" w:color="auto"/>
              <w:right w:val="single" w:sz="4" w:space="0" w:color="auto"/>
            </w:tcBorders>
            <w:vAlign w:val="center"/>
            <w:hideMark/>
          </w:tcPr>
          <w:p w14:paraId="5318269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India Empowerment” campaigns</w:t>
            </w:r>
          </w:p>
        </w:tc>
        <w:tc>
          <w:tcPr>
            <w:tcW w:w="5340" w:type="dxa"/>
            <w:tcBorders>
              <w:top w:val="nil"/>
              <w:left w:val="nil"/>
              <w:bottom w:val="single" w:sz="4" w:space="0" w:color="auto"/>
              <w:right w:val="single" w:sz="4" w:space="0" w:color="auto"/>
            </w:tcBorders>
            <w:vAlign w:val="center"/>
            <w:hideMark/>
          </w:tcPr>
          <w:p w14:paraId="608DB8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Expanded digital inclusion and connectivity in rural areas</w:t>
            </w:r>
          </w:p>
        </w:tc>
      </w:tr>
      <w:tr w:rsidR="00427003" w:rsidRPr="00A52898" w14:paraId="426CA8B2"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15B6D71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Godrej Group</w:t>
            </w:r>
          </w:p>
        </w:tc>
        <w:tc>
          <w:tcPr>
            <w:tcW w:w="1840" w:type="dxa"/>
            <w:tcBorders>
              <w:top w:val="nil"/>
              <w:left w:val="nil"/>
              <w:bottom w:val="single" w:sz="4" w:space="0" w:color="auto"/>
              <w:right w:val="single" w:sz="4" w:space="0" w:color="auto"/>
            </w:tcBorders>
            <w:vAlign w:val="center"/>
            <w:hideMark/>
          </w:tcPr>
          <w:p w14:paraId="226566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13, 15</w:t>
            </w:r>
          </w:p>
        </w:tc>
        <w:tc>
          <w:tcPr>
            <w:tcW w:w="5380" w:type="dxa"/>
            <w:tcBorders>
              <w:top w:val="nil"/>
              <w:left w:val="nil"/>
              <w:bottom w:val="single" w:sz="4" w:space="0" w:color="auto"/>
              <w:right w:val="single" w:sz="4" w:space="0" w:color="auto"/>
            </w:tcBorders>
            <w:vAlign w:val="center"/>
            <w:hideMark/>
          </w:tcPr>
          <w:p w14:paraId="2716D60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“Good &amp; Green” digital sustainability communication</w:t>
            </w:r>
          </w:p>
        </w:tc>
        <w:tc>
          <w:tcPr>
            <w:tcW w:w="5340" w:type="dxa"/>
            <w:tcBorders>
              <w:top w:val="nil"/>
              <w:left w:val="nil"/>
              <w:bottom w:val="single" w:sz="4" w:space="0" w:color="auto"/>
              <w:right w:val="single" w:sz="4" w:space="0" w:color="auto"/>
            </w:tcBorders>
            <w:vAlign w:val="center"/>
            <w:hideMark/>
          </w:tcPr>
          <w:p w14:paraId="321DF5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eco-friendly products and sustainable packaging</w:t>
            </w:r>
          </w:p>
        </w:tc>
      </w:tr>
      <w:tr w:rsidR="00427003" w:rsidRPr="00A52898" w14:paraId="424D9DB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D9096F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Wipro</w:t>
            </w:r>
          </w:p>
        </w:tc>
        <w:tc>
          <w:tcPr>
            <w:tcW w:w="1840" w:type="dxa"/>
            <w:tcBorders>
              <w:top w:val="nil"/>
              <w:left w:val="nil"/>
              <w:bottom w:val="single" w:sz="4" w:space="0" w:color="auto"/>
              <w:right w:val="single" w:sz="4" w:space="0" w:color="auto"/>
            </w:tcBorders>
            <w:vAlign w:val="center"/>
            <w:hideMark/>
          </w:tcPr>
          <w:p w14:paraId="0EFC8DE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 9</w:t>
            </w:r>
          </w:p>
        </w:tc>
        <w:tc>
          <w:tcPr>
            <w:tcW w:w="5380" w:type="dxa"/>
            <w:tcBorders>
              <w:top w:val="nil"/>
              <w:left w:val="nil"/>
              <w:bottom w:val="single" w:sz="4" w:space="0" w:color="auto"/>
              <w:right w:val="single" w:sz="4" w:space="0" w:color="auto"/>
            </w:tcBorders>
            <w:vAlign w:val="center"/>
            <w:hideMark/>
          </w:tcPr>
          <w:p w14:paraId="09DD6AC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Learning and Sustainability” campaigns</w:t>
            </w:r>
          </w:p>
        </w:tc>
        <w:tc>
          <w:tcPr>
            <w:tcW w:w="5340" w:type="dxa"/>
            <w:tcBorders>
              <w:top w:val="nil"/>
              <w:left w:val="nil"/>
              <w:bottom w:val="single" w:sz="4" w:space="0" w:color="auto"/>
              <w:right w:val="single" w:sz="4" w:space="0" w:color="auto"/>
            </w:tcBorders>
            <w:vAlign w:val="center"/>
            <w:hideMark/>
          </w:tcPr>
          <w:p w14:paraId="0E57330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Focused on digital education and tech-for-good initiatives</w:t>
            </w:r>
          </w:p>
        </w:tc>
      </w:tr>
      <w:tr w:rsidR="00427003" w:rsidRPr="00A52898" w14:paraId="3FA3A342"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36A826D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Adani Green Energy Ltd.</w:t>
            </w:r>
          </w:p>
        </w:tc>
        <w:tc>
          <w:tcPr>
            <w:tcW w:w="1840" w:type="dxa"/>
            <w:tcBorders>
              <w:top w:val="nil"/>
              <w:left w:val="nil"/>
              <w:bottom w:val="single" w:sz="4" w:space="0" w:color="auto"/>
              <w:right w:val="single" w:sz="4" w:space="0" w:color="auto"/>
            </w:tcBorders>
            <w:vAlign w:val="center"/>
            <w:hideMark/>
          </w:tcPr>
          <w:p w14:paraId="6BE7944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5380" w:type="dxa"/>
            <w:tcBorders>
              <w:top w:val="nil"/>
              <w:left w:val="nil"/>
              <w:bottom w:val="single" w:sz="4" w:space="0" w:color="auto"/>
              <w:right w:val="single" w:sz="4" w:space="0" w:color="auto"/>
            </w:tcBorders>
            <w:vAlign w:val="center"/>
            <w:hideMark/>
          </w:tcPr>
          <w:p w14:paraId="2E31014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campaigns on renewable power projects</w:t>
            </w:r>
          </w:p>
        </w:tc>
        <w:tc>
          <w:tcPr>
            <w:tcW w:w="5340" w:type="dxa"/>
            <w:tcBorders>
              <w:top w:val="nil"/>
              <w:left w:val="nil"/>
              <w:bottom w:val="single" w:sz="4" w:space="0" w:color="auto"/>
              <w:right w:val="single" w:sz="4" w:space="0" w:color="auto"/>
            </w:tcBorders>
            <w:vAlign w:val="center"/>
            <w:hideMark/>
          </w:tcPr>
          <w:p w14:paraId="290BAAC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Increased investor and stakeholder awareness</w:t>
            </w:r>
          </w:p>
        </w:tc>
      </w:tr>
      <w:tr w:rsidR="00427003" w:rsidRPr="00A52898" w14:paraId="4CDD2F2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03BAE45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Nestlé India</w:t>
            </w:r>
          </w:p>
        </w:tc>
        <w:tc>
          <w:tcPr>
            <w:tcW w:w="1840" w:type="dxa"/>
            <w:tcBorders>
              <w:top w:val="nil"/>
              <w:left w:val="nil"/>
              <w:bottom w:val="single" w:sz="4" w:space="0" w:color="auto"/>
              <w:right w:val="single" w:sz="4" w:space="0" w:color="auto"/>
            </w:tcBorders>
            <w:vAlign w:val="center"/>
            <w:hideMark/>
          </w:tcPr>
          <w:p w14:paraId="33D6640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12</w:t>
            </w:r>
          </w:p>
        </w:tc>
        <w:tc>
          <w:tcPr>
            <w:tcW w:w="5380" w:type="dxa"/>
            <w:tcBorders>
              <w:top w:val="nil"/>
              <w:left w:val="nil"/>
              <w:bottom w:val="single" w:sz="4" w:space="0" w:color="auto"/>
              <w:right w:val="single" w:sz="4" w:space="0" w:color="auto"/>
            </w:tcBorders>
            <w:vAlign w:val="center"/>
            <w:hideMark/>
          </w:tcPr>
          <w:p w14:paraId="42C9120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HealthyLives</w:t>
            </w:r>
            <w:proofErr w:type="spellEnd"/>
            <w:r w:rsidRPr="00A52898">
              <w:rPr>
                <w:rFonts w:ascii="Times New Roman" w:eastAsia="Times New Roman" w:hAnsi="Times New Roman" w:cs="Times New Roman"/>
                <w:color w:val="000000"/>
                <w:kern w:val="0"/>
                <w:sz w:val="24"/>
                <w:szCs w:val="24"/>
                <w:lang w:eastAsia="en-IN"/>
                <w14:ligatures w14:val="none"/>
              </w:rPr>
              <w:t>” and “#</w:t>
            </w:r>
            <w:proofErr w:type="spellStart"/>
            <w:r w:rsidRPr="00A52898">
              <w:rPr>
                <w:rFonts w:ascii="Times New Roman" w:eastAsia="Times New Roman" w:hAnsi="Times New Roman" w:cs="Times New Roman"/>
                <w:color w:val="000000"/>
                <w:kern w:val="0"/>
                <w:sz w:val="24"/>
                <w:szCs w:val="24"/>
                <w:lang w:eastAsia="en-IN"/>
                <w14:ligatures w14:val="none"/>
              </w:rPr>
              <w:t>PlasticNeutrality</w:t>
            </w:r>
            <w:proofErr w:type="spellEnd"/>
            <w:r w:rsidRPr="00A52898">
              <w:rPr>
                <w:rFonts w:ascii="Times New Roman" w:eastAsia="Times New Roman" w:hAnsi="Times New Roman" w:cs="Times New Roman"/>
                <w:color w:val="000000"/>
                <w:kern w:val="0"/>
                <w:sz w:val="24"/>
                <w:szCs w:val="24"/>
                <w:lang w:eastAsia="en-IN"/>
                <w14:ligatures w14:val="none"/>
              </w:rPr>
              <w:t>” digital drives</w:t>
            </w:r>
          </w:p>
        </w:tc>
        <w:tc>
          <w:tcPr>
            <w:tcW w:w="5340" w:type="dxa"/>
            <w:tcBorders>
              <w:top w:val="nil"/>
              <w:left w:val="nil"/>
              <w:bottom w:val="single" w:sz="4" w:space="0" w:color="auto"/>
              <w:right w:val="single" w:sz="4" w:space="0" w:color="auto"/>
            </w:tcBorders>
            <w:vAlign w:val="center"/>
            <w:hideMark/>
          </w:tcPr>
          <w:p w14:paraId="36C55F1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Enhanced sustainable product perception</w:t>
            </w:r>
          </w:p>
        </w:tc>
      </w:tr>
      <w:tr w:rsidR="00427003" w:rsidRPr="00A52898" w14:paraId="5B9B3E2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C66971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Maruti Suzuki</w:t>
            </w:r>
          </w:p>
        </w:tc>
        <w:tc>
          <w:tcPr>
            <w:tcW w:w="1840" w:type="dxa"/>
            <w:tcBorders>
              <w:top w:val="nil"/>
              <w:left w:val="nil"/>
              <w:bottom w:val="single" w:sz="4" w:space="0" w:color="auto"/>
              <w:right w:val="single" w:sz="4" w:space="0" w:color="auto"/>
            </w:tcBorders>
            <w:vAlign w:val="center"/>
            <w:hideMark/>
          </w:tcPr>
          <w:p w14:paraId="66BE9EA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5380" w:type="dxa"/>
            <w:tcBorders>
              <w:top w:val="nil"/>
              <w:left w:val="nil"/>
              <w:bottom w:val="single" w:sz="4" w:space="0" w:color="auto"/>
              <w:right w:val="single" w:sz="4" w:space="0" w:color="auto"/>
            </w:tcBorders>
            <w:vAlign w:val="center"/>
            <w:hideMark/>
          </w:tcPr>
          <w:p w14:paraId="39DA267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“Drive Towards Greener Future”</w:t>
            </w:r>
          </w:p>
        </w:tc>
        <w:tc>
          <w:tcPr>
            <w:tcW w:w="5340" w:type="dxa"/>
            <w:tcBorders>
              <w:top w:val="nil"/>
              <w:left w:val="nil"/>
              <w:bottom w:val="single" w:sz="4" w:space="0" w:color="auto"/>
              <w:right w:val="single" w:sz="4" w:space="0" w:color="auto"/>
            </w:tcBorders>
            <w:vAlign w:val="center"/>
            <w:hideMark/>
          </w:tcPr>
          <w:p w14:paraId="0102985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Raised awareness on hybrid/electric mobility</w:t>
            </w:r>
          </w:p>
        </w:tc>
      </w:tr>
      <w:tr w:rsidR="00427003" w:rsidRPr="00A52898" w14:paraId="05705004"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6DAB9A3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Dabur India</w:t>
            </w:r>
          </w:p>
        </w:tc>
        <w:tc>
          <w:tcPr>
            <w:tcW w:w="1840" w:type="dxa"/>
            <w:tcBorders>
              <w:top w:val="nil"/>
              <w:left w:val="nil"/>
              <w:bottom w:val="single" w:sz="4" w:space="0" w:color="auto"/>
              <w:right w:val="single" w:sz="4" w:space="0" w:color="auto"/>
            </w:tcBorders>
            <w:vAlign w:val="center"/>
            <w:hideMark/>
          </w:tcPr>
          <w:p w14:paraId="6B47D23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12</w:t>
            </w:r>
          </w:p>
        </w:tc>
        <w:tc>
          <w:tcPr>
            <w:tcW w:w="5380" w:type="dxa"/>
            <w:tcBorders>
              <w:top w:val="nil"/>
              <w:left w:val="nil"/>
              <w:bottom w:val="single" w:sz="4" w:space="0" w:color="auto"/>
              <w:right w:val="single" w:sz="4" w:space="0" w:color="auto"/>
            </w:tcBorders>
            <w:vAlign w:val="center"/>
            <w:hideMark/>
          </w:tcPr>
          <w:p w14:paraId="3D58AEF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NatureInspired</w:t>
            </w:r>
            <w:proofErr w:type="spellEnd"/>
            <w:r w:rsidRPr="00A52898">
              <w:rPr>
                <w:rFonts w:ascii="Times New Roman" w:eastAsia="Times New Roman" w:hAnsi="Times New Roman" w:cs="Times New Roman"/>
                <w:color w:val="000000"/>
                <w:kern w:val="0"/>
                <w:sz w:val="24"/>
                <w:szCs w:val="24"/>
                <w:lang w:eastAsia="en-IN"/>
                <w14:ligatures w14:val="none"/>
              </w:rPr>
              <w:t>” campaign</w:t>
            </w:r>
          </w:p>
        </w:tc>
        <w:tc>
          <w:tcPr>
            <w:tcW w:w="5340" w:type="dxa"/>
            <w:tcBorders>
              <w:top w:val="nil"/>
              <w:left w:val="nil"/>
              <w:bottom w:val="single" w:sz="4" w:space="0" w:color="auto"/>
              <w:right w:val="single" w:sz="4" w:space="0" w:color="auto"/>
            </w:tcBorders>
            <w:vAlign w:val="center"/>
            <w:hideMark/>
          </w:tcPr>
          <w:p w14:paraId="0E3E41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Advocated for natural and eco-friendly products</w:t>
            </w:r>
          </w:p>
        </w:tc>
      </w:tr>
      <w:tr w:rsidR="00427003" w:rsidRPr="00A52898" w14:paraId="2F868096"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40BA4F7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HDFC Bank</w:t>
            </w:r>
          </w:p>
        </w:tc>
        <w:tc>
          <w:tcPr>
            <w:tcW w:w="1840" w:type="dxa"/>
            <w:tcBorders>
              <w:top w:val="nil"/>
              <w:left w:val="nil"/>
              <w:bottom w:val="single" w:sz="4" w:space="0" w:color="auto"/>
              <w:right w:val="single" w:sz="4" w:space="0" w:color="auto"/>
            </w:tcBorders>
            <w:vAlign w:val="center"/>
            <w:hideMark/>
          </w:tcPr>
          <w:p w14:paraId="46867F6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10</w:t>
            </w:r>
          </w:p>
        </w:tc>
        <w:tc>
          <w:tcPr>
            <w:tcW w:w="5380" w:type="dxa"/>
            <w:tcBorders>
              <w:top w:val="nil"/>
              <w:left w:val="nil"/>
              <w:bottom w:val="single" w:sz="4" w:space="0" w:color="auto"/>
              <w:right w:val="single" w:sz="4" w:space="0" w:color="auto"/>
            </w:tcBorders>
            <w:vAlign w:val="center"/>
            <w:hideMark/>
          </w:tcPr>
          <w:p w14:paraId="30D2C56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“#Parivartan” digital CSR initiative</w:t>
            </w:r>
          </w:p>
        </w:tc>
        <w:tc>
          <w:tcPr>
            <w:tcW w:w="5340" w:type="dxa"/>
            <w:tcBorders>
              <w:top w:val="nil"/>
              <w:left w:val="nil"/>
              <w:bottom w:val="single" w:sz="4" w:space="0" w:color="auto"/>
              <w:right w:val="single" w:sz="4" w:space="0" w:color="auto"/>
            </w:tcBorders>
            <w:vAlign w:val="center"/>
            <w:hideMark/>
          </w:tcPr>
          <w:p w14:paraId="20EC97C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Showcased inclusive financial and sustainability projects</w:t>
            </w:r>
          </w:p>
        </w:tc>
      </w:tr>
      <w:tr w:rsidR="00427003" w:rsidRPr="00A52898" w14:paraId="68793F63"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5FFBA2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Biocon Ltd.</w:t>
            </w:r>
          </w:p>
        </w:tc>
        <w:tc>
          <w:tcPr>
            <w:tcW w:w="1840" w:type="dxa"/>
            <w:tcBorders>
              <w:top w:val="nil"/>
              <w:left w:val="nil"/>
              <w:bottom w:val="single" w:sz="4" w:space="0" w:color="auto"/>
              <w:right w:val="single" w:sz="4" w:space="0" w:color="auto"/>
            </w:tcBorders>
            <w:vAlign w:val="center"/>
            <w:hideMark/>
          </w:tcPr>
          <w:p w14:paraId="4E965FA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9</w:t>
            </w:r>
          </w:p>
        </w:tc>
        <w:tc>
          <w:tcPr>
            <w:tcW w:w="5380" w:type="dxa"/>
            <w:tcBorders>
              <w:top w:val="nil"/>
              <w:left w:val="nil"/>
              <w:bottom w:val="single" w:sz="4" w:space="0" w:color="auto"/>
              <w:right w:val="single" w:sz="4" w:space="0" w:color="auto"/>
            </w:tcBorders>
            <w:vAlign w:val="center"/>
            <w:hideMark/>
          </w:tcPr>
          <w:p w14:paraId="79E1A8C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“Healthcare for All” online campaigns</w:t>
            </w:r>
          </w:p>
        </w:tc>
        <w:tc>
          <w:tcPr>
            <w:tcW w:w="5340" w:type="dxa"/>
            <w:tcBorders>
              <w:top w:val="nil"/>
              <w:left w:val="nil"/>
              <w:bottom w:val="single" w:sz="4" w:space="0" w:color="auto"/>
              <w:right w:val="single" w:sz="4" w:space="0" w:color="auto"/>
            </w:tcBorders>
            <w:vAlign w:val="center"/>
            <w:hideMark/>
          </w:tcPr>
          <w:p w14:paraId="6114727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Highlighted affordable healthcare and biotech innovation</w:t>
            </w:r>
          </w:p>
        </w:tc>
      </w:tr>
      <w:tr w:rsidR="00427003" w:rsidRPr="00A52898" w14:paraId="4442FB2B"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0E819D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Zomato</w:t>
            </w:r>
          </w:p>
        </w:tc>
        <w:tc>
          <w:tcPr>
            <w:tcW w:w="1840" w:type="dxa"/>
            <w:tcBorders>
              <w:top w:val="nil"/>
              <w:left w:val="nil"/>
              <w:bottom w:val="single" w:sz="4" w:space="0" w:color="auto"/>
              <w:right w:val="single" w:sz="4" w:space="0" w:color="auto"/>
            </w:tcBorders>
            <w:vAlign w:val="center"/>
            <w:hideMark/>
          </w:tcPr>
          <w:p w14:paraId="1D79488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2</w:t>
            </w:r>
          </w:p>
        </w:tc>
        <w:tc>
          <w:tcPr>
            <w:tcW w:w="5380" w:type="dxa"/>
            <w:tcBorders>
              <w:top w:val="nil"/>
              <w:left w:val="nil"/>
              <w:bottom w:val="single" w:sz="4" w:space="0" w:color="auto"/>
              <w:right w:val="single" w:sz="4" w:space="0" w:color="auto"/>
            </w:tcBorders>
            <w:vAlign w:val="center"/>
            <w:hideMark/>
          </w:tcPr>
          <w:p w14:paraId="50E065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“Feeding India” digital awareness drive</w:t>
            </w:r>
          </w:p>
        </w:tc>
        <w:tc>
          <w:tcPr>
            <w:tcW w:w="5340" w:type="dxa"/>
            <w:tcBorders>
              <w:top w:val="nil"/>
              <w:left w:val="nil"/>
              <w:bottom w:val="single" w:sz="4" w:space="0" w:color="auto"/>
              <w:right w:val="single" w:sz="4" w:space="0" w:color="auto"/>
            </w:tcBorders>
            <w:vAlign w:val="center"/>
            <w:hideMark/>
          </w:tcPr>
          <w:p w14:paraId="4B9F95C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Mobilized support for zero hunger and food waste reduction</w:t>
            </w:r>
          </w:p>
        </w:tc>
      </w:tr>
      <w:tr w:rsidR="00427003" w:rsidRPr="00A52898" w14:paraId="723F5957"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8AA79B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Nykaa</w:t>
            </w:r>
            <w:proofErr w:type="spellEnd"/>
          </w:p>
        </w:tc>
        <w:tc>
          <w:tcPr>
            <w:tcW w:w="1840" w:type="dxa"/>
            <w:tcBorders>
              <w:top w:val="nil"/>
              <w:left w:val="nil"/>
              <w:bottom w:val="single" w:sz="4" w:space="0" w:color="auto"/>
              <w:right w:val="single" w:sz="4" w:space="0" w:color="auto"/>
            </w:tcBorders>
            <w:vAlign w:val="center"/>
            <w:hideMark/>
          </w:tcPr>
          <w:p w14:paraId="1F0C13D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12</w:t>
            </w:r>
          </w:p>
        </w:tc>
        <w:tc>
          <w:tcPr>
            <w:tcW w:w="5380" w:type="dxa"/>
            <w:tcBorders>
              <w:top w:val="nil"/>
              <w:left w:val="nil"/>
              <w:bottom w:val="single" w:sz="4" w:space="0" w:color="auto"/>
              <w:right w:val="single" w:sz="4" w:space="0" w:color="auto"/>
            </w:tcBorders>
            <w:vAlign w:val="center"/>
            <w:hideMark/>
          </w:tcPr>
          <w:p w14:paraId="2D61AE9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NykaaCares</w:t>
            </w:r>
            <w:proofErr w:type="spellEnd"/>
            <w:r w:rsidRPr="00A52898">
              <w:rPr>
                <w:rFonts w:ascii="Times New Roman" w:eastAsia="Times New Roman" w:hAnsi="Times New Roman" w:cs="Times New Roman"/>
                <w:color w:val="000000"/>
                <w:kern w:val="0"/>
                <w:sz w:val="24"/>
                <w:szCs w:val="24"/>
                <w:lang w:eastAsia="en-IN"/>
                <w14:ligatures w14:val="none"/>
              </w:rPr>
              <w:t>” and eco-beauty awareness</w:t>
            </w:r>
          </w:p>
        </w:tc>
        <w:tc>
          <w:tcPr>
            <w:tcW w:w="5340" w:type="dxa"/>
            <w:tcBorders>
              <w:top w:val="nil"/>
              <w:left w:val="nil"/>
              <w:bottom w:val="single" w:sz="4" w:space="0" w:color="auto"/>
              <w:right w:val="single" w:sz="4" w:space="0" w:color="auto"/>
            </w:tcBorders>
            <w:vAlign w:val="center"/>
            <w:hideMark/>
          </w:tcPr>
          <w:p w14:paraId="1774ADE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responsible consumption among youth</w:t>
            </w:r>
          </w:p>
        </w:tc>
      </w:tr>
      <w:tr w:rsidR="00427003" w:rsidRPr="00A52898" w14:paraId="3080ABD6" w14:textId="77777777" w:rsidTr="003729D9">
        <w:trPr>
          <w:trHeight w:val="576"/>
        </w:trPr>
        <w:tc>
          <w:tcPr>
            <w:tcW w:w="1840" w:type="dxa"/>
            <w:tcBorders>
              <w:top w:val="nil"/>
              <w:left w:val="single" w:sz="4" w:space="0" w:color="auto"/>
              <w:bottom w:val="single" w:sz="4" w:space="0" w:color="auto"/>
              <w:right w:val="single" w:sz="4" w:space="0" w:color="auto"/>
            </w:tcBorders>
            <w:vAlign w:val="center"/>
            <w:hideMark/>
          </w:tcPr>
          <w:p w14:paraId="03535F3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Flipkart</w:t>
            </w:r>
          </w:p>
        </w:tc>
        <w:tc>
          <w:tcPr>
            <w:tcW w:w="1840" w:type="dxa"/>
            <w:tcBorders>
              <w:top w:val="nil"/>
              <w:left w:val="nil"/>
              <w:bottom w:val="single" w:sz="4" w:space="0" w:color="auto"/>
              <w:right w:val="single" w:sz="4" w:space="0" w:color="auto"/>
            </w:tcBorders>
            <w:vAlign w:val="center"/>
            <w:hideMark/>
          </w:tcPr>
          <w:p w14:paraId="30775C3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12, 13</w:t>
            </w:r>
          </w:p>
        </w:tc>
        <w:tc>
          <w:tcPr>
            <w:tcW w:w="5380" w:type="dxa"/>
            <w:tcBorders>
              <w:top w:val="nil"/>
              <w:left w:val="nil"/>
              <w:bottom w:val="single" w:sz="4" w:space="0" w:color="auto"/>
              <w:right w:val="single" w:sz="4" w:space="0" w:color="auto"/>
            </w:tcBorders>
            <w:vAlign w:val="center"/>
            <w:hideMark/>
          </w:tcPr>
          <w:p w14:paraId="6E19E1D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t>
            </w:r>
            <w:proofErr w:type="spellStart"/>
            <w:r w:rsidRPr="00A52898">
              <w:rPr>
                <w:rFonts w:ascii="Times New Roman" w:eastAsia="Times New Roman" w:hAnsi="Times New Roman" w:cs="Times New Roman"/>
                <w:color w:val="000000"/>
                <w:kern w:val="0"/>
                <w:sz w:val="24"/>
                <w:szCs w:val="24"/>
                <w:lang w:eastAsia="en-IN"/>
                <w14:ligatures w14:val="none"/>
              </w:rPr>
              <w:t>FlipkartGreen</w:t>
            </w:r>
            <w:proofErr w:type="spellEnd"/>
            <w:r w:rsidRPr="00A52898">
              <w:rPr>
                <w:rFonts w:ascii="Times New Roman" w:eastAsia="Times New Roman" w:hAnsi="Times New Roman" w:cs="Times New Roman"/>
                <w:color w:val="000000"/>
                <w:kern w:val="0"/>
                <w:sz w:val="24"/>
                <w:szCs w:val="24"/>
                <w:lang w:eastAsia="en-IN"/>
                <w14:ligatures w14:val="none"/>
              </w:rPr>
              <w:t>” initiative</w:t>
            </w:r>
          </w:p>
        </w:tc>
        <w:tc>
          <w:tcPr>
            <w:tcW w:w="5340" w:type="dxa"/>
            <w:tcBorders>
              <w:top w:val="nil"/>
              <w:left w:val="nil"/>
              <w:bottom w:val="single" w:sz="4" w:space="0" w:color="auto"/>
              <w:right w:val="single" w:sz="4" w:space="0" w:color="auto"/>
            </w:tcBorders>
            <w:vAlign w:val="center"/>
            <w:hideMark/>
          </w:tcPr>
          <w:p w14:paraId="71FA75A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Promoted sustainable products and eco-conscious logistics</w:t>
            </w:r>
          </w:p>
        </w:tc>
      </w:tr>
      <w:tr w:rsidR="00427003" w:rsidRPr="00A52898" w14:paraId="6711CCEA"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534D09A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Amazon India</w:t>
            </w:r>
          </w:p>
        </w:tc>
        <w:tc>
          <w:tcPr>
            <w:tcW w:w="1840" w:type="dxa"/>
            <w:tcBorders>
              <w:top w:val="nil"/>
              <w:left w:val="nil"/>
              <w:bottom w:val="single" w:sz="4" w:space="0" w:color="auto"/>
              <w:right w:val="single" w:sz="4" w:space="0" w:color="auto"/>
            </w:tcBorders>
            <w:vAlign w:val="center"/>
            <w:hideMark/>
          </w:tcPr>
          <w:p w14:paraId="4D79495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5380" w:type="dxa"/>
            <w:tcBorders>
              <w:top w:val="nil"/>
              <w:left w:val="nil"/>
              <w:bottom w:val="single" w:sz="4" w:space="0" w:color="auto"/>
              <w:right w:val="single" w:sz="4" w:space="0" w:color="auto"/>
            </w:tcBorders>
            <w:vAlign w:val="center"/>
            <w:hideMark/>
          </w:tcPr>
          <w:p w14:paraId="40FFE62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“Climate Pledge Friendly” digital campaign</w:t>
            </w:r>
          </w:p>
        </w:tc>
        <w:tc>
          <w:tcPr>
            <w:tcW w:w="5340" w:type="dxa"/>
            <w:tcBorders>
              <w:top w:val="nil"/>
              <w:left w:val="nil"/>
              <w:bottom w:val="single" w:sz="4" w:space="0" w:color="auto"/>
              <w:right w:val="single" w:sz="4" w:space="0" w:color="auto"/>
            </w:tcBorders>
            <w:vAlign w:val="center"/>
            <w:hideMark/>
          </w:tcPr>
          <w:p w14:paraId="342E161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Increased visibility of sustainable products online</w:t>
            </w:r>
          </w:p>
        </w:tc>
      </w:tr>
      <w:tr w:rsidR="00427003" w:rsidRPr="00A52898" w14:paraId="7BDE61B9" w14:textId="77777777" w:rsidTr="003729D9">
        <w:trPr>
          <w:trHeight w:val="288"/>
        </w:trPr>
        <w:tc>
          <w:tcPr>
            <w:tcW w:w="1840" w:type="dxa"/>
            <w:tcBorders>
              <w:top w:val="nil"/>
              <w:left w:val="single" w:sz="4" w:space="0" w:color="auto"/>
              <w:bottom w:val="single" w:sz="4" w:space="0" w:color="auto"/>
              <w:right w:val="single" w:sz="4" w:space="0" w:color="auto"/>
            </w:tcBorders>
            <w:vAlign w:val="center"/>
            <w:hideMark/>
          </w:tcPr>
          <w:p w14:paraId="30EF0A12"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Paytm</w:t>
            </w:r>
          </w:p>
        </w:tc>
        <w:tc>
          <w:tcPr>
            <w:tcW w:w="1840" w:type="dxa"/>
            <w:tcBorders>
              <w:top w:val="nil"/>
              <w:left w:val="nil"/>
              <w:bottom w:val="single" w:sz="4" w:space="0" w:color="auto"/>
              <w:right w:val="single" w:sz="4" w:space="0" w:color="auto"/>
            </w:tcBorders>
            <w:vAlign w:val="center"/>
            <w:hideMark/>
          </w:tcPr>
          <w:p w14:paraId="5D621EF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8</w:t>
            </w:r>
          </w:p>
        </w:tc>
        <w:tc>
          <w:tcPr>
            <w:tcW w:w="5380" w:type="dxa"/>
            <w:tcBorders>
              <w:top w:val="nil"/>
              <w:left w:val="nil"/>
              <w:bottom w:val="single" w:sz="4" w:space="0" w:color="auto"/>
              <w:right w:val="single" w:sz="4" w:space="0" w:color="auto"/>
            </w:tcBorders>
            <w:vAlign w:val="center"/>
            <w:hideMark/>
          </w:tcPr>
          <w:p w14:paraId="1849EB8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India Movement”</w:t>
            </w:r>
          </w:p>
        </w:tc>
        <w:tc>
          <w:tcPr>
            <w:tcW w:w="5340" w:type="dxa"/>
            <w:tcBorders>
              <w:top w:val="nil"/>
              <w:left w:val="nil"/>
              <w:bottom w:val="single" w:sz="4" w:space="0" w:color="auto"/>
              <w:right w:val="single" w:sz="4" w:space="0" w:color="auto"/>
            </w:tcBorders>
            <w:vAlign w:val="center"/>
            <w:hideMark/>
          </w:tcPr>
          <w:p w14:paraId="66DE5E8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Strengthened financial inclusion awareness</w:t>
            </w:r>
          </w:p>
        </w:tc>
      </w:tr>
    </w:tbl>
    <w:p w14:paraId="1D57E4E1"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i/>
          <w:iCs/>
          <w:sz w:val="24"/>
          <w:szCs w:val="24"/>
        </w:rPr>
        <w:t>Source:</w:t>
      </w:r>
      <w:r w:rsidRPr="00A52898">
        <w:rPr>
          <w:rFonts w:ascii="Times New Roman" w:hAnsi="Times New Roman" w:cs="Times New Roman"/>
          <w:sz w:val="24"/>
          <w:szCs w:val="24"/>
        </w:rPr>
        <w:t xml:space="preserve"> </w:t>
      </w:r>
      <w:r w:rsidRPr="00A52898">
        <w:rPr>
          <w:rFonts w:ascii="Times New Roman" w:hAnsi="Times New Roman" w:cs="Times New Roman"/>
          <w:i/>
          <w:iCs/>
          <w:sz w:val="24"/>
          <w:szCs w:val="24"/>
        </w:rPr>
        <w:t>Compiled from company sustainability reports, official corporate websites, Business Responsibility and Sustainability Reports (BRSR), and NITI Aayog’s SDG India Index (2020–2024).</w:t>
      </w:r>
    </w:p>
    <w:p w14:paraId="4FF44A27" w14:textId="5D4E3A25" w:rsidR="00427003" w:rsidRPr="00A52898" w:rsidRDefault="00427003" w:rsidP="00427003">
      <w:p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From the above Table 3 it is </w:t>
      </w:r>
      <w:r w:rsidRPr="003A226E">
        <w:rPr>
          <w:rFonts w:ascii="Times New Roman" w:hAnsi="Times New Roman" w:cs="Times New Roman"/>
          <w:sz w:val="24"/>
          <w:szCs w:val="24"/>
          <w:highlight w:val="yellow"/>
        </w:rPr>
        <w:t xml:space="preserve">observed that Indian corporates </w:t>
      </w:r>
      <w:r w:rsidRPr="00A52898">
        <w:rPr>
          <w:rFonts w:ascii="Times New Roman" w:hAnsi="Times New Roman" w:cs="Times New Roman"/>
          <w:sz w:val="24"/>
          <w:szCs w:val="24"/>
        </w:rPr>
        <w:t xml:space="preserve">have increasingly aligned their digital marketing initiatives with the United Nations’ Sustainable Development Goals (SDGs). Tata Power </w:t>
      </w:r>
      <w:r w:rsidR="001C5F13" w:rsidRPr="003A226E">
        <w:rPr>
          <w:rFonts w:ascii="Times New Roman" w:hAnsi="Times New Roman" w:cs="Times New Roman"/>
          <w:sz w:val="24"/>
          <w:szCs w:val="24"/>
          <w:highlight w:val="yellow"/>
        </w:rPr>
        <w:t>emphasi</w:t>
      </w:r>
      <w:r w:rsidR="001C5F13" w:rsidRPr="003A226E">
        <w:rPr>
          <w:rFonts w:ascii="Times New Roman" w:hAnsi="Times New Roman" w:cs="Times New Roman"/>
          <w:sz w:val="24"/>
          <w:szCs w:val="24"/>
          <w:highlight w:val="yellow"/>
        </w:rPr>
        <w:t>s</w:t>
      </w:r>
      <w:r w:rsidR="001C5F13" w:rsidRPr="003A226E">
        <w:rPr>
          <w:rFonts w:ascii="Times New Roman" w:hAnsi="Times New Roman" w:cs="Times New Roman"/>
          <w:sz w:val="24"/>
          <w:szCs w:val="24"/>
          <w:highlight w:val="yellow"/>
        </w:rPr>
        <w:t xml:space="preserve">es </w:t>
      </w:r>
      <w:r w:rsidRPr="003A226E">
        <w:rPr>
          <w:rFonts w:ascii="Times New Roman" w:hAnsi="Times New Roman" w:cs="Times New Roman"/>
          <w:sz w:val="24"/>
          <w:szCs w:val="24"/>
          <w:highlight w:val="yellow"/>
        </w:rPr>
        <w:t>renewa</w:t>
      </w:r>
      <w:r w:rsidRPr="00A52898">
        <w:rPr>
          <w:rFonts w:ascii="Times New Roman" w:hAnsi="Times New Roman" w:cs="Times New Roman"/>
          <w:sz w:val="24"/>
          <w:szCs w:val="24"/>
        </w:rPr>
        <w:t xml:space="preserve">ble energy (SDG 7, 13) through its “Switch to Green Energy” campaign, fostering consumer awareness on clean power adoption. ITC Limited’s “Well-being Out of Waste” reflects circular economy principles (SDG 12, 13). Infosys, with its “Carbon Neutral by 2030” digital narrative, reinforces innovation-driven sustainability (SDG 9, 13). Hindustan Unilever’s “Project Shakti” integrates women empowerment and responsible consumption (SDG 5, 12). Tata Tea’s “Jaago Re” promotes civic participation and social responsibility (SDG 5, 16). Mahindra Group’s “Rise for Good” showcases renewable mobility (SDG 9, 13). Reliance Industries’ (Jio) digital empowerment efforts strengthen rural inclusion (SDG 9, 8). Godrej Group’s “Good &amp; Green” campaign highlights sustainable production (SDG 13, 15), while Wipro focuses on digital learning (SDG 4, 9). Adani Green Energy enhances renewable energy visibility (SDG 7, 13). Nestlé India and Dabur India advocate health and eco-friendly consumption (SDG 3, 12). Maruti Suzuki markets hybrid mobility (SDG 9, 13). HDFC </w:t>
      </w:r>
      <w:r w:rsidRPr="00A52898">
        <w:rPr>
          <w:rFonts w:ascii="Times New Roman" w:hAnsi="Times New Roman" w:cs="Times New Roman"/>
          <w:sz w:val="24"/>
          <w:szCs w:val="24"/>
        </w:rPr>
        <w:lastRenderedPageBreak/>
        <w:t xml:space="preserve">Bank’s “Parivartan” drives financial inclusion (SDG 8, 10). Biocon promotes affordable healthcare (SDG 3, 9), and Zomato’s “Feeding India” reduces hunger and waste (SDG 2, 12). </w:t>
      </w:r>
      <w:proofErr w:type="spellStart"/>
      <w:r w:rsidRPr="00A52898">
        <w:rPr>
          <w:rFonts w:ascii="Times New Roman" w:hAnsi="Times New Roman" w:cs="Times New Roman"/>
          <w:sz w:val="24"/>
          <w:szCs w:val="24"/>
        </w:rPr>
        <w:t>Nykaa</w:t>
      </w:r>
      <w:proofErr w:type="spellEnd"/>
      <w:r w:rsidRPr="00A52898">
        <w:rPr>
          <w:rFonts w:ascii="Times New Roman" w:hAnsi="Times New Roman" w:cs="Times New Roman"/>
          <w:sz w:val="24"/>
          <w:szCs w:val="24"/>
        </w:rPr>
        <w:t>, Flipkart, and Amazon India promote sustainable and ethical consumption (SDG 5, 12, 13). Finally, Paytm’s “Digital India Movement” enhances financial literacy and inclusion (SDG 9, 8).</w:t>
      </w:r>
    </w:p>
    <w:p w14:paraId="69CD9FC5" w14:textId="77777777" w:rsidR="00427003" w:rsidRPr="00A52898" w:rsidRDefault="00427003" w:rsidP="00427003">
      <w:pPr>
        <w:pStyle w:val="ListParagraph"/>
        <w:numPr>
          <w:ilvl w:val="0"/>
          <w:numId w:val="3"/>
        </w:numPr>
        <w:rPr>
          <w:rFonts w:ascii="Times New Roman" w:eastAsia="Times New Roman" w:hAnsi="Times New Roman" w:cs="Times New Roman"/>
          <w:b/>
          <w:bCs/>
          <w:color w:val="000000"/>
          <w:kern w:val="0"/>
          <w:sz w:val="24"/>
          <w:szCs w:val="24"/>
          <w:lang w:eastAsia="en-IN"/>
          <w14:ligatures w14:val="none"/>
        </w:rPr>
      </w:pPr>
      <w:r w:rsidRPr="00A52898">
        <w:rPr>
          <w:rFonts w:ascii="Times New Roman" w:eastAsia="Times New Roman" w:hAnsi="Times New Roman" w:cs="Times New Roman"/>
          <w:b/>
          <w:bCs/>
          <w:color w:val="000000"/>
          <w:kern w:val="0"/>
          <w:sz w:val="24"/>
          <w:szCs w:val="24"/>
          <w:lang w:eastAsia="en-IN"/>
          <w14:ligatures w14:val="none"/>
        </w:rPr>
        <w:t>Sectoral Analysis of SDG Integration in Indian Digital Marketing</w:t>
      </w:r>
    </w:p>
    <w:p w14:paraId="10772E19" w14:textId="77777777" w:rsidR="00427003" w:rsidRPr="00A52898" w:rsidRDefault="00427003" w:rsidP="00427003">
      <w:pPr>
        <w:spacing w:line="480" w:lineRule="auto"/>
        <w:jc w:val="both"/>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A sectoral analysis of SDG integration in Indian digital marketing reveals that industries such as information technology, fast-moving consumer goods (FMCG), banking, and e-commerce actively embed sustainability into their digital campaigns. These sectors utilize online platforms to promote eco-friendly products, financial inclusion, and social welfare, aligning brand communication with national and global SDG priorities.</w:t>
      </w:r>
    </w:p>
    <w:p w14:paraId="47302D47" w14:textId="1CCFFD36" w:rsidR="00427003" w:rsidRPr="00A52898" w:rsidRDefault="00427003" w:rsidP="00427003">
      <w:pPr>
        <w:ind w:left="720"/>
        <w:jc w:val="center"/>
        <w:rPr>
          <w:rFonts w:ascii="Times New Roman" w:hAnsi="Times New Roman" w:cs="Times New Roman"/>
          <w:sz w:val="24"/>
          <w:szCs w:val="24"/>
        </w:rPr>
      </w:pPr>
      <w:r w:rsidRPr="00A52898">
        <w:rPr>
          <w:rFonts w:ascii="Times New Roman" w:eastAsia="Times New Roman" w:hAnsi="Times New Roman" w:cs="Times New Roman"/>
          <w:color w:val="000000"/>
          <w:kern w:val="0"/>
          <w:sz w:val="24"/>
          <w:szCs w:val="24"/>
          <w:lang w:eastAsia="en-IN"/>
          <w14:ligatures w14:val="none"/>
        </w:rPr>
        <w:t xml:space="preserve">Table: </w:t>
      </w:r>
      <w:r w:rsidRPr="003A226E">
        <w:rPr>
          <w:rFonts w:ascii="Times New Roman" w:eastAsia="Times New Roman" w:hAnsi="Times New Roman" w:cs="Times New Roman"/>
          <w:color w:val="000000"/>
          <w:kern w:val="0"/>
          <w:sz w:val="24"/>
          <w:szCs w:val="24"/>
          <w:highlight w:val="yellow"/>
          <w:lang w:eastAsia="en-IN"/>
          <w14:ligatures w14:val="none"/>
        </w:rPr>
        <w:t>4</w:t>
      </w:r>
      <w:r w:rsidR="001C5F13" w:rsidRPr="003A226E">
        <w:rPr>
          <w:rFonts w:ascii="Times New Roman" w:eastAsia="Times New Roman" w:hAnsi="Times New Roman" w:cs="Times New Roman"/>
          <w:color w:val="000000"/>
          <w:kern w:val="0"/>
          <w:sz w:val="24"/>
          <w:szCs w:val="24"/>
          <w:highlight w:val="yellow"/>
          <w:lang w:eastAsia="en-IN"/>
          <w14:ligatures w14:val="none"/>
        </w:rPr>
        <w:t>:</w:t>
      </w:r>
      <w:r w:rsidRPr="003A226E">
        <w:rPr>
          <w:rFonts w:ascii="Times New Roman" w:eastAsia="Times New Roman" w:hAnsi="Times New Roman" w:cs="Times New Roman"/>
          <w:color w:val="000000"/>
          <w:kern w:val="0"/>
          <w:sz w:val="24"/>
          <w:szCs w:val="24"/>
          <w:highlight w:val="yellow"/>
          <w:lang w:eastAsia="en-IN"/>
          <w14:ligatures w14:val="none"/>
        </w:rPr>
        <w:t xml:space="preserve"> Sectoral Analysis</w:t>
      </w:r>
      <w:r w:rsidRPr="00A52898">
        <w:rPr>
          <w:rFonts w:ascii="Times New Roman" w:eastAsia="Times New Roman" w:hAnsi="Times New Roman" w:cs="Times New Roman"/>
          <w:color w:val="000000"/>
          <w:kern w:val="0"/>
          <w:sz w:val="24"/>
          <w:szCs w:val="24"/>
          <w:lang w:eastAsia="en-IN"/>
          <w14:ligatures w14:val="none"/>
        </w:rPr>
        <w:t xml:space="preserve"> of SDG Integration in Indian Digital Marketing</w:t>
      </w:r>
    </w:p>
    <w:tbl>
      <w:tblPr>
        <w:tblW w:w="5000" w:type="pct"/>
        <w:tblLook w:val="04A0" w:firstRow="1" w:lastRow="0" w:firstColumn="1" w:lastColumn="0" w:noHBand="0" w:noVBand="1"/>
      </w:tblPr>
      <w:tblGrid>
        <w:gridCol w:w="2547"/>
        <w:gridCol w:w="1559"/>
        <w:gridCol w:w="3970"/>
        <w:gridCol w:w="1417"/>
        <w:gridCol w:w="4455"/>
      </w:tblGrid>
      <w:tr w:rsidR="00427003" w:rsidRPr="00A52898" w14:paraId="7F27E1D5" w14:textId="77777777" w:rsidTr="003729D9">
        <w:trPr>
          <w:trHeight w:val="576"/>
        </w:trPr>
        <w:tc>
          <w:tcPr>
            <w:tcW w:w="913" w:type="pct"/>
            <w:tcBorders>
              <w:top w:val="single" w:sz="4" w:space="0" w:color="auto"/>
              <w:left w:val="single" w:sz="4" w:space="0" w:color="auto"/>
              <w:bottom w:val="single" w:sz="4" w:space="0" w:color="auto"/>
              <w:right w:val="single" w:sz="4" w:space="0" w:color="auto"/>
            </w:tcBorders>
            <w:vAlign w:val="center"/>
            <w:hideMark/>
          </w:tcPr>
          <w:p w14:paraId="1E45DF7A"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Industry</w:t>
            </w:r>
          </w:p>
        </w:tc>
        <w:tc>
          <w:tcPr>
            <w:tcW w:w="559" w:type="pct"/>
            <w:tcBorders>
              <w:top w:val="single" w:sz="4" w:space="0" w:color="auto"/>
              <w:left w:val="nil"/>
              <w:bottom w:val="single" w:sz="4" w:space="0" w:color="auto"/>
              <w:right w:val="single" w:sz="4" w:space="0" w:color="auto"/>
            </w:tcBorders>
            <w:vAlign w:val="center"/>
            <w:hideMark/>
          </w:tcPr>
          <w:p w14:paraId="799B0742"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Prominent SDG Themes</w:t>
            </w:r>
          </w:p>
        </w:tc>
        <w:tc>
          <w:tcPr>
            <w:tcW w:w="1423" w:type="pct"/>
            <w:tcBorders>
              <w:top w:val="single" w:sz="4" w:space="0" w:color="auto"/>
              <w:left w:val="nil"/>
              <w:bottom w:val="single" w:sz="4" w:space="0" w:color="auto"/>
              <w:right w:val="single" w:sz="4" w:space="0" w:color="auto"/>
            </w:tcBorders>
            <w:vAlign w:val="center"/>
            <w:hideMark/>
          </w:tcPr>
          <w:p w14:paraId="4B727B2B"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Examples / Firms</w:t>
            </w:r>
          </w:p>
        </w:tc>
        <w:tc>
          <w:tcPr>
            <w:tcW w:w="508" w:type="pct"/>
            <w:tcBorders>
              <w:top w:val="single" w:sz="4" w:space="0" w:color="auto"/>
              <w:left w:val="nil"/>
              <w:bottom w:val="single" w:sz="4" w:space="0" w:color="auto"/>
              <w:right w:val="single" w:sz="4" w:space="0" w:color="auto"/>
            </w:tcBorders>
            <w:vAlign w:val="center"/>
            <w:hideMark/>
          </w:tcPr>
          <w:p w14:paraId="01EBF4C5"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Level of Integration</w:t>
            </w:r>
          </w:p>
        </w:tc>
        <w:tc>
          <w:tcPr>
            <w:tcW w:w="1597" w:type="pct"/>
            <w:tcBorders>
              <w:top w:val="single" w:sz="4" w:space="0" w:color="auto"/>
              <w:left w:val="nil"/>
              <w:bottom w:val="single" w:sz="4" w:space="0" w:color="auto"/>
              <w:right w:val="single" w:sz="4" w:space="0" w:color="auto"/>
            </w:tcBorders>
            <w:vAlign w:val="center"/>
            <w:hideMark/>
          </w:tcPr>
          <w:p w14:paraId="5419DC5E" w14:textId="77777777" w:rsidR="00427003" w:rsidRPr="00A52898" w:rsidRDefault="00427003" w:rsidP="003729D9">
            <w:pPr>
              <w:spacing w:after="0" w:line="480" w:lineRule="auto"/>
              <w:rPr>
                <w:rFonts w:ascii="Times New Roman" w:eastAsia="Times New Roman" w:hAnsi="Times New Roman" w:cs="Times New Roman"/>
                <w:i/>
                <w:iCs/>
                <w:color w:val="000000"/>
                <w:kern w:val="0"/>
                <w:sz w:val="24"/>
                <w:szCs w:val="24"/>
                <w:lang w:eastAsia="en-IN"/>
                <w14:ligatures w14:val="none"/>
              </w:rPr>
            </w:pPr>
            <w:r w:rsidRPr="00A52898">
              <w:rPr>
                <w:rFonts w:ascii="Times New Roman" w:eastAsia="Times New Roman" w:hAnsi="Times New Roman" w:cs="Times New Roman"/>
                <w:i/>
                <w:iCs/>
                <w:color w:val="000000"/>
                <w:kern w:val="0"/>
                <w:sz w:val="24"/>
                <w:szCs w:val="24"/>
                <w:lang w:eastAsia="en-IN"/>
                <w14:ligatures w14:val="none"/>
              </w:rPr>
              <w:t>Mode of Digital Promotion</w:t>
            </w:r>
          </w:p>
        </w:tc>
      </w:tr>
      <w:tr w:rsidR="00427003" w:rsidRPr="00A52898" w14:paraId="397BB3A6"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380F978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FMCG</w:t>
            </w:r>
          </w:p>
        </w:tc>
        <w:tc>
          <w:tcPr>
            <w:tcW w:w="559" w:type="pct"/>
            <w:tcBorders>
              <w:top w:val="nil"/>
              <w:left w:val="nil"/>
              <w:bottom w:val="single" w:sz="4" w:space="0" w:color="auto"/>
              <w:right w:val="single" w:sz="4" w:space="0" w:color="auto"/>
            </w:tcBorders>
            <w:vAlign w:val="center"/>
            <w:hideMark/>
          </w:tcPr>
          <w:p w14:paraId="4933CB5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1423" w:type="pct"/>
            <w:tcBorders>
              <w:top w:val="nil"/>
              <w:left w:val="nil"/>
              <w:bottom w:val="single" w:sz="4" w:space="0" w:color="auto"/>
              <w:right w:val="single" w:sz="4" w:space="0" w:color="auto"/>
            </w:tcBorders>
            <w:vAlign w:val="center"/>
            <w:hideMark/>
          </w:tcPr>
          <w:p w14:paraId="630D7BA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HUL, ITC, Godrej, Dabur</w:t>
            </w:r>
          </w:p>
        </w:tc>
        <w:tc>
          <w:tcPr>
            <w:tcW w:w="508" w:type="pct"/>
            <w:tcBorders>
              <w:top w:val="nil"/>
              <w:left w:val="nil"/>
              <w:bottom w:val="single" w:sz="4" w:space="0" w:color="auto"/>
              <w:right w:val="single" w:sz="4" w:space="0" w:color="auto"/>
            </w:tcBorders>
            <w:vAlign w:val="center"/>
            <w:hideMark/>
          </w:tcPr>
          <w:p w14:paraId="174DEA2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231D636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Social media storytelling, YouTube CSR films</w:t>
            </w:r>
          </w:p>
        </w:tc>
      </w:tr>
      <w:tr w:rsidR="00427003" w:rsidRPr="00A52898" w14:paraId="502FDC8E"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59A7AE7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Technology &amp; IT</w:t>
            </w:r>
          </w:p>
        </w:tc>
        <w:tc>
          <w:tcPr>
            <w:tcW w:w="559" w:type="pct"/>
            <w:tcBorders>
              <w:top w:val="nil"/>
              <w:left w:val="nil"/>
              <w:bottom w:val="single" w:sz="4" w:space="0" w:color="auto"/>
              <w:right w:val="single" w:sz="4" w:space="0" w:color="auto"/>
            </w:tcBorders>
            <w:vAlign w:val="center"/>
            <w:hideMark/>
          </w:tcPr>
          <w:p w14:paraId="10DDBA52"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 9, 13</w:t>
            </w:r>
          </w:p>
        </w:tc>
        <w:tc>
          <w:tcPr>
            <w:tcW w:w="1423" w:type="pct"/>
            <w:tcBorders>
              <w:top w:val="nil"/>
              <w:left w:val="nil"/>
              <w:bottom w:val="single" w:sz="4" w:space="0" w:color="auto"/>
              <w:right w:val="single" w:sz="4" w:space="0" w:color="auto"/>
            </w:tcBorders>
            <w:vAlign w:val="center"/>
            <w:hideMark/>
          </w:tcPr>
          <w:p w14:paraId="2541852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Infosys, Wipro, TCS, Tech Mahindra</w:t>
            </w:r>
          </w:p>
        </w:tc>
        <w:tc>
          <w:tcPr>
            <w:tcW w:w="508" w:type="pct"/>
            <w:tcBorders>
              <w:top w:val="nil"/>
              <w:left w:val="nil"/>
              <w:bottom w:val="single" w:sz="4" w:space="0" w:color="auto"/>
              <w:right w:val="single" w:sz="4" w:space="0" w:color="auto"/>
            </w:tcBorders>
            <w:vAlign w:val="center"/>
            <w:hideMark/>
          </w:tcPr>
          <w:p w14:paraId="5D9DE6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0DAD660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Web-based sustainability reports, LinkedIn CSR blogs</w:t>
            </w:r>
          </w:p>
        </w:tc>
      </w:tr>
      <w:tr w:rsidR="00427003" w:rsidRPr="00A52898" w14:paraId="7EC1A87A"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572D0E6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Energy &amp; Utilities</w:t>
            </w:r>
          </w:p>
        </w:tc>
        <w:tc>
          <w:tcPr>
            <w:tcW w:w="559" w:type="pct"/>
            <w:tcBorders>
              <w:top w:val="nil"/>
              <w:left w:val="nil"/>
              <w:bottom w:val="single" w:sz="4" w:space="0" w:color="auto"/>
              <w:right w:val="single" w:sz="4" w:space="0" w:color="auto"/>
            </w:tcBorders>
            <w:vAlign w:val="center"/>
            <w:hideMark/>
          </w:tcPr>
          <w:p w14:paraId="768E3E96"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7, 13</w:t>
            </w:r>
          </w:p>
        </w:tc>
        <w:tc>
          <w:tcPr>
            <w:tcW w:w="1423" w:type="pct"/>
            <w:tcBorders>
              <w:top w:val="nil"/>
              <w:left w:val="nil"/>
              <w:bottom w:val="single" w:sz="4" w:space="0" w:color="auto"/>
              <w:right w:val="single" w:sz="4" w:space="0" w:color="auto"/>
            </w:tcBorders>
            <w:vAlign w:val="center"/>
            <w:hideMark/>
          </w:tcPr>
          <w:p w14:paraId="4A03F10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Power, Adani Green, NTPC</w:t>
            </w:r>
          </w:p>
        </w:tc>
        <w:tc>
          <w:tcPr>
            <w:tcW w:w="508" w:type="pct"/>
            <w:tcBorders>
              <w:top w:val="nil"/>
              <w:left w:val="nil"/>
              <w:bottom w:val="single" w:sz="4" w:space="0" w:color="auto"/>
              <w:right w:val="single" w:sz="4" w:space="0" w:color="auto"/>
            </w:tcBorders>
            <w:vAlign w:val="center"/>
            <w:hideMark/>
          </w:tcPr>
          <w:p w14:paraId="1442B98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ED3CF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awareness videos, online campaigns</w:t>
            </w:r>
          </w:p>
        </w:tc>
      </w:tr>
      <w:tr w:rsidR="00427003" w:rsidRPr="00A52898" w14:paraId="2879EB7A"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6694A4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Automotive</w:t>
            </w:r>
          </w:p>
        </w:tc>
        <w:tc>
          <w:tcPr>
            <w:tcW w:w="559" w:type="pct"/>
            <w:tcBorders>
              <w:top w:val="nil"/>
              <w:left w:val="nil"/>
              <w:bottom w:val="single" w:sz="4" w:space="0" w:color="auto"/>
              <w:right w:val="single" w:sz="4" w:space="0" w:color="auto"/>
            </w:tcBorders>
            <w:vAlign w:val="center"/>
            <w:hideMark/>
          </w:tcPr>
          <w:p w14:paraId="7054611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13</w:t>
            </w:r>
          </w:p>
        </w:tc>
        <w:tc>
          <w:tcPr>
            <w:tcW w:w="1423" w:type="pct"/>
            <w:tcBorders>
              <w:top w:val="nil"/>
              <w:left w:val="nil"/>
              <w:bottom w:val="single" w:sz="4" w:space="0" w:color="auto"/>
              <w:right w:val="single" w:sz="4" w:space="0" w:color="auto"/>
            </w:tcBorders>
            <w:vAlign w:val="center"/>
            <w:hideMark/>
          </w:tcPr>
          <w:p w14:paraId="701D5F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Tata Motors, Mahindra, Maruti Suzuki</w:t>
            </w:r>
          </w:p>
        </w:tc>
        <w:tc>
          <w:tcPr>
            <w:tcW w:w="508" w:type="pct"/>
            <w:tcBorders>
              <w:top w:val="nil"/>
              <w:left w:val="nil"/>
              <w:bottom w:val="single" w:sz="4" w:space="0" w:color="auto"/>
              <w:right w:val="single" w:sz="4" w:space="0" w:color="auto"/>
            </w:tcBorders>
            <w:vAlign w:val="center"/>
            <w:hideMark/>
          </w:tcPr>
          <w:p w14:paraId="31D87D8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954E24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Electric vehicle online campaigns, influencer promotions</w:t>
            </w:r>
          </w:p>
        </w:tc>
      </w:tr>
      <w:tr w:rsidR="00427003" w:rsidRPr="00A52898" w14:paraId="49C463E7"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84B82C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Fashion &amp; Retail</w:t>
            </w:r>
          </w:p>
        </w:tc>
        <w:tc>
          <w:tcPr>
            <w:tcW w:w="559" w:type="pct"/>
            <w:tcBorders>
              <w:top w:val="nil"/>
              <w:left w:val="nil"/>
              <w:bottom w:val="single" w:sz="4" w:space="0" w:color="auto"/>
              <w:right w:val="single" w:sz="4" w:space="0" w:color="auto"/>
            </w:tcBorders>
            <w:vAlign w:val="center"/>
            <w:hideMark/>
          </w:tcPr>
          <w:p w14:paraId="33E610B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5</w:t>
            </w:r>
          </w:p>
        </w:tc>
        <w:tc>
          <w:tcPr>
            <w:tcW w:w="1423" w:type="pct"/>
            <w:tcBorders>
              <w:top w:val="nil"/>
              <w:left w:val="nil"/>
              <w:bottom w:val="single" w:sz="4" w:space="0" w:color="auto"/>
              <w:right w:val="single" w:sz="4" w:space="0" w:color="auto"/>
            </w:tcBorders>
            <w:vAlign w:val="center"/>
            <w:hideMark/>
          </w:tcPr>
          <w:p w14:paraId="1C1C54A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FabIndia</w:t>
            </w:r>
            <w:proofErr w:type="spellEnd"/>
            <w:r w:rsidRPr="00A52898">
              <w:rPr>
                <w:rFonts w:ascii="Times New Roman" w:eastAsia="Times New Roman" w:hAnsi="Times New Roman" w:cs="Times New Roman"/>
                <w:color w:val="000000"/>
                <w:kern w:val="0"/>
                <w:sz w:val="24"/>
                <w:szCs w:val="24"/>
                <w:lang w:eastAsia="en-IN"/>
                <w14:ligatures w14:val="none"/>
              </w:rPr>
              <w:t xml:space="preserve">, Raymond, </w:t>
            </w:r>
            <w:proofErr w:type="spellStart"/>
            <w:r w:rsidRPr="00A52898">
              <w:rPr>
                <w:rFonts w:ascii="Times New Roman" w:eastAsia="Times New Roman" w:hAnsi="Times New Roman" w:cs="Times New Roman"/>
                <w:color w:val="000000"/>
                <w:kern w:val="0"/>
                <w:sz w:val="24"/>
                <w:szCs w:val="24"/>
                <w:lang w:eastAsia="en-IN"/>
                <w14:ligatures w14:val="none"/>
              </w:rPr>
              <w:t>Nykaa</w:t>
            </w:r>
            <w:proofErr w:type="spellEnd"/>
            <w:r w:rsidRPr="00A52898">
              <w:rPr>
                <w:rFonts w:ascii="Times New Roman" w:eastAsia="Times New Roman" w:hAnsi="Times New Roman" w:cs="Times New Roman"/>
                <w:color w:val="000000"/>
                <w:kern w:val="0"/>
                <w:sz w:val="24"/>
                <w:szCs w:val="24"/>
                <w:lang w:eastAsia="en-IN"/>
                <w14:ligatures w14:val="none"/>
              </w:rPr>
              <w:t>, H&amp;M India</w:t>
            </w:r>
          </w:p>
        </w:tc>
        <w:tc>
          <w:tcPr>
            <w:tcW w:w="508" w:type="pct"/>
            <w:tcBorders>
              <w:top w:val="nil"/>
              <w:left w:val="nil"/>
              <w:bottom w:val="single" w:sz="4" w:space="0" w:color="auto"/>
              <w:right w:val="single" w:sz="4" w:space="0" w:color="auto"/>
            </w:tcBorders>
            <w:vAlign w:val="center"/>
            <w:hideMark/>
          </w:tcPr>
          <w:p w14:paraId="05E8ADD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4A62C24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Instagram campaigns promoting sustainable fashion</w:t>
            </w:r>
          </w:p>
        </w:tc>
      </w:tr>
      <w:tr w:rsidR="00427003" w:rsidRPr="00A52898" w14:paraId="14747642"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0E3978A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Banking &amp; Financial Services</w:t>
            </w:r>
          </w:p>
        </w:tc>
        <w:tc>
          <w:tcPr>
            <w:tcW w:w="559" w:type="pct"/>
            <w:tcBorders>
              <w:top w:val="nil"/>
              <w:left w:val="nil"/>
              <w:bottom w:val="single" w:sz="4" w:space="0" w:color="auto"/>
              <w:right w:val="single" w:sz="4" w:space="0" w:color="auto"/>
            </w:tcBorders>
            <w:vAlign w:val="center"/>
            <w:hideMark/>
          </w:tcPr>
          <w:p w14:paraId="4DD6491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10</w:t>
            </w:r>
          </w:p>
        </w:tc>
        <w:tc>
          <w:tcPr>
            <w:tcW w:w="1423" w:type="pct"/>
            <w:tcBorders>
              <w:top w:val="nil"/>
              <w:left w:val="nil"/>
              <w:bottom w:val="single" w:sz="4" w:space="0" w:color="auto"/>
              <w:right w:val="single" w:sz="4" w:space="0" w:color="auto"/>
            </w:tcBorders>
            <w:vAlign w:val="center"/>
            <w:hideMark/>
          </w:tcPr>
          <w:p w14:paraId="30BE56C3"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HDFC Bank, State Bank of India (SBI),ICICI Bank and Paytm</w:t>
            </w:r>
          </w:p>
        </w:tc>
        <w:tc>
          <w:tcPr>
            <w:tcW w:w="508" w:type="pct"/>
            <w:tcBorders>
              <w:top w:val="nil"/>
              <w:left w:val="nil"/>
              <w:bottom w:val="single" w:sz="4" w:space="0" w:color="auto"/>
              <w:right w:val="single" w:sz="4" w:space="0" w:color="auto"/>
            </w:tcBorders>
            <w:vAlign w:val="center"/>
            <w:hideMark/>
          </w:tcPr>
          <w:p w14:paraId="111350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2CF6D5C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inclusion and rural finance awareness</w:t>
            </w:r>
          </w:p>
        </w:tc>
      </w:tr>
      <w:tr w:rsidR="00427003" w:rsidRPr="00A52898" w14:paraId="6B370944"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52E98D9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E-commerce</w:t>
            </w:r>
          </w:p>
        </w:tc>
        <w:tc>
          <w:tcPr>
            <w:tcW w:w="559" w:type="pct"/>
            <w:tcBorders>
              <w:top w:val="nil"/>
              <w:left w:val="nil"/>
              <w:bottom w:val="single" w:sz="4" w:space="0" w:color="auto"/>
              <w:right w:val="single" w:sz="4" w:space="0" w:color="auto"/>
            </w:tcBorders>
            <w:vAlign w:val="center"/>
            <w:hideMark/>
          </w:tcPr>
          <w:p w14:paraId="64E94B2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12, 13</w:t>
            </w:r>
          </w:p>
        </w:tc>
        <w:tc>
          <w:tcPr>
            <w:tcW w:w="1423" w:type="pct"/>
            <w:tcBorders>
              <w:top w:val="nil"/>
              <w:left w:val="nil"/>
              <w:bottom w:val="single" w:sz="4" w:space="0" w:color="auto"/>
              <w:right w:val="single" w:sz="4" w:space="0" w:color="auto"/>
            </w:tcBorders>
            <w:vAlign w:val="center"/>
            <w:hideMark/>
          </w:tcPr>
          <w:p w14:paraId="64F599B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Flipkart, Amazon India</w:t>
            </w:r>
          </w:p>
        </w:tc>
        <w:tc>
          <w:tcPr>
            <w:tcW w:w="508" w:type="pct"/>
            <w:tcBorders>
              <w:top w:val="nil"/>
              <w:left w:val="nil"/>
              <w:bottom w:val="single" w:sz="4" w:space="0" w:color="auto"/>
              <w:right w:val="single" w:sz="4" w:space="0" w:color="auto"/>
            </w:tcBorders>
            <w:vAlign w:val="center"/>
            <w:hideMark/>
          </w:tcPr>
          <w:p w14:paraId="3D18082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Moderate–High</w:t>
            </w:r>
          </w:p>
        </w:tc>
        <w:tc>
          <w:tcPr>
            <w:tcW w:w="1597" w:type="pct"/>
            <w:tcBorders>
              <w:top w:val="nil"/>
              <w:left w:val="nil"/>
              <w:bottom w:val="single" w:sz="4" w:space="0" w:color="auto"/>
              <w:right w:val="single" w:sz="4" w:space="0" w:color="auto"/>
            </w:tcBorders>
            <w:vAlign w:val="center"/>
            <w:hideMark/>
          </w:tcPr>
          <w:p w14:paraId="5DFDC33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Product sustainability labelling online</w:t>
            </w:r>
          </w:p>
        </w:tc>
      </w:tr>
      <w:tr w:rsidR="00427003" w:rsidRPr="00A52898" w14:paraId="6F92C8A5"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396B724F"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Healthcare &amp; Pharma</w:t>
            </w:r>
          </w:p>
        </w:tc>
        <w:tc>
          <w:tcPr>
            <w:tcW w:w="559" w:type="pct"/>
            <w:tcBorders>
              <w:top w:val="nil"/>
              <w:left w:val="nil"/>
              <w:bottom w:val="single" w:sz="4" w:space="0" w:color="auto"/>
              <w:right w:val="single" w:sz="4" w:space="0" w:color="auto"/>
            </w:tcBorders>
            <w:vAlign w:val="center"/>
            <w:hideMark/>
          </w:tcPr>
          <w:p w14:paraId="6A0D1D3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3, 9</w:t>
            </w:r>
          </w:p>
        </w:tc>
        <w:tc>
          <w:tcPr>
            <w:tcW w:w="1423" w:type="pct"/>
            <w:tcBorders>
              <w:top w:val="nil"/>
              <w:left w:val="nil"/>
              <w:bottom w:val="single" w:sz="4" w:space="0" w:color="auto"/>
              <w:right w:val="single" w:sz="4" w:space="0" w:color="auto"/>
            </w:tcBorders>
            <w:vAlign w:val="center"/>
            <w:hideMark/>
          </w:tcPr>
          <w:p w14:paraId="14276D2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Biocon, Apollo Hospitals</w:t>
            </w:r>
          </w:p>
        </w:tc>
        <w:tc>
          <w:tcPr>
            <w:tcW w:w="508" w:type="pct"/>
            <w:tcBorders>
              <w:top w:val="nil"/>
              <w:left w:val="nil"/>
              <w:bottom w:val="single" w:sz="4" w:space="0" w:color="auto"/>
              <w:right w:val="single" w:sz="4" w:space="0" w:color="auto"/>
            </w:tcBorders>
            <w:vAlign w:val="center"/>
            <w:hideMark/>
          </w:tcPr>
          <w:p w14:paraId="4793294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73A3D79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health campaigns and mobile health apps</w:t>
            </w:r>
          </w:p>
        </w:tc>
      </w:tr>
      <w:tr w:rsidR="00427003" w:rsidRPr="00A52898" w14:paraId="09B5D9F5"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6D28477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Education &amp; EdTech</w:t>
            </w:r>
          </w:p>
        </w:tc>
        <w:tc>
          <w:tcPr>
            <w:tcW w:w="559" w:type="pct"/>
            <w:tcBorders>
              <w:top w:val="nil"/>
              <w:left w:val="nil"/>
              <w:bottom w:val="single" w:sz="4" w:space="0" w:color="auto"/>
              <w:right w:val="single" w:sz="4" w:space="0" w:color="auto"/>
            </w:tcBorders>
            <w:vAlign w:val="center"/>
            <w:hideMark/>
          </w:tcPr>
          <w:p w14:paraId="3D4AA53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4</w:t>
            </w:r>
          </w:p>
        </w:tc>
        <w:tc>
          <w:tcPr>
            <w:tcW w:w="1423" w:type="pct"/>
            <w:tcBorders>
              <w:top w:val="nil"/>
              <w:left w:val="nil"/>
              <w:bottom w:val="single" w:sz="4" w:space="0" w:color="auto"/>
              <w:right w:val="single" w:sz="4" w:space="0" w:color="auto"/>
            </w:tcBorders>
            <w:vAlign w:val="center"/>
            <w:hideMark/>
          </w:tcPr>
          <w:p w14:paraId="73B18BC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proofErr w:type="spellStart"/>
            <w:r w:rsidRPr="00A52898">
              <w:rPr>
                <w:rFonts w:ascii="Times New Roman" w:eastAsia="Times New Roman" w:hAnsi="Times New Roman" w:cs="Times New Roman"/>
                <w:color w:val="000000"/>
                <w:kern w:val="0"/>
                <w:sz w:val="24"/>
                <w:szCs w:val="24"/>
                <w:lang w:eastAsia="en-IN"/>
                <w14:ligatures w14:val="none"/>
              </w:rPr>
              <w:t>Byju’s</w:t>
            </w:r>
            <w:proofErr w:type="spellEnd"/>
            <w:r w:rsidRPr="00A52898">
              <w:rPr>
                <w:rFonts w:ascii="Times New Roman" w:eastAsia="Times New Roman" w:hAnsi="Times New Roman" w:cs="Times New Roman"/>
                <w:color w:val="000000"/>
                <w:kern w:val="0"/>
                <w:sz w:val="24"/>
                <w:szCs w:val="24"/>
                <w:lang w:eastAsia="en-IN"/>
                <w14:ligatures w14:val="none"/>
              </w:rPr>
              <w:t xml:space="preserve">, </w:t>
            </w:r>
            <w:proofErr w:type="spellStart"/>
            <w:r w:rsidRPr="00A52898">
              <w:rPr>
                <w:rFonts w:ascii="Times New Roman" w:eastAsia="Times New Roman" w:hAnsi="Times New Roman" w:cs="Times New Roman"/>
                <w:color w:val="000000"/>
                <w:kern w:val="0"/>
                <w:sz w:val="24"/>
                <w:szCs w:val="24"/>
                <w:lang w:eastAsia="en-IN"/>
                <w14:ligatures w14:val="none"/>
              </w:rPr>
              <w:t>Vedantu</w:t>
            </w:r>
            <w:proofErr w:type="spellEnd"/>
          </w:p>
        </w:tc>
        <w:tc>
          <w:tcPr>
            <w:tcW w:w="508" w:type="pct"/>
            <w:tcBorders>
              <w:top w:val="nil"/>
              <w:left w:val="nil"/>
              <w:bottom w:val="single" w:sz="4" w:space="0" w:color="auto"/>
              <w:right w:val="single" w:sz="4" w:space="0" w:color="auto"/>
            </w:tcBorders>
            <w:vAlign w:val="center"/>
            <w:hideMark/>
          </w:tcPr>
          <w:p w14:paraId="7D4CCFE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06D08CC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education and SDG learning programs</w:t>
            </w:r>
          </w:p>
        </w:tc>
      </w:tr>
      <w:tr w:rsidR="00427003" w:rsidRPr="00A52898" w14:paraId="73569C3B"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207744C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Hospitality &amp; Tourism</w:t>
            </w:r>
          </w:p>
        </w:tc>
        <w:tc>
          <w:tcPr>
            <w:tcW w:w="559" w:type="pct"/>
            <w:tcBorders>
              <w:top w:val="nil"/>
              <w:left w:val="nil"/>
              <w:bottom w:val="single" w:sz="4" w:space="0" w:color="auto"/>
              <w:right w:val="single" w:sz="4" w:space="0" w:color="auto"/>
            </w:tcBorders>
            <w:vAlign w:val="center"/>
            <w:hideMark/>
          </w:tcPr>
          <w:p w14:paraId="1A973A2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8, 12</w:t>
            </w:r>
          </w:p>
        </w:tc>
        <w:tc>
          <w:tcPr>
            <w:tcW w:w="1423" w:type="pct"/>
            <w:tcBorders>
              <w:top w:val="nil"/>
              <w:left w:val="nil"/>
              <w:bottom w:val="single" w:sz="4" w:space="0" w:color="auto"/>
              <w:right w:val="single" w:sz="4" w:space="0" w:color="auto"/>
            </w:tcBorders>
            <w:vAlign w:val="center"/>
            <w:hideMark/>
          </w:tcPr>
          <w:p w14:paraId="369F91B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Indian Hotels (Taj), OYO</w:t>
            </w:r>
          </w:p>
        </w:tc>
        <w:tc>
          <w:tcPr>
            <w:tcW w:w="508" w:type="pct"/>
            <w:tcBorders>
              <w:top w:val="nil"/>
              <w:left w:val="nil"/>
              <w:bottom w:val="single" w:sz="4" w:space="0" w:color="auto"/>
              <w:right w:val="single" w:sz="4" w:space="0" w:color="auto"/>
            </w:tcBorders>
            <w:vAlign w:val="center"/>
            <w:hideMark/>
          </w:tcPr>
          <w:p w14:paraId="22A4CF6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Low–Moderate</w:t>
            </w:r>
          </w:p>
        </w:tc>
        <w:tc>
          <w:tcPr>
            <w:tcW w:w="1597" w:type="pct"/>
            <w:tcBorders>
              <w:top w:val="nil"/>
              <w:left w:val="nil"/>
              <w:bottom w:val="single" w:sz="4" w:space="0" w:color="auto"/>
              <w:right w:val="single" w:sz="4" w:space="0" w:color="auto"/>
            </w:tcBorders>
            <w:vAlign w:val="center"/>
            <w:hideMark/>
          </w:tcPr>
          <w:p w14:paraId="27B55A51"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Eco-tourism and responsible travel promotion</w:t>
            </w:r>
          </w:p>
        </w:tc>
      </w:tr>
      <w:tr w:rsidR="00427003" w:rsidRPr="00A52898" w14:paraId="7D6EBEA7"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5CB4763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 xml:space="preserve">Agriculture &amp; </w:t>
            </w:r>
            <w:proofErr w:type="spellStart"/>
            <w:r w:rsidRPr="00A52898">
              <w:rPr>
                <w:rFonts w:ascii="Times New Roman" w:eastAsia="Times New Roman" w:hAnsi="Times New Roman" w:cs="Times New Roman"/>
                <w:color w:val="000000"/>
                <w:kern w:val="0"/>
                <w:sz w:val="24"/>
                <w:szCs w:val="24"/>
                <w:lang w:eastAsia="en-IN"/>
                <w14:ligatures w14:val="none"/>
              </w:rPr>
              <w:t>AgriTech</w:t>
            </w:r>
            <w:proofErr w:type="spellEnd"/>
          </w:p>
        </w:tc>
        <w:tc>
          <w:tcPr>
            <w:tcW w:w="559" w:type="pct"/>
            <w:tcBorders>
              <w:top w:val="nil"/>
              <w:left w:val="nil"/>
              <w:bottom w:val="single" w:sz="4" w:space="0" w:color="auto"/>
              <w:right w:val="single" w:sz="4" w:space="0" w:color="auto"/>
            </w:tcBorders>
            <w:vAlign w:val="center"/>
            <w:hideMark/>
          </w:tcPr>
          <w:p w14:paraId="12284D0A"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2, 12</w:t>
            </w:r>
          </w:p>
        </w:tc>
        <w:tc>
          <w:tcPr>
            <w:tcW w:w="1423" w:type="pct"/>
            <w:tcBorders>
              <w:top w:val="nil"/>
              <w:left w:val="nil"/>
              <w:bottom w:val="single" w:sz="4" w:space="0" w:color="auto"/>
              <w:right w:val="single" w:sz="4" w:space="0" w:color="auto"/>
            </w:tcBorders>
            <w:vAlign w:val="center"/>
            <w:hideMark/>
          </w:tcPr>
          <w:p w14:paraId="2F20346D"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ITC e-</w:t>
            </w:r>
            <w:proofErr w:type="spellStart"/>
            <w:r w:rsidRPr="00A52898">
              <w:rPr>
                <w:rFonts w:ascii="Times New Roman" w:eastAsia="Times New Roman" w:hAnsi="Times New Roman" w:cs="Times New Roman"/>
                <w:color w:val="000000"/>
                <w:kern w:val="0"/>
                <w:sz w:val="24"/>
                <w:szCs w:val="24"/>
                <w:lang w:eastAsia="en-IN"/>
                <w14:ligatures w14:val="none"/>
              </w:rPr>
              <w:t>Choupal</w:t>
            </w:r>
            <w:proofErr w:type="spellEnd"/>
            <w:r w:rsidRPr="00A52898">
              <w:rPr>
                <w:rFonts w:ascii="Times New Roman" w:eastAsia="Times New Roman" w:hAnsi="Times New Roman" w:cs="Times New Roman"/>
                <w:color w:val="000000"/>
                <w:kern w:val="0"/>
                <w:sz w:val="24"/>
                <w:szCs w:val="24"/>
                <w:lang w:eastAsia="en-IN"/>
                <w14:ligatures w14:val="none"/>
              </w:rPr>
              <w:t xml:space="preserve">, </w:t>
            </w:r>
            <w:proofErr w:type="spellStart"/>
            <w:r w:rsidRPr="00A52898">
              <w:rPr>
                <w:rFonts w:ascii="Times New Roman" w:eastAsia="Times New Roman" w:hAnsi="Times New Roman" w:cs="Times New Roman"/>
                <w:color w:val="000000"/>
                <w:kern w:val="0"/>
                <w:sz w:val="24"/>
                <w:szCs w:val="24"/>
                <w:lang w:eastAsia="en-IN"/>
                <w14:ligatures w14:val="none"/>
              </w:rPr>
              <w:t>DeHaat</w:t>
            </w:r>
            <w:proofErr w:type="spellEnd"/>
          </w:p>
        </w:tc>
        <w:tc>
          <w:tcPr>
            <w:tcW w:w="508" w:type="pct"/>
            <w:tcBorders>
              <w:top w:val="nil"/>
              <w:left w:val="nil"/>
              <w:bottom w:val="single" w:sz="4" w:space="0" w:color="auto"/>
              <w:right w:val="single" w:sz="4" w:space="0" w:color="auto"/>
            </w:tcBorders>
            <w:vAlign w:val="center"/>
            <w:hideMark/>
          </w:tcPr>
          <w:p w14:paraId="0188117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5C13C4B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farmer awareness programs</w:t>
            </w:r>
          </w:p>
        </w:tc>
      </w:tr>
      <w:tr w:rsidR="00427003" w:rsidRPr="00A52898" w14:paraId="5944FB2C"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1C9502F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lastRenderedPageBreak/>
              <w:t>Media &amp; Entertainment</w:t>
            </w:r>
          </w:p>
        </w:tc>
        <w:tc>
          <w:tcPr>
            <w:tcW w:w="559" w:type="pct"/>
            <w:tcBorders>
              <w:top w:val="nil"/>
              <w:left w:val="nil"/>
              <w:bottom w:val="single" w:sz="4" w:space="0" w:color="auto"/>
              <w:right w:val="single" w:sz="4" w:space="0" w:color="auto"/>
            </w:tcBorders>
            <w:vAlign w:val="center"/>
            <w:hideMark/>
          </w:tcPr>
          <w:p w14:paraId="1BA029D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5, 16</w:t>
            </w:r>
          </w:p>
        </w:tc>
        <w:tc>
          <w:tcPr>
            <w:tcW w:w="1423" w:type="pct"/>
            <w:tcBorders>
              <w:top w:val="nil"/>
              <w:left w:val="nil"/>
              <w:bottom w:val="single" w:sz="4" w:space="0" w:color="auto"/>
              <w:right w:val="single" w:sz="4" w:space="0" w:color="auto"/>
            </w:tcBorders>
            <w:vAlign w:val="center"/>
            <w:hideMark/>
          </w:tcPr>
          <w:p w14:paraId="6A719144"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 xml:space="preserve">Zee Media, NDTV </w:t>
            </w:r>
            <w:proofErr w:type="spellStart"/>
            <w:r w:rsidRPr="00A52898">
              <w:rPr>
                <w:rFonts w:ascii="Times New Roman" w:eastAsia="Times New Roman" w:hAnsi="Times New Roman" w:cs="Times New Roman"/>
                <w:color w:val="000000"/>
                <w:kern w:val="0"/>
                <w:sz w:val="24"/>
                <w:szCs w:val="24"/>
                <w:lang w:eastAsia="en-IN"/>
                <w14:ligatures w14:val="none"/>
              </w:rPr>
              <w:t>Greenathon</w:t>
            </w:r>
            <w:proofErr w:type="spellEnd"/>
          </w:p>
        </w:tc>
        <w:tc>
          <w:tcPr>
            <w:tcW w:w="508" w:type="pct"/>
            <w:tcBorders>
              <w:top w:val="nil"/>
              <w:left w:val="nil"/>
              <w:bottom w:val="single" w:sz="4" w:space="0" w:color="auto"/>
              <w:right w:val="single" w:sz="4" w:space="0" w:color="auto"/>
            </w:tcBorders>
            <w:vAlign w:val="center"/>
            <w:hideMark/>
          </w:tcPr>
          <w:p w14:paraId="21DEC315"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Moderate</w:t>
            </w:r>
          </w:p>
        </w:tc>
        <w:tc>
          <w:tcPr>
            <w:tcW w:w="1597" w:type="pct"/>
            <w:tcBorders>
              <w:top w:val="nil"/>
              <w:left w:val="nil"/>
              <w:bottom w:val="single" w:sz="4" w:space="0" w:color="auto"/>
              <w:right w:val="single" w:sz="4" w:space="0" w:color="auto"/>
            </w:tcBorders>
            <w:vAlign w:val="center"/>
            <w:hideMark/>
          </w:tcPr>
          <w:p w14:paraId="79EECD4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Public awareness through YouTube and OTT content</w:t>
            </w:r>
          </w:p>
        </w:tc>
      </w:tr>
      <w:tr w:rsidR="00427003" w:rsidRPr="00A52898" w14:paraId="3A94FA9D" w14:textId="77777777" w:rsidTr="003729D9">
        <w:trPr>
          <w:trHeight w:val="576"/>
        </w:trPr>
        <w:tc>
          <w:tcPr>
            <w:tcW w:w="913" w:type="pct"/>
            <w:tcBorders>
              <w:top w:val="nil"/>
              <w:left w:val="single" w:sz="4" w:space="0" w:color="auto"/>
              <w:bottom w:val="single" w:sz="4" w:space="0" w:color="auto"/>
              <w:right w:val="single" w:sz="4" w:space="0" w:color="auto"/>
            </w:tcBorders>
            <w:vAlign w:val="center"/>
            <w:hideMark/>
          </w:tcPr>
          <w:p w14:paraId="4664A89E"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Telecom</w:t>
            </w:r>
          </w:p>
        </w:tc>
        <w:tc>
          <w:tcPr>
            <w:tcW w:w="559" w:type="pct"/>
            <w:tcBorders>
              <w:top w:val="nil"/>
              <w:left w:val="nil"/>
              <w:bottom w:val="single" w:sz="4" w:space="0" w:color="auto"/>
              <w:right w:val="single" w:sz="4" w:space="0" w:color="auto"/>
            </w:tcBorders>
            <w:vAlign w:val="center"/>
            <w:hideMark/>
          </w:tcPr>
          <w:p w14:paraId="1EA582E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9, 17</w:t>
            </w:r>
          </w:p>
        </w:tc>
        <w:tc>
          <w:tcPr>
            <w:tcW w:w="1423" w:type="pct"/>
            <w:tcBorders>
              <w:top w:val="nil"/>
              <w:left w:val="nil"/>
              <w:bottom w:val="single" w:sz="4" w:space="0" w:color="auto"/>
              <w:right w:val="single" w:sz="4" w:space="0" w:color="auto"/>
            </w:tcBorders>
            <w:vAlign w:val="center"/>
            <w:hideMark/>
          </w:tcPr>
          <w:p w14:paraId="4E9A9E2C"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Jio, Airtel, BSNL</w:t>
            </w:r>
          </w:p>
        </w:tc>
        <w:tc>
          <w:tcPr>
            <w:tcW w:w="508" w:type="pct"/>
            <w:tcBorders>
              <w:top w:val="nil"/>
              <w:left w:val="nil"/>
              <w:bottom w:val="single" w:sz="4" w:space="0" w:color="auto"/>
              <w:right w:val="single" w:sz="4" w:space="0" w:color="auto"/>
            </w:tcBorders>
            <w:vAlign w:val="center"/>
            <w:hideMark/>
          </w:tcPr>
          <w:p w14:paraId="1CB2CCD0"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High</w:t>
            </w:r>
          </w:p>
        </w:tc>
        <w:tc>
          <w:tcPr>
            <w:tcW w:w="1597" w:type="pct"/>
            <w:tcBorders>
              <w:top w:val="nil"/>
              <w:left w:val="nil"/>
              <w:bottom w:val="single" w:sz="4" w:space="0" w:color="auto"/>
              <w:right w:val="single" w:sz="4" w:space="0" w:color="auto"/>
            </w:tcBorders>
            <w:vAlign w:val="center"/>
            <w:hideMark/>
          </w:tcPr>
          <w:p w14:paraId="1267FE5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Digital connectivity for sustainable development messaging</w:t>
            </w:r>
          </w:p>
        </w:tc>
      </w:tr>
      <w:tr w:rsidR="00427003" w:rsidRPr="00A52898" w14:paraId="2D76BE98" w14:textId="77777777" w:rsidTr="003729D9">
        <w:trPr>
          <w:trHeight w:val="288"/>
        </w:trPr>
        <w:tc>
          <w:tcPr>
            <w:tcW w:w="913" w:type="pct"/>
            <w:tcBorders>
              <w:top w:val="nil"/>
              <w:left w:val="single" w:sz="4" w:space="0" w:color="auto"/>
              <w:bottom w:val="single" w:sz="4" w:space="0" w:color="auto"/>
              <w:right w:val="single" w:sz="4" w:space="0" w:color="auto"/>
            </w:tcBorders>
            <w:vAlign w:val="center"/>
            <w:hideMark/>
          </w:tcPr>
          <w:p w14:paraId="005F3CEB"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Real Estate</w:t>
            </w:r>
          </w:p>
        </w:tc>
        <w:tc>
          <w:tcPr>
            <w:tcW w:w="559" w:type="pct"/>
            <w:tcBorders>
              <w:top w:val="nil"/>
              <w:left w:val="nil"/>
              <w:bottom w:val="single" w:sz="4" w:space="0" w:color="auto"/>
              <w:right w:val="single" w:sz="4" w:space="0" w:color="auto"/>
            </w:tcBorders>
            <w:vAlign w:val="center"/>
            <w:hideMark/>
          </w:tcPr>
          <w:p w14:paraId="60B0BBB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SDG 11, 13</w:t>
            </w:r>
          </w:p>
        </w:tc>
        <w:tc>
          <w:tcPr>
            <w:tcW w:w="1423" w:type="pct"/>
            <w:tcBorders>
              <w:top w:val="nil"/>
              <w:left w:val="nil"/>
              <w:bottom w:val="single" w:sz="4" w:space="0" w:color="auto"/>
              <w:right w:val="single" w:sz="4" w:space="0" w:color="auto"/>
            </w:tcBorders>
            <w:vAlign w:val="center"/>
            <w:hideMark/>
          </w:tcPr>
          <w:p w14:paraId="771E4C19"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Godrej Properties, Tata Housing</w:t>
            </w:r>
          </w:p>
        </w:tc>
        <w:tc>
          <w:tcPr>
            <w:tcW w:w="508" w:type="pct"/>
            <w:tcBorders>
              <w:top w:val="nil"/>
              <w:left w:val="nil"/>
              <w:bottom w:val="single" w:sz="4" w:space="0" w:color="auto"/>
              <w:right w:val="single" w:sz="4" w:space="0" w:color="auto"/>
            </w:tcBorders>
            <w:vAlign w:val="center"/>
            <w:hideMark/>
          </w:tcPr>
          <w:p w14:paraId="605A4388"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Low–Moderate</w:t>
            </w:r>
          </w:p>
        </w:tc>
        <w:tc>
          <w:tcPr>
            <w:tcW w:w="1597" w:type="pct"/>
            <w:tcBorders>
              <w:top w:val="nil"/>
              <w:left w:val="nil"/>
              <w:bottom w:val="single" w:sz="4" w:space="0" w:color="auto"/>
              <w:right w:val="single" w:sz="4" w:space="0" w:color="auto"/>
            </w:tcBorders>
            <w:vAlign w:val="center"/>
            <w:hideMark/>
          </w:tcPr>
          <w:p w14:paraId="01DD9A57" w14:textId="77777777" w:rsidR="00427003" w:rsidRPr="00A52898" w:rsidRDefault="00427003" w:rsidP="003729D9">
            <w:pPr>
              <w:spacing w:after="0" w:line="480" w:lineRule="auto"/>
              <w:rPr>
                <w:rFonts w:ascii="Times New Roman" w:eastAsia="Times New Roman" w:hAnsi="Times New Roman" w:cs="Times New Roman"/>
                <w:color w:val="000000"/>
                <w:kern w:val="0"/>
                <w:sz w:val="24"/>
                <w:szCs w:val="24"/>
                <w:lang w:eastAsia="en-IN"/>
                <w14:ligatures w14:val="none"/>
              </w:rPr>
            </w:pPr>
            <w:r w:rsidRPr="00A52898">
              <w:rPr>
                <w:rFonts w:ascii="Times New Roman" w:eastAsia="Times New Roman" w:hAnsi="Times New Roman" w:cs="Times New Roman"/>
                <w:color w:val="000000"/>
                <w:kern w:val="0"/>
                <w:sz w:val="24"/>
                <w:szCs w:val="24"/>
                <w:lang w:eastAsia="en-IN"/>
                <w14:ligatures w14:val="none"/>
              </w:rPr>
              <w:t>Online promotion of green building projects</w:t>
            </w:r>
          </w:p>
        </w:tc>
      </w:tr>
    </w:tbl>
    <w:p w14:paraId="3F7A8F88" w14:textId="77777777" w:rsidR="00427003" w:rsidRPr="00A52898" w:rsidRDefault="00427003" w:rsidP="00427003">
      <w:pPr>
        <w:rPr>
          <w:rFonts w:ascii="Times New Roman" w:hAnsi="Times New Roman" w:cs="Times New Roman"/>
          <w:i/>
          <w:iCs/>
          <w:sz w:val="24"/>
          <w:szCs w:val="24"/>
        </w:rPr>
      </w:pPr>
      <w:r w:rsidRPr="00A52898">
        <w:rPr>
          <w:rFonts w:ascii="Times New Roman" w:hAnsi="Times New Roman" w:cs="Times New Roman"/>
          <w:i/>
          <w:iCs/>
          <w:sz w:val="24"/>
          <w:szCs w:val="24"/>
        </w:rPr>
        <w:t>Source:</w:t>
      </w:r>
      <w:r w:rsidRPr="00A52898">
        <w:rPr>
          <w:rFonts w:ascii="Times New Roman" w:eastAsia="Times New Roman" w:hAnsi="Times New Roman" w:cs="Times New Roman"/>
          <w:kern w:val="0"/>
          <w:sz w:val="24"/>
          <w:szCs w:val="24"/>
          <w:lang w:eastAsia="en-IN"/>
          <w14:ligatures w14:val="none"/>
        </w:rPr>
        <w:t xml:space="preserve"> </w:t>
      </w:r>
      <w:r w:rsidRPr="00A52898">
        <w:rPr>
          <w:rFonts w:ascii="Times New Roman" w:hAnsi="Times New Roman" w:cs="Times New Roman"/>
          <w:i/>
          <w:iCs/>
          <w:sz w:val="24"/>
          <w:szCs w:val="24"/>
        </w:rPr>
        <w:t>Compiled from industry reports, NITI Aayog’s SDG India Index, sectoral sustainability disclosures, and official websites of respective industry associations (2020–2024).</w:t>
      </w:r>
    </w:p>
    <w:p w14:paraId="5BE13BBB" w14:textId="1D197662" w:rsidR="00427003" w:rsidRPr="00A52898" w:rsidRDefault="001C5F13" w:rsidP="004270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427003" w:rsidRPr="003A226E">
        <w:rPr>
          <w:rFonts w:ascii="Times New Roman" w:hAnsi="Times New Roman" w:cs="Times New Roman"/>
          <w:sz w:val="24"/>
          <w:szCs w:val="24"/>
          <w:highlight w:val="yellow"/>
        </w:rPr>
        <w:t>Table 4</w:t>
      </w:r>
      <w:r>
        <w:rPr>
          <w:rFonts w:ascii="Times New Roman" w:hAnsi="Times New Roman" w:cs="Times New Roman"/>
          <w:sz w:val="24"/>
          <w:szCs w:val="24"/>
          <w:highlight w:val="yellow"/>
        </w:rPr>
        <w:t>,</w:t>
      </w:r>
      <w:r w:rsidR="00427003" w:rsidRPr="003A226E">
        <w:rPr>
          <w:rFonts w:ascii="Times New Roman" w:hAnsi="Times New Roman" w:cs="Times New Roman"/>
          <w:sz w:val="24"/>
          <w:szCs w:val="24"/>
          <w:highlight w:val="yellow"/>
        </w:rPr>
        <w:t xml:space="preserve"> sectoral</w:t>
      </w:r>
      <w:r w:rsidR="00427003" w:rsidRPr="00A52898">
        <w:rPr>
          <w:rFonts w:ascii="Times New Roman" w:hAnsi="Times New Roman" w:cs="Times New Roman"/>
          <w:sz w:val="24"/>
          <w:szCs w:val="24"/>
        </w:rPr>
        <w:t xml:space="preserve"> analysis highlights that SDG integration in digital marketing varies across industries in India, reflecting their operational priorities and sustainability focus. The energy and infrastructure sectors prominently align with SDG 7 (Affordable and Clean Energy) and SDG 13 (Climate Action), using digital platforms to promote renewable energy and green technologies. The FMCG and retail sectors emphasize SDG 12 (Responsible Consumption and Production) and SDG 5 (Gender Equality), leveraging campaigns that encourage sustainable consumption and </w:t>
      </w:r>
      <w:r w:rsidR="00427003" w:rsidRPr="003A226E">
        <w:rPr>
          <w:rFonts w:ascii="Times New Roman" w:hAnsi="Times New Roman" w:cs="Times New Roman"/>
          <w:sz w:val="24"/>
          <w:szCs w:val="24"/>
          <w:highlight w:val="yellow"/>
        </w:rPr>
        <w:t>women</w:t>
      </w:r>
      <w:r w:rsidRPr="003A226E">
        <w:rPr>
          <w:rFonts w:ascii="Times New Roman" w:hAnsi="Times New Roman" w:cs="Times New Roman"/>
          <w:sz w:val="24"/>
          <w:szCs w:val="24"/>
          <w:highlight w:val="yellow"/>
        </w:rPr>
        <w:t>'s</w:t>
      </w:r>
      <w:r w:rsidR="00427003" w:rsidRPr="003A226E">
        <w:rPr>
          <w:rFonts w:ascii="Times New Roman" w:hAnsi="Times New Roman" w:cs="Times New Roman"/>
          <w:sz w:val="24"/>
          <w:szCs w:val="24"/>
          <w:highlight w:val="yellow"/>
        </w:rPr>
        <w:t xml:space="preserve"> empo</w:t>
      </w:r>
      <w:r w:rsidR="00427003" w:rsidRPr="00A52898">
        <w:rPr>
          <w:rFonts w:ascii="Times New Roman" w:hAnsi="Times New Roman" w:cs="Times New Roman"/>
          <w:sz w:val="24"/>
          <w:szCs w:val="24"/>
        </w:rPr>
        <w:t>werment. Information technology and telecom companies integrate SDG 9 (Industry, Innovation, and Infrastructure) and SDG 8 (Decent Work and Economic Growth) through digital inclusion and innovation-driven branding. The banking and financial sector focuses on SDG 8 and SDG 10 (Reduced Inequalities), promoting financial literacy and inclusive growth via digital outreach. Meanwhile, the healthcare and pharmaceutical sectors align with SDG 3 (Good Health and Well-being) and SDG 9, using digital storytelling to spread awareness about accessible healthcare. Overall, the analysis indicates that Indian industries increasingly recognize digital marketing as a strategic enabler of SDG achievement and corporate sustainability communication.</w:t>
      </w:r>
    </w:p>
    <w:p w14:paraId="6ABD6147" w14:textId="77777777" w:rsidR="00427003" w:rsidRPr="00A52898" w:rsidRDefault="00427003" w:rsidP="00427003">
      <w:pPr>
        <w:rPr>
          <w:rFonts w:ascii="Times New Roman" w:hAnsi="Times New Roman" w:cs="Times New Roman"/>
          <w:i/>
          <w:iCs/>
          <w:sz w:val="24"/>
          <w:szCs w:val="24"/>
        </w:rPr>
        <w:sectPr w:rsidR="00427003" w:rsidRPr="00A52898" w:rsidSect="00427003">
          <w:pgSz w:w="16838" w:h="11906" w:orient="landscape"/>
          <w:pgMar w:top="1276" w:right="1440" w:bottom="1135" w:left="1440" w:header="708" w:footer="708" w:gutter="0"/>
          <w:cols w:space="708"/>
          <w:docGrid w:linePitch="360"/>
        </w:sectPr>
      </w:pPr>
    </w:p>
    <w:p w14:paraId="7E49D3A8" w14:textId="77777777" w:rsidR="00427003" w:rsidRPr="00A52898" w:rsidRDefault="00427003" w:rsidP="00427003">
      <w:pPr>
        <w:pStyle w:val="ListParagraph"/>
        <w:numPr>
          <w:ilvl w:val="0"/>
          <w:numId w:val="3"/>
        </w:numPr>
        <w:spacing w:line="480" w:lineRule="auto"/>
        <w:rPr>
          <w:rFonts w:ascii="Times New Roman" w:hAnsi="Times New Roman" w:cs="Times New Roman"/>
          <w:b/>
          <w:bCs/>
          <w:sz w:val="24"/>
          <w:szCs w:val="24"/>
        </w:rPr>
      </w:pPr>
      <w:r w:rsidRPr="00A52898">
        <w:rPr>
          <w:rFonts w:ascii="Times New Roman" w:hAnsi="Times New Roman" w:cs="Times New Roman"/>
          <w:b/>
          <w:bCs/>
          <w:sz w:val="24"/>
          <w:szCs w:val="24"/>
        </w:rPr>
        <w:lastRenderedPageBreak/>
        <w:t>Findings and Suggestions</w:t>
      </w:r>
    </w:p>
    <w:p w14:paraId="7149BF53" w14:textId="77777777" w:rsidR="00427003" w:rsidRPr="00A52898" w:rsidRDefault="00427003" w:rsidP="00427003">
      <w:pPr>
        <w:spacing w:line="480" w:lineRule="auto"/>
        <w:ind w:firstLine="720"/>
        <w:rPr>
          <w:rFonts w:ascii="Times New Roman" w:hAnsi="Times New Roman" w:cs="Times New Roman"/>
          <w:sz w:val="24"/>
          <w:szCs w:val="24"/>
        </w:rPr>
      </w:pPr>
      <w:r w:rsidRPr="00A52898">
        <w:rPr>
          <w:rFonts w:ascii="Times New Roman" w:hAnsi="Times New Roman" w:cs="Times New Roman"/>
          <w:sz w:val="24"/>
          <w:szCs w:val="24"/>
        </w:rPr>
        <w:t>The following are the key findings and Suggestions of the study:</w:t>
      </w:r>
    </w:p>
    <w:p w14:paraId="353DD78D"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Most leading Indian companies have integrated multiple SDGs within their digital marketing approaches, particularly SDG 12 (Responsible Consumption and Production) and SDG 13 (Climate Action).</w:t>
      </w:r>
    </w:p>
    <w:p w14:paraId="20831491"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Companies use social media initiatives, influencer collaborations, and digital storytelling to communicate sustainability goals effectively.</w:t>
      </w:r>
    </w:p>
    <w:p w14:paraId="5FB8B81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FMCG, energy, and technology sectors are the top performers in linking sustainability with brand promotion.</w:t>
      </w:r>
    </w:p>
    <w:p w14:paraId="4C7A699F"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 xml:space="preserve">Digital campaigns such as </w:t>
      </w:r>
      <w:r w:rsidRPr="00A52898">
        <w:rPr>
          <w:rFonts w:ascii="Times New Roman" w:hAnsi="Times New Roman" w:cs="Times New Roman"/>
          <w:i/>
          <w:iCs/>
          <w:sz w:val="24"/>
          <w:szCs w:val="24"/>
        </w:rPr>
        <w:t>“Project Shakti,” “Switch to Green Energy,”</w:t>
      </w:r>
      <w:r w:rsidRPr="00A52898">
        <w:rPr>
          <w:rFonts w:ascii="Times New Roman" w:hAnsi="Times New Roman" w:cs="Times New Roman"/>
          <w:sz w:val="24"/>
          <w:szCs w:val="24"/>
        </w:rPr>
        <w:t xml:space="preserve"> and </w:t>
      </w:r>
      <w:r w:rsidRPr="00A52898">
        <w:rPr>
          <w:rFonts w:ascii="Times New Roman" w:hAnsi="Times New Roman" w:cs="Times New Roman"/>
          <w:i/>
          <w:iCs/>
          <w:sz w:val="24"/>
          <w:szCs w:val="24"/>
        </w:rPr>
        <w:t>“Flipkart Green”</w:t>
      </w:r>
      <w:r w:rsidRPr="00A52898">
        <w:rPr>
          <w:rFonts w:ascii="Times New Roman" w:hAnsi="Times New Roman" w:cs="Times New Roman"/>
          <w:sz w:val="24"/>
          <w:szCs w:val="24"/>
        </w:rPr>
        <w:t xml:space="preserve"> have strengthened brand reputation and public awareness.</w:t>
      </w:r>
    </w:p>
    <w:p w14:paraId="0F32E5DC"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SDG integration in digital marketing contributes not only to social and environmental objectives but also to enhanced consumer engagement and corporate image.</w:t>
      </w:r>
    </w:p>
    <w:p w14:paraId="2EA8EE6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Energy and infrastructure sectors focus on clean energy (SDG 7) and climate action (SDG 13) through renewable energy campaigns.</w:t>
      </w:r>
    </w:p>
    <w:p w14:paraId="21CDE7B1"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FMCG and retail sectors emphasize responsible production (SDG 12) and gender equality (SDG 5) via eco-friendly and empowerment-driven promotions.</w:t>
      </w:r>
    </w:p>
    <w:p w14:paraId="733E2CB7"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IT and telecom industries highlight innovation (SDG 9) and economic growth (SDG 8) through digital inclusion initiatives.</w:t>
      </w:r>
    </w:p>
    <w:p w14:paraId="33466A42" w14:textId="77777777" w:rsidR="00427003" w:rsidRPr="00A52898" w:rsidRDefault="00427003" w:rsidP="00427003">
      <w:pPr>
        <w:numPr>
          <w:ilvl w:val="0"/>
          <w:numId w:val="6"/>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Banking and financial services integrate financial inclusion (SDG 8, SDG 10) in digital outreach programs.</w:t>
      </w:r>
    </w:p>
    <w:p w14:paraId="2F673088" w14:textId="77777777" w:rsidR="00427003" w:rsidRPr="00A52898" w:rsidRDefault="00427003" w:rsidP="00427003">
      <w:pPr>
        <w:pStyle w:val="ListParagraph"/>
        <w:numPr>
          <w:ilvl w:val="0"/>
          <w:numId w:val="5"/>
        </w:numPr>
        <w:spacing w:line="480" w:lineRule="auto"/>
        <w:rPr>
          <w:rFonts w:ascii="Times New Roman" w:hAnsi="Times New Roman" w:cs="Times New Roman"/>
          <w:b/>
          <w:bCs/>
          <w:sz w:val="24"/>
          <w:szCs w:val="24"/>
        </w:rPr>
      </w:pPr>
      <w:r w:rsidRPr="00A52898">
        <w:rPr>
          <w:rFonts w:ascii="Times New Roman" w:hAnsi="Times New Roman" w:cs="Times New Roman"/>
          <w:b/>
          <w:bCs/>
          <w:sz w:val="24"/>
          <w:szCs w:val="24"/>
        </w:rPr>
        <w:t>Suggestions</w:t>
      </w:r>
    </w:p>
    <w:p w14:paraId="24BDA0FB"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lastRenderedPageBreak/>
        <w:t>Use social media campaigns to raise awareness about India’s SDG initiatives, educating citizens on sustainability and inclusive growth.</w:t>
      </w:r>
    </w:p>
    <w:p w14:paraId="19D59347"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Leverage influencer marketing to promote responsible consumption, renewable energy, gender equality, and climate action messages.</w:t>
      </w:r>
    </w:p>
    <w:p w14:paraId="317FD952"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Utilize data analytics and AI to target digital campaigns effectively, ensuring SDG messaging reaches relevant demographic groups.</w:t>
      </w:r>
    </w:p>
    <w:p w14:paraId="10C0E00E"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Develop interactive digital content like videos, infographics, quizzes, webinars—to engage audiences on SDG-related behaviors.</w:t>
      </w:r>
    </w:p>
    <w:p w14:paraId="52603494"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Promote corporate adoption of SDGs through digital storytelling, highlighting CSR initiatives and sustainable business practices.</w:t>
      </w:r>
    </w:p>
    <w:p w14:paraId="4FCDF425"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Encourage citizen participation in SDG campaigns via mobile apps, gamification, challenges, and user-generated content.</w:t>
      </w:r>
    </w:p>
    <w:p w14:paraId="2B1C1C3D"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Integrate SDG messaging into e-commerce, online advertising, and brand campaigns to promote sustainable products and practices.</w:t>
      </w:r>
    </w:p>
    <w:p w14:paraId="7074201B"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Run localized digital campaigns in regional languages to ensure awareness and action across rural and semi-urban India.</w:t>
      </w:r>
    </w:p>
    <w:p w14:paraId="3200A4BE"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Track campaign performance using KPIs like engagement, reach, and behavioural change to optimize SDG-focused digital strategies.</w:t>
      </w:r>
    </w:p>
    <w:p w14:paraId="5DBCED74" w14:textId="77777777" w:rsidR="00427003" w:rsidRPr="00A52898" w:rsidRDefault="00427003" w:rsidP="00427003">
      <w:pPr>
        <w:pStyle w:val="NoSpacing"/>
        <w:numPr>
          <w:ilvl w:val="0"/>
          <w:numId w:val="1"/>
        </w:numPr>
        <w:spacing w:line="480" w:lineRule="auto"/>
        <w:jc w:val="both"/>
        <w:rPr>
          <w:rFonts w:ascii="Times New Roman" w:hAnsi="Times New Roman" w:cs="Times New Roman"/>
          <w:sz w:val="24"/>
          <w:szCs w:val="24"/>
        </w:rPr>
      </w:pPr>
      <w:r w:rsidRPr="00A52898">
        <w:rPr>
          <w:rFonts w:ascii="Times New Roman" w:hAnsi="Times New Roman" w:cs="Times New Roman"/>
          <w:sz w:val="24"/>
          <w:szCs w:val="24"/>
        </w:rPr>
        <w:t>Foster public-private partnerships through online platforms to share knowledge, fund initiatives, and amplify SDG impact.</w:t>
      </w:r>
    </w:p>
    <w:p w14:paraId="33EE7294" w14:textId="77777777" w:rsidR="00427003" w:rsidRPr="00A52898" w:rsidRDefault="00427003" w:rsidP="00427003">
      <w:pPr>
        <w:pStyle w:val="NoSpacing"/>
        <w:numPr>
          <w:ilvl w:val="0"/>
          <w:numId w:val="3"/>
        </w:numPr>
        <w:spacing w:line="36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Conclusion</w:t>
      </w:r>
    </w:p>
    <w:p w14:paraId="5DAE5FC5" w14:textId="53291AB7" w:rsidR="00427003" w:rsidRDefault="00427003" w:rsidP="00427003">
      <w:pPr>
        <w:pStyle w:val="NoSpacing"/>
        <w:spacing w:line="360" w:lineRule="auto"/>
        <w:ind w:left="360"/>
        <w:jc w:val="both"/>
        <w:rPr>
          <w:rFonts w:ascii="Times New Roman" w:hAnsi="Times New Roman" w:cs="Times New Roman"/>
          <w:sz w:val="24"/>
          <w:szCs w:val="24"/>
        </w:rPr>
      </w:pPr>
      <w:r w:rsidRPr="00A52898">
        <w:rPr>
          <w:rFonts w:ascii="Times New Roman" w:hAnsi="Times New Roman" w:cs="Times New Roman"/>
          <w:sz w:val="24"/>
          <w:szCs w:val="24"/>
        </w:rPr>
        <w:t xml:space="preserve"> The research finds</w:t>
      </w:r>
      <w:r w:rsidRPr="00A52898">
        <w:t xml:space="preserve"> </w:t>
      </w:r>
      <w:r w:rsidRPr="00A52898">
        <w:rPr>
          <w:rFonts w:ascii="Times New Roman" w:hAnsi="Times New Roman" w:cs="Times New Roman"/>
          <w:sz w:val="24"/>
          <w:szCs w:val="24"/>
        </w:rPr>
        <w:t xml:space="preserve">that the integration of Sustainable Development Goals (SDGs) into digital marketing strategies in India has evolved from a peripheral activity to a core component of corporate communication and branding. Companies across diverse </w:t>
      </w:r>
      <w:r w:rsidRPr="003A226E">
        <w:rPr>
          <w:rFonts w:ascii="Times New Roman" w:hAnsi="Times New Roman" w:cs="Times New Roman"/>
          <w:sz w:val="24"/>
          <w:szCs w:val="24"/>
          <w:highlight w:val="yellow"/>
        </w:rPr>
        <w:t>sectors</w:t>
      </w:r>
      <w:r w:rsidR="001C5F13" w:rsidRPr="003A226E">
        <w:rPr>
          <w:rFonts w:ascii="Times New Roman" w:hAnsi="Times New Roman" w:cs="Times New Roman"/>
          <w:sz w:val="24"/>
          <w:szCs w:val="24"/>
          <w:highlight w:val="yellow"/>
        </w:rPr>
        <w:t>,</w:t>
      </w:r>
      <w:r w:rsidRPr="003A226E">
        <w:rPr>
          <w:rFonts w:ascii="Times New Roman" w:hAnsi="Times New Roman" w:cs="Times New Roman"/>
          <w:sz w:val="24"/>
          <w:szCs w:val="24"/>
          <w:highlight w:val="yellow"/>
        </w:rPr>
        <w:t xml:space="preserve"> incl</w:t>
      </w:r>
      <w:r w:rsidRPr="00A52898">
        <w:rPr>
          <w:rFonts w:ascii="Times New Roman" w:hAnsi="Times New Roman" w:cs="Times New Roman"/>
          <w:sz w:val="24"/>
          <w:szCs w:val="24"/>
        </w:rPr>
        <w:t>uding energy, FMCG, information technology, and e-commerce</w:t>
      </w:r>
      <w:r w:rsidR="001C5F13">
        <w:rPr>
          <w:rFonts w:ascii="Times New Roman" w:hAnsi="Times New Roman" w:cs="Times New Roman"/>
          <w:sz w:val="24"/>
          <w:szCs w:val="24"/>
        </w:rPr>
        <w:t>,</w:t>
      </w:r>
      <w:r w:rsidRPr="00A52898">
        <w:rPr>
          <w:rFonts w:ascii="Times New Roman" w:hAnsi="Times New Roman" w:cs="Times New Roman"/>
          <w:sz w:val="24"/>
          <w:szCs w:val="24"/>
        </w:rPr>
        <w:t xml:space="preserve"> </w:t>
      </w:r>
      <w:r w:rsidRPr="003A226E">
        <w:rPr>
          <w:rFonts w:ascii="Times New Roman" w:hAnsi="Times New Roman" w:cs="Times New Roman"/>
          <w:sz w:val="24"/>
          <w:szCs w:val="24"/>
          <w:highlight w:val="yellow"/>
        </w:rPr>
        <w:t xml:space="preserve">increasingly align their digital </w:t>
      </w:r>
      <w:r w:rsidRPr="00A52898">
        <w:rPr>
          <w:rFonts w:ascii="Times New Roman" w:hAnsi="Times New Roman" w:cs="Times New Roman"/>
          <w:sz w:val="24"/>
          <w:szCs w:val="24"/>
        </w:rPr>
        <w:t xml:space="preserve">campaigns with global sustainability priorities such as clean energy, responsible consumption, gender equality, and climate action. This alignment not </w:t>
      </w:r>
      <w:r w:rsidRPr="003A226E">
        <w:rPr>
          <w:rFonts w:ascii="Times New Roman" w:hAnsi="Times New Roman" w:cs="Times New Roman"/>
          <w:sz w:val="24"/>
          <w:szCs w:val="24"/>
          <w:highlight w:val="yellow"/>
        </w:rPr>
        <w:t>only strengthen</w:t>
      </w:r>
      <w:r w:rsidR="001C5F13" w:rsidRPr="003A226E">
        <w:rPr>
          <w:rFonts w:ascii="Times New Roman" w:hAnsi="Times New Roman" w:cs="Times New Roman"/>
          <w:sz w:val="24"/>
          <w:szCs w:val="24"/>
          <w:highlight w:val="yellow"/>
        </w:rPr>
        <w:t>s</w:t>
      </w:r>
      <w:r w:rsidRPr="003A226E">
        <w:rPr>
          <w:rFonts w:ascii="Times New Roman" w:hAnsi="Times New Roman" w:cs="Times New Roman"/>
          <w:sz w:val="24"/>
          <w:szCs w:val="24"/>
          <w:highlight w:val="yellow"/>
        </w:rPr>
        <w:t xml:space="preserve"> brand </w:t>
      </w:r>
      <w:r w:rsidRPr="00A52898">
        <w:rPr>
          <w:rFonts w:ascii="Times New Roman" w:hAnsi="Times New Roman" w:cs="Times New Roman"/>
          <w:sz w:val="24"/>
          <w:szCs w:val="24"/>
        </w:rPr>
        <w:t xml:space="preserve">credibility and </w:t>
      </w:r>
      <w:r w:rsidRPr="00A52898">
        <w:rPr>
          <w:rFonts w:ascii="Times New Roman" w:hAnsi="Times New Roman" w:cs="Times New Roman"/>
          <w:sz w:val="24"/>
          <w:szCs w:val="24"/>
        </w:rPr>
        <w:lastRenderedPageBreak/>
        <w:t xml:space="preserve">consumer trust but also supports India’s national sustainability commitments. The findings highlight that industries like FMCG, IT, and renewable energy demonstrate stronger SDG integration compared to conventional manufacturing sectors. Moreover, digital marketing has evolved into a powerful enabler of awareness and behavioural change towards sustainability. </w:t>
      </w:r>
      <w:bookmarkStart w:id="2" w:name="_Hlk219908310"/>
      <w:r w:rsidRPr="00A52898">
        <w:rPr>
          <w:rFonts w:ascii="Times New Roman" w:hAnsi="Times New Roman" w:cs="Times New Roman"/>
          <w:sz w:val="24"/>
          <w:szCs w:val="24"/>
        </w:rPr>
        <w:t>The study underscores the growing synergy between corporate responsibility and digital innovation, emphasizing the potential of digital platforms in accelerating India’s progress toward achieving the SDGs by 2030.</w:t>
      </w:r>
      <w:bookmarkEnd w:id="2"/>
    </w:p>
    <w:p w14:paraId="6AF2C19C" w14:textId="4818AD65" w:rsidR="001C5F13" w:rsidRDefault="001C5F13" w:rsidP="00427003">
      <w:pPr>
        <w:pStyle w:val="NoSpacing"/>
        <w:spacing w:line="360" w:lineRule="auto"/>
        <w:ind w:left="360"/>
        <w:jc w:val="both"/>
      </w:pPr>
    </w:p>
    <w:p w14:paraId="7FAD4C84" w14:textId="77777777" w:rsidR="001C5F13" w:rsidRPr="003A226E" w:rsidRDefault="001C5F13" w:rsidP="001C5F13">
      <w:pPr>
        <w:rPr>
          <w:b/>
          <w:highlight w:val="yellow"/>
        </w:rPr>
      </w:pPr>
      <w:r w:rsidRPr="003A226E">
        <w:rPr>
          <w:b/>
          <w:highlight w:val="yellow"/>
        </w:rPr>
        <w:t>Disclaimer (Artificial intelligence)</w:t>
      </w:r>
    </w:p>
    <w:p w14:paraId="398750E1" w14:textId="77777777" w:rsidR="001C5F13" w:rsidRDefault="001C5F13" w:rsidP="001C5F13">
      <w:r w:rsidRPr="003A226E">
        <w:rPr>
          <w:highlight w:val="yellow"/>
        </w:rPr>
        <w:t>Author(s) hereby declare that NO generative AI technologies such as Large Language Models (</w:t>
      </w:r>
      <w:proofErr w:type="spellStart"/>
      <w:r w:rsidRPr="003A226E">
        <w:rPr>
          <w:highlight w:val="yellow"/>
        </w:rPr>
        <w:t>ChatGPT</w:t>
      </w:r>
      <w:proofErr w:type="spellEnd"/>
      <w:r w:rsidRPr="003A226E">
        <w:rPr>
          <w:highlight w:val="yellow"/>
        </w:rPr>
        <w:t>, COPILOT, etc.) and text-to-image generators have been used during the writing or editing of this manuscript.</w:t>
      </w:r>
      <w:r>
        <w:t xml:space="preserve"> </w:t>
      </w:r>
    </w:p>
    <w:p w14:paraId="75C0C75E" w14:textId="77777777" w:rsidR="001C5F13" w:rsidRDefault="001C5F13" w:rsidP="00427003">
      <w:pPr>
        <w:pStyle w:val="NoSpacing"/>
        <w:spacing w:line="360" w:lineRule="auto"/>
        <w:ind w:left="360"/>
        <w:jc w:val="both"/>
      </w:pPr>
    </w:p>
    <w:p w14:paraId="09C519DA" w14:textId="697D7E29" w:rsidR="001C5F13" w:rsidRDefault="001C5F13" w:rsidP="00427003">
      <w:pPr>
        <w:pStyle w:val="NoSpacing"/>
        <w:spacing w:line="360" w:lineRule="auto"/>
        <w:ind w:left="360"/>
        <w:jc w:val="both"/>
      </w:pPr>
    </w:p>
    <w:p w14:paraId="0E5DCD0E" w14:textId="77777777" w:rsidR="001C5F13" w:rsidRPr="00A52898" w:rsidRDefault="001C5F13" w:rsidP="00427003">
      <w:pPr>
        <w:pStyle w:val="NoSpacing"/>
        <w:spacing w:line="360" w:lineRule="auto"/>
        <w:ind w:left="360"/>
        <w:jc w:val="both"/>
      </w:pPr>
    </w:p>
    <w:p w14:paraId="059CF7C4" w14:textId="77777777" w:rsidR="00427003" w:rsidRPr="00A52898" w:rsidRDefault="00427003" w:rsidP="00427003">
      <w:pPr>
        <w:pStyle w:val="NoSpacing"/>
        <w:numPr>
          <w:ilvl w:val="0"/>
          <w:numId w:val="3"/>
        </w:numPr>
        <w:spacing w:line="360" w:lineRule="auto"/>
        <w:jc w:val="both"/>
        <w:rPr>
          <w:rFonts w:ascii="Times New Roman" w:hAnsi="Times New Roman" w:cs="Times New Roman"/>
          <w:b/>
          <w:bCs/>
          <w:sz w:val="24"/>
          <w:szCs w:val="24"/>
        </w:rPr>
      </w:pPr>
      <w:r w:rsidRPr="00A52898">
        <w:rPr>
          <w:rFonts w:ascii="Times New Roman" w:hAnsi="Times New Roman" w:cs="Times New Roman"/>
          <w:b/>
          <w:bCs/>
          <w:sz w:val="24"/>
          <w:szCs w:val="24"/>
        </w:rPr>
        <w:t>References:</w:t>
      </w:r>
    </w:p>
    <w:p w14:paraId="71D9BC98"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 xml:space="preserve">Singh, S., &amp; Pandey, L. (2023). </w:t>
      </w:r>
      <w:r w:rsidRPr="00A52898">
        <w:rPr>
          <w:rFonts w:ascii="Times New Roman" w:hAnsi="Times New Roman" w:cs="Times New Roman"/>
          <w:sz w:val="24"/>
          <w:szCs w:val="24"/>
        </w:rPr>
        <w:t>Impact of Sustainable Development Goals on sustainable marketing practices. Optimization: Journal of Research in Management, 15(1), 59–64.</w:t>
      </w:r>
    </w:p>
    <w:p w14:paraId="4924FB5E"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proofErr w:type="spellStart"/>
      <w:r w:rsidRPr="00A52898">
        <w:rPr>
          <w:rFonts w:ascii="Times New Roman" w:hAnsi="Times New Roman" w:cs="Times New Roman"/>
          <w:b/>
          <w:bCs/>
          <w:sz w:val="24"/>
          <w:szCs w:val="24"/>
        </w:rPr>
        <w:t>Surjani</w:t>
      </w:r>
      <w:proofErr w:type="spellEnd"/>
      <w:r w:rsidRPr="00A52898">
        <w:rPr>
          <w:rFonts w:ascii="Times New Roman" w:hAnsi="Times New Roman" w:cs="Times New Roman"/>
          <w:b/>
          <w:bCs/>
          <w:sz w:val="24"/>
          <w:szCs w:val="24"/>
        </w:rPr>
        <w:t>, J., &amp; Dangi, K. (2023).</w:t>
      </w:r>
      <w:r w:rsidRPr="00A52898">
        <w:rPr>
          <w:rFonts w:ascii="Times New Roman" w:hAnsi="Times New Roman" w:cs="Times New Roman"/>
          <w:sz w:val="24"/>
          <w:szCs w:val="24"/>
        </w:rPr>
        <w:t xml:space="preserve"> The role of advertising in advancing Sustainable Development Goals: An exploratory study of strategies and impact. Maharaja </w:t>
      </w:r>
      <w:proofErr w:type="spellStart"/>
      <w:r w:rsidRPr="00A52898">
        <w:rPr>
          <w:rFonts w:ascii="Times New Roman" w:hAnsi="Times New Roman" w:cs="Times New Roman"/>
          <w:sz w:val="24"/>
          <w:szCs w:val="24"/>
        </w:rPr>
        <w:t>Chhatrasal</w:t>
      </w:r>
      <w:proofErr w:type="spellEnd"/>
      <w:r w:rsidRPr="00A52898">
        <w:rPr>
          <w:rFonts w:ascii="Times New Roman" w:hAnsi="Times New Roman" w:cs="Times New Roman"/>
          <w:sz w:val="24"/>
          <w:szCs w:val="24"/>
        </w:rPr>
        <w:t xml:space="preserve"> University Journal of Management and Social Sciences, 5(2), 112–126.</w:t>
      </w:r>
    </w:p>
    <w:p w14:paraId="2ACC319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Nambiar, J. P. (2025).</w:t>
      </w:r>
      <w:r w:rsidRPr="00A52898">
        <w:rPr>
          <w:rFonts w:ascii="Times New Roman" w:hAnsi="Times New Roman" w:cs="Times New Roman"/>
          <w:sz w:val="24"/>
          <w:szCs w:val="24"/>
        </w:rPr>
        <w:t xml:space="preserve"> Digital marketing strategies for sustainable development: Leveraging technology for achieving the UN Sustainable Development Goals. ResearchGate.https://www.researchgate.net/publication/392546114_Digital_marketing_strategies_for_sustainable_development_Leveraging_technology_for_achieving_the_UN_sustainable_development_goals.</w:t>
      </w:r>
    </w:p>
    <w:p w14:paraId="7696818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b/>
          <w:bCs/>
          <w:sz w:val="24"/>
          <w:szCs w:val="24"/>
        </w:rPr>
        <w:t>Singh, P., &amp; Singh, S. (2024).</w:t>
      </w:r>
      <w:r w:rsidRPr="00A52898">
        <w:rPr>
          <w:rFonts w:ascii="Times New Roman" w:hAnsi="Times New Roman" w:cs="Times New Roman"/>
          <w:sz w:val="24"/>
          <w:szCs w:val="24"/>
        </w:rPr>
        <w:t xml:space="preserve"> Understanding social media application for Sustainable Development Goals. International Journal of Research - GRANTHAALAYAH, 12(7), 109–127. </w:t>
      </w:r>
      <w:hyperlink r:id="rId14" w:history="1">
        <w:r w:rsidRPr="00A52898">
          <w:rPr>
            <w:rStyle w:val="Hyperlink"/>
            <w:rFonts w:ascii="Times New Roman" w:hAnsi="Times New Roman" w:cs="Times New Roman"/>
            <w:color w:val="auto"/>
            <w:sz w:val="24"/>
            <w:szCs w:val="24"/>
            <w:u w:val="none"/>
          </w:rPr>
          <w:t>https://doi.org/10.29121/granthaalayah.v12.i7.2024.5691</w:t>
        </w:r>
      </w:hyperlink>
    </w:p>
    <w:p w14:paraId="06F33F68"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United Nations. (2015). Transforming our world: The 2030 Agenda for Sustainable Development. United Nations. https://sdgs.un.org/goals.</w:t>
      </w:r>
    </w:p>
    <w:p w14:paraId="3CD430E7"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Ministry of Statistics and Programme Implementation. (2025). Sustainable Development Goals – National Indicator Framework, 2025. Government of India.</w:t>
      </w:r>
    </w:p>
    <w:p w14:paraId="3364E9A2"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lastRenderedPageBreak/>
        <w:t>NITI Aayog. (2025). Voluntary National Review Report – India 2025. Government of India. https://www.niti.gov.in/sites/default/files/2025-08/india-voluntary-national-review.pdf.</w:t>
      </w:r>
    </w:p>
    <w:p w14:paraId="4163ABEA" w14:textId="77777777" w:rsidR="00427003" w:rsidRPr="00A52898"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NITI Aayog (2025), United Nations Statistics Division (2025), and company sustainability &amp; CSR portals (Tata Power, ITC Ltd., Infosys, HUL, Mahindra Group, Reliance Industries, etc.).</w:t>
      </w:r>
    </w:p>
    <w:p w14:paraId="619A1256" w14:textId="145F6164" w:rsidR="005E3D6C" w:rsidRDefault="00427003" w:rsidP="00427003">
      <w:pPr>
        <w:pStyle w:val="ListParagraph"/>
        <w:numPr>
          <w:ilvl w:val="0"/>
          <w:numId w:val="2"/>
        </w:numPr>
        <w:spacing w:line="360" w:lineRule="auto"/>
        <w:jc w:val="both"/>
        <w:rPr>
          <w:rFonts w:ascii="Times New Roman" w:hAnsi="Times New Roman" w:cs="Times New Roman"/>
          <w:sz w:val="24"/>
          <w:szCs w:val="24"/>
        </w:rPr>
      </w:pPr>
      <w:r w:rsidRPr="00A52898">
        <w:rPr>
          <w:rFonts w:ascii="Times New Roman" w:hAnsi="Times New Roman" w:cs="Times New Roman"/>
          <w:sz w:val="24"/>
          <w:szCs w:val="24"/>
        </w:rPr>
        <w:t>Company sustainability reports, official corporate websites, Business Responsibility and Sustainability Reports (BRSR), and NITI Aayog’s SDG India Index (2020–2024).</w:t>
      </w:r>
    </w:p>
    <w:p w14:paraId="7EC5677D" w14:textId="77777777" w:rsidR="006409EC" w:rsidRPr="003A226E" w:rsidRDefault="006409EC" w:rsidP="006409EC">
      <w:pPr>
        <w:pStyle w:val="ListParagraph"/>
        <w:numPr>
          <w:ilvl w:val="0"/>
          <w:numId w:val="2"/>
        </w:numPr>
        <w:spacing w:before="150" w:after="150" w:line="240" w:lineRule="auto"/>
        <w:rPr>
          <w:rFonts w:ascii="inherit" w:eastAsia="Times New Roman" w:hAnsi="inherit" w:cs="Helvetica"/>
          <w:color w:val="222222"/>
          <w:kern w:val="0"/>
          <w:sz w:val="18"/>
          <w:szCs w:val="18"/>
          <w:highlight w:val="yellow"/>
          <w:lang w:val="en-US"/>
          <w14:ligatures w14:val="none"/>
        </w:rPr>
      </w:pPr>
      <w:proofErr w:type="spellStart"/>
      <w:r w:rsidRPr="003A226E">
        <w:rPr>
          <w:rFonts w:ascii="inherit" w:eastAsia="Times New Roman" w:hAnsi="inherit" w:cs="Helvetica"/>
          <w:color w:val="222222"/>
          <w:kern w:val="0"/>
          <w:sz w:val="18"/>
          <w:szCs w:val="18"/>
          <w:highlight w:val="yellow"/>
          <w:lang w:val="en-US"/>
          <w14:ligatures w14:val="none"/>
        </w:rPr>
        <w:t>Boza</w:t>
      </w:r>
      <w:proofErr w:type="spellEnd"/>
      <w:r w:rsidRPr="003A226E">
        <w:rPr>
          <w:rFonts w:ascii="inherit" w:eastAsia="Times New Roman" w:hAnsi="inherit" w:cs="Helvetica"/>
          <w:color w:val="222222"/>
          <w:kern w:val="0"/>
          <w:sz w:val="18"/>
          <w:szCs w:val="18"/>
          <w:highlight w:val="yellow"/>
          <w:lang w:val="en-US"/>
          <w14:ligatures w14:val="none"/>
        </w:rPr>
        <w:t xml:space="preserve">, E., </w:t>
      </w:r>
      <w:proofErr w:type="spellStart"/>
      <w:r w:rsidRPr="003A226E">
        <w:rPr>
          <w:rFonts w:ascii="inherit" w:eastAsia="Times New Roman" w:hAnsi="inherit" w:cs="Helvetica"/>
          <w:color w:val="222222"/>
          <w:kern w:val="0"/>
          <w:sz w:val="18"/>
          <w:szCs w:val="18"/>
          <w:highlight w:val="yellow"/>
          <w:lang w:val="en-US"/>
          <w14:ligatures w14:val="none"/>
        </w:rPr>
        <w:t>Kilipiri</w:t>
      </w:r>
      <w:proofErr w:type="spellEnd"/>
      <w:r w:rsidRPr="003A226E">
        <w:rPr>
          <w:rFonts w:ascii="inherit" w:eastAsia="Times New Roman" w:hAnsi="inherit" w:cs="Helvetica"/>
          <w:color w:val="222222"/>
          <w:kern w:val="0"/>
          <w:sz w:val="18"/>
          <w:szCs w:val="18"/>
          <w:highlight w:val="yellow"/>
          <w:lang w:val="en-US"/>
          <w14:ligatures w14:val="none"/>
        </w:rPr>
        <w:t xml:space="preserve">, E., &amp; </w:t>
      </w:r>
      <w:proofErr w:type="spellStart"/>
      <w:r w:rsidRPr="003A226E">
        <w:rPr>
          <w:rFonts w:ascii="inherit" w:eastAsia="Times New Roman" w:hAnsi="inherit" w:cs="Helvetica"/>
          <w:color w:val="222222"/>
          <w:kern w:val="0"/>
          <w:sz w:val="18"/>
          <w:szCs w:val="18"/>
          <w:highlight w:val="yellow"/>
          <w:lang w:val="en-US"/>
          <w14:ligatures w14:val="none"/>
        </w:rPr>
        <w:t>Papaioannou</w:t>
      </w:r>
      <w:proofErr w:type="spellEnd"/>
      <w:r w:rsidRPr="003A226E">
        <w:rPr>
          <w:rFonts w:ascii="inherit" w:eastAsia="Times New Roman" w:hAnsi="inherit" w:cs="Helvetica"/>
          <w:color w:val="222222"/>
          <w:kern w:val="0"/>
          <w:sz w:val="18"/>
          <w:szCs w:val="18"/>
          <w:highlight w:val="yellow"/>
          <w:lang w:val="en-US"/>
          <w14:ligatures w14:val="none"/>
        </w:rPr>
        <w:t>, E. (2024). Integrating Sustainability into an Organizational Marketing Strategy: A Systematic Literature Review. </w:t>
      </w:r>
      <w:r w:rsidRPr="003A226E">
        <w:rPr>
          <w:rFonts w:ascii="inherit" w:eastAsia="Times New Roman" w:hAnsi="inherit" w:cs="Helvetica"/>
          <w:i/>
          <w:iCs/>
          <w:color w:val="222222"/>
          <w:kern w:val="0"/>
          <w:sz w:val="18"/>
          <w:szCs w:val="18"/>
          <w:highlight w:val="yellow"/>
          <w:lang w:val="en-US"/>
          <w14:ligatures w14:val="none"/>
        </w:rPr>
        <w:t>Proceedings</w:t>
      </w:r>
      <w:r w:rsidRPr="003A226E">
        <w:rPr>
          <w:rFonts w:ascii="inherit" w:eastAsia="Times New Roman" w:hAnsi="inherit" w:cs="Helvetica"/>
          <w:color w:val="222222"/>
          <w:kern w:val="0"/>
          <w:sz w:val="18"/>
          <w:szCs w:val="18"/>
          <w:highlight w:val="yellow"/>
          <w:lang w:val="en-US"/>
          <w14:ligatures w14:val="none"/>
        </w:rPr>
        <w:t>, </w:t>
      </w:r>
      <w:r w:rsidRPr="003A226E">
        <w:rPr>
          <w:rFonts w:ascii="inherit" w:eastAsia="Times New Roman" w:hAnsi="inherit" w:cs="Helvetica"/>
          <w:i/>
          <w:iCs/>
          <w:color w:val="222222"/>
          <w:kern w:val="0"/>
          <w:sz w:val="18"/>
          <w:szCs w:val="18"/>
          <w:highlight w:val="yellow"/>
          <w:lang w:val="en-US"/>
          <w14:ligatures w14:val="none"/>
        </w:rPr>
        <w:t>111</w:t>
      </w:r>
      <w:r w:rsidRPr="003A226E">
        <w:rPr>
          <w:rFonts w:ascii="inherit" w:eastAsia="Times New Roman" w:hAnsi="inherit" w:cs="Helvetica"/>
          <w:color w:val="222222"/>
          <w:kern w:val="0"/>
          <w:sz w:val="18"/>
          <w:szCs w:val="18"/>
          <w:highlight w:val="yellow"/>
          <w:lang w:val="en-US"/>
          <w14:ligatures w14:val="none"/>
        </w:rPr>
        <w:t>(1), 23. https://doi.org/10.3390/proceedings2024111023</w:t>
      </w:r>
    </w:p>
    <w:p w14:paraId="2019B503" w14:textId="6FFC702C" w:rsidR="00660ED8" w:rsidRDefault="00660ED8" w:rsidP="00660ED8">
      <w:pPr>
        <w:pStyle w:val="c-bibliographic-informationcitation"/>
        <w:numPr>
          <w:ilvl w:val="0"/>
          <w:numId w:val="2"/>
        </w:numPr>
        <w:shd w:val="clear" w:color="auto" w:fill="FFFFFF"/>
        <w:spacing w:before="0" w:beforeAutospacing="0" w:after="240" w:afterAutospacing="0"/>
        <w:rPr>
          <w:rFonts w:ascii="Helvetica" w:hAnsi="Helvetica" w:cs="Helvetica"/>
          <w:color w:val="222222"/>
          <w:sz w:val="20"/>
          <w:highlight w:val="yellow"/>
        </w:rPr>
      </w:pPr>
      <w:proofErr w:type="spellStart"/>
      <w:r w:rsidRPr="003A226E">
        <w:rPr>
          <w:rFonts w:ascii="Helvetica" w:hAnsi="Helvetica" w:cs="Helvetica"/>
          <w:color w:val="222222"/>
          <w:sz w:val="20"/>
          <w:highlight w:val="yellow"/>
        </w:rPr>
        <w:t>Alshaketheep</w:t>
      </w:r>
      <w:proofErr w:type="spellEnd"/>
      <w:r w:rsidRPr="003A226E">
        <w:rPr>
          <w:rFonts w:ascii="Helvetica" w:hAnsi="Helvetica" w:cs="Helvetica"/>
          <w:color w:val="222222"/>
          <w:sz w:val="20"/>
          <w:highlight w:val="yellow"/>
        </w:rPr>
        <w:t xml:space="preserve">, K., Mansour, A., </w:t>
      </w:r>
      <w:proofErr w:type="spellStart"/>
      <w:r w:rsidRPr="003A226E">
        <w:rPr>
          <w:rFonts w:ascii="Helvetica" w:hAnsi="Helvetica" w:cs="Helvetica"/>
          <w:color w:val="222222"/>
          <w:sz w:val="20"/>
          <w:highlight w:val="yellow"/>
        </w:rPr>
        <w:t>Deek</w:t>
      </w:r>
      <w:proofErr w:type="spellEnd"/>
      <w:r w:rsidRPr="003A226E">
        <w:rPr>
          <w:rFonts w:ascii="Helvetica" w:hAnsi="Helvetica" w:cs="Helvetica"/>
          <w:color w:val="222222"/>
          <w:sz w:val="20"/>
          <w:highlight w:val="yellow"/>
        </w:rPr>
        <w:t>, A. </w:t>
      </w:r>
      <w:r w:rsidRPr="003A226E">
        <w:rPr>
          <w:rFonts w:ascii="Helvetica" w:hAnsi="Helvetica" w:cs="Helvetica"/>
          <w:i/>
          <w:iCs/>
          <w:color w:val="222222"/>
          <w:sz w:val="20"/>
          <w:highlight w:val="yellow"/>
        </w:rPr>
        <w:t>et al.</w:t>
      </w:r>
      <w:r w:rsidRPr="003A226E">
        <w:rPr>
          <w:rFonts w:ascii="Helvetica" w:hAnsi="Helvetica" w:cs="Helvetica"/>
          <w:color w:val="222222"/>
          <w:sz w:val="20"/>
          <w:highlight w:val="yellow"/>
        </w:rPr>
        <w:t> Innovative digital marketing for promoting SDG 2030 knowledge in Jordanian universities in the Middle East. </w:t>
      </w:r>
      <w:proofErr w:type="spellStart"/>
      <w:r w:rsidRPr="003A226E">
        <w:rPr>
          <w:rFonts w:ascii="Helvetica" w:hAnsi="Helvetica" w:cs="Helvetica"/>
          <w:i/>
          <w:iCs/>
          <w:color w:val="222222"/>
          <w:sz w:val="20"/>
          <w:highlight w:val="yellow"/>
        </w:rPr>
        <w:t>Discov</w:t>
      </w:r>
      <w:proofErr w:type="spellEnd"/>
      <w:r w:rsidRPr="003A226E">
        <w:rPr>
          <w:rFonts w:ascii="Helvetica" w:hAnsi="Helvetica" w:cs="Helvetica"/>
          <w:i/>
          <w:iCs/>
          <w:color w:val="222222"/>
          <w:sz w:val="20"/>
          <w:highlight w:val="yellow"/>
        </w:rPr>
        <w:t xml:space="preserve"> Sustain</w:t>
      </w:r>
      <w:r w:rsidRPr="003A226E">
        <w:rPr>
          <w:rFonts w:ascii="Helvetica" w:hAnsi="Helvetica" w:cs="Helvetica"/>
          <w:color w:val="222222"/>
          <w:sz w:val="20"/>
          <w:highlight w:val="yellow"/>
        </w:rPr>
        <w:t> </w:t>
      </w:r>
      <w:r w:rsidRPr="003A226E">
        <w:rPr>
          <w:rFonts w:ascii="Helvetica" w:hAnsi="Helvetica" w:cs="Helvetica"/>
          <w:b/>
          <w:bCs/>
          <w:color w:val="222222"/>
          <w:sz w:val="20"/>
          <w:highlight w:val="yellow"/>
        </w:rPr>
        <w:t>5</w:t>
      </w:r>
      <w:r w:rsidRPr="003A226E">
        <w:rPr>
          <w:rFonts w:ascii="Helvetica" w:hAnsi="Helvetica" w:cs="Helvetica"/>
          <w:color w:val="222222"/>
          <w:sz w:val="20"/>
          <w:highlight w:val="yellow"/>
        </w:rPr>
        <w:t xml:space="preserve">, 219 (2024). </w:t>
      </w:r>
      <w:hyperlink r:id="rId15" w:history="1">
        <w:r w:rsidRPr="003A226E">
          <w:rPr>
            <w:rStyle w:val="Hyperlink"/>
            <w:rFonts w:ascii="Helvetica" w:hAnsi="Helvetica" w:cs="Helvetica"/>
            <w:sz w:val="20"/>
            <w:highlight w:val="yellow"/>
          </w:rPr>
          <w:t>https://doi.org/10.1007/s43621-024-00419-8</w:t>
        </w:r>
      </w:hyperlink>
    </w:p>
    <w:p w14:paraId="330F3475" w14:textId="77777777" w:rsidR="00660ED8" w:rsidRPr="003A226E" w:rsidRDefault="00660ED8" w:rsidP="00660ED8">
      <w:pPr>
        <w:pStyle w:val="ListParagraph"/>
        <w:numPr>
          <w:ilvl w:val="0"/>
          <w:numId w:val="2"/>
        </w:numPr>
        <w:shd w:val="clear" w:color="auto" w:fill="FFFFFF"/>
        <w:spacing w:after="0" w:line="240" w:lineRule="auto"/>
        <w:rPr>
          <w:rFonts w:ascii="Arial" w:eastAsia="Times New Roman" w:hAnsi="Arial" w:cs="Arial"/>
          <w:color w:val="333333"/>
          <w:kern w:val="0"/>
          <w:sz w:val="18"/>
          <w:szCs w:val="27"/>
          <w:highlight w:val="yellow"/>
          <w:lang w:val="en-US"/>
          <w14:ligatures w14:val="none"/>
        </w:rPr>
      </w:pPr>
      <w:proofErr w:type="spellStart"/>
      <w:r w:rsidRPr="003A226E">
        <w:rPr>
          <w:rFonts w:ascii="Arial" w:eastAsia="Times New Roman" w:hAnsi="Arial" w:cs="Arial"/>
          <w:color w:val="333333"/>
          <w:kern w:val="0"/>
          <w:sz w:val="18"/>
          <w:szCs w:val="27"/>
          <w:highlight w:val="yellow"/>
          <w:lang w:val="en-US"/>
          <w14:ligatures w14:val="none"/>
        </w:rPr>
        <w:t>Wardhana</w:t>
      </w:r>
      <w:proofErr w:type="spellEnd"/>
      <w:r w:rsidRPr="003A226E">
        <w:rPr>
          <w:rFonts w:ascii="Arial" w:eastAsia="Times New Roman" w:hAnsi="Arial" w:cs="Arial"/>
          <w:color w:val="333333"/>
          <w:kern w:val="0"/>
          <w:sz w:val="18"/>
          <w:szCs w:val="27"/>
          <w:highlight w:val="yellow"/>
          <w:lang w:val="en-US"/>
          <w14:ligatures w14:val="none"/>
        </w:rPr>
        <w:t xml:space="preserve"> </w:t>
      </w:r>
      <w:proofErr w:type="spellStart"/>
      <w:r w:rsidRPr="003A226E">
        <w:rPr>
          <w:rFonts w:ascii="Arial" w:eastAsia="Times New Roman" w:hAnsi="Arial" w:cs="Arial"/>
          <w:color w:val="333333"/>
          <w:kern w:val="0"/>
          <w:sz w:val="18"/>
          <w:szCs w:val="27"/>
          <w:highlight w:val="yellow"/>
          <w:lang w:val="en-US"/>
          <w14:ligatures w14:val="none"/>
        </w:rPr>
        <w:t>Haeruddin</w:t>
      </w:r>
      <w:proofErr w:type="spellEnd"/>
      <w:r w:rsidRPr="003A226E">
        <w:rPr>
          <w:rFonts w:ascii="Arial" w:eastAsia="Times New Roman" w:hAnsi="Arial" w:cs="Arial"/>
          <w:color w:val="333333"/>
          <w:kern w:val="0"/>
          <w:sz w:val="18"/>
          <w:szCs w:val="27"/>
          <w:highlight w:val="yellow"/>
          <w:lang w:val="en-US"/>
          <w14:ligatures w14:val="none"/>
        </w:rPr>
        <w:t xml:space="preserve">, Muhammad Ilham, </w:t>
      </w:r>
      <w:proofErr w:type="spellStart"/>
      <w:r w:rsidRPr="003A226E">
        <w:rPr>
          <w:rFonts w:ascii="Arial" w:eastAsia="Times New Roman" w:hAnsi="Arial" w:cs="Arial"/>
          <w:color w:val="333333"/>
          <w:kern w:val="0"/>
          <w:sz w:val="18"/>
          <w:szCs w:val="27"/>
          <w:highlight w:val="yellow"/>
          <w:lang w:val="en-US"/>
          <w14:ligatures w14:val="none"/>
        </w:rPr>
        <w:t>Hasnidar</w:t>
      </w:r>
      <w:proofErr w:type="spellEnd"/>
      <w:r w:rsidRPr="003A226E">
        <w:rPr>
          <w:rFonts w:ascii="Arial" w:eastAsia="Times New Roman" w:hAnsi="Arial" w:cs="Arial"/>
          <w:color w:val="333333"/>
          <w:kern w:val="0"/>
          <w:sz w:val="18"/>
          <w:szCs w:val="27"/>
          <w:highlight w:val="yellow"/>
          <w:lang w:val="en-US"/>
          <w14:ligatures w14:val="none"/>
        </w:rPr>
        <w:t xml:space="preserve">, and </w:t>
      </w:r>
      <w:proofErr w:type="spellStart"/>
      <w:r w:rsidRPr="003A226E">
        <w:rPr>
          <w:rFonts w:ascii="Arial" w:eastAsia="Times New Roman" w:hAnsi="Arial" w:cs="Arial"/>
          <w:color w:val="333333"/>
          <w:kern w:val="0"/>
          <w:sz w:val="18"/>
          <w:szCs w:val="27"/>
          <w:highlight w:val="yellow"/>
          <w:lang w:val="en-US"/>
          <w14:ligatures w14:val="none"/>
        </w:rPr>
        <w:t>Ushwa</w:t>
      </w:r>
      <w:proofErr w:type="spellEnd"/>
      <w:r w:rsidRPr="003A226E">
        <w:rPr>
          <w:rFonts w:ascii="Arial" w:eastAsia="Times New Roman" w:hAnsi="Arial" w:cs="Arial"/>
          <w:color w:val="333333"/>
          <w:kern w:val="0"/>
          <w:sz w:val="18"/>
          <w:szCs w:val="27"/>
          <w:highlight w:val="yellow"/>
          <w:lang w:val="en-US"/>
          <w14:ligatures w14:val="none"/>
        </w:rPr>
        <w:t xml:space="preserve"> </w:t>
      </w:r>
      <w:proofErr w:type="spellStart"/>
      <w:r w:rsidRPr="003A226E">
        <w:rPr>
          <w:rFonts w:ascii="Arial" w:eastAsia="Times New Roman" w:hAnsi="Arial" w:cs="Arial"/>
          <w:color w:val="333333"/>
          <w:kern w:val="0"/>
          <w:sz w:val="18"/>
          <w:szCs w:val="27"/>
          <w:highlight w:val="yellow"/>
          <w:lang w:val="en-US"/>
          <w14:ligatures w14:val="none"/>
        </w:rPr>
        <w:t>Dwi</w:t>
      </w:r>
      <w:proofErr w:type="spellEnd"/>
      <w:r w:rsidRPr="003A226E">
        <w:rPr>
          <w:rFonts w:ascii="Arial" w:eastAsia="Times New Roman" w:hAnsi="Arial" w:cs="Arial"/>
          <w:color w:val="333333"/>
          <w:kern w:val="0"/>
          <w:sz w:val="18"/>
          <w:szCs w:val="27"/>
          <w:highlight w:val="yellow"/>
          <w:lang w:val="en-US"/>
          <w14:ligatures w14:val="none"/>
        </w:rPr>
        <w:t xml:space="preserve"> </w:t>
      </w:r>
      <w:proofErr w:type="spellStart"/>
      <w:r w:rsidRPr="003A226E">
        <w:rPr>
          <w:rFonts w:ascii="Arial" w:eastAsia="Times New Roman" w:hAnsi="Arial" w:cs="Arial"/>
          <w:color w:val="333333"/>
          <w:kern w:val="0"/>
          <w:sz w:val="18"/>
          <w:szCs w:val="27"/>
          <w:highlight w:val="yellow"/>
          <w:lang w:val="en-US"/>
          <w14:ligatures w14:val="none"/>
        </w:rPr>
        <w:t>Masrurah</w:t>
      </w:r>
      <w:proofErr w:type="spellEnd"/>
      <w:r w:rsidRPr="003A226E">
        <w:rPr>
          <w:rFonts w:ascii="Arial" w:eastAsia="Times New Roman" w:hAnsi="Arial" w:cs="Arial"/>
          <w:color w:val="333333"/>
          <w:kern w:val="0"/>
          <w:sz w:val="18"/>
          <w:szCs w:val="27"/>
          <w:highlight w:val="yellow"/>
          <w:lang w:val="en-US"/>
          <w14:ligatures w14:val="none"/>
        </w:rPr>
        <w:t xml:space="preserve"> Arifin Bando. 2025. “The Role of Digital Marketing in Shaping Purchase Intention: A Study of Gen Z Consumers in Makassar”. </w:t>
      </w:r>
      <w:r w:rsidRPr="003A226E">
        <w:rPr>
          <w:rFonts w:ascii="Arial" w:eastAsia="Times New Roman" w:hAnsi="Arial" w:cs="Arial"/>
          <w:i/>
          <w:iCs/>
          <w:color w:val="333333"/>
          <w:kern w:val="0"/>
          <w:sz w:val="18"/>
          <w:szCs w:val="27"/>
          <w:highlight w:val="yellow"/>
          <w:lang w:val="en-US"/>
          <w14:ligatures w14:val="none"/>
        </w:rPr>
        <w:t>Asian Journal of Education and Social Studies</w:t>
      </w:r>
      <w:r w:rsidRPr="003A226E">
        <w:rPr>
          <w:rFonts w:ascii="Arial" w:eastAsia="Times New Roman" w:hAnsi="Arial" w:cs="Arial"/>
          <w:color w:val="333333"/>
          <w:kern w:val="0"/>
          <w:sz w:val="18"/>
          <w:szCs w:val="27"/>
          <w:highlight w:val="yellow"/>
          <w:lang w:val="en-US"/>
          <w14:ligatures w14:val="none"/>
        </w:rPr>
        <w:t> 51 (10):1422-31. https://doi.org/10.9734/ajess/2025/v51i102581.</w:t>
      </w:r>
    </w:p>
    <w:p w14:paraId="1C92CFF5" w14:textId="77777777" w:rsidR="001C5F13" w:rsidRPr="003A226E" w:rsidRDefault="001C5F13" w:rsidP="001C5F13">
      <w:pPr>
        <w:pStyle w:val="ListParagraph"/>
        <w:numPr>
          <w:ilvl w:val="0"/>
          <w:numId w:val="2"/>
        </w:numPr>
        <w:shd w:val="clear" w:color="auto" w:fill="FFFFFF"/>
        <w:spacing w:after="0" w:line="240" w:lineRule="auto"/>
        <w:rPr>
          <w:rFonts w:ascii="Arial" w:eastAsia="Times New Roman" w:hAnsi="Arial" w:cs="Arial"/>
          <w:color w:val="333333"/>
          <w:kern w:val="0"/>
          <w:sz w:val="20"/>
          <w:szCs w:val="27"/>
          <w:highlight w:val="yellow"/>
          <w:lang w:val="en-US"/>
          <w14:ligatures w14:val="none"/>
        </w:rPr>
      </w:pPr>
      <w:proofErr w:type="spellStart"/>
      <w:r w:rsidRPr="003A226E">
        <w:rPr>
          <w:rFonts w:ascii="Arial" w:eastAsia="Times New Roman" w:hAnsi="Arial" w:cs="Arial"/>
          <w:color w:val="333333"/>
          <w:kern w:val="0"/>
          <w:sz w:val="20"/>
          <w:szCs w:val="27"/>
          <w:highlight w:val="yellow"/>
          <w:lang w:val="en-US"/>
          <w14:ligatures w14:val="none"/>
        </w:rPr>
        <w:t>Ovuakporaye</w:t>
      </w:r>
      <w:proofErr w:type="spellEnd"/>
      <w:r w:rsidRPr="003A226E">
        <w:rPr>
          <w:rFonts w:ascii="Arial" w:eastAsia="Times New Roman" w:hAnsi="Arial" w:cs="Arial"/>
          <w:color w:val="333333"/>
          <w:kern w:val="0"/>
          <w:sz w:val="20"/>
          <w:szCs w:val="27"/>
          <w:highlight w:val="yellow"/>
          <w:lang w:val="en-US"/>
          <w14:ligatures w14:val="none"/>
        </w:rPr>
        <w:t xml:space="preserve">, </w:t>
      </w:r>
      <w:proofErr w:type="gramStart"/>
      <w:r w:rsidRPr="003A226E">
        <w:rPr>
          <w:rFonts w:ascii="Arial" w:eastAsia="Times New Roman" w:hAnsi="Arial" w:cs="Arial"/>
          <w:color w:val="333333"/>
          <w:kern w:val="0"/>
          <w:sz w:val="20"/>
          <w:szCs w:val="27"/>
          <w:highlight w:val="yellow"/>
          <w:lang w:val="en-US"/>
          <w14:ligatures w14:val="none"/>
        </w:rPr>
        <w:t>Kenneth,.</w:t>
      </w:r>
      <w:proofErr w:type="gramEnd"/>
      <w:r w:rsidRPr="003A226E">
        <w:rPr>
          <w:rFonts w:ascii="Arial" w:eastAsia="Times New Roman" w:hAnsi="Arial" w:cs="Arial"/>
          <w:color w:val="333333"/>
          <w:kern w:val="0"/>
          <w:sz w:val="20"/>
          <w:szCs w:val="27"/>
          <w:highlight w:val="yellow"/>
          <w:lang w:val="en-US"/>
          <w14:ligatures w14:val="none"/>
        </w:rPr>
        <w:t xml:space="preserve"> 2022. “The Impact, Comparison and Usefulness of Digital Marketing Communications Tools on Organizational Profit Maximization Using Facebook”. </w:t>
      </w:r>
      <w:r w:rsidRPr="003A226E">
        <w:rPr>
          <w:rFonts w:ascii="Arial" w:eastAsia="Times New Roman" w:hAnsi="Arial" w:cs="Arial"/>
          <w:i/>
          <w:iCs/>
          <w:color w:val="333333"/>
          <w:kern w:val="0"/>
          <w:sz w:val="20"/>
          <w:szCs w:val="27"/>
          <w:highlight w:val="yellow"/>
          <w:lang w:val="en-US"/>
          <w14:ligatures w14:val="none"/>
        </w:rPr>
        <w:t>Asian Journal of Research in Computer Science</w:t>
      </w:r>
      <w:r w:rsidRPr="003A226E">
        <w:rPr>
          <w:rFonts w:ascii="Arial" w:eastAsia="Times New Roman" w:hAnsi="Arial" w:cs="Arial"/>
          <w:color w:val="333333"/>
          <w:kern w:val="0"/>
          <w:sz w:val="20"/>
          <w:szCs w:val="27"/>
          <w:highlight w:val="yellow"/>
          <w:lang w:val="en-US"/>
          <w14:ligatures w14:val="none"/>
        </w:rPr>
        <w:t> 13 (4):46-64. https://doi.org/10.9734/ajrcos/2022/v13i430321.</w:t>
      </w:r>
    </w:p>
    <w:p w14:paraId="4B899D6F" w14:textId="77777777" w:rsidR="00660ED8" w:rsidRPr="003A226E" w:rsidRDefault="00660ED8" w:rsidP="00660ED8">
      <w:pPr>
        <w:pStyle w:val="c-bibliographic-informationcitation"/>
        <w:numPr>
          <w:ilvl w:val="0"/>
          <w:numId w:val="2"/>
        </w:numPr>
        <w:shd w:val="clear" w:color="auto" w:fill="FFFFFF"/>
        <w:spacing w:before="0" w:beforeAutospacing="0" w:after="240" w:afterAutospacing="0"/>
        <w:rPr>
          <w:rFonts w:ascii="Helvetica" w:hAnsi="Helvetica" w:cs="Helvetica"/>
          <w:color w:val="222222"/>
          <w:sz w:val="20"/>
          <w:highlight w:val="yellow"/>
        </w:rPr>
      </w:pPr>
    </w:p>
    <w:p w14:paraId="2A27EB28" w14:textId="77777777" w:rsidR="006409EC" w:rsidRPr="00A52898" w:rsidRDefault="006409EC" w:rsidP="00427003">
      <w:pPr>
        <w:pStyle w:val="ListParagraph"/>
        <w:numPr>
          <w:ilvl w:val="0"/>
          <w:numId w:val="2"/>
        </w:numPr>
        <w:spacing w:line="360" w:lineRule="auto"/>
        <w:jc w:val="both"/>
        <w:rPr>
          <w:rFonts w:ascii="Times New Roman" w:hAnsi="Times New Roman" w:cs="Times New Roman"/>
          <w:sz w:val="24"/>
          <w:szCs w:val="24"/>
        </w:rPr>
      </w:pPr>
    </w:p>
    <w:sectPr w:rsidR="006409EC" w:rsidRPr="00A52898" w:rsidSect="00427003">
      <w:pgSz w:w="11906" w:h="16838"/>
      <w:pgMar w:top="1440" w:right="1440"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8FEE5" w14:textId="77777777" w:rsidR="00F24AF4" w:rsidRDefault="00F24AF4" w:rsidP="000B7DBD">
      <w:pPr>
        <w:spacing w:after="0" w:line="240" w:lineRule="auto"/>
      </w:pPr>
      <w:r>
        <w:separator/>
      </w:r>
    </w:p>
  </w:endnote>
  <w:endnote w:type="continuationSeparator" w:id="0">
    <w:p w14:paraId="3B6E0115" w14:textId="77777777" w:rsidR="00F24AF4" w:rsidRDefault="00F24AF4" w:rsidP="000B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D53F" w14:textId="77777777" w:rsidR="000B7DBD" w:rsidRDefault="000B7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7B2E" w14:textId="77777777" w:rsidR="000B7DBD" w:rsidRDefault="000B7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C356" w14:textId="77777777" w:rsidR="000B7DBD" w:rsidRDefault="000B7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AEA9B" w14:textId="77777777" w:rsidR="00F24AF4" w:rsidRDefault="00F24AF4" w:rsidP="000B7DBD">
      <w:pPr>
        <w:spacing w:after="0" w:line="240" w:lineRule="auto"/>
      </w:pPr>
      <w:r>
        <w:separator/>
      </w:r>
    </w:p>
  </w:footnote>
  <w:footnote w:type="continuationSeparator" w:id="0">
    <w:p w14:paraId="6D3F7D47" w14:textId="77777777" w:rsidR="00F24AF4" w:rsidRDefault="00F24AF4" w:rsidP="000B7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995AB" w14:textId="533CBD53" w:rsidR="000B7DBD" w:rsidRDefault="00F24AF4">
    <w:pPr>
      <w:pStyle w:val="Header"/>
    </w:pPr>
    <w:r>
      <w:rPr>
        <w:noProof/>
      </w:rPr>
      <w:pict w14:anchorId="590FE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DF3A" w14:textId="78C749EE" w:rsidR="000B7DBD" w:rsidRDefault="00F24AF4">
    <w:pPr>
      <w:pStyle w:val="Header"/>
    </w:pPr>
    <w:r>
      <w:rPr>
        <w:noProof/>
      </w:rPr>
      <w:pict w14:anchorId="74BC5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E2E9" w14:textId="106C3AE1" w:rsidR="000B7DBD" w:rsidRDefault="00F24AF4">
    <w:pPr>
      <w:pStyle w:val="Header"/>
    </w:pPr>
    <w:r>
      <w:rPr>
        <w:noProof/>
      </w:rPr>
      <w:pict w14:anchorId="658DE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5797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11E"/>
    <w:multiLevelType w:val="multilevel"/>
    <w:tmpl w:val="827AE61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E5590"/>
    <w:multiLevelType w:val="hybridMultilevel"/>
    <w:tmpl w:val="4B3A5392"/>
    <w:lvl w:ilvl="0" w:tplc="16F2C01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E31495"/>
    <w:multiLevelType w:val="hybridMultilevel"/>
    <w:tmpl w:val="8AB4B05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33718B"/>
    <w:multiLevelType w:val="multilevel"/>
    <w:tmpl w:val="E81AB11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8584D"/>
    <w:multiLevelType w:val="multilevel"/>
    <w:tmpl w:val="2690D9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B531E7"/>
    <w:multiLevelType w:val="hybridMultilevel"/>
    <w:tmpl w:val="B13CBF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0MDM3NDI3tLA0NTdT0lEKTi0uzszPAykwrAUArsrF8ywAAAA="/>
  </w:docVars>
  <w:rsids>
    <w:rsidRoot w:val="00427003"/>
    <w:rsid w:val="000B7DBD"/>
    <w:rsid w:val="000C61AF"/>
    <w:rsid w:val="001C5F13"/>
    <w:rsid w:val="00280965"/>
    <w:rsid w:val="002F0D9B"/>
    <w:rsid w:val="0033499D"/>
    <w:rsid w:val="00360BBD"/>
    <w:rsid w:val="003A226E"/>
    <w:rsid w:val="003A6161"/>
    <w:rsid w:val="00400183"/>
    <w:rsid w:val="004152A1"/>
    <w:rsid w:val="00427003"/>
    <w:rsid w:val="00561FEE"/>
    <w:rsid w:val="00580D99"/>
    <w:rsid w:val="00596D61"/>
    <w:rsid w:val="005E3D6C"/>
    <w:rsid w:val="005E509D"/>
    <w:rsid w:val="00633F92"/>
    <w:rsid w:val="006409EC"/>
    <w:rsid w:val="00660ED8"/>
    <w:rsid w:val="00672B69"/>
    <w:rsid w:val="006A3E18"/>
    <w:rsid w:val="008917F5"/>
    <w:rsid w:val="0096350D"/>
    <w:rsid w:val="00A52898"/>
    <w:rsid w:val="00AB7105"/>
    <w:rsid w:val="00B24E23"/>
    <w:rsid w:val="00C2023A"/>
    <w:rsid w:val="00E23A02"/>
    <w:rsid w:val="00E3202A"/>
    <w:rsid w:val="00E45072"/>
    <w:rsid w:val="00F063BF"/>
    <w:rsid w:val="00F22EE4"/>
    <w:rsid w:val="00F24AF4"/>
    <w:rsid w:val="00FC2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891E59"/>
  <w15:chartTrackingRefBased/>
  <w15:docId w15:val="{7CC0D8F2-562D-4620-8E5D-956E7F80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003"/>
  </w:style>
  <w:style w:type="paragraph" w:styleId="Heading1">
    <w:name w:val="heading 1"/>
    <w:basedOn w:val="Normal"/>
    <w:next w:val="Normal"/>
    <w:link w:val="Heading1Char"/>
    <w:uiPriority w:val="9"/>
    <w:qFormat/>
    <w:rsid w:val="00427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0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0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003"/>
    <w:rPr>
      <w:rFonts w:eastAsiaTheme="majorEastAsia" w:cstheme="majorBidi"/>
      <w:color w:val="272727" w:themeColor="text1" w:themeTint="D8"/>
    </w:rPr>
  </w:style>
  <w:style w:type="paragraph" w:styleId="Title">
    <w:name w:val="Title"/>
    <w:basedOn w:val="Normal"/>
    <w:next w:val="Normal"/>
    <w:link w:val="TitleChar"/>
    <w:uiPriority w:val="10"/>
    <w:qFormat/>
    <w:rsid w:val="00427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003"/>
    <w:pPr>
      <w:spacing w:before="160"/>
      <w:jc w:val="center"/>
    </w:pPr>
    <w:rPr>
      <w:i/>
      <w:iCs/>
      <w:color w:val="404040" w:themeColor="text1" w:themeTint="BF"/>
    </w:rPr>
  </w:style>
  <w:style w:type="character" w:customStyle="1" w:styleId="QuoteChar">
    <w:name w:val="Quote Char"/>
    <w:basedOn w:val="DefaultParagraphFont"/>
    <w:link w:val="Quote"/>
    <w:uiPriority w:val="29"/>
    <w:rsid w:val="00427003"/>
    <w:rPr>
      <w:i/>
      <w:iCs/>
      <w:color w:val="404040" w:themeColor="text1" w:themeTint="BF"/>
    </w:rPr>
  </w:style>
  <w:style w:type="paragraph" w:styleId="ListParagraph">
    <w:name w:val="List Paragraph"/>
    <w:basedOn w:val="Normal"/>
    <w:uiPriority w:val="34"/>
    <w:qFormat/>
    <w:rsid w:val="00427003"/>
    <w:pPr>
      <w:ind w:left="720"/>
      <w:contextualSpacing/>
    </w:pPr>
  </w:style>
  <w:style w:type="character" w:styleId="IntenseEmphasis">
    <w:name w:val="Intense Emphasis"/>
    <w:basedOn w:val="DefaultParagraphFont"/>
    <w:uiPriority w:val="21"/>
    <w:qFormat/>
    <w:rsid w:val="00427003"/>
    <w:rPr>
      <w:i/>
      <w:iCs/>
      <w:color w:val="2F5496" w:themeColor="accent1" w:themeShade="BF"/>
    </w:rPr>
  </w:style>
  <w:style w:type="paragraph" w:styleId="IntenseQuote">
    <w:name w:val="Intense Quote"/>
    <w:basedOn w:val="Normal"/>
    <w:next w:val="Normal"/>
    <w:link w:val="IntenseQuoteChar"/>
    <w:uiPriority w:val="30"/>
    <w:qFormat/>
    <w:rsid w:val="00427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003"/>
    <w:rPr>
      <w:i/>
      <w:iCs/>
      <w:color w:val="2F5496" w:themeColor="accent1" w:themeShade="BF"/>
    </w:rPr>
  </w:style>
  <w:style w:type="character" w:styleId="IntenseReference">
    <w:name w:val="Intense Reference"/>
    <w:basedOn w:val="DefaultParagraphFont"/>
    <w:uiPriority w:val="32"/>
    <w:qFormat/>
    <w:rsid w:val="00427003"/>
    <w:rPr>
      <w:b/>
      <w:bCs/>
      <w:smallCaps/>
      <w:color w:val="2F5496" w:themeColor="accent1" w:themeShade="BF"/>
      <w:spacing w:val="5"/>
    </w:rPr>
  </w:style>
  <w:style w:type="paragraph" w:styleId="NormalWeb">
    <w:name w:val="Normal (Web)"/>
    <w:basedOn w:val="Normal"/>
    <w:uiPriority w:val="99"/>
    <w:unhideWhenUsed/>
    <w:rsid w:val="0042700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27003"/>
    <w:rPr>
      <w:color w:val="0563C1" w:themeColor="hyperlink"/>
      <w:u w:val="single"/>
    </w:rPr>
  </w:style>
  <w:style w:type="paragraph" w:styleId="NoSpacing">
    <w:name w:val="No Spacing"/>
    <w:uiPriority w:val="1"/>
    <w:qFormat/>
    <w:rsid w:val="00427003"/>
    <w:pPr>
      <w:spacing w:after="0" w:line="240" w:lineRule="auto"/>
    </w:pPr>
  </w:style>
  <w:style w:type="table" w:styleId="TableGrid">
    <w:name w:val="Table Grid"/>
    <w:basedOn w:val="TableNormal"/>
    <w:uiPriority w:val="39"/>
    <w:rsid w:val="0096350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DBD"/>
  </w:style>
  <w:style w:type="paragraph" w:styleId="Footer">
    <w:name w:val="footer"/>
    <w:basedOn w:val="Normal"/>
    <w:link w:val="FooterChar"/>
    <w:uiPriority w:val="99"/>
    <w:unhideWhenUsed/>
    <w:rsid w:val="000B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DBD"/>
  </w:style>
  <w:style w:type="character" w:styleId="CommentReference">
    <w:name w:val="annotation reference"/>
    <w:basedOn w:val="DefaultParagraphFont"/>
    <w:uiPriority w:val="99"/>
    <w:semiHidden/>
    <w:unhideWhenUsed/>
    <w:rsid w:val="00672B69"/>
    <w:rPr>
      <w:sz w:val="16"/>
      <w:szCs w:val="16"/>
    </w:rPr>
  </w:style>
  <w:style w:type="paragraph" w:styleId="CommentText">
    <w:name w:val="annotation text"/>
    <w:basedOn w:val="Normal"/>
    <w:link w:val="CommentTextChar"/>
    <w:uiPriority w:val="99"/>
    <w:semiHidden/>
    <w:unhideWhenUsed/>
    <w:rsid w:val="00672B69"/>
    <w:pPr>
      <w:spacing w:line="240" w:lineRule="auto"/>
    </w:pPr>
    <w:rPr>
      <w:sz w:val="20"/>
      <w:szCs w:val="20"/>
    </w:rPr>
  </w:style>
  <w:style w:type="character" w:customStyle="1" w:styleId="CommentTextChar">
    <w:name w:val="Comment Text Char"/>
    <w:basedOn w:val="DefaultParagraphFont"/>
    <w:link w:val="CommentText"/>
    <w:uiPriority w:val="99"/>
    <w:semiHidden/>
    <w:rsid w:val="00672B69"/>
    <w:rPr>
      <w:sz w:val="20"/>
      <w:szCs w:val="20"/>
    </w:rPr>
  </w:style>
  <w:style w:type="paragraph" w:styleId="CommentSubject">
    <w:name w:val="annotation subject"/>
    <w:basedOn w:val="CommentText"/>
    <w:next w:val="CommentText"/>
    <w:link w:val="CommentSubjectChar"/>
    <w:uiPriority w:val="99"/>
    <w:semiHidden/>
    <w:unhideWhenUsed/>
    <w:rsid w:val="00672B69"/>
    <w:rPr>
      <w:b/>
      <w:bCs/>
    </w:rPr>
  </w:style>
  <w:style w:type="character" w:customStyle="1" w:styleId="CommentSubjectChar">
    <w:name w:val="Comment Subject Char"/>
    <w:basedOn w:val="CommentTextChar"/>
    <w:link w:val="CommentSubject"/>
    <w:uiPriority w:val="99"/>
    <w:semiHidden/>
    <w:rsid w:val="00672B69"/>
    <w:rPr>
      <w:b/>
      <w:bCs/>
      <w:sz w:val="20"/>
      <w:szCs w:val="20"/>
    </w:rPr>
  </w:style>
  <w:style w:type="paragraph" w:styleId="BalloonText">
    <w:name w:val="Balloon Text"/>
    <w:basedOn w:val="Normal"/>
    <w:link w:val="BalloonTextChar"/>
    <w:uiPriority w:val="99"/>
    <w:semiHidden/>
    <w:unhideWhenUsed/>
    <w:rsid w:val="00672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B69"/>
    <w:rPr>
      <w:rFonts w:ascii="Segoe UI" w:hAnsi="Segoe UI" w:cs="Segoe UI"/>
      <w:sz w:val="18"/>
      <w:szCs w:val="18"/>
    </w:rPr>
  </w:style>
  <w:style w:type="character" w:styleId="Emphasis">
    <w:name w:val="Emphasis"/>
    <w:basedOn w:val="DefaultParagraphFont"/>
    <w:uiPriority w:val="20"/>
    <w:qFormat/>
    <w:rsid w:val="006409EC"/>
    <w:rPr>
      <w:i/>
      <w:iCs/>
    </w:rPr>
  </w:style>
  <w:style w:type="paragraph" w:customStyle="1" w:styleId="c-bibliographic-informationcitation">
    <w:name w:val="c-bibliographic-information__citation"/>
    <w:basedOn w:val="Normal"/>
    <w:rsid w:val="00660ED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66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42119">
      <w:bodyDiv w:val="1"/>
      <w:marLeft w:val="0"/>
      <w:marRight w:val="0"/>
      <w:marTop w:val="0"/>
      <w:marBottom w:val="0"/>
      <w:divBdr>
        <w:top w:val="none" w:sz="0" w:space="0" w:color="auto"/>
        <w:left w:val="none" w:sz="0" w:space="0" w:color="auto"/>
        <w:bottom w:val="none" w:sz="0" w:space="0" w:color="auto"/>
        <w:right w:val="none" w:sz="0" w:space="0" w:color="auto"/>
      </w:divBdr>
      <w:divsChild>
        <w:div w:id="624166847">
          <w:marLeft w:val="0"/>
          <w:marRight w:val="0"/>
          <w:marTop w:val="0"/>
          <w:marBottom w:val="0"/>
          <w:divBdr>
            <w:top w:val="none" w:sz="0" w:space="0" w:color="auto"/>
            <w:left w:val="none" w:sz="0" w:space="0" w:color="auto"/>
            <w:bottom w:val="none" w:sz="0" w:space="0" w:color="auto"/>
            <w:right w:val="none" w:sz="0" w:space="0" w:color="auto"/>
          </w:divBdr>
          <w:divsChild>
            <w:div w:id="1151604311">
              <w:marLeft w:val="0"/>
              <w:marRight w:val="0"/>
              <w:marTop w:val="0"/>
              <w:marBottom w:val="0"/>
              <w:divBdr>
                <w:top w:val="none" w:sz="0" w:space="0" w:color="auto"/>
                <w:left w:val="none" w:sz="0" w:space="0" w:color="auto"/>
                <w:bottom w:val="none" w:sz="0" w:space="0" w:color="auto"/>
                <w:right w:val="none" w:sz="0" w:space="0" w:color="auto"/>
              </w:divBdr>
              <w:divsChild>
                <w:div w:id="584415069">
                  <w:marLeft w:val="0"/>
                  <w:marRight w:val="0"/>
                  <w:marTop w:val="0"/>
                  <w:marBottom w:val="0"/>
                  <w:divBdr>
                    <w:top w:val="none" w:sz="0" w:space="0" w:color="auto"/>
                    <w:left w:val="none" w:sz="0" w:space="0" w:color="auto"/>
                    <w:bottom w:val="none" w:sz="0" w:space="0" w:color="auto"/>
                    <w:right w:val="none" w:sz="0" w:space="0" w:color="auto"/>
                  </w:divBdr>
                  <w:divsChild>
                    <w:div w:id="8896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17220">
      <w:bodyDiv w:val="1"/>
      <w:marLeft w:val="0"/>
      <w:marRight w:val="0"/>
      <w:marTop w:val="0"/>
      <w:marBottom w:val="0"/>
      <w:divBdr>
        <w:top w:val="none" w:sz="0" w:space="0" w:color="auto"/>
        <w:left w:val="none" w:sz="0" w:space="0" w:color="auto"/>
        <w:bottom w:val="none" w:sz="0" w:space="0" w:color="auto"/>
        <w:right w:val="none" w:sz="0" w:space="0" w:color="auto"/>
      </w:divBdr>
      <w:divsChild>
        <w:div w:id="145558194">
          <w:marLeft w:val="0"/>
          <w:marRight w:val="0"/>
          <w:marTop w:val="0"/>
          <w:marBottom w:val="0"/>
          <w:divBdr>
            <w:top w:val="none" w:sz="0" w:space="0" w:color="auto"/>
            <w:left w:val="none" w:sz="0" w:space="0" w:color="auto"/>
            <w:bottom w:val="none" w:sz="0" w:space="0" w:color="auto"/>
            <w:right w:val="none" w:sz="0" w:space="0" w:color="auto"/>
          </w:divBdr>
          <w:divsChild>
            <w:div w:id="317804183">
              <w:marLeft w:val="0"/>
              <w:marRight w:val="0"/>
              <w:marTop w:val="150"/>
              <w:marBottom w:val="0"/>
              <w:divBdr>
                <w:top w:val="none" w:sz="0" w:space="0" w:color="auto"/>
                <w:left w:val="none" w:sz="0" w:space="0" w:color="auto"/>
                <w:bottom w:val="none" w:sz="0" w:space="0" w:color="auto"/>
                <w:right w:val="none" w:sz="0" w:space="0" w:color="auto"/>
              </w:divBdr>
              <w:divsChild>
                <w:div w:id="1064523102">
                  <w:marLeft w:val="0"/>
                  <w:marRight w:val="0"/>
                  <w:marTop w:val="0"/>
                  <w:marBottom w:val="0"/>
                  <w:divBdr>
                    <w:top w:val="none" w:sz="0" w:space="0" w:color="auto"/>
                    <w:left w:val="none" w:sz="0" w:space="0" w:color="auto"/>
                    <w:bottom w:val="none" w:sz="0" w:space="0" w:color="auto"/>
                    <w:right w:val="none" w:sz="0" w:space="0" w:color="auto"/>
                  </w:divBdr>
                  <w:divsChild>
                    <w:div w:id="17312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93636">
      <w:bodyDiv w:val="1"/>
      <w:marLeft w:val="0"/>
      <w:marRight w:val="0"/>
      <w:marTop w:val="0"/>
      <w:marBottom w:val="0"/>
      <w:divBdr>
        <w:top w:val="none" w:sz="0" w:space="0" w:color="auto"/>
        <w:left w:val="none" w:sz="0" w:space="0" w:color="auto"/>
        <w:bottom w:val="none" w:sz="0" w:space="0" w:color="auto"/>
        <w:right w:val="none" w:sz="0" w:space="0" w:color="auto"/>
      </w:divBdr>
      <w:divsChild>
        <w:div w:id="682895575">
          <w:marLeft w:val="0"/>
          <w:marRight w:val="0"/>
          <w:marTop w:val="0"/>
          <w:marBottom w:val="0"/>
          <w:divBdr>
            <w:top w:val="none" w:sz="0" w:space="0" w:color="auto"/>
            <w:left w:val="none" w:sz="0" w:space="0" w:color="auto"/>
            <w:bottom w:val="none" w:sz="0" w:space="0" w:color="auto"/>
            <w:right w:val="none" w:sz="0" w:space="0" w:color="auto"/>
          </w:divBdr>
          <w:divsChild>
            <w:div w:id="1102719850">
              <w:marLeft w:val="0"/>
              <w:marRight w:val="0"/>
              <w:marTop w:val="0"/>
              <w:marBottom w:val="0"/>
              <w:divBdr>
                <w:top w:val="none" w:sz="0" w:space="0" w:color="auto"/>
                <w:left w:val="none" w:sz="0" w:space="0" w:color="auto"/>
                <w:bottom w:val="none" w:sz="0" w:space="0" w:color="auto"/>
                <w:right w:val="none" w:sz="0" w:space="0" w:color="auto"/>
              </w:divBdr>
              <w:divsChild>
                <w:div w:id="267662118">
                  <w:marLeft w:val="0"/>
                  <w:marRight w:val="0"/>
                  <w:marTop w:val="0"/>
                  <w:marBottom w:val="0"/>
                  <w:divBdr>
                    <w:top w:val="none" w:sz="0" w:space="0" w:color="auto"/>
                    <w:left w:val="none" w:sz="0" w:space="0" w:color="auto"/>
                    <w:bottom w:val="none" w:sz="0" w:space="0" w:color="auto"/>
                    <w:right w:val="none" w:sz="0" w:space="0" w:color="auto"/>
                  </w:divBdr>
                  <w:divsChild>
                    <w:div w:id="912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4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43621-024-00419-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9121/granthaalayah.v12.i7.2024.5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33CD0-BA4C-4A89-BBAC-28EDCE4F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Pages>
  <Words>4766</Words>
  <Characters>27170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Sreekanth Seelam</dc:creator>
  <cp:keywords/>
  <dc:description/>
  <cp:lastModifiedBy>SDI PC New 16</cp:lastModifiedBy>
  <cp:revision>19</cp:revision>
  <dcterms:created xsi:type="dcterms:W3CDTF">2026-01-21T10:09:00Z</dcterms:created>
  <dcterms:modified xsi:type="dcterms:W3CDTF">2026-02-10T09:40:00Z</dcterms:modified>
</cp:coreProperties>
</file>