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B513" w14:textId="597CCCD8" w:rsidR="00DC226B" w:rsidRPr="007F6CB3" w:rsidRDefault="00DC226B" w:rsidP="00DC226B">
      <w:pPr>
        <w:jc w:val="center"/>
        <w:rPr>
          <w:rFonts w:ascii="Times New Roman" w:hAnsi="Times New Roman" w:cs="Times New Roman"/>
          <w:b/>
          <w:bCs/>
          <w:sz w:val="24"/>
          <w:szCs w:val="24"/>
        </w:rPr>
      </w:pPr>
      <w:r w:rsidRPr="007F6CB3">
        <w:rPr>
          <w:rFonts w:ascii="Times New Roman" w:hAnsi="Times New Roman" w:cs="Times New Roman"/>
          <w:b/>
          <w:bCs/>
          <w:sz w:val="24"/>
          <w:szCs w:val="24"/>
        </w:rPr>
        <w:t>ETHNO-BOTANICAL STUDIES OF SWEET POTATO (</w:t>
      </w:r>
      <w:proofErr w:type="spellStart"/>
      <w:r w:rsidRPr="007F6CB3">
        <w:rPr>
          <w:rFonts w:ascii="Times New Roman" w:hAnsi="Times New Roman" w:cs="Times New Roman"/>
          <w:b/>
          <w:bCs/>
          <w:i/>
          <w:iCs/>
          <w:sz w:val="24"/>
          <w:szCs w:val="24"/>
        </w:rPr>
        <w:t>Ipomea</w:t>
      </w:r>
      <w:proofErr w:type="spellEnd"/>
      <w:r w:rsidRPr="007F6CB3">
        <w:rPr>
          <w:rFonts w:ascii="Times New Roman" w:hAnsi="Times New Roman" w:cs="Times New Roman"/>
          <w:b/>
          <w:bCs/>
          <w:sz w:val="24"/>
          <w:szCs w:val="24"/>
        </w:rPr>
        <w:t xml:space="preserve"> </w:t>
      </w:r>
      <w:r w:rsidRPr="007F6CB3">
        <w:rPr>
          <w:rFonts w:ascii="Times New Roman" w:hAnsi="Times New Roman" w:cs="Times New Roman"/>
          <w:b/>
          <w:bCs/>
          <w:i/>
          <w:iCs/>
          <w:sz w:val="24"/>
          <w:szCs w:val="24"/>
        </w:rPr>
        <w:t>batatas</w:t>
      </w:r>
      <w:r w:rsidRPr="007F6CB3">
        <w:rPr>
          <w:rFonts w:ascii="Times New Roman" w:hAnsi="Times New Roman" w:cs="Times New Roman"/>
          <w:b/>
          <w:bCs/>
          <w:sz w:val="24"/>
          <w:szCs w:val="24"/>
        </w:rPr>
        <w:t xml:space="preserve"> (L.) Lam.) IN ANAMBRA STATE</w:t>
      </w:r>
      <w:r w:rsidR="00D341F6" w:rsidRPr="007F6CB3">
        <w:rPr>
          <w:rFonts w:ascii="Times New Roman" w:hAnsi="Times New Roman" w:cs="Times New Roman"/>
          <w:b/>
          <w:bCs/>
          <w:sz w:val="24"/>
          <w:szCs w:val="24"/>
        </w:rPr>
        <w:t>, NIGERIA: CULTURAL USES, TRADITIONAL STORAGE SYSTEMS AND INDIGENOUS CONSERVATION KNOWLEDGE.</w:t>
      </w:r>
    </w:p>
    <w:p w14:paraId="70E32583" w14:textId="77777777" w:rsidR="00CF2D51" w:rsidRDefault="00CF2D51" w:rsidP="00B013F0">
      <w:pPr>
        <w:rPr>
          <w:rFonts w:ascii="Times New Roman" w:hAnsi="Times New Roman" w:cs="Times New Roman"/>
          <w:b/>
          <w:bCs/>
          <w:sz w:val="24"/>
          <w:szCs w:val="24"/>
        </w:rPr>
      </w:pPr>
      <w:bookmarkStart w:id="0" w:name="_Hlk221323213"/>
    </w:p>
    <w:p w14:paraId="3C3BD703" w14:textId="77777777" w:rsidR="00CF2D51" w:rsidRDefault="00CF2D51" w:rsidP="00B013F0">
      <w:pPr>
        <w:rPr>
          <w:rFonts w:ascii="Times New Roman" w:hAnsi="Times New Roman" w:cs="Times New Roman"/>
          <w:b/>
          <w:bCs/>
          <w:sz w:val="24"/>
          <w:szCs w:val="24"/>
        </w:rPr>
      </w:pPr>
    </w:p>
    <w:p w14:paraId="3C003E99" w14:textId="78786EB6"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Abstract</w:t>
      </w:r>
    </w:p>
    <w:p w14:paraId="706E58E2" w14:textId="77777777" w:rsidR="00B013F0" w:rsidRPr="007F6CB3" w:rsidRDefault="00B013F0" w:rsidP="00B013F0">
      <w:pPr>
        <w:rPr>
          <w:rFonts w:ascii="Times New Roman" w:hAnsi="Times New Roman" w:cs="Times New Roman"/>
          <w:sz w:val="24"/>
          <w:szCs w:val="24"/>
        </w:rPr>
      </w:pPr>
    </w:p>
    <w:p w14:paraId="5454C61E"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This study investigated the ethno-botanical knowledge, cultural significance, cultivation practices, post-harvest handling systems, conservation strategies, and awareness of biological control options for 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batatas (L.) Lam.) in Anambra State, Nigeria. A multistage sampling approach was adopted, and 600 structured questionnaires were distributed across the three senatorial zones—Anambra State (Anambra North, Anambra Central, and Anambra South)—with 348 valid responses retrieved (60%). Data were complemented with interviews, public meetings, field observations, and herbarium documentation.</w:t>
      </w:r>
    </w:p>
    <w:p w14:paraId="0D73ED9B"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Findings revealed that sweet potato production is predominantly smallholder and subsistence-oriented, with over 77% of farmers cultivating less than three acres. Traditional mound (51.7%) and ridge (34.5%) planting methods were widely practiced, alongside mixed use of organic manure (39.9%) and chemical fertilizers (43.4%). Manual harvesting (58.1%) and storage in sacks or barns (63.4% combined) were common, contributing to significant post-harvest losses. Storage was identified as the most critical stage for rot incidence (44.3%), with humidity (31.9%) and insect infestation (28.4%) being major preservation challenges.</w:t>
      </w:r>
    </w:p>
    <w:p w14:paraId="48273EE1"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 xml:space="preserve">Ethno-botanical analysis showed that sweet potato plays a central role in household food security (89.7%) and holds cultural relevance in ceremonies, festivals, and traditional medicine. Economically, 35.6% of respondents rely on sweet potato as a primary income source, though most derive less than 50% of their income from it. Despite low 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(29.3%) and Lactobacillus species (27.6%), farmers demonstrated strong willingness (48.3%) to adopt biological control technologies if proven effective and accessible.</w:t>
      </w:r>
    </w:p>
    <w:p w14:paraId="43A57768" w14:textId="77777777" w:rsidR="00B013F0" w:rsidRPr="007F6CB3" w:rsidRDefault="00B013F0" w:rsidP="00B013F0">
      <w:pPr>
        <w:rPr>
          <w:rFonts w:ascii="Times New Roman" w:hAnsi="Times New Roman" w:cs="Times New Roman"/>
          <w:sz w:val="24"/>
          <w:szCs w:val="24"/>
        </w:rPr>
      </w:pPr>
      <w:r w:rsidRPr="007F6CB3">
        <w:rPr>
          <w:rFonts w:ascii="Times New Roman" w:hAnsi="Times New Roman" w:cs="Times New Roman"/>
          <w:sz w:val="24"/>
          <w:szCs w:val="24"/>
        </w:rPr>
        <w:t xml:space="preserve">The study highlights the intersection of indigenous knowledge, cultural practices, and post-harvest challenges, underscoring the potential of integrating traditional systems with environmentally sustainable </w:t>
      </w:r>
      <w:proofErr w:type="spellStart"/>
      <w:r w:rsidRPr="007F6CB3">
        <w:rPr>
          <w:rFonts w:ascii="Times New Roman" w:hAnsi="Times New Roman" w:cs="Times New Roman"/>
          <w:sz w:val="24"/>
          <w:szCs w:val="24"/>
        </w:rPr>
        <w:t>biofungicide</w:t>
      </w:r>
      <w:proofErr w:type="spellEnd"/>
      <w:r w:rsidRPr="007F6CB3">
        <w:rPr>
          <w:rFonts w:ascii="Times New Roman" w:hAnsi="Times New Roman" w:cs="Times New Roman"/>
          <w:sz w:val="24"/>
          <w:szCs w:val="24"/>
        </w:rPr>
        <w:t xml:space="preserve"> technologies to reduce losses, improve income, and strengthen food security in southeastern Nigeria.</w:t>
      </w:r>
    </w:p>
    <w:p w14:paraId="333BB002" w14:textId="77777777" w:rsidR="00DF4474" w:rsidRDefault="00DF4474" w:rsidP="00B013F0">
      <w:pPr>
        <w:rPr>
          <w:rFonts w:ascii="Times New Roman" w:hAnsi="Times New Roman" w:cs="Times New Roman"/>
          <w:sz w:val="24"/>
          <w:szCs w:val="24"/>
        </w:rPr>
      </w:pPr>
    </w:p>
    <w:p w14:paraId="7AE7E68A" w14:textId="1C73ABB4" w:rsidR="00DF4474" w:rsidRDefault="00DF4474" w:rsidP="00B013F0">
      <w:pPr>
        <w:rPr>
          <w:rFonts w:ascii="Times New Roman" w:hAnsi="Times New Roman" w:cs="Times New Roman"/>
          <w:sz w:val="24"/>
          <w:szCs w:val="24"/>
        </w:rPr>
      </w:pPr>
      <w:r>
        <w:rPr>
          <w:rFonts w:ascii="Times New Roman" w:hAnsi="Times New Roman" w:cs="Times New Roman"/>
          <w:sz w:val="24"/>
          <w:szCs w:val="24"/>
        </w:rPr>
        <w:t xml:space="preserve">KEY WORDS: Sweet potato; </w:t>
      </w:r>
      <w:r w:rsidRPr="00DF4474">
        <w:rPr>
          <w:rFonts w:ascii="Times New Roman" w:hAnsi="Times New Roman" w:cs="Times New Roman"/>
          <w:i/>
          <w:iCs/>
          <w:sz w:val="24"/>
          <w:szCs w:val="24"/>
        </w:rPr>
        <w:t>Ipomoea</w:t>
      </w:r>
      <w:r>
        <w:rPr>
          <w:rFonts w:ascii="Times New Roman" w:hAnsi="Times New Roman" w:cs="Times New Roman"/>
          <w:sz w:val="24"/>
          <w:szCs w:val="24"/>
        </w:rPr>
        <w:t xml:space="preserve"> </w:t>
      </w:r>
      <w:r w:rsidRPr="00DF4474">
        <w:rPr>
          <w:rFonts w:ascii="Times New Roman" w:hAnsi="Times New Roman" w:cs="Times New Roman"/>
          <w:i/>
          <w:iCs/>
          <w:sz w:val="24"/>
          <w:szCs w:val="24"/>
        </w:rPr>
        <w:t>batatas</w:t>
      </w:r>
      <w:r>
        <w:rPr>
          <w:rFonts w:ascii="Times New Roman" w:hAnsi="Times New Roman" w:cs="Times New Roman"/>
          <w:sz w:val="24"/>
          <w:szCs w:val="24"/>
        </w:rPr>
        <w:t>; ethnobotany; indigenous knowledge; traditional storage systems; post-harvest management; agrobiodiversity conservation; food security.</w:t>
      </w:r>
    </w:p>
    <w:p w14:paraId="41A1A84E" w14:textId="77777777" w:rsidR="00DF4474" w:rsidRDefault="00DF4474" w:rsidP="00B013F0">
      <w:pPr>
        <w:rPr>
          <w:rFonts w:ascii="Times New Roman" w:hAnsi="Times New Roman" w:cs="Times New Roman"/>
          <w:sz w:val="24"/>
          <w:szCs w:val="24"/>
        </w:rPr>
      </w:pPr>
    </w:p>
    <w:p w14:paraId="3DE2AC92" w14:textId="2D84258F" w:rsidR="00B013F0" w:rsidRPr="007F6CB3" w:rsidRDefault="00DF4474" w:rsidP="00B013F0">
      <w:pPr>
        <w:rPr>
          <w:rFonts w:ascii="Times New Roman" w:hAnsi="Times New Roman" w:cs="Times New Roman"/>
          <w:sz w:val="24"/>
          <w:szCs w:val="24"/>
        </w:rPr>
      </w:pPr>
      <w:r>
        <w:rPr>
          <w:rFonts w:ascii="Times New Roman" w:hAnsi="Times New Roman" w:cs="Times New Roman"/>
          <w:sz w:val="24"/>
          <w:szCs w:val="24"/>
        </w:rPr>
        <w:t xml:space="preserve"> </w:t>
      </w:r>
    </w:p>
    <w:p w14:paraId="4E404057" w14:textId="280D81B3" w:rsidR="00B013F0" w:rsidRPr="007F6CB3" w:rsidRDefault="007F6CB3"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INTRODUCTION</w:t>
      </w:r>
    </w:p>
    <w:p w14:paraId="1F74CD0B" w14:textId="5DBEAA93"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batatas</w:t>
      </w:r>
      <w:r w:rsidRPr="007F6CB3">
        <w:rPr>
          <w:rFonts w:ascii="Times New Roman" w:hAnsi="Times New Roman" w:cs="Times New Roman"/>
          <w:sz w:val="24"/>
          <w:szCs w:val="24"/>
        </w:rPr>
        <w:t xml:space="preserve"> (L.) Lam.), a member of the family Convolvulaceae, is one of the most widely cultivated root crops in tropical and subtropical regions of the world </w:t>
      </w:r>
      <w:r w:rsidR="000F0D9C">
        <w:rPr>
          <w:rFonts w:ascii="Times New Roman" w:hAnsi="Times New Roman" w:cs="Times New Roman"/>
          <w:sz w:val="24"/>
          <w:szCs w:val="24"/>
        </w:rPr>
        <w:t>(</w:t>
      </w:r>
      <w:r w:rsidRPr="007F6CB3">
        <w:rPr>
          <w:rFonts w:ascii="Times New Roman" w:hAnsi="Times New Roman" w:cs="Times New Roman"/>
          <w:sz w:val="24"/>
          <w:szCs w:val="24"/>
        </w:rPr>
        <w:t xml:space="preserve">FAO, 2022). Originating from Central America, the crop has spread extensively across Africa, Asia, and Latin America, where it serves as a staple food and an important source of livelihood for millions of smallholder farmers (FAO, 2022;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w:t>
      </w:r>
      <w:r w:rsidR="000636CE">
        <w:rPr>
          <w:rFonts w:ascii="Times New Roman" w:hAnsi="Times New Roman" w:cs="Times New Roman"/>
          <w:sz w:val="24"/>
          <w:szCs w:val="24"/>
        </w:rPr>
        <w:t xml:space="preserve">and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xml:space="preserve">, 2009). In Nigeria, sweet potato ranks among the major root and tuber crops contributing significantly to household food security, rural income generation, and nutritional well-being (National Root Crops Research Institute [NRCRI], 2020). The plant exhibits remarkable varietal diversity, with differences in flesh </w:t>
      </w:r>
      <w:proofErr w:type="spellStart"/>
      <w:r w:rsidRPr="007F6CB3">
        <w:rPr>
          <w:rFonts w:ascii="Times New Roman" w:hAnsi="Times New Roman" w:cs="Times New Roman"/>
          <w:sz w:val="24"/>
          <w:szCs w:val="24"/>
        </w:rPr>
        <w:lastRenderedPageBreak/>
        <w:t>colour</w:t>
      </w:r>
      <w:proofErr w:type="spellEnd"/>
      <w:r w:rsidRPr="007F6CB3">
        <w:rPr>
          <w:rFonts w:ascii="Times New Roman" w:hAnsi="Times New Roman" w:cs="Times New Roman"/>
          <w:sz w:val="24"/>
          <w:szCs w:val="24"/>
        </w:rPr>
        <w:t xml:space="preserve">—white, cream, yellow, orange, purple, and pink—and skin pigmentation, reflecting both genetic variation and farmer selection across </w:t>
      </w:r>
      <w:proofErr w:type="spellStart"/>
      <w:r w:rsidRPr="007F6CB3">
        <w:rPr>
          <w:rFonts w:ascii="Times New Roman" w:hAnsi="Times New Roman" w:cs="Times New Roman"/>
          <w:sz w:val="24"/>
          <w:szCs w:val="24"/>
        </w:rPr>
        <w:t>agro</w:t>
      </w:r>
      <w:proofErr w:type="spellEnd"/>
      <w:r w:rsidRPr="007F6CB3">
        <w:rPr>
          <w:rFonts w:ascii="Times New Roman" w:hAnsi="Times New Roman" w:cs="Times New Roman"/>
          <w:sz w:val="24"/>
          <w:szCs w:val="24"/>
        </w:rPr>
        <w:t>-ecological zones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2009).</w:t>
      </w:r>
    </w:p>
    <w:p w14:paraId="5EEAF370" w14:textId="77777777" w:rsidR="007F6CB3" w:rsidRPr="007F6CB3" w:rsidRDefault="007F6CB3" w:rsidP="007F6CB3">
      <w:pPr>
        <w:rPr>
          <w:rFonts w:ascii="Times New Roman" w:hAnsi="Times New Roman" w:cs="Times New Roman"/>
          <w:sz w:val="24"/>
          <w:szCs w:val="24"/>
        </w:rPr>
      </w:pPr>
    </w:p>
    <w:p w14:paraId="768A04B9" w14:textId="647EAF83"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In southeastern Nigeria, particularly in Anambra State, sweet potato—locally known in Igbo as </w:t>
      </w:r>
      <w:proofErr w:type="spellStart"/>
      <w:r w:rsidRPr="007F6CB3">
        <w:rPr>
          <w:rFonts w:ascii="Times New Roman" w:hAnsi="Times New Roman" w:cs="Times New Roman"/>
          <w:sz w:val="24"/>
          <w:szCs w:val="24"/>
        </w:rPr>
        <w:t>ndụku</w:t>
      </w:r>
      <w:proofErr w:type="spellEnd"/>
      <w:r w:rsidRPr="007F6CB3">
        <w:rPr>
          <w:rFonts w:ascii="Times New Roman" w:hAnsi="Times New Roman" w:cs="Times New Roman"/>
          <w:sz w:val="24"/>
          <w:szCs w:val="24"/>
        </w:rPr>
        <w:t xml:space="preserve"> or sometimes referred to as ji </w:t>
      </w:r>
      <w:proofErr w:type="spellStart"/>
      <w:r w:rsidRPr="007F6CB3">
        <w:rPr>
          <w:rFonts w:ascii="Times New Roman" w:hAnsi="Times New Roman" w:cs="Times New Roman"/>
          <w:sz w:val="24"/>
          <w:szCs w:val="24"/>
        </w:rPr>
        <w:t>bekee</w:t>
      </w:r>
      <w:proofErr w:type="spellEnd"/>
      <w:r w:rsidRPr="007F6CB3">
        <w:rPr>
          <w:rFonts w:ascii="Times New Roman" w:hAnsi="Times New Roman" w:cs="Times New Roman"/>
          <w:sz w:val="24"/>
          <w:szCs w:val="24"/>
        </w:rPr>
        <w:t>—occupies a distinctive place within indigenous food systems</w:t>
      </w:r>
      <w:r w:rsidR="000F0D9C">
        <w:rPr>
          <w:rFonts w:ascii="Times New Roman" w:hAnsi="Times New Roman" w:cs="Times New Roman"/>
          <w:sz w:val="24"/>
          <w:szCs w:val="24"/>
        </w:rPr>
        <w:t xml:space="preserve"> (</w:t>
      </w:r>
      <w:proofErr w:type="spellStart"/>
      <w:r w:rsidR="000F0D9C">
        <w:rPr>
          <w:rFonts w:ascii="Times New Roman" w:hAnsi="Times New Roman" w:cs="Times New Roman"/>
          <w:sz w:val="24"/>
          <w:szCs w:val="24"/>
        </w:rPr>
        <w:t>Agu</w:t>
      </w:r>
      <w:proofErr w:type="spellEnd"/>
      <w:r w:rsidR="000F0D9C">
        <w:rPr>
          <w:rFonts w:ascii="Times New Roman" w:hAnsi="Times New Roman" w:cs="Times New Roman"/>
          <w:sz w:val="24"/>
          <w:szCs w:val="24"/>
        </w:rPr>
        <w:t xml:space="preserve"> </w:t>
      </w:r>
      <w:r w:rsidR="000F0D9C" w:rsidRPr="000F0D9C">
        <w:rPr>
          <w:rFonts w:ascii="Times New Roman" w:hAnsi="Times New Roman" w:cs="Times New Roman"/>
          <w:i/>
          <w:iCs/>
          <w:sz w:val="24"/>
          <w:szCs w:val="24"/>
        </w:rPr>
        <w:t>et</w:t>
      </w:r>
      <w:r w:rsidR="000F0D9C">
        <w:rPr>
          <w:rFonts w:ascii="Times New Roman" w:hAnsi="Times New Roman" w:cs="Times New Roman"/>
          <w:sz w:val="24"/>
          <w:szCs w:val="24"/>
        </w:rPr>
        <w:t xml:space="preserve"> </w:t>
      </w:r>
      <w:r w:rsidR="000F0D9C" w:rsidRPr="000F0D9C">
        <w:rPr>
          <w:rFonts w:ascii="Times New Roman" w:hAnsi="Times New Roman" w:cs="Times New Roman"/>
          <w:i/>
          <w:iCs/>
          <w:sz w:val="24"/>
          <w:szCs w:val="24"/>
        </w:rPr>
        <w:t>al</w:t>
      </w:r>
      <w:r w:rsidR="000F0D9C">
        <w:rPr>
          <w:rFonts w:ascii="Times New Roman" w:hAnsi="Times New Roman" w:cs="Times New Roman"/>
          <w:sz w:val="24"/>
          <w:szCs w:val="24"/>
        </w:rPr>
        <w:t>., 2015).</w:t>
      </w:r>
      <w:r w:rsidRPr="007F6CB3">
        <w:rPr>
          <w:rFonts w:ascii="Times New Roman" w:hAnsi="Times New Roman" w:cs="Times New Roman"/>
          <w:sz w:val="24"/>
          <w:szCs w:val="24"/>
        </w:rPr>
        <w:t xml:space="preserve"> Beyond its role as a carbohydrate-rich staple, the crop is embedded in local culinary traditions, seasonal farming cycles, and household coping strategies during periods of food scarcity (Nwosu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Okoye, 2017). The storage roots are consumed boiled, roasted, fried, or processed into flour and other value-added products, while the tender leaves are used as vegetables and the vines occasionally serve as livestock feed</w:t>
      </w:r>
      <w:r w:rsidR="0049393C">
        <w:rPr>
          <w:rFonts w:ascii="Times New Roman" w:hAnsi="Times New Roman" w:cs="Times New Roman"/>
          <w:sz w:val="24"/>
          <w:szCs w:val="24"/>
        </w:rPr>
        <w:t xml:space="preserve"> </w:t>
      </w:r>
      <w:r w:rsidR="0049393C" w:rsidRPr="007F6CB3">
        <w:rPr>
          <w:rFonts w:ascii="Times New Roman" w:hAnsi="Times New Roman" w:cs="Times New Roman"/>
          <w:sz w:val="24"/>
          <w:szCs w:val="24"/>
        </w:rPr>
        <w:t>(National Root Crops Research Institute [NRCRI], 2020).</w:t>
      </w:r>
      <w:r w:rsidR="0049393C">
        <w:rPr>
          <w:rFonts w:ascii="Times New Roman" w:hAnsi="Times New Roman" w:cs="Times New Roman"/>
          <w:sz w:val="24"/>
          <w:szCs w:val="24"/>
        </w:rPr>
        <w:t xml:space="preserve"> </w:t>
      </w:r>
      <w:r w:rsidRPr="007F6CB3">
        <w:rPr>
          <w:rFonts w:ascii="Times New Roman" w:hAnsi="Times New Roman" w:cs="Times New Roman"/>
          <w:sz w:val="24"/>
          <w:szCs w:val="24"/>
        </w:rPr>
        <w:t>Such multifunctional utilization underscores the crop’s cultural and socioeconomic relevance within rural communities.</w:t>
      </w:r>
    </w:p>
    <w:p w14:paraId="27E422C5" w14:textId="77777777" w:rsidR="007F6CB3" w:rsidRPr="007F6CB3" w:rsidRDefault="007F6CB3" w:rsidP="007F6CB3">
      <w:pPr>
        <w:rPr>
          <w:rFonts w:ascii="Times New Roman" w:hAnsi="Times New Roman" w:cs="Times New Roman"/>
          <w:sz w:val="24"/>
          <w:szCs w:val="24"/>
        </w:rPr>
      </w:pPr>
    </w:p>
    <w:p w14:paraId="7616B941" w14:textId="7A2E39D1"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Ethnobotany, which examines the dynamic relationships between people and plants, provides a critical framework for understanding how local knowledge systems shape the cultivation, utilization, and conservation of sweet potato</w:t>
      </w:r>
      <w:r w:rsidR="0049393C">
        <w:rPr>
          <w:rFonts w:ascii="Times New Roman" w:hAnsi="Times New Roman" w:cs="Times New Roman"/>
          <w:sz w:val="24"/>
          <w:szCs w:val="24"/>
        </w:rPr>
        <w:t xml:space="preserve"> (</w:t>
      </w:r>
      <w:proofErr w:type="spellStart"/>
      <w:r w:rsidR="0049393C">
        <w:rPr>
          <w:rFonts w:ascii="Times New Roman" w:hAnsi="Times New Roman" w:cs="Times New Roman"/>
          <w:sz w:val="24"/>
          <w:szCs w:val="24"/>
        </w:rPr>
        <w:t>Ezebo</w:t>
      </w:r>
      <w:proofErr w:type="spellEnd"/>
      <w:r w:rsidR="0049393C">
        <w:rPr>
          <w:rFonts w:ascii="Times New Roman" w:hAnsi="Times New Roman" w:cs="Times New Roman"/>
          <w:sz w:val="24"/>
          <w:szCs w:val="24"/>
        </w:rPr>
        <w:t xml:space="preserve"> and </w:t>
      </w:r>
      <w:proofErr w:type="spellStart"/>
      <w:r w:rsidR="0049393C">
        <w:rPr>
          <w:rFonts w:ascii="Times New Roman" w:hAnsi="Times New Roman" w:cs="Times New Roman"/>
          <w:sz w:val="24"/>
          <w:szCs w:val="24"/>
        </w:rPr>
        <w:t>Okigbo</w:t>
      </w:r>
      <w:proofErr w:type="spellEnd"/>
      <w:r w:rsidR="0049393C">
        <w:rPr>
          <w:rFonts w:ascii="Times New Roman" w:hAnsi="Times New Roman" w:cs="Times New Roman"/>
          <w:sz w:val="24"/>
          <w:szCs w:val="24"/>
        </w:rPr>
        <w:t>, 2024</w:t>
      </w:r>
      <w:r w:rsidR="007C13D9">
        <w:rPr>
          <w:rFonts w:ascii="Times New Roman" w:hAnsi="Times New Roman" w:cs="Times New Roman"/>
          <w:sz w:val="24"/>
          <w:szCs w:val="24"/>
        </w:rPr>
        <w:t xml:space="preserve">; </w:t>
      </w:r>
      <w:proofErr w:type="spellStart"/>
      <w:r w:rsidR="007C13D9">
        <w:rPr>
          <w:rFonts w:ascii="Times New Roman" w:hAnsi="Times New Roman" w:cs="Times New Roman"/>
          <w:sz w:val="24"/>
          <w:szCs w:val="24"/>
        </w:rPr>
        <w:t>Anuagasi</w:t>
      </w:r>
      <w:proofErr w:type="spellEnd"/>
      <w:r w:rsidR="007C13D9">
        <w:rPr>
          <w:rFonts w:ascii="Times New Roman" w:hAnsi="Times New Roman" w:cs="Times New Roman"/>
          <w:sz w:val="24"/>
          <w:szCs w:val="24"/>
        </w:rPr>
        <w:t xml:space="preserve"> and </w:t>
      </w:r>
      <w:proofErr w:type="spellStart"/>
      <w:r w:rsidR="007C13D9">
        <w:rPr>
          <w:rFonts w:ascii="Times New Roman" w:hAnsi="Times New Roman" w:cs="Times New Roman"/>
          <w:sz w:val="24"/>
          <w:szCs w:val="24"/>
        </w:rPr>
        <w:t>Okigbo</w:t>
      </w:r>
      <w:proofErr w:type="spellEnd"/>
      <w:r w:rsidR="007C13D9">
        <w:rPr>
          <w:rFonts w:ascii="Times New Roman" w:hAnsi="Times New Roman" w:cs="Times New Roman"/>
          <w:sz w:val="24"/>
          <w:szCs w:val="24"/>
        </w:rPr>
        <w:t>, 2024</w:t>
      </w:r>
      <w:r w:rsidR="0049393C">
        <w:rPr>
          <w:rFonts w:ascii="Times New Roman" w:hAnsi="Times New Roman" w:cs="Times New Roman"/>
          <w:sz w:val="24"/>
          <w:szCs w:val="24"/>
        </w:rPr>
        <w:t>)</w:t>
      </w:r>
      <w:r w:rsidRPr="007F6CB3">
        <w:rPr>
          <w:rFonts w:ascii="Times New Roman" w:hAnsi="Times New Roman" w:cs="Times New Roman"/>
          <w:sz w:val="24"/>
          <w:szCs w:val="24"/>
        </w:rPr>
        <w:t xml:space="preserve">. Indigenous farmers in Anambra State possess accumulated experiential knowledge concerning varietal selection, soil preferences, planting calendars, intercropping systems, harvesting techniques, and post-harvest handling practices (Altieri, 2004). This knowledge, transmitted orally across generations, contributes to the maintenance of agrobiodiversity and enhances resilience in the face of climatic variability, declining soil fertility, and land-use pressures (Altieri, 2004; Toledo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xml:space="preserve">, 2008). However, modernization, urbanization, and the increasing adoption of improved varieties have begun to erode traditional knowledge systems, creating an urgent need for systematic documentation (Toledo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2008).</w:t>
      </w:r>
    </w:p>
    <w:p w14:paraId="60CDDCB6" w14:textId="77777777" w:rsidR="007F6CB3" w:rsidRPr="007F6CB3" w:rsidRDefault="007F6CB3" w:rsidP="007F6CB3">
      <w:pPr>
        <w:rPr>
          <w:rFonts w:ascii="Times New Roman" w:hAnsi="Times New Roman" w:cs="Times New Roman"/>
          <w:sz w:val="24"/>
          <w:szCs w:val="24"/>
        </w:rPr>
      </w:pPr>
    </w:p>
    <w:p w14:paraId="549913BF" w14:textId="5B36552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Post-harvest management constitutes an especially significant component of indigenous knowledge surrounding sweet potato. The crop is highly perishable due to its high moisture content and susceptibility to physiological deterioration and microbial spoilage (Ray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Ravi, 2005). In rural communities, traditional storage methods—such as in-ground storage, heap storage under shade, use of ventilated barns, or storage in woven baskets and earthen structures—have evolved as adaptive strategies to extend shelf life and reduce losses (FAO, 2011). These practices are often shaped by local ecological conditions, resource availability, and socio-cultural norms. Understanding these traditional storage systems from an ethnobotanical perspective offers valuable insights into locally grounded approaches to food preservation and loss reduction (Kader, 2005).</w:t>
      </w:r>
    </w:p>
    <w:p w14:paraId="0F977A3B" w14:textId="77777777" w:rsidR="007F6CB3" w:rsidRPr="007F6CB3" w:rsidRDefault="007F6CB3" w:rsidP="007F6CB3">
      <w:pPr>
        <w:rPr>
          <w:rFonts w:ascii="Times New Roman" w:hAnsi="Times New Roman" w:cs="Times New Roman"/>
          <w:sz w:val="24"/>
          <w:szCs w:val="24"/>
        </w:rPr>
      </w:pPr>
    </w:p>
    <w:p w14:paraId="4138D5DE" w14:textId="0B0A2138"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Despite the importance of sweet potato in Anambra State, ethnobotanical studies focusing specifically on its cultural uses, traditional storage systems, and indigenous conservation practices remain limited. Existing research has largely emphasized agronomic performance, nutritional composition, or post-harvest pathology (</w:t>
      </w:r>
      <w:proofErr w:type="spellStart"/>
      <w:r w:rsidRPr="007F6CB3">
        <w:rPr>
          <w:rFonts w:ascii="Times New Roman" w:hAnsi="Times New Roman" w:cs="Times New Roman"/>
          <w:sz w:val="24"/>
          <w:szCs w:val="24"/>
        </w:rPr>
        <w:t>Loebenstein</w:t>
      </w:r>
      <w:proofErr w:type="spellEnd"/>
      <w:r w:rsidRPr="007F6CB3">
        <w:rPr>
          <w:rFonts w:ascii="Times New Roman" w:hAnsi="Times New Roman" w:cs="Times New Roman"/>
          <w:sz w:val="24"/>
          <w:szCs w:val="24"/>
        </w:rPr>
        <w:t xml:space="preserve">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w:t>
      </w:r>
      <w:proofErr w:type="spellStart"/>
      <w:r w:rsidRPr="007F6CB3">
        <w:rPr>
          <w:rFonts w:ascii="Times New Roman" w:hAnsi="Times New Roman" w:cs="Times New Roman"/>
          <w:sz w:val="24"/>
          <w:szCs w:val="24"/>
        </w:rPr>
        <w:t>Thottappilly</w:t>
      </w:r>
      <w:proofErr w:type="spellEnd"/>
      <w:r w:rsidRPr="007F6CB3">
        <w:rPr>
          <w:rFonts w:ascii="Times New Roman" w:hAnsi="Times New Roman" w:cs="Times New Roman"/>
          <w:sz w:val="24"/>
          <w:szCs w:val="24"/>
        </w:rPr>
        <w:t xml:space="preserve">, 2009), with insufficient attention to the sociocultural dimensions that sustain its cultivation and utilization. The absence of comprehensive documentation across the three senatorial zones of the state represents a significant knowledge gap, particularly at a time when biocultural diversity is increasingly threatened (Toledo </w:t>
      </w:r>
      <w:r w:rsidR="00DD46E7">
        <w:rPr>
          <w:rFonts w:ascii="Times New Roman" w:hAnsi="Times New Roman" w:cs="Times New Roman"/>
          <w:sz w:val="24"/>
          <w:szCs w:val="24"/>
        </w:rPr>
        <w:t>and</w:t>
      </w:r>
      <w:r w:rsidRPr="007F6CB3">
        <w:rPr>
          <w:rFonts w:ascii="Times New Roman" w:hAnsi="Times New Roman" w:cs="Times New Roman"/>
          <w:sz w:val="24"/>
          <w:szCs w:val="24"/>
        </w:rPr>
        <w:t xml:space="preserve"> Barrera-</w:t>
      </w:r>
      <w:proofErr w:type="spellStart"/>
      <w:r w:rsidRPr="007F6CB3">
        <w:rPr>
          <w:rFonts w:ascii="Times New Roman" w:hAnsi="Times New Roman" w:cs="Times New Roman"/>
          <w:sz w:val="24"/>
          <w:szCs w:val="24"/>
        </w:rPr>
        <w:t>Bassols</w:t>
      </w:r>
      <w:proofErr w:type="spellEnd"/>
      <w:r w:rsidRPr="007F6CB3">
        <w:rPr>
          <w:rFonts w:ascii="Times New Roman" w:hAnsi="Times New Roman" w:cs="Times New Roman"/>
          <w:sz w:val="24"/>
          <w:szCs w:val="24"/>
        </w:rPr>
        <w:t>, 2008).</w:t>
      </w:r>
    </w:p>
    <w:p w14:paraId="3C717479" w14:textId="77777777" w:rsidR="007F6CB3" w:rsidRPr="007F6CB3" w:rsidRDefault="007F6CB3" w:rsidP="007F6CB3">
      <w:pPr>
        <w:rPr>
          <w:rFonts w:ascii="Times New Roman" w:hAnsi="Times New Roman" w:cs="Times New Roman"/>
          <w:sz w:val="24"/>
          <w:szCs w:val="24"/>
        </w:rPr>
      </w:pPr>
    </w:p>
    <w:p w14:paraId="678E2317" w14:textId="7777777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Documenting indigenous knowledge related to </w:t>
      </w:r>
      <w:r w:rsidRPr="009D143E">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9D143E">
        <w:rPr>
          <w:rFonts w:ascii="Times New Roman" w:hAnsi="Times New Roman" w:cs="Times New Roman"/>
          <w:i/>
          <w:iCs/>
          <w:sz w:val="24"/>
          <w:szCs w:val="24"/>
        </w:rPr>
        <w:t>batatas</w:t>
      </w:r>
      <w:r w:rsidRPr="007F6CB3">
        <w:rPr>
          <w:rFonts w:ascii="Times New Roman" w:hAnsi="Times New Roman" w:cs="Times New Roman"/>
          <w:sz w:val="24"/>
          <w:szCs w:val="24"/>
        </w:rPr>
        <w:t xml:space="preserve"> is therefore both scientifically and socially imperative. Such documentation not only preserves valuable cultural heritage but also contributes to sustainable agricultural development by highlighting community-based conservation strategies and adaptive management practices (Altieri, 2004). Moreover, understanding how knowledge is distributed across gender, age groups, and occupational categories can inform policies aimed at strengthening knowledge transmission and promoting inclusive food system resilience (FAO, 2022).</w:t>
      </w:r>
    </w:p>
    <w:p w14:paraId="52E52117" w14:textId="77777777" w:rsidR="007F6CB3" w:rsidRPr="007F6CB3" w:rsidRDefault="007F6CB3" w:rsidP="007F6CB3">
      <w:pPr>
        <w:rPr>
          <w:rFonts w:ascii="Times New Roman" w:hAnsi="Times New Roman" w:cs="Times New Roman"/>
          <w:sz w:val="24"/>
          <w:szCs w:val="24"/>
        </w:rPr>
      </w:pPr>
    </w:p>
    <w:p w14:paraId="3B33533C" w14:textId="676AAFE7" w:rsidR="007F6CB3" w:rsidRPr="007F6CB3" w:rsidRDefault="007F6CB3" w:rsidP="007F6CB3">
      <w:pPr>
        <w:rPr>
          <w:rFonts w:ascii="Times New Roman" w:hAnsi="Times New Roman" w:cs="Times New Roman"/>
          <w:sz w:val="24"/>
          <w:szCs w:val="24"/>
        </w:rPr>
      </w:pPr>
      <w:r w:rsidRPr="007F6CB3">
        <w:rPr>
          <w:rFonts w:ascii="Times New Roman" w:hAnsi="Times New Roman" w:cs="Times New Roman"/>
          <w:sz w:val="24"/>
          <w:szCs w:val="24"/>
        </w:rPr>
        <w:t xml:space="preserve">This study, therefore, investigates the ethnobotanical significance of </w:t>
      </w:r>
      <w:r w:rsidRPr="00C368D2">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C368D2">
        <w:rPr>
          <w:rFonts w:ascii="Times New Roman" w:hAnsi="Times New Roman" w:cs="Times New Roman"/>
          <w:i/>
          <w:iCs/>
          <w:sz w:val="24"/>
          <w:szCs w:val="24"/>
        </w:rPr>
        <w:t>batatas</w:t>
      </w:r>
      <w:r w:rsidRPr="007F6CB3">
        <w:rPr>
          <w:rFonts w:ascii="Times New Roman" w:hAnsi="Times New Roman" w:cs="Times New Roman"/>
          <w:sz w:val="24"/>
          <w:szCs w:val="24"/>
        </w:rPr>
        <w:t xml:space="preserve"> in Anambra State, with emphasis on its cultural uses, traditional storage systems, and indigenous conservation knowledge. By integrating qualitative and quantitative ethnobotanical approaches (</w:t>
      </w:r>
      <w:proofErr w:type="spellStart"/>
      <w:r w:rsidR="00C368D2">
        <w:rPr>
          <w:rFonts w:ascii="Times New Roman" w:hAnsi="Times New Roman" w:cs="Times New Roman"/>
          <w:sz w:val="24"/>
          <w:szCs w:val="24"/>
        </w:rPr>
        <w:t>Agu</w:t>
      </w:r>
      <w:proofErr w:type="spellEnd"/>
      <w:r w:rsidR="00C368D2">
        <w:rPr>
          <w:rFonts w:ascii="Times New Roman" w:hAnsi="Times New Roman" w:cs="Times New Roman"/>
          <w:sz w:val="24"/>
          <w:szCs w:val="24"/>
        </w:rPr>
        <w:t xml:space="preserve"> </w:t>
      </w:r>
      <w:r w:rsidR="00C368D2" w:rsidRPr="00C368D2">
        <w:rPr>
          <w:rFonts w:ascii="Times New Roman" w:hAnsi="Times New Roman" w:cs="Times New Roman"/>
          <w:i/>
          <w:iCs/>
          <w:sz w:val="24"/>
          <w:szCs w:val="24"/>
        </w:rPr>
        <w:t>et</w:t>
      </w:r>
      <w:r w:rsidR="00C368D2">
        <w:rPr>
          <w:rFonts w:ascii="Times New Roman" w:hAnsi="Times New Roman" w:cs="Times New Roman"/>
          <w:sz w:val="24"/>
          <w:szCs w:val="24"/>
        </w:rPr>
        <w:t xml:space="preserve"> </w:t>
      </w:r>
      <w:r w:rsidR="00C368D2" w:rsidRPr="00C368D2">
        <w:rPr>
          <w:rFonts w:ascii="Times New Roman" w:hAnsi="Times New Roman" w:cs="Times New Roman"/>
          <w:i/>
          <w:iCs/>
          <w:sz w:val="24"/>
          <w:szCs w:val="24"/>
        </w:rPr>
        <w:t>al</w:t>
      </w:r>
      <w:r w:rsidR="00C368D2">
        <w:rPr>
          <w:rFonts w:ascii="Times New Roman" w:hAnsi="Times New Roman" w:cs="Times New Roman"/>
          <w:sz w:val="24"/>
          <w:szCs w:val="24"/>
        </w:rPr>
        <w:t>., 201</w:t>
      </w:r>
      <w:r w:rsidRPr="007F6CB3">
        <w:rPr>
          <w:rFonts w:ascii="Times New Roman" w:hAnsi="Times New Roman" w:cs="Times New Roman"/>
          <w:sz w:val="24"/>
          <w:szCs w:val="24"/>
        </w:rPr>
        <w:t>5), the research seeks to provide a comprehensive account of the crop’s role within local communities and to contribute to broader discussions on indigenous food systems, agrobiodiversity conservation, and sustainable rural livelihoods.</w:t>
      </w:r>
    </w:p>
    <w:p w14:paraId="3B0D0382" w14:textId="77777777" w:rsidR="007F6CB3" w:rsidRPr="007F6CB3" w:rsidRDefault="007F6CB3" w:rsidP="007F6CB3">
      <w:pPr>
        <w:rPr>
          <w:rFonts w:ascii="Times New Roman" w:hAnsi="Times New Roman" w:cs="Times New Roman"/>
          <w:sz w:val="24"/>
          <w:szCs w:val="24"/>
        </w:rPr>
      </w:pPr>
    </w:p>
    <w:p w14:paraId="054A6315" w14:textId="77777777" w:rsidR="007F6CB3" w:rsidRPr="007F6CB3" w:rsidRDefault="007F6CB3" w:rsidP="00E16114">
      <w:pPr>
        <w:spacing w:line="480" w:lineRule="auto"/>
        <w:jc w:val="both"/>
        <w:rPr>
          <w:rFonts w:ascii="Times New Roman" w:hAnsi="Times New Roman" w:cs="Times New Roman"/>
          <w:b/>
          <w:sz w:val="24"/>
          <w:szCs w:val="24"/>
        </w:rPr>
      </w:pPr>
    </w:p>
    <w:p w14:paraId="6E9CF668" w14:textId="77777777" w:rsidR="00B013F0" w:rsidRPr="007F6CB3" w:rsidRDefault="00B013F0"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METHODOLOGY</w:t>
      </w:r>
    </w:p>
    <w:p w14:paraId="2A50FFDB" w14:textId="0542CC1C" w:rsidR="00E16114" w:rsidRPr="007F6CB3" w:rsidRDefault="00E16114" w:rsidP="00E16114">
      <w:pPr>
        <w:spacing w:line="480" w:lineRule="auto"/>
        <w:jc w:val="both"/>
        <w:rPr>
          <w:rFonts w:ascii="Times New Roman" w:hAnsi="Times New Roman" w:cs="Times New Roman"/>
          <w:b/>
          <w:sz w:val="24"/>
          <w:szCs w:val="24"/>
        </w:rPr>
      </w:pPr>
      <w:r w:rsidRPr="007F6CB3">
        <w:rPr>
          <w:rFonts w:ascii="Times New Roman" w:hAnsi="Times New Roman" w:cs="Times New Roman"/>
          <w:b/>
          <w:sz w:val="24"/>
          <w:szCs w:val="24"/>
        </w:rPr>
        <w:t xml:space="preserve"> Ethno-Botanical Study of Sweet Potato (</w:t>
      </w:r>
      <w:proofErr w:type="spellStart"/>
      <w:r w:rsidRPr="007F6CB3">
        <w:rPr>
          <w:rFonts w:ascii="Times New Roman" w:hAnsi="Times New Roman" w:cs="Times New Roman"/>
          <w:b/>
          <w:i/>
          <w:iCs/>
          <w:sz w:val="24"/>
          <w:szCs w:val="24"/>
        </w:rPr>
        <w:t>Ipomea</w:t>
      </w:r>
      <w:proofErr w:type="spellEnd"/>
      <w:r w:rsidRPr="007F6CB3">
        <w:rPr>
          <w:rFonts w:ascii="Times New Roman" w:hAnsi="Times New Roman" w:cs="Times New Roman"/>
          <w:b/>
          <w:sz w:val="24"/>
          <w:szCs w:val="24"/>
        </w:rPr>
        <w:t xml:space="preserve"> </w:t>
      </w:r>
      <w:r w:rsidRPr="007F6CB3">
        <w:rPr>
          <w:rFonts w:ascii="Times New Roman" w:hAnsi="Times New Roman" w:cs="Times New Roman"/>
          <w:b/>
          <w:i/>
          <w:iCs/>
          <w:sz w:val="24"/>
          <w:szCs w:val="24"/>
        </w:rPr>
        <w:t>batatas</w:t>
      </w:r>
      <w:r w:rsidRPr="007F6CB3">
        <w:rPr>
          <w:rFonts w:ascii="Times New Roman" w:hAnsi="Times New Roman" w:cs="Times New Roman"/>
          <w:b/>
          <w:sz w:val="24"/>
          <w:szCs w:val="24"/>
        </w:rPr>
        <w:t xml:space="preserve"> (L.) Lam.)</w:t>
      </w:r>
    </w:p>
    <w:bookmarkEnd w:id="0"/>
    <w:p w14:paraId="00744C28"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The methods adopted in this present study were that of </w:t>
      </w:r>
      <w:proofErr w:type="spellStart"/>
      <w:r w:rsidRPr="007F6CB3">
        <w:rPr>
          <w:rFonts w:ascii="Times New Roman" w:hAnsi="Times New Roman" w:cs="Times New Roman"/>
          <w:bCs/>
          <w:sz w:val="24"/>
          <w:szCs w:val="24"/>
        </w:rPr>
        <w:t>Okigbo</w:t>
      </w:r>
      <w:proofErr w:type="spellEnd"/>
      <w:r w:rsidRPr="007F6CB3">
        <w:rPr>
          <w:rFonts w:ascii="Times New Roman" w:hAnsi="Times New Roman" w:cs="Times New Roman"/>
          <w:bCs/>
          <w:sz w:val="24"/>
          <w:szCs w:val="24"/>
        </w:rPr>
        <w:t xml:space="preserve"> and </w:t>
      </w:r>
      <w:proofErr w:type="spellStart"/>
      <w:r w:rsidRPr="007F6CB3">
        <w:rPr>
          <w:rFonts w:ascii="Times New Roman" w:hAnsi="Times New Roman" w:cs="Times New Roman"/>
          <w:bCs/>
          <w:sz w:val="24"/>
          <w:szCs w:val="24"/>
        </w:rPr>
        <w:t>Nwatu</w:t>
      </w:r>
      <w:proofErr w:type="spellEnd"/>
      <w:r w:rsidRPr="007F6CB3">
        <w:rPr>
          <w:rFonts w:ascii="Times New Roman" w:hAnsi="Times New Roman" w:cs="Times New Roman"/>
          <w:bCs/>
          <w:sz w:val="24"/>
          <w:szCs w:val="24"/>
        </w:rPr>
        <w:t xml:space="preserve"> (2015);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w:t>
      </w:r>
      <w:proofErr w:type="spellStart"/>
      <w:r w:rsidRPr="007F6CB3">
        <w:rPr>
          <w:rFonts w:ascii="Times New Roman" w:hAnsi="Times New Roman" w:cs="Times New Roman"/>
          <w:bCs/>
          <w:sz w:val="24"/>
          <w:szCs w:val="24"/>
        </w:rPr>
        <w:t>Ema</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xml:space="preserve">. (2023). This consisted of the use of a well-structured, pre-tested questionnaire on sweet potato- its functions, importance, cultural value, cultivation as well as post-harvest handling was designed and administered randomly to respondents within the study area so as to obtain vital information in the field. The method of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was used in the field work in order to process interviews, public meetings, local informants, review of secondary and grey literatures and keen observations. The survey on Ethnobotanical study was conducted between September, 2025 to December, 2025 in three senatorial zones of Anambra State, Nigeria. The zones are Anambra North, Anambra Central and Anambra South Senatorial Zones, with each consisting of seven Local Government Areas.</w:t>
      </w:r>
    </w:p>
    <w:p w14:paraId="089A401D"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The questionnaire was made up of five sections, namely: The first section was made up of basic information about the respondents , while the second to the fifth sections focused more on the </w:t>
      </w:r>
      <w:r w:rsidRPr="007F6CB3">
        <w:rPr>
          <w:rFonts w:ascii="Times New Roman" w:hAnsi="Times New Roman" w:cs="Times New Roman"/>
          <w:bCs/>
          <w:sz w:val="24"/>
          <w:szCs w:val="24"/>
        </w:rPr>
        <w:lastRenderedPageBreak/>
        <w:t>cultivation and post-harvest handling practices, conservation of sweet potato, socio-cultural importance of sweet potato, as well as income generation or status of farmers to get to know the major practices that may likely predispose potato in the study areas to rot and fungal attacks in storage.</w:t>
      </w:r>
    </w:p>
    <w:p w14:paraId="209A3C64"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study adopted a multistage sampling procedure, i.e. in the first stage; stakeholders were targeted, purposely chosen and interviewed from farms and potato loading and offloading points in the study areas. The second stage involved more about the review of grey literatures and comparisons with results from the fieldwork (</w:t>
      </w:r>
      <w:proofErr w:type="spellStart"/>
      <w:r w:rsidRPr="007F6CB3">
        <w:rPr>
          <w:rFonts w:ascii="Times New Roman" w:hAnsi="Times New Roman" w:cs="Times New Roman"/>
          <w:bCs/>
          <w:sz w:val="24"/>
          <w:szCs w:val="24"/>
        </w:rPr>
        <w:t>Ema</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2023).</w:t>
      </w:r>
    </w:p>
    <w:p w14:paraId="580B973A"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interviews were divided into two demographic categories (60 years and above and below 60 years) to understand generational differences and associated perceptions related to the topic of study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A public meeting was organized at the point of potato loading and offloading. According to </w:t>
      </w:r>
      <w:proofErr w:type="spellStart"/>
      <w:r w:rsidRPr="007F6CB3">
        <w:rPr>
          <w:rFonts w:ascii="Times New Roman" w:hAnsi="Times New Roman" w:cs="Times New Roman"/>
          <w:bCs/>
          <w:sz w:val="24"/>
          <w:szCs w:val="24"/>
        </w:rPr>
        <w:t>Obidiegwu</w:t>
      </w:r>
      <w:proofErr w:type="spellEnd"/>
      <w:r w:rsidRPr="007F6CB3">
        <w:rPr>
          <w:rFonts w:ascii="Times New Roman" w:hAnsi="Times New Roman" w:cs="Times New Roman"/>
          <w:bCs/>
          <w:sz w:val="24"/>
          <w:szCs w:val="24"/>
        </w:rPr>
        <w:t xml:space="preserve"> and Akpabio (2017), these informal potato stations signify a wider representation of potato farmers and distribution of stakeholders from all demographic categories. These stakeholders were interviewed to discern their level of perception of potato farming and livelihood practices. A single interview lasted on average between forty-five minutes to one hour using audio tape. Four local informants were used to facilitate community entry, interaction with interviewees, clarification of issues and interpretation of local dialects.</w:t>
      </w:r>
    </w:p>
    <w:p w14:paraId="4FB5702D" w14:textId="3557D215"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Field notes were recorded, categorized and thematized. The questionnaires were sorted accordingly and data collected were used for analysis. </w:t>
      </w:r>
    </w:p>
    <w:p w14:paraId="7E9D3B98" w14:textId="485455F3" w:rsidR="00E16114" w:rsidRPr="007F6CB3" w:rsidRDefault="00E16114" w:rsidP="00E16114">
      <w:pPr>
        <w:spacing w:line="480" w:lineRule="auto"/>
        <w:jc w:val="both"/>
        <w:rPr>
          <w:rFonts w:ascii="Times New Roman" w:hAnsi="Times New Roman" w:cs="Times New Roman"/>
          <w:b/>
          <w:sz w:val="24"/>
          <w:szCs w:val="24"/>
        </w:rPr>
      </w:pPr>
      <w:bookmarkStart w:id="1" w:name="_Hlk221323245"/>
      <w:r w:rsidRPr="007F6CB3">
        <w:rPr>
          <w:rFonts w:ascii="Times New Roman" w:hAnsi="Times New Roman" w:cs="Times New Roman"/>
          <w:b/>
          <w:sz w:val="24"/>
          <w:szCs w:val="24"/>
        </w:rPr>
        <w:t>Sampling Frame</w:t>
      </w:r>
    </w:p>
    <w:bookmarkEnd w:id="1"/>
    <w:p w14:paraId="710440D5"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     The respondents to the questionnaires were the Igbo-speaking ethnic group of the three Senatorial Zones of Anambra State of Nigeria. The choice of selecting these areas is because they </w:t>
      </w:r>
      <w:r w:rsidRPr="007F6CB3">
        <w:rPr>
          <w:rFonts w:ascii="Times New Roman" w:hAnsi="Times New Roman" w:cs="Times New Roman"/>
          <w:bCs/>
          <w:sz w:val="24"/>
          <w:szCs w:val="24"/>
        </w:rPr>
        <w:lastRenderedPageBreak/>
        <w:t>are predominantly found in Igbo land. All the people in these Senatorial Zones, speak the same language, Igbo with slight variations in their pronunciations and intonations.</w:t>
      </w:r>
    </w:p>
    <w:p w14:paraId="4B382D14" w14:textId="0D97FD3E" w:rsidR="00E16114" w:rsidRPr="007F6CB3" w:rsidRDefault="00E16114" w:rsidP="00E16114">
      <w:pPr>
        <w:spacing w:line="480" w:lineRule="auto"/>
        <w:jc w:val="both"/>
        <w:rPr>
          <w:rFonts w:ascii="Times New Roman" w:hAnsi="Times New Roman" w:cs="Times New Roman"/>
          <w:b/>
          <w:sz w:val="24"/>
          <w:szCs w:val="24"/>
        </w:rPr>
      </w:pPr>
      <w:bookmarkStart w:id="2" w:name="_Hlk221323265"/>
      <w:r w:rsidRPr="007F6CB3">
        <w:rPr>
          <w:rFonts w:ascii="Times New Roman" w:hAnsi="Times New Roman" w:cs="Times New Roman"/>
          <w:b/>
          <w:sz w:val="24"/>
          <w:szCs w:val="24"/>
        </w:rPr>
        <w:t>Sample Size/Sample Procedure: Administration of questionnaire</w:t>
      </w:r>
    </w:p>
    <w:bookmarkEnd w:id="2"/>
    <w:p w14:paraId="4526424A"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A well-structured pre-test questionnaire was designed to assist in obtaining crucial information from respondents in the study area (Appendix 1). Six hundred (600) questionnaires were produced and distributed randomly to each of the three Senatorial Zones in Anambra State.</w:t>
      </w:r>
    </w:p>
    <w:p w14:paraId="67C9EB8B" w14:textId="77777777" w:rsidR="00E16114" w:rsidRPr="007F6CB3" w:rsidRDefault="00E16114" w:rsidP="00E16114">
      <w:p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The questionnaire that was used to get vital information from the respondents were constructed as follows:</w:t>
      </w:r>
    </w:p>
    <w:p w14:paraId="485E2B75"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Personal data/ details such as age, sex, educational qualification, occupation, etc.</w:t>
      </w:r>
    </w:p>
    <w:p w14:paraId="5FB5F9EC"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Indigenous cultivation practices of sweet potato.</w:t>
      </w:r>
    </w:p>
    <w:p w14:paraId="6341CB71"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Post-harvest handling of sweet potato.</w:t>
      </w:r>
    </w:p>
    <w:p w14:paraId="6E269FCA"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Conservation of sweet potato.</w:t>
      </w:r>
    </w:p>
    <w:p w14:paraId="5ACCFE3E"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Ethno-Botanical and Socio-cultural importance of sweet potato.</w:t>
      </w:r>
    </w:p>
    <w:p w14:paraId="05428617"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Income generation and Socio-economic status of sweet potato.</w:t>
      </w:r>
    </w:p>
    <w:p w14:paraId="641ED39B" w14:textId="77777777" w:rsidR="00E16114" w:rsidRPr="007F6CB3" w:rsidRDefault="00E16114" w:rsidP="00E16114">
      <w:pPr>
        <w:pStyle w:val="ListParagraph"/>
        <w:numPr>
          <w:ilvl w:val="0"/>
          <w:numId w:val="1"/>
        </w:numPr>
        <w:spacing w:line="480" w:lineRule="auto"/>
        <w:jc w:val="both"/>
        <w:rPr>
          <w:rFonts w:ascii="Times New Roman" w:hAnsi="Times New Roman" w:cs="Times New Roman"/>
          <w:bCs/>
          <w:sz w:val="24"/>
          <w:szCs w:val="24"/>
        </w:rPr>
      </w:pPr>
      <w:r w:rsidRPr="007F6CB3">
        <w:rPr>
          <w:rFonts w:ascii="Times New Roman" w:hAnsi="Times New Roman" w:cs="Times New Roman"/>
          <w:bCs/>
          <w:sz w:val="24"/>
          <w:szCs w:val="24"/>
        </w:rPr>
        <w:t xml:space="preserve">Knowledge and perception of bio-fungicides and </w:t>
      </w:r>
      <w:r w:rsidRPr="007F6CB3">
        <w:rPr>
          <w:rFonts w:ascii="Times New Roman" w:hAnsi="Times New Roman" w:cs="Times New Roman"/>
          <w:bCs/>
          <w:i/>
          <w:iCs/>
          <w:sz w:val="24"/>
          <w:szCs w:val="24"/>
        </w:rPr>
        <w:t>Lactobacillus</w:t>
      </w:r>
      <w:r w:rsidRPr="007F6CB3">
        <w:rPr>
          <w:rFonts w:ascii="Times New Roman" w:hAnsi="Times New Roman" w:cs="Times New Roman"/>
          <w:bCs/>
          <w:sz w:val="24"/>
          <w:szCs w:val="24"/>
        </w:rPr>
        <w:t xml:space="preserve"> species.</w:t>
      </w:r>
    </w:p>
    <w:p w14:paraId="2CAA4DBD" w14:textId="0703DC75" w:rsidR="00E16114" w:rsidRPr="007F6CB3" w:rsidRDefault="00E16114" w:rsidP="00E16114">
      <w:pPr>
        <w:pStyle w:val="ListParagraph"/>
        <w:spacing w:line="480" w:lineRule="auto"/>
        <w:ind w:left="780"/>
        <w:jc w:val="both"/>
        <w:rPr>
          <w:rFonts w:ascii="Times New Roman" w:hAnsi="Times New Roman" w:cs="Times New Roman"/>
          <w:b/>
          <w:sz w:val="24"/>
          <w:szCs w:val="24"/>
        </w:rPr>
      </w:pPr>
      <w:r w:rsidRPr="007F6CB3">
        <w:rPr>
          <w:rFonts w:ascii="Times New Roman" w:hAnsi="Times New Roman" w:cs="Times New Roman"/>
          <w:b/>
          <w:sz w:val="24"/>
          <w:szCs w:val="24"/>
        </w:rPr>
        <w:t>Study Area</w:t>
      </w:r>
    </w:p>
    <w:p w14:paraId="1C7505A8" w14:textId="77777777" w:rsidR="00E16114" w:rsidRPr="007F6CB3" w:rsidRDefault="00E16114" w:rsidP="00E16114">
      <w:pPr>
        <w:pStyle w:val="ListParagraph"/>
        <w:spacing w:line="480" w:lineRule="auto"/>
        <w:ind w:left="780"/>
        <w:jc w:val="both"/>
        <w:rPr>
          <w:rFonts w:ascii="Times New Roman" w:hAnsi="Times New Roman" w:cs="Times New Roman"/>
          <w:sz w:val="24"/>
          <w:szCs w:val="24"/>
        </w:rPr>
      </w:pPr>
      <w:r w:rsidRPr="007F6CB3">
        <w:rPr>
          <w:rFonts w:ascii="Times New Roman" w:hAnsi="Times New Roman" w:cs="Times New Roman"/>
          <w:sz w:val="24"/>
          <w:szCs w:val="24"/>
        </w:rPr>
        <w:t>This study was conducted in Anambra State, South-Eastern Nigeria. Geographically, South-Eastern Nigeria extends from latitudes 4</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40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to 7</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20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North and 6</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00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to 8</w:t>
      </w:r>
      <w:r w:rsidRPr="007F6CB3">
        <w:rPr>
          <w:rFonts w:ascii="Times New Roman" w:hAnsi="Times New Roman" w:cs="Times New Roman"/>
          <w:sz w:val="24"/>
          <w:szCs w:val="24"/>
          <w:vertAlign w:val="superscript"/>
        </w:rPr>
        <w:t>O</w:t>
      </w:r>
      <w:r w:rsidRPr="007F6CB3">
        <w:rPr>
          <w:rFonts w:ascii="Times New Roman" w:hAnsi="Times New Roman" w:cs="Times New Roman"/>
          <w:sz w:val="24"/>
          <w:szCs w:val="24"/>
        </w:rPr>
        <w:t xml:space="preserve"> 20</w:t>
      </w:r>
      <w:r w:rsidRPr="007F6CB3">
        <w:rPr>
          <w:rFonts w:ascii="Times New Roman" w:hAnsi="Times New Roman" w:cs="Times New Roman"/>
          <w:sz w:val="24"/>
          <w:szCs w:val="24"/>
          <w:vertAlign w:val="superscript"/>
        </w:rPr>
        <w:t>I</w:t>
      </w:r>
      <w:r w:rsidRPr="007F6CB3">
        <w:rPr>
          <w:rFonts w:ascii="Times New Roman" w:hAnsi="Times New Roman" w:cs="Times New Roman"/>
          <w:sz w:val="24"/>
          <w:szCs w:val="24"/>
        </w:rPr>
        <w:t xml:space="preserve"> East longitude. The culture area occupies about 50,000 km</w:t>
      </w:r>
      <w:r w:rsidRPr="007F6CB3">
        <w:rPr>
          <w:rFonts w:ascii="Times New Roman" w:hAnsi="Times New Roman" w:cs="Times New Roman"/>
          <w:sz w:val="24"/>
          <w:szCs w:val="24"/>
          <w:vertAlign w:val="superscript"/>
        </w:rPr>
        <w:t>2</w:t>
      </w:r>
      <w:r w:rsidRPr="007F6CB3">
        <w:rPr>
          <w:rFonts w:ascii="Times New Roman" w:hAnsi="Times New Roman" w:cs="Times New Roman"/>
          <w:sz w:val="24"/>
          <w:szCs w:val="24"/>
        </w:rPr>
        <w:t xml:space="preserve"> of Nigeria’s total area of 923, 768km</w:t>
      </w:r>
      <w:r w:rsidRPr="007F6CB3">
        <w:rPr>
          <w:rFonts w:ascii="Times New Roman" w:hAnsi="Times New Roman" w:cs="Times New Roman"/>
          <w:sz w:val="24"/>
          <w:szCs w:val="24"/>
          <w:vertAlign w:val="superscript"/>
        </w:rPr>
        <w:t>2</w:t>
      </w:r>
      <w:r w:rsidRPr="007F6CB3">
        <w:rPr>
          <w:rFonts w:ascii="Times New Roman" w:hAnsi="Times New Roman" w:cs="Times New Roman"/>
          <w:sz w:val="24"/>
          <w:szCs w:val="24"/>
        </w:rPr>
        <w:t xml:space="preserve">. A 2006 Census population estimate by the National Population Commission (NPC) reported that the South-Eastern Nigeria has a population of 30 million people (NPC, 2006). The crops commonly grown in this region include but not limited to sweet potato, cassava, cocoyam, and various vegetables and fruits.  The natural vegetation in many parts </w:t>
      </w:r>
      <w:r w:rsidRPr="007F6CB3">
        <w:rPr>
          <w:rFonts w:ascii="Times New Roman" w:hAnsi="Times New Roman" w:cs="Times New Roman"/>
          <w:sz w:val="24"/>
          <w:szCs w:val="24"/>
        </w:rPr>
        <w:lastRenderedPageBreak/>
        <w:t>of South-Eastern states is mainly grassland and woodland as well as tropical rainforest (Wikipedia, 2022). Also, the annual rainfall is between 1400mm in the north to 2500mm in the south with soil pH in some parts ranging from 3.5 to 6.4 (</w:t>
      </w:r>
      <w:proofErr w:type="spellStart"/>
      <w:r w:rsidRPr="007F6CB3">
        <w:rPr>
          <w:rFonts w:ascii="Times New Roman" w:hAnsi="Times New Roman" w:cs="Times New Roman"/>
          <w:sz w:val="24"/>
          <w:szCs w:val="24"/>
        </w:rPr>
        <w:t>Igwilo</w:t>
      </w:r>
      <w:proofErr w:type="spellEnd"/>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et al</w:t>
      </w:r>
      <w:r w:rsidRPr="007F6CB3">
        <w:rPr>
          <w:rFonts w:ascii="Times New Roman" w:hAnsi="Times New Roman" w:cs="Times New Roman"/>
          <w:sz w:val="24"/>
          <w:szCs w:val="24"/>
        </w:rPr>
        <w:t>., 2006).</w:t>
      </w:r>
      <w:r w:rsidRPr="007F6CB3">
        <w:rPr>
          <w:rFonts w:ascii="Times New Roman" w:hAnsi="Times New Roman" w:cs="Times New Roman"/>
          <w:noProof/>
          <w:sz w:val="24"/>
          <w:szCs w:val="24"/>
        </w:rPr>
        <w:t xml:space="preserve"> </w:t>
      </w:r>
      <w:r w:rsidRPr="007F6CB3">
        <w:rPr>
          <w:rFonts w:ascii="Times New Roman" w:hAnsi="Times New Roman" w:cs="Times New Roman"/>
          <w:noProof/>
          <w:sz w:val="24"/>
          <w:szCs w:val="24"/>
        </w:rPr>
        <w:drawing>
          <wp:inline distT="0" distB="0" distL="0" distR="0" wp14:anchorId="6D08E05F" wp14:editId="08949945">
            <wp:extent cx="4953000" cy="4229100"/>
            <wp:effectExtent l="0" t="0" r="0" b="0"/>
            <wp:docPr id="91940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09372"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0" cy="4229100"/>
                    </a:xfrm>
                    <a:prstGeom prst="rect">
                      <a:avLst/>
                    </a:prstGeom>
                    <a:noFill/>
                    <a:ln>
                      <a:noFill/>
                    </a:ln>
                  </pic:spPr>
                </pic:pic>
              </a:graphicData>
            </a:graphic>
          </wp:inline>
        </w:drawing>
      </w:r>
    </w:p>
    <w:p w14:paraId="5066C822" w14:textId="77777777" w:rsidR="00E16114" w:rsidRPr="007F6CB3" w:rsidRDefault="00E16114" w:rsidP="00E16114">
      <w:pPr>
        <w:pStyle w:val="ListParagraph"/>
        <w:spacing w:line="480" w:lineRule="auto"/>
        <w:ind w:left="780"/>
        <w:jc w:val="both"/>
        <w:rPr>
          <w:rFonts w:ascii="Times New Roman" w:hAnsi="Times New Roman" w:cs="Times New Roman"/>
          <w:b/>
          <w:sz w:val="24"/>
          <w:szCs w:val="24"/>
        </w:rPr>
      </w:pPr>
      <w:r w:rsidRPr="007F6CB3">
        <w:rPr>
          <w:rFonts w:ascii="Times New Roman" w:hAnsi="Times New Roman" w:cs="Times New Roman"/>
          <w:b/>
          <w:sz w:val="24"/>
          <w:szCs w:val="24"/>
        </w:rPr>
        <w:t>Fig. 1: Map of Anambra State, Nigeria showing 21 Local Government Areas</w:t>
      </w:r>
    </w:p>
    <w:p w14:paraId="1218B2D8" w14:textId="77777777" w:rsidR="00E16114" w:rsidRPr="007F6CB3" w:rsidRDefault="00E16114" w:rsidP="00E16114">
      <w:pPr>
        <w:pStyle w:val="ListParagraph"/>
        <w:spacing w:line="480" w:lineRule="auto"/>
        <w:ind w:left="780"/>
        <w:jc w:val="both"/>
        <w:rPr>
          <w:rFonts w:ascii="Times New Roman" w:hAnsi="Times New Roman" w:cs="Times New Roman"/>
          <w:bCs/>
          <w:sz w:val="24"/>
          <w:szCs w:val="24"/>
        </w:rPr>
      </w:pPr>
      <w:r w:rsidRPr="007F6CB3">
        <w:rPr>
          <w:rFonts w:ascii="Times New Roman" w:hAnsi="Times New Roman" w:cs="Times New Roman"/>
          <w:bCs/>
          <w:sz w:val="24"/>
          <w:szCs w:val="24"/>
        </w:rPr>
        <w:t>Source: (</w:t>
      </w:r>
      <w:proofErr w:type="spellStart"/>
      <w:r w:rsidRPr="007F6CB3">
        <w:rPr>
          <w:rFonts w:ascii="Times New Roman" w:hAnsi="Times New Roman" w:cs="Times New Roman"/>
          <w:bCs/>
          <w:sz w:val="24"/>
          <w:szCs w:val="24"/>
        </w:rPr>
        <w:t>Ezenwaji</w:t>
      </w:r>
      <w:proofErr w:type="spellEnd"/>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et</w:t>
      </w:r>
      <w:r w:rsidRPr="007F6CB3">
        <w:rPr>
          <w:rFonts w:ascii="Times New Roman" w:hAnsi="Times New Roman" w:cs="Times New Roman"/>
          <w:bCs/>
          <w:sz w:val="24"/>
          <w:szCs w:val="24"/>
        </w:rPr>
        <w:t xml:space="preserve"> </w:t>
      </w:r>
      <w:r w:rsidRPr="007F6CB3">
        <w:rPr>
          <w:rFonts w:ascii="Times New Roman" w:hAnsi="Times New Roman" w:cs="Times New Roman"/>
          <w:bCs/>
          <w:i/>
          <w:iCs/>
          <w:sz w:val="24"/>
          <w:szCs w:val="24"/>
        </w:rPr>
        <w:t>al</w:t>
      </w:r>
      <w:r w:rsidRPr="007F6CB3">
        <w:rPr>
          <w:rFonts w:ascii="Times New Roman" w:hAnsi="Times New Roman" w:cs="Times New Roman"/>
          <w:bCs/>
          <w:sz w:val="24"/>
          <w:szCs w:val="24"/>
        </w:rPr>
        <w:t>., 2014).</w:t>
      </w:r>
    </w:p>
    <w:p w14:paraId="5891D0EC" w14:textId="77777777" w:rsidR="00E16114" w:rsidRDefault="00E16114" w:rsidP="00E16114">
      <w:pPr>
        <w:pStyle w:val="ListParagraph"/>
        <w:spacing w:line="480" w:lineRule="auto"/>
        <w:ind w:left="780"/>
        <w:jc w:val="both"/>
        <w:rPr>
          <w:rFonts w:ascii="Times New Roman" w:hAnsi="Times New Roman" w:cs="Times New Roman"/>
          <w:b/>
          <w:sz w:val="24"/>
          <w:szCs w:val="24"/>
        </w:rPr>
      </w:pPr>
    </w:p>
    <w:p w14:paraId="4C900B4D" w14:textId="7093E89C" w:rsidR="00F85B9F" w:rsidRDefault="004E4FA0" w:rsidP="00E16114">
      <w:pPr>
        <w:pStyle w:val="ListParagraph"/>
        <w:spacing w:line="480" w:lineRule="auto"/>
        <w:ind w:left="780"/>
        <w:jc w:val="both"/>
        <w:rPr>
          <w:rFonts w:ascii="Times New Roman" w:hAnsi="Times New Roman" w:cs="Times New Roman"/>
          <w:bCs/>
          <w:sz w:val="24"/>
          <w:szCs w:val="24"/>
        </w:rPr>
      </w:pPr>
      <w:r>
        <w:rPr>
          <w:rFonts w:ascii="Times New Roman" w:hAnsi="Times New Roman" w:cs="Times New Roman"/>
          <w:b/>
          <w:sz w:val="24"/>
          <w:szCs w:val="24"/>
        </w:rPr>
        <w:t xml:space="preserve">Statistical Analyses:  </w:t>
      </w:r>
      <w:r>
        <w:rPr>
          <w:rFonts w:ascii="Times New Roman" w:hAnsi="Times New Roman" w:cs="Times New Roman"/>
          <w:bCs/>
          <w:sz w:val="24"/>
          <w:szCs w:val="24"/>
        </w:rPr>
        <w:t>the statistical method used to analyze the tables was descriptive statistic</w:t>
      </w:r>
      <w:r w:rsidR="00D8778B">
        <w:rPr>
          <w:rFonts w:ascii="Times New Roman" w:hAnsi="Times New Roman" w:cs="Times New Roman"/>
          <w:bCs/>
          <w:sz w:val="24"/>
          <w:szCs w:val="24"/>
        </w:rPr>
        <w:t>al method. Specifically, the study employed:</w:t>
      </w:r>
    </w:p>
    <w:p w14:paraId="0987A84C" w14:textId="2D7AC7D8" w:rsidR="00D8778B" w:rsidRPr="00CC5848" w:rsidRDefault="00D8778B" w:rsidP="00E16114">
      <w:pPr>
        <w:pStyle w:val="ListParagraph"/>
        <w:spacing w:line="480" w:lineRule="auto"/>
        <w:ind w:left="780"/>
        <w:jc w:val="both"/>
        <w:rPr>
          <w:rFonts w:ascii="Times New Roman" w:hAnsi="Times New Roman" w:cs="Times New Roman"/>
          <w:bCs/>
          <w:sz w:val="24"/>
          <w:szCs w:val="24"/>
        </w:rPr>
      </w:pPr>
      <w:r w:rsidRPr="00CC5848">
        <w:rPr>
          <w:rFonts w:ascii="Times New Roman" w:hAnsi="Times New Roman" w:cs="Times New Roman"/>
          <w:bCs/>
          <w:sz w:val="24"/>
          <w:szCs w:val="24"/>
        </w:rPr>
        <w:t>Frequency distribution</w:t>
      </w:r>
    </w:p>
    <w:p w14:paraId="7F367845" w14:textId="234FF8B6" w:rsidR="00D8778B" w:rsidRPr="00CC5848" w:rsidRDefault="00D8778B" w:rsidP="00E16114">
      <w:pPr>
        <w:pStyle w:val="ListParagraph"/>
        <w:spacing w:line="480" w:lineRule="auto"/>
        <w:ind w:left="780"/>
        <w:jc w:val="both"/>
        <w:rPr>
          <w:rFonts w:ascii="Times New Roman" w:hAnsi="Times New Roman" w:cs="Times New Roman"/>
          <w:bCs/>
          <w:sz w:val="24"/>
          <w:szCs w:val="24"/>
        </w:rPr>
      </w:pPr>
      <w:r w:rsidRPr="00CC5848">
        <w:rPr>
          <w:rFonts w:ascii="Times New Roman" w:hAnsi="Times New Roman" w:cs="Times New Roman"/>
          <w:bCs/>
          <w:sz w:val="24"/>
          <w:szCs w:val="24"/>
        </w:rPr>
        <w:t>Percentages</w:t>
      </w:r>
      <w:r w:rsidR="00CC5848" w:rsidRPr="00CC5848">
        <w:rPr>
          <w:rFonts w:ascii="Times New Roman" w:hAnsi="Times New Roman" w:cs="Times New Roman"/>
          <w:bCs/>
          <w:sz w:val="24"/>
          <w:szCs w:val="24"/>
        </w:rPr>
        <w:t xml:space="preserve"> </w:t>
      </w:r>
      <w:r w:rsidRPr="00CC5848">
        <w:rPr>
          <w:rFonts w:ascii="Times New Roman" w:hAnsi="Times New Roman" w:cs="Times New Roman"/>
          <w:bCs/>
          <w:sz w:val="24"/>
          <w:szCs w:val="24"/>
        </w:rPr>
        <w:t>(%)</w:t>
      </w:r>
    </w:p>
    <w:p w14:paraId="586FDDA0" w14:textId="30FA159E" w:rsidR="00D8778B" w:rsidRPr="00CC5848" w:rsidRDefault="00D8778B" w:rsidP="00E16114">
      <w:pPr>
        <w:pStyle w:val="ListParagraph"/>
        <w:spacing w:line="480" w:lineRule="auto"/>
        <w:ind w:left="780"/>
        <w:jc w:val="both"/>
        <w:rPr>
          <w:rFonts w:ascii="Times New Roman" w:hAnsi="Times New Roman" w:cs="Times New Roman"/>
          <w:bCs/>
          <w:sz w:val="24"/>
          <w:szCs w:val="24"/>
        </w:rPr>
      </w:pPr>
      <w:r w:rsidRPr="00CC5848">
        <w:rPr>
          <w:rFonts w:ascii="Times New Roman" w:hAnsi="Times New Roman" w:cs="Times New Roman"/>
          <w:bCs/>
          <w:sz w:val="24"/>
          <w:szCs w:val="24"/>
        </w:rPr>
        <w:t>Cumulative frequencies</w:t>
      </w:r>
    </w:p>
    <w:p w14:paraId="20C845CC" w14:textId="3C7CD23A" w:rsidR="00D8778B" w:rsidRPr="00CC5848" w:rsidRDefault="00D8778B" w:rsidP="00E16114">
      <w:pPr>
        <w:pStyle w:val="ListParagraph"/>
        <w:spacing w:line="480" w:lineRule="auto"/>
        <w:ind w:left="780"/>
        <w:jc w:val="both"/>
        <w:rPr>
          <w:rFonts w:ascii="Times New Roman" w:hAnsi="Times New Roman" w:cs="Times New Roman"/>
          <w:bCs/>
          <w:sz w:val="24"/>
          <w:szCs w:val="24"/>
        </w:rPr>
      </w:pPr>
      <w:r w:rsidRPr="00CC5848">
        <w:rPr>
          <w:rFonts w:ascii="Times New Roman" w:hAnsi="Times New Roman" w:cs="Times New Roman"/>
          <w:bCs/>
          <w:sz w:val="24"/>
          <w:szCs w:val="24"/>
        </w:rPr>
        <w:lastRenderedPageBreak/>
        <w:t>Cumulative percentages</w:t>
      </w:r>
    </w:p>
    <w:p w14:paraId="73E0AA79" w14:textId="0B294335" w:rsidR="00D8778B" w:rsidRPr="00CC5848" w:rsidRDefault="00D8778B" w:rsidP="00E16114">
      <w:pPr>
        <w:pStyle w:val="ListParagraph"/>
        <w:spacing w:line="480" w:lineRule="auto"/>
        <w:ind w:left="780"/>
        <w:jc w:val="both"/>
        <w:rPr>
          <w:rFonts w:ascii="Times New Roman" w:hAnsi="Times New Roman" w:cs="Times New Roman"/>
          <w:bCs/>
          <w:sz w:val="24"/>
          <w:szCs w:val="24"/>
        </w:rPr>
      </w:pPr>
      <w:r w:rsidRPr="00CC5848">
        <w:rPr>
          <w:rFonts w:ascii="Times New Roman" w:hAnsi="Times New Roman" w:cs="Times New Roman"/>
          <w:bCs/>
          <w:sz w:val="24"/>
          <w:szCs w:val="24"/>
        </w:rPr>
        <w:t>The choice of descriptive statistics was appropriate because th</w:t>
      </w:r>
      <w:r w:rsidR="001E1F8D">
        <w:rPr>
          <w:rFonts w:ascii="Times New Roman" w:hAnsi="Times New Roman" w:cs="Times New Roman"/>
          <w:bCs/>
          <w:sz w:val="24"/>
          <w:szCs w:val="24"/>
        </w:rPr>
        <w:t>e</w:t>
      </w:r>
      <w:r w:rsidRPr="00CC5848">
        <w:rPr>
          <w:rFonts w:ascii="Times New Roman" w:hAnsi="Times New Roman" w:cs="Times New Roman"/>
          <w:bCs/>
          <w:sz w:val="24"/>
          <w:szCs w:val="24"/>
        </w:rPr>
        <w:t xml:space="preserve"> study was primarily exploratory and ethnobotanical in nature. The objective was to describe patterns, practices, perceptions, and indigenous knowledge systems among responden</w:t>
      </w:r>
      <w:r w:rsidR="00CC5848" w:rsidRPr="00CC5848">
        <w:rPr>
          <w:rFonts w:ascii="Times New Roman" w:hAnsi="Times New Roman" w:cs="Times New Roman"/>
          <w:bCs/>
          <w:sz w:val="24"/>
          <w:szCs w:val="24"/>
        </w:rPr>
        <w:t>ts</w:t>
      </w:r>
      <w:r w:rsidRPr="00CC5848">
        <w:rPr>
          <w:rFonts w:ascii="Times New Roman" w:hAnsi="Times New Roman" w:cs="Times New Roman"/>
          <w:bCs/>
          <w:sz w:val="24"/>
          <w:szCs w:val="24"/>
        </w:rPr>
        <w:t xml:space="preserve"> rather than to test hypotheses or determine statistical relationships bet</w:t>
      </w:r>
      <w:r w:rsidR="00CC5848" w:rsidRPr="00CC5848">
        <w:rPr>
          <w:rFonts w:ascii="Times New Roman" w:hAnsi="Times New Roman" w:cs="Times New Roman"/>
          <w:bCs/>
          <w:sz w:val="24"/>
          <w:szCs w:val="24"/>
        </w:rPr>
        <w:t>ween variables.</w:t>
      </w:r>
    </w:p>
    <w:p w14:paraId="3F2A921E" w14:textId="77777777" w:rsidR="00F85B9F" w:rsidRPr="00CC5848" w:rsidRDefault="00F85B9F" w:rsidP="00E16114">
      <w:pPr>
        <w:pStyle w:val="ListParagraph"/>
        <w:spacing w:line="480" w:lineRule="auto"/>
        <w:ind w:left="780"/>
        <w:jc w:val="both"/>
        <w:rPr>
          <w:rFonts w:ascii="Times New Roman" w:hAnsi="Times New Roman" w:cs="Times New Roman"/>
          <w:bCs/>
          <w:sz w:val="24"/>
          <w:szCs w:val="24"/>
        </w:rPr>
      </w:pPr>
    </w:p>
    <w:p w14:paraId="78A593DA" w14:textId="67CEFBCD" w:rsidR="00F85B9F" w:rsidRPr="007F6CB3" w:rsidRDefault="00F85B9F" w:rsidP="00E16114">
      <w:pPr>
        <w:pStyle w:val="ListParagraph"/>
        <w:spacing w:line="480" w:lineRule="auto"/>
        <w:ind w:left="780"/>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3A2D1ADE" w14:textId="77A3A224"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ETHNO-BOTANICAL STUDY</w:t>
      </w:r>
    </w:p>
    <w:p w14:paraId="6F6C907C" w14:textId="77777777" w:rsidR="00E16114" w:rsidRPr="007F6CB3" w:rsidRDefault="00E16114" w:rsidP="00E16114">
      <w:pPr>
        <w:jc w:val="both"/>
        <w:rPr>
          <w:rFonts w:ascii="Times New Roman" w:hAnsi="Times New Roman" w:cs="Times New Roman"/>
          <w:b/>
          <w:bCs/>
          <w:sz w:val="24"/>
          <w:szCs w:val="24"/>
        </w:rPr>
      </w:pPr>
    </w:p>
    <w:p w14:paraId="32EFDD15"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SECTION A: PERSONAL DATA</w:t>
      </w:r>
    </w:p>
    <w:p w14:paraId="3701482B" w14:textId="77777777" w:rsidR="00E16114" w:rsidRPr="007F6CB3" w:rsidRDefault="00E16114" w:rsidP="00E16114">
      <w:pPr>
        <w:jc w:val="both"/>
        <w:rPr>
          <w:rFonts w:ascii="Times New Roman" w:hAnsi="Times New Roman" w:cs="Times New Roman"/>
          <w:b/>
          <w:bCs/>
          <w:sz w:val="24"/>
          <w:szCs w:val="24"/>
        </w:rPr>
      </w:pPr>
    </w:p>
    <w:p w14:paraId="473A75C8" w14:textId="6508F947" w:rsidR="00E16114" w:rsidRPr="007F6CB3" w:rsidRDefault="00E16114" w:rsidP="00E16114">
      <w:pPr>
        <w:jc w:val="both"/>
        <w:rPr>
          <w:rFonts w:ascii="Times New Roman" w:hAnsi="Times New Roman" w:cs="Times New Roman"/>
          <w:b/>
          <w:bCs/>
          <w:sz w:val="24"/>
          <w:szCs w:val="24"/>
        </w:rPr>
      </w:pPr>
      <w:bookmarkStart w:id="3" w:name="_Hlk221324801"/>
      <w:r w:rsidRPr="007F6CB3">
        <w:rPr>
          <w:rFonts w:ascii="Times New Roman" w:hAnsi="Times New Roman" w:cs="Times New Roman"/>
          <w:b/>
          <w:bCs/>
          <w:sz w:val="24"/>
          <w:szCs w:val="24"/>
        </w:rPr>
        <w:t>Frequency Distribution of Respondents in the Study Area</w:t>
      </w:r>
    </w:p>
    <w:p w14:paraId="28C56388" w14:textId="77777777" w:rsidR="00E16114" w:rsidRPr="007F6CB3" w:rsidRDefault="00E16114" w:rsidP="00E16114">
      <w:pPr>
        <w:jc w:val="both"/>
        <w:rPr>
          <w:rFonts w:ascii="Times New Roman" w:hAnsi="Times New Roman" w:cs="Times New Roman"/>
          <w:b/>
          <w:bCs/>
          <w:sz w:val="24"/>
          <w:szCs w:val="24"/>
        </w:rPr>
      </w:pPr>
    </w:p>
    <w:bookmarkEnd w:id="3"/>
    <w:p w14:paraId="3788252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Three (3) Senatorial Zones of Anambra State Nigeria namely; Anambra North, Anambra Central and Anambra South were surveyed in this study in which three hundred and forty-eight (348) respondents were interviewed out of the six hundred (600) questionnaires administered to the respondents in the field. The highest number of questionnaires, one hundred and nineteen (119) was retrieved from Anambra North followed by Anambra South with one hundred and fifteen (115) retrieved questionnaires. The least number of questionnaires, one hundred and fourteen (114) questionnaires were retrieved from Anambra Central, making a total of 60% questionnaires retrieved in this study (Table 1).</w:t>
      </w:r>
    </w:p>
    <w:p w14:paraId="7D056330" w14:textId="77777777" w:rsidR="00E16114" w:rsidRPr="007F6CB3" w:rsidRDefault="00E16114" w:rsidP="00E16114">
      <w:pPr>
        <w:jc w:val="both"/>
        <w:rPr>
          <w:rFonts w:ascii="Times New Roman" w:hAnsi="Times New Roman" w:cs="Times New Roman"/>
          <w:sz w:val="24"/>
          <w:szCs w:val="24"/>
        </w:rPr>
      </w:pPr>
    </w:p>
    <w:p w14:paraId="52BB2079" w14:textId="77777777" w:rsidR="00E16114" w:rsidRPr="007F6CB3" w:rsidRDefault="00E16114" w:rsidP="00E16114">
      <w:pPr>
        <w:jc w:val="both"/>
        <w:rPr>
          <w:rFonts w:ascii="Times New Roman" w:hAnsi="Times New Roman" w:cs="Times New Roman"/>
          <w:sz w:val="24"/>
          <w:szCs w:val="24"/>
        </w:rPr>
      </w:pPr>
    </w:p>
    <w:p w14:paraId="6FD99B7E" w14:textId="108C2C81" w:rsidR="00E16114" w:rsidRPr="007F6CB3" w:rsidRDefault="00E16114" w:rsidP="00E16114">
      <w:pPr>
        <w:jc w:val="both"/>
        <w:rPr>
          <w:rFonts w:ascii="Times New Roman" w:hAnsi="Times New Roman" w:cs="Times New Roman"/>
          <w:sz w:val="24"/>
          <w:szCs w:val="24"/>
        </w:rPr>
      </w:pPr>
      <w:bookmarkStart w:id="4" w:name="_Hlk221324860"/>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1</w:t>
      </w:r>
      <w:r w:rsidRPr="007F6CB3">
        <w:rPr>
          <w:rFonts w:ascii="Times New Roman" w:hAnsi="Times New Roman" w:cs="Times New Roman"/>
          <w:sz w:val="24"/>
          <w:szCs w:val="24"/>
        </w:rPr>
        <w:t>: Frequency of Retrieved Questionnaires across Senatorial Zones</w:t>
      </w:r>
    </w:p>
    <w:tbl>
      <w:tblPr>
        <w:tblW w:w="848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8"/>
      </w:tblGrid>
      <w:tr w:rsidR="00E16114" w:rsidRPr="007F6CB3" w14:paraId="731D2583" w14:textId="77777777" w:rsidTr="0026594F">
        <w:trPr>
          <w:trHeight w:val="249"/>
        </w:trPr>
        <w:tc>
          <w:tcPr>
            <w:tcW w:w="8488" w:type="dxa"/>
            <w:tcBorders>
              <w:left w:val="nil"/>
              <w:right w:val="nil"/>
            </w:tcBorders>
          </w:tcPr>
          <w:bookmarkEnd w:id="4"/>
          <w:p w14:paraId="0A2F334D"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Senatorial     Frequency      Percentage   Cumulative         </w:t>
            </w:r>
            <w:proofErr w:type="spellStart"/>
            <w:r w:rsidRPr="007F6CB3">
              <w:rPr>
                <w:rFonts w:ascii="Times New Roman" w:hAnsi="Times New Roman" w:cs="Times New Roman"/>
                <w:b/>
                <w:bCs/>
                <w:sz w:val="24"/>
                <w:szCs w:val="24"/>
              </w:rPr>
              <w:t>Cumulative</w:t>
            </w:r>
            <w:proofErr w:type="spellEnd"/>
          </w:p>
          <w:p w14:paraId="4FCFD4A2"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                                                           Frequency           Percentage</w:t>
            </w:r>
          </w:p>
        </w:tc>
      </w:tr>
    </w:tbl>
    <w:p w14:paraId="40350A8D"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119                  20.45</w:t>
      </w:r>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235                        40.38</w:t>
      </w:r>
      <w:r w:rsidRPr="00C77BA2">
        <w:rPr>
          <w:rFonts w:ascii="Times New Roman" w:hAnsi="Times New Roman" w:cs="Times New Roman"/>
          <w:b/>
          <w:bCs/>
          <w:sz w:val="24"/>
          <w:szCs w:val="24"/>
          <w:lang w:val="es-US"/>
        </w:rPr>
        <w:t xml:space="preserve">              </w:t>
      </w:r>
    </w:p>
    <w:p w14:paraId="4DE295B8" w14:textId="77777777" w:rsidR="00E16114" w:rsidRPr="00C77BA2" w:rsidRDefault="00E16114" w:rsidP="00E16114">
      <w:pPr>
        <w:jc w:val="both"/>
        <w:rPr>
          <w:rFonts w:ascii="Times New Roman" w:hAnsi="Times New Roman" w:cs="Times New Roman"/>
          <w:b/>
          <w:bCs/>
          <w:sz w:val="24"/>
          <w:szCs w:val="24"/>
          <w:lang w:val="es-US"/>
        </w:rPr>
      </w:pPr>
      <w:r w:rsidRPr="00C77BA2">
        <w:rPr>
          <w:rFonts w:ascii="Times New Roman" w:hAnsi="Times New Roman" w:cs="Times New Roman"/>
          <w:b/>
          <w:bCs/>
          <w:sz w:val="24"/>
          <w:szCs w:val="24"/>
          <w:lang w:val="es-US"/>
        </w:rPr>
        <w:t>North</w:t>
      </w:r>
    </w:p>
    <w:p w14:paraId="08968D29" w14:textId="77777777" w:rsidR="00E16114" w:rsidRPr="00C77BA2" w:rsidRDefault="00E16114" w:rsidP="00E16114">
      <w:pPr>
        <w:jc w:val="both"/>
        <w:rPr>
          <w:rFonts w:ascii="Times New Roman" w:hAnsi="Times New Roman" w:cs="Times New Roman"/>
          <w:b/>
          <w:bCs/>
          <w:sz w:val="24"/>
          <w:szCs w:val="24"/>
          <w:lang w:val="es-US"/>
        </w:rPr>
      </w:pPr>
    </w:p>
    <w:p w14:paraId="12B22528"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114                  19.59             582                        100.00</w:t>
      </w:r>
    </w:p>
    <w:p w14:paraId="5748190A" w14:textId="77777777" w:rsidR="00E16114" w:rsidRPr="00C77BA2" w:rsidRDefault="00E16114" w:rsidP="00E16114">
      <w:pPr>
        <w:jc w:val="both"/>
        <w:rPr>
          <w:rFonts w:ascii="Times New Roman" w:hAnsi="Times New Roman" w:cs="Times New Roman"/>
          <w:b/>
          <w:bCs/>
          <w:sz w:val="24"/>
          <w:szCs w:val="24"/>
          <w:lang w:val="es-US"/>
        </w:rPr>
      </w:pPr>
      <w:r w:rsidRPr="00C77BA2">
        <w:rPr>
          <w:rFonts w:ascii="Times New Roman" w:hAnsi="Times New Roman" w:cs="Times New Roman"/>
          <w:b/>
          <w:bCs/>
          <w:sz w:val="24"/>
          <w:szCs w:val="24"/>
          <w:lang w:val="es-US"/>
        </w:rPr>
        <w:t>Central</w:t>
      </w:r>
    </w:p>
    <w:p w14:paraId="03F5869A" w14:textId="77777777" w:rsidR="00E16114" w:rsidRPr="00C77BA2" w:rsidRDefault="00E16114" w:rsidP="00E16114">
      <w:pPr>
        <w:jc w:val="both"/>
        <w:rPr>
          <w:rFonts w:ascii="Times New Roman" w:hAnsi="Times New Roman" w:cs="Times New Roman"/>
          <w:b/>
          <w:bCs/>
          <w:sz w:val="24"/>
          <w:szCs w:val="24"/>
          <w:lang w:val="es-US"/>
        </w:rPr>
      </w:pPr>
    </w:p>
    <w:p w14:paraId="7D397FFC" w14:textId="77777777" w:rsidR="00E16114" w:rsidRPr="00C77BA2" w:rsidRDefault="00E16114" w:rsidP="00E16114">
      <w:pPr>
        <w:jc w:val="both"/>
        <w:rPr>
          <w:rFonts w:ascii="Times New Roman" w:hAnsi="Times New Roman" w:cs="Times New Roman"/>
          <w:b/>
          <w:bCs/>
          <w:sz w:val="24"/>
          <w:szCs w:val="24"/>
          <w:lang w:val="es-US"/>
        </w:rPr>
      </w:pPr>
      <w:proofErr w:type="spellStart"/>
      <w:r w:rsidRPr="00C77BA2">
        <w:rPr>
          <w:rFonts w:ascii="Times New Roman" w:hAnsi="Times New Roman" w:cs="Times New Roman"/>
          <w:b/>
          <w:bCs/>
          <w:sz w:val="24"/>
          <w:szCs w:val="24"/>
          <w:lang w:val="es-US"/>
        </w:rPr>
        <w:t>Anambra</w:t>
      </w:r>
      <w:proofErr w:type="spellEnd"/>
      <w:r w:rsidRPr="00C77BA2">
        <w:rPr>
          <w:rFonts w:ascii="Times New Roman" w:hAnsi="Times New Roman" w:cs="Times New Roman"/>
          <w:b/>
          <w:bCs/>
          <w:sz w:val="24"/>
          <w:szCs w:val="24"/>
          <w:lang w:val="es-US"/>
        </w:rPr>
        <w:t xml:space="preserve">              </w:t>
      </w:r>
      <w:r w:rsidRPr="00C77BA2">
        <w:rPr>
          <w:rFonts w:ascii="Times New Roman" w:hAnsi="Times New Roman" w:cs="Times New Roman"/>
          <w:sz w:val="24"/>
          <w:szCs w:val="24"/>
          <w:lang w:val="es-US"/>
        </w:rPr>
        <w:t>115                      19.76                 350                             60.14</w:t>
      </w:r>
      <w:r w:rsidRPr="00C77BA2">
        <w:rPr>
          <w:rFonts w:ascii="Times New Roman" w:hAnsi="Times New Roman" w:cs="Times New Roman"/>
          <w:b/>
          <w:bCs/>
          <w:sz w:val="24"/>
          <w:szCs w:val="24"/>
          <w:lang w:val="es-US"/>
        </w:rPr>
        <w:t xml:space="preserve">        </w:t>
      </w:r>
    </w:p>
    <w:p w14:paraId="21EFCFAC"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b/>
          <w:bCs/>
          <w:sz w:val="24"/>
          <w:szCs w:val="24"/>
        </w:rPr>
        <w:t>South</w:t>
      </w:r>
    </w:p>
    <w:p w14:paraId="07FECD55" w14:textId="77777777" w:rsidR="00E16114" w:rsidRPr="007F6CB3" w:rsidRDefault="00E16114" w:rsidP="00E16114">
      <w:pPr>
        <w:jc w:val="both"/>
        <w:rPr>
          <w:rFonts w:ascii="Times New Roman" w:hAnsi="Times New Roman" w:cs="Times New Roman"/>
          <w:b/>
          <w:bCs/>
          <w:sz w:val="24"/>
          <w:szCs w:val="24"/>
        </w:rPr>
      </w:pPr>
    </w:p>
    <w:tbl>
      <w:tblPr>
        <w:tblW w:w="8654" w:type="dxa"/>
        <w:tblInd w:w="150" w:type="dxa"/>
        <w:tblBorders>
          <w:top w:val="single" w:sz="4" w:space="0" w:color="auto"/>
        </w:tblBorders>
        <w:tblLook w:val="0000" w:firstRow="0" w:lastRow="0" w:firstColumn="0" w:lastColumn="0" w:noHBand="0" w:noVBand="0"/>
      </w:tblPr>
      <w:tblGrid>
        <w:gridCol w:w="8654"/>
      </w:tblGrid>
      <w:tr w:rsidR="00E16114" w:rsidRPr="007F6CB3" w14:paraId="12D8A8CB" w14:textId="77777777" w:rsidTr="0026594F">
        <w:trPr>
          <w:trHeight w:val="100"/>
        </w:trPr>
        <w:tc>
          <w:tcPr>
            <w:tcW w:w="8654" w:type="dxa"/>
          </w:tcPr>
          <w:p w14:paraId="5517F32B" w14:textId="77777777" w:rsidR="00E16114" w:rsidRPr="007F6CB3" w:rsidRDefault="00E16114" w:rsidP="0026594F">
            <w:pPr>
              <w:jc w:val="both"/>
              <w:rPr>
                <w:rFonts w:ascii="Times New Roman" w:hAnsi="Times New Roman" w:cs="Times New Roman"/>
                <w:b/>
                <w:bCs/>
                <w:sz w:val="24"/>
                <w:szCs w:val="24"/>
              </w:rPr>
            </w:pPr>
          </w:p>
        </w:tc>
      </w:tr>
    </w:tbl>
    <w:p w14:paraId="1CD02401" w14:textId="77777777" w:rsidR="00E16114" w:rsidRPr="007F6CB3" w:rsidRDefault="00E16114" w:rsidP="00E16114">
      <w:pPr>
        <w:jc w:val="both"/>
        <w:rPr>
          <w:rFonts w:ascii="Times New Roman" w:hAnsi="Times New Roman" w:cs="Times New Roman"/>
          <w:sz w:val="24"/>
          <w:szCs w:val="24"/>
        </w:rPr>
      </w:pPr>
    </w:p>
    <w:p w14:paraId="7801ECF0" w14:textId="77777777" w:rsidR="00E16114" w:rsidRPr="007F6CB3" w:rsidRDefault="00E16114" w:rsidP="00E16114">
      <w:pPr>
        <w:jc w:val="both"/>
        <w:rPr>
          <w:rFonts w:ascii="Times New Roman" w:hAnsi="Times New Roman" w:cs="Times New Roman"/>
          <w:sz w:val="24"/>
          <w:szCs w:val="24"/>
        </w:rPr>
      </w:pPr>
    </w:p>
    <w:p w14:paraId="7CEBA453" w14:textId="77777777" w:rsidR="00E16114" w:rsidRPr="007F6CB3" w:rsidRDefault="00E16114" w:rsidP="00E16114">
      <w:pPr>
        <w:jc w:val="both"/>
        <w:rPr>
          <w:rFonts w:ascii="Times New Roman" w:hAnsi="Times New Roman" w:cs="Times New Roman"/>
          <w:sz w:val="24"/>
          <w:szCs w:val="24"/>
        </w:rPr>
      </w:pPr>
    </w:p>
    <w:p w14:paraId="770C0F24" w14:textId="77777777" w:rsidR="00E16114" w:rsidRPr="007F6CB3" w:rsidRDefault="00E16114" w:rsidP="00E16114">
      <w:pPr>
        <w:jc w:val="both"/>
        <w:rPr>
          <w:rFonts w:ascii="Times New Roman" w:hAnsi="Times New Roman" w:cs="Times New Roman"/>
          <w:sz w:val="24"/>
          <w:szCs w:val="24"/>
        </w:rPr>
      </w:pPr>
    </w:p>
    <w:p w14:paraId="24ADD62F" w14:textId="188D7404" w:rsidR="00E16114" w:rsidRPr="007F6CB3" w:rsidRDefault="00E16114" w:rsidP="00E16114">
      <w:pPr>
        <w:jc w:val="both"/>
        <w:rPr>
          <w:rFonts w:ascii="Times New Roman" w:hAnsi="Times New Roman" w:cs="Times New Roman"/>
          <w:b/>
          <w:bCs/>
          <w:sz w:val="24"/>
          <w:szCs w:val="24"/>
        </w:rPr>
      </w:pPr>
      <w:bookmarkStart w:id="5" w:name="_Hlk221324922"/>
      <w:r w:rsidRPr="007F6CB3">
        <w:rPr>
          <w:rFonts w:ascii="Times New Roman" w:hAnsi="Times New Roman" w:cs="Times New Roman"/>
          <w:b/>
          <w:bCs/>
          <w:sz w:val="24"/>
          <w:szCs w:val="24"/>
        </w:rPr>
        <w:t>Sex Distribution of Respondents</w:t>
      </w:r>
    </w:p>
    <w:p w14:paraId="3BFE9786" w14:textId="77777777" w:rsidR="00E16114" w:rsidRPr="007F6CB3" w:rsidRDefault="00E16114" w:rsidP="00E16114">
      <w:pPr>
        <w:jc w:val="both"/>
        <w:rPr>
          <w:rFonts w:ascii="Times New Roman" w:hAnsi="Times New Roman" w:cs="Times New Roman"/>
          <w:sz w:val="24"/>
          <w:szCs w:val="24"/>
        </w:rPr>
      </w:pPr>
    </w:p>
    <w:bookmarkEnd w:id="5"/>
    <w:p w14:paraId="3107D05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 total of forty-four (44) females and seventy-five (75) male respondents were interviewed in Anambra North Senatorial Zone. A total of thirty-three (33) female respondents and eighty-one (81) male respondents were interviewed in Anambra Central Senatorial Zone. In Anambra South Senatorial Zone, a total of thirty-eight (38) females and seventy-seven (77) male respondents were randomly sampled. This makes a total number of a hundred and fifteen (115) female respondents and two hundred thirty-three (233) male respondents interviewed in this survey (Table 2).</w:t>
      </w:r>
    </w:p>
    <w:p w14:paraId="13D05939" w14:textId="77777777" w:rsidR="00E16114" w:rsidRPr="007F6CB3" w:rsidRDefault="00E16114" w:rsidP="00E16114">
      <w:pPr>
        <w:jc w:val="both"/>
        <w:rPr>
          <w:rFonts w:ascii="Times New Roman" w:hAnsi="Times New Roman" w:cs="Times New Roman"/>
          <w:sz w:val="24"/>
          <w:szCs w:val="24"/>
        </w:rPr>
      </w:pPr>
    </w:p>
    <w:p w14:paraId="3AFB9B5A" w14:textId="77777777" w:rsidR="00E16114" w:rsidRPr="007F6CB3" w:rsidRDefault="00E16114" w:rsidP="00E16114">
      <w:pPr>
        <w:jc w:val="both"/>
        <w:rPr>
          <w:rFonts w:ascii="Times New Roman" w:hAnsi="Times New Roman" w:cs="Times New Roman"/>
          <w:sz w:val="24"/>
          <w:szCs w:val="24"/>
        </w:rPr>
      </w:pPr>
    </w:p>
    <w:p w14:paraId="618395A6" w14:textId="061B27E9" w:rsidR="00E16114" w:rsidRPr="007F6CB3" w:rsidRDefault="00E16114" w:rsidP="00E16114">
      <w:pPr>
        <w:jc w:val="both"/>
        <w:rPr>
          <w:rFonts w:ascii="Times New Roman" w:hAnsi="Times New Roman" w:cs="Times New Roman"/>
          <w:b/>
          <w:bCs/>
          <w:sz w:val="24"/>
          <w:szCs w:val="24"/>
        </w:rPr>
      </w:pPr>
      <w:bookmarkStart w:id="6" w:name="_Hlk221324964"/>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2</w:t>
      </w:r>
      <w:r w:rsidRPr="007F6CB3">
        <w:rPr>
          <w:rFonts w:ascii="Times New Roman" w:hAnsi="Times New Roman" w:cs="Times New Roman"/>
          <w:b/>
          <w:bCs/>
          <w:sz w:val="24"/>
          <w:szCs w:val="24"/>
        </w:rPr>
        <w:t>: Sex Distribution of Respondents in the Study Area</w:t>
      </w:r>
    </w:p>
    <w:tbl>
      <w:tblPr>
        <w:tblW w:w="855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7"/>
      </w:tblGrid>
      <w:tr w:rsidR="00E16114" w:rsidRPr="007F6CB3" w14:paraId="37CB144A" w14:textId="77777777" w:rsidTr="0026594F">
        <w:trPr>
          <w:trHeight w:val="595"/>
        </w:trPr>
        <w:tc>
          <w:tcPr>
            <w:tcW w:w="8557" w:type="dxa"/>
            <w:tcBorders>
              <w:left w:val="nil"/>
              <w:right w:val="nil"/>
            </w:tcBorders>
          </w:tcPr>
          <w:bookmarkEnd w:id="6"/>
          <w:p w14:paraId="1010E5DD"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Sex                           Frequency       Percentage</w:t>
            </w:r>
          </w:p>
          <w:p w14:paraId="734EF99E"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Zones                                                                      </w:t>
            </w:r>
          </w:p>
        </w:tc>
      </w:tr>
    </w:tbl>
    <w:p w14:paraId="04D6385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North                 </w:t>
      </w:r>
      <w:r w:rsidRPr="007F6CB3">
        <w:rPr>
          <w:rFonts w:ascii="Times New Roman" w:hAnsi="Times New Roman" w:cs="Times New Roman"/>
          <w:sz w:val="24"/>
          <w:szCs w:val="24"/>
        </w:rPr>
        <w:t>Male                               75                         63.03</w:t>
      </w:r>
    </w:p>
    <w:p w14:paraId="293B68A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44                        36.97</w:t>
      </w:r>
    </w:p>
    <w:p w14:paraId="672B61E1"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Total                               119                       100.00</w:t>
      </w:r>
    </w:p>
    <w:p w14:paraId="0656D4F3" w14:textId="77777777" w:rsidR="00E16114" w:rsidRPr="007F6CB3" w:rsidRDefault="00E16114" w:rsidP="00E16114">
      <w:pPr>
        <w:jc w:val="both"/>
        <w:rPr>
          <w:rFonts w:ascii="Times New Roman" w:hAnsi="Times New Roman" w:cs="Times New Roman"/>
          <w:sz w:val="24"/>
          <w:szCs w:val="24"/>
        </w:rPr>
      </w:pPr>
    </w:p>
    <w:p w14:paraId="4C342A7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Central               </w:t>
      </w:r>
      <w:r w:rsidRPr="007F6CB3">
        <w:rPr>
          <w:rFonts w:ascii="Times New Roman" w:hAnsi="Times New Roman" w:cs="Times New Roman"/>
          <w:sz w:val="24"/>
          <w:szCs w:val="24"/>
        </w:rPr>
        <w:t>Male                                81                        71.05</w:t>
      </w:r>
    </w:p>
    <w:p w14:paraId="084D2BC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33                        28.95                    </w:t>
      </w:r>
    </w:p>
    <w:p w14:paraId="139585B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Total                               114                      100.00</w:t>
      </w:r>
    </w:p>
    <w:p w14:paraId="6A3803E3" w14:textId="77777777" w:rsidR="00E16114" w:rsidRPr="007F6CB3" w:rsidRDefault="00E16114" w:rsidP="00E16114">
      <w:pPr>
        <w:jc w:val="both"/>
        <w:rPr>
          <w:rFonts w:ascii="Times New Roman" w:hAnsi="Times New Roman" w:cs="Times New Roman"/>
          <w:sz w:val="24"/>
          <w:szCs w:val="24"/>
        </w:rPr>
      </w:pPr>
    </w:p>
    <w:p w14:paraId="01FA1B1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Anambra South                   </w:t>
      </w:r>
      <w:r w:rsidRPr="007F6CB3">
        <w:rPr>
          <w:rFonts w:ascii="Times New Roman" w:hAnsi="Times New Roman" w:cs="Times New Roman"/>
          <w:sz w:val="24"/>
          <w:szCs w:val="24"/>
        </w:rPr>
        <w:t>Male                                77                       66.96</w:t>
      </w:r>
    </w:p>
    <w:p w14:paraId="72ED41D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Female                             38                       33.04</w:t>
      </w:r>
    </w:p>
    <w:p w14:paraId="13033604" w14:textId="77777777" w:rsidR="00E16114" w:rsidRPr="007F6CB3" w:rsidRDefault="00E16114" w:rsidP="00E16114">
      <w:pPr>
        <w:jc w:val="both"/>
        <w:rPr>
          <w:rFonts w:ascii="Times New Roman" w:hAnsi="Times New Roman" w:cs="Times New Roman"/>
          <w:b/>
          <w:bCs/>
          <w:sz w:val="24"/>
          <w:szCs w:val="24"/>
        </w:rPr>
      </w:pPr>
      <w:r w:rsidRPr="007F6CB3">
        <w:rPr>
          <w:rFonts w:ascii="Times New Roman" w:hAnsi="Times New Roman" w:cs="Times New Roman"/>
          <w:sz w:val="24"/>
          <w:szCs w:val="24"/>
        </w:rPr>
        <w:t xml:space="preserve">                                              Total                                115                     100.00</w:t>
      </w:r>
    </w:p>
    <w:p w14:paraId="7D3BF351" w14:textId="77777777" w:rsidR="00E16114" w:rsidRPr="007F6CB3" w:rsidRDefault="00E16114" w:rsidP="00E16114">
      <w:pPr>
        <w:jc w:val="both"/>
        <w:rPr>
          <w:rFonts w:ascii="Times New Roman" w:hAnsi="Times New Roman" w:cs="Times New Roman"/>
          <w:b/>
          <w:bCs/>
          <w:sz w:val="24"/>
          <w:szCs w:val="24"/>
        </w:rPr>
      </w:pPr>
    </w:p>
    <w:tbl>
      <w:tblPr>
        <w:tblW w:w="8709" w:type="dxa"/>
        <w:tblInd w:w="53" w:type="dxa"/>
        <w:tblBorders>
          <w:top w:val="single" w:sz="4" w:space="0" w:color="auto"/>
        </w:tblBorders>
        <w:tblLook w:val="0000" w:firstRow="0" w:lastRow="0" w:firstColumn="0" w:lastColumn="0" w:noHBand="0" w:noVBand="0"/>
      </w:tblPr>
      <w:tblGrid>
        <w:gridCol w:w="8709"/>
      </w:tblGrid>
      <w:tr w:rsidR="00E16114" w:rsidRPr="007F6CB3" w14:paraId="12B20BA6" w14:textId="77777777" w:rsidTr="0026594F">
        <w:trPr>
          <w:trHeight w:val="96"/>
        </w:trPr>
        <w:tc>
          <w:tcPr>
            <w:tcW w:w="8709" w:type="dxa"/>
          </w:tcPr>
          <w:p w14:paraId="7FF26FA5" w14:textId="77777777" w:rsidR="00E16114" w:rsidRPr="007F6CB3" w:rsidRDefault="00E16114" w:rsidP="0026594F">
            <w:pPr>
              <w:jc w:val="both"/>
              <w:rPr>
                <w:rFonts w:ascii="Times New Roman" w:hAnsi="Times New Roman" w:cs="Times New Roman"/>
                <w:b/>
                <w:bCs/>
                <w:sz w:val="24"/>
                <w:szCs w:val="24"/>
              </w:rPr>
            </w:pPr>
          </w:p>
        </w:tc>
      </w:tr>
    </w:tbl>
    <w:p w14:paraId="537598C6" w14:textId="77777777" w:rsidR="00E16114" w:rsidRPr="007F6CB3" w:rsidRDefault="00E16114" w:rsidP="00E16114">
      <w:pPr>
        <w:jc w:val="both"/>
        <w:rPr>
          <w:rFonts w:ascii="Times New Roman" w:hAnsi="Times New Roman" w:cs="Times New Roman"/>
          <w:b/>
          <w:bCs/>
          <w:sz w:val="24"/>
          <w:szCs w:val="24"/>
        </w:rPr>
      </w:pPr>
    </w:p>
    <w:p w14:paraId="6172C9FB" w14:textId="77777777" w:rsidR="00E16114" w:rsidRPr="007F6CB3" w:rsidRDefault="00E16114" w:rsidP="00E16114">
      <w:pPr>
        <w:jc w:val="both"/>
        <w:rPr>
          <w:rFonts w:ascii="Times New Roman" w:hAnsi="Times New Roman" w:cs="Times New Roman"/>
          <w:b/>
          <w:bCs/>
          <w:sz w:val="24"/>
          <w:szCs w:val="24"/>
        </w:rPr>
      </w:pPr>
    </w:p>
    <w:p w14:paraId="0BBB8B29" w14:textId="02E26AF5" w:rsidR="00E16114" w:rsidRPr="007F6CB3" w:rsidRDefault="00E16114" w:rsidP="00E16114">
      <w:pPr>
        <w:jc w:val="both"/>
        <w:rPr>
          <w:rFonts w:ascii="Times New Roman" w:hAnsi="Times New Roman" w:cs="Times New Roman"/>
          <w:b/>
          <w:bCs/>
          <w:sz w:val="24"/>
          <w:szCs w:val="24"/>
        </w:rPr>
      </w:pPr>
      <w:bookmarkStart w:id="7" w:name="_Hlk221325025"/>
      <w:r w:rsidRPr="007F6CB3">
        <w:rPr>
          <w:rFonts w:ascii="Times New Roman" w:hAnsi="Times New Roman" w:cs="Times New Roman"/>
          <w:b/>
          <w:bCs/>
          <w:sz w:val="24"/>
          <w:szCs w:val="24"/>
        </w:rPr>
        <w:t>Language spoken by the Respondents</w:t>
      </w:r>
    </w:p>
    <w:bookmarkEnd w:id="7"/>
    <w:p w14:paraId="34D669BB" w14:textId="77777777" w:rsidR="00E16114" w:rsidRPr="007F6CB3" w:rsidRDefault="00E16114" w:rsidP="00E16114">
      <w:pPr>
        <w:jc w:val="both"/>
        <w:rPr>
          <w:rFonts w:ascii="Times New Roman" w:hAnsi="Times New Roman" w:cs="Times New Roman"/>
          <w:b/>
          <w:bCs/>
          <w:sz w:val="24"/>
          <w:szCs w:val="24"/>
        </w:rPr>
      </w:pPr>
    </w:p>
    <w:p w14:paraId="20A2E98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All the respondents within the study areas in this survey fluently spoke and understood Igbo language with slight differences in the pronunciations and intonations.</w:t>
      </w:r>
    </w:p>
    <w:p w14:paraId="24E4A0AE" w14:textId="77777777" w:rsidR="00E16114" w:rsidRPr="007F6CB3" w:rsidRDefault="00E16114" w:rsidP="00E16114">
      <w:pPr>
        <w:jc w:val="both"/>
        <w:rPr>
          <w:rFonts w:ascii="Times New Roman" w:hAnsi="Times New Roman" w:cs="Times New Roman"/>
          <w:sz w:val="24"/>
          <w:szCs w:val="24"/>
        </w:rPr>
      </w:pPr>
    </w:p>
    <w:p w14:paraId="71F4EA21" w14:textId="77777777" w:rsidR="00E16114" w:rsidRPr="007F6CB3" w:rsidRDefault="00E16114" w:rsidP="00E16114">
      <w:pPr>
        <w:jc w:val="both"/>
        <w:rPr>
          <w:rFonts w:ascii="Times New Roman" w:hAnsi="Times New Roman" w:cs="Times New Roman"/>
          <w:sz w:val="24"/>
          <w:szCs w:val="24"/>
        </w:rPr>
      </w:pPr>
    </w:p>
    <w:p w14:paraId="5BC6F9A9" w14:textId="4CD54C7A" w:rsidR="00E16114" w:rsidRPr="007F6CB3" w:rsidRDefault="00E16114" w:rsidP="00E16114">
      <w:pPr>
        <w:jc w:val="both"/>
        <w:rPr>
          <w:rFonts w:ascii="Times New Roman" w:hAnsi="Times New Roman" w:cs="Times New Roman"/>
          <w:b/>
          <w:bCs/>
          <w:sz w:val="24"/>
          <w:szCs w:val="24"/>
        </w:rPr>
      </w:pPr>
      <w:bookmarkStart w:id="8" w:name="_Hlk221325039"/>
      <w:r w:rsidRPr="007F6CB3">
        <w:rPr>
          <w:rFonts w:ascii="Times New Roman" w:hAnsi="Times New Roman" w:cs="Times New Roman"/>
          <w:b/>
          <w:bCs/>
          <w:sz w:val="24"/>
          <w:szCs w:val="24"/>
        </w:rPr>
        <w:t>Age Range and Distribution of the Respondents</w:t>
      </w:r>
    </w:p>
    <w:bookmarkEnd w:id="8"/>
    <w:p w14:paraId="7B64A407" w14:textId="77777777" w:rsidR="00E16114" w:rsidRPr="007F6CB3" w:rsidRDefault="00E16114" w:rsidP="00E16114">
      <w:pPr>
        <w:jc w:val="both"/>
        <w:rPr>
          <w:rFonts w:ascii="Times New Roman" w:hAnsi="Times New Roman" w:cs="Times New Roman"/>
          <w:b/>
          <w:bCs/>
          <w:sz w:val="24"/>
          <w:szCs w:val="24"/>
        </w:rPr>
      </w:pPr>
    </w:p>
    <w:p w14:paraId="5EF5A65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The highest age bracket of respondents who have indigenous knowledge of sweet potato (</w:t>
      </w:r>
      <w:r w:rsidRPr="007F6CB3">
        <w:rPr>
          <w:rFonts w:ascii="Times New Roman" w:hAnsi="Times New Roman" w:cs="Times New Roman"/>
          <w:i/>
          <w:iCs/>
          <w:sz w:val="24"/>
          <w:szCs w:val="24"/>
        </w:rPr>
        <w:t>Ipomoea</w:t>
      </w:r>
      <w:r w:rsidRPr="007F6CB3">
        <w:rPr>
          <w:rFonts w:ascii="Times New Roman" w:hAnsi="Times New Roman" w:cs="Times New Roman"/>
          <w:sz w:val="24"/>
          <w:szCs w:val="24"/>
        </w:rPr>
        <w:t xml:space="preserve"> </w:t>
      </w:r>
      <w:r w:rsidRPr="007F6CB3">
        <w:rPr>
          <w:rFonts w:ascii="Times New Roman" w:hAnsi="Times New Roman" w:cs="Times New Roman"/>
          <w:i/>
          <w:iCs/>
          <w:sz w:val="24"/>
          <w:szCs w:val="24"/>
        </w:rPr>
        <w:t>batatas</w:t>
      </w:r>
      <w:r w:rsidRPr="007F6CB3">
        <w:rPr>
          <w:rFonts w:ascii="Times New Roman" w:hAnsi="Times New Roman" w:cs="Times New Roman"/>
          <w:sz w:val="24"/>
          <w:szCs w:val="24"/>
        </w:rPr>
        <w:t xml:space="preserve"> L.) Lam.) was obtained from Anambra North Senatorial Zone, within the age range of 41-50 years old having a total of 56.30% respondents while the least occurred in Anambra South within the age range of 51-60 years old having a total of 3.48% (Table 3). It was clearly observed that in Anambra South Senatorial Zone, the age range of 60 years old and above (≥ 60) have no respondents (Table 3).</w:t>
      </w:r>
    </w:p>
    <w:p w14:paraId="10FC2783" w14:textId="77777777" w:rsidR="00E16114" w:rsidRPr="007F6CB3" w:rsidRDefault="00E16114" w:rsidP="00E16114">
      <w:pPr>
        <w:jc w:val="both"/>
        <w:rPr>
          <w:rFonts w:ascii="Times New Roman" w:hAnsi="Times New Roman" w:cs="Times New Roman"/>
          <w:sz w:val="24"/>
          <w:szCs w:val="24"/>
        </w:rPr>
      </w:pPr>
    </w:p>
    <w:p w14:paraId="34848B61" w14:textId="77777777" w:rsidR="00E16114" w:rsidRPr="007F6CB3" w:rsidRDefault="00E16114" w:rsidP="00E16114">
      <w:pPr>
        <w:jc w:val="both"/>
        <w:rPr>
          <w:rFonts w:ascii="Times New Roman" w:hAnsi="Times New Roman" w:cs="Times New Roman"/>
          <w:sz w:val="24"/>
          <w:szCs w:val="24"/>
        </w:rPr>
      </w:pPr>
    </w:p>
    <w:p w14:paraId="5BE3EA51" w14:textId="77777777" w:rsidR="00E16114" w:rsidRPr="007F6CB3" w:rsidRDefault="00E16114" w:rsidP="00E16114">
      <w:pPr>
        <w:jc w:val="both"/>
        <w:rPr>
          <w:rFonts w:ascii="Times New Roman" w:hAnsi="Times New Roman" w:cs="Times New Roman"/>
          <w:sz w:val="24"/>
          <w:szCs w:val="24"/>
        </w:rPr>
      </w:pPr>
    </w:p>
    <w:p w14:paraId="51A11CB6" w14:textId="77777777" w:rsidR="00E16114" w:rsidRPr="007F6CB3" w:rsidRDefault="00E16114" w:rsidP="00E16114">
      <w:pPr>
        <w:jc w:val="both"/>
        <w:rPr>
          <w:rFonts w:ascii="Times New Roman" w:hAnsi="Times New Roman" w:cs="Times New Roman"/>
          <w:sz w:val="24"/>
          <w:szCs w:val="24"/>
        </w:rPr>
      </w:pPr>
    </w:p>
    <w:p w14:paraId="2CD7528D" w14:textId="77777777" w:rsidR="00E16114" w:rsidRPr="007F6CB3" w:rsidRDefault="00E16114" w:rsidP="00E16114">
      <w:pPr>
        <w:jc w:val="both"/>
        <w:rPr>
          <w:rFonts w:ascii="Times New Roman" w:hAnsi="Times New Roman" w:cs="Times New Roman"/>
          <w:sz w:val="24"/>
          <w:szCs w:val="24"/>
        </w:rPr>
      </w:pPr>
    </w:p>
    <w:p w14:paraId="5B86BC4B" w14:textId="77777777" w:rsidR="00E16114" w:rsidRPr="007F6CB3" w:rsidRDefault="00E16114" w:rsidP="00E16114">
      <w:pPr>
        <w:jc w:val="both"/>
        <w:rPr>
          <w:rFonts w:ascii="Times New Roman" w:hAnsi="Times New Roman" w:cs="Times New Roman"/>
          <w:sz w:val="24"/>
          <w:szCs w:val="24"/>
        </w:rPr>
      </w:pPr>
    </w:p>
    <w:p w14:paraId="5AF2779D" w14:textId="77777777" w:rsidR="00E16114" w:rsidRPr="007F6CB3" w:rsidRDefault="00E16114" w:rsidP="00E16114">
      <w:pPr>
        <w:jc w:val="both"/>
        <w:rPr>
          <w:rFonts w:ascii="Times New Roman" w:hAnsi="Times New Roman" w:cs="Times New Roman"/>
          <w:sz w:val="24"/>
          <w:szCs w:val="24"/>
        </w:rPr>
      </w:pPr>
    </w:p>
    <w:p w14:paraId="22E3B13B" w14:textId="77777777" w:rsidR="00E16114" w:rsidRPr="007F6CB3" w:rsidRDefault="00E16114" w:rsidP="00E16114">
      <w:pPr>
        <w:jc w:val="both"/>
        <w:rPr>
          <w:rFonts w:ascii="Times New Roman" w:hAnsi="Times New Roman" w:cs="Times New Roman"/>
          <w:sz w:val="24"/>
          <w:szCs w:val="24"/>
        </w:rPr>
      </w:pPr>
    </w:p>
    <w:p w14:paraId="1412ED31" w14:textId="77777777" w:rsidR="00E16114" w:rsidRPr="007F6CB3" w:rsidRDefault="00E16114" w:rsidP="00E16114">
      <w:pPr>
        <w:jc w:val="both"/>
        <w:rPr>
          <w:rFonts w:ascii="Times New Roman" w:hAnsi="Times New Roman" w:cs="Times New Roman"/>
          <w:sz w:val="24"/>
          <w:szCs w:val="24"/>
        </w:rPr>
      </w:pPr>
    </w:p>
    <w:p w14:paraId="35223297" w14:textId="77777777" w:rsidR="00E16114" w:rsidRPr="007F6CB3" w:rsidRDefault="00E16114" w:rsidP="00E16114">
      <w:pPr>
        <w:jc w:val="both"/>
        <w:rPr>
          <w:rFonts w:ascii="Times New Roman" w:hAnsi="Times New Roman" w:cs="Times New Roman"/>
          <w:sz w:val="24"/>
          <w:szCs w:val="24"/>
        </w:rPr>
      </w:pPr>
    </w:p>
    <w:p w14:paraId="7BFB90C3" w14:textId="7C2B04B9" w:rsidR="00E16114" w:rsidRPr="007F6CB3" w:rsidRDefault="00E16114" w:rsidP="00E16114">
      <w:pPr>
        <w:jc w:val="both"/>
        <w:rPr>
          <w:rFonts w:ascii="Times New Roman" w:hAnsi="Times New Roman" w:cs="Times New Roman"/>
          <w:sz w:val="24"/>
          <w:szCs w:val="24"/>
        </w:rPr>
      </w:pPr>
      <w:bookmarkStart w:id="9" w:name="_Hlk221325076"/>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3</w:t>
      </w:r>
      <w:r w:rsidRPr="007F6CB3">
        <w:rPr>
          <w:rFonts w:ascii="Times New Roman" w:hAnsi="Times New Roman" w:cs="Times New Roman"/>
          <w:sz w:val="24"/>
          <w:szCs w:val="24"/>
        </w:rPr>
        <w:t>: Age Range and Distribution of Respondents</w:t>
      </w:r>
    </w:p>
    <w:p w14:paraId="7CED74BC" w14:textId="77777777" w:rsidR="00E16114" w:rsidRPr="007F6CB3" w:rsidRDefault="00E16114" w:rsidP="00E16114">
      <w:pPr>
        <w:jc w:val="both"/>
        <w:rPr>
          <w:rFonts w:ascii="Times New Roman" w:hAnsi="Times New Roman" w:cs="Times New Roman"/>
          <w:sz w:val="24"/>
          <w:szCs w:val="24"/>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6"/>
      </w:tblGrid>
      <w:tr w:rsidR="00E16114" w:rsidRPr="007F6CB3" w14:paraId="49470A92" w14:textId="77777777" w:rsidTr="0026594F">
        <w:trPr>
          <w:trHeight w:val="1060"/>
        </w:trPr>
        <w:tc>
          <w:tcPr>
            <w:tcW w:w="8266" w:type="dxa"/>
            <w:tcBorders>
              <w:left w:val="nil"/>
              <w:bottom w:val="single" w:sz="4" w:space="0" w:color="auto"/>
              <w:right w:val="nil"/>
            </w:tcBorders>
          </w:tcPr>
          <w:bookmarkEnd w:id="9"/>
          <w:p w14:paraId="3CA43FB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Senatorial                       Age Range of Respondents (%)</w:t>
            </w:r>
          </w:p>
          <w:p w14:paraId="042D2D3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Zones                             </w:t>
            </w:r>
          </w:p>
          <w:p w14:paraId="542C79B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                                        21-30      31-40      41-50      51-60      ≥60</w:t>
            </w:r>
          </w:p>
        </w:tc>
      </w:tr>
    </w:tbl>
    <w:p w14:paraId="456D64BF" w14:textId="77777777" w:rsidR="00E16114" w:rsidRPr="007F6CB3" w:rsidRDefault="00E16114" w:rsidP="00E16114">
      <w:pPr>
        <w:jc w:val="both"/>
        <w:rPr>
          <w:rFonts w:ascii="Times New Roman" w:hAnsi="Times New Roman" w:cs="Times New Roman"/>
          <w:sz w:val="24"/>
          <w:szCs w:val="24"/>
        </w:rPr>
      </w:pPr>
    </w:p>
    <w:p w14:paraId="10BEC7D6"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North                15.13      4.20        56.30      18.49       5.88</w:t>
      </w:r>
    </w:p>
    <w:p w14:paraId="0205050F" w14:textId="77777777" w:rsidR="00E16114" w:rsidRPr="007F6CB3" w:rsidRDefault="00E16114" w:rsidP="00E16114">
      <w:pPr>
        <w:jc w:val="both"/>
        <w:rPr>
          <w:rFonts w:ascii="Times New Roman" w:hAnsi="Times New Roman" w:cs="Times New Roman"/>
          <w:sz w:val="24"/>
          <w:szCs w:val="24"/>
        </w:rPr>
      </w:pPr>
    </w:p>
    <w:p w14:paraId="159FB94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Central              28.95      19.30       29.82     12.28       9.65</w:t>
      </w:r>
    </w:p>
    <w:p w14:paraId="2B93FF23" w14:textId="77777777" w:rsidR="00E16114" w:rsidRPr="007F6CB3" w:rsidRDefault="00E16114" w:rsidP="00E16114">
      <w:pPr>
        <w:jc w:val="both"/>
        <w:rPr>
          <w:rFonts w:ascii="Times New Roman" w:hAnsi="Times New Roman" w:cs="Times New Roman"/>
          <w:sz w:val="24"/>
          <w:szCs w:val="24"/>
        </w:rPr>
      </w:pPr>
    </w:p>
    <w:p w14:paraId="67AFB57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Anambra South                 27.83      44.34       24.35      3.48        0.00</w:t>
      </w:r>
    </w:p>
    <w:p w14:paraId="5AD232BB" w14:textId="77777777" w:rsidR="00E16114" w:rsidRPr="007F6CB3" w:rsidRDefault="00E16114" w:rsidP="00E16114">
      <w:pPr>
        <w:jc w:val="both"/>
        <w:rPr>
          <w:rFonts w:ascii="Times New Roman" w:hAnsi="Times New Roman" w:cs="Times New Roman"/>
          <w:b/>
          <w:bCs/>
          <w:sz w:val="24"/>
          <w:szCs w:val="24"/>
        </w:rPr>
      </w:pPr>
    </w:p>
    <w:tbl>
      <w:tblPr>
        <w:tblW w:w="0" w:type="auto"/>
        <w:tblInd w:w="108" w:type="dxa"/>
        <w:tblBorders>
          <w:top w:val="single" w:sz="4" w:space="0" w:color="auto"/>
        </w:tblBorders>
        <w:tblLook w:val="0000" w:firstRow="0" w:lastRow="0" w:firstColumn="0" w:lastColumn="0" w:noHBand="0" w:noVBand="0"/>
      </w:tblPr>
      <w:tblGrid>
        <w:gridCol w:w="8391"/>
      </w:tblGrid>
      <w:tr w:rsidR="00E16114" w:rsidRPr="007F6CB3" w14:paraId="5A0774F3" w14:textId="77777777" w:rsidTr="0026594F">
        <w:trPr>
          <w:trHeight w:val="100"/>
        </w:trPr>
        <w:tc>
          <w:tcPr>
            <w:tcW w:w="8391" w:type="dxa"/>
          </w:tcPr>
          <w:p w14:paraId="4CF12439" w14:textId="77777777" w:rsidR="00E16114" w:rsidRPr="007F6CB3" w:rsidRDefault="00E16114" w:rsidP="0026594F">
            <w:pPr>
              <w:jc w:val="both"/>
              <w:rPr>
                <w:rFonts w:ascii="Times New Roman" w:hAnsi="Times New Roman" w:cs="Times New Roman"/>
                <w:b/>
                <w:bCs/>
                <w:sz w:val="24"/>
                <w:szCs w:val="24"/>
              </w:rPr>
            </w:pPr>
          </w:p>
        </w:tc>
      </w:tr>
    </w:tbl>
    <w:p w14:paraId="6B1E6ABD" w14:textId="77777777" w:rsidR="00E16114" w:rsidRPr="007F6CB3" w:rsidRDefault="00E16114" w:rsidP="00E16114">
      <w:pPr>
        <w:jc w:val="both"/>
        <w:rPr>
          <w:rFonts w:ascii="Times New Roman" w:hAnsi="Times New Roman" w:cs="Times New Roman"/>
          <w:b/>
          <w:bCs/>
          <w:sz w:val="24"/>
          <w:szCs w:val="24"/>
        </w:rPr>
      </w:pPr>
    </w:p>
    <w:p w14:paraId="08F1B40C" w14:textId="77777777" w:rsidR="00E16114" w:rsidRPr="007F6CB3" w:rsidRDefault="00E16114" w:rsidP="00E16114">
      <w:pPr>
        <w:jc w:val="both"/>
        <w:rPr>
          <w:rFonts w:ascii="Times New Roman" w:hAnsi="Times New Roman" w:cs="Times New Roman"/>
          <w:b/>
          <w:bCs/>
          <w:sz w:val="24"/>
          <w:szCs w:val="24"/>
        </w:rPr>
      </w:pPr>
    </w:p>
    <w:p w14:paraId="3B94ECAD" w14:textId="6944F80B" w:rsidR="00E16114" w:rsidRPr="007F6CB3" w:rsidRDefault="00E16114" w:rsidP="00E16114">
      <w:pPr>
        <w:jc w:val="both"/>
        <w:rPr>
          <w:rFonts w:ascii="Times New Roman" w:hAnsi="Times New Roman" w:cs="Times New Roman"/>
          <w:b/>
          <w:bCs/>
          <w:sz w:val="24"/>
          <w:szCs w:val="24"/>
        </w:rPr>
      </w:pPr>
      <w:bookmarkStart w:id="10" w:name="_Hlk221325111"/>
      <w:r w:rsidRPr="007F6CB3">
        <w:rPr>
          <w:rFonts w:ascii="Times New Roman" w:hAnsi="Times New Roman" w:cs="Times New Roman"/>
          <w:b/>
          <w:bCs/>
          <w:sz w:val="24"/>
          <w:szCs w:val="24"/>
        </w:rPr>
        <w:t>Educational Qualification of the Respondents</w:t>
      </w:r>
    </w:p>
    <w:bookmarkEnd w:id="10"/>
    <w:p w14:paraId="5B488B27" w14:textId="77777777" w:rsidR="00E16114" w:rsidRPr="007F6CB3" w:rsidRDefault="00E16114" w:rsidP="00E16114">
      <w:pPr>
        <w:jc w:val="both"/>
        <w:rPr>
          <w:rFonts w:ascii="Times New Roman" w:hAnsi="Times New Roman" w:cs="Times New Roman"/>
          <w:b/>
          <w:bCs/>
          <w:sz w:val="24"/>
          <w:szCs w:val="24"/>
        </w:rPr>
      </w:pPr>
    </w:p>
    <w:p w14:paraId="090F3D0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Respondents who have the indigenous knowledge of sweet potato in their communities had varying educational qualifications ranging from First School Leaving Certificate (FSLC), West African Senior Secondary Certificate Examination (WASSCE) or the General Certificate Examination (GCE), higher institution of learning or no educational qualification. In Anambra South, 73 respondents (63.48%) had no formal type of education. In Anambra North, 52 respondents (43.70%) had First School Leaving Certificate (FSLC). The least number of educational qualifications was obtained in Anambra Central and Anambra South with only 14 respondents (12.28% and 12.17%) having higher institution education qualification (Table 4) </w:t>
      </w:r>
    </w:p>
    <w:p w14:paraId="28A3D6B5" w14:textId="77777777" w:rsidR="00E16114" w:rsidRPr="007F6CB3" w:rsidRDefault="00E16114" w:rsidP="00E16114">
      <w:pPr>
        <w:jc w:val="both"/>
        <w:rPr>
          <w:rFonts w:ascii="Times New Roman" w:hAnsi="Times New Roman" w:cs="Times New Roman"/>
          <w:sz w:val="24"/>
          <w:szCs w:val="24"/>
        </w:rPr>
      </w:pPr>
    </w:p>
    <w:p w14:paraId="3070AFF4" w14:textId="41C7137E" w:rsidR="00E16114" w:rsidRPr="007F6CB3" w:rsidRDefault="00E16114" w:rsidP="00E16114">
      <w:pPr>
        <w:jc w:val="both"/>
        <w:rPr>
          <w:rFonts w:ascii="Times New Roman" w:hAnsi="Times New Roman" w:cs="Times New Roman"/>
          <w:sz w:val="24"/>
          <w:szCs w:val="24"/>
        </w:rPr>
      </w:pPr>
      <w:bookmarkStart w:id="11" w:name="_Hlk221325145"/>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4</w:t>
      </w:r>
      <w:r w:rsidRPr="007F6CB3">
        <w:rPr>
          <w:rFonts w:ascii="Times New Roman" w:hAnsi="Times New Roman" w:cs="Times New Roman"/>
          <w:sz w:val="24"/>
          <w:szCs w:val="24"/>
        </w:rPr>
        <w:t>: Educational Qualification of Respondents</w:t>
      </w:r>
    </w:p>
    <w:p w14:paraId="6E1AE114"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t>
      </w:r>
    </w:p>
    <w:tbl>
      <w:tblPr>
        <w:tblW w:w="851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5"/>
      </w:tblGrid>
      <w:tr w:rsidR="00E16114" w:rsidRPr="007F6CB3" w14:paraId="61256A06" w14:textId="77777777" w:rsidTr="0026594F">
        <w:trPr>
          <w:trHeight w:val="789"/>
        </w:trPr>
        <w:tc>
          <w:tcPr>
            <w:tcW w:w="8515" w:type="dxa"/>
            <w:tcBorders>
              <w:left w:val="nil"/>
              <w:right w:val="nil"/>
            </w:tcBorders>
          </w:tcPr>
          <w:bookmarkEnd w:id="11"/>
          <w:p w14:paraId="1839BA5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Educational Qualification       Frequency        Percentage (%)</w:t>
            </w:r>
          </w:p>
          <w:p w14:paraId="79AF9CF5"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w:t>
            </w:r>
          </w:p>
        </w:tc>
      </w:tr>
    </w:tbl>
    <w:p w14:paraId="73614E4E"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North          FSLC                                         52                      43.70</w:t>
      </w:r>
    </w:p>
    <w:p w14:paraId="7705F64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WASSCE/GCE                          7                       5.88</w:t>
      </w:r>
    </w:p>
    <w:p w14:paraId="3AC5EA05"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18                     15.13</w:t>
      </w:r>
    </w:p>
    <w:p w14:paraId="55AF8EC4"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None                                          42                      35.29</w:t>
      </w:r>
    </w:p>
    <w:p w14:paraId="4B04E3F2" w14:textId="77777777" w:rsidR="00E16114" w:rsidRPr="007F6CB3" w:rsidRDefault="00E16114" w:rsidP="00E16114">
      <w:pPr>
        <w:jc w:val="both"/>
        <w:rPr>
          <w:rFonts w:ascii="Times New Roman" w:hAnsi="Times New Roman" w:cs="Times New Roman"/>
          <w:b/>
          <w:bCs/>
          <w:sz w:val="24"/>
          <w:szCs w:val="24"/>
        </w:rPr>
      </w:pPr>
    </w:p>
    <w:p w14:paraId="15A9A69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Central         FSLC                                         10                      8.77</w:t>
      </w:r>
    </w:p>
    <w:p w14:paraId="2868A30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WASSCE/GCE                          45                      39.47</w:t>
      </w:r>
    </w:p>
    <w:p w14:paraId="5142476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14                      12.28</w:t>
      </w:r>
    </w:p>
    <w:p w14:paraId="76B97BA0"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lastRenderedPageBreak/>
        <w:t xml:space="preserve">                                     </w:t>
      </w:r>
      <w:r w:rsidRPr="007F6CB3">
        <w:rPr>
          <w:rFonts w:ascii="Times New Roman" w:hAnsi="Times New Roman" w:cs="Times New Roman"/>
          <w:sz w:val="24"/>
          <w:szCs w:val="24"/>
        </w:rPr>
        <w:t>None                                          45                      39.47</w:t>
      </w:r>
    </w:p>
    <w:p w14:paraId="44C8A116" w14:textId="77777777" w:rsidR="00E16114" w:rsidRPr="007F6CB3" w:rsidRDefault="00E16114" w:rsidP="00E16114">
      <w:pPr>
        <w:jc w:val="both"/>
        <w:rPr>
          <w:rFonts w:ascii="Times New Roman" w:hAnsi="Times New Roman" w:cs="Times New Roman"/>
          <w:sz w:val="24"/>
          <w:szCs w:val="24"/>
        </w:rPr>
      </w:pPr>
    </w:p>
    <w:p w14:paraId="5FD89B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South             FSLC                                         10                      8.70</w:t>
      </w:r>
    </w:p>
    <w:p w14:paraId="13D1E3B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WASSCE/GCE                          18                     15.65</w:t>
      </w:r>
    </w:p>
    <w:p w14:paraId="761A1DD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Higher Institution                      14                     12.17</w:t>
      </w:r>
    </w:p>
    <w:p w14:paraId="62F71DE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None                                          73                     63.48</w:t>
      </w:r>
    </w:p>
    <w:p w14:paraId="3D427F95" w14:textId="77777777" w:rsidR="00E16114" w:rsidRPr="007F6CB3" w:rsidRDefault="00E16114" w:rsidP="00E16114">
      <w:pPr>
        <w:jc w:val="both"/>
        <w:rPr>
          <w:rFonts w:ascii="Times New Roman" w:hAnsi="Times New Roman" w:cs="Times New Roman"/>
          <w:sz w:val="24"/>
          <w:szCs w:val="24"/>
        </w:rPr>
      </w:pPr>
    </w:p>
    <w:tbl>
      <w:tblPr>
        <w:tblW w:w="8723" w:type="dxa"/>
        <w:tblInd w:w="136" w:type="dxa"/>
        <w:tblBorders>
          <w:top w:val="single" w:sz="4" w:space="0" w:color="auto"/>
        </w:tblBorders>
        <w:tblLook w:val="0000" w:firstRow="0" w:lastRow="0" w:firstColumn="0" w:lastColumn="0" w:noHBand="0" w:noVBand="0"/>
      </w:tblPr>
      <w:tblGrid>
        <w:gridCol w:w="8723"/>
      </w:tblGrid>
      <w:tr w:rsidR="00E16114" w:rsidRPr="007F6CB3" w14:paraId="1F8C43B1" w14:textId="77777777" w:rsidTr="0026594F">
        <w:trPr>
          <w:trHeight w:val="100"/>
        </w:trPr>
        <w:tc>
          <w:tcPr>
            <w:tcW w:w="8723" w:type="dxa"/>
          </w:tcPr>
          <w:p w14:paraId="3B25431B" w14:textId="77777777" w:rsidR="00E16114" w:rsidRPr="007F6CB3" w:rsidRDefault="00E16114" w:rsidP="0026594F">
            <w:pPr>
              <w:jc w:val="both"/>
              <w:rPr>
                <w:rFonts w:ascii="Times New Roman" w:hAnsi="Times New Roman" w:cs="Times New Roman"/>
                <w:sz w:val="24"/>
                <w:szCs w:val="24"/>
              </w:rPr>
            </w:pPr>
          </w:p>
        </w:tc>
      </w:tr>
    </w:tbl>
    <w:p w14:paraId="630DB1D1" w14:textId="461D01F5" w:rsidR="00E16114" w:rsidRPr="007F6CB3" w:rsidRDefault="00E16114" w:rsidP="00E16114">
      <w:pPr>
        <w:jc w:val="both"/>
        <w:rPr>
          <w:rFonts w:ascii="Times New Roman" w:hAnsi="Times New Roman" w:cs="Times New Roman"/>
          <w:b/>
          <w:bCs/>
          <w:sz w:val="24"/>
          <w:szCs w:val="24"/>
        </w:rPr>
      </w:pPr>
      <w:bookmarkStart w:id="12" w:name="_Hlk221325187"/>
      <w:r w:rsidRPr="007F6CB3">
        <w:rPr>
          <w:rFonts w:ascii="Times New Roman" w:hAnsi="Times New Roman" w:cs="Times New Roman"/>
          <w:b/>
          <w:bCs/>
          <w:sz w:val="24"/>
          <w:szCs w:val="24"/>
        </w:rPr>
        <w:t>Occupation of the Respondents</w:t>
      </w:r>
    </w:p>
    <w:p w14:paraId="1F6B9AEF" w14:textId="77777777" w:rsidR="00E16114" w:rsidRPr="007F6CB3" w:rsidRDefault="00E16114" w:rsidP="00E16114">
      <w:pPr>
        <w:jc w:val="both"/>
        <w:rPr>
          <w:rFonts w:ascii="Times New Roman" w:hAnsi="Times New Roman" w:cs="Times New Roman"/>
          <w:b/>
          <w:bCs/>
          <w:sz w:val="24"/>
          <w:szCs w:val="24"/>
        </w:rPr>
      </w:pPr>
    </w:p>
    <w:bookmarkEnd w:id="12"/>
    <w:p w14:paraId="7E238DE6"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Most of the respondents that were interviewed were farmers, with some engaged with other paid jobs, some were students and some self-employed. In Anambra North Senatorial Zone, one hundred and one (101) respondents representing 84.87% were farmers while eighteen (18) respondents representing 15.13% were students. None of the respondents were engaged in paid employment or self-employment. In Anambra Central Senatorial Zone, eighty-three (83) respondents representing 72.81% were farmers, twenty (20) respondents representing 17.54% were students and eleven (11) respondents representing 9.65% had paid employment. No respondent was self-employed. In Anambra South Senatorial Zone, six (6) representing 5.22% of the respondents were engaged in paid employment, five (5) respondents representing 4.35% were engaged in self-employment, seven (7) respondents representing 6.09% of the respondents were students and ninety-seven (97) respondents representing 84.35% were farmers (Table 5). </w:t>
      </w:r>
    </w:p>
    <w:p w14:paraId="3507B0E8" w14:textId="77777777" w:rsidR="00E16114" w:rsidRPr="007F6CB3" w:rsidRDefault="00E16114" w:rsidP="00E16114">
      <w:pPr>
        <w:jc w:val="both"/>
        <w:rPr>
          <w:rFonts w:ascii="Times New Roman" w:hAnsi="Times New Roman" w:cs="Times New Roman"/>
          <w:sz w:val="24"/>
          <w:szCs w:val="24"/>
        </w:rPr>
      </w:pPr>
    </w:p>
    <w:p w14:paraId="031A93F8" w14:textId="77158EF4" w:rsidR="00E16114" w:rsidRPr="007F6CB3" w:rsidRDefault="00E16114" w:rsidP="00E16114">
      <w:pPr>
        <w:jc w:val="both"/>
        <w:rPr>
          <w:rFonts w:ascii="Times New Roman" w:hAnsi="Times New Roman" w:cs="Times New Roman"/>
          <w:sz w:val="24"/>
          <w:szCs w:val="24"/>
        </w:rPr>
      </w:pPr>
      <w:bookmarkStart w:id="13" w:name="_Hlk221325217"/>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5</w:t>
      </w:r>
      <w:r w:rsidRPr="007F6CB3">
        <w:rPr>
          <w:rFonts w:ascii="Times New Roman" w:hAnsi="Times New Roman" w:cs="Times New Roman"/>
          <w:sz w:val="24"/>
          <w:szCs w:val="24"/>
        </w:rPr>
        <w:t>: Occupation of the Respondents</w:t>
      </w:r>
    </w:p>
    <w:p w14:paraId="2DAB42D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w:t>
      </w:r>
    </w:p>
    <w:tbl>
      <w:tblPr>
        <w:tblW w:w="851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5"/>
      </w:tblGrid>
      <w:tr w:rsidR="00E16114" w:rsidRPr="007F6CB3" w14:paraId="1C04E616" w14:textId="77777777" w:rsidTr="0026594F">
        <w:trPr>
          <w:trHeight w:val="789"/>
        </w:trPr>
        <w:tc>
          <w:tcPr>
            <w:tcW w:w="8515" w:type="dxa"/>
            <w:tcBorders>
              <w:left w:val="nil"/>
              <w:right w:val="nil"/>
            </w:tcBorders>
          </w:tcPr>
          <w:bookmarkEnd w:id="13"/>
          <w:p w14:paraId="1E3049B1"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Senatorial              Occupation                               Frequency        Percentage (%)</w:t>
            </w:r>
          </w:p>
          <w:p w14:paraId="3D87C10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Zones</w:t>
            </w:r>
          </w:p>
        </w:tc>
      </w:tr>
    </w:tbl>
    <w:p w14:paraId="02FBAAD8"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North          Paid employment                      0                         0.00</w:t>
      </w:r>
    </w:p>
    <w:p w14:paraId="0BD5D39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Self-employment                       0                         0.00</w:t>
      </w:r>
    </w:p>
    <w:p w14:paraId="25225D3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101                     84.87</w:t>
      </w:r>
    </w:p>
    <w:p w14:paraId="325FA56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Student                                      18                      15.13</w:t>
      </w:r>
    </w:p>
    <w:p w14:paraId="1A59FAA3" w14:textId="77777777" w:rsidR="00E16114" w:rsidRPr="007F6CB3" w:rsidRDefault="00E16114" w:rsidP="00E16114">
      <w:pPr>
        <w:jc w:val="both"/>
        <w:rPr>
          <w:rFonts w:ascii="Times New Roman" w:hAnsi="Times New Roman" w:cs="Times New Roman"/>
          <w:b/>
          <w:bCs/>
          <w:sz w:val="24"/>
          <w:szCs w:val="24"/>
        </w:rPr>
      </w:pPr>
    </w:p>
    <w:p w14:paraId="08F10B9C"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Anambra Central        Paid employment                       11                      9.65</w:t>
      </w:r>
    </w:p>
    <w:p w14:paraId="225706F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Self-employment                        0                       0.00</w:t>
      </w:r>
    </w:p>
    <w:p w14:paraId="7FB34F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83                     72.81</w:t>
      </w:r>
    </w:p>
    <w:p w14:paraId="1CFD6C7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 xml:space="preserve">    Student                                       20                     17.54</w:t>
      </w:r>
    </w:p>
    <w:p w14:paraId="41376281" w14:textId="77777777" w:rsidR="00E16114" w:rsidRPr="007F6CB3" w:rsidRDefault="00E16114" w:rsidP="00E16114">
      <w:pPr>
        <w:jc w:val="both"/>
        <w:rPr>
          <w:rFonts w:ascii="Times New Roman" w:hAnsi="Times New Roman" w:cs="Times New Roman"/>
          <w:sz w:val="24"/>
          <w:szCs w:val="24"/>
        </w:rPr>
      </w:pPr>
    </w:p>
    <w:p w14:paraId="04CAD512"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Anambra South           Paid employment                        6                       5.22                    </w:t>
      </w:r>
    </w:p>
    <w:p w14:paraId="745CBDB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Self-employment                        5                       4.35</w:t>
      </w:r>
    </w:p>
    <w:p w14:paraId="24E7462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b/>
          <w:bCs/>
          <w:sz w:val="24"/>
          <w:szCs w:val="24"/>
        </w:rPr>
        <w:t xml:space="preserve">                                     </w:t>
      </w:r>
      <w:r w:rsidRPr="007F6CB3">
        <w:rPr>
          <w:rFonts w:ascii="Times New Roman" w:hAnsi="Times New Roman" w:cs="Times New Roman"/>
          <w:sz w:val="24"/>
          <w:szCs w:val="24"/>
        </w:rPr>
        <w:t>Farmer                                        97                     84.35</w:t>
      </w:r>
    </w:p>
    <w:p w14:paraId="577B78B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                                     Student                                        7                       6.09</w:t>
      </w:r>
    </w:p>
    <w:p w14:paraId="36D32547" w14:textId="77777777" w:rsidR="00E16114" w:rsidRPr="007F6CB3" w:rsidRDefault="00E16114" w:rsidP="00E16114">
      <w:pPr>
        <w:jc w:val="both"/>
        <w:rPr>
          <w:rFonts w:ascii="Times New Roman" w:hAnsi="Times New Roman" w:cs="Times New Roman"/>
          <w:sz w:val="24"/>
          <w:szCs w:val="24"/>
        </w:rPr>
      </w:pPr>
    </w:p>
    <w:tbl>
      <w:tblPr>
        <w:tblW w:w="8723" w:type="dxa"/>
        <w:tblInd w:w="136" w:type="dxa"/>
        <w:tblBorders>
          <w:top w:val="single" w:sz="4" w:space="0" w:color="auto"/>
        </w:tblBorders>
        <w:tblLook w:val="0000" w:firstRow="0" w:lastRow="0" w:firstColumn="0" w:lastColumn="0" w:noHBand="0" w:noVBand="0"/>
      </w:tblPr>
      <w:tblGrid>
        <w:gridCol w:w="8723"/>
      </w:tblGrid>
      <w:tr w:rsidR="00E16114" w:rsidRPr="007F6CB3" w14:paraId="772F5BB6" w14:textId="77777777" w:rsidTr="0026594F">
        <w:trPr>
          <w:trHeight w:val="100"/>
        </w:trPr>
        <w:tc>
          <w:tcPr>
            <w:tcW w:w="8723" w:type="dxa"/>
          </w:tcPr>
          <w:p w14:paraId="5D49E6FD" w14:textId="77777777" w:rsidR="00E16114" w:rsidRPr="007F6CB3" w:rsidRDefault="00E16114" w:rsidP="0026594F">
            <w:pPr>
              <w:jc w:val="both"/>
              <w:rPr>
                <w:rFonts w:ascii="Times New Roman" w:hAnsi="Times New Roman" w:cs="Times New Roman"/>
                <w:sz w:val="24"/>
                <w:szCs w:val="24"/>
              </w:rPr>
            </w:pPr>
          </w:p>
        </w:tc>
      </w:tr>
    </w:tbl>
    <w:p w14:paraId="6EDE5338" w14:textId="77777777" w:rsidR="00E16114" w:rsidRPr="007F6CB3" w:rsidRDefault="00E16114" w:rsidP="00E16114">
      <w:pPr>
        <w:jc w:val="both"/>
        <w:rPr>
          <w:rFonts w:ascii="Times New Roman" w:hAnsi="Times New Roman" w:cs="Times New Roman"/>
          <w:sz w:val="24"/>
          <w:szCs w:val="24"/>
        </w:rPr>
      </w:pPr>
    </w:p>
    <w:p w14:paraId="622B8028" w14:textId="3CDFA201" w:rsidR="00E16114" w:rsidRPr="007F6CB3" w:rsidRDefault="00E16114" w:rsidP="00E16114">
      <w:pPr>
        <w:jc w:val="both"/>
        <w:rPr>
          <w:rFonts w:ascii="Times New Roman" w:hAnsi="Times New Roman" w:cs="Times New Roman"/>
          <w:b/>
          <w:bCs/>
          <w:sz w:val="24"/>
          <w:szCs w:val="24"/>
          <w:lang w:val="en-GB"/>
        </w:rPr>
      </w:pPr>
      <w:bookmarkStart w:id="14" w:name="_Hlk221325251"/>
      <w:r w:rsidRPr="007F6CB3">
        <w:rPr>
          <w:rFonts w:ascii="Times New Roman" w:hAnsi="Times New Roman" w:cs="Times New Roman"/>
          <w:b/>
          <w:bCs/>
          <w:sz w:val="24"/>
          <w:szCs w:val="24"/>
          <w:lang w:val="en-GB"/>
        </w:rPr>
        <w:t>Sweet Potato Cultivation Practices</w:t>
      </w:r>
    </w:p>
    <w:p w14:paraId="39E05F44" w14:textId="77777777" w:rsidR="00E16114" w:rsidRPr="007F6CB3" w:rsidRDefault="00E16114" w:rsidP="00E16114">
      <w:pPr>
        <w:jc w:val="both"/>
        <w:rPr>
          <w:rFonts w:ascii="Times New Roman" w:hAnsi="Times New Roman" w:cs="Times New Roman"/>
          <w:b/>
          <w:bCs/>
          <w:sz w:val="24"/>
          <w:szCs w:val="24"/>
          <w:lang w:val="en-GB"/>
        </w:rPr>
      </w:pPr>
    </w:p>
    <w:bookmarkEnd w:id="14"/>
    <w:p w14:paraId="6FB37A48"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lastRenderedPageBreak/>
        <w:t>Responses on sweet potato cultivation practices revealed information on commonly cultivated varieties, land size under cultivation, planting methods, farming inputs, and challenges faced during production.</w:t>
      </w:r>
    </w:p>
    <w:p w14:paraId="53672067"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The findings showed that respondents employed different agronomic practices depending on location, access to resources, and farming experience. Major challenges identified included pest infestation, diseases, poor soil fertility, and limited access to inputs.</w:t>
      </w:r>
    </w:p>
    <w:p w14:paraId="36530030"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The results presented in Table 6 indicate that smallholder farming dominates sweet potato cultivation across the three senatorial zones of Anambra State. Over 77% of respondents cultivated sweet potato on less than 3 acres, confirming that production is largely subsistence-oriented with limited mechanization.</w:t>
      </w:r>
    </w:p>
    <w:p w14:paraId="293AF314"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Mound planting emerged as the most commonly adopted planting method (51.7%), followed by ridge planting (34.5%). This reflects traditional agronomic practices widely used in </w:t>
      </w:r>
      <w:proofErr w:type="spellStart"/>
      <w:r w:rsidRPr="007F6CB3">
        <w:rPr>
          <w:rFonts w:ascii="Times New Roman" w:hAnsi="Times New Roman" w:cs="Times New Roman"/>
          <w:sz w:val="24"/>
          <w:szCs w:val="24"/>
          <w:lang w:val="en-GB"/>
        </w:rPr>
        <w:t>southeastern</w:t>
      </w:r>
      <w:proofErr w:type="spellEnd"/>
      <w:r w:rsidRPr="007F6CB3">
        <w:rPr>
          <w:rFonts w:ascii="Times New Roman" w:hAnsi="Times New Roman" w:cs="Times New Roman"/>
          <w:sz w:val="24"/>
          <w:szCs w:val="24"/>
          <w:lang w:val="en-GB"/>
        </w:rPr>
        <w:t xml:space="preserve"> Nigeria due to their suitability for root and tuber crops and ease of water drainage.</w:t>
      </w:r>
    </w:p>
    <w:p w14:paraId="558BFE3C"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In terms of farming inputs, chemical fertilizers (43.4%) and organic manure (39.9%) were widely used, indicating a mixed-input system. However, the continued use of no inputs by some farmers suggests constraints such as cost and access.</w:t>
      </w:r>
    </w:p>
    <w:p w14:paraId="76A537EF"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Major cultivation challenges reported included pests, diseases, and soil fertility issues, highlighting persistent biotic and abiotic constraints to sweet potato productivity in the study area.</w:t>
      </w:r>
    </w:p>
    <w:p w14:paraId="3B5FBA7E" w14:textId="77777777" w:rsidR="00E16114" w:rsidRPr="007F6CB3" w:rsidRDefault="00E16114" w:rsidP="00E16114">
      <w:pPr>
        <w:jc w:val="both"/>
        <w:rPr>
          <w:rFonts w:ascii="Times New Roman" w:hAnsi="Times New Roman" w:cs="Times New Roman"/>
          <w:sz w:val="24"/>
          <w:szCs w:val="24"/>
          <w:lang w:val="en-GB"/>
        </w:rPr>
      </w:pPr>
    </w:p>
    <w:p w14:paraId="6282588D" w14:textId="329626B3" w:rsidR="00E16114" w:rsidRPr="007F6CB3" w:rsidRDefault="00E16114" w:rsidP="00E16114">
      <w:pPr>
        <w:jc w:val="both"/>
        <w:rPr>
          <w:rFonts w:ascii="Times New Roman" w:hAnsi="Times New Roman" w:cs="Times New Roman"/>
          <w:b/>
          <w:bCs/>
          <w:sz w:val="24"/>
          <w:szCs w:val="24"/>
        </w:rPr>
      </w:pPr>
      <w:bookmarkStart w:id="15" w:name="_Hlk221325289"/>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w:t>
      </w:r>
      <w:r w:rsidRPr="007F6CB3">
        <w:rPr>
          <w:rFonts w:ascii="Times New Roman" w:hAnsi="Times New Roman" w:cs="Times New Roman"/>
          <w:b/>
          <w:bCs/>
          <w:sz w:val="24"/>
          <w:szCs w:val="24"/>
        </w:rPr>
        <w:t>: Cultivation Practices</w:t>
      </w:r>
    </w:p>
    <w:bookmarkEnd w:id="15"/>
    <w:p w14:paraId="3D8BFED3" w14:textId="77777777" w:rsidR="00E16114" w:rsidRPr="007F6CB3" w:rsidRDefault="00E16114" w:rsidP="00E16114">
      <w:pPr>
        <w:jc w:val="both"/>
        <w:rPr>
          <w:rFonts w:ascii="Times New Roman" w:hAnsi="Times New Roman" w:cs="Times New Roman"/>
          <w:b/>
          <w:bCs/>
          <w:sz w:val="24"/>
          <w:szCs w:val="24"/>
        </w:rPr>
      </w:pPr>
    </w:p>
    <w:tbl>
      <w:tblPr>
        <w:tblW w:w="9760" w:type="dxa"/>
        <w:tblInd w:w="108" w:type="dxa"/>
        <w:tblLook w:val="04A0" w:firstRow="1" w:lastRow="0" w:firstColumn="1" w:lastColumn="0" w:noHBand="0" w:noVBand="1"/>
      </w:tblPr>
      <w:tblGrid>
        <w:gridCol w:w="1660"/>
        <w:gridCol w:w="1900"/>
        <w:gridCol w:w="1740"/>
        <w:gridCol w:w="1760"/>
        <w:gridCol w:w="1740"/>
        <w:gridCol w:w="960"/>
      </w:tblGrid>
      <w:tr w:rsidR="00E16114" w:rsidRPr="007F6CB3" w14:paraId="370A1AA5" w14:textId="77777777" w:rsidTr="0026594F">
        <w:trPr>
          <w:trHeight w:val="300"/>
        </w:trPr>
        <w:tc>
          <w:tcPr>
            <w:tcW w:w="1660" w:type="dxa"/>
            <w:tcBorders>
              <w:top w:val="nil"/>
              <w:left w:val="nil"/>
              <w:bottom w:val="nil"/>
              <w:right w:val="nil"/>
            </w:tcBorders>
            <w:noWrap/>
            <w:vAlign w:val="bottom"/>
            <w:hideMark/>
          </w:tcPr>
          <w:p w14:paraId="3EBBCA2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Variable</w:t>
            </w:r>
          </w:p>
        </w:tc>
        <w:tc>
          <w:tcPr>
            <w:tcW w:w="1900" w:type="dxa"/>
            <w:tcBorders>
              <w:top w:val="nil"/>
              <w:left w:val="nil"/>
              <w:bottom w:val="nil"/>
              <w:right w:val="nil"/>
            </w:tcBorders>
            <w:noWrap/>
            <w:vAlign w:val="bottom"/>
            <w:hideMark/>
          </w:tcPr>
          <w:p w14:paraId="4548254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Category</w:t>
            </w:r>
          </w:p>
        </w:tc>
        <w:tc>
          <w:tcPr>
            <w:tcW w:w="1740" w:type="dxa"/>
            <w:tcBorders>
              <w:top w:val="nil"/>
              <w:left w:val="nil"/>
              <w:bottom w:val="nil"/>
              <w:right w:val="nil"/>
            </w:tcBorders>
            <w:noWrap/>
            <w:vAlign w:val="bottom"/>
            <w:hideMark/>
          </w:tcPr>
          <w:p w14:paraId="7BCAAAB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North</w:t>
            </w:r>
          </w:p>
        </w:tc>
        <w:tc>
          <w:tcPr>
            <w:tcW w:w="1760" w:type="dxa"/>
            <w:tcBorders>
              <w:top w:val="nil"/>
              <w:left w:val="nil"/>
              <w:bottom w:val="nil"/>
              <w:right w:val="nil"/>
            </w:tcBorders>
            <w:noWrap/>
            <w:vAlign w:val="bottom"/>
            <w:hideMark/>
          </w:tcPr>
          <w:p w14:paraId="290543B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South</w:t>
            </w:r>
          </w:p>
        </w:tc>
        <w:tc>
          <w:tcPr>
            <w:tcW w:w="1740" w:type="dxa"/>
            <w:tcBorders>
              <w:top w:val="nil"/>
              <w:left w:val="nil"/>
              <w:bottom w:val="nil"/>
              <w:right w:val="nil"/>
            </w:tcBorders>
            <w:noWrap/>
            <w:vAlign w:val="bottom"/>
            <w:hideMark/>
          </w:tcPr>
          <w:p w14:paraId="4A02C3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Central</w:t>
            </w:r>
          </w:p>
        </w:tc>
        <w:tc>
          <w:tcPr>
            <w:tcW w:w="960" w:type="dxa"/>
            <w:tcBorders>
              <w:top w:val="nil"/>
              <w:left w:val="nil"/>
              <w:bottom w:val="nil"/>
              <w:right w:val="nil"/>
            </w:tcBorders>
            <w:noWrap/>
            <w:vAlign w:val="bottom"/>
            <w:hideMark/>
          </w:tcPr>
          <w:p w14:paraId="67049D0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Total</w:t>
            </w:r>
          </w:p>
        </w:tc>
      </w:tr>
      <w:tr w:rsidR="00E16114" w:rsidRPr="007F6CB3" w14:paraId="151AED53" w14:textId="77777777" w:rsidTr="0026594F">
        <w:trPr>
          <w:trHeight w:val="300"/>
        </w:trPr>
        <w:tc>
          <w:tcPr>
            <w:tcW w:w="1660" w:type="dxa"/>
            <w:tcBorders>
              <w:top w:val="nil"/>
              <w:left w:val="nil"/>
              <w:bottom w:val="nil"/>
              <w:right w:val="nil"/>
            </w:tcBorders>
            <w:noWrap/>
            <w:vAlign w:val="bottom"/>
            <w:hideMark/>
          </w:tcPr>
          <w:p w14:paraId="19AD0FC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1F41EA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&lt;1 acre</w:t>
            </w:r>
          </w:p>
        </w:tc>
        <w:tc>
          <w:tcPr>
            <w:tcW w:w="1740" w:type="dxa"/>
            <w:tcBorders>
              <w:top w:val="nil"/>
              <w:left w:val="nil"/>
              <w:bottom w:val="nil"/>
              <w:right w:val="nil"/>
            </w:tcBorders>
            <w:noWrap/>
            <w:vAlign w:val="bottom"/>
            <w:hideMark/>
          </w:tcPr>
          <w:p w14:paraId="3EBFC25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42</w:t>
            </w:r>
          </w:p>
        </w:tc>
        <w:tc>
          <w:tcPr>
            <w:tcW w:w="1760" w:type="dxa"/>
            <w:tcBorders>
              <w:top w:val="nil"/>
              <w:left w:val="nil"/>
              <w:bottom w:val="nil"/>
              <w:right w:val="nil"/>
            </w:tcBorders>
            <w:noWrap/>
            <w:vAlign w:val="bottom"/>
            <w:hideMark/>
          </w:tcPr>
          <w:p w14:paraId="5D90437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39</w:t>
            </w:r>
          </w:p>
        </w:tc>
        <w:tc>
          <w:tcPr>
            <w:tcW w:w="1740" w:type="dxa"/>
            <w:tcBorders>
              <w:top w:val="nil"/>
              <w:left w:val="nil"/>
              <w:bottom w:val="nil"/>
              <w:right w:val="nil"/>
            </w:tcBorders>
            <w:noWrap/>
            <w:vAlign w:val="bottom"/>
            <w:hideMark/>
          </w:tcPr>
          <w:p w14:paraId="0279630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41</w:t>
            </w:r>
          </w:p>
        </w:tc>
        <w:tc>
          <w:tcPr>
            <w:tcW w:w="960" w:type="dxa"/>
            <w:tcBorders>
              <w:top w:val="nil"/>
              <w:left w:val="nil"/>
              <w:bottom w:val="nil"/>
              <w:right w:val="nil"/>
            </w:tcBorders>
            <w:noWrap/>
            <w:vAlign w:val="bottom"/>
            <w:hideMark/>
          </w:tcPr>
          <w:p w14:paraId="05D9F1B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122</w:t>
            </w:r>
          </w:p>
        </w:tc>
      </w:tr>
      <w:tr w:rsidR="00E16114" w:rsidRPr="007F6CB3" w14:paraId="55D56987" w14:textId="77777777" w:rsidTr="0026594F">
        <w:trPr>
          <w:trHeight w:val="300"/>
        </w:trPr>
        <w:tc>
          <w:tcPr>
            <w:tcW w:w="1660" w:type="dxa"/>
            <w:tcBorders>
              <w:top w:val="nil"/>
              <w:left w:val="nil"/>
              <w:bottom w:val="nil"/>
              <w:right w:val="nil"/>
            </w:tcBorders>
            <w:noWrap/>
            <w:vAlign w:val="bottom"/>
            <w:hideMark/>
          </w:tcPr>
          <w:p w14:paraId="450F4C9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76F9A6A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 acres</w:t>
            </w:r>
          </w:p>
        </w:tc>
        <w:tc>
          <w:tcPr>
            <w:tcW w:w="1740" w:type="dxa"/>
            <w:tcBorders>
              <w:top w:val="nil"/>
              <w:left w:val="nil"/>
              <w:bottom w:val="nil"/>
              <w:right w:val="nil"/>
            </w:tcBorders>
            <w:noWrap/>
            <w:vAlign w:val="bottom"/>
            <w:hideMark/>
          </w:tcPr>
          <w:p w14:paraId="627AADB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51</w:t>
            </w:r>
          </w:p>
        </w:tc>
        <w:tc>
          <w:tcPr>
            <w:tcW w:w="1760" w:type="dxa"/>
            <w:tcBorders>
              <w:top w:val="nil"/>
              <w:left w:val="nil"/>
              <w:bottom w:val="nil"/>
              <w:right w:val="nil"/>
            </w:tcBorders>
            <w:noWrap/>
            <w:vAlign w:val="bottom"/>
            <w:hideMark/>
          </w:tcPr>
          <w:p w14:paraId="1766C1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49</w:t>
            </w:r>
          </w:p>
        </w:tc>
        <w:tc>
          <w:tcPr>
            <w:tcW w:w="1740" w:type="dxa"/>
            <w:tcBorders>
              <w:top w:val="nil"/>
              <w:left w:val="nil"/>
              <w:bottom w:val="nil"/>
              <w:right w:val="nil"/>
            </w:tcBorders>
            <w:noWrap/>
            <w:vAlign w:val="bottom"/>
            <w:hideMark/>
          </w:tcPr>
          <w:p w14:paraId="5C0F00E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960" w:type="dxa"/>
            <w:tcBorders>
              <w:top w:val="nil"/>
              <w:left w:val="nil"/>
              <w:bottom w:val="nil"/>
              <w:right w:val="nil"/>
            </w:tcBorders>
            <w:noWrap/>
            <w:vAlign w:val="bottom"/>
            <w:hideMark/>
          </w:tcPr>
          <w:p w14:paraId="46A2279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146</w:t>
            </w:r>
          </w:p>
        </w:tc>
      </w:tr>
      <w:tr w:rsidR="00E16114" w:rsidRPr="007F6CB3" w14:paraId="253BCC47" w14:textId="77777777" w:rsidTr="0026594F">
        <w:trPr>
          <w:trHeight w:val="300"/>
        </w:trPr>
        <w:tc>
          <w:tcPr>
            <w:tcW w:w="1660" w:type="dxa"/>
            <w:tcBorders>
              <w:top w:val="nil"/>
              <w:left w:val="nil"/>
              <w:bottom w:val="nil"/>
              <w:right w:val="nil"/>
            </w:tcBorders>
            <w:noWrap/>
            <w:vAlign w:val="bottom"/>
            <w:hideMark/>
          </w:tcPr>
          <w:p w14:paraId="773E372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28D7E96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 acres</w:t>
            </w:r>
          </w:p>
        </w:tc>
        <w:tc>
          <w:tcPr>
            <w:tcW w:w="1740" w:type="dxa"/>
            <w:tcBorders>
              <w:top w:val="nil"/>
              <w:left w:val="nil"/>
              <w:bottom w:val="nil"/>
              <w:right w:val="nil"/>
            </w:tcBorders>
            <w:noWrap/>
            <w:vAlign w:val="bottom"/>
            <w:hideMark/>
          </w:tcPr>
          <w:p w14:paraId="7E22F56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w:t>
            </w:r>
          </w:p>
        </w:tc>
        <w:tc>
          <w:tcPr>
            <w:tcW w:w="1760" w:type="dxa"/>
            <w:tcBorders>
              <w:top w:val="nil"/>
              <w:left w:val="nil"/>
              <w:bottom w:val="nil"/>
              <w:right w:val="nil"/>
            </w:tcBorders>
            <w:noWrap/>
            <w:vAlign w:val="bottom"/>
            <w:hideMark/>
          </w:tcPr>
          <w:p w14:paraId="1E2D65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1740" w:type="dxa"/>
            <w:tcBorders>
              <w:top w:val="nil"/>
              <w:left w:val="nil"/>
              <w:bottom w:val="nil"/>
              <w:right w:val="nil"/>
            </w:tcBorders>
            <w:noWrap/>
            <w:vAlign w:val="bottom"/>
            <w:hideMark/>
          </w:tcPr>
          <w:p w14:paraId="4E9A08D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960" w:type="dxa"/>
            <w:tcBorders>
              <w:top w:val="nil"/>
              <w:left w:val="nil"/>
              <w:bottom w:val="nil"/>
              <w:right w:val="nil"/>
            </w:tcBorders>
            <w:noWrap/>
            <w:vAlign w:val="bottom"/>
            <w:hideMark/>
          </w:tcPr>
          <w:p w14:paraId="06527AC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57</w:t>
            </w:r>
          </w:p>
        </w:tc>
      </w:tr>
      <w:tr w:rsidR="00E16114" w:rsidRPr="007F6CB3" w14:paraId="35D27B51" w14:textId="77777777" w:rsidTr="0026594F">
        <w:trPr>
          <w:trHeight w:val="300"/>
        </w:trPr>
        <w:tc>
          <w:tcPr>
            <w:tcW w:w="1660" w:type="dxa"/>
            <w:tcBorders>
              <w:top w:val="nil"/>
              <w:left w:val="nil"/>
              <w:bottom w:val="nil"/>
              <w:right w:val="nil"/>
            </w:tcBorders>
            <w:noWrap/>
            <w:vAlign w:val="bottom"/>
            <w:hideMark/>
          </w:tcPr>
          <w:p w14:paraId="02187FF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Land size</w:t>
            </w:r>
          </w:p>
        </w:tc>
        <w:tc>
          <w:tcPr>
            <w:tcW w:w="1900" w:type="dxa"/>
            <w:tcBorders>
              <w:top w:val="nil"/>
              <w:left w:val="nil"/>
              <w:bottom w:val="nil"/>
              <w:right w:val="nil"/>
            </w:tcBorders>
            <w:noWrap/>
            <w:vAlign w:val="bottom"/>
            <w:hideMark/>
          </w:tcPr>
          <w:p w14:paraId="00F0B9E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&gt;6 acres</w:t>
            </w:r>
          </w:p>
        </w:tc>
        <w:tc>
          <w:tcPr>
            <w:tcW w:w="1740" w:type="dxa"/>
            <w:tcBorders>
              <w:top w:val="nil"/>
              <w:left w:val="nil"/>
              <w:bottom w:val="nil"/>
              <w:right w:val="nil"/>
            </w:tcBorders>
            <w:noWrap/>
            <w:vAlign w:val="bottom"/>
            <w:hideMark/>
          </w:tcPr>
          <w:p w14:paraId="2E17E69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w:t>
            </w:r>
          </w:p>
        </w:tc>
        <w:tc>
          <w:tcPr>
            <w:tcW w:w="1760" w:type="dxa"/>
            <w:tcBorders>
              <w:top w:val="nil"/>
              <w:left w:val="nil"/>
              <w:bottom w:val="nil"/>
              <w:right w:val="nil"/>
            </w:tcBorders>
            <w:noWrap/>
            <w:vAlign w:val="bottom"/>
            <w:hideMark/>
          </w:tcPr>
          <w:p w14:paraId="65F56D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w:t>
            </w:r>
          </w:p>
        </w:tc>
        <w:tc>
          <w:tcPr>
            <w:tcW w:w="1740" w:type="dxa"/>
            <w:tcBorders>
              <w:top w:val="nil"/>
              <w:left w:val="nil"/>
              <w:bottom w:val="nil"/>
              <w:right w:val="nil"/>
            </w:tcBorders>
            <w:noWrap/>
            <w:vAlign w:val="bottom"/>
            <w:hideMark/>
          </w:tcPr>
          <w:p w14:paraId="136B992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7</w:t>
            </w:r>
          </w:p>
        </w:tc>
        <w:tc>
          <w:tcPr>
            <w:tcW w:w="960" w:type="dxa"/>
            <w:tcBorders>
              <w:top w:val="nil"/>
              <w:left w:val="nil"/>
              <w:bottom w:val="nil"/>
              <w:right w:val="nil"/>
            </w:tcBorders>
            <w:noWrap/>
            <w:vAlign w:val="bottom"/>
            <w:hideMark/>
          </w:tcPr>
          <w:p w14:paraId="21E052B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23</w:t>
            </w:r>
          </w:p>
        </w:tc>
      </w:tr>
      <w:tr w:rsidR="00E16114" w:rsidRPr="007F6CB3" w14:paraId="15AB2811" w14:textId="77777777" w:rsidTr="0026594F">
        <w:trPr>
          <w:trHeight w:val="300"/>
        </w:trPr>
        <w:tc>
          <w:tcPr>
            <w:tcW w:w="1660" w:type="dxa"/>
            <w:tcBorders>
              <w:top w:val="nil"/>
              <w:left w:val="nil"/>
              <w:bottom w:val="nil"/>
              <w:right w:val="nil"/>
            </w:tcBorders>
            <w:noWrap/>
            <w:vAlign w:val="bottom"/>
            <w:hideMark/>
          </w:tcPr>
          <w:p w14:paraId="66D1B2C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15C4932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Mound</w:t>
            </w:r>
          </w:p>
        </w:tc>
        <w:tc>
          <w:tcPr>
            <w:tcW w:w="1740" w:type="dxa"/>
            <w:tcBorders>
              <w:top w:val="nil"/>
              <w:left w:val="nil"/>
              <w:bottom w:val="nil"/>
              <w:right w:val="nil"/>
            </w:tcBorders>
            <w:noWrap/>
            <w:vAlign w:val="bottom"/>
            <w:hideMark/>
          </w:tcPr>
          <w:p w14:paraId="314CFEC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63</w:t>
            </w:r>
          </w:p>
        </w:tc>
        <w:tc>
          <w:tcPr>
            <w:tcW w:w="1760" w:type="dxa"/>
            <w:tcBorders>
              <w:top w:val="nil"/>
              <w:left w:val="nil"/>
              <w:bottom w:val="nil"/>
              <w:right w:val="nil"/>
            </w:tcBorders>
            <w:noWrap/>
            <w:vAlign w:val="bottom"/>
            <w:hideMark/>
          </w:tcPr>
          <w:p w14:paraId="71D5FA9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59</w:t>
            </w:r>
          </w:p>
        </w:tc>
        <w:tc>
          <w:tcPr>
            <w:tcW w:w="1740" w:type="dxa"/>
            <w:tcBorders>
              <w:top w:val="nil"/>
              <w:left w:val="nil"/>
              <w:bottom w:val="nil"/>
              <w:right w:val="nil"/>
            </w:tcBorders>
            <w:noWrap/>
            <w:vAlign w:val="bottom"/>
            <w:hideMark/>
          </w:tcPr>
          <w:p w14:paraId="38FA7F5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58</w:t>
            </w:r>
          </w:p>
        </w:tc>
        <w:tc>
          <w:tcPr>
            <w:tcW w:w="960" w:type="dxa"/>
            <w:tcBorders>
              <w:top w:val="nil"/>
              <w:left w:val="nil"/>
              <w:bottom w:val="nil"/>
              <w:right w:val="nil"/>
            </w:tcBorders>
            <w:noWrap/>
            <w:vAlign w:val="bottom"/>
            <w:hideMark/>
          </w:tcPr>
          <w:p w14:paraId="7CF31CF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180</w:t>
            </w:r>
          </w:p>
        </w:tc>
      </w:tr>
      <w:tr w:rsidR="00E16114" w:rsidRPr="007F6CB3" w14:paraId="634DC098" w14:textId="77777777" w:rsidTr="0026594F">
        <w:trPr>
          <w:trHeight w:val="300"/>
        </w:trPr>
        <w:tc>
          <w:tcPr>
            <w:tcW w:w="1660" w:type="dxa"/>
            <w:tcBorders>
              <w:top w:val="nil"/>
              <w:left w:val="nil"/>
              <w:bottom w:val="nil"/>
              <w:right w:val="nil"/>
            </w:tcBorders>
            <w:noWrap/>
            <w:vAlign w:val="bottom"/>
            <w:hideMark/>
          </w:tcPr>
          <w:p w14:paraId="622CE33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6F15F3B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Ridge</w:t>
            </w:r>
          </w:p>
        </w:tc>
        <w:tc>
          <w:tcPr>
            <w:tcW w:w="1740" w:type="dxa"/>
            <w:tcBorders>
              <w:top w:val="nil"/>
              <w:left w:val="nil"/>
              <w:bottom w:val="nil"/>
              <w:right w:val="nil"/>
            </w:tcBorders>
            <w:noWrap/>
            <w:vAlign w:val="bottom"/>
            <w:hideMark/>
          </w:tcPr>
          <w:p w14:paraId="3834D1C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41</w:t>
            </w:r>
          </w:p>
        </w:tc>
        <w:tc>
          <w:tcPr>
            <w:tcW w:w="1760" w:type="dxa"/>
            <w:tcBorders>
              <w:top w:val="nil"/>
              <w:left w:val="nil"/>
              <w:bottom w:val="nil"/>
              <w:right w:val="nil"/>
            </w:tcBorders>
            <w:noWrap/>
            <w:vAlign w:val="bottom"/>
            <w:hideMark/>
          </w:tcPr>
          <w:p w14:paraId="5D5FE48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39</w:t>
            </w:r>
          </w:p>
        </w:tc>
        <w:tc>
          <w:tcPr>
            <w:tcW w:w="1740" w:type="dxa"/>
            <w:tcBorders>
              <w:top w:val="nil"/>
              <w:left w:val="nil"/>
              <w:bottom w:val="nil"/>
              <w:right w:val="nil"/>
            </w:tcBorders>
            <w:noWrap/>
            <w:vAlign w:val="bottom"/>
            <w:hideMark/>
          </w:tcPr>
          <w:p w14:paraId="42CFF6B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40</w:t>
            </w:r>
          </w:p>
        </w:tc>
        <w:tc>
          <w:tcPr>
            <w:tcW w:w="960" w:type="dxa"/>
            <w:tcBorders>
              <w:top w:val="nil"/>
              <w:left w:val="nil"/>
              <w:bottom w:val="nil"/>
              <w:right w:val="nil"/>
            </w:tcBorders>
            <w:noWrap/>
            <w:vAlign w:val="bottom"/>
            <w:hideMark/>
          </w:tcPr>
          <w:p w14:paraId="3F38061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120</w:t>
            </w:r>
          </w:p>
        </w:tc>
      </w:tr>
      <w:tr w:rsidR="00E16114" w:rsidRPr="007F6CB3" w14:paraId="0B6976FC" w14:textId="77777777" w:rsidTr="0026594F">
        <w:trPr>
          <w:trHeight w:val="300"/>
        </w:trPr>
        <w:tc>
          <w:tcPr>
            <w:tcW w:w="1660" w:type="dxa"/>
            <w:tcBorders>
              <w:top w:val="nil"/>
              <w:left w:val="nil"/>
              <w:bottom w:val="nil"/>
              <w:right w:val="nil"/>
            </w:tcBorders>
            <w:noWrap/>
            <w:vAlign w:val="bottom"/>
            <w:hideMark/>
          </w:tcPr>
          <w:p w14:paraId="38E2822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64A8D4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Flatbed</w:t>
            </w:r>
          </w:p>
        </w:tc>
        <w:tc>
          <w:tcPr>
            <w:tcW w:w="1740" w:type="dxa"/>
            <w:tcBorders>
              <w:top w:val="nil"/>
              <w:left w:val="nil"/>
              <w:bottom w:val="nil"/>
              <w:right w:val="nil"/>
            </w:tcBorders>
            <w:noWrap/>
            <w:vAlign w:val="bottom"/>
            <w:hideMark/>
          </w:tcPr>
          <w:p w14:paraId="3BFEA85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11</w:t>
            </w:r>
          </w:p>
        </w:tc>
        <w:tc>
          <w:tcPr>
            <w:tcW w:w="1760" w:type="dxa"/>
            <w:tcBorders>
              <w:top w:val="nil"/>
              <w:left w:val="nil"/>
              <w:bottom w:val="nil"/>
              <w:right w:val="nil"/>
            </w:tcBorders>
            <w:noWrap/>
            <w:vAlign w:val="bottom"/>
            <w:hideMark/>
          </w:tcPr>
          <w:p w14:paraId="338C528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740" w:type="dxa"/>
            <w:tcBorders>
              <w:top w:val="nil"/>
              <w:left w:val="nil"/>
              <w:bottom w:val="nil"/>
              <w:right w:val="nil"/>
            </w:tcBorders>
            <w:noWrap/>
            <w:vAlign w:val="bottom"/>
            <w:hideMark/>
          </w:tcPr>
          <w:p w14:paraId="29466E0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960" w:type="dxa"/>
            <w:tcBorders>
              <w:top w:val="nil"/>
              <w:left w:val="nil"/>
              <w:bottom w:val="nil"/>
              <w:right w:val="nil"/>
            </w:tcBorders>
            <w:noWrap/>
            <w:vAlign w:val="bottom"/>
            <w:hideMark/>
          </w:tcPr>
          <w:p w14:paraId="0DF8588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36</w:t>
            </w:r>
          </w:p>
        </w:tc>
      </w:tr>
      <w:tr w:rsidR="00E16114" w:rsidRPr="007F6CB3" w14:paraId="063C7510" w14:textId="77777777" w:rsidTr="0026594F">
        <w:trPr>
          <w:trHeight w:val="300"/>
        </w:trPr>
        <w:tc>
          <w:tcPr>
            <w:tcW w:w="1660" w:type="dxa"/>
            <w:tcBorders>
              <w:top w:val="nil"/>
              <w:left w:val="nil"/>
              <w:bottom w:val="nil"/>
              <w:right w:val="nil"/>
            </w:tcBorders>
            <w:noWrap/>
            <w:vAlign w:val="bottom"/>
            <w:hideMark/>
          </w:tcPr>
          <w:p w14:paraId="680654A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Planting method</w:t>
            </w:r>
          </w:p>
        </w:tc>
        <w:tc>
          <w:tcPr>
            <w:tcW w:w="1900" w:type="dxa"/>
            <w:tcBorders>
              <w:top w:val="nil"/>
              <w:left w:val="nil"/>
              <w:bottom w:val="nil"/>
              <w:right w:val="nil"/>
            </w:tcBorders>
            <w:noWrap/>
            <w:vAlign w:val="bottom"/>
            <w:hideMark/>
          </w:tcPr>
          <w:p w14:paraId="55EA397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Others</w:t>
            </w:r>
          </w:p>
        </w:tc>
        <w:tc>
          <w:tcPr>
            <w:tcW w:w="1740" w:type="dxa"/>
            <w:tcBorders>
              <w:top w:val="nil"/>
              <w:left w:val="nil"/>
              <w:bottom w:val="nil"/>
              <w:right w:val="nil"/>
            </w:tcBorders>
            <w:noWrap/>
            <w:vAlign w:val="bottom"/>
            <w:hideMark/>
          </w:tcPr>
          <w:p w14:paraId="15ACAB2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1760" w:type="dxa"/>
            <w:tcBorders>
              <w:top w:val="nil"/>
              <w:left w:val="nil"/>
              <w:bottom w:val="nil"/>
              <w:right w:val="nil"/>
            </w:tcBorders>
            <w:noWrap/>
            <w:vAlign w:val="bottom"/>
            <w:hideMark/>
          </w:tcPr>
          <w:p w14:paraId="1C2E03B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1740" w:type="dxa"/>
            <w:tcBorders>
              <w:top w:val="nil"/>
              <w:left w:val="nil"/>
              <w:bottom w:val="nil"/>
              <w:right w:val="nil"/>
            </w:tcBorders>
            <w:noWrap/>
            <w:vAlign w:val="bottom"/>
            <w:hideMark/>
          </w:tcPr>
          <w:p w14:paraId="2C50EDC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w:t>
            </w:r>
          </w:p>
        </w:tc>
        <w:tc>
          <w:tcPr>
            <w:tcW w:w="960" w:type="dxa"/>
            <w:tcBorders>
              <w:top w:val="nil"/>
              <w:left w:val="nil"/>
              <w:bottom w:val="nil"/>
              <w:right w:val="nil"/>
            </w:tcBorders>
            <w:noWrap/>
            <w:vAlign w:val="bottom"/>
            <w:hideMark/>
          </w:tcPr>
          <w:p w14:paraId="37BDC50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r>
      <w:tr w:rsidR="00E16114" w:rsidRPr="007F6CB3" w14:paraId="39EC8F1A" w14:textId="77777777" w:rsidTr="0026594F">
        <w:trPr>
          <w:trHeight w:val="300"/>
        </w:trPr>
        <w:tc>
          <w:tcPr>
            <w:tcW w:w="1660" w:type="dxa"/>
            <w:tcBorders>
              <w:top w:val="nil"/>
              <w:left w:val="nil"/>
              <w:bottom w:val="nil"/>
              <w:right w:val="nil"/>
            </w:tcBorders>
            <w:noWrap/>
            <w:vAlign w:val="bottom"/>
            <w:hideMark/>
          </w:tcPr>
          <w:p w14:paraId="5863A04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0108D03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Organic manure</w:t>
            </w:r>
          </w:p>
        </w:tc>
        <w:tc>
          <w:tcPr>
            <w:tcW w:w="1740" w:type="dxa"/>
            <w:tcBorders>
              <w:top w:val="nil"/>
              <w:left w:val="nil"/>
              <w:bottom w:val="nil"/>
              <w:right w:val="nil"/>
            </w:tcBorders>
            <w:noWrap/>
            <w:vAlign w:val="bottom"/>
            <w:hideMark/>
          </w:tcPr>
          <w:p w14:paraId="4A286A3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48</w:t>
            </w:r>
          </w:p>
        </w:tc>
        <w:tc>
          <w:tcPr>
            <w:tcW w:w="1760" w:type="dxa"/>
            <w:tcBorders>
              <w:top w:val="nil"/>
              <w:left w:val="nil"/>
              <w:bottom w:val="nil"/>
              <w:right w:val="nil"/>
            </w:tcBorders>
            <w:noWrap/>
            <w:vAlign w:val="bottom"/>
            <w:hideMark/>
          </w:tcPr>
          <w:p w14:paraId="0B801F4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1740" w:type="dxa"/>
            <w:tcBorders>
              <w:top w:val="nil"/>
              <w:left w:val="nil"/>
              <w:bottom w:val="nil"/>
              <w:right w:val="nil"/>
            </w:tcBorders>
            <w:noWrap/>
            <w:vAlign w:val="bottom"/>
            <w:hideMark/>
          </w:tcPr>
          <w:p w14:paraId="4D3C641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45</w:t>
            </w:r>
          </w:p>
        </w:tc>
        <w:tc>
          <w:tcPr>
            <w:tcW w:w="960" w:type="dxa"/>
            <w:tcBorders>
              <w:top w:val="nil"/>
              <w:left w:val="nil"/>
              <w:bottom w:val="nil"/>
              <w:right w:val="nil"/>
            </w:tcBorders>
            <w:noWrap/>
            <w:vAlign w:val="bottom"/>
            <w:hideMark/>
          </w:tcPr>
          <w:p w14:paraId="20D8D83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139</w:t>
            </w:r>
          </w:p>
        </w:tc>
      </w:tr>
      <w:tr w:rsidR="00E16114" w:rsidRPr="007F6CB3" w14:paraId="4C460484" w14:textId="77777777" w:rsidTr="0026594F">
        <w:trPr>
          <w:trHeight w:val="300"/>
        </w:trPr>
        <w:tc>
          <w:tcPr>
            <w:tcW w:w="1660" w:type="dxa"/>
            <w:tcBorders>
              <w:top w:val="nil"/>
              <w:left w:val="nil"/>
              <w:bottom w:val="nil"/>
              <w:right w:val="nil"/>
            </w:tcBorders>
            <w:noWrap/>
            <w:vAlign w:val="bottom"/>
            <w:hideMark/>
          </w:tcPr>
          <w:p w14:paraId="433AA45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3BBFC43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Chemical fertilizer</w:t>
            </w:r>
          </w:p>
        </w:tc>
        <w:tc>
          <w:tcPr>
            <w:tcW w:w="1740" w:type="dxa"/>
            <w:tcBorders>
              <w:top w:val="nil"/>
              <w:left w:val="nil"/>
              <w:bottom w:val="nil"/>
              <w:right w:val="nil"/>
            </w:tcBorders>
            <w:noWrap/>
            <w:vAlign w:val="bottom"/>
            <w:hideMark/>
          </w:tcPr>
          <w:p w14:paraId="46D87D8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52</w:t>
            </w:r>
          </w:p>
        </w:tc>
        <w:tc>
          <w:tcPr>
            <w:tcW w:w="1760" w:type="dxa"/>
            <w:tcBorders>
              <w:top w:val="nil"/>
              <w:left w:val="nil"/>
              <w:bottom w:val="nil"/>
              <w:right w:val="nil"/>
            </w:tcBorders>
            <w:noWrap/>
            <w:vAlign w:val="bottom"/>
            <w:hideMark/>
          </w:tcPr>
          <w:p w14:paraId="7A54794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49</w:t>
            </w:r>
          </w:p>
        </w:tc>
        <w:tc>
          <w:tcPr>
            <w:tcW w:w="1740" w:type="dxa"/>
            <w:tcBorders>
              <w:top w:val="nil"/>
              <w:left w:val="nil"/>
              <w:bottom w:val="nil"/>
              <w:right w:val="nil"/>
            </w:tcBorders>
            <w:noWrap/>
            <w:vAlign w:val="bottom"/>
            <w:hideMark/>
          </w:tcPr>
          <w:p w14:paraId="15BEC0A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50</w:t>
            </w:r>
          </w:p>
        </w:tc>
        <w:tc>
          <w:tcPr>
            <w:tcW w:w="960" w:type="dxa"/>
            <w:tcBorders>
              <w:top w:val="nil"/>
              <w:left w:val="nil"/>
              <w:bottom w:val="nil"/>
              <w:right w:val="nil"/>
            </w:tcBorders>
            <w:noWrap/>
            <w:vAlign w:val="bottom"/>
            <w:hideMark/>
          </w:tcPr>
          <w:p w14:paraId="51F2021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151</w:t>
            </w:r>
          </w:p>
        </w:tc>
      </w:tr>
      <w:tr w:rsidR="00E16114" w:rsidRPr="007F6CB3" w14:paraId="4A1C02E6" w14:textId="77777777" w:rsidTr="0026594F">
        <w:trPr>
          <w:trHeight w:val="300"/>
        </w:trPr>
        <w:tc>
          <w:tcPr>
            <w:tcW w:w="1660" w:type="dxa"/>
            <w:tcBorders>
              <w:top w:val="nil"/>
              <w:left w:val="nil"/>
              <w:bottom w:val="nil"/>
              <w:right w:val="nil"/>
            </w:tcBorders>
            <w:noWrap/>
            <w:vAlign w:val="bottom"/>
            <w:hideMark/>
          </w:tcPr>
          <w:p w14:paraId="35281A9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5E90D62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None</w:t>
            </w:r>
          </w:p>
        </w:tc>
        <w:tc>
          <w:tcPr>
            <w:tcW w:w="1740" w:type="dxa"/>
            <w:tcBorders>
              <w:top w:val="nil"/>
              <w:left w:val="nil"/>
              <w:bottom w:val="nil"/>
              <w:right w:val="nil"/>
            </w:tcBorders>
            <w:noWrap/>
            <w:vAlign w:val="bottom"/>
            <w:hideMark/>
          </w:tcPr>
          <w:p w14:paraId="7574014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760" w:type="dxa"/>
            <w:tcBorders>
              <w:top w:val="nil"/>
              <w:left w:val="nil"/>
              <w:bottom w:val="nil"/>
              <w:right w:val="nil"/>
            </w:tcBorders>
            <w:noWrap/>
            <w:vAlign w:val="bottom"/>
            <w:hideMark/>
          </w:tcPr>
          <w:p w14:paraId="7E614D8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w:t>
            </w:r>
          </w:p>
        </w:tc>
        <w:tc>
          <w:tcPr>
            <w:tcW w:w="1740" w:type="dxa"/>
            <w:tcBorders>
              <w:top w:val="nil"/>
              <w:left w:val="nil"/>
              <w:bottom w:val="nil"/>
              <w:right w:val="nil"/>
            </w:tcBorders>
            <w:noWrap/>
            <w:vAlign w:val="bottom"/>
            <w:hideMark/>
          </w:tcPr>
          <w:p w14:paraId="75E89E0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960" w:type="dxa"/>
            <w:tcBorders>
              <w:top w:val="nil"/>
              <w:left w:val="nil"/>
              <w:bottom w:val="nil"/>
              <w:right w:val="nil"/>
            </w:tcBorders>
            <w:noWrap/>
            <w:vAlign w:val="bottom"/>
            <w:hideMark/>
          </w:tcPr>
          <w:p w14:paraId="7803F00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40</w:t>
            </w:r>
          </w:p>
        </w:tc>
      </w:tr>
      <w:tr w:rsidR="00E16114" w:rsidRPr="007F6CB3" w14:paraId="3B4F6198" w14:textId="77777777" w:rsidTr="0026594F">
        <w:trPr>
          <w:trHeight w:val="300"/>
        </w:trPr>
        <w:tc>
          <w:tcPr>
            <w:tcW w:w="1660" w:type="dxa"/>
            <w:tcBorders>
              <w:top w:val="nil"/>
              <w:left w:val="nil"/>
              <w:bottom w:val="nil"/>
              <w:right w:val="nil"/>
            </w:tcBorders>
            <w:noWrap/>
            <w:vAlign w:val="bottom"/>
            <w:hideMark/>
          </w:tcPr>
          <w:p w14:paraId="2FA820F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Farming input</w:t>
            </w:r>
          </w:p>
        </w:tc>
        <w:tc>
          <w:tcPr>
            <w:tcW w:w="1900" w:type="dxa"/>
            <w:tcBorders>
              <w:top w:val="nil"/>
              <w:left w:val="nil"/>
              <w:bottom w:val="nil"/>
              <w:right w:val="nil"/>
            </w:tcBorders>
            <w:noWrap/>
            <w:vAlign w:val="bottom"/>
            <w:hideMark/>
          </w:tcPr>
          <w:p w14:paraId="6005CE1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Others</w:t>
            </w:r>
          </w:p>
        </w:tc>
        <w:tc>
          <w:tcPr>
            <w:tcW w:w="1740" w:type="dxa"/>
            <w:tcBorders>
              <w:top w:val="nil"/>
              <w:left w:val="nil"/>
              <w:bottom w:val="nil"/>
              <w:right w:val="nil"/>
            </w:tcBorders>
            <w:noWrap/>
            <w:vAlign w:val="bottom"/>
            <w:hideMark/>
          </w:tcPr>
          <w:p w14:paraId="59C130A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1760" w:type="dxa"/>
            <w:tcBorders>
              <w:top w:val="nil"/>
              <w:left w:val="nil"/>
              <w:bottom w:val="nil"/>
              <w:right w:val="nil"/>
            </w:tcBorders>
            <w:noWrap/>
            <w:vAlign w:val="bottom"/>
            <w:hideMark/>
          </w:tcPr>
          <w:p w14:paraId="637596F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1740" w:type="dxa"/>
            <w:tcBorders>
              <w:top w:val="nil"/>
              <w:left w:val="nil"/>
              <w:bottom w:val="nil"/>
              <w:right w:val="nil"/>
            </w:tcBorders>
            <w:noWrap/>
            <w:vAlign w:val="bottom"/>
            <w:hideMark/>
          </w:tcPr>
          <w:p w14:paraId="312D896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w:t>
            </w:r>
          </w:p>
        </w:tc>
        <w:tc>
          <w:tcPr>
            <w:tcW w:w="960" w:type="dxa"/>
            <w:tcBorders>
              <w:top w:val="nil"/>
              <w:left w:val="nil"/>
              <w:bottom w:val="nil"/>
              <w:right w:val="nil"/>
            </w:tcBorders>
            <w:noWrap/>
            <w:vAlign w:val="bottom"/>
            <w:hideMark/>
          </w:tcPr>
          <w:p w14:paraId="3AFDF29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18</w:t>
            </w:r>
          </w:p>
        </w:tc>
      </w:tr>
    </w:tbl>
    <w:p w14:paraId="6F5FD18B" w14:textId="77777777" w:rsidR="00E16114" w:rsidRPr="007F6CB3" w:rsidRDefault="00E16114" w:rsidP="00E16114">
      <w:pPr>
        <w:jc w:val="both"/>
        <w:rPr>
          <w:rFonts w:ascii="Times New Roman" w:hAnsi="Times New Roman" w:cs="Times New Roman"/>
          <w:b/>
          <w:bCs/>
          <w:sz w:val="24"/>
          <w:szCs w:val="24"/>
        </w:rPr>
      </w:pPr>
    </w:p>
    <w:p w14:paraId="49F6ACB8" w14:textId="77777777" w:rsidR="00E16114" w:rsidRPr="007F6CB3" w:rsidRDefault="00E16114" w:rsidP="00E16114">
      <w:pPr>
        <w:jc w:val="both"/>
        <w:rPr>
          <w:rFonts w:ascii="Times New Roman" w:hAnsi="Times New Roman" w:cs="Times New Roman"/>
          <w:sz w:val="24"/>
          <w:szCs w:val="24"/>
        </w:rPr>
      </w:pPr>
    </w:p>
    <w:tbl>
      <w:tblPr>
        <w:tblW w:w="10166" w:type="dxa"/>
        <w:tblCellSpacing w:w="15" w:type="dxa"/>
        <w:tblCellMar>
          <w:top w:w="15" w:type="dxa"/>
          <w:left w:w="15" w:type="dxa"/>
          <w:bottom w:w="15" w:type="dxa"/>
          <w:right w:w="15" w:type="dxa"/>
        </w:tblCellMar>
        <w:tblLook w:val="04A0" w:firstRow="1" w:lastRow="0" w:firstColumn="1" w:lastColumn="0" w:noHBand="0" w:noVBand="1"/>
      </w:tblPr>
      <w:tblGrid>
        <w:gridCol w:w="7381"/>
        <w:gridCol w:w="1362"/>
        <w:gridCol w:w="1423"/>
      </w:tblGrid>
      <w:tr w:rsidR="00C77BA2" w:rsidRPr="007F6CB3" w14:paraId="7E81453A" w14:textId="77777777" w:rsidTr="0026594F">
        <w:trPr>
          <w:trHeight w:val="359"/>
          <w:tblHeader/>
          <w:tblCellSpacing w:w="15" w:type="dxa"/>
        </w:trPr>
        <w:tc>
          <w:tcPr>
            <w:tcW w:w="0" w:type="auto"/>
            <w:vAlign w:val="center"/>
            <w:hideMark/>
          </w:tcPr>
          <w:p w14:paraId="174CE5FD" w14:textId="14DF9A20" w:rsidR="00E16114" w:rsidRPr="007F6CB3" w:rsidRDefault="00E16114" w:rsidP="0026594F">
            <w:pPr>
              <w:jc w:val="both"/>
              <w:rPr>
                <w:rFonts w:ascii="Times New Roman" w:hAnsi="Times New Roman" w:cs="Times New Roman"/>
                <w:b/>
                <w:bCs/>
                <w:sz w:val="24"/>
                <w:szCs w:val="24"/>
              </w:rPr>
            </w:pPr>
            <w:bookmarkStart w:id="16" w:name="_Hlk221325334"/>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w:t>
            </w:r>
            <w:r w:rsidR="001D7503">
              <w:rPr>
                <w:rFonts w:ascii="Times New Roman" w:hAnsi="Times New Roman" w:cs="Times New Roman"/>
                <w:b/>
                <w:bCs/>
                <w:sz w:val="24"/>
                <w:szCs w:val="24"/>
              </w:rPr>
              <w:t>.1</w:t>
            </w:r>
            <w:r w:rsidRPr="007F6CB3">
              <w:rPr>
                <w:rFonts w:ascii="Times New Roman" w:hAnsi="Times New Roman" w:cs="Times New Roman"/>
                <w:b/>
                <w:bCs/>
                <w:sz w:val="24"/>
                <w:szCs w:val="24"/>
              </w:rPr>
              <w:t>.</w:t>
            </w:r>
            <w:r w:rsidR="00C77BA2">
              <w:rPr>
                <w:rFonts w:ascii="Times New Roman" w:hAnsi="Times New Roman" w:cs="Times New Roman"/>
                <w:b/>
                <w:bCs/>
                <w:sz w:val="24"/>
                <w:szCs w:val="24"/>
              </w:rPr>
              <w:t xml:space="preserve"> Frequency and percentage according to Land size</w:t>
            </w:r>
          </w:p>
          <w:p w14:paraId="7C1FD7E6" w14:textId="4CD1CE2D"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Land size</w:t>
            </w:r>
          </w:p>
        </w:tc>
        <w:tc>
          <w:tcPr>
            <w:tcW w:w="0" w:type="auto"/>
            <w:vAlign w:val="center"/>
            <w:hideMark/>
          </w:tcPr>
          <w:p w14:paraId="6CAA8D3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65F837CB"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bookmarkEnd w:id="16"/>
      <w:tr w:rsidR="00C77BA2" w:rsidRPr="007F6CB3" w14:paraId="718A8C09" w14:textId="77777777" w:rsidTr="0026594F">
        <w:trPr>
          <w:trHeight w:val="377"/>
          <w:tblCellSpacing w:w="15" w:type="dxa"/>
        </w:trPr>
        <w:tc>
          <w:tcPr>
            <w:tcW w:w="0" w:type="auto"/>
            <w:vAlign w:val="center"/>
            <w:hideMark/>
          </w:tcPr>
          <w:p w14:paraId="4049C4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&lt; 1 acre</w:t>
            </w:r>
          </w:p>
        </w:tc>
        <w:tc>
          <w:tcPr>
            <w:tcW w:w="0" w:type="auto"/>
            <w:vAlign w:val="center"/>
            <w:hideMark/>
          </w:tcPr>
          <w:p w14:paraId="68F6A5D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122</w:t>
            </w:r>
          </w:p>
        </w:tc>
        <w:tc>
          <w:tcPr>
            <w:tcW w:w="0" w:type="auto"/>
            <w:vAlign w:val="center"/>
            <w:hideMark/>
          </w:tcPr>
          <w:p w14:paraId="59461B1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35.1%</w:t>
            </w:r>
          </w:p>
        </w:tc>
      </w:tr>
      <w:tr w:rsidR="00C77BA2" w:rsidRPr="007F6CB3" w14:paraId="107B7A2D" w14:textId="77777777" w:rsidTr="0026594F">
        <w:trPr>
          <w:trHeight w:val="359"/>
          <w:tblCellSpacing w:w="15" w:type="dxa"/>
        </w:trPr>
        <w:tc>
          <w:tcPr>
            <w:tcW w:w="0" w:type="auto"/>
            <w:vAlign w:val="center"/>
            <w:hideMark/>
          </w:tcPr>
          <w:p w14:paraId="6B2B1C1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lastRenderedPageBreak/>
              <w:t>1–3 acres</w:t>
            </w:r>
          </w:p>
        </w:tc>
        <w:tc>
          <w:tcPr>
            <w:tcW w:w="0" w:type="auto"/>
            <w:vAlign w:val="center"/>
            <w:hideMark/>
          </w:tcPr>
          <w:p w14:paraId="6FE0C07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vAlign w:val="center"/>
            <w:hideMark/>
          </w:tcPr>
          <w:p w14:paraId="1C44A50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42.0%</w:t>
            </w:r>
          </w:p>
        </w:tc>
      </w:tr>
      <w:tr w:rsidR="00C77BA2" w:rsidRPr="007F6CB3" w14:paraId="00C3E4A0" w14:textId="77777777" w:rsidTr="0026594F">
        <w:trPr>
          <w:trHeight w:val="359"/>
          <w:tblCellSpacing w:w="15" w:type="dxa"/>
        </w:trPr>
        <w:tc>
          <w:tcPr>
            <w:tcW w:w="0" w:type="auto"/>
            <w:vAlign w:val="center"/>
            <w:hideMark/>
          </w:tcPr>
          <w:p w14:paraId="6C0ABD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4–6 acres</w:t>
            </w:r>
          </w:p>
        </w:tc>
        <w:tc>
          <w:tcPr>
            <w:tcW w:w="0" w:type="auto"/>
            <w:vAlign w:val="center"/>
            <w:hideMark/>
          </w:tcPr>
          <w:p w14:paraId="730772D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57</w:t>
            </w:r>
          </w:p>
        </w:tc>
        <w:tc>
          <w:tcPr>
            <w:tcW w:w="0" w:type="auto"/>
            <w:vAlign w:val="center"/>
            <w:hideMark/>
          </w:tcPr>
          <w:p w14:paraId="7FCD445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16.4%</w:t>
            </w:r>
          </w:p>
        </w:tc>
      </w:tr>
      <w:tr w:rsidR="00C77BA2" w:rsidRPr="007F6CB3" w14:paraId="795B531E" w14:textId="77777777" w:rsidTr="0026594F">
        <w:trPr>
          <w:trHeight w:val="359"/>
          <w:tblCellSpacing w:w="15" w:type="dxa"/>
        </w:trPr>
        <w:tc>
          <w:tcPr>
            <w:tcW w:w="0" w:type="auto"/>
            <w:vAlign w:val="center"/>
            <w:hideMark/>
          </w:tcPr>
          <w:p w14:paraId="76267CF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&gt; 6 acres</w:t>
            </w:r>
          </w:p>
        </w:tc>
        <w:tc>
          <w:tcPr>
            <w:tcW w:w="0" w:type="auto"/>
            <w:vAlign w:val="center"/>
            <w:hideMark/>
          </w:tcPr>
          <w:p w14:paraId="3D948A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23</w:t>
            </w:r>
          </w:p>
        </w:tc>
        <w:tc>
          <w:tcPr>
            <w:tcW w:w="0" w:type="auto"/>
            <w:vAlign w:val="center"/>
            <w:hideMark/>
          </w:tcPr>
          <w:p w14:paraId="0697671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6.6%</w:t>
            </w:r>
          </w:p>
        </w:tc>
      </w:tr>
      <w:tr w:rsidR="00C77BA2" w:rsidRPr="007F6CB3" w14:paraId="32161D4A" w14:textId="77777777" w:rsidTr="0026594F">
        <w:trPr>
          <w:trHeight w:val="377"/>
          <w:tblCellSpacing w:w="15" w:type="dxa"/>
        </w:trPr>
        <w:tc>
          <w:tcPr>
            <w:tcW w:w="0" w:type="auto"/>
            <w:vAlign w:val="center"/>
            <w:hideMark/>
          </w:tcPr>
          <w:p w14:paraId="3F909D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29FF13A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39A2B56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156E76CD" w14:textId="77777777" w:rsidR="00E16114" w:rsidRPr="007F6CB3" w:rsidRDefault="00E16114" w:rsidP="00E16114">
      <w:pPr>
        <w:jc w:val="both"/>
        <w:rPr>
          <w:rFonts w:ascii="Times New Roman" w:hAnsi="Times New Roman" w:cs="Times New Roman"/>
          <w:sz w:val="24"/>
          <w:szCs w:val="24"/>
        </w:rPr>
      </w:pPr>
    </w:p>
    <w:tbl>
      <w:tblPr>
        <w:tblW w:w="8176" w:type="dxa"/>
        <w:tblCellSpacing w:w="15" w:type="dxa"/>
        <w:tblCellMar>
          <w:top w:w="15" w:type="dxa"/>
          <w:left w:w="15" w:type="dxa"/>
          <w:bottom w:w="15" w:type="dxa"/>
          <w:right w:w="15" w:type="dxa"/>
        </w:tblCellMar>
        <w:tblLook w:val="04A0" w:firstRow="1" w:lastRow="0" w:firstColumn="1" w:lastColumn="0" w:noHBand="0" w:noVBand="1"/>
      </w:tblPr>
      <w:tblGrid>
        <w:gridCol w:w="5814"/>
        <w:gridCol w:w="1154"/>
        <w:gridCol w:w="1208"/>
      </w:tblGrid>
      <w:tr w:rsidR="00E16114" w:rsidRPr="007F6CB3" w14:paraId="0986065B" w14:textId="77777777" w:rsidTr="0026594F">
        <w:trPr>
          <w:trHeight w:val="815"/>
          <w:tblHeader/>
          <w:tblCellSpacing w:w="15" w:type="dxa"/>
        </w:trPr>
        <w:tc>
          <w:tcPr>
            <w:tcW w:w="0" w:type="auto"/>
            <w:vAlign w:val="center"/>
            <w:hideMark/>
          </w:tcPr>
          <w:p w14:paraId="49D064EC" w14:textId="77777777" w:rsidR="00E16114" w:rsidRPr="007F6CB3" w:rsidRDefault="00E16114" w:rsidP="0026594F">
            <w:pPr>
              <w:jc w:val="both"/>
              <w:rPr>
                <w:rFonts w:ascii="Times New Roman" w:hAnsi="Times New Roman" w:cs="Times New Roman"/>
                <w:b/>
                <w:bCs/>
                <w:sz w:val="24"/>
                <w:szCs w:val="24"/>
              </w:rPr>
            </w:pPr>
          </w:p>
          <w:p w14:paraId="5ABC9264" w14:textId="77777777" w:rsidR="00E16114" w:rsidRPr="007F6CB3" w:rsidRDefault="00E16114" w:rsidP="0026594F">
            <w:pPr>
              <w:jc w:val="both"/>
              <w:rPr>
                <w:rFonts w:ascii="Times New Roman" w:hAnsi="Times New Roman" w:cs="Times New Roman"/>
                <w:b/>
                <w:bCs/>
                <w:sz w:val="24"/>
                <w:szCs w:val="24"/>
              </w:rPr>
            </w:pPr>
          </w:p>
          <w:p w14:paraId="0F48EC4F" w14:textId="77777777" w:rsidR="00E16114" w:rsidRPr="007F6CB3" w:rsidRDefault="00E16114" w:rsidP="0026594F">
            <w:pPr>
              <w:jc w:val="both"/>
              <w:rPr>
                <w:rFonts w:ascii="Times New Roman" w:hAnsi="Times New Roman" w:cs="Times New Roman"/>
                <w:b/>
                <w:bCs/>
                <w:sz w:val="24"/>
                <w:szCs w:val="24"/>
              </w:rPr>
            </w:pPr>
          </w:p>
          <w:p w14:paraId="7B9E4E57" w14:textId="51FA2DF1"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w:t>
            </w:r>
            <w:r w:rsidR="001D7503">
              <w:rPr>
                <w:rFonts w:ascii="Times New Roman" w:hAnsi="Times New Roman" w:cs="Times New Roman"/>
                <w:b/>
                <w:bCs/>
                <w:sz w:val="24"/>
                <w:szCs w:val="24"/>
              </w:rPr>
              <w:t>.2</w:t>
            </w:r>
            <w:r w:rsidRPr="007F6CB3">
              <w:rPr>
                <w:rFonts w:ascii="Times New Roman" w:hAnsi="Times New Roman" w:cs="Times New Roman"/>
                <w:b/>
                <w:bCs/>
                <w:sz w:val="24"/>
                <w:szCs w:val="24"/>
              </w:rPr>
              <w:t xml:space="preserve">. </w:t>
            </w:r>
            <w:r w:rsidR="00C77BA2">
              <w:rPr>
                <w:rFonts w:ascii="Times New Roman" w:hAnsi="Times New Roman" w:cs="Times New Roman"/>
                <w:b/>
                <w:bCs/>
                <w:sz w:val="24"/>
                <w:szCs w:val="24"/>
              </w:rPr>
              <w:t xml:space="preserve">Frequency and percentage according to </w:t>
            </w:r>
            <w:r w:rsidR="00C77BA2" w:rsidRPr="007F6CB3">
              <w:rPr>
                <w:rFonts w:ascii="Times New Roman" w:hAnsi="Times New Roman" w:cs="Times New Roman"/>
                <w:b/>
                <w:bCs/>
                <w:sz w:val="24"/>
                <w:szCs w:val="24"/>
              </w:rPr>
              <w:t>Planting method</w:t>
            </w:r>
          </w:p>
          <w:p w14:paraId="03304FED" w14:textId="77777777" w:rsidR="00E16114" w:rsidRPr="007F6CB3" w:rsidRDefault="00E16114" w:rsidP="0026594F">
            <w:pPr>
              <w:jc w:val="both"/>
              <w:rPr>
                <w:rFonts w:ascii="Times New Roman" w:hAnsi="Times New Roman" w:cs="Times New Roman"/>
                <w:b/>
                <w:bCs/>
                <w:sz w:val="24"/>
                <w:szCs w:val="24"/>
              </w:rPr>
            </w:pPr>
          </w:p>
          <w:p w14:paraId="6F76F55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Planting method</w:t>
            </w:r>
          </w:p>
        </w:tc>
        <w:tc>
          <w:tcPr>
            <w:tcW w:w="0" w:type="auto"/>
            <w:vAlign w:val="center"/>
            <w:hideMark/>
          </w:tcPr>
          <w:p w14:paraId="41AFC874" w14:textId="77777777" w:rsidR="00E16114" w:rsidRPr="007F6CB3" w:rsidRDefault="00E16114" w:rsidP="0026594F">
            <w:pPr>
              <w:jc w:val="both"/>
              <w:rPr>
                <w:rFonts w:ascii="Times New Roman" w:hAnsi="Times New Roman" w:cs="Times New Roman"/>
                <w:b/>
                <w:bCs/>
                <w:sz w:val="24"/>
                <w:szCs w:val="24"/>
              </w:rPr>
            </w:pPr>
          </w:p>
          <w:p w14:paraId="0FA9E8A1" w14:textId="77777777" w:rsidR="00E16114" w:rsidRPr="007F6CB3" w:rsidRDefault="00E16114" w:rsidP="0026594F">
            <w:pPr>
              <w:jc w:val="both"/>
              <w:rPr>
                <w:rFonts w:ascii="Times New Roman" w:hAnsi="Times New Roman" w:cs="Times New Roman"/>
                <w:b/>
                <w:bCs/>
                <w:sz w:val="24"/>
                <w:szCs w:val="24"/>
              </w:rPr>
            </w:pPr>
          </w:p>
          <w:p w14:paraId="044E1DD7" w14:textId="77777777" w:rsidR="00E16114" w:rsidRPr="007F6CB3" w:rsidRDefault="00E16114" w:rsidP="0026594F">
            <w:pPr>
              <w:jc w:val="both"/>
              <w:rPr>
                <w:rFonts w:ascii="Times New Roman" w:hAnsi="Times New Roman" w:cs="Times New Roman"/>
                <w:b/>
                <w:bCs/>
                <w:sz w:val="24"/>
                <w:szCs w:val="24"/>
              </w:rPr>
            </w:pPr>
          </w:p>
          <w:p w14:paraId="43DB812B" w14:textId="77777777" w:rsidR="00E16114" w:rsidRPr="007F6CB3" w:rsidRDefault="00E16114" w:rsidP="0026594F">
            <w:pPr>
              <w:jc w:val="both"/>
              <w:rPr>
                <w:rFonts w:ascii="Times New Roman" w:hAnsi="Times New Roman" w:cs="Times New Roman"/>
                <w:b/>
                <w:bCs/>
                <w:sz w:val="24"/>
                <w:szCs w:val="24"/>
              </w:rPr>
            </w:pPr>
          </w:p>
          <w:p w14:paraId="56F73413" w14:textId="77777777" w:rsidR="00E16114" w:rsidRPr="007F6CB3" w:rsidRDefault="00E16114" w:rsidP="0026594F">
            <w:pPr>
              <w:jc w:val="both"/>
              <w:rPr>
                <w:rFonts w:ascii="Times New Roman" w:hAnsi="Times New Roman" w:cs="Times New Roman"/>
                <w:b/>
                <w:bCs/>
                <w:sz w:val="24"/>
                <w:szCs w:val="24"/>
              </w:rPr>
            </w:pPr>
          </w:p>
          <w:p w14:paraId="6495947E"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596E8C93" w14:textId="77777777" w:rsidR="00E16114" w:rsidRPr="007F6CB3" w:rsidRDefault="00E16114" w:rsidP="0026594F">
            <w:pPr>
              <w:jc w:val="both"/>
              <w:rPr>
                <w:rFonts w:ascii="Times New Roman" w:hAnsi="Times New Roman" w:cs="Times New Roman"/>
                <w:b/>
                <w:bCs/>
                <w:sz w:val="24"/>
                <w:szCs w:val="24"/>
              </w:rPr>
            </w:pPr>
          </w:p>
          <w:p w14:paraId="0113C556" w14:textId="77777777" w:rsidR="00E16114" w:rsidRPr="007F6CB3" w:rsidRDefault="00E16114" w:rsidP="0026594F">
            <w:pPr>
              <w:jc w:val="both"/>
              <w:rPr>
                <w:rFonts w:ascii="Times New Roman" w:hAnsi="Times New Roman" w:cs="Times New Roman"/>
                <w:b/>
                <w:bCs/>
                <w:sz w:val="24"/>
                <w:szCs w:val="24"/>
              </w:rPr>
            </w:pPr>
          </w:p>
          <w:p w14:paraId="6E86373A" w14:textId="77777777" w:rsidR="00E16114" w:rsidRPr="007F6CB3" w:rsidRDefault="00E16114" w:rsidP="0026594F">
            <w:pPr>
              <w:jc w:val="both"/>
              <w:rPr>
                <w:rFonts w:ascii="Times New Roman" w:hAnsi="Times New Roman" w:cs="Times New Roman"/>
                <w:b/>
                <w:bCs/>
                <w:sz w:val="24"/>
                <w:szCs w:val="24"/>
              </w:rPr>
            </w:pPr>
          </w:p>
          <w:p w14:paraId="2E0194BF" w14:textId="77777777" w:rsidR="00E16114" w:rsidRPr="007F6CB3" w:rsidRDefault="00E16114" w:rsidP="0026594F">
            <w:pPr>
              <w:jc w:val="both"/>
              <w:rPr>
                <w:rFonts w:ascii="Times New Roman" w:hAnsi="Times New Roman" w:cs="Times New Roman"/>
                <w:b/>
                <w:bCs/>
                <w:sz w:val="24"/>
                <w:szCs w:val="24"/>
              </w:rPr>
            </w:pPr>
          </w:p>
          <w:p w14:paraId="0DB43F54" w14:textId="77777777" w:rsidR="00E16114" w:rsidRPr="007F6CB3" w:rsidRDefault="00E16114" w:rsidP="0026594F">
            <w:pPr>
              <w:jc w:val="both"/>
              <w:rPr>
                <w:rFonts w:ascii="Times New Roman" w:hAnsi="Times New Roman" w:cs="Times New Roman"/>
                <w:b/>
                <w:bCs/>
                <w:sz w:val="24"/>
                <w:szCs w:val="24"/>
              </w:rPr>
            </w:pPr>
          </w:p>
          <w:p w14:paraId="56EE281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tr w:rsidR="00E16114" w:rsidRPr="007F6CB3" w14:paraId="7196071A" w14:textId="77777777" w:rsidTr="0026594F">
        <w:trPr>
          <w:trHeight w:val="271"/>
          <w:tblCellSpacing w:w="15" w:type="dxa"/>
        </w:trPr>
        <w:tc>
          <w:tcPr>
            <w:tcW w:w="0" w:type="auto"/>
            <w:vAlign w:val="center"/>
            <w:hideMark/>
          </w:tcPr>
          <w:p w14:paraId="75AE836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Mound</w:t>
            </w:r>
          </w:p>
        </w:tc>
        <w:tc>
          <w:tcPr>
            <w:tcW w:w="0" w:type="auto"/>
            <w:vAlign w:val="center"/>
            <w:hideMark/>
          </w:tcPr>
          <w:p w14:paraId="42F42F6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180</w:t>
            </w:r>
          </w:p>
        </w:tc>
        <w:tc>
          <w:tcPr>
            <w:tcW w:w="0" w:type="auto"/>
            <w:vAlign w:val="center"/>
            <w:hideMark/>
          </w:tcPr>
          <w:p w14:paraId="2CCA8D2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51.7%</w:t>
            </w:r>
          </w:p>
        </w:tc>
      </w:tr>
      <w:tr w:rsidR="00E16114" w:rsidRPr="007F6CB3" w14:paraId="6268DE98" w14:textId="77777777" w:rsidTr="0026594F">
        <w:trPr>
          <w:trHeight w:val="271"/>
          <w:tblCellSpacing w:w="15" w:type="dxa"/>
        </w:trPr>
        <w:tc>
          <w:tcPr>
            <w:tcW w:w="0" w:type="auto"/>
            <w:vAlign w:val="center"/>
            <w:hideMark/>
          </w:tcPr>
          <w:p w14:paraId="239B6CE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Ridge</w:t>
            </w:r>
          </w:p>
        </w:tc>
        <w:tc>
          <w:tcPr>
            <w:tcW w:w="0" w:type="auto"/>
            <w:vAlign w:val="center"/>
            <w:hideMark/>
          </w:tcPr>
          <w:p w14:paraId="1CADA88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120</w:t>
            </w:r>
          </w:p>
        </w:tc>
        <w:tc>
          <w:tcPr>
            <w:tcW w:w="0" w:type="auto"/>
            <w:vAlign w:val="center"/>
            <w:hideMark/>
          </w:tcPr>
          <w:p w14:paraId="4D26BE8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34.5%</w:t>
            </w:r>
          </w:p>
        </w:tc>
      </w:tr>
      <w:tr w:rsidR="00E16114" w:rsidRPr="007F6CB3" w14:paraId="787B7EE4" w14:textId="77777777" w:rsidTr="0026594F">
        <w:trPr>
          <w:trHeight w:val="285"/>
          <w:tblCellSpacing w:w="15" w:type="dxa"/>
        </w:trPr>
        <w:tc>
          <w:tcPr>
            <w:tcW w:w="0" w:type="auto"/>
            <w:vAlign w:val="center"/>
            <w:hideMark/>
          </w:tcPr>
          <w:p w14:paraId="6C304FF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Flatbed</w:t>
            </w:r>
          </w:p>
        </w:tc>
        <w:tc>
          <w:tcPr>
            <w:tcW w:w="0" w:type="auto"/>
            <w:vAlign w:val="center"/>
            <w:hideMark/>
          </w:tcPr>
          <w:p w14:paraId="1478ECB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36</w:t>
            </w:r>
          </w:p>
        </w:tc>
        <w:tc>
          <w:tcPr>
            <w:tcW w:w="0" w:type="auto"/>
            <w:vAlign w:val="center"/>
            <w:hideMark/>
          </w:tcPr>
          <w:p w14:paraId="7E1EA3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10.3%</w:t>
            </w:r>
          </w:p>
        </w:tc>
      </w:tr>
      <w:tr w:rsidR="00E16114" w:rsidRPr="007F6CB3" w14:paraId="2949B149" w14:textId="77777777" w:rsidTr="0026594F">
        <w:trPr>
          <w:trHeight w:val="271"/>
          <w:tblCellSpacing w:w="15" w:type="dxa"/>
        </w:trPr>
        <w:tc>
          <w:tcPr>
            <w:tcW w:w="0" w:type="auto"/>
            <w:vAlign w:val="center"/>
            <w:hideMark/>
          </w:tcPr>
          <w:p w14:paraId="34BFE1B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vAlign w:val="center"/>
            <w:hideMark/>
          </w:tcPr>
          <w:p w14:paraId="40442C0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w:t>
            </w:r>
          </w:p>
        </w:tc>
        <w:tc>
          <w:tcPr>
            <w:tcW w:w="0" w:type="auto"/>
            <w:vAlign w:val="center"/>
            <w:hideMark/>
          </w:tcPr>
          <w:p w14:paraId="125A325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w:t>
            </w:r>
          </w:p>
        </w:tc>
      </w:tr>
      <w:tr w:rsidR="00E16114" w:rsidRPr="007F6CB3" w14:paraId="5FA75EE7" w14:textId="77777777" w:rsidTr="0026594F">
        <w:trPr>
          <w:trHeight w:val="271"/>
          <w:tblCellSpacing w:w="15" w:type="dxa"/>
        </w:trPr>
        <w:tc>
          <w:tcPr>
            <w:tcW w:w="0" w:type="auto"/>
            <w:vAlign w:val="center"/>
            <w:hideMark/>
          </w:tcPr>
          <w:p w14:paraId="0B22FF2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8A37F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136D356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32F0A89F" w14:textId="77777777" w:rsidR="00E16114" w:rsidRPr="007F6CB3" w:rsidRDefault="00E16114" w:rsidP="00E16114">
      <w:pPr>
        <w:jc w:val="both"/>
        <w:rPr>
          <w:rFonts w:ascii="Times New Roman" w:hAnsi="Times New Roman" w:cs="Times New Roman"/>
          <w:sz w:val="24"/>
          <w:szCs w:val="24"/>
        </w:rPr>
      </w:pPr>
    </w:p>
    <w:tbl>
      <w:tblPr>
        <w:tblW w:w="9491" w:type="dxa"/>
        <w:tblCellSpacing w:w="15" w:type="dxa"/>
        <w:tblCellMar>
          <w:top w:w="15" w:type="dxa"/>
          <w:left w:w="15" w:type="dxa"/>
          <w:bottom w:w="15" w:type="dxa"/>
          <w:right w:w="15" w:type="dxa"/>
        </w:tblCellMar>
        <w:tblLook w:val="04A0" w:firstRow="1" w:lastRow="0" w:firstColumn="1" w:lastColumn="0" w:noHBand="0" w:noVBand="1"/>
      </w:tblPr>
      <w:tblGrid>
        <w:gridCol w:w="7050"/>
        <w:gridCol w:w="1193"/>
        <w:gridCol w:w="1248"/>
      </w:tblGrid>
      <w:tr w:rsidR="00E16114" w:rsidRPr="007F6CB3" w14:paraId="42893E5F" w14:textId="77777777" w:rsidTr="0026594F">
        <w:trPr>
          <w:trHeight w:val="339"/>
          <w:tblHeader/>
          <w:tblCellSpacing w:w="15" w:type="dxa"/>
        </w:trPr>
        <w:tc>
          <w:tcPr>
            <w:tcW w:w="0" w:type="auto"/>
            <w:vAlign w:val="center"/>
            <w:hideMark/>
          </w:tcPr>
          <w:p w14:paraId="5581BA65" w14:textId="347B0655"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6</w:t>
            </w:r>
            <w:r w:rsidR="001D7503">
              <w:rPr>
                <w:rFonts w:ascii="Times New Roman" w:hAnsi="Times New Roman" w:cs="Times New Roman"/>
                <w:b/>
                <w:bCs/>
                <w:sz w:val="24"/>
                <w:szCs w:val="24"/>
              </w:rPr>
              <w:t>.3</w:t>
            </w:r>
            <w:r w:rsidRPr="007F6CB3">
              <w:rPr>
                <w:rFonts w:ascii="Times New Roman" w:hAnsi="Times New Roman" w:cs="Times New Roman"/>
                <w:b/>
                <w:bCs/>
                <w:sz w:val="24"/>
                <w:szCs w:val="24"/>
              </w:rPr>
              <w:t xml:space="preserve">. </w:t>
            </w:r>
            <w:r w:rsidR="00C77BA2">
              <w:rPr>
                <w:rFonts w:ascii="Times New Roman" w:hAnsi="Times New Roman" w:cs="Times New Roman"/>
                <w:b/>
                <w:bCs/>
                <w:sz w:val="24"/>
                <w:szCs w:val="24"/>
              </w:rPr>
              <w:t xml:space="preserve"> Frequency and percentage according to </w:t>
            </w:r>
            <w:r w:rsidR="00C77BA2" w:rsidRPr="007F6CB3">
              <w:rPr>
                <w:rFonts w:ascii="Times New Roman" w:hAnsi="Times New Roman" w:cs="Times New Roman"/>
                <w:b/>
                <w:bCs/>
                <w:sz w:val="24"/>
                <w:szCs w:val="24"/>
              </w:rPr>
              <w:t>Farming input</w:t>
            </w:r>
          </w:p>
          <w:p w14:paraId="6CD89E5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Farming input</w:t>
            </w:r>
          </w:p>
        </w:tc>
        <w:tc>
          <w:tcPr>
            <w:tcW w:w="0" w:type="auto"/>
            <w:vAlign w:val="center"/>
            <w:hideMark/>
          </w:tcPr>
          <w:p w14:paraId="4D3F4DCA" w14:textId="77777777" w:rsidR="00E16114" w:rsidRPr="007F6CB3" w:rsidRDefault="00E16114" w:rsidP="0026594F">
            <w:pPr>
              <w:jc w:val="both"/>
              <w:rPr>
                <w:rFonts w:ascii="Times New Roman" w:hAnsi="Times New Roman" w:cs="Times New Roman"/>
                <w:b/>
                <w:bCs/>
                <w:sz w:val="24"/>
                <w:szCs w:val="24"/>
              </w:rPr>
            </w:pPr>
          </w:p>
          <w:p w14:paraId="109824A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vAlign w:val="center"/>
            <w:hideMark/>
          </w:tcPr>
          <w:p w14:paraId="37C33EE9" w14:textId="77777777" w:rsidR="00E16114" w:rsidRPr="007F6CB3" w:rsidRDefault="00E16114" w:rsidP="0026594F">
            <w:pPr>
              <w:jc w:val="both"/>
              <w:rPr>
                <w:rFonts w:ascii="Times New Roman" w:hAnsi="Times New Roman" w:cs="Times New Roman"/>
                <w:b/>
                <w:bCs/>
                <w:sz w:val="24"/>
                <w:szCs w:val="24"/>
              </w:rPr>
            </w:pPr>
          </w:p>
          <w:p w14:paraId="5851507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w:t>
            </w:r>
          </w:p>
        </w:tc>
      </w:tr>
      <w:tr w:rsidR="00E16114" w:rsidRPr="007F6CB3" w14:paraId="0F8DE252" w14:textId="77777777" w:rsidTr="0026594F">
        <w:trPr>
          <w:trHeight w:val="356"/>
          <w:tblCellSpacing w:w="15" w:type="dxa"/>
        </w:trPr>
        <w:tc>
          <w:tcPr>
            <w:tcW w:w="0" w:type="auto"/>
            <w:vAlign w:val="center"/>
            <w:hideMark/>
          </w:tcPr>
          <w:p w14:paraId="262AAB7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Chemical fertilizer</w:t>
            </w:r>
          </w:p>
        </w:tc>
        <w:tc>
          <w:tcPr>
            <w:tcW w:w="0" w:type="auto"/>
            <w:vAlign w:val="center"/>
            <w:hideMark/>
          </w:tcPr>
          <w:p w14:paraId="4E01A03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151</w:t>
            </w:r>
          </w:p>
        </w:tc>
        <w:tc>
          <w:tcPr>
            <w:tcW w:w="0" w:type="auto"/>
            <w:vAlign w:val="center"/>
            <w:hideMark/>
          </w:tcPr>
          <w:p w14:paraId="2F6D4F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43.4%</w:t>
            </w:r>
          </w:p>
        </w:tc>
      </w:tr>
      <w:tr w:rsidR="00E16114" w:rsidRPr="007F6CB3" w14:paraId="730D3941" w14:textId="77777777" w:rsidTr="0026594F">
        <w:trPr>
          <w:trHeight w:val="339"/>
          <w:tblCellSpacing w:w="15" w:type="dxa"/>
        </w:trPr>
        <w:tc>
          <w:tcPr>
            <w:tcW w:w="0" w:type="auto"/>
            <w:vAlign w:val="center"/>
            <w:hideMark/>
          </w:tcPr>
          <w:p w14:paraId="51301AB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Organic manure</w:t>
            </w:r>
          </w:p>
        </w:tc>
        <w:tc>
          <w:tcPr>
            <w:tcW w:w="0" w:type="auto"/>
            <w:vAlign w:val="center"/>
            <w:hideMark/>
          </w:tcPr>
          <w:p w14:paraId="3D7D976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139</w:t>
            </w:r>
          </w:p>
        </w:tc>
        <w:tc>
          <w:tcPr>
            <w:tcW w:w="0" w:type="auto"/>
            <w:vAlign w:val="center"/>
            <w:hideMark/>
          </w:tcPr>
          <w:p w14:paraId="16270C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39.9%</w:t>
            </w:r>
          </w:p>
        </w:tc>
      </w:tr>
      <w:tr w:rsidR="00E16114" w:rsidRPr="007F6CB3" w14:paraId="4B278E56" w14:textId="77777777" w:rsidTr="0026594F">
        <w:trPr>
          <w:trHeight w:val="339"/>
          <w:tblCellSpacing w:w="15" w:type="dxa"/>
        </w:trPr>
        <w:tc>
          <w:tcPr>
            <w:tcW w:w="0" w:type="auto"/>
            <w:vAlign w:val="center"/>
            <w:hideMark/>
          </w:tcPr>
          <w:p w14:paraId="5D5A5C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None</w:t>
            </w:r>
          </w:p>
        </w:tc>
        <w:tc>
          <w:tcPr>
            <w:tcW w:w="0" w:type="auto"/>
            <w:vAlign w:val="center"/>
            <w:hideMark/>
          </w:tcPr>
          <w:p w14:paraId="6E8F74B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40</w:t>
            </w:r>
          </w:p>
        </w:tc>
        <w:tc>
          <w:tcPr>
            <w:tcW w:w="0" w:type="auto"/>
            <w:vAlign w:val="center"/>
            <w:hideMark/>
          </w:tcPr>
          <w:p w14:paraId="107DF4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11.5%</w:t>
            </w:r>
          </w:p>
        </w:tc>
      </w:tr>
      <w:tr w:rsidR="00E16114" w:rsidRPr="007F6CB3" w14:paraId="3BE0D8EE" w14:textId="77777777" w:rsidTr="0026594F">
        <w:trPr>
          <w:trHeight w:val="339"/>
          <w:tblCellSpacing w:w="15" w:type="dxa"/>
        </w:trPr>
        <w:tc>
          <w:tcPr>
            <w:tcW w:w="0" w:type="auto"/>
            <w:vAlign w:val="center"/>
            <w:hideMark/>
          </w:tcPr>
          <w:p w14:paraId="478C611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vAlign w:val="center"/>
            <w:hideMark/>
          </w:tcPr>
          <w:p w14:paraId="6F75A6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0F72A2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5.2%</w:t>
            </w:r>
          </w:p>
        </w:tc>
      </w:tr>
      <w:tr w:rsidR="00E16114" w:rsidRPr="007F6CB3" w14:paraId="4209C9C0" w14:textId="77777777" w:rsidTr="0026594F">
        <w:trPr>
          <w:trHeight w:val="356"/>
          <w:tblCellSpacing w:w="15" w:type="dxa"/>
        </w:trPr>
        <w:tc>
          <w:tcPr>
            <w:tcW w:w="0" w:type="auto"/>
            <w:vAlign w:val="center"/>
            <w:hideMark/>
          </w:tcPr>
          <w:p w14:paraId="3BEEE7D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7412A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vAlign w:val="center"/>
            <w:hideMark/>
          </w:tcPr>
          <w:p w14:paraId="7A19922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w:t>
            </w:r>
          </w:p>
        </w:tc>
      </w:tr>
    </w:tbl>
    <w:p w14:paraId="0C8D98E7" w14:textId="77777777" w:rsidR="00E16114" w:rsidRPr="007F6CB3" w:rsidRDefault="00E16114" w:rsidP="00E16114">
      <w:pPr>
        <w:jc w:val="both"/>
        <w:rPr>
          <w:rFonts w:ascii="Times New Roman" w:hAnsi="Times New Roman" w:cs="Times New Roman"/>
          <w:sz w:val="24"/>
          <w:szCs w:val="24"/>
        </w:rPr>
      </w:pPr>
    </w:p>
    <w:p w14:paraId="2F2F9AB4" w14:textId="77777777" w:rsidR="00E16114" w:rsidRPr="007F6CB3" w:rsidRDefault="00E16114" w:rsidP="00E16114">
      <w:pPr>
        <w:jc w:val="both"/>
        <w:rPr>
          <w:rFonts w:ascii="Times New Roman" w:hAnsi="Times New Roman" w:cs="Times New Roman"/>
          <w:sz w:val="24"/>
          <w:szCs w:val="24"/>
        </w:rPr>
      </w:pPr>
    </w:p>
    <w:p w14:paraId="504EBB7D" w14:textId="77777777" w:rsidR="00E16114" w:rsidRPr="007F6CB3" w:rsidRDefault="00E16114" w:rsidP="00E16114">
      <w:pPr>
        <w:jc w:val="both"/>
        <w:rPr>
          <w:rFonts w:ascii="Times New Roman" w:hAnsi="Times New Roman" w:cs="Times New Roman"/>
          <w:sz w:val="24"/>
          <w:szCs w:val="24"/>
        </w:rPr>
      </w:pPr>
    </w:p>
    <w:p w14:paraId="777B8AEA" w14:textId="77777777" w:rsidR="00E16114" w:rsidRPr="007F6CB3" w:rsidRDefault="00E16114" w:rsidP="00E16114">
      <w:pPr>
        <w:jc w:val="both"/>
        <w:rPr>
          <w:rFonts w:ascii="Times New Roman" w:hAnsi="Times New Roman" w:cs="Times New Roman"/>
          <w:sz w:val="24"/>
          <w:szCs w:val="24"/>
        </w:rPr>
      </w:pPr>
    </w:p>
    <w:p w14:paraId="598D3169" w14:textId="0D98D8E2" w:rsidR="00E16114" w:rsidRPr="007F6CB3" w:rsidRDefault="00E16114" w:rsidP="00E16114">
      <w:pPr>
        <w:jc w:val="both"/>
        <w:rPr>
          <w:rFonts w:ascii="Times New Roman" w:hAnsi="Times New Roman" w:cs="Times New Roman"/>
          <w:b/>
          <w:bCs/>
          <w:sz w:val="24"/>
          <w:szCs w:val="24"/>
          <w:lang w:val="en"/>
        </w:rPr>
      </w:pPr>
      <w:bookmarkStart w:id="17" w:name="_Hlk221325762"/>
      <w:r w:rsidRPr="007F6CB3">
        <w:rPr>
          <w:rFonts w:ascii="Times New Roman" w:hAnsi="Times New Roman" w:cs="Times New Roman"/>
          <w:b/>
          <w:bCs/>
          <w:sz w:val="24"/>
          <w:szCs w:val="24"/>
          <w:lang w:val="en"/>
        </w:rPr>
        <w:t>Post-Harvest Handling of Sweet Potato</w:t>
      </w:r>
    </w:p>
    <w:p w14:paraId="18AD7378" w14:textId="77777777" w:rsidR="00E16114" w:rsidRPr="007F6CB3" w:rsidRDefault="00E16114" w:rsidP="00E16114">
      <w:pPr>
        <w:jc w:val="both"/>
        <w:rPr>
          <w:rFonts w:ascii="Times New Roman" w:hAnsi="Times New Roman" w:cs="Times New Roman"/>
          <w:b/>
          <w:bCs/>
          <w:sz w:val="24"/>
          <w:szCs w:val="24"/>
          <w:lang w:val="en"/>
        </w:rPr>
      </w:pPr>
    </w:p>
    <w:bookmarkEnd w:id="17"/>
    <w:p w14:paraId="513392C4"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Analysis of post-harvest handling practices indicated that respondents adopted various methods of harvesting, handling, storage, and transportation of sweet potato tubers. The occurrence of post-harvest rot was reported at different stages, particularly during storage and marketing.</w:t>
      </w:r>
    </w:p>
    <w:p w14:paraId="429250AE"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Common symptoms of post-harvest rot observed included soft rot, mould growth, colour change, and foul odour, suggesting the prevalence of microbial spoilage.</w:t>
      </w:r>
    </w:p>
    <w:p w14:paraId="022DF722"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Table 7 shows that manual harvesting (58.9%) remains the predominant method across all zones, which may increase mechanical injury to tubers and predispose them to post-harvest rot.</w:t>
      </w:r>
    </w:p>
    <w:p w14:paraId="386E979D"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lastRenderedPageBreak/>
        <w:t>Storage practices varied, with sacks/bags (39.7%) being the most common method, followed by barn storage (24.1%). These traditional storage methods offer limited protection against microbial deterioration.</w:t>
      </w:r>
    </w:p>
    <w:p w14:paraId="05BB27BA"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The storage stage recorded the highest incidence of rot (44.3%), followed by market handling (25.0%). This suggests that inadequate storage conditions significantly contribute to post-harvest losses.</w:t>
      </w:r>
    </w:p>
    <w:p w14:paraId="77EFABD6"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These findings underscore the vulnerability of sweet potato to post-harvest deterioration, particularly under poor handling and storage conditions that </w:t>
      </w:r>
      <w:proofErr w:type="spellStart"/>
      <w:r w:rsidRPr="007F6CB3">
        <w:rPr>
          <w:rFonts w:ascii="Times New Roman" w:hAnsi="Times New Roman" w:cs="Times New Roman"/>
          <w:sz w:val="24"/>
          <w:szCs w:val="24"/>
          <w:lang w:val="en-GB"/>
        </w:rPr>
        <w:t>favor</w:t>
      </w:r>
      <w:proofErr w:type="spellEnd"/>
      <w:r w:rsidRPr="007F6CB3">
        <w:rPr>
          <w:rFonts w:ascii="Times New Roman" w:hAnsi="Times New Roman" w:cs="Times New Roman"/>
          <w:sz w:val="24"/>
          <w:szCs w:val="24"/>
          <w:lang w:val="en-GB"/>
        </w:rPr>
        <w:t xml:space="preserve"> microbial growth.</w:t>
      </w:r>
    </w:p>
    <w:p w14:paraId="40A02375" w14:textId="77777777" w:rsidR="00E16114" w:rsidRPr="007F6CB3" w:rsidRDefault="00E16114" w:rsidP="00E16114">
      <w:pPr>
        <w:jc w:val="both"/>
        <w:rPr>
          <w:rFonts w:ascii="Times New Roman" w:hAnsi="Times New Roman" w:cs="Times New Roman"/>
          <w:sz w:val="24"/>
          <w:szCs w:val="24"/>
          <w:lang w:val="en-GB"/>
        </w:rPr>
      </w:pPr>
    </w:p>
    <w:p w14:paraId="5A7D1CF0" w14:textId="77777777" w:rsidR="00E16114" w:rsidRPr="007F6CB3" w:rsidRDefault="00E16114" w:rsidP="00E16114">
      <w:pPr>
        <w:jc w:val="both"/>
        <w:rPr>
          <w:rFonts w:ascii="Times New Roman" w:hAnsi="Times New Roman" w:cs="Times New Roman"/>
          <w:sz w:val="24"/>
          <w:szCs w:val="24"/>
          <w:lang w:val="en-GB"/>
        </w:rPr>
      </w:pPr>
    </w:p>
    <w:p w14:paraId="0CCC1070" w14:textId="77777777" w:rsidR="00E16114" w:rsidRPr="007F6CB3" w:rsidRDefault="00E16114" w:rsidP="00E16114">
      <w:pPr>
        <w:jc w:val="both"/>
        <w:rPr>
          <w:rFonts w:ascii="Times New Roman" w:hAnsi="Times New Roman" w:cs="Times New Roman"/>
          <w:sz w:val="24"/>
          <w:szCs w:val="24"/>
          <w:lang w:val="en-GB"/>
        </w:rPr>
      </w:pPr>
    </w:p>
    <w:p w14:paraId="0B9F45B9" w14:textId="40A49AF4" w:rsidR="00E16114" w:rsidRPr="007F6CB3" w:rsidRDefault="00E16114" w:rsidP="00E16114">
      <w:pPr>
        <w:jc w:val="both"/>
        <w:rPr>
          <w:rFonts w:ascii="Times New Roman" w:hAnsi="Times New Roman" w:cs="Times New Roman"/>
          <w:b/>
          <w:bCs/>
          <w:sz w:val="24"/>
          <w:szCs w:val="24"/>
          <w:lang w:val="en"/>
        </w:rPr>
      </w:pPr>
      <w:bookmarkStart w:id="18" w:name="_Hlk221325785"/>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w:t>
      </w:r>
      <w:r w:rsidRPr="007F6CB3">
        <w:rPr>
          <w:rFonts w:ascii="Times New Roman" w:hAnsi="Times New Roman" w:cs="Times New Roman"/>
          <w:sz w:val="24"/>
          <w:szCs w:val="24"/>
          <w:lang w:val="en-GB"/>
        </w:rPr>
        <w:t xml:space="preserve">: </w:t>
      </w:r>
      <w:bookmarkStart w:id="19" w:name="_Hlk220485238"/>
      <w:r w:rsidRPr="007F6CB3">
        <w:rPr>
          <w:rFonts w:ascii="Times New Roman" w:hAnsi="Times New Roman" w:cs="Times New Roman"/>
          <w:b/>
          <w:bCs/>
          <w:sz w:val="24"/>
          <w:szCs w:val="24"/>
          <w:lang w:val="en"/>
        </w:rPr>
        <w:t>Post-Harvest Handling of Sweet Potato</w:t>
      </w:r>
      <w:bookmarkEnd w:id="19"/>
    </w:p>
    <w:p w14:paraId="7842840C" w14:textId="77777777" w:rsidR="00E16114" w:rsidRPr="007F6CB3" w:rsidRDefault="00E16114" w:rsidP="00E16114">
      <w:pPr>
        <w:jc w:val="both"/>
        <w:rPr>
          <w:rFonts w:ascii="Times New Roman" w:hAnsi="Times New Roman" w:cs="Times New Roman"/>
          <w:sz w:val="24"/>
          <w:szCs w:val="24"/>
          <w:lang w:val="en-GB"/>
        </w:rPr>
      </w:pPr>
    </w:p>
    <w:tbl>
      <w:tblPr>
        <w:tblW w:w="9040" w:type="dxa"/>
        <w:tblInd w:w="108" w:type="dxa"/>
        <w:tblLook w:val="04A0" w:firstRow="1" w:lastRow="0" w:firstColumn="1" w:lastColumn="0" w:noHBand="0" w:noVBand="1"/>
      </w:tblPr>
      <w:tblGrid>
        <w:gridCol w:w="1720"/>
        <w:gridCol w:w="1780"/>
        <w:gridCol w:w="1480"/>
        <w:gridCol w:w="1460"/>
        <w:gridCol w:w="1640"/>
        <w:gridCol w:w="960"/>
      </w:tblGrid>
      <w:tr w:rsidR="00E16114" w:rsidRPr="007F6CB3" w14:paraId="4F482B35" w14:textId="77777777" w:rsidTr="0026594F">
        <w:trPr>
          <w:trHeight w:val="300"/>
        </w:trPr>
        <w:tc>
          <w:tcPr>
            <w:tcW w:w="1720" w:type="dxa"/>
            <w:tcBorders>
              <w:top w:val="nil"/>
              <w:left w:val="nil"/>
              <w:bottom w:val="nil"/>
              <w:right w:val="nil"/>
            </w:tcBorders>
            <w:noWrap/>
            <w:vAlign w:val="bottom"/>
            <w:hideMark/>
          </w:tcPr>
          <w:bookmarkEnd w:id="18"/>
          <w:p w14:paraId="2AD0C94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Variable</w:t>
            </w:r>
          </w:p>
        </w:tc>
        <w:tc>
          <w:tcPr>
            <w:tcW w:w="1780" w:type="dxa"/>
            <w:tcBorders>
              <w:top w:val="nil"/>
              <w:left w:val="nil"/>
              <w:bottom w:val="nil"/>
              <w:right w:val="nil"/>
            </w:tcBorders>
            <w:noWrap/>
            <w:vAlign w:val="bottom"/>
            <w:hideMark/>
          </w:tcPr>
          <w:p w14:paraId="26C5970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Category</w:t>
            </w:r>
          </w:p>
        </w:tc>
        <w:tc>
          <w:tcPr>
            <w:tcW w:w="1480" w:type="dxa"/>
            <w:tcBorders>
              <w:top w:val="nil"/>
              <w:left w:val="nil"/>
              <w:bottom w:val="nil"/>
              <w:right w:val="nil"/>
            </w:tcBorders>
            <w:noWrap/>
            <w:vAlign w:val="bottom"/>
            <w:hideMark/>
          </w:tcPr>
          <w:p w14:paraId="0540E92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North</w:t>
            </w:r>
          </w:p>
        </w:tc>
        <w:tc>
          <w:tcPr>
            <w:tcW w:w="1460" w:type="dxa"/>
            <w:tcBorders>
              <w:top w:val="nil"/>
              <w:left w:val="nil"/>
              <w:bottom w:val="nil"/>
              <w:right w:val="nil"/>
            </w:tcBorders>
            <w:noWrap/>
            <w:vAlign w:val="bottom"/>
            <w:hideMark/>
          </w:tcPr>
          <w:p w14:paraId="263C3FD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South</w:t>
            </w:r>
          </w:p>
        </w:tc>
        <w:tc>
          <w:tcPr>
            <w:tcW w:w="1640" w:type="dxa"/>
            <w:tcBorders>
              <w:top w:val="nil"/>
              <w:left w:val="nil"/>
              <w:bottom w:val="nil"/>
              <w:right w:val="nil"/>
            </w:tcBorders>
            <w:noWrap/>
            <w:vAlign w:val="bottom"/>
            <w:hideMark/>
          </w:tcPr>
          <w:p w14:paraId="70695B4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Anambra Central</w:t>
            </w:r>
          </w:p>
        </w:tc>
        <w:tc>
          <w:tcPr>
            <w:tcW w:w="960" w:type="dxa"/>
            <w:tcBorders>
              <w:top w:val="nil"/>
              <w:left w:val="nil"/>
              <w:bottom w:val="nil"/>
              <w:right w:val="nil"/>
            </w:tcBorders>
            <w:noWrap/>
            <w:vAlign w:val="bottom"/>
            <w:hideMark/>
          </w:tcPr>
          <w:p w14:paraId="14DF22D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Total</w:t>
            </w:r>
          </w:p>
        </w:tc>
      </w:tr>
      <w:tr w:rsidR="00E16114" w:rsidRPr="007F6CB3" w14:paraId="1A4918B3" w14:textId="77777777" w:rsidTr="0026594F">
        <w:trPr>
          <w:trHeight w:val="300"/>
        </w:trPr>
        <w:tc>
          <w:tcPr>
            <w:tcW w:w="1720" w:type="dxa"/>
            <w:tcBorders>
              <w:top w:val="nil"/>
              <w:left w:val="nil"/>
              <w:bottom w:val="nil"/>
              <w:right w:val="nil"/>
            </w:tcBorders>
            <w:noWrap/>
            <w:vAlign w:val="bottom"/>
            <w:hideMark/>
          </w:tcPr>
          <w:p w14:paraId="1EAE645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234B965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By hand</w:t>
            </w:r>
          </w:p>
        </w:tc>
        <w:tc>
          <w:tcPr>
            <w:tcW w:w="1480" w:type="dxa"/>
            <w:tcBorders>
              <w:top w:val="nil"/>
              <w:left w:val="nil"/>
              <w:bottom w:val="nil"/>
              <w:right w:val="nil"/>
            </w:tcBorders>
            <w:noWrap/>
            <w:vAlign w:val="bottom"/>
            <w:hideMark/>
          </w:tcPr>
          <w:p w14:paraId="25D3B82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71</w:t>
            </w:r>
          </w:p>
        </w:tc>
        <w:tc>
          <w:tcPr>
            <w:tcW w:w="1460" w:type="dxa"/>
            <w:tcBorders>
              <w:top w:val="nil"/>
              <w:left w:val="nil"/>
              <w:bottom w:val="nil"/>
              <w:right w:val="nil"/>
            </w:tcBorders>
            <w:noWrap/>
            <w:vAlign w:val="bottom"/>
            <w:hideMark/>
          </w:tcPr>
          <w:p w14:paraId="464BEE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68</w:t>
            </w:r>
          </w:p>
        </w:tc>
        <w:tc>
          <w:tcPr>
            <w:tcW w:w="1640" w:type="dxa"/>
            <w:tcBorders>
              <w:top w:val="nil"/>
              <w:left w:val="nil"/>
              <w:bottom w:val="nil"/>
              <w:right w:val="nil"/>
            </w:tcBorders>
            <w:noWrap/>
            <w:vAlign w:val="bottom"/>
            <w:hideMark/>
          </w:tcPr>
          <w:p w14:paraId="6A07CCE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66</w:t>
            </w:r>
          </w:p>
        </w:tc>
        <w:tc>
          <w:tcPr>
            <w:tcW w:w="960" w:type="dxa"/>
            <w:tcBorders>
              <w:top w:val="nil"/>
              <w:left w:val="nil"/>
              <w:bottom w:val="nil"/>
              <w:right w:val="nil"/>
            </w:tcBorders>
            <w:noWrap/>
            <w:vAlign w:val="bottom"/>
            <w:hideMark/>
          </w:tcPr>
          <w:p w14:paraId="484BAD6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205</w:t>
            </w:r>
          </w:p>
        </w:tc>
      </w:tr>
      <w:tr w:rsidR="00E16114" w:rsidRPr="007F6CB3" w14:paraId="4C6DF1EE" w14:textId="77777777" w:rsidTr="0026594F">
        <w:trPr>
          <w:trHeight w:val="300"/>
        </w:trPr>
        <w:tc>
          <w:tcPr>
            <w:tcW w:w="1720" w:type="dxa"/>
            <w:tcBorders>
              <w:top w:val="nil"/>
              <w:left w:val="nil"/>
              <w:bottom w:val="nil"/>
              <w:right w:val="nil"/>
            </w:tcBorders>
            <w:noWrap/>
            <w:vAlign w:val="bottom"/>
            <w:hideMark/>
          </w:tcPr>
          <w:p w14:paraId="0145464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59A69F1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With tools</w:t>
            </w:r>
          </w:p>
        </w:tc>
        <w:tc>
          <w:tcPr>
            <w:tcW w:w="1480" w:type="dxa"/>
            <w:tcBorders>
              <w:top w:val="nil"/>
              <w:left w:val="nil"/>
              <w:bottom w:val="nil"/>
              <w:right w:val="nil"/>
            </w:tcBorders>
            <w:noWrap/>
            <w:vAlign w:val="bottom"/>
            <w:hideMark/>
          </w:tcPr>
          <w:p w14:paraId="6831E1C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34</w:t>
            </w:r>
          </w:p>
        </w:tc>
        <w:tc>
          <w:tcPr>
            <w:tcW w:w="1460" w:type="dxa"/>
            <w:tcBorders>
              <w:top w:val="nil"/>
              <w:left w:val="nil"/>
              <w:bottom w:val="nil"/>
              <w:right w:val="nil"/>
            </w:tcBorders>
            <w:noWrap/>
            <w:vAlign w:val="bottom"/>
            <w:hideMark/>
          </w:tcPr>
          <w:p w14:paraId="5CAFDCA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32</w:t>
            </w:r>
          </w:p>
        </w:tc>
        <w:tc>
          <w:tcPr>
            <w:tcW w:w="1640" w:type="dxa"/>
            <w:tcBorders>
              <w:top w:val="nil"/>
              <w:left w:val="nil"/>
              <w:bottom w:val="nil"/>
              <w:right w:val="nil"/>
            </w:tcBorders>
            <w:noWrap/>
            <w:vAlign w:val="bottom"/>
            <w:hideMark/>
          </w:tcPr>
          <w:p w14:paraId="61B1879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33</w:t>
            </w:r>
          </w:p>
        </w:tc>
        <w:tc>
          <w:tcPr>
            <w:tcW w:w="960" w:type="dxa"/>
            <w:tcBorders>
              <w:top w:val="nil"/>
              <w:left w:val="nil"/>
              <w:bottom w:val="nil"/>
              <w:right w:val="nil"/>
            </w:tcBorders>
            <w:noWrap/>
            <w:vAlign w:val="bottom"/>
            <w:hideMark/>
          </w:tcPr>
          <w:p w14:paraId="72AC05F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99</w:t>
            </w:r>
          </w:p>
        </w:tc>
      </w:tr>
      <w:tr w:rsidR="00E16114" w:rsidRPr="007F6CB3" w14:paraId="31044F90" w14:textId="77777777" w:rsidTr="0026594F">
        <w:trPr>
          <w:trHeight w:val="300"/>
        </w:trPr>
        <w:tc>
          <w:tcPr>
            <w:tcW w:w="1720" w:type="dxa"/>
            <w:tcBorders>
              <w:top w:val="nil"/>
              <w:left w:val="nil"/>
              <w:bottom w:val="nil"/>
              <w:right w:val="nil"/>
            </w:tcBorders>
            <w:noWrap/>
            <w:vAlign w:val="bottom"/>
            <w:hideMark/>
          </w:tcPr>
          <w:p w14:paraId="30E7149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 method</w:t>
            </w:r>
          </w:p>
        </w:tc>
        <w:tc>
          <w:tcPr>
            <w:tcW w:w="1780" w:type="dxa"/>
            <w:tcBorders>
              <w:top w:val="nil"/>
              <w:left w:val="nil"/>
              <w:bottom w:val="nil"/>
              <w:right w:val="nil"/>
            </w:tcBorders>
            <w:noWrap/>
            <w:vAlign w:val="bottom"/>
            <w:hideMark/>
          </w:tcPr>
          <w:p w14:paraId="2C0E02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 xml:space="preserve">Hired </w:t>
            </w:r>
            <w:proofErr w:type="spellStart"/>
            <w:r w:rsidRPr="007F6CB3">
              <w:rPr>
                <w:rFonts w:ascii="Times New Roman" w:eastAsia="Times New Roman" w:hAnsi="Times New Roman" w:cs="Times New Roman"/>
                <w:color w:val="000000"/>
                <w:sz w:val="24"/>
                <w:szCs w:val="24"/>
                <w:lang w:eastAsia="en-US"/>
              </w:rPr>
              <w:t>labour</w:t>
            </w:r>
            <w:proofErr w:type="spellEnd"/>
          </w:p>
        </w:tc>
        <w:tc>
          <w:tcPr>
            <w:tcW w:w="1480" w:type="dxa"/>
            <w:tcBorders>
              <w:top w:val="nil"/>
              <w:left w:val="nil"/>
              <w:bottom w:val="nil"/>
              <w:right w:val="nil"/>
            </w:tcBorders>
            <w:noWrap/>
            <w:vAlign w:val="bottom"/>
            <w:hideMark/>
          </w:tcPr>
          <w:p w14:paraId="30942E8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14</w:t>
            </w:r>
          </w:p>
        </w:tc>
        <w:tc>
          <w:tcPr>
            <w:tcW w:w="1460" w:type="dxa"/>
            <w:tcBorders>
              <w:top w:val="nil"/>
              <w:left w:val="nil"/>
              <w:bottom w:val="nil"/>
              <w:right w:val="nil"/>
            </w:tcBorders>
            <w:noWrap/>
            <w:vAlign w:val="bottom"/>
            <w:hideMark/>
          </w:tcPr>
          <w:p w14:paraId="3FC9830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1640" w:type="dxa"/>
            <w:tcBorders>
              <w:top w:val="nil"/>
              <w:left w:val="nil"/>
              <w:bottom w:val="nil"/>
              <w:right w:val="nil"/>
            </w:tcBorders>
            <w:noWrap/>
            <w:vAlign w:val="bottom"/>
            <w:hideMark/>
          </w:tcPr>
          <w:p w14:paraId="30B46DC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960" w:type="dxa"/>
            <w:tcBorders>
              <w:top w:val="nil"/>
              <w:left w:val="nil"/>
              <w:bottom w:val="nil"/>
              <w:right w:val="nil"/>
            </w:tcBorders>
            <w:noWrap/>
            <w:vAlign w:val="bottom"/>
            <w:hideMark/>
          </w:tcPr>
          <w:p w14:paraId="14E5052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44</w:t>
            </w:r>
          </w:p>
        </w:tc>
      </w:tr>
      <w:tr w:rsidR="00E16114" w:rsidRPr="007F6CB3" w14:paraId="3CD19AB8" w14:textId="77777777" w:rsidTr="0026594F">
        <w:trPr>
          <w:trHeight w:val="300"/>
        </w:trPr>
        <w:tc>
          <w:tcPr>
            <w:tcW w:w="1720" w:type="dxa"/>
            <w:tcBorders>
              <w:top w:val="nil"/>
              <w:left w:val="nil"/>
              <w:bottom w:val="nil"/>
              <w:right w:val="nil"/>
            </w:tcBorders>
            <w:noWrap/>
            <w:vAlign w:val="bottom"/>
            <w:hideMark/>
          </w:tcPr>
          <w:p w14:paraId="0D6D145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2CB21CF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Sacks/Bags</w:t>
            </w:r>
          </w:p>
        </w:tc>
        <w:tc>
          <w:tcPr>
            <w:tcW w:w="1480" w:type="dxa"/>
            <w:tcBorders>
              <w:top w:val="nil"/>
              <w:left w:val="nil"/>
              <w:bottom w:val="nil"/>
              <w:right w:val="nil"/>
            </w:tcBorders>
            <w:noWrap/>
            <w:vAlign w:val="bottom"/>
            <w:hideMark/>
          </w:tcPr>
          <w:p w14:paraId="480DA43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47</w:t>
            </w:r>
          </w:p>
        </w:tc>
        <w:tc>
          <w:tcPr>
            <w:tcW w:w="1460" w:type="dxa"/>
            <w:tcBorders>
              <w:top w:val="nil"/>
              <w:left w:val="nil"/>
              <w:bottom w:val="nil"/>
              <w:right w:val="nil"/>
            </w:tcBorders>
            <w:noWrap/>
            <w:vAlign w:val="bottom"/>
            <w:hideMark/>
          </w:tcPr>
          <w:p w14:paraId="4E60C6B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45</w:t>
            </w:r>
          </w:p>
        </w:tc>
        <w:tc>
          <w:tcPr>
            <w:tcW w:w="1640" w:type="dxa"/>
            <w:tcBorders>
              <w:top w:val="nil"/>
              <w:left w:val="nil"/>
              <w:bottom w:val="nil"/>
              <w:right w:val="nil"/>
            </w:tcBorders>
            <w:noWrap/>
            <w:vAlign w:val="bottom"/>
            <w:hideMark/>
          </w:tcPr>
          <w:p w14:paraId="71B3347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46</w:t>
            </w:r>
          </w:p>
        </w:tc>
        <w:tc>
          <w:tcPr>
            <w:tcW w:w="960" w:type="dxa"/>
            <w:tcBorders>
              <w:top w:val="nil"/>
              <w:left w:val="nil"/>
              <w:bottom w:val="nil"/>
              <w:right w:val="nil"/>
            </w:tcBorders>
            <w:noWrap/>
            <w:vAlign w:val="bottom"/>
            <w:hideMark/>
          </w:tcPr>
          <w:p w14:paraId="02EF991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138</w:t>
            </w:r>
          </w:p>
        </w:tc>
      </w:tr>
      <w:tr w:rsidR="00E16114" w:rsidRPr="007F6CB3" w14:paraId="35CFCE64" w14:textId="77777777" w:rsidTr="0026594F">
        <w:trPr>
          <w:trHeight w:val="300"/>
        </w:trPr>
        <w:tc>
          <w:tcPr>
            <w:tcW w:w="1720" w:type="dxa"/>
            <w:tcBorders>
              <w:top w:val="nil"/>
              <w:left w:val="nil"/>
              <w:bottom w:val="nil"/>
              <w:right w:val="nil"/>
            </w:tcBorders>
            <w:noWrap/>
            <w:vAlign w:val="bottom"/>
            <w:hideMark/>
          </w:tcPr>
          <w:p w14:paraId="50294CA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5B6D876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Barn storage</w:t>
            </w:r>
          </w:p>
        </w:tc>
        <w:tc>
          <w:tcPr>
            <w:tcW w:w="1480" w:type="dxa"/>
            <w:tcBorders>
              <w:top w:val="nil"/>
              <w:left w:val="nil"/>
              <w:bottom w:val="nil"/>
              <w:right w:val="nil"/>
            </w:tcBorders>
            <w:noWrap/>
            <w:vAlign w:val="bottom"/>
            <w:hideMark/>
          </w:tcPr>
          <w:p w14:paraId="13F0DFE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c>
          <w:tcPr>
            <w:tcW w:w="1460" w:type="dxa"/>
            <w:tcBorders>
              <w:top w:val="nil"/>
              <w:left w:val="nil"/>
              <w:bottom w:val="nil"/>
              <w:right w:val="nil"/>
            </w:tcBorders>
            <w:noWrap/>
            <w:vAlign w:val="bottom"/>
            <w:hideMark/>
          </w:tcPr>
          <w:p w14:paraId="1ACB489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28</w:t>
            </w:r>
          </w:p>
        </w:tc>
        <w:tc>
          <w:tcPr>
            <w:tcW w:w="1640" w:type="dxa"/>
            <w:tcBorders>
              <w:top w:val="nil"/>
              <w:left w:val="nil"/>
              <w:bottom w:val="nil"/>
              <w:right w:val="nil"/>
            </w:tcBorders>
            <w:noWrap/>
            <w:vAlign w:val="bottom"/>
            <w:hideMark/>
          </w:tcPr>
          <w:p w14:paraId="03AC72E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27</w:t>
            </w:r>
          </w:p>
        </w:tc>
        <w:tc>
          <w:tcPr>
            <w:tcW w:w="960" w:type="dxa"/>
            <w:tcBorders>
              <w:top w:val="nil"/>
              <w:left w:val="nil"/>
              <w:bottom w:val="nil"/>
              <w:right w:val="nil"/>
            </w:tcBorders>
            <w:noWrap/>
            <w:vAlign w:val="bottom"/>
            <w:hideMark/>
          </w:tcPr>
          <w:p w14:paraId="09C06AD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84</w:t>
            </w:r>
          </w:p>
        </w:tc>
      </w:tr>
      <w:tr w:rsidR="00E16114" w:rsidRPr="007F6CB3" w14:paraId="3AA3C4F3" w14:textId="77777777" w:rsidTr="0026594F">
        <w:trPr>
          <w:trHeight w:val="300"/>
        </w:trPr>
        <w:tc>
          <w:tcPr>
            <w:tcW w:w="1720" w:type="dxa"/>
            <w:tcBorders>
              <w:top w:val="nil"/>
              <w:left w:val="nil"/>
              <w:bottom w:val="nil"/>
              <w:right w:val="nil"/>
            </w:tcBorders>
            <w:noWrap/>
            <w:vAlign w:val="bottom"/>
            <w:hideMark/>
          </w:tcPr>
          <w:p w14:paraId="002D97B7"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7022029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Heap storage</w:t>
            </w:r>
          </w:p>
        </w:tc>
        <w:tc>
          <w:tcPr>
            <w:tcW w:w="1480" w:type="dxa"/>
            <w:tcBorders>
              <w:top w:val="nil"/>
              <w:left w:val="nil"/>
              <w:bottom w:val="nil"/>
              <w:right w:val="nil"/>
            </w:tcBorders>
            <w:noWrap/>
            <w:vAlign w:val="bottom"/>
            <w:hideMark/>
          </w:tcPr>
          <w:p w14:paraId="63CA8D7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21</w:t>
            </w:r>
          </w:p>
        </w:tc>
        <w:tc>
          <w:tcPr>
            <w:tcW w:w="1460" w:type="dxa"/>
            <w:tcBorders>
              <w:top w:val="nil"/>
              <w:left w:val="nil"/>
              <w:bottom w:val="nil"/>
              <w:right w:val="nil"/>
            </w:tcBorders>
            <w:noWrap/>
            <w:vAlign w:val="bottom"/>
            <w:hideMark/>
          </w:tcPr>
          <w:p w14:paraId="6CA2B77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1640" w:type="dxa"/>
            <w:tcBorders>
              <w:top w:val="nil"/>
              <w:left w:val="nil"/>
              <w:bottom w:val="nil"/>
              <w:right w:val="nil"/>
            </w:tcBorders>
            <w:noWrap/>
            <w:vAlign w:val="bottom"/>
            <w:hideMark/>
          </w:tcPr>
          <w:p w14:paraId="3965663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960" w:type="dxa"/>
            <w:tcBorders>
              <w:top w:val="nil"/>
              <w:left w:val="nil"/>
              <w:bottom w:val="nil"/>
              <w:right w:val="nil"/>
            </w:tcBorders>
            <w:noWrap/>
            <w:vAlign w:val="bottom"/>
            <w:hideMark/>
          </w:tcPr>
          <w:p w14:paraId="020FFE8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60</w:t>
            </w:r>
          </w:p>
        </w:tc>
      </w:tr>
      <w:tr w:rsidR="00E16114" w:rsidRPr="007F6CB3" w14:paraId="282B9980" w14:textId="77777777" w:rsidTr="0026594F">
        <w:trPr>
          <w:trHeight w:val="300"/>
        </w:trPr>
        <w:tc>
          <w:tcPr>
            <w:tcW w:w="1720" w:type="dxa"/>
            <w:tcBorders>
              <w:top w:val="nil"/>
              <w:left w:val="nil"/>
              <w:bottom w:val="nil"/>
              <w:right w:val="nil"/>
            </w:tcBorders>
            <w:noWrap/>
            <w:vAlign w:val="bottom"/>
            <w:hideMark/>
          </w:tcPr>
          <w:p w14:paraId="37C7848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7C352A1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Underground pit</w:t>
            </w:r>
          </w:p>
        </w:tc>
        <w:tc>
          <w:tcPr>
            <w:tcW w:w="1480" w:type="dxa"/>
            <w:tcBorders>
              <w:top w:val="nil"/>
              <w:left w:val="nil"/>
              <w:bottom w:val="nil"/>
              <w:right w:val="nil"/>
            </w:tcBorders>
            <w:noWrap/>
            <w:vAlign w:val="bottom"/>
            <w:hideMark/>
          </w:tcPr>
          <w:p w14:paraId="1E9D249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1460" w:type="dxa"/>
            <w:tcBorders>
              <w:top w:val="nil"/>
              <w:left w:val="nil"/>
              <w:bottom w:val="nil"/>
              <w:right w:val="nil"/>
            </w:tcBorders>
            <w:noWrap/>
            <w:vAlign w:val="bottom"/>
            <w:hideMark/>
          </w:tcPr>
          <w:p w14:paraId="0D91026F"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13</w:t>
            </w:r>
          </w:p>
        </w:tc>
        <w:tc>
          <w:tcPr>
            <w:tcW w:w="1640" w:type="dxa"/>
            <w:tcBorders>
              <w:top w:val="nil"/>
              <w:left w:val="nil"/>
              <w:bottom w:val="nil"/>
              <w:right w:val="nil"/>
            </w:tcBorders>
            <w:noWrap/>
            <w:vAlign w:val="bottom"/>
            <w:hideMark/>
          </w:tcPr>
          <w:p w14:paraId="0F17067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12</w:t>
            </w:r>
          </w:p>
        </w:tc>
        <w:tc>
          <w:tcPr>
            <w:tcW w:w="960" w:type="dxa"/>
            <w:tcBorders>
              <w:top w:val="nil"/>
              <w:left w:val="nil"/>
              <w:bottom w:val="nil"/>
              <w:right w:val="nil"/>
            </w:tcBorders>
            <w:noWrap/>
            <w:vAlign w:val="bottom"/>
            <w:hideMark/>
          </w:tcPr>
          <w:p w14:paraId="015EAD5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37</w:t>
            </w:r>
          </w:p>
        </w:tc>
      </w:tr>
      <w:tr w:rsidR="00E16114" w:rsidRPr="007F6CB3" w14:paraId="1A329549" w14:textId="77777777" w:rsidTr="0026594F">
        <w:trPr>
          <w:trHeight w:val="300"/>
        </w:trPr>
        <w:tc>
          <w:tcPr>
            <w:tcW w:w="1720" w:type="dxa"/>
            <w:tcBorders>
              <w:top w:val="nil"/>
              <w:left w:val="nil"/>
              <w:bottom w:val="nil"/>
              <w:right w:val="nil"/>
            </w:tcBorders>
            <w:noWrap/>
            <w:vAlign w:val="bottom"/>
            <w:hideMark/>
          </w:tcPr>
          <w:p w14:paraId="2BAC894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 method</w:t>
            </w:r>
          </w:p>
        </w:tc>
        <w:tc>
          <w:tcPr>
            <w:tcW w:w="1780" w:type="dxa"/>
            <w:tcBorders>
              <w:top w:val="nil"/>
              <w:left w:val="nil"/>
              <w:bottom w:val="nil"/>
              <w:right w:val="nil"/>
            </w:tcBorders>
            <w:noWrap/>
            <w:vAlign w:val="bottom"/>
            <w:hideMark/>
          </w:tcPr>
          <w:p w14:paraId="151A927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Open display</w:t>
            </w:r>
          </w:p>
        </w:tc>
        <w:tc>
          <w:tcPr>
            <w:tcW w:w="1480" w:type="dxa"/>
            <w:tcBorders>
              <w:top w:val="nil"/>
              <w:left w:val="nil"/>
              <w:bottom w:val="nil"/>
              <w:right w:val="nil"/>
            </w:tcBorders>
            <w:noWrap/>
            <w:vAlign w:val="bottom"/>
            <w:hideMark/>
          </w:tcPr>
          <w:p w14:paraId="3770B2A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10</w:t>
            </w:r>
          </w:p>
        </w:tc>
        <w:tc>
          <w:tcPr>
            <w:tcW w:w="1460" w:type="dxa"/>
            <w:tcBorders>
              <w:top w:val="nil"/>
              <w:left w:val="nil"/>
              <w:bottom w:val="nil"/>
              <w:right w:val="nil"/>
            </w:tcBorders>
            <w:noWrap/>
            <w:vAlign w:val="bottom"/>
            <w:hideMark/>
          </w:tcPr>
          <w:p w14:paraId="7981CE2C"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9</w:t>
            </w:r>
          </w:p>
        </w:tc>
        <w:tc>
          <w:tcPr>
            <w:tcW w:w="1640" w:type="dxa"/>
            <w:tcBorders>
              <w:top w:val="nil"/>
              <w:left w:val="nil"/>
              <w:bottom w:val="nil"/>
              <w:right w:val="nil"/>
            </w:tcBorders>
            <w:noWrap/>
            <w:vAlign w:val="bottom"/>
            <w:hideMark/>
          </w:tcPr>
          <w:p w14:paraId="03CF63ED"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10</w:t>
            </w:r>
          </w:p>
        </w:tc>
        <w:tc>
          <w:tcPr>
            <w:tcW w:w="960" w:type="dxa"/>
            <w:tcBorders>
              <w:top w:val="nil"/>
              <w:left w:val="nil"/>
              <w:bottom w:val="nil"/>
              <w:right w:val="nil"/>
            </w:tcBorders>
            <w:noWrap/>
            <w:vAlign w:val="bottom"/>
            <w:hideMark/>
          </w:tcPr>
          <w:p w14:paraId="46392A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r>
      <w:tr w:rsidR="00E16114" w:rsidRPr="007F6CB3" w14:paraId="43FD0094" w14:textId="77777777" w:rsidTr="0026594F">
        <w:trPr>
          <w:trHeight w:val="300"/>
        </w:trPr>
        <w:tc>
          <w:tcPr>
            <w:tcW w:w="1720" w:type="dxa"/>
            <w:tcBorders>
              <w:top w:val="nil"/>
              <w:left w:val="nil"/>
              <w:bottom w:val="nil"/>
              <w:right w:val="nil"/>
            </w:tcBorders>
            <w:noWrap/>
            <w:vAlign w:val="bottom"/>
            <w:hideMark/>
          </w:tcPr>
          <w:p w14:paraId="2195CA8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0A87F2B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Storage</w:t>
            </w:r>
          </w:p>
        </w:tc>
        <w:tc>
          <w:tcPr>
            <w:tcW w:w="1480" w:type="dxa"/>
            <w:tcBorders>
              <w:top w:val="nil"/>
              <w:left w:val="nil"/>
              <w:bottom w:val="nil"/>
              <w:right w:val="nil"/>
            </w:tcBorders>
            <w:noWrap/>
            <w:vAlign w:val="bottom"/>
            <w:hideMark/>
          </w:tcPr>
          <w:p w14:paraId="1C78180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53</w:t>
            </w:r>
          </w:p>
        </w:tc>
        <w:tc>
          <w:tcPr>
            <w:tcW w:w="1460" w:type="dxa"/>
            <w:tcBorders>
              <w:top w:val="nil"/>
              <w:left w:val="nil"/>
              <w:bottom w:val="nil"/>
              <w:right w:val="nil"/>
            </w:tcBorders>
            <w:noWrap/>
            <w:vAlign w:val="bottom"/>
            <w:hideMark/>
          </w:tcPr>
          <w:p w14:paraId="463D7B96"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51</w:t>
            </w:r>
          </w:p>
        </w:tc>
        <w:tc>
          <w:tcPr>
            <w:tcW w:w="1640" w:type="dxa"/>
            <w:tcBorders>
              <w:top w:val="nil"/>
              <w:left w:val="nil"/>
              <w:bottom w:val="nil"/>
              <w:right w:val="nil"/>
            </w:tcBorders>
            <w:noWrap/>
            <w:vAlign w:val="bottom"/>
            <w:hideMark/>
          </w:tcPr>
          <w:p w14:paraId="3FBAFD3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50</w:t>
            </w:r>
          </w:p>
        </w:tc>
        <w:tc>
          <w:tcPr>
            <w:tcW w:w="960" w:type="dxa"/>
            <w:tcBorders>
              <w:top w:val="nil"/>
              <w:left w:val="nil"/>
              <w:bottom w:val="nil"/>
              <w:right w:val="nil"/>
            </w:tcBorders>
            <w:noWrap/>
            <w:vAlign w:val="bottom"/>
            <w:hideMark/>
          </w:tcPr>
          <w:p w14:paraId="038FF029"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154</w:t>
            </w:r>
          </w:p>
        </w:tc>
      </w:tr>
      <w:tr w:rsidR="00E16114" w:rsidRPr="007F6CB3" w14:paraId="6B68EE32" w14:textId="77777777" w:rsidTr="0026594F">
        <w:trPr>
          <w:trHeight w:val="300"/>
        </w:trPr>
        <w:tc>
          <w:tcPr>
            <w:tcW w:w="1720" w:type="dxa"/>
            <w:tcBorders>
              <w:top w:val="nil"/>
              <w:left w:val="nil"/>
              <w:bottom w:val="nil"/>
              <w:right w:val="nil"/>
            </w:tcBorders>
            <w:noWrap/>
            <w:vAlign w:val="bottom"/>
            <w:hideMark/>
          </w:tcPr>
          <w:p w14:paraId="5C0C03A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53F43DD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Market</w:t>
            </w:r>
          </w:p>
        </w:tc>
        <w:tc>
          <w:tcPr>
            <w:tcW w:w="1480" w:type="dxa"/>
            <w:tcBorders>
              <w:top w:val="nil"/>
              <w:left w:val="nil"/>
              <w:bottom w:val="nil"/>
              <w:right w:val="nil"/>
            </w:tcBorders>
            <w:noWrap/>
            <w:vAlign w:val="bottom"/>
            <w:hideMark/>
          </w:tcPr>
          <w:p w14:paraId="5BF5085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29</w:t>
            </w:r>
          </w:p>
        </w:tc>
        <w:tc>
          <w:tcPr>
            <w:tcW w:w="1460" w:type="dxa"/>
            <w:tcBorders>
              <w:top w:val="nil"/>
              <w:left w:val="nil"/>
              <w:bottom w:val="nil"/>
              <w:right w:val="nil"/>
            </w:tcBorders>
            <w:noWrap/>
            <w:vAlign w:val="bottom"/>
            <w:hideMark/>
          </w:tcPr>
          <w:p w14:paraId="624EDEE1"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28</w:t>
            </w:r>
          </w:p>
        </w:tc>
        <w:tc>
          <w:tcPr>
            <w:tcW w:w="1640" w:type="dxa"/>
            <w:tcBorders>
              <w:top w:val="nil"/>
              <w:left w:val="nil"/>
              <w:bottom w:val="nil"/>
              <w:right w:val="nil"/>
            </w:tcBorders>
            <w:noWrap/>
            <w:vAlign w:val="bottom"/>
            <w:hideMark/>
          </w:tcPr>
          <w:p w14:paraId="06C94AB0"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30</w:t>
            </w:r>
          </w:p>
        </w:tc>
        <w:tc>
          <w:tcPr>
            <w:tcW w:w="960" w:type="dxa"/>
            <w:tcBorders>
              <w:top w:val="nil"/>
              <w:left w:val="nil"/>
              <w:bottom w:val="nil"/>
              <w:right w:val="nil"/>
            </w:tcBorders>
            <w:noWrap/>
            <w:vAlign w:val="bottom"/>
            <w:hideMark/>
          </w:tcPr>
          <w:p w14:paraId="7342F975"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87</w:t>
            </w:r>
          </w:p>
        </w:tc>
      </w:tr>
      <w:tr w:rsidR="00E16114" w:rsidRPr="007F6CB3" w14:paraId="7E114813" w14:textId="77777777" w:rsidTr="0026594F">
        <w:trPr>
          <w:trHeight w:val="300"/>
        </w:trPr>
        <w:tc>
          <w:tcPr>
            <w:tcW w:w="1720" w:type="dxa"/>
            <w:tcBorders>
              <w:top w:val="nil"/>
              <w:left w:val="nil"/>
              <w:bottom w:val="nil"/>
              <w:right w:val="nil"/>
            </w:tcBorders>
            <w:noWrap/>
            <w:vAlign w:val="bottom"/>
            <w:hideMark/>
          </w:tcPr>
          <w:p w14:paraId="3386D533"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56ADC1B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Transport</w:t>
            </w:r>
          </w:p>
        </w:tc>
        <w:tc>
          <w:tcPr>
            <w:tcW w:w="1480" w:type="dxa"/>
            <w:tcBorders>
              <w:top w:val="nil"/>
              <w:left w:val="nil"/>
              <w:bottom w:val="nil"/>
              <w:right w:val="nil"/>
            </w:tcBorders>
            <w:noWrap/>
            <w:vAlign w:val="bottom"/>
            <w:hideMark/>
          </w:tcPr>
          <w:p w14:paraId="62EC9E08"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21</w:t>
            </w:r>
          </w:p>
        </w:tc>
        <w:tc>
          <w:tcPr>
            <w:tcW w:w="1460" w:type="dxa"/>
            <w:tcBorders>
              <w:top w:val="nil"/>
              <w:left w:val="nil"/>
              <w:bottom w:val="nil"/>
              <w:right w:val="nil"/>
            </w:tcBorders>
            <w:noWrap/>
            <w:vAlign w:val="bottom"/>
            <w:hideMark/>
          </w:tcPr>
          <w:p w14:paraId="2A7786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20</w:t>
            </w:r>
          </w:p>
        </w:tc>
        <w:tc>
          <w:tcPr>
            <w:tcW w:w="1640" w:type="dxa"/>
            <w:tcBorders>
              <w:top w:val="nil"/>
              <w:left w:val="nil"/>
              <w:bottom w:val="nil"/>
              <w:right w:val="nil"/>
            </w:tcBorders>
            <w:noWrap/>
            <w:vAlign w:val="bottom"/>
            <w:hideMark/>
          </w:tcPr>
          <w:p w14:paraId="4681F824"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19</w:t>
            </w:r>
          </w:p>
        </w:tc>
        <w:tc>
          <w:tcPr>
            <w:tcW w:w="960" w:type="dxa"/>
            <w:tcBorders>
              <w:top w:val="nil"/>
              <w:left w:val="nil"/>
              <w:bottom w:val="nil"/>
              <w:right w:val="nil"/>
            </w:tcBorders>
            <w:noWrap/>
            <w:vAlign w:val="bottom"/>
            <w:hideMark/>
          </w:tcPr>
          <w:p w14:paraId="0319565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60</w:t>
            </w:r>
          </w:p>
        </w:tc>
      </w:tr>
      <w:tr w:rsidR="00E16114" w:rsidRPr="007F6CB3" w14:paraId="08D213C8" w14:textId="77777777" w:rsidTr="0026594F">
        <w:trPr>
          <w:trHeight w:val="300"/>
        </w:trPr>
        <w:tc>
          <w:tcPr>
            <w:tcW w:w="1720" w:type="dxa"/>
            <w:tcBorders>
              <w:top w:val="nil"/>
              <w:left w:val="nil"/>
              <w:bottom w:val="nil"/>
              <w:right w:val="nil"/>
            </w:tcBorders>
            <w:noWrap/>
            <w:vAlign w:val="bottom"/>
            <w:hideMark/>
          </w:tcPr>
          <w:p w14:paraId="7806FB4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Rot stage</w:t>
            </w:r>
          </w:p>
        </w:tc>
        <w:tc>
          <w:tcPr>
            <w:tcW w:w="1780" w:type="dxa"/>
            <w:tcBorders>
              <w:top w:val="nil"/>
              <w:left w:val="nil"/>
              <w:bottom w:val="nil"/>
              <w:right w:val="nil"/>
            </w:tcBorders>
            <w:noWrap/>
            <w:vAlign w:val="bottom"/>
            <w:hideMark/>
          </w:tcPr>
          <w:p w14:paraId="3EE21B92"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Harvest</w:t>
            </w:r>
          </w:p>
        </w:tc>
        <w:tc>
          <w:tcPr>
            <w:tcW w:w="1480" w:type="dxa"/>
            <w:tcBorders>
              <w:top w:val="nil"/>
              <w:left w:val="nil"/>
              <w:bottom w:val="nil"/>
              <w:right w:val="nil"/>
            </w:tcBorders>
            <w:noWrap/>
            <w:vAlign w:val="bottom"/>
            <w:hideMark/>
          </w:tcPr>
          <w:p w14:paraId="03488EF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16</w:t>
            </w:r>
          </w:p>
        </w:tc>
        <w:tc>
          <w:tcPr>
            <w:tcW w:w="1460" w:type="dxa"/>
            <w:tcBorders>
              <w:top w:val="nil"/>
              <w:left w:val="nil"/>
              <w:bottom w:val="nil"/>
              <w:right w:val="nil"/>
            </w:tcBorders>
            <w:noWrap/>
            <w:vAlign w:val="bottom"/>
            <w:hideMark/>
          </w:tcPr>
          <w:p w14:paraId="11A1C59E"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16</w:t>
            </w:r>
          </w:p>
        </w:tc>
        <w:tc>
          <w:tcPr>
            <w:tcW w:w="1640" w:type="dxa"/>
            <w:tcBorders>
              <w:top w:val="nil"/>
              <w:left w:val="nil"/>
              <w:bottom w:val="nil"/>
              <w:right w:val="nil"/>
            </w:tcBorders>
            <w:noWrap/>
            <w:vAlign w:val="bottom"/>
            <w:hideMark/>
          </w:tcPr>
          <w:p w14:paraId="06270C1B"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15</w:t>
            </w:r>
          </w:p>
        </w:tc>
        <w:tc>
          <w:tcPr>
            <w:tcW w:w="960" w:type="dxa"/>
            <w:tcBorders>
              <w:top w:val="nil"/>
              <w:left w:val="nil"/>
              <w:bottom w:val="nil"/>
              <w:right w:val="nil"/>
            </w:tcBorders>
            <w:noWrap/>
            <w:vAlign w:val="bottom"/>
            <w:hideMark/>
          </w:tcPr>
          <w:p w14:paraId="230819CA" w14:textId="77777777" w:rsidR="00E16114" w:rsidRPr="007F6CB3" w:rsidRDefault="00E16114" w:rsidP="0026594F">
            <w:pPr>
              <w:rPr>
                <w:rFonts w:ascii="Times New Roman" w:eastAsia="Times New Roman" w:hAnsi="Times New Roman" w:cs="Times New Roman"/>
                <w:color w:val="000000"/>
                <w:sz w:val="24"/>
                <w:szCs w:val="24"/>
                <w:lang w:eastAsia="en-US"/>
              </w:rPr>
            </w:pPr>
            <w:r w:rsidRPr="007F6CB3">
              <w:rPr>
                <w:rFonts w:ascii="Times New Roman" w:eastAsia="Times New Roman" w:hAnsi="Times New Roman" w:cs="Times New Roman"/>
                <w:color w:val="000000"/>
                <w:sz w:val="24"/>
                <w:szCs w:val="24"/>
                <w:lang w:eastAsia="en-US"/>
              </w:rPr>
              <w:t>47</w:t>
            </w:r>
          </w:p>
        </w:tc>
      </w:tr>
    </w:tbl>
    <w:p w14:paraId="7E4D9860" w14:textId="77777777" w:rsidR="00E16114" w:rsidRPr="007F6CB3" w:rsidRDefault="00E16114" w:rsidP="00E16114">
      <w:pPr>
        <w:jc w:val="both"/>
        <w:rPr>
          <w:rFonts w:ascii="Times New Roman" w:hAnsi="Times New Roman" w:cs="Times New Roman"/>
          <w:sz w:val="24"/>
          <w:szCs w:val="24"/>
          <w:lang w:val="en-GB"/>
        </w:rPr>
      </w:pPr>
    </w:p>
    <w:p w14:paraId="01DB87FA" w14:textId="4EA59710" w:rsidR="00E16114" w:rsidRPr="007F6CB3" w:rsidRDefault="00E16114" w:rsidP="00E16114">
      <w:pPr>
        <w:jc w:val="both"/>
        <w:rPr>
          <w:rFonts w:ascii="Times New Roman" w:hAnsi="Times New Roman" w:cs="Times New Roman"/>
          <w:b/>
          <w:bCs/>
          <w:sz w:val="24"/>
          <w:szCs w:val="24"/>
          <w:lang w:val="en"/>
        </w:rPr>
      </w:pPr>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w:t>
      </w:r>
      <w:r w:rsidR="001D7503">
        <w:rPr>
          <w:rFonts w:ascii="Times New Roman" w:hAnsi="Times New Roman" w:cs="Times New Roman"/>
          <w:sz w:val="24"/>
          <w:szCs w:val="24"/>
          <w:lang w:val="en-GB"/>
        </w:rPr>
        <w:t>.1</w:t>
      </w:r>
      <w:r w:rsidRPr="007F6CB3">
        <w:rPr>
          <w:rFonts w:ascii="Times New Roman" w:hAnsi="Times New Roman" w:cs="Times New Roman"/>
          <w:sz w:val="24"/>
          <w:szCs w:val="24"/>
          <w:lang w:val="en-GB"/>
        </w:rPr>
        <w:t xml:space="preserve">. </w:t>
      </w:r>
      <w:r w:rsidR="00C77BA2" w:rsidRPr="00C77BA2">
        <w:rPr>
          <w:rFonts w:ascii="Times New Roman" w:hAnsi="Times New Roman" w:cs="Times New Roman"/>
          <w:b/>
          <w:bCs/>
          <w:sz w:val="24"/>
          <w:szCs w:val="24"/>
          <w:lang w:val="en-GB"/>
        </w:rPr>
        <w:t>Percentage according to the</w:t>
      </w:r>
      <w:r w:rsidR="00C77BA2">
        <w:rPr>
          <w:rFonts w:ascii="Times New Roman" w:hAnsi="Times New Roman" w:cs="Times New Roman"/>
          <w:sz w:val="24"/>
          <w:szCs w:val="24"/>
          <w:lang w:val="en-GB"/>
        </w:rPr>
        <w:t xml:space="preserve"> </w:t>
      </w:r>
      <w:r w:rsidR="00C77BA2" w:rsidRPr="007F6CB3">
        <w:rPr>
          <w:rFonts w:ascii="Times New Roman" w:hAnsi="Times New Roman" w:cs="Times New Roman"/>
          <w:b/>
          <w:bCs/>
          <w:sz w:val="24"/>
          <w:szCs w:val="24"/>
        </w:rPr>
        <w:t>Harvest method</w:t>
      </w:r>
    </w:p>
    <w:tbl>
      <w:tblPr>
        <w:tblW w:w="8785" w:type="dxa"/>
        <w:tblCellSpacing w:w="15" w:type="dxa"/>
        <w:tblCellMar>
          <w:top w:w="15" w:type="dxa"/>
          <w:left w:w="15" w:type="dxa"/>
          <w:bottom w:w="15" w:type="dxa"/>
          <w:right w:w="15" w:type="dxa"/>
        </w:tblCellMar>
        <w:tblLook w:val="04A0" w:firstRow="1" w:lastRow="0" w:firstColumn="1" w:lastColumn="0" w:noHBand="0" w:noVBand="1"/>
      </w:tblPr>
      <w:tblGrid>
        <w:gridCol w:w="3793"/>
        <w:gridCol w:w="1320"/>
        <w:gridCol w:w="3672"/>
      </w:tblGrid>
      <w:tr w:rsidR="00E16114" w:rsidRPr="007F6CB3" w14:paraId="35BEE73B" w14:textId="77777777" w:rsidTr="0026594F">
        <w:trPr>
          <w:trHeight w:val="304"/>
          <w:tblHeader/>
          <w:tblCellSpacing w:w="15" w:type="dxa"/>
        </w:trPr>
        <w:tc>
          <w:tcPr>
            <w:tcW w:w="0" w:type="auto"/>
            <w:vAlign w:val="center"/>
            <w:hideMark/>
          </w:tcPr>
          <w:p w14:paraId="5DFC20E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Harvest method</w:t>
            </w:r>
          </w:p>
        </w:tc>
        <w:tc>
          <w:tcPr>
            <w:tcW w:w="0" w:type="auto"/>
            <w:vAlign w:val="center"/>
            <w:hideMark/>
          </w:tcPr>
          <w:p w14:paraId="2C87997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69171649"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481061B4" w14:textId="77777777" w:rsidTr="0026594F">
        <w:trPr>
          <w:trHeight w:val="319"/>
          <w:tblCellSpacing w:w="15" w:type="dxa"/>
        </w:trPr>
        <w:tc>
          <w:tcPr>
            <w:tcW w:w="0" w:type="auto"/>
            <w:vAlign w:val="center"/>
            <w:hideMark/>
          </w:tcPr>
          <w:p w14:paraId="77B98D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By hand</w:t>
            </w:r>
          </w:p>
        </w:tc>
        <w:tc>
          <w:tcPr>
            <w:tcW w:w="0" w:type="auto"/>
            <w:vAlign w:val="center"/>
            <w:hideMark/>
          </w:tcPr>
          <w:p w14:paraId="248234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205</w:t>
            </w:r>
          </w:p>
        </w:tc>
        <w:tc>
          <w:tcPr>
            <w:tcW w:w="0" w:type="auto"/>
            <w:vAlign w:val="center"/>
            <w:hideMark/>
          </w:tcPr>
          <w:p w14:paraId="3214190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58.1%</w:t>
            </w:r>
          </w:p>
        </w:tc>
      </w:tr>
      <w:tr w:rsidR="00E16114" w:rsidRPr="007F6CB3" w14:paraId="7DF87DF8" w14:textId="77777777" w:rsidTr="0026594F">
        <w:trPr>
          <w:trHeight w:val="304"/>
          <w:tblCellSpacing w:w="15" w:type="dxa"/>
        </w:trPr>
        <w:tc>
          <w:tcPr>
            <w:tcW w:w="0" w:type="auto"/>
            <w:vAlign w:val="center"/>
            <w:hideMark/>
          </w:tcPr>
          <w:p w14:paraId="3781198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With tools</w:t>
            </w:r>
          </w:p>
        </w:tc>
        <w:tc>
          <w:tcPr>
            <w:tcW w:w="0" w:type="auto"/>
            <w:vAlign w:val="center"/>
            <w:hideMark/>
          </w:tcPr>
          <w:p w14:paraId="6EBCE91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99</w:t>
            </w:r>
          </w:p>
        </w:tc>
        <w:tc>
          <w:tcPr>
            <w:tcW w:w="0" w:type="auto"/>
            <w:vAlign w:val="center"/>
            <w:hideMark/>
          </w:tcPr>
          <w:p w14:paraId="604624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28.1%</w:t>
            </w:r>
          </w:p>
        </w:tc>
      </w:tr>
      <w:tr w:rsidR="00E16114" w:rsidRPr="007F6CB3" w14:paraId="2E415115" w14:textId="77777777" w:rsidTr="0026594F">
        <w:trPr>
          <w:trHeight w:val="304"/>
          <w:tblCellSpacing w:w="15" w:type="dxa"/>
        </w:trPr>
        <w:tc>
          <w:tcPr>
            <w:tcW w:w="0" w:type="auto"/>
            <w:vAlign w:val="center"/>
            <w:hideMark/>
          </w:tcPr>
          <w:p w14:paraId="41057D7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 xml:space="preserve">Hired </w:t>
            </w:r>
            <w:proofErr w:type="spellStart"/>
            <w:r w:rsidRPr="007F6CB3">
              <w:rPr>
                <w:rFonts w:ascii="Times New Roman" w:hAnsi="Times New Roman" w:cs="Times New Roman"/>
                <w:sz w:val="24"/>
                <w:szCs w:val="24"/>
              </w:rPr>
              <w:t>labour</w:t>
            </w:r>
            <w:proofErr w:type="spellEnd"/>
          </w:p>
        </w:tc>
        <w:tc>
          <w:tcPr>
            <w:tcW w:w="0" w:type="auto"/>
            <w:vAlign w:val="center"/>
            <w:hideMark/>
          </w:tcPr>
          <w:p w14:paraId="0AAC21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44</w:t>
            </w:r>
          </w:p>
        </w:tc>
        <w:tc>
          <w:tcPr>
            <w:tcW w:w="0" w:type="auto"/>
            <w:vAlign w:val="center"/>
            <w:hideMark/>
          </w:tcPr>
          <w:p w14:paraId="089DF1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12.5%</w:t>
            </w:r>
          </w:p>
        </w:tc>
      </w:tr>
      <w:tr w:rsidR="00E16114" w:rsidRPr="007F6CB3" w14:paraId="67082604" w14:textId="77777777" w:rsidTr="0026594F">
        <w:trPr>
          <w:trHeight w:val="304"/>
          <w:tblCellSpacing w:w="15" w:type="dxa"/>
        </w:trPr>
        <w:tc>
          <w:tcPr>
            <w:tcW w:w="0" w:type="auto"/>
            <w:vAlign w:val="center"/>
            <w:hideMark/>
          </w:tcPr>
          <w:p w14:paraId="1AD0535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451B149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348</w:t>
            </w:r>
          </w:p>
        </w:tc>
        <w:tc>
          <w:tcPr>
            <w:tcW w:w="0" w:type="auto"/>
            <w:vAlign w:val="center"/>
            <w:hideMark/>
          </w:tcPr>
          <w:p w14:paraId="3AF1BD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100%</w:t>
            </w:r>
          </w:p>
        </w:tc>
      </w:tr>
    </w:tbl>
    <w:p w14:paraId="3EA7500E" w14:textId="77777777" w:rsidR="00E16114" w:rsidRPr="007F6CB3" w:rsidRDefault="00E16114" w:rsidP="00E16114">
      <w:pPr>
        <w:jc w:val="both"/>
        <w:rPr>
          <w:rFonts w:ascii="Times New Roman" w:hAnsi="Times New Roman" w:cs="Times New Roman"/>
          <w:b/>
          <w:bCs/>
          <w:sz w:val="24"/>
          <w:szCs w:val="24"/>
          <w:lang w:val="en"/>
        </w:rPr>
      </w:pPr>
    </w:p>
    <w:p w14:paraId="33B6F271" w14:textId="291B670A" w:rsidR="00E16114" w:rsidRPr="00C77BA2" w:rsidRDefault="00E16114" w:rsidP="00E16114">
      <w:pPr>
        <w:jc w:val="both"/>
      </w:pPr>
      <w:r w:rsidRPr="007F6CB3">
        <w:rPr>
          <w:rFonts w:ascii="Times New Roman" w:hAnsi="Times New Roman" w:cs="Times New Roman"/>
          <w:b/>
          <w:bCs/>
          <w:sz w:val="24"/>
          <w:szCs w:val="24"/>
          <w:lang w:val="en"/>
        </w:rPr>
        <w:t xml:space="preserve">Table </w:t>
      </w:r>
      <w:r w:rsidR="007C1DB2">
        <w:rPr>
          <w:rFonts w:ascii="Times New Roman" w:hAnsi="Times New Roman" w:cs="Times New Roman"/>
          <w:b/>
          <w:bCs/>
          <w:sz w:val="24"/>
          <w:szCs w:val="24"/>
          <w:lang w:val="en"/>
        </w:rPr>
        <w:t>7</w:t>
      </w:r>
      <w:r w:rsidR="001D7503">
        <w:rPr>
          <w:rFonts w:ascii="Times New Roman" w:hAnsi="Times New Roman" w:cs="Times New Roman"/>
          <w:b/>
          <w:bCs/>
          <w:sz w:val="24"/>
          <w:szCs w:val="24"/>
          <w:lang w:val="en"/>
        </w:rPr>
        <w:t>.2.</w:t>
      </w:r>
      <w:r w:rsidR="00C77BA2">
        <w:t xml:space="preserve"> </w:t>
      </w:r>
      <w:r w:rsidR="00C77BA2" w:rsidRPr="00C77BA2">
        <w:rPr>
          <w:rFonts w:ascii="Times New Roman" w:hAnsi="Times New Roman" w:cs="Times New Roman"/>
          <w:b/>
          <w:bCs/>
          <w:sz w:val="24"/>
          <w:szCs w:val="24"/>
          <w:lang w:val="en-GB"/>
        </w:rPr>
        <w:t xml:space="preserve">Percentage according to </w:t>
      </w:r>
      <w:r w:rsidR="00C77BA2" w:rsidRPr="007F6CB3">
        <w:rPr>
          <w:rFonts w:ascii="Times New Roman" w:hAnsi="Times New Roman" w:cs="Times New Roman"/>
          <w:b/>
          <w:bCs/>
          <w:sz w:val="24"/>
          <w:szCs w:val="24"/>
        </w:rPr>
        <w:t>Storage method</w:t>
      </w:r>
    </w:p>
    <w:tbl>
      <w:tblPr>
        <w:tblW w:w="9078" w:type="dxa"/>
        <w:tblCellSpacing w:w="15" w:type="dxa"/>
        <w:tblCellMar>
          <w:top w:w="15" w:type="dxa"/>
          <w:left w:w="15" w:type="dxa"/>
          <w:bottom w:w="15" w:type="dxa"/>
          <w:right w:w="15" w:type="dxa"/>
        </w:tblCellMar>
        <w:tblLook w:val="04A0" w:firstRow="1" w:lastRow="0" w:firstColumn="1" w:lastColumn="0" w:noHBand="0" w:noVBand="1"/>
      </w:tblPr>
      <w:tblGrid>
        <w:gridCol w:w="3884"/>
        <w:gridCol w:w="1373"/>
        <w:gridCol w:w="3821"/>
      </w:tblGrid>
      <w:tr w:rsidR="00E16114" w:rsidRPr="007F6CB3" w14:paraId="54D1F802" w14:textId="77777777" w:rsidTr="0026594F">
        <w:trPr>
          <w:trHeight w:val="270"/>
          <w:tblHeader/>
          <w:tblCellSpacing w:w="15" w:type="dxa"/>
        </w:trPr>
        <w:tc>
          <w:tcPr>
            <w:tcW w:w="0" w:type="auto"/>
            <w:vAlign w:val="center"/>
            <w:hideMark/>
          </w:tcPr>
          <w:p w14:paraId="0C7FAC3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lastRenderedPageBreak/>
              <w:t>Storage method</w:t>
            </w:r>
          </w:p>
        </w:tc>
        <w:tc>
          <w:tcPr>
            <w:tcW w:w="0" w:type="auto"/>
            <w:vAlign w:val="center"/>
            <w:hideMark/>
          </w:tcPr>
          <w:p w14:paraId="18FED20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02CB85A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649C1462" w14:textId="77777777" w:rsidTr="0026594F">
        <w:trPr>
          <w:trHeight w:val="284"/>
          <w:tblCellSpacing w:w="15" w:type="dxa"/>
        </w:trPr>
        <w:tc>
          <w:tcPr>
            <w:tcW w:w="0" w:type="auto"/>
            <w:vAlign w:val="center"/>
            <w:hideMark/>
          </w:tcPr>
          <w:p w14:paraId="1624370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Sacks/Bags</w:t>
            </w:r>
          </w:p>
        </w:tc>
        <w:tc>
          <w:tcPr>
            <w:tcW w:w="0" w:type="auto"/>
            <w:vAlign w:val="center"/>
            <w:hideMark/>
          </w:tcPr>
          <w:p w14:paraId="065ED66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vAlign w:val="center"/>
            <w:hideMark/>
          </w:tcPr>
          <w:p w14:paraId="7F546B0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39.4%</w:t>
            </w:r>
          </w:p>
        </w:tc>
      </w:tr>
      <w:tr w:rsidR="00E16114" w:rsidRPr="007F6CB3" w14:paraId="5F03E4E4" w14:textId="77777777" w:rsidTr="0026594F">
        <w:trPr>
          <w:trHeight w:val="270"/>
          <w:tblCellSpacing w:w="15" w:type="dxa"/>
        </w:trPr>
        <w:tc>
          <w:tcPr>
            <w:tcW w:w="0" w:type="auto"/>
            <w:vAlign w:val="center"/>
            <w:hideMark/>
          </w:tcPr>
          <w:p w14:paraId="52C6F03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Barn storage</w:t>
            </w:r>
          </w:p>
        </w:tc>
        <w:tc>
          <w:tcPr>
            <w:tcW w:w="0" w:type="auto"/>
            <w:vAlign w:val="center"/>
            <w:hideMark/>
          </w:tcPr>
          <w:p w14:paraId="34F9FDB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84</w:t>
            </w:r>
          </w:p>
        </w:tc>
        <w:tc>
          <w:tcPr>
            <w:tcW w:w="0" w:type="auto"/>
            <w:vAlign w:val="center"/>
            <w:hideMark/>
          </w:tcPr>
          <w:p w14:paraId="758734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24.0%</w:t>
            </w:r>
          </w:p>
        </w:tc>
      </w:tr>
      <w:tr w:rsidR="00E16114" w:rsidRPr="007F6CB3" w14:paraId="5B8E52FE" w14:textId="77777777" w:rsidTr="0026594F">
        <w:trPr>
          <w:trHeight w:val="270"/>
          <w:tblCellSpacing w:w="15" w:type="dxa"/>
        </w:trPr>
        <w:tc>
          <w:tcPr>
            <w:tcW w:w="0" w:type="auto"/>
            <w:vAlign w:val="center"/>
            <w:hideMark/>
          </w:tcPr>
          <w:p w14:paraId="3370DA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Heap storage</w:t>
            </w:r>
          </w:p>
        </w:tc>
        <w:tc>
          <w:tcPr>
            <w:tcW w:w="0" w:type="auto"/>
            <w:vAlign w:val="center"/>
            <w:hideMark/>
          </w:tcPr>
          <w:p w14:paraId="0B6E673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w:t>
            </w:r>
          </w:p>
        </w:tc>
        <w:tc>
          <w:tcPr>
            <w:tcW w:w="0" w:type="auto"/>
            <w:vAlign w:val="center"/>
            <w:hideMark/>
          </w:tcPr>
          <w:p w14:paraId="257A2F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17.1%</w:t>
            </w:r>
          </w:p>
        </w:tc>
      </w:tr>
      <w:tr w:rsidR="00E16114" w:rsidRPr="007F6CB3" w14:paraId="7ACDFAA2" w14:textId="77777777" w:rsidTr="0026594F">
        <w:trPr>
          <w:trHeight w:val="270"/>
          <w:tblCellSpacing w:w="15" w:type="dxa"/>
        </w:trPr>
        <w:tc>
          <w:tcPr>
            <w:tcW w:w="0" w:type="auto"/>
            <w:vAlign w:val="center"/>
            <w:hideMark/>
          </w:tcPr>
          <w:p w14:paraId="7E12D2A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Underground pit</w:t>
            </w:r>
          </w:p>
        </w:tc>
        <w:tc>
          <w:tcPr>
            <w:tcW w:w="0" w:type="auto"/>
            <w:vAlign w:val="center"/>
            <w:hideMark/>
          </w:tcPr>
          <w:p w14:paraId="3329597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37</w:t>
            </w:r>
          </w:p>
        </w:tc>
        <w:tc>
          <w:tcPr>
            <w:tcW w:w="0" w:type="auto"/>
            <w:vAlign w:val="center"/>
            <w:hideMark/>
          </w:tcPr>
          <w:p w14:paraId="5459242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10.5%</w:t>
            </w:r>
          </w:p>
        </w:tc>
      </w:tr>
      <w:tr w:rsidR="00E16114" w:rsidRPr="007F6CB3" w14:paraId="4A9C6F1E" w14:textId="77777777" w:rsidTr="0026594F">
        <w:trPr>
          <w:trHeight w:val="284"/>
          <w:tblCellSpacing w:w="15" w:type="dxa"/>
        </w:trPr>
        <w:tc>
          <w:tcPr>
            <w:tcW w:w="0" w:type="auto"/>
            <w:vAlign w:val="center"/>
            <w:hideMark/>
          </w:tcPr>
          <w:p w14:paraId="4B1517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Open display</w:t>
            </w:r>
          </w:p>
        </w:tc>
        <w:tc>
          <w:tcPr>
            <w:tcW w:w="0" w:type="auto"/>
            <w:vAlign w:val="center"/>
            <w:hideMark/>
          </w:tcPr>
          <w:p w14:paraId="033B422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w:t>
            </w:r>
          </w:p>
        </w:tc>
        <w:tc>
          <w:tcPr>
            <w:tcW w:w="0" w:type="auto"/>
            <w:vAlign w:val="center"/>
            <w:hideMark/>
          </w:tcPr>
          <w:p w14:paraId="1365FCB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8.3%</w:t>
            </w:r>
          </w:p>
        </w:tc>
      </w:tr>
      <w:tr w:rsidR="00E16114" w:rsidRPr="007F6CB3" w14:paraId="72E55357" w14:textId="77777777" w:rsidTr="0026594F">
        <w:trPr>
          <w:trHeight w:val="270"/>
          <w:tblCellSpacing w:w="15" w:type="dxa"/>
        </w:trPr>
        <w:tc>
          <w:tcPr>
            <w:tcW w:w="0" w:type="auto"/>
            <w:vAlign w:val="center"/>
            <w:hideMark/>
          </w:tcPr>
          <w:p w14:paraId="6E5FA7B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66B10A50"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348</w:t>
            </w:r>
          </w:p>
        </w:tc>
        <w:tc>
          <w:tcPr>
            <w:tcW w:w="0" w:type="auto"/>
            <w:vAlign w:val="center"/>
            <w:hideMark/>
          </w:tcPr>
          <w:p w14:paraId="30E5972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100%</w:t>
            </w:r>
          </w:p>
        </w:tc>
      </w:tr>
    </w:tbl>
    <w:p w14:paraId="62BB2112" w14:textId="77777777" w:rsidR="00E16114" w:rsidRPr="007F6CB3" w:rsidRDefault="00E16114" w:rsidP="00E16114">
      <w:pPr>
        <w:jc w:val="both"/>
        <w:rPr>
          <w:rFonts w:ascii="Times New Roman" w:hAnsi="Times New Roman" w:cs="Times New Roman"/>
          <w:b/>
          <w:bCs/>
          <w:sz w:val="24"/>
          <w:szCs w:val="24"/>
          <w:lang w:val="en"/>
        </w:rPr>
      </w:pPr>
    </w:p>
    <w:p w14:paraId="3FF0A21B" w14:textId="133E912B"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Table </w:t>
      </w:r>
      <w:r w:rsidR="007C1DB2">
        <w:rPr>
          <w:rFonts w:ascii="Times New Roman" w:hAnsi="Times New Roman" w:cs="Times New Roman"/>
          <w:sz w:val="24"/>
          <w:szCs w:val="24"/>
          <w:lang w:val="en-GB"/>
        </w:rPr>
        <w:t>7</w:t>
      </w:r>
      <w:r w:rsidR="001D7503">
        <w:rPr>
          <w:rFonts w:ascii="Times New Roman" w:hAnsi="Times New Roman" w:cs="Times New Roman"/>
          <w:sz w:val="24"/>
          <w:szCs w:val="24"/>
          <w:lang w:val="en-GB"/>
        </w:rPr>
        <w:t>.3</w:t>
      </w:r>
      <w:r w:rsidRPr="007F6CB3">
        <w:rPr>
          <w:rFonts w:ascii="Times New Roman" w:hAnsi="Times New Roman" w:cs="Times New Roman"/>
          <w:sz w:val="24"/>
          <w:szCs w:val="24"/>
          <w:lang w:val="en-GB"/>
        </w:rPr>
        <w:t xml:space="preserve">. </w:t>
      </w:r>
      <w:r w:rsidR="00C77BA2" w:rsidRPr="00C77BA2">
        <w:rPr>
          <w:rFonts w:ascii="Times New Roman" w:hAnsi="Times New Roman" w:cs="Times New Roman"/>
          <w:b/>
          <w:bCs/>
          <w:sz w:val="24"/>
          <w:szCs w:val="24"/>
          <w:lang w:val="en-GB"/>
        </w:rPr>
        <w:t xml:space="preserve">Percentage according to </w:t>
      </w:r>
      <w:r w:rsidR="00C77BA2" w:rsidRPr="007F6CB3">
        <w:rPr>
          <w:rFonts w:ascii="Times New Roman" w:hAnsi="Times New Roman" w:cs="Times New Roman"/>
          <w:b/>
          <w:bCs/>
          <w:sz w:val="24"/>
          <w:szCs w:val="24"/>
        </w:rPr>
        <w:t>Rot stage</w:t>
      </w:r>
    </w:p>
    <w:tbl>
      <w:tblPr>
        <w:tblW w:w="8291" w:type="dxa"/>
        <w:tblCellSpacing w:w="15" w:type="dxa"/>
        <w:tblCellMar>
          <w:top w:w="15" w:type="dxa"/>
          <w:left w:w="15" w:type="dxa"/>
          <w:bottom w:w="15" w:type="dxa"/>
          <w:right w:w="15" w:type="dxa"/>
        </w:tblCellMar>
        <w:tblLook w:val="04A0" w:firstRow="1" w:lastRow="0" w:firstColumn="1" w:lastColumn="0" w:noHBand="0" w:noVBand="1"/>
      </w:tblPr>
      <w:tblGrid>
        <w:gridCol w:w="2570"/>
        <w:gridCol w:w="1511"/>
        <w:gridCol w:w="4210"/>
      </w:tblGrid>
      <w:tr w:rsidR="00E16114" w:rsidRPr="007F6CB3" w14:paraId="1AF01DA9" w14:textId="77777777" w:rsidTr="0026594F">
        <w:trPr>
          <w:trHeight w:val="316"/>
          <w:tblHeader/>
          <w:tblCellSpacing w:w="15" w:type="dxa"/>
        </w:trPr>
        <w:tc>
          <w:tcPr>
            <w:tcW w:w="0" w:type="auto"/>
            <w:vAlign w:val="center"/>
            <w:hideMark/>
          </w:tcPr>
          <w:p w14:paraId="0D87B53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Rot stage</w:t>
            </w:r>
          </w:p>
        </w:tc>
        <w:tc>
          <w:tcPr>
            <w:tcW w:w="0" w:type="auto"/>
            <w:vAlign w:val="center"/>
            <w:hideMark/>
          </w:tcPr>
          <w:p w14:paraId="2A4086F4"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w:t>
            </w:r>
          </w:p>
        </w:tc>
        <w:tc>
          <w:tcPr>
            <w:tcW w:w="0" w:type="auto"/>
            <w:vAlign w:val="center"/>
            <w:hideMark/>
          </w:tcPr>
          <w:p w14:paraId="08861569"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01B43BB7" w14:textId="77777777" w:rsidTr="0026594F">
        <w:trPr>
          <w:trHeight w:val="332"/>
          <w:tblCellSpacing w:w="15" w:type="dxa"/>
        </w:trPr>
        <w:tc>
          <w:tcPr>
            <w:tcW w:w="0" w:type="auto"/>
            <w:vAlign w:val="center"/>
            <w:hideMark/>
          </w:tcPr>
          <w:p w14:paraId="08AE9EE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Storage</w:t>
            </w:r>
          </w:p>
        </w:tc>
        <w:tc>
          <w:tcPr>
            <w:tcW w:w="0" w:type="auto"/>
            <w:vAlign w:val="center"/>
            <w:hideMark/>
          </w:tcPr>
          <w:p w14:paraId="2E13F5B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154</w:t>
            </w:r>
          </w:p>
        </w:tc>
        <w:tc>
          <w:tcPr>
            <w:tcW w:w="0" w:type="auto"/>
            <w:vAlign w:val="center"/>
            <w:hideMark/>
          </w:tcPr>
          <w:p w14:paraId="4EC549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44.3%</w:t>
            </w:r>
          </w:p>
        </w:tc>
      </w:tr>
      <w:tr w:rsidR="00E16114" w:rsidRPr="007F6CB3" w14:paraId="07E9098B" w14:textId="77777777" w:rsidTr="0026594F">
        <w:trPr>
          <w:trHeight w:val="316"/>
          <w:tblCellSpacing w:w="15" w:type="dxa"/>
        </w:trPr>
        <w:tc>
          <w:tcPr>
            <w:tcW w:w="0" w:type="auto"/>
            <w:vAlign w:val="center"/>
            <w:hideMark/>
          </w:tcPr>
          <w:p w14:paraId="7A6395E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Market</w:t>
            </w:r>
          </w:p>
        </w:tc>
        <w:tc>
          <w:tcPr>
            <w:tcW w:w="0" w:type="auto"/>
            <w:vAlign w:val="center"/>
            <w:hideMark/>
          </w:tcPr>
          <w:p w14:paraId="597B72A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87</w:t>
            </w:r>
          </w:p>
        </w:tc>
        <w:tc>
          <w:tcPr>
            <w:tcW w:w="0" w:type="auto"/>
            <w:vAlign w:val="center"/>
            <w:hideMark/>
          </w:tcPr>
          <w:p w14:paraId="6FEA3B1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25.0%</w:t>
            </w:r>
          </w:p>
        </w:tc>
      </w:tr>
      <w:tr w:rsidR="00E16114" w:rsidRPr="007F6CB3" w14:paraId="6C0C90A1" w14:textId="77777777" w:rsidTr="0026594F">
        <w:trPr>
          <w:trHeight w:val="316"/>
          <w:tblCellSpacing w:w="15" w:type="dxa"/>
        </w:trPr>
        <w:tc>
          <w:tcPr>
            <w:tcW w:w="0" w:type="auto"/>
            <w:vAlign w:val="center"/>
            <w:hideMark/>
          </w:tcPr>
          <w:p w14:paraId="121FD17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Transport</w:t>
            </w:r>
          </w:p>
        </w:tc>
        <w:tc>
          <w:tcPr>
            <w:tcW w:w="0" w:type="auto"/>
            <w:vAlign w:val="center"/>
            <w:hideMark/>
          </w:tcPr>
          <w:p w14:paraId="69B3B6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w:t>
            </w:r>
          </w:p>
        </w:tc>
        <w:tc>
          <w:tcPr>
            <w:tcW w:w="0" w:type="auto"/>
            <w:vAlign w:val="center"/>
            <w:hideMark/>
          </w:tcPr>
          <w:p w14:paraId="2E6822D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17.2%</w:t>
            </w:r>
          </w:p>
        </w:tc>
      </w:tr>
      <w:tr w:rsidR="00E16114" w:rsidRPr="007F6CB3" w14:paraId="0A3FC61D" w14:textId="77777777" w:rsidTr="0026594F">
        <w:trPr>
          <w:trHeight w:val="316"/>
          <w:tblCellSpacing w:w="15" w:type="dxa"/>
        </w:trPr>
        <w:tc>
          <w:tcPr>
            <w:tcW w:w="0" w:type="auto"/>
            <w:vAlign w:val="center"/>
            <w:hideMark/>
          </w:tcPr>
          <w:p w14:paraId="39154F2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Harvest</w:t>
            </w:r>
          </w:p>
        </w:tc>
        <w:tc>
          <w:tcPr>
            <w:tcW w:w="0" w:type="auto"/>
            <w:vAlign w:val="center"/>
            <w:hideMark/>
          </w:tcPr>
          <w:p w14:paraId="018941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47</w:t>
            </w:r>
          </w:p>
        </w:tc>
        <w:tc>
          <w:tcPr>
            <w:tcW w:w="0" w:type="auto"/>
            <w:vAlign w:val="center"/>
            <w:hideMark/>
          </w:tcPr>
          <w:p w14:paraId="09B545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13.5%</w:t>
            </w:r>
          </w:p>
        </w:tc>
      </w:tr>
      <w:tr w:rsidR="00E16114" w:rsidRPr="007F6CB3" w14:paraId="31E2B497" w14:textId="77777777" w:rsidTr="0026594F">
        <w:trPr>
          <w:trHeight w:val="332"/>
          <w:tblCellSpacing w:w="15" w:type="dxa"/>
        </w:trPr>
        <w:tc>
          <w:tcPr>
            <w:tcW w:w="0" w:type="auto"/>
            <w:vAlign w:val="center"/>
            <w:hideMark/>
          </w:tcPr>
          <w:p w14:paraId="4B9FFC9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Total</w:t>
            </w:r>
          </w:p>
        </w:tc>
        <w:tc>
          <w:tcPr>
            <w:tcW w:w="0" w:type="auto"/>
            <w:vAlign w:val="center"/>
            <w:hideMark/>
          </w:tcPr>
          <w:p w14:paraId="53AA424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348</w:t>
            </w:r>
          </w:p>
        </w:tc>
        <w:tc>
          <w:tcPr>
            <w:tcW w:w="0" w:type="auto"/>
            <w:vAlign w:val="center"/>
            <w:hideMark/>
          </w:tcPr>
          <w:p w14:paraId="45BE55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b/>
                <w:bCs/>
                <w:sz w:val="24"/>
                <w:szCs w:val="24"/>
              </w:rPr>
              <w:t>100%</w:t>
            </w:r>
          </w:p>
        </w:tc>
      </w:tr>
    </w:tbl>
    <w:p w14:paraId="6136DB52" w14:textId="77777777" w:rsidR="00E16114" w:rsidRPr="007F6CB3" w:rsidRDefault="00E16114" w:rsidP="00E16114">
      <w:pPr>
        <w:jc w:val="both"/>
        <w:rPr>
          <w:rFonts w:ascii="Times New Roman" w:hAnsi="Times New Roman" w:cs="Times New Roman"/>
          <w:sz w:val="24"/>
          <w:szCs w:val="24"/>
          <w:lang w:val="en-GB"/>
        </w:rPr>
      </w:pPr>
    </w:p>
    <w:p w14:paraId="1088CA29" w14:textId="1C70FAF2" w:rsidR="00E16114" w:rsidRPr="007F6CB3" w:rsidRDefault="00E16114" w:rsidP="00E16114">
      <w:pPr>
        <w:jc w:val="both"/>
        <w:rPr>
          <w:rFonts w:ascii="Times New Roman" w:hAnsi="Times New Roman" w:cs="Times New Roman"/>
          <w:b/>
          <w:bCs/>
          <w:sz w:val="24"/>
          <w:szCs w:val="24"/>
        </w:rPr>
      </w:pPr>
      <w:bookmarkStart w:id="20" w:name="_Hlk221326138"/>
      <w:r w:rsidRPr="007F6CB3">
        <w:rPr>
          <w:rFonts w:ascii="Times New Roman" w:hAnsi="Times New Roman" w:cs="Times New Roman"/>
          <w:b/>
          <w:bCs/>
          <w:sz w:val="24"/>
          <w:szCs w:val="24"/>
        </w:rPr>
        <w:t>Conservation of Sweet Potato</w:t>
      </w:r>
    </w:p>
    <w:p w14:paraId="6AC0338D" w14:textId="77777777" w:rsidR="00E16114" w:rsidRPr="007F6CB3" w:rsidRDefault="00E16114" w:rsidP="00E16114">
      <w:pPr>
        <w:jc w:val="both"/>
        <w:rPr>
          <w:rFonts w:ascii="Times New Roman" w:hAnsi="Times New Roman" w:cs="Times New Roman"/>
          <w:b/>
          <w:bCs/>
          <w:sz w:val="24"/>
          <w:szCs w:val="24"/>
        </w:rPr>
      </w:pPr>
    </w:p>
    <w:bookmarkEnd w:id="20"/>
    <w:p w14:paraId="6A868BF3"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Results on conservation practices showed that some respondents employed traditional methods to preserve sweet potato and planting materials, while others lacked effective preservation techniques. Factors affecting preservation included humidity, insect attack, poor storage facilities, and inadequate technical knowledge.</w:t>
      </w:r>
    </w:p>
    <w:p w14:paraId="46B3E06A"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Results from Table 8 indicate that over half of the respondents (56.3%) employed traditional preservation methods, while 65.0% retained planting materials (vines) for subsequent planting seasons.</w:t>
      </w:r>
    </w:p>
    <w:p w14:paraId="7DB51500" w14:textId="77777777" w:rsidR="00E16114" w:rsidRPr="007F6CB3" w:rsidRDefault="00E16114" w:rsidP="00E16114">
      <w:pPr>
        <w:jc w:val="both"/>
        <w:rPr>
          <w:rFonts w:ascii="Times New Roman" w:hAnsi="Times New Roman" w:cs="Times New Roman"/>
          <w:sz w:val="24"/>
          <w:szCs w:val="24"/>
          <w:lang w:val="en-GB"/>
        </w:rPr>
      </w:pPr>
      <w:r w:rsidRPr="007F6CB3">
        <w:rPr>
          <w:rFonts w:ascii="Times New Roman" w:hAnsi="Times New Roman" w:cs="Times New Roman"/>
          <w:sz w:val="24"/>
          <w:szCs w:val="24"/>
          <w:lang w:val="en-GB"/>
        </w:rPr>
        <w:t xml:space="preserve">The major factors affecting preservation were humidity (31.9%) and insect attack (28.4%), followed by poor storage facilities (24.1%). These factors create </w:t>
      </w:r>
      <w:proofErr w:type="spellStart"/>
      <w:r w:rsidRPr="007F6CB3">
        <w:rPr>
          <w:rFonts w:ascii="Times New Roman" w:hAnsi="Times New Roman" w:cs="Times New Roman"/>
          <w:sz w:val="24"/>
          <w:szCs w:val="24"/>
          <w:lang w:val="en-GB"/>
        </w:rPr>
        <w:t>favorable</w:t>
      </w:r>
      <w:proofErr w:type="spellEnd"/>
      <w:r w:rsidRPr="007F6CB3">
        <w:rPr>
          <w:rFonts w:ascii="Times New Roman" w:hAnsi="Times New Roman" w:cs="Times New Roman"/>
          <w:sz w:val="24"/>
          <w:szCs w:val="24"/>
          <w:lang w:val="en-GB"/>
        </w:rPr>
        <w:t xml:space="preserve"> conditions for fungal and bacterial spoilage, emphasizing the need for improved storage and preservation technologies.</w:t>
      </w:r>
    </w:p>
    <w:p w14:paraId="26F3A0AE" w14:textId="77777777" w:rsidR="00E16114" w:rsidRPr="007F6CB3" w:rsidRDefault="00E16114" w:rsidP="00E16114">
      <w:pPr>
        <w:jc w:val="both"/>
        <w:rPr>
          <w:rFonts w:ascii="Times New Roman" w:hAnsi="Times New Roman" w:cs="Times New Roman"/>
          <w:sz w:val="24"/>
          <w:szCs w:val="24"/>
        </w:rPr>
      </w:pPr>
    </w:p>
    <w:p w14:paraId="6B67FA77" w14:textId="77777777" w:rsidR="00E16114" w:rsidRPr="007F6CB3" w:rsidRDefault="00E16114" w:rsidP="00E16114">
      <w:pPr>
        <w:jc w:val="both"/>
        <w:rPr>
          <w:rFonts w:ascii="Times New Roman" w:hAnsi="Times New Roman" w:cs="Times New Roman"/>
          <w:sz w:val="24"/>
          <w:szCs w:val="24"/>
        </w:rPr>
      </w:pPr>
    </w:p>
    <w:p w14:paraId="0F009D78" w14:textId="77777777" w:rsidR="00E16114" w:rsidRPr="007F6CB3" w:rsidRDefault="00E16114" w:rsidP="00E16114">
      <w:pPr>
        <w:jc w:val="both"/>
        <w:rPr>
          <w:rFonts w:ascii="Times New Roman" w:hAnsi="Times New Roman" w:cs="Times New Roman"/>
          <w:sz w:val="24"/>
          <w:szCs w:val="24"/>
        </w:rPr>
      </w:pPr>
    </w:p>
    <w:p w14:paraId="25A5D059" w14:textId="226503B7" w:rsidR="00E16114" w:rsidRPr="007F6CB3" w:rsidRDefault="00E16114" w:rsidP="00E16114">
      <w:pPr>
        <w:jc w:val="both"/>
        <w:rPr>
          <w:rFonts w:ascii="Times New Roman" w:hAnsi="Times New Roman" w:cs="Times New Roman"/>
          <w:sz w:val="24"/>
          <w:szCs w:val="24"/>
        </w:rPr>
      </w:pPr>
      <w:bookmarkStart w:id="21" w:name="_Hlk221326199"/>
      <w:r w:rsidRPr="007F6CB3">
        <w:rPr>
          <w:rFonts w:ascii="Times New Roman" w:hAnsi="Times New Roman" w:cs="Times New Roman"/>
          <w:sz w:val="24"/>
          <w:szCs w:val="24"/>
        </w:rPr>
        <w:t xml:space="preserve">Table </w:t>
      </w:r>
      <w:r w:rsidR="007C1DB2">
        <w:rPr>
          <w:rFonts w:ascii="Times New Roman" w:hAnsi="Times New Roman" w:cs="Times New Roman"/>
          <w:sz w:val="24"/>
          <w:szCs w:val="24"/>
        </w:rPr>
        <w:t>8</w:t>
      </w:r>
      <w:r w:rsidRPr="007F6CB3">
        <w:rPr>
          <w:rFonts w:ascii="Times New Roman" w:hAnsi="Times New Roman" w:cs="Times New Roman"/>
          <w:sz w:val="24"/>
          <w:szCs w:val="24"/>
        </w:rPr>
        <w:t xml:space="preserve">: </w:t>
      </w:r>
      <w:r w:rsidRPr="007F6CB3">
        <w:rPr>
          <w:rFonts w:ascii="Times New Roman" w:hAnsi="Times New Roman" w:cs="Times New Roman"/>
          <w:b/>
          <w:bCs/>
          <w:sz w:val="24"/>
          <w:szCs w:val="24"/>
        </w:rPr>
        <w:t>Conservation of Sweet Potato</w:t>
      </w:r>
      <w:bookmarkEnd w:id="21"/>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1655"/>
        <w:gridCol w:w="1502"/>
        <w:gridCol w:w="1494"/>
        <w:gridCol w:w="1620"/>
        <w:gridCol w:w="1060"/>
      </w:tblGrid>
      <w:tr w:rsidR="00E16114" w:rsidRPr="007F6CB3" w14:paraId="7F2CAFF7" w14:textId="77777777" w:rsidTr="0026594F">
        <w:trPr>
          <w:tblHeader/>
          <w:tblCellSpacing w:w="15" w:type="dxa"/>
        </w:trPr>
        <w:tc>
          <w:tcPr>
            <w:tcW w:w="0" w:type="auto"/>
            <w:vAlign w:val="center"/>
            <w:hideMark/>
          </w:tcPr>
          <w:p w14:paraId="6536B24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Variable</w:t>
            </w:r>
          </w:p>
        </w:tc>
        <w:tc>
          <w:tcPr>
            <w:tcW w:w="0" w:type="auto"/>
            <w:vAlign w:val="center"/>
            <w:hideMark/>
          </w:tcPr>
          <w:p w14:paraId="7E636194"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Category</w:t>
            </w:r>
          </w:p>
        </w:tc>
        <w:tc>
          <w:tcPr>
            <w:tcW w:w="0" w:type="auto"/>
            <w:vAlign w:val="center"/>
            <w:hideMark/>
          </w:tcPr>
          <w:p w14:paraId="45A365A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North</w:t>
            </w:r>
          </w:p>
        </w:tc>
        <w:tc>
          <w:tcPr>
            <w:tcW w:w="0" w:type="auto"/>
            <w:vAlign w:val="center"/>
            <w:hideMark/>
          </w:tcPr>
          <w:p w14:paraId="287F66F3"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South</w:t>
            </w:r>
          </w:p>
        </w:tc>
        <w:tc>
          <w:tcPr>
            <w:tcW w:w="0" w:type="auto"/>
            <w:vAlign w:val="center"/>
            <w:hideMark/>
          </w:tcPr>
          <w:p w14:paraId="3A9D435B"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Anambra Central</w:t>
            </w:r>
          </w:p>
        </w:tc>
        <w:tc>
          <w:tcPr>
            <w:tcW w:w="0" w:type="auto"/>
            <w:vAlign w:val="center"/>
            <w:hideMark/>
          </w:tcPr>
          <w:p w14:paraId="3E2DD40C"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Total (%)</w:t>
            </w:r>
          </w:p>
        </w:tc>
      </w:tr>
      <w:tr w:rsidR="00E16114" w:rsidRPr="007F6CB3" w14:paraId="385E0969" w14:textId="77777777" w:rsidTr="0026594F">
        <w:trPr>
          <w:tblCellSpacing w:w="15" w:type="dxa"/>
        </w:trPr>
        <w:tc>
          <w:tcPr>
            <w:tcW w:w="0" w:type="auto"/>
            <w:vAlign w:val="center"/>
            <w:hideMark/>
          </w:tcPr>
          <w:p w14:paraId="70678E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Traditional preservation</w:t>
            </w:r>
          </w:p>
        </w:tc>
        <w:tc>
          <w:tcPr>
            <w:tcW w:w="0" w:type="auto"/>
            <w:vAlign w:val="center"/>
            <w:hideMark/>
          </w:tcPr>
          <w:p w14:paraId="4FC8AF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vAlign w:val="center"/>
            <w:hideMark/>
          </w:tcPr>
          <w:p w14:paraId="610466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67</w:t>
            </w:r>
          </w:p>
        </w:tc>
        <w:tc>
          <w:tcPr>
            <w:tcW w:w="0" w:type="auto"/>
            <w:vAlign w:val="center"/>
            <w:hideMark/>
          </w:tcPr>
          <w:p w14:paraId="00CFD88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65</w:t>
            </w:r>
          </w:p>
        </w:tc>
        <w:tc>
          <w:tcPr>
            <w:tcW w:w="0" w:type="auto"/>
            <w:vAlign w:val="center"/>
            <w:hideMark/>
          </w:tcPr>
          <w:p w14:paraId="40B1D41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64</w:t>
            </w:r>
          </w:p>
        </w:tc>
        <w:tc>
          <w:tcPr>
            <w:tcW w:w="0" w:type="auto"/>
            <w:vAlign w:val="center"/>
            <w:hideMark/>
          </w:tcPr>
          <w:p w14:paraId="01230A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196(56.3)</w:t>
            </w:r>
          </w:p>
        </w:tc>
      </w:tr>
      <w:tr w:rsidR="00E16114" w:rsidRPr="007F6CB3" w14:paraId="085DF897" w14:textId="77777777" w:rsidTr="0026594F">
        <w:trPr>
          <w:tblCellSpacing w:w="15" w:type="dxa"/>
        </w:trPr>
        <w:tc>
          <w:tcPr>
            <w:tcW w:w="0" w:type="auto"/>
            <w:vAlign w:val="center"/>
            <w:hideMark/>
          </w:tcPr>
          <w:p w14:paraId="0A9BC436"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14C2FA0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vAlign w:val="center"/>
            <w:hideMark/>
          </w:tcPr>
          <w:p w14:paraId="16FD96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w:t>
            </w:r>
          </w:p>
        </w:tc>
        <w:tc>
          <w:tcPr>
            <w:tcW w:w="0" w:type="auto"/>
            <w:vAlign w:val="center"/>
            <w:hideMark/>
          </w:tcPr>
          <w:p w14:paraId="19776E2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w:t>
            </w:r>
          </w:p>
        </w:tc>
        <w:tc>
          <w:tcPr>
            <w:tcW w:w="0" w:type="auto"/>
            <w:vAlign w:val="center"/>
            <w:hideMark/>
          </w:tcPr>
          <w:p w14:paraId="15C9A94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w:t>
            </w:r>
          </w:p>
        </w:tc>
        <w:tc>
          <w:tcPr>
            <w:tcW w:w="0" w:type="auto"/>
            <w:vAlign w:val="center"/>
            <w:hideMark/>
          </w:tcPr>
          <w:p w14:paraId="7470043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152(43.7)</w:t>
            </w:r>
          </w:p>
        </w:tc>
      </w:tr>
      <w:tr w:rsidR="00E16114" w:rsidRPr="007F6CB3" w14:paraId="10AEA20C" w14:textId="77777777" w:rsidTr="0026594F">
        <w:trPr>
          <w:tblCellSpacing w:w="15" w:type="dxa"/>
        </w:trPr>
        <w:tc>
          <w:tcPr>
            <w:tcW w:w="0" w:type="auto"/>
            <w:vAlign w:val="center"/>
            <w:hideMark/>
          </w:tcPr>
          <w:p w14:paraId="1816673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Vine retention</w:t>
            </w:r>
          </w:p>
        </w:tc>
        <w:tc>
          <w:tcPr>
            <w:tcW w:w="0" w:type="auto"/>
            <w:vAlign w:val="center"/>
            <w:hideMark/>
          </w:tcPr>
          <w:p w14:paraId="2E83535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vAlign w:val="center"/>
            <w:hideMark/>
          </w:tcPr>
          <w:p w14:paraId="7F213C0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78</w:t>
            </w:r>
          </w:p>
        </w:tc>
        <w:tc>
          <w:tcPr>
            <w:tcW w:w="0" w:type="auto"/>
            <w:vAlign w:val="center"/>
            <w:hideMark/>
          </w:tcPr>
          <w:p w14:paraId="3909737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75</w:t>
            </w:r>
          </w:p>
        </w:tc>
        <w:tc>
          <w:tcPr>
            <w:tcW w:w="0" w:type="auto"/>
            <w:vAlign w:val="center"/>
            <w:hideMark/>
          </w:tcPr>
          <w:p w14:paraId="3A9FBE0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73</w:t>
            </w:r>
          </w:p>
        </w:tc>
        <w:tc>
          <w:tcPr>
            <w:tcW w:w="0" w:type="auto"/>
            <w:vAlign w:val="center"/>
            <w:hideMark/>
          </w:tcPr>
          <w:p w14:paraId="1D48E6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226(65.0)</w:t>
            </w:r>
          </w:p>
        </w:tc>
      </w:tr>
      <w:tr w:rsidR="00E16114" w:rsidRPr="007F6CB3" w14:paraId="1D331444" w14:textId="77777777" w:rsidTr="0026594F">
        <w:trPr>
          <w:tblCellSpacing w:w="15" w:type="dxa"/>
        </w:trPr>
        <w:tc>
          <w:tcPr>
            <w:tcW w:w="0" w:type="auto"/>
            <w:vAlign w:val="center"/>
            <w:hideMark/>
          </w:tcPr>
          <w:p w14:paraId="168B5C9C"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7B6C93A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vAlign w:val="center"/>
            <w:hideMark/>
          </w:tcPr>
          <w:p w14:paraId="0F6861D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41</w:t>
            </w:r>
          </w:p>
        </w:tc>
        <w:tc>
          <w:tcPr>
            <w:tcW w:w="0" w:type="auto"/>
            <w:vAlign w:val="center"/>
            <w:hideMark/>
          </w:tcPr>
          <w:p w14:paraId="327EC46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40</w:t>
            </w:r>
          </w:p>
        </w:tc>
        <w:tc>
          <w:tcPr>
            <w:tcW w:w="0" w:type="auto"/>
            <w:vAlign w:val="center"/>
            <w:hideMark/>
          </w:tcPr>
          <w:p w14:paraId="4442A0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41</w:t>
            </w:r>
          </w:p>
        </w:tc>
        <w:tc>
          <w:tcPr>
            <w:tcW w:w="0" w:type="auto"/>
            <w:vAlign w:val="center"/>
            <w:hideMark/>
          </w:tcPr>
          <w:p w14:paraId="4B1FC77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122(35.0)</w:t>
            </w:r>
          </w:p>
        </w:tc>
      </w:tr>
      <w:tr w:rsidR="00E16114" w:rsidRPr="007F6CB3" w14:paraId="612825B0" w14:textId="77777777" w:rsidTr="0026594F">
        <w:trPr>
          <w:tblCellSpacing w:w="15" w:type="dxa"/>
        </w:trPr>
        <w:tc>
          <w:tcPr>
            <w:tcW w:w="0" w:type="auto"/>
            <w:vAlign w:val="center"/>
            <w:hideMark/>
          </w:tcPr>
          <w:p w14:paraId="4B9D42D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Preservation factors</w:t>
            </w:r>
          </w:p>
        </w:tc>
        <w:tc>
          <w:tcPr>
            <w:tcW w:w="0" w:type="auto"/>
            <w:vAlign w:val="center"/>
            <w:hideMark/>
          </w:tcPr>
          <w:p w14:paraId="6B1A905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Humidity</w:t>
            </w:r>
          </w:p>
        </w:tc>
        <w:tc>
          <w:tcPr>
            <w:tcW w:w="0" w:type="auto"/>
            <w:vAlign w:val="center"/>
            <w:hideMark/>
          </w:tcPr>
          <w:p w14:paraId="752050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38</w:t>
            </w:r>
          </w:p>
        </w:tc>
        <w:tc>
          <w:tcPr>
            <w:tcW w:w="0" w:type="auto"/>
            <w:vAlign w:val="center"/>
            <w:hideMark/>
          </w:tcPr>
          <w:p w14:paraId="73AC7CC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36</w:t>
            </w:r>
          </w:p>
        </w:tc>
        <w:tc>
          <w:tcPr>
            <w:tcW w:w="0" w:type="auto"/>
            <w:vAlign w:val="center"/>
            <w:hideMark/>
          </w:tcPr>
          <w:p w14:paraId="3B3AFD9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37</w:t>
            </w:r>
          </w:p>
        </w:tc>
        <w:tc>
          <w:tcPr>
            <w:tcW w:w="0" w:type="auto"/>
            <w:vAlign w:val="center"/>
            <w:hideMark/>
          </w:tcPr>
          <w:p w14:paraId="611E441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111(31.9)</w:t>
            </w:r>
          </w:p>
        </w:tc>
      </w:tr>
      <w:tr w:rsidR="00E16114" w:rsidRPr="007F6CB3" w14:paraId="750B7B4D" w14:textId="77777777" w:rsidTr="0026594F">
        <w:trPr>
          <w:tblCellSpacing w:w="15" w:type="dxa"/>
        </w:trPr>
        <w:tc>
          <w:tcPr>
            <w:tcW w:w="0" w:type="auto"/>
            <w:vAlign w:val="center"/>
            <w:hideMark/>
          </w:tcPr>
          <w:p w14:paraId="5C3AB544"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5348D3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Insect attack</w:t>
            </w:r>
          </w:p>
        </w:tc>
        <w:tc>
          <w:tcPr>
            <w:tcW w:w="0" w:type="auto"/>
            <w:vAlign w:val="center"/>
            <w:hideMark/>
          </w:tcPr>
          <w:p w14:paraId="2BF476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w:t>
            </w:r>
          </w:p>
        </w:tc>
        <w:tc>
          <w:tcPr>
            <w:tcW w:w="0" w:type="auto"/>
            <w:vAlign w:val="center"/>
            <w:hideMark/>
          </w:tcPr>
          <w:p w14:paraId="5C7EE5D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w:t>
            </w:r>
          </w:p>
        </w:tc>
        <w:tc>
          <w:tcPr>
            <w:tcW w:w="0" w:type="auto"/>
            <w:vAlign w:val="center"/>
            <w:hideMark/>
          </w:tcPr>
          <w:p w14:paraId="0B4593D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32</w:t>
            </w:r>
          </w:p>
        </w:tc>
        <w:tc>
          <w:tcPr>
            <w:tcW w:w="0" w:type="auto"/>
            <w:vAlign w:val="center"/>
            <w:hideMark/>
          </w:tcPr>
          <w:p w14:paraId="0744CA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99 (28.4)</w:t>
            </w:r>
          </w:p>
        </w:tc>
      </w:tr>
      <w:tr w:rsidR="00E16114" w:rsidRPr="007F6CB3" w14:paraId="724FCE48" w14:textId="77777777" w:rsidTr="0026594F">
        <w:trPr>
          <w:tblCellSpacing w:w="15" w:type="dxa"/>
        </w:trPr>
        <w:tc>
          <w:tcPr>
            <w:tcW w:w="0" w:type="auto"/>
            <w:vAlign w:val="center"/>
            <w:hideMark/>
          </w:tcPr>
          <w:p w14:paraId="548629F7"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3A04BF4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Poor storage</w:t>
            </w:r>
          </w:p>
        </w:tc>
        <w:tc>
          <w:tcPr>
            <w:tcW w:w="0" w:type="auto"/>
            <w:vAlign w:val="center"/>
            <w:hideMark/>
          </w:tcPr>
          <w:p w14:paraId="632AB26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w:t>
            </w:r>
          </w:p>
        </w:tc>
        <w:tc>
          <w:tcPr>
            <w:tcW w:w="0" w:type="auto"/>
            <w:vAlign w:val="center"/>
            <w:hideMark/>
          </w:tcPr>
          <w:p w14:paraId="780AE85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28</w:t>
            </w:r>
          </w:p>
        </w:tc>
        <w:tc>
          <w:tcPr>
            <w:tcW w:w="0" w:type="auto"/>
            <w:vAlign w:val="center"/>
            <w:hideMark/>
          </w:tcPr>
          <w:p w14:paraId="557F4F8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w:t>
            </w:r>
          </w:p>
        </w:tc>
        <w:tc>
          <w:tcPr>
            <w:tcW w:w="0" w:type="auto"/>
            <w:vAlign w:val="center"/>
            <w:hideMark/>
          </w:tcPr>
          <w:p w14:paraId="101AE1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84 (24.1)</w:t>
            </w:r>
          </w:p>
        </w:tc>
      </w:tr>
      <w:tr w:rsidR="00E16114" w:rsidRPr="007F6CB3" w14:paraId="0EF70E4A" w14:textId="77777777" w:rsidTr="0026594F">
        <w:trPr>
          <w:tblCellSpacing w:w="15" w:type="dxa"/>
        </w:trPr>
        <w:tc>
          <w:tcPr>
            <w:tcW w:w="0" w:type="auto"/>
            <w:vAlign w:val="center"/>
            <w:hideMark/>
          </w:tcPr>
          <w:p w14:paraId="7AA9A1B4" w14:textId="77777777" w:rsidR="00E16114" w:rsidRPr="007F6CB3" w:rsidRDefault="00E16114" w:rsidP="0026594F">
            <w:pPr>
              <w:jc w:val="both"/>
              <w:rPr>
                <w:rFonts w:ascii="Times New Roman" w:hAnsi="Times New Roman" w:cs="Times New Roman"/>
                <w:sz w:val="24"/>
                <w:szCs w:val="24"/>
              </w:rPr>
            </w:pPr>
          </w:p>
        </w:tc>
        <w:tc>
          <w:tcPr>
            <w:tcW w:w="0" w:type="auto"/>
            <w:vAlign w:val="center"/>
            <w:hideMark/>
          </w:tcPr>
          <w:p w14:paraId="58AD78D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Lack of knowledge</w:t>
            </w:r>
          </w:p>
        </w:tc>
        <w:tc>
          <w:tcPr>
            <w:tcW w:w="0" w:type="auto"/>
            <w:vAlign w:val="center"/>
            <w:hideMark/>
          </w:tcPr>
          <w:p w14:paraId="1201B31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66402A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46B71C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vAlign w:val="center"/>
            <w:hideMark/>
          </w:tcPr>
          <w:p w14:paraId="79CED61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54 (15.5)</w:t>
            </w:r>
          </w:p>
        </w:tc>
      </w:tr>
    </w:tbl>
    <w:p w14:paraId="36EBE4B5" w14:textId="77777777" w:rsidR="00E16114" w:rsidRPr="007F6CB3" w:rsidRDefault="00E16114" w:rsidP="00E16114">
      <w:pPr>
        <w:jc w:val="both"/>
        <w:rPr>
          <w:rFonts w:ascii="Times New Roman" w:hAnsi="Times New Roman" w:cs="Times New Roman"/>
          <w:sz w:val="24"/>
          <w:szCs w:val="24"/>
        </w:rPr>
      </w:pPr>
    </w:p>
    <w:p w14:paraId="12B1B399" w14:textId="77777777" w:rsidR="00E16114" w:rsidRPr="007F6CB3" w:rsidRDefault="00E16114" w:rsidP="00E16114">
      <w:pPr>
        <w:jc w:val="both"/>
        <w:rPr>
          <w:rFonts w:ascii="Times New Roman" w:hAnsi="Times New Roman" w:cs="Times New Roman"/>
          <w:sz w:val="24"/>
          <w:szCs w:val="24"/>
        </w:rPr>
      </w:pPr>
    </w:p>
    <w:p w14:paraId="46439EC4" w14:textId="77777777" w:rsidR="00E16114" w:rsidRPr="007F6CB3" w:rsidRDefault="00E16114" w:rsidP="00E16114">
      <w:pPr>
        <w:jc w:val="both"/>
        <w:rPr>
          <w:rFonts w:ascii="Times New Roman" w:hAnsi="Times New Roman" w:cs="Times New Roman"/>
          <w:sz w:val="24"/>
          <w:szCs w:val="24"/>
        </w:rPr>
      </w:pPr>
    </w:p>
    <w:p w14:paraId="2B2EA929" w14:textId="77777777" w:rsidR="00E16114" w:rsidRPr="007F6CB3" w:rsidRDefault="00E16114" w:rsidP="00E16114">
      <w:pPr>
        <w:jc w:val="both"/>
        <w:rPr>
          <w:rFonts w:ascii="Times New Roman" w:hAnsi="Times New Roman" w:cs="Times New Roman"/>
          <w:sz w:val="24"/>
          <w:szCs w:val="24"/>
        </w:rPr>
      </w:pPr>
    </w:p>
    <w:p w14:paraId="381C4936" w14:textId="77777777" w:rsidR="00E16114" w:rsidRPr="007F6CB3" w:rsidRDefault="00E16114" w:rsidP="00E16114">
      <w:pPr>
        <w:jc w:val="both"/>
        <w:rPr>
          <w:rFonts w:ascii="Times New Roman" w:hAnsi="Times New Roman" w:cs="Times New Roman"/>
          <w:b/>
          <w:bCs/>
          <w:sz w:val="24"/>
          <w:szCs w:val="24"/>
        </w:rPr>
      </w:pPr>
      <w:bookmarkStart w:id="22" w:name="_Hlk221326293"/>
      <w:r w:rsidRPr="007F6CB3">
        <w:rPr>
          <w:rFonts w:ascii="Times New Roman" w:hAnsi="Times New Roman" w:cs="Times New Roman"/>
          <w:sz w:val="24"/>
          <w:szCs w:val="24"/>
        </w:rPr>
        <w:t xml:space="preserve">4.1.10. </w:t>
      </w:r>
      <w:r w:rsidRPr="007F6CB3">
        <w:rPr>
          <w:rFonts w:ascii="Times New Roman" w:hAnsi="Times New Roman" w:cs="Times New Roman"/>
          <w:b/>
          <w:bCs/>
          <w:sz w:val="24"/>
          <w:szCs w:val="24"/>
        </w:rPr>
        <w:t>Ethno-Botanical and Socio-Cultural Importance</w:t>
      </w:r>
    </w:p>
    <w:p w14:paraId="303162C0" w14:textId="77777777" w:rsidR="00E16114" w:rsidRPr="007F6CB3" w:rsidRDefault="00E16114" w:rsidP="00E16114">
      <w:pPr>
        <w:jc w:val="both"/>
        <w:rPr>
          <w:rFonts w:ascii="Times New Roman" w:hAnsi="Times New Roman" w:cs="Times New Roman"/>
          <w:b/>
          <w:bCs/>
          <w:sz w:val="24"/>
          <w:szCs w:val="24"/>
        </w:rPr>
      </w:pPr>
    </w:p>
    <w:p w14:paraId="71A63A30" w14:textId="7FF6B336" w:rsidR="00E16114" w:rsidRPr="007F6CB3" w:rsidRDefault="00E16114" w:rsidP="00E16114">
      <w:pPr>
        <w:jc w:val="both"/>
        <w:rPr>
          <w:rFonts w:ascii="Times New Roman" w:hAnsi="Times New Roman" w:cs="Times New Roman"/>
          <w:b/>
          <w:bCs/>
          <w:sz w:val="24"/>
          <w:szCs w:val="24"/>
        </w:rPr>
      </w:pPr>
      <w:bookmarkStart w:id="23" w:name="_Hlk221326349"/>
      <w:bookmarkEnd w:id="22"/>
      <w:r w:rsidRPr="007F6CB3">
        <w:rPr>
          <w:rFonts w:ascii="Times New Roman" w:hAnsi="Times New Roman" w:cs="Times New Roman"/>
          <w:b/>
          <w:bCs/>
          <w:sz w:val="24"/>
          <w:szCs w:val="24"/>
        </w:rPr>
        <w:t xml:space="preserve">Table </w:t>
      </w:r>
      <w:r w:rsidR="007C1DB2">
        <w:rPr>
          <w:rFonts w:ascii="Times New Roman" w:hAnsi="Times New Roman" w:cs="Times New Roman"/>
          <w:b/>
          <w:bCs/>
          <w:sz w:val="24"/>
          <w:szCs w:val="24"/>
        </w:rPr>
        <w:t>9</w:t>
      </w:r>
      <w:r w:rsidRPr="007F6CB3">
        <w:rPr>
          <w:rFonts w:ascii="Times New Roman" w:hAnsi="Times New Roman" w:cs="Times New Roman"/>
          <w:b/>
          <w:bCs/>
          <w:sz w:val="24"/>
          <w:szCs w:val="24"/>
        </w:rPr>
        <w:t>: Cultural uses of sweet potato in the community (multiple responses)</w:t>
      </w:r>
    </w:p>
    <w:tbl>
      <w:tblPr>
        <w:tblW w:w="9378" w:type="dxa"/>
        <w:tblCellSpacing w:w="15" w:type="dxa"/>
        <w:tblLook w:val="04A0" w:firstRow="1" w:lastRow="0" w:firstColumn="1" w:lastColumn="0" w:noHBand="0" w:noVBand="1"/>
      </w:tblPr>
      <w:tblGrid>
        <w:gridCol w:w="3731"/>
        <w:gridCol w:w="2310"/>
        <w:gridCol w:w="3337"/>
      </w:tblGrid>
      <w:tr w:rsidR="00E16114" w:rsidRPr="007F6CB3" w14:paraId="0228A2B6" w14:textId="77777777" w:rsidTr="0026594F">
        <w:trPr>
          <w:trHeight w:val="337"/>
          <w:tblHeader/>
          <w:tblCellSpacing w:w="15" w:type="dxa"/>
        </w:trPr>
        <w:tc>
          <w:tcPr>
            <w:tcW w:w="0" w:type="auto"/>
            <w:tcMar>
              <w:top w:w="15" w:type="dxa"/>
              <w:left w:w="15" w:type="dxa"/>
              <w:bottom w:w="15" w:type="dxa"/>
              <w:right w:w="15" w:type="dxa"/>
            </w:tcMar>
            <w:vAlign w:val="center"/>
            <w:hideMark/>
          </w:tcPr>
          <w:bookmarkEnd w:id="23"/>
          <w:p w14:paraId="1113267F"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Cultural use</w:t>
            </w:r>
          </w:p>
        </w:tc>
        <w:tc>
          <w:tcPr>
            <w:tcW w:w="0" w:type="auto"/>
            <w:tcMar>
              <w:top w:w="15" w:type="dxa"/>
              <w:left w:w="15" w:type="dxa"/>
              <w:bottom w:w="15" w:type="dxa"/>
              <w:right w:w="15" w:type="dxa"/>
            </w:tcMar>
            <w:vAlign w:val="center"/>
            <w:hideMark/>
          </w:tcPr>
          <w:p w14:paraId="26B88EB6"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Frequency</w:t>
            </w:r>
          </w:p>
        </w:tc>
        <w:tc>
          <w:tcPr>
            <w:tcW w:w="0" w:type="auto"/>
            <w:tcMar>
              <w:top w:w="15" w:type="dxa"/>
              <w:left w:w="15" w:type="dxa"/>
              <w:bottom w:w="15" w:type="dxa"/>
              <w:right w:w="15" w:type="dxa"/>
            </w:tcMar>
            <w:vAlign w:val="center"/>
            <w:hideMark/>
          </w:tcPr>
          <w:p w14:paraId="114794EA" w14:textId="77777777" w:rsidR="00E16114" w:rsidRPr="007F6CB3" w:rsidRDefault="00E16114" w:rsidP="0026594F">
            <w:pPr>
              <w:jc w:val="both"/>
              <w:rPr>
                <w:rFonts w:ascii="Times New Roman" w:hAnsi="Times New Roman" w:cs="Times New Roman"/>
                <w:b/>
                <w:bCs/>
                <w:sz w:val="24"/>
                <w:szCs w:val="24"/>
              </w:rPr>
            </w:pPr>
            <w:r w:rsidRPr="007F6CB3">
              <w:rPr>
                <w:rFonts w:ascii="Times New Roman" w:hAnsi="Times New Roman" w:cs="Times New Roman"/>
                <w:b/>
                <w:bCs/>
                <w:sz w:val="24"/>
                <w:szCs w:val="24"/>
              </w:rPr>
              <w:t>Percentage (%)</w:t>
            </w:r>
          </w:p>
        </w:tc>
      </w:tr>
      <w:tr w:rsidR="00E16114" w:rsidRPr="007F6CB3" w14:paraId="332E8B74" w14:textId="77777777" w:rsidTr="0026594F">
        <w:trPr>
          <w:trHeight w:val="354"/>
          <w:tblCellSpacing w:w="15" w:type="dxa"/>
        </w:trPr>
        <w:tc>
          <w:tcPr>
            <w:tcW w:w="0" w:type="auto"/>
            <w:tcMar>
              <w:top w:w="15" w:type="dxa"/>
              <w:left w:w="15" w:type="dxa"/>
              <w:bottom w:w="15" w:type="dxa"/>
              <w:right w:w="15" w:type="dxa"/>
            </w:tcMar>
            <w:vAlign w:val="center"/>
            <w:hideMark/>
          </w:tcPr>
          <w:p w14:paraId="6BF6E1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Food</w:t>
            </w:r>
          </w:p>
        </w:tc>
        <w:tc>
          <w:tcPr>
            <w:tcW w:w="0" w:type="auto"/>
            <w:tcMar>
              <w:top w:w="15" w:type="dxa"/>
              <w:left w:w="15" w:type="dxa"/>
              <w:bottom w:w="15" w:type="dxa"/>
              <w:right w:w="15" w:type="dxa"/>
            </w:tcMar>
            <w:vAlign w:val="center"/>
            <w:hideMark/>
          </w:tcPr>
          <w:p w14:paraId="793407F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312</w:t>
            </w:r>
          </w:p>
        </w:tc>
        <w:tc>
          <w:tcPr>
            <w:tcW w:w="0" w:type="auto"/>
            <w:tcMar>
              <w:top w:w="15" w:type="dxa"/>
              <w:left w:w="15" w:type="dxa"/>
              <w:bottom w:w="15" w:type="dxa"/>
              <w:right w:w="15" w:type="dxa"/>
            </w:tcMar>
            <w:vAlign w:val="center"/>
            <w:hideMark/>
          </w:tcPr>
          <w:p w14:paraId="5C2283F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89.7</w:t>
            </w:r>
          </w:p>
        </w:tc>
      </w:tr>
      <w:tr w:rsidR="00E16114" w:rsidRPr="007F6CB3" w14:paraId="1C127B4C" w14:textId="77777777" w:rsidTr="0026594F">
        <w:trPr>
          <w:trHeight w:val="337"/>
          <w:tblCellSpacing w:w="15" w:type="dxa"/>
        </w:trPr>
        <w:tc>
          <w:tcPr>
            <w:tcW w:w="0" w:type="auto"/>
            <w:tcMar>
              <w:top w:w="15" w:type="dxa"/>
              <w:left w:w="15" w:type="dxa"/>
              <w:bottom w:w="15" w:type="dxa"/>
              <w:right w:w="15" w:type="dxa"/>
            </w:tcMar>
            <w:vAlign w:val="center"/>
            <w:hideMark/>
          </w:tcPr>
          <w:p w14:paraId="1BA8B55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Ceremony / rituals</w:t>
            </w:r>
          </w:p>
        </w:tc>
        <w:tc>
          <w:tcPr>
            <w:tcW w:w="0" w:type="auto"/>
            <w:tcMar>
              <w:top w:w="15" w:type="dxa"/>
              <w:left w:w="15" w:type="dxa"/>
              <w:bottom w:w="15" w:type="dxa"/>
              <w:right w:w="15" w:type="dxa"/>
            </w:tcMar>
            <w:vAlign w:val="center"/>
            <w:hideMark/>
          </w:tcPr>
          <w:p w14:paraId="32426A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96</w:t>
            </w:r>
          </w:p>
        </w:tc>
        <w:tc>
          <w:tcPr>
            <w:tcW w:w="0" w:type="auto"/>
            <w:tcMar>
              <w:top w:w="15" w:type="dxa"/>
              <w:left w:w="15" w:type="dxa"/>
              <w:bottom w:w="15" w:type="dxa"/>
              <w:right w:w="15" w:type="dxa"/>
            </w:tcMar>
            <w:vAlign w:val="center"/>
            <w:hideMark/>
          </w:tcPr>
          <w:p w14:paraId="38FEA52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27.6</w:t>
            </w:r>
          </w:p>
        </w:tc>
      </w:tr>
      <w:tr w:rsidR="00E16114" w:rsidRPr="007F6CB3" w14:paraId="63634FE9" w14:textId="77777777" w:rsidTr="0026594F">
        <w:trPr>
          <w:trHeight w:val="337"/>
          <w:tblCellSpacing w:w="15" w:type="dxa"/>
        </w:trPr>
        <w:tc>
          <w:tcPr>
            <w:tcW w:w="0" w:type="auto"/>
            <w:tcMar>
              <w:top w:w="15" w:type="dxa"/>
              <w:left w:w="15" w:type="dxa"/>
              <w:bottom w:w="15" w:type="dxa"/>
              <w:right w:w="15" w:type="dxa"/>
            </w:tcMar>
            <w:vAlign w:val="center"/>
            <w:hideMark/>
          </w:tcPr>
          <w:p w14:paraId="0C10D9F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Medicine</w:t>
            </w:r>
          </w:p>
        </w:tc>
        <w:tc>
          <w:tcPr>
            <w:tcW w:w="0" w:type="auto"/>
            <w:tcMar>
              <w:top w:w="15" w:type="dxa"/>
              <w:left w:w="15" w:type="dxa"/>
              <w:bottom w:w="15" w:type="dxa"/>
              <w:right w:w="15" w:type="dxa"/>
            </w:tcMar>
            <w:vAlign w:val="center"/>
            <w:hideMark/>
          </w:tcPr>
          <w:p w14:paraId="7D85C96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74</w:t>
            </w:r>
          </w:p>
        </w:tc>
        <w:tc>
          <w:tcPr>
            <w:tcW w:w="0" w:type="auto"/>
            <w:tcMar>
              <w:top w:w="15" w:type="dxa"/>
              <w:left w:w="15" w:type="dxa"/>
              <w:bottom w:w="15" w:type="dxa"/>
              <w:right w:w="15" w:type="dxa"/>
            </w:tcMar>
            <w:vAlign w:val="center"/>
            <w:hideMark/>
          </w:tcPr>
          <w:p w14:paraId="108BEF2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21.3</w:t>
            </w:r>
          </w:p>
        </w:tc>
      </w:tr>
      <w:tr w:rsidR="00E16114" w:rsidRPr="007F6CB3" w14:paraId="55EFC671" w14:textId="77777777" w:rsidTr="0026594F">
        <w:trPr>
          <w:trHeight w:val="337"/>
          <w:tblCellSpacing w:w="15" w:type="dxa"/>
        </w:trPr>
        <w:tc>
          <w:tcPr>
            <w:tcW w:w="0" w:type="auto"/>
            <w:tcMar>
              <w:top w:w="15" w:type="dxa"/>
              <w:left w:w="15" w:type="dxa"/>
              <w:bottom w:w="15" w:type="dxa"/>
              <w:right w:w="15" w:type="dxa"/>
            </w:tcMar>
            <w:vAlign w:val="center"/>
            <w:hideMark/>
          </w:tcPr>
          <w:p w14:paraId="73FD912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Festival / offering</w:t>
            </w:r>
          </w:p>
        </w:tc>
        <w:tc>
          <w:tcPr>
            <w:tcW w:w="0" w:type="auto"/>
            <w:tcMar>
              <w:top w:w="15" w:type="dxa"/>
              <w:left w:w="15" w:type="dxa"/>
              <w:bottom w:w="15" w:type="dxa"/>
              <w:right w:w="15" w:type="dxa"/>
            </w:tcMar>
            <w:vAlign w:val="center"/>
            <w:hideMark/>
          </w:tcPr>
          <w:p w14:paraId="61B7955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88</w:t>
            </w:r>
          </w:p>
        </w:tc>
        <w:tc>
          <w:tcPr>
            <w:tcW w:w="0" w:type="auto"/>
            <w:tcMar>
              <w:top w:w="15" w:type="dxa"/>
              <w:left w:w="15" w:type="dxa"/>
              <w:bottom w:w="15" w:type="dxa"/>
              <w:right w:w="15" w:type="dxa"/>
            </w:tcMar>
            <w:vAlign w:val="center"/>
            <w:hideMark/>
          </w:tcPr>
          <w:p w14:paraId="5AE9C9C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25.3</w:t>
            </w:r>
          </w:p>
        </w:tc>
      </w:tr>
      <w:tr w:rsidR="00E16114" w:rsidRPr="007F6CB3" w14:paraId="0A01321D" w14:textId="77777777" w:rsidTr="0026594F">
        <w:trPr>
          <w:trHeight w:val="354"/>
          <w:tblCellSpacing w:w="15" w:type="dxa"/>
        </w:trPr>
        <w:tc>
          <w:tcPr>
            <w:tcW w:w="0" w:type="auto"/>
            <w:tcMar>
              <w:top w:w="15" w:type="dxa"/>
              <w:left w:w="15" w:type="dxa"/>
              <w:bottom w:w="15" w:type="dxa"/>
              <w:right w:w="15" w:type="dxa"/>
            </w:tcMar>
            <w:vAlign w:val="center"/>
            <w:hideMark/>
          </w:tcPr>
          <w:p w14:paraId="6A9CB86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195A97E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w:t>
            </w:r>
          </w:p>
        </w:tc>
        <w:tc>
          <w:tcPr>
            <w:tcW w:w="0" w:type="auto"/>
            <w:tcMar>
              <w:top w:w="15" w:type="dxa"/>
              <w:left w:w="15" w:type="dxa"/>
              <w:bottom w:w="15" w:type="dxa"/>
              <w:right w:w="15" w:type="dxa"/>
            </w:tcMar>
            <w:vAlign w:val="center"/>
            <w:hideMark/>
          </w:tcPr>
          <w:p w14:paraId="4382BF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6.3</w:t>
            </w:r>
          </w:p>
        </w:tc>
      </w:tr>
    </w:tbl>
    <w:p w14:paraId="6AEC2E37"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As shown in Table 10, sweet potato is predominantly used as food (89.7%), confirming its central role in household food security. However, its use in ceremonies, festivals, and traditional medicine indicates significant ethno-botanical relevance, extending beyond nutrition.</w:t>
      </w:r>
    </w:p>
    <w:p w14:paraId="01B5F037" w14:textId="77777777" w:rsidR="00E16114" w:rsidRPr="007F6CB3" w:rsidRDefault="00E16114" w:rsidP="00E16114">
      <w:pPr>
        <w:jc w:val="both"/>
        <w:rPr>
          <w:rFonts w:ascii="Times New Roman" w:hAnsi="Times New Roman" w:cs="Times New Roman"/>
          <w:sz w:val="24"/>
          <w:szCs w:val="24"/>
        </w:rPr>
      </w:pPr>
    </w:p>
    <w:p w14:paraId="3BCD27C0" w14:textId="77777777" w:rsidR="00E16114" w:rsidRPr="007F6CB3" w:rsidRDefault="00E16114" w:rsidP="00E16114">
      <w:pPr>
        <w:jc w:val="both"/>
        <w:rPr>
          <w:rFonts w:ascii="Times New Roman" w:hAnsi="Times New Roman" w:cs="Times New Roman"/>
          <w:b/>
          <w:bCs/>
          <w:sz w:val="24"/>
          <w:szCs w:val="24"/>
        </w:rPr>
      </w:pPr>
    </w:p>
    <w:p w14:paraId="487ACC51" w14:textId="3646226B" w:rsidR="00E16114" w:rsidRPr="007F6CB3" w:rsidRDefault="00E16114" w:rsidP="00E16114">
      <w:pPr>
        <w:jc w:val="both"/>
        <w:rPr>
          <w:rFonts w:ascii="Times New Roman" w:hAnsi="Times New Roman" w:cs="Times New Roman"/>
          <w:sz w:val="24"/>
          <w:szCs w:val="24"/>
        </w:rPr>
      </w:pPr>
      <w:bookmarkStart w:id="24" w:name="_Hlk221326440"/>
      <w:r w:rsidRPr="007F6CB3">
        <w:rPr>
          <w:rFonts w:ascii="Times New Roman" w:hAnsi="Times New Roman" w:cs="Times New Roman"/>
          <w:sz w:val="24"/>
          <w:szCs w:val="24"/>
        </w:rPr>
        <w:t>Table 10.: Myths or traditional beliefs associated with sweet potato cultivation/storage</w:t>
      </w:r>
    </w:p>
    <w:tbl>
      <w:tblPr>
        <w:tblW w:w="8009" w:type="dxa"/>
        <w:tblCellSpacing w:w="15" w:type="dxa"/>
        <w:tblLook w:val="04A0" w:firstRow="1" w:lastRow="0" w:firstColumn="1" w:lastColumn="0" w:noHBand="0" w:noVBand="1"/>
      </w:tblPr>
      <w:tblGrid>
        <w:gridCol w:w="2188"/>
        <w:gridCol w:w="2384"/>
        <w:gridCol w:w="3437"/>
      </w:tblGrid>
      <w:tr w:rsidR="00E16114" w:rsidRPr="007F6CB3" w14:paraId="076DFCDD" w14:textId="77777777" w:rsidTr="0026594F">
        <w:trPr>
          <w:trHeight w:val="296"/>
          <w:tblHeader/>
          <w:tblCellSpacing w:w="15" w:type="dxa"/>
        </w:trPr>
        <w:tc>
          <w:tcPr>
            <w:tcW w:w="0" w:type="auto"/>
            <w:tcMar>
              <w:top w:w="15" w:type="dxa"/>
              <w:left w:w="15" w:type="dxa"/>
              <w:bottom w:w="15" w:type="dxa"/>
              <w:right w:w="15" w:type="dxa"/>
            </w:tcMar>
            <w:vAlign w:val="center"/>
            <w:hideMark/>
          </w:tcPr>
          <w:bookmarkEnd w:id="24"/>
          <w:p w14:paraId="29FD088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6B3E143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479A59A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171948DF" w14:textId="77777777" w:rsidTr="0026594F">
        <w:trPr>
          <w:trHeight w:val="311"/>
          <w:tblCellSpacing w:w="15" w:type="dxa"/>
        </w:trPr>
        <w:tc>
          <w:tcPr>
            <w:tcW w:w="0" w:type="auto"/>
            <w:tcMar>
              <w:top w:w="15" w:type="dxa"/>
              <w:left w:w="15" w:type="dxa"/>
              <w:bottom w:w="15" w:type="dxa"/>
              <w:right w:w="15" w:type="dxa"/>
            </w:tcMar>
            <w:vAlign w:val="center"/>
            <w:hideMark/>
          </w:tcPr>
          <w:p w14:paraId="218A6FA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56EAD49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09EAFDD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7D5B7C05" w14:textId="77777777" w:rsidTr="0026594F">
        <w:trPr>
          <w:trHeight w:val="296"/>
          <w:tblCellSpacing w:w="15" w:type="dxa"/>
        </w:trPr>
        <w:tc>
          <w:tcPr>
            <w:tcW w:w="0" w:type="auto"/>
            <w:tcMar>
              <w:top w:w="15" w:type="dxa"/>
              <w:left w:w="15" w:type="dxa"/>
              <w:bottom w:w="15" w:type="dxa"/>
              <w:right w:w="15" w:type="dxa"/>
            </w:tcMar>
            <w:vAlign w:val="center"/>
            <w:hideMark/>
          </w:tcPr>
          <w:p w14:paraId="400D611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5C526D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210</w:t>
            </w:r>
          </w:p>
        </w:tc>
        <w:tc>
          <w:tcPr>
            <w:tcW w:w="0" w:type="auto"/>
            <w:tcMar>
              <w:top w:w="15" w:type="dxa"/>
              <w:left w:w="15" w:type="dxa"/>
              <w:bottom w:w="15" w:type="dxa"/>
              <w:right w:w="15" w:type="dxa"/>
            </w:tcMar>
            <w:vAlign w:val="center"/>
            <w:hideMark/>
          </w:tcPr>
          <w:p w14:paraId="6133053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60.3</w:t>
            </w:r>
          </w:p>
        </w:tc>
      </w:tr>
      <w:tr w:rsidR="00E16114" w:rsidRPr="007F6CB3" w14:paraId="6A91284A" w14:textId="77777777" w:rsidTr="0026594F">
        <w:trPr>
          <w:trHeight w:val="296"/>
          <w:tblCellSpacing w:w="15" w:type="dxa"/>
        </w:trPr>
        <w:tc>
          <w:tcPr>
            <w:tcW w:w="0" w:type="auto"/>
            <w:tcMar>
              <w:top w:w="15" w:type="dxa"/>
              <w:left w:w="15" w:type="dxa"/>
              <w:bottom w:w="15" w:type="dxa"/>
              <w:right w:w="15" w:type="dxa"/>
            </w:tcMar>
            <w:vAlign w:val="center"/>
            <w:hideMark/>
          </w:tcPr>
          <w:p w14:paraId="39B1CD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752ECA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F21B1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DC39B6A"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Approximately 39.7% of respondents acknowledged the existence of myths or traditional beliefs related to sweet potato cultivation or storage. This suggests that cultural perceptions may influence farming and post-harvest practices in the study area.</w:t>
      </w:r>
    </w:p>
    <w:p w14:paraId="342E0701" w14:textId="77777777" w:rsidR="00E16114" w:rsidRPr="007F6CB3" w:rsidRDefault="00E16114" w:rsidP="00E16114">
      <w:pPr>
        <w:jc w:val="both"/>
        <w:rPr>
          <w:rFonts w:ascii="Times New Roman" w:hAnsi="Times New Roman" w:cs="Times New Roman"/>
          <w:sz w:val="24"/>
          <w:szCs w:val="24"/>
        </w:rPr>
      </w:pPr>
    </w:p>
    <w:p w14:paraId="64CF6E81" w14:textId="7D888460" w:rsidR="00E16114" w:rsidRPr="007F6CB3" w:rsidRDefault="00E16114" w:rsidP="00E16114">
      <w:pPr>
        <w:jc w:val="both"/>
        <w:rPr>
          <w:rFonts w:ascii="Times New Roman" w:hAnsi="Times New Roman" w:cs="Times New Roman"/>
          <w:sz w:val="24"/>
          <w:szCs w:val="24"/>
        </w:rPr>
      </w:pPr>
      <w:bookmarkStart w:id="25" w:name="_Hlk221326481"/>
      <w:r w:rsidRPr="007F6CB3">
        <w:rPr>
          <w:rFonts w:ascii="Times New Roman" w:hAnsi="Times New Roman" w:cs="Times New Roman"/>
          <w:sz w:val="24"/>
          <w:szCs w:val="24"/>
        </w:rPr>
        <w:t>Table 10.</w:t>
      </w:r>
      <w:r w:rsidR="007C1DB2">
        <w:rPr>
          <w:rFonts w:ascii="Times New Roman" w:hAnsi="Times New Roman" w:cs="Times New Roman"/>
          <w:sz w:val="24"/>
          <w:szCs w:val="24"/>
        </w:rPr>
        <w:t>a</w:t>
      </w:r>
      <w:r w:rsidRPr="007F6CB3">
        <w:rPr>
          <w:rFonts w:ascii="Times New Roman" w:hAnsi="Times New Roman" w:cs="Times New Roman"/>
          <w:sz w:val="24"/>
          <w:szCs w:val="24"/>
        </w:rPr>
        <w:t>: Role of sweet potato in community identity or heritage</w:t>
      </w:r>
      <w:bookmarkEnd w:id="25"/>
    </w:p>
    <w:tbl>
      <w:tblPr>
        <w:tblW w:w="8064" w:type="dxa"/>
        <w:tblCellSpacing w:w="15" w:type="dxa"/>
        <w:tblLook w:val="04A0" w:firstRow="1" w:lastRow="0" w:firstColumn="1" w:lastColumn="0" w:noHBand="0" w:noVBand="1"/>
      </w:tblPr>
      <w:tblGrid>
        <w:gridCol w:w="2204"/>
        <w:gridCol w:w="2400"/>
        <w:gridCol w:w="3460"/>
      </w:tblGrid>
      <w:tr w:rsidR="00E16114" w:rsidRPr="007F6CB3" w14:paraId="64A4A9D3" w14:textId="77777777" w:rsidTr="0026594F">
        <w:trPr>
          <w:trHeight w:val="302"/>
          <w:tblHeader/>
          <w:tblCellSpacing w:w="15" w:type="dxa"/>
        </w:trPr>
        <w:tc>
          <w:tcPr>
            <w:tcW w:w="0" w:type="auto"/>
            <w:tcMar>
              <w:top w:w="15" w:type="dxa"/>
              <w:left w:w="15" w:type="dxa"/>
              <w:bottom w:w="15" w:type="dxa"/>
              <w:right w:w="15" w:type="dxa"/>
            </w:tcMar>
            <w:vAlign w:val="center"/>
            <w:hideMark/>
          </w:tcPr>
          <w:p w14:paraId="04CF2D1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1B01D09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2FAB95F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01D638F" w14:textId="77777777" w:rsidTr="0026594F">
        <w:trPr>
          <w:trHeight w:val="317"/>
          <w:tblCellSpacing w:w="15" w:type="dxa"/>
        </w:trPr>
        <w:tc>
          <w:tcPr>
            <w:tcW w:w="0" w:type="auto"/>
            <w:tcMar>
              <w:top w:w="15" w:type="dxa"/>
              <w:left w:w="15" w:type="dxa"/>
              <w:bottom w:w="15" w:type="dxa"/>
              <w:right w:w="15" w:type="dxa"/>
            </w:tcMar>
            <w:vAlign w:val="center"/>
            <w:hideMark/>
          </w:tcPr>
          <w:p w14:paraId="1C13EAF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432A65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162</w:t>
            </w:r>
          </w:p>
        </w:tc>
        <w:tc>
          <w:tcPr>
            <w:tcW w:w="0" w:type="auto"/>
            <w:tcMar>
              <w:top w:w="15" w:type="dxa"/>
              <w:left w:w="15" w:type="dxa"/>
              <w:bottom w:w="15" w:type="dxa"/>
              <w:right w:w="15" w:type="dxa"/>
            </w:tcMar>
            <w:vAlign w:val="center"/>
            <w:hideMark/>
          </w:tcPr>
          <w:p w14:paraId="4C77EF1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46.6</w:t>
            </w:r>
          </w:p>
        </w:tc>
      </w:tr>
      <w:tr w:rsidR="00E16114" w:rsidRPr="007F6CB3" w14:paraId="7CF690A3" w14:textId="77777777" w:rsidTr="0026594F">
        <w:trPr>
          <w:trHeight w:val="302"/>
          <w:tblCellSpacing w:w="15" w:type="dxa"/>
        </w:trPr>
        <w:tc>
          <w:tcPr>
            <w:tcW w:w="0" w:type="auto"/>
            <w:tcMar>
              <w:top w:w="15" w:type="dxa"/>
              <w:left w:w="15" w:type="dxa"/>
              <w:bottom w:w="15" w:type="dxa"/>
              <w:right w:w="15" w:type="dxa"/>
            </w:tcMar>
            <w:vAlign w:val="center"/>
            <w:hideMark/>
          </w:tcPr>
          <w:p w14:paraId="728142F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63F395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186</w:t>
            </w:r>
          </w:p>
        </w:tc>
        <w:tc>
          <w:tcPr>
            <w:tcW w:w="0" w:type="auto"/>
            <w:tcMar>
              <w:top w:w="15" w:type="dxa"/>
              <w:left w:w="15" w:type="dxa"/>
              <w:bottom w:w="15" w:type="dxa"/>
              <w:right w:w="15" w:type="dxa"/>
            </w:tcMar>
            <w:vAlign w:val="center"/>
            <w:hideMark/>
          </w:tcPr>
          <w:p w14:paraId="12C7258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53.4</w:t>
            </w:r>
          </w:p>
        </w:tc>
      </w:tr>
      <w:tr w:rsidR="00E16114" w:rsidRPr="007F6CB3" w14:paraId="4A6B6D60" w14:textId="77777777" w:rsidTr="0026594F">
        <w:trPr>
          <w:trHeight w:val="302"/>
          <w:tblCellSpacing w:w="15" w:type="dxa"/>
        </w:trPr>
        <w:tc>
          <w:tcPr>
            <w:tcW w:w="0" w:type="auto"/>
            <w:tcMar>
              <w:top w:w="15" w:type="dxa"/>
              <w:left w:w="15" w:type="dxa"/>
              <w:bottom w:w="15" w:type="dxa"/>
              <w:right w:w="15" w:type="dxa"/>
            </w:tcMar>
            <w:vAlign w:val="center"/>
            <w:hideMark/>
          </w:tcPr>
          <w:p w14:paraId="1A17C8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1D62B14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6E36E13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164FC6B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lastRenderedPageBreak/>
        <w:br/>
        <w:t>Nearly half of the respondents (46.6%) indicated that sweet potato contributes to community identity or heritage, often linked to traditional meals, festivals, or ancestral farming practices.</w:t>
      </w:r>
    </w:p>
    <w:p w14:paraId="0D87B905" w14:textId="77777777" w:rsidR="00E16114" w:rsidRPr="007F6CB3" w:rsidRDefault="00E16114" w:rsidP="00E16114">
      <w:pPr>
        <w:jc w:val="both"/>
        <w:rPr>
          <w:rFonts w:ascii="Times New Roman" w:hAnsi="Times New Roman" w:cs="Times New Roman"/>
          <w:sz w:val="24"/>
          <w:szCs w:val="24"/>
        </w:rPr>
      </w:pPr>
    </w:p>
    <w:p w14:paraId="2AD1BA6D" w14:textId="77777777" w:rsidR="00E16114" w:rsidRPr="007F6CB3" w:rsidRDefault="00E16114" w:rsidP="00E16114">
      <w:pPr>
        <w:jc w:val="both"/>
        <w:rPr>
          <w:rFonts w:ascii="Times New Roman" w:hAnsi="Times New Roman" w:cs="Times New Roman"/>
          <w:sz w:val="24"/>
          <w:szCs w:val="24"/>
        </w:rPr>
      </w:pPr>
    </w:p>
    <w:p w14:paraId="4AE9B79F" w14:textId="77777777" w:rsidR="00E16114" w:rsidRPr="007F6CB3" w:rsidRDefault="00E16114" w:rsidP="00E16114">
      <w:pPr>
        <w:jc w:val="both"/>
        <w:rPr>
          <w:rFonts w:ascii="Times New Roman" w:hAnsi="Times New Roman" w:cs="Times New Roman"/>
          <w:sz w:val="24"/>
          <w:szCs w:val="24"/>
        </w:rPr>
      </w:pPr>
    </w:p>
    <w:p w14:paraId="0336284E" w14:textId="77777777" w:rsidR="00E16114" w:rsidRPr="007F6CB3" w:rsidRDefault="00E16114" w:rsidP="00E16114">
      <w:pPr>
        <w:jc w:val="both"/>
        <w:rPr>
          <w:rFonts w:ascii="Times New Roman" w:hAnsi="Times New Roman" w:cs="Times New Roman"/>
          <w:sz w:val="24"/>
          <w:szCs w:val="24"/>
        </w:rPr>
      </w:pPr>
      <w:bookmarkStart w:id="26" w:name="_Hlk221326575"/>
      <w:r w:rsidRPr="007F6CB3">
        <w:rPr>
          <w:rFonts w:ascii="Times New Roman" w:hAnsi="Times New Roman" w:cs="Times New Roman"/>
          <w:sz w:val="24"/>
          <w:szCs w:val="24"/>
        </w:rPr>
        <w:t>4.1.11: Income Generation and Socio-Economic Status</w:t>
      </w:r>
      <w:bookmarkEnd w:id="26"/>
    </w:p>
    <w:p w14:paraId="4FB4EE22" w14:textId="77777777" w:rsidR="00E16114" w:rsidRPr="007F6CB3" w:rsidRDefault="00E16114" w:rsidP="00E16114">
      <w:pPr>
        <w:jc w:val="both"/>
        <w:rPr>
          <w:rFonts w:ascii="Times New Roman" w:hAnsi="Times New Roman" w:cs="Times New Roman"/>
          <w:sz w:val="24"/>
          <w:szCs w:val="24"/>
        </w:rPr>
      </w:pPr>
    </w:p>
    <w:p w14:paraId="6B20783A" w14:textId="704E4FF0" w:rsidR="00E16114" w:rsidRPr="007F6CB3" w:rsidRDefault="00E16114" w:rsidP="00E16114">
      <w:pPr>
        <w:jc w:val="both"/>
        <w:rPr>
          <w:rFonts w:ascii="Times New Roman" w:hAnsi="Times New Roman" w:cs="Times New Roman"/>
          <w:sz w:val="24"/>
          <w:szCs w:val="24"/>
        </w:rPr>
      </w:pPr>
      <w:bookmarkStart w:id="27" w:name="_Hlk221326651"/>
      <w:r w:rsidRPr="007F6CB3">
        <w:rPr>
          <w:rFonts w:ascii="Times New Roman" w:hAnsi="Times New Roman" w:cs="Times New Roman"/>
          <w:sz w:val="24"/>
          <w:szCs w:val="24"/>
        </w:rPr>
        <w:t>Table 11.</w:t>
      </w:r>
      <w:r w:rsidR="001D7503">
        <w:rPr>
          <w:rFonts w:ascii="Times New Roman" w:hAnsi="Times New Roman" w:cs="Times New Roman"/>
          <w:sz w:val="24"/>
          <w:szCs w:val="24"/>
        </w:rPr>
        <w:t>1.</w:t>
      </w:r>
      <w:r w:rsidRPr="007F6CB3">
        <w:rPr>
          <w:rFonts w:ascii="Times New Roman" w:hAnsi="Times New Roman" w:cs="Times New Roman"/>
          <w:sz w:val="24"/>
          <w:szCs w:val="24"/>
        </w:rPr>
        <w:t>: Sweet potato production as primary source of income</w:t>
      </w:r>
    </w:p>
    <w:tbl>
      <w:tblPr>
        <w:tblW w:w="8384" w:type="dxa"/>
        <w:tblCellSpacing w:w="15" w:type="dxa"/>
        <w:tblLook w:val="04A0" w:firstRow="1" w:lastRow="0" w:firstColumn="1" w:lastColumn="0" w:noHBand="0" w:noVBand="1"/>
      </w:tblPr>
      <w:tblGrid>
        <w:gridCol w:w="2291"/>
        <w:gridCol w:w="2495"/>
        <w:gridCol w:w="3598"/>
      </w:tblGrid>
      <w:tr w:rsidR="00E16114" w:rsidRPr="007F6CB3" w14:paraId="4393B6CF" w14:textId="77777777" w:rsidTr="0026594F">
        <w:trPr>
          <w:trHeight w:val="324"/>
          <w:tblHeader/>
          <w:tblCellSpacing w:w="15" w:type="dxa"/>
        </w:trPr>
        <w:tc>
          <w:tcPr>
            <w:tcW w:w="0" w:type="auto"/>
            <w:tcMar>
              <w:top w:w="15" w:type="dxa"/>
              <w:left w:w="15" w:type="dxa"/>
              <w:bottom w:w="15" w:type="dxa"/>
              <w:right w:w="15" w:type="dxa"/>
            </w:tcMar>
            <w:vAlign w:val="center"/>
            <w:hideMark/>
          </w:tcPr>
          <w:bookmarkEnd w:id="27"/>
          <w:p w14:paraId="57B12CC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4310855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6BD7744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2D342BBA" w14:textId="77777777" w:rsidTr="0026594F">
        <w:trPr>
          <w:trHeight w:val="341"/>
          <w:tblCellSpacing w:w="15" w:type="dxa"/>
        </w:trPr>
        <w:tc>
          <w:tcPr>
            <w:tcW w:w="0" w:type="auto"/>
            <w:tcMar>
              <w:top w:w="15" w:type="dxa"/>
              <w:left w:w="15" w:type="dxa"/>
              <w:bottom w:w="15" w:type="dxa"/>
              <w:right w:w="15" w:type="dxa"/>
            </w:tcMar>
            <w:vAlign w:val="center"/>
            <w:hideMark/>
          </w:tcPr>
          <w:p w14:paraId="14D8EAE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60B8999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124</w:t>
            </w:r>
          </w:p>
        </w:tc>
        <w:tc>
          <w:tcPr>
            <w:tcW w:w="0" w:type="auto"/>
            <w:tcMar>
              <w:top w:w="15" w:type="dxa"/>
              <w:left w:w="15" w:type="dxa"/>
              <w:bottom w:w="15" w:type="dxa"/>
              <w:right w:w="15" w:type="dxa"/>
            </w:tcMar>
            <w:vAlign w:val="center"/>
            <w:hideMark/>
          </w:tcPr>
          <w:p w14:paraId="24E982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35.6</w:t>
            </w:r>
          </w:p>
        </w:tc>
      </w:tr>
      <w:tr w:rsidR="00E16114" w:rsidRPr="007F6CB3" w14:paraId="30018DD6" w14:textId="77777777" w:rsidTr="0026594F">
        <w:trPr>
          <w:trHeight w:val="324"/>
          <w:tblCellSpacing w:w="15" w:type="dxa"/>
        </w:trPr>
        <w:tc>
          <w:tcPr>
            <w:tcW w:w="0" w:type="auto"/>
            <w:tcMar>
              <w:top w:w="15" w:type="dxa"/>
              <w:left w:w="15" w:type="dxa"/>
              <w:bottom w:w="15" w:type="dxa"/>
              <w:right w:w="15" w:type="dxa"/>
            </w:tcMar>
            <w:vAlign w:val="center"/>
            <w:hideMark/>
          </w:tcPr>
          <w:p w14:paraId="457E529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1A324FE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224</w:t>
            </w:r>
          </w:p>
        </w:tc>
        <w:tc>
          <w:tcPr>
            <w:tcW w:w="0" w:type="auto"/>
            <w:tcMar>
              <w:top w:w="15" w:type="dxa"/>
              <w:left w:w="15" w:type="dxa"/>
              <w:bottom w:w="15" w:type="dxa"/>
              <w:right w:w="15" w:type="dxa"/>
            </w:tcMar>
            <w:vAlign w:val="center"/>
            <w:hideMark/>
          </w:tcPr>
          <w:p w14:paraId="173038D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64.4</w:t>
            </w:r>
          </w:p>
        </w:tc>
      </w:tr>
      <w:tr w:rsidR="00E16114" w:rsidRPr="007F6CB3" w14:paraId="314F2505" w14:textId="77777777" w:rsidTr="0026594F">
        <w:trPr>
          <w:trHeight w:val="324"/>
          <w:tblCellSpacing w:w="15" w:type="dxa"/>
        </w:trPr>
        <w:tc>
          <w:tcPr>
            <w:tcW w:w="0" w:type="auto"/>
            <w:tcMar>
              <w:top w:w="15" w:type="dxa"/>
              <w:left w:w="15" w:type="dxa"/>
              <w:bottom w:w="15" w:type="dxa"/>
              <w:right w:w="15" w:type="dxa"/>
            </w:tcMar>
            <w:vAlign w:val="center"/>
            <w:hideMark/>
          </w:tcPr>
          <w:p w14:paraId="46AB1CA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2D76878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37396E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444BF23B"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Sweet potato serves as a primary income source for 35.6% of respondents, while the majority engage in it as a secondary livelihood activity, highlighting its importance in income diversification.</w:t>
      </w:r>
    </w:p>
    <w:p w14:paraId="30988ADD" w14:textId="77777777" w:rsidR="00E16114" w:rsidRPr="007F6CB3" w:rsidRDefault="00E16114" w:rsidP="00E16114">
      <w:pPr>
        <w:jc w:val="both"/>
        <w:rPr>
          <w:rFonts w:ascii="Times New Roman" w:hAnsi="Times New Roman" w:cs="Times New Roman"/>
          <w:sz w:val="24"/>
          <w:szCs w:val="24"/>
        </w:rPr>
      </w:pPr>
    </w:p>
    <w:p w14:paraId="67141A6C" w14:textId="77777777" w:rsidR="00E16114" w:rsidRPr="007F6CB3" w:rsidRDefault="00E16114" w:rsidP="00E16114">
      <w:pPr>
        <w:jc w:val="both"/>
        <w:rPr>
          <w:rFonts w:ascii="Times New Roman" w:hAnsi="Times New Roman" w:cs="Times New Roman"/>
          <w:sz w:val="24"/>
          <w:szCs w:val="24"/>
        </w:rPr>
      </w:pPr>
    </w:p>
    <w:p w14:paraId="09468EC8" w14:textId="77777777" w:rsidR="00E16114" w:rsidRPr="007F6CB3" w:rsidRDefault="00E16114" w:rsidP="00E16114">
      <w:pPr>
        <w:jc w:val="both"/>
        <w:rPr>
          <w:rFonts w:ascii="Times New Roman" w:hAnsi="Times New Roman" w:cs="Times New Roman"/>
          <w:sz w:val="24"/>
          <w:szCs w:val="24"/>
        </w:rPr>
      </w:pPr>
    </w:p>
    <w:p w14:paraId="72E0578F" w14:textId="77777777" w:rsidR="00E16114" w:rsidRPr="007F6CB3" w:rsidRDefault="00E16114" w:rsidP="00E16114">
      <w:pPr>
        <w:jc w:val="both"/>
        <w:rPr>
          <w:rFonts w:ascii="Times New Roman" w:hAnsi="Times New Roman" w:cs="Times New Roman"/>
          <w:sz w:val="24"/>
          <w:szCs w:val="24"/>
        </w:rPr>
      </w:pPr>
    </w:p>
    <w:p w14:paraId="238BFF0A" w14:textId="77777777" w:rsidR="00E16114" w:rsidRPr="007F6CB3" w:rsidRDefault="00E16114" w:rsidP="00E16114">
      <w:pPr>
        <w:jc w:val="both"/>
        <w:rPr>
          <w:rFonts w:ascii="Times New Roman" w:hAnsi="Times New Roman" w:cs="Times New Roman"/>
          <w:sz w:val="24"/>
          <w:szCs w:val="24"/>
        </w:rPr>
      </w:pPr>
    </w:p>
    <w:p w14:paraId="4CC3E04C" w14:textId="77777777" w:rsidR="00E16114" w:rsidRPr="007F6CB3" w:rsidRDefault="00E16114" w:rsidP="00E16114">
      <w:pPr>
        <w:jc w:val="both"/>
        <w:rPr>
          <w:rFonts w:ascii="Times New Roman" w:hAnsi="Times New Roman" w:cs="Times New Roman"/>
          <w:sz w:val="24"/>
          <w:szCs w:val="24"/>
        </w:rPr>
      </w:pPr>
    </w:p>
    <w:p w14:paraId="1180B042" w14:textId="77777777" w:rsidR="00E16114" w:rsidRPr="007F6CB3" w:rsidRDefault="00E16114" w:rsidP="00E16114">
      <w:pPr>
        <w:jc w:val="both"/>
        <w:rPr>
          <w:rFonts w:ascii="Times New Roman" w:hAnsi="Times New Roman" w:cs="Times New Roman"/>
          <w:sz w:val="24"/>
          <w:szCs w:val="24"/>
        </w:rPr>
      </w:pPr>
    </w:p>
    <w:p w14:paraId="10F695FE" w14:textId="77777777" w:rsidR="00E16114" w:rsidRPr="007F6CB3" w:rsidRDefault="00E16114" w:rsidP="00E16114">
      <w:pPr>
        <w:jc w:val="both"/>
        <w:rPr>
          <w:rFonts w:ascii="Times New Roman" w:hAnsi="Times New Roman" w:cs="Times New Roman"/>
          <w:sz w:val="24"/>
          <w:szCs w:val="24"/>
        </w:rPr>
      </w:pPr>
    </w:p>
    <w:p w14:paraId="5EE4E5B9" w14:textId="77A4C685" w:rsidR="00E16114" w:rsidRPr="007F6CB3" w:rsidRDefault="00E16114" w:rsidP="00E16114">
      <w:pPr>
        <w:jc w:val="both"/>
        <w:rPr>
          <w:rFonts w:ascii="Times New Roman" w:hAnsi="Times New Roman" w:cs="Times New Roman"/>
          <w:sz w:val="24"/>
          <w:szCs w:val="24"/>
        </w:rPr>
      </w:pPr>
      <w:bookmarkStart w:id="28" w:name="_Hlk221326686"/>
      <w:r w:rsidRPr="007F6CB3">
        <w:rPr>
          <w:rFonts w:ascii="Times New Roman" w:hAnsi="Times New Roman" w:cs="Times New Roman"/>
          <w:sz w:val="24"/>
          <w:szCs w:val="24"/>
        </w:rPr>
        <w:t>Table 11.</w:t>
      </w:r>
      <w:r w:rsidR="001D7503">
        <w:rPr>
          <w:rFonts w:ascii="Times New Roman" w:hAnsi="Times New Roman" w:cs="Times New Roman"/>
          <w:sz w:val="24"/>
          <w:szCs w:val="24"/>
        </w:rPr>
        <w:t>2.</w:t>
      </w:r>
      <w:r w:rsidRPr="007F6CB3">
        <w:rPr>
          <w:rFonts w:ascii="Times New Roman" w:hAnsi="Times New Roman" w:cs="Times New Roman"/>
          <w:sz w:val="24"/>
          <w:szCs w:val="24"/>
        </w:rPr>
        <w:t>: Proportion of income derived from sweet potato</w:t>
      </w:r>
      <w:bookmarkEnd w:id="28"/>
    </w:p>
    <w:tbl>
      <w:tblPr>
        <w:tblW w:w="8668" w:type="dxa"/>
        <w:tblCellSpacing w:w="15" w:type="dxa"/>
        <w:tblLook w:val="04A0" w:firstRow="1" w:lastRow="0" w:firstColumn="1" w:lastColumn="0" w:noHBand="0" w:noVBand="1"/>
      </w:tblPr>
      <w:tblGrid>
        <w:gridCol w:w="3611"/>
        <w:gridCol w:w="2071"/>
        <w:gridCol w:w="2986"/>
      </w:tblGrid>
      <w:tr w:rsidR="00E16114" w:rsidRPr="007F6CB3" w14:paraId="7F673F3E" w14:textId="77777777" w:rsidTr="0026594F">
        <w:trPr>
          <w:trHeight w:val="789"/>
          <w:tblHeader/>
          <w:tblCellSpacing w:w="15" w:type="dxa"/>
        </w:trPr>
        <w:tc>
          <w:tcPr>
            <w:tcW w:w="0" w:type="auto"/>
            <w:tcMar>
              <w:top w:w="15" w:type="dxa"/>
              <w:left w:w="15" w:type="dxa"/>
              <w:bottom w:w="15" w:type="dxa"/>
              <w:right w:w="15" w:type="dxa"/>
            </w:tcMar>
            <w:vAlign w:val="center"/>
            <w:hideMark/>
          </w:tcPr>
          <w:p w14:paraId="0E4DC9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Income proportion</w:t>
            </w:r>
          </w:p>
        </w:tc>
        <w:tc>
          <w:tcPr>
            <w:tcW w:w="0" w:type="auto"/>
            <w:tcMar>
              <w:top w:w="15" w:type="dxa"/>
              <w:left w:w="15" w:type="dxa"/>
              <w:bottom w:w="15" w:type="dxa"/>
              <w:right w:w="15" w:type="dxa"/>
            </w:tcMar>
            <w:vAlign w:val="center"/>
            <w:hideMark/>
          </w:tcPr>
          <w:p w14:paraId="5941483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87BC5F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2EBEB671" w14:textId="77777777" w:rsidTr="0026594F">
        <w:trPr>
          <w:trHeight w:val="829"/>
          <w:tblCellSpacing w:w="15" w:type="dxa"/>
        </w:trPr>
        <w:tc>
          <w:tcPr>
            <w:tcW w:w="0" w:type="auto"/>
            <w:tcMar>
              <w:top w:w="15" w:type="dxa"/>
              <w:left w:w="15" w:type="dxa"/>
              <w:bottom w:w="15" w:type="dxa"/>
              <w:right w:w="15" w:type="dxa"/>
            </w:tcMar>
            <w:vAlign w:val="center"/>
            <w:hideMark/>
          </w:tcPr>
          <w:p w14:paraId="36F2208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&lt; 25%</w:t>
            </w:r>
          </w:p>
        </w:tc>
        <w:tc>
          <w:tcPr>
            <w:tcW w:w="0" w:type="auto"/>
            <w:tcMar>
              <w:top w:w="15" w:type="dxa"/>
              <w:left w:w="15" w:type="dxa"/>
              <w:bottom w:w="15" w:type="dxa"/>
              <w:right w:w="15" w:type="dxa"/>
            </w:tcMar>
            <w:vAlign w:val="center"/>
            <w:hideMark/>
          </w:tcPr>
          <w:p w14:paraId="01D7211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351CD9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13BC5F9B" w14:textId="77777777" w:rsidTr="0026594F">
        <w:trPr>
          <w:trHeight w:val="789"/>
          <w:tblCellSpacing w:w="15" w:type="dxa"/>
        </w:trPr>
        <w:tc>
          <w:tcPr>
            <w:tcW w:w="0" w:type="auto"/>
            <w:tcMar>
              <w:top w:w="15" w:type="dxa"/>
              <w:left w:w="15" w:type="dxa"/>
              <w:bottom w:w="15" w:type="dxa"/>
              <w:right w:w="15" w:type="dxa"/>
            </w:tcMar>
            <w:vAlign w:val="center"/>
            <w:hideMark/>
          </w:tcPr>
          <w:p w14:paraId="6569CF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25–50%</w:t>
            </w:r>
          </w:p>
        </w:tc>
        <w:tc>
          <w:tcPr>
            <w:tcW w:w="0" w:type="auto"/>
            <w:tcMar>
              <w:top w:w="15" w:type="dxa"/>
              <w:left w:w="15" w:type="dxa"/>
              <w:bottom w:w="15" w:type="dxa"/>
              <w:right w:w="15" w:type="dxa"/>
            </w:tcMar>
            <w:vAlign w:val="center"/>
            <w:hideMark/>
          </w:tcPr>
          <w:p w14:paraId="2756325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104</w:t>
            </w:r>
          </w:p>
        </w:tc>
        <w:tc>
          <w:tcPr>
            <w:tcW w:w="0" w:type="auto"/>
            <w:tcMar>
              <w:top w:w="15" w:type="dxa"/>
              <w:left w:w="15" w:type="dxa"/>
              <w:bottom w:w="15" w:type="dxa"/>
              <w:right w:w="15" w:type="dxa"/>
            </w:tcMar>
            <w:vAlign w:val="center"/>
            <w:hideMark/>
          </w:tcPr>
          <w:p w14:paraId="30D5C39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29.9</w:t>
            </w:r>
          </w:p>
        </w:tc>
      </w:tr>
      <w:tr w:rsidR="00E16114" w:rsidRPr="007F6CB3" w14:paraId="01046DCC" w14:textId="77777777" w:rsidTr="0026594F">
        <w:trPr>
          <w:trHeight w:val="789"/>
          <w:tblCellSpacing w:w="15" w:type="dxa"/>
        </w:trPr>
        <w:tc>
          <w:tcPr>
            <w:tcW w:w="0" w:type="auto"/>
            <w:tcMar>
              <w:top w:w="15" w:type="dxa"/>
              <w:left w:w="15" w:type="dxa"/>
              <w:bottom w:w="15" w:type="dxa"/>
              <w:right w:w="15" w:type="dxa"/>
            </w:tcMar>
            <w:vAlign w:val="center"/>
            <w:hideMark/>
          </w:tcPr>
          <w:p w14:paraId="3CAC6D3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50–75%</w:t>
            </w:r>
          </w:p>
        </w:tc>
        <w:tc>
          <w:tcPr>
            <w:tcW w:w="0" w:type="auto"/>
            <w:tcMar>
              <w:top w:w="15" w:type="dxa"/>
              <w:left w:w="15" w:type="dxa"/>
              <w:bottom w:w="15" w:type="dxa"/>
              <w:right w:w="15" w:type="dxa"/>
            </w:tcMar>
            <w:vAlign w:val="center"/>
            <w:hideMark/>
          </w:tcPr>
          <w:p w14:paraId="3DE5A6E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68</w:t>
            </w:r>
          </w:p>
        </w:tc>
        <w:tc>
          <w:tcPr>
            <w:tcW w:w="0" w:type="auto"/>
            <w:tcMar>
              <w:top w:w="15" w:type="dxa"/>
              <w:left w:w="15" w:type="dxa"/>
              <w:bottom w:w="15" w:type="dxa"/>
              <w:right w:w="15" w:type="dxa"/>
            </w:tcMar>
            <w:vAlign w:val="center"/>
            <w:hideMark/>
          </w:tcPr>
          <w:p w14:paraId="2E40A4F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19.5</w:t>
            </w:r>
          </w:p>
        </w:tc>
      </w:tr>
      <w:tr w:rsidR="00E16114" w:rsidRPr="007F6CB3" w14:paraId="0F2C44C6" w14:textId="77777777" w:rsidTr="0026594F">
        <w:trPr>
          <w:trHeight w:val="789"/>
          <w:tblCellSpacing w:w="15" w:type="dxa"/>
        </w:trPr>
        <w:tc>
          <w:tcPr>
            <w:tcW w:w="0" w:type="auto"/>
            <w:tcMar>
              <w:top w:w="15" w:type="dxa"/>
              <w:left w:w="15" w:type="dxa"/>
              <w:bottom w:w="15" w:type="dxa"/>
              <w:right w:w="15" w:type="dxa"/>
            </w:tcMar>
            <w:vAlign w:val="center"/>
            <w:hideMark/>
          </w:tcPr>
          <w:p w14:paraId="21F4E01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&gt; 75%</w:t>
            </w:r>
          </w:p>
        </w:tc>
        <w:tc>
          <w:tcPr>
            <w:tcW w:w="0" w:type="auto"/>
            <w:tcMar>
              <w:top w:w="15" w:type="dxa"/>
              <w:left w:w="15" w:type="dxa"/>
              <w:bottom w:w="15" w:type="dxa"/>
              <w:right w:w="15" w:type="dxa"/>
            </w:tcMar>
            <w:vAlign w:val="center"/>
            <w:hideMark/>
          </w:tcPr>
          <w:p w14:paraId="4A456F9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38</w:t>
            </w:r>
          </w:p>
        </w:tc>
        <w:tc>
          <w:tcPr>
            <w:tcW w:w="0" w:type="auto"/>
            <w:tcMar>
              <w:top w:w="15" w:type="dxa"/>
              <w:left w:w="15" w:type="dxa"/>
              <w:bottom w:w="15" w:type="dxa"/>
              <w:right w:w="15" w:type="dxa"/>
            </w:tcMar>
            <w:vAlign w:val="center"/>
            <w:hideMark/>
          </w:tcPr>
          <w:p w14:paraId="64D65FF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10.9</w:t>
            </w:r>
          </w:p>
        </w:tc>
      </w:tr>
      <w:tr w:rsidR="00E16114" w:rsidRPr="007F6CB3" w14:paraId="4E91C5FF" w14:textId="77777777" w:rsidTr="0026594F">
        <w:trPr>
          <w:trHeight w:val="829"/>
          <w:tblCellSpacing w:w="15" w:type="dxa"/>
        </w:trPr>
        <w:tc>
          <w:tcPr>
            <w:tcW w:w="0" w:type="auto"/>
            <w:tcMar>
              <w:top w:w="15" w:type="dxa"/>
              <w:left w:w="15" w:type="dxa"/>
              <w:bottom w:w="15" w:type="dxa"/>
              <w:right w:w="15" w:type="dxa"/>
            </w:tcMar>
            <w:vAlign w:val="center"/>
            <w:hideMark/>
          </w:tcPr>
          <w:p w14:paraId="305722B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19DAB41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763AF3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49659DE1"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lastRenderedPageBreak/>
        <w:br/>
        <w:t>Most respondents (69.6%) earned less than 50% of their income from sweet potato, reinforcing its role as a supplementary income crop rather than a dominant cash crop.</w:t>
      </w:r>
    </w:p>
    <w:p w14:paraId="5A669D33" w14:textId="77777777" w:rsidR="00E16114" w:rsidRPr="007F6CB3" w:rsidRDefault="00E16114" w:rsidP="00E16114">
      <w:pPr>
        <w:jc w:val="both"/>
        <w:rPr>
          <w:rFonts w:ascii="Times New Roman" w:hAnsi="Times New Roman" w:cs="Times New Roman"/>
          <w:sz w:val="24"/>
          <w:szCs w:val="24"/>
        </w:rPr>
      </w:pPr>
    </w:p>
    <w:p w14:paraId="2DA98CEA" w14:textId="2E4746D4" w:rsidR="00E16114" w:rsidRPr="007F6CB3" w:rsidRDefault="00E16114" w:rsidP="00E16114">
      <w:pPr>
        <w:jc w:val="both"/>
        <w:rPr>
          <w:rFonts w:ascii="Times New Roman" w:hAnsi="Times New Roman" w:cs="Times New Roman"/>
          <w:sz w:val="24"/>
          <w:szCs w:val="24"/>
        </w:rPr>
      </w:pPr>
      <w:bookmarkStart w:id="29" w:name="_Hlk221326733"/>
      <w:r w:rsidRPr="007F6CB3">
        <w:rPr>
          <w:rFonts w:ascii="Times New Roman" w:hAnsi="Times New Roman" w:cs="Times New Roman"/>
          <w:sz w:val="24"/>
          <w:szCs w:val="24"/>
        </w:rPr>
        <w:t>Table 11.</w:t>
      </w:r>
      <w:r w:rsidR="001D7503">
        <w:rPr>
          <w:rFonts w:ascii="Times New Roman" w:hAnsi="Times New Roman" w:cs="Times New Roman"/>
          <w:sz w:val="24"/>
          <w:szCs w:val="24"/>
        </w:rPr>
        <w:t>3.</w:t>
      </w:r>
      <w:r w:rsidRPr="007F6CB3">
        <w:rPr>
          <w:rFonts w:ascii="Times New Roman" w:hAnsi="Times New Roman" w:cs="Times New Roman"/>
          <w:sz w:val="24"/>
          <w:szCs w:val="24"/>
        </w:rPr>
        <w:t>: Marketing channels for sweet potato (multiple responses)</w:t>
      </w:r>
      <w:bookmarkEnd w:id="29"/>
    </w:p>
    <w:tbl>
      <w:tblPr>
        <w:tblW w:w="9002" w:type="dxa"/>
        <w:tblCellSpacing w:w="15" w:type="dxa"/>
        <w:tblLook w:val="04A0" w:firstRow="1" w:lastRow="0" w:firstColumn="1" w:lastColumn="0" w:noHBand="0" w:noVBand="1"/>
      </w:tblPr>
      <w:tblGrid>
        <w:gridCol w:w="4460"/>
        <w:gridCol w:w="1860"/>
        <w:gridCol w:w="2682"/>
      </w:tblGrid>
      <w:tr w:rsidR="00E16114" w:rsidRPr="007F6CB3" w14:paraId="702AA61A" w14:textId="77777777" w:rsidTr="0026594F">
        <w:trPr>
          <w:trHeight w:val="613"/>
          <w:tblHeader/>
          <w:tblCellSpacing w:w="15" w:type="dxa"/>
        </w:trPr>
        <w:tc>
          <w:tcPr>
            <w:tcW w:w="0" w:type="auto"/>
            <w:tcMar>
              <w:top w:w="15" w:type="dxa"/>
              <w:left w:w="15" w:type="dxa"/>
              <w:bottom w:w="15" w:type="dxa"/>
              <w:right w:w="15" w:type="dxa"/>
            </w:tcMar>
            <w:vAlign w:val="center"/>
            <w:hideMark/>
          </w:tcPr>
          <w:p w14:paraId="5C8FA940" w14:textId="77777777" w:rsidR="00E16114" w:rsidRPr="007F6CB3" w:rsidRDefault="00E16114" w:rsidP="0026594F">
            <w:pPr>
              <w:jc w:val="both"/>
              <w:rPr>
                <w:rFonts w:ascii="Times New Roman" w:hAnsi="Times New Roman" w:cs="Times New Roman"/>
                <w:sz w:val="24"/>
                <w:szCs w:val="24"/>
              </w:rPr>
            </w:pPr>
          </w:p>
          <w:p w14:paraId="0E5CD79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Marketing channel</w:t>
            </w:r>
          </w:p>
        </w:tc>
        <w:tc>
          <w:tcPr>
            <w:tcW w:w="0" w:type="auto"/>
            <w:tcMar>
              <w:top w:w="15" w:type="dxa"/>
              <w:left w:w="15" w:type="dxa"/>
              <w:bottom w:w="15" w:type="dxa"/>
              <w:right w:w="15" w:type="dxa"/>
            </w:tcMar>
            <w:vAlign w:val="center"/>
            <w:hideMark/>
          </w:tcPr>
          <w:p w14:paraId="1AC77F7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7270E5B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39EC2A5" w14:textId="77777777" w:rsidTr="0026594F">
        <w:trPr>
          <w:trHeight w:val="322"/>
          <w:tblCellSpacing w:w="15" w:type="dxa"/>
        </w:trPr>
        <w:tc>
          <w:tcPr>
            <w:tcW w:w="0" w:type="auto"/>
            <w:tcMar>
              <w:top w:w="15" w:type="dxa"/>
              <w:left w:w="15" w:type="dxa"/>
              <w:bottom w:w="15" w:type="dxa"/>
              <w:right w:w="15" w:type="dxa"/>
            </w:tcMar>
            <w:vAlign w:val="center"/>
            <w:hideMark/>
          </w:tcPr>
          <w:p w14:paraId="2F332BD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Farm gate sales</w:t>
            </w:r>
          </w:p>
        </w:tc>
        <w:tc>
          <w:tcPr>
            <w:tcW w:w="0" w:type="auto"/>
            <w:tcMar>
              <w:top w:w="15" w:type="dxa"/>
              <w:left w:w="15" w:type="dxa"/>
              <w:bottom w:w="15" w:type="dxa"/>
              <w:right w:w="15" w:type="dxa"/>
            </w:tcMar>
            <w:vAlign w:val="center"/>
            <w:hideMark/>
          </w:tcPr>
          <w:p w14:paraId="5926468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tcMar>
              <w:top w:w="15" w:type="dxa"/>
              <w:left w:w="15" w:type="dxa"/>
              <w:bottom w:w="15" w:type="dxa"/>
              <w:right w:w="15" w:type="dxa"/>
            </w:tcMar>
            <w:vAlign w:val="center"/>
            <w:hideMark/>
          </w:tcPr>
          <w:p w14:paraId="2C6B837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42.0</w:t>
            </w:r>
          </w:p>
        </w:tc>
      </w:tr>
      <w:tr w:rsidR="00E16114" w:rsidRPr="007F6CB3" w14:paraId="6BCD040B" w14:textId="77777777" w:rsidTr="0026594F">
        <w:trPr>
          <w:trHeight w:val="306"/>
          <w:tblCellSpacing w:w="15" w:type="dxa"/>
        </w:trPr>
        <w:tc>
          <w:tcPr>
            <w:tcW w:w="0" w:type="auto"/>
            <w:tcMar>
              <w:top w:w="15" w:type="dxa"/>
              <w:left w:w="15" w:type="dxa"/>
              <w:bottom w:w="15" w:type="dxa"/>
              <w:right w:w="15" w:type="dxa"/>
            </w:tcMar>
            <w:vAlign w:val="center"/>
            <w:hideMark/>
          </w:tcPr>
          <w:p w14:paraId="6C9E15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Local market</w:t>
            </w:r>
          </w:p>
        </w:tc>
        <w:tc>
          <w:tcPr>
            <w:tcW w:w="0" w:type="auto"/>
            <w:tcMar>
              <w:top w:w="15" w:type="dxa"/>
              <w:left w:w="15" w:type="dxa"/>
              <w:bottom w:w="15" w:type="dxa"/>
              <w:right w:w="15" w:type="dxa"/>
            </w:tcMar>
            <w:vAlign w:val="center"/>
            <w:hideMark/>
          </w:tcPr>
          <w:p w14:paraId="079A56C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238</w:t>
            </w:r>
          </w:p>
        </w:tc>
        <w:tc>
          <w:tcPr>
            <w:tcW w:w="0" w:type="auto"/>
            <w:tcMar>
              <w:top w:w="15" w:type="dxa"/>
              <w:left w:w="15" w:type="dxa"/>
              <w:bottom w:w="15" w:type="dxa"/>
              <w:right w:w="15" w:type="dxa"/>
            </w:tcMar>
            <w:vAlign w:val="center"/>
            <w:hideMark/>
          </w:tcPr>
          <w:p w14:paraId="4700266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68.4</w:t>
            </w:r>
          </w:p>
        </w:tc>
      </w:tr>
      <w:tr w:rsidR="00E16114" w:rsidRPr="007F6CB3" w14:paraId="1CC53927" w14:textId="77777777" w:rsidTr="0026594F">
        <w:trPr>
          <w:trHeight w:val="306"/>
          <w:tblCellSpacing w:w="15" w:type="dxa"/>
        </w:trPr>
        <w:tc>
          <w:tcPr>
            <w:tcW w:w="0" w:type="auto"/>
            <w:tcMar>
              <w:top w:w="15" w:type="dxa"/>
              <w:left w:w="15" w:type="dxa"/>
              <w:bottom w:w="15" w:type="dxa"/>
              <w:right w:w="15" w:type="dxa"/>
            </w:tcMar>
            <w:vAlign w:val="center"/>
            <w:hideMark/>
          </w:tcPr>
          <w:p w14:paraId="33210BA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Middlemen</w:t>
            </w:r>
          </w:p>
        </w:tc>
        <w:tc>
          <w:tcPr>
            <w:tcW w:w="0" w:type="auto"/>
            <w:tcMar>
              <w:top w:w="15" w:type="dxa"/>
              <w:left w:w="15" w:type="dxa"/>
              <w:bottom w:w="15" w:type="dxa"/>
              <w:right w:w="15" w:type="dxa"/>
            </w:tcMar>
            <w:vAlign w:val="center"/>
            <w:hideMark/>
          </w:tcPr>
          <w:p w14:paraId="15C9415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176</w:t>
            </w:r>
          </w:p>
        </w:tc>
        <w:tc>
          <w:tcPr>
            <w:tcW w:w="0" w:type="auto"/>
            <w:tcMar>
              <w:top w:w="15" w:type="dxa"/>
              <w:left w:w="15" w:type="dxa"/>
              <w:bottom w:w="15" w:type="dxa"/>
              <w:right w:w="15" w:type="dxa"/>
            </w:tcMar>
            <w:vAlign w:val="center"/>
            <w:hideMark/>
          </w:tcPr>
          <w:p w14:paraId="64DD66F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50.6</w:t>
            </w:r>
          </w:p>
        </w:tc>
      </w:tr>
      <w:tr w:rsidR="00E16114" w:rsidRPr="007F6CB3" w14:paraId="2070C5AA" w14:textId="77777777" w:rsidTr="0026594F">
        <w:trPr>
          <w:trHeight w:val="306"/>
          <w:tblCellSpacing w:w="15" w:type="dxa"/>
        </w:trPr>
        <w:tc>
          <w:tcPr>
            <w:tcW w:w="0" w:type="auto"/>
            <w:tcMar>
              <w:top w:w="15" w:type="dxa"/>
              <w:left w:w="15" w:type="dxa"/>
              <w:bottom w:w="15" w:type="dxa"/>
              <w:right w:w="15" w:type="dxa"/>
            </w:tcMar>
            <w:vAlign w:val="center"/>
            <w:hideMark/>
          </w:tcPr>
          <w:p w14:paraId="552E51F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Bulk buyers / wholesalers</w:t>
            </w:r>
          </w:p>
        </w:tc>
        <w:tc>
          <w:tcPr>
            <w:tcW w:w="0" w:type="auto"/>
            <w:tcMar>
              <w:top w:w="15" w:type="dxa"/>
              <w:left w:w="15" w:type="dxa"/>
              <w:bottom w:w="15" w:type="dxa"/>
              <w:right w:w="15" w:type="dxa"/>
            </w:tcMar>
            <w:vAlign w:val="center"/>
            <w:hideMark/>
          </w:tcPr>
          <w:p w14:paraId="6D0ACDB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92</w:t>
            </w:r>
          </w:p>
        </w:tc>
        <w:tc>
          <w:tcPr>
            <w:tcW w:w="0" w:type="auto"/>
            <w:tcMar>
              <w:top w:w="15" w:type="dxa"/>
              <w:left w:w="15" w:type="dxa"/>
              <w:bottom w:w="15" w:type="dxa"/>
              <w:right w:w="15" w:type="dxa"/>
            </w:tcMar>
            <w:vAlign w:val="center"/>
            <w:hideMark/>
          </w:tcPr>
          <w:p w14:paraId="5283AC2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26.4</w:t>
            </w:r>
          </w:p>
        </w:tc>
      </w:tr>
      <w:tr w:rsidR="00E16114" w:rsidRPr="007F6CB3" w14:paraId="17536F2E" w14:textId="77777777" w:rsidTr="0026594F">
        <w:trPr>
          <w:trHeight w:val="322"/>
          <w:tblCellSpacing w:w="15" w:type="dxa"/>
        </w:trPr>
        <w:tc>
          <w:tcPr>
            <w:tcW w:w="0" w:type="auto"/>
            <w:tcMar>
              <w:top w:w="15" w:type="dxa"/>
              <w:left w:w="15" w:type="dxa"/>
              <w:bottom w:w="15" w:type="dxa"/>
              <w:right w:w="15" w:type="dxa"/>
            </w:tcMar>
            <w:vAlign w:val="center"/>
            <w:hideMark/>
          </w:tcPr>
          <w:p w14:paraId="215BCEA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5A1359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w:t>
            </w:r>
          </w:p>
        </w:tc>
        <w:tc>
          <w:tcPr>
            <w:tcW w:w="0" w:type="auto"/>
            <w:tcMar>
              <w:top w:w="15" w:type="dxa"/>
              <w:left w:w="15" w:type="dxa"/>
              <w:bottom w:w="15" w:type="dxa"/>
              <w:right w:w="15" w:type="dxa"/>
            </w:tcMar>
            <w:vAlign w:val="center"/>
            <w:hideMark/>
          </w:tcPr>
          <w:p w14:paraId="334FCC0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w:t>
            </w:r>
          </w:p>
        </w:tc>
      </w:tr>
    </w:tbl>
    <w:p w14:paraId="76DCFF7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Local markets (68.4%) and middlemen (50.6%) dominate sweet potato marketing. Limited engagement with bulk buyers indicates weak market integration and bargaining power among farmers.</w:t>
      </w:r>
    </w:p>
    <w:p w14:paraId="17425F11" w14:textId="77777777" w:rsidR="00E16114" w:rsidRPr="007F6CB3" w:rsidRDefault="00E16114" w:rsidP="00E16114">
      <w:pPr>
        <w:jc w:val="both"/>
        <w:rPr>
          <w:rFonts w:ascii="Times New Roman" w:hAnsi="Times New Roman" w:cs="Times New Roman"/>
          <w:sz w:val="24"/>
          <w:szCs w:val="24"/>
        </w:rPr>
      </w:pPr>
    </w:p>
    <w:p w14:paraId="6845BE01" w14:textId="4F9B0E37" w:rsidR="00E16114" w:rsidRPr="007F6CB3" w:rsidRDefault="00E16114" w:rsidP="00E16114">
      <w:pPr>
        <w:jc w:val="both"/>
        <w:rPr>
          <w:rFonts w:ascii="Times New Roman" w:hAnsi="Times New Roman" w:cs="Times New Roman"/>
          <w:sz w:val="24"/>
          <w:szCs w:val="24"/>
        </w:rPr>
      </w:pPr>
      <w:bookmarkStart w:id="30" w:name="_Hlk221326772"/>
      <w:r w:rsidRPr="007F6CB3">
        <w:rPr>
          <w:rFonts w:ascii="Times New Roman" w:hAnsi="Times New Roman" w:cs="Times New Roman"/>
          <w:sz w:val="24"/>
          <w:szCs w:val="24"/>
        </w:rPr>
        <w:t>Table 11.</w:t>
      </w:r>
      <w:r w:rsidR="001D7503">
        <w:rPr>
          <w:rFonts w:ascii="Times New Roman" w:hAnsi="Times New Roman" w:cs="Times New Roman"/>
          <w:sz w:val="24"/>
          <w:szCs w:val="24"/>
        </w:rPr>
        <w:t>4.</w:t>
      </w:r>
      <w:r w:rsidRPr="007F6CB3">
        <w:rPr>
          <w:rFonts w:ascii="Times New Roman" w:hAnsi="Times New Roman" w:cs="Times New Roman"/>
          <w:sz w:val="24"/>
          <w:szCs w:val="24"/>
        </w:rPr>
        <w:t>: Major challenges affecting income from sweet potato (multiple responses)</w:t>
      </w:r>
    </w:p>
    <w:tbl>
      <w:tblPr>
        <w:tblW w:w="8972" w:type="dxa"/>
        <w:tblCellSpacing w:w="15" w:type="dxa"/>
        <w:tblLook w:val="04A0" w:firstRow="1" w:lastRow="0" w:firstColumn="1" w:lastColumn="0" w:noHBand="0" w:noVBand="1"/>
      </w:tblPr>
      <w:tblGrid>
        <w:gridCol w:w="4319"/>
        <w:gridCol w:w="1905"/>
        <w:gridCol w:w="2748"/>
      </w:tblGrid>
      <w:tr w:rsidR="00E16114" w:rsidRPr="007F6CB3" w14:paraId="08054150" w14:textId="77777777" w:rsidTr="0026594F">
        <w:trPr>
          <w:trHeight w:val="325"/>
          <w:tblHeader/>
          <w:tblCellSpacing w:w="15" w:type="dxa"/>
        </w:trPr>
        <w:tc>
          <w:tcPr>
            <w:tcW w:w="0" w:type="auto"/>
            <w:tcMar>
              <w:top w:w="15" w:type="dxa"/>
              <w:left w:w="15" w:type="dxa"/>
              <w:bottom w:w="15" w:type="dxa"/>
              <w:right w:w="15" w:type="dxa"/>
            </w:tcMar>
            <w:vAlign w:val="center"/>
            <w:hideMark/>
          </w:tcPr>
          <w:bookmarkEnd w:id="30"/>
          <w:p w14:paraId="56971A5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Challenge</w:t>
            </w:r>
          </w:p>
        </w:tc>
        <w:tc>
          <w:tcPr>
            <w:tcW w:w="0" w:type="auto"/>
            <w:tcMar>
              <w:top w:w="15" w:type="dxa"/>
              <w:left w:w="15" w:type="dxa"/>
              <w:bottom w:w="15" w:type="dxa"/>
              <w:right w:w="15" w:type="dxa"/>
            </w:tcMar>
            <w:vAlign w:val="center"/>
            <w:hideMark/>
          </w:tcPr>
          <w:p w14:paraId="7DDB07C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56C6144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69F81EB9" w14:textId="77777777" w:rsidTr="0026594F">
        <w:trPr>
          <w:trHeight w:val="341"/>
          <w:tblCellSpacing w:w="15" w:type="dxa"/>
        </w:trPr>
        <w:tc>
          <w:tcPr>
            <w:tcW w:w="0" w:type="auto"/>
            <w:tcMar>
              <w:top w:w="15" w:type="dxa"/>
              <w:left w:w="15" w:type="dxa"/>
              <w:bottom w:w="15" w:type="dxa"/>
              <w:right w:w="15" w:type="dxa"/>
            </w:tcMar>
            <w:vAlign w:val="center"/>
            <w:hideMark/>
          </w:tcPr>
          <w:p w14:paraId="4CA7592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Low market price</w:t>
            </w:r>
          </w:p>
        </w:tc>
        <w:tc>
          <w:tcPr>
            <w:tcW w:w="0" w:type="auto"/>
            <w:tcMar>
              <w:top w:w="15" w:type="dxa"/>
              <w:left w:w="15" w:type="dxa"/>
              <w:bottom w:w="15" w:type="dxa"/>
              <w:right w:w="15" w:type="dxa"/>
            </w:tcMar>
            <w:vAlign w:val="center"/>
            <w:hideMark/>
          </w:tcPr>
          <w:p w14:paraId="4B1404C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214</w:t>
            </w:r>
          </w:p>
        </w:tc>
        <w:tc>
          <w:tcPr>
            <w:tcW w:w="0" w:type="auto"/>
            <w:tcMar>
              <w:top w:w="15" w:type="dxa"/>
              <w:left w:w="15" w:type="dxa"/>
              <w:bottom w:w="15" w:type="dxa"/>
              <w:right w:w="15" w:type="dxa"/>
            </w:tcMar>
            <w:vAlign w:val="center"/>
            <w:hideMark/>
          </w:tcPr>
          <w:p w14:paraId="5A076D4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61.5</w:t>
            </w:r>
          </w:p>
        </w:tc>
      </w:tr>
      <w:tr w:rsidR="00E16114" w:rsidRPr="007F6CB3" w14:paraId="1617B2AE" w14:textId="77777777" w:rsidTr="0026594F">
        <w:trPr>
          <w:trHeight w:val="325"/>
          <w:tblCellSpacing w:w="15" w:type="dxa"/>
        </w:trPr>
        <w:tc>
          <w:tcPr>
            <w:tcW w:w="0" w:type="auto"/>
            <w:tcMar>
              <w:top w:w="15" w:type="dxa"/>
              <w:left w:w="15" w:type="dxa"/>
              <w:bottom w:w="15" w:type="dxa"/>
              <w:right w:w="15" w:type="dxa"/>
            </w:tcMar>
            <w:vAlign w:val="center"/>
            <w:hideMark/>
          </w:tcPr>
          <w:p w14:paraId="6EBF88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High post-harvest losses</w:t>
            </w:r>
          </w:p>
        </w:tc>
        <w:tc>
          <w:tcPr>
            <w:tcW w:w="0" w:type="auto"/>
            <w:tcMar>
              <w:top w:w="15" w:type="dxa"/>
              <w:left w:w="15" w:type="dxa"/>
              <w:bottom w:w="15" w:type="dxa"/>
              <w:right w:w="15" w:type="dxa"/>
            </w:tcMar>
            <w:vAlign w:val="center"/>
            <w:hideMark/>
          </w:tcPr>
          <w:p w14:paraId="44E6984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188</w:t>
            </w:r>
          </w:p>
        </w:tc>
        <w:tc>
          <w:tcPr>
            <w:tcW w:w="0" w:type="auto"/>
            <w:tcMar>
              <w:top w:w="15" w:type="dxa"/>
              <w:left w:w="15" w:type="dxa"/>
              <w:bottom w:w="15" w:type="dxa"/>
              <w:right w:w="15" w:type="dxa"/>
            </w:tcMar>
            <w:vAlign w:val="center"/>
            <w:hideMark/>
          </w:tcPr>
          <w:p w14:paraId="5D6C12B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54.0</w:t>
            </w:r>
          </w:p>
        </w:tc>
      </w:tr>
      <w:tr w:rsidR="00E16114" w:rsidRPr="007F6CB3" w14:paraId="7212E560" w14:textId="77777777" w:rsidTr="0026594F">
        <w:trPr>
          <w:trHeight w:val="325"/>
          <w:tblCellSpacing w:w="15" w:type="dxa"/>
        </w:trPr>
        <w:tc>
          <w:tcPr>
            <w:tcW w:w="0" w:type="auto"/>
            <w:tcMar>
              <w:top w:w="15" w:type="dxa"/>
              <w:left w:w="15" w:type="dxa"/>
              <w:bottom w:w="15" w:type="dxa"/>
              <w:right w:w="15" w:type="dxa"/>
            </w:tcMar>
            <w:vAlign w:val="center"/>
            <w:hideMark/>
          </w:tcPr>
          <w:p w14:paraId="262E84C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Poor storage</w:t>
            </w:r>
          </w:p>
        </w:tc>
        <w:tc>
          <w:tcPr>
            <w:tcW w:w="0" w:type="auto"/>
            <w:tcMar>
              <w:top w:w="15" w:type="dxa"/>
              <w:left w:w="15" w:type="dxa"/>
              <w:bottom w:w="15" w:type="dxa"/>
              <w:right w:w="15" w:type="dxa"/>
            </w:tcMar>
            <w:vAlign w:val="center"/>
            <w:hideMark/>
          </w:tcPr>
          <w:p w14:paraId="61A83E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176</w:t>
            </w:r>
          </w:p>
        </w:tc>
        <w:tc>
          <w:tcPr>
            <w:tcW w:w="0" w:type="auto"/>
            <w:tcMar>
              <w:top w:w="15" w:type="dxa"/>
              <w:left w:w="15" w:type="dxa"/>
              <w:bottom w:w="15" w:type="dxa"/>
              <w:right w:w="15" w:type="dxa"/>
            </w:tcMar>
            <w:vAlign w:val="center"/>
            <w:hideMark/>
          </w:tcPr>
          <w:p w14:paraId="0E83D1C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50.6</w:t>
            </w:r>
          </w:p>
        </w:tc>
      </w:tr>
      <w:tr w:rsidR="00E16114" w:rsidRPr="007F6CB3" w14:paraId="5B352D20" w14:textId="77777777" w:rsidTr="0026594F">
        <w:trPr>
          <w:trHeight w:val="325"/>
          <w:tblCellSpacing w:w="15" w:type="dxa"/>
        </w:trPr>
        <w:tc>
          <w:tcPr>
            <w:tcW w:w="0" w:type="auto"/>
            <w:tcMar>
              <w:top w:w="15" w:type="dxa"/>
              <w:left w:w="15" w:type="dxa"/>
              <w:bottom w:w="15" w:type="dxa"/>
              <w:right w:w="15" w:type="dxa"/>
            </w:tcMar>
            <w:vAlign w:val="center"/>
            <w:hideMark/>
          </w:tcPr>
          <w:p w14:paraId="59F6954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Seasonal fluctuations</w:t>
            </w:r>
          </w:p>
        </w:tc>
        <w:tc>
          <w:tcPr>
            <w:tcW w:w="0" w:type="auto"/>
            <w:tcMar>
              <w:top w:w="15" w:type="dxa"/>
              <w:left w:w="15" w:type="dxa"/>
              <w:bottom w:w="15" w:type="dxa"/>
              <w:right w:w="15" w:type="dxa"/>
            </w:tcMar>
            <w:vAlign w:val="center"/>
            <w:hideMark/>
          </w:tcPr>
          <w:p w14:paraId="63C992F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152</w:t>
            </w:r>
          </w:p>
        </w:tc>
        <w:tc>
          <w:tcPr>
            <w:tcW w:w="0" w:type="auto"/>
            <w:tcMar>
              <w:top w:w="15" w:type="dxa"/>
              <w:left w:w="15" w:type="dxa"/>
              <w:bottom w:w="15" w:type="dxa"/>
              <w:right w:w="15" w:type="dxa"/>
            </w:tcMar>
            <w:vAlign w:val="center"/>
            <w:hideMark/>
          </w:tcPr>
          <w:p w14:paraId="471712B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43.7</w:t>
            </w:r>
          </w:p>
        </w:tc>
      </w:tr>
      <w:tr w:rsidR="00E16114" w:rsidRPr="007F6CB3" w14:paraId="3CEC0DF9" w14:textId="77777777" w:rsidTr="0026594F">
        <w:trPr>
          <w:trHeight w:val="341"/>
          <w:tblCellSpacing w:w="15" w:type="dxa"/>
        </w:trPr>
        <w:tc>
          <w:tcPr>
            <w:tcW w:w="0" w:type="auto"/>
            <w:tcMar>
              <w:top w:w="15" w:type="dxa"/>
              <w:left w:w="15" w:type="dxa"/>
              <w:bottom w:w="15" w:type="dxa"/>
              <w:right w:w="15" w:type="dxa"/>
            </w:tcMar>
            <w:vAlign w:val="center"/>
            <w:hideMark/>
          </w:tcPr>
          <w:p w14:paraId="2211052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Transportation issues</w:t>
            </w:r>
          </w:p>
        </w:tc>
        <w:tc>
          <w:tcPr>
            <w:tcW w:w="0" w:type="auto"/>
            <w:tcMar>
              <w:top w:w="15" w:type="dxa"/>
              <w:left w:w="15" w:type="dxa"/>
              <w:bottom w:w="15" w:type="dxa"/>
              <w:right w:w="15" w:type="dxa"/>
            </w:tcMar>
            <w:vAlign w:val="center"/>
            <w:hideMark/>
          </w:tcPr>
          <w:p w14:paraId="01FEC16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118</w:t>
            </w:r>
          </w:p>
        </w:tc>
        <w:tc>
          <w:tcPr>
            <w:tcW w:w="0" w:type="auto"/>
            <w:tcMar>
              <w:top w:w="15" w:type="dxa"/>
              <w:left w:w="15" w:type="dxa"/>
              <w:bottom w:w="15" w:type="dxa"/>
              <w:right w:w="15" w:type="dxa"/>
            </w:tcMar>
            <w:vAlign w:val="center"/>
            <w:hideMark/>
          </w:tcPr>
          <w:p w14:paraId="254E039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33.9</w:t>
            </w:r>
          </w:p>
        </w:tc>
      </w:tr>
      <w:tr w:rsidR="00E16114" w:rsidRPr="007F6CB3" w14:paraId="3B531293" w14:textId="77777777" w:rsidTr="0026594F">
        <w:trPr>
          <w:trHeight w:val="325"/>
          <w:tblCellSpacing w:w="15" w:type="dxa"/>
        </w:trPr>
        <w:tc>
          <w:tcPr>
            <w:tcW w:w="0" w:type="auto"/>
            <w:tcMar>
              <w:top w:w="15" w:type="dxa"/>
              <w:left w:w="15" w:type="dxa"/>
              <w:bottom w:w="15" w:type="dxa"/>
              <w:right w:w="15" w:type="dxa"/>
            </w:tcMar>
            <w:vAlign w:val="center"/>
            <w:hideMark/>
          </w:tcPr>
          <w:p w14:paraId="46E0E5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3CD8A82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26</w:t>
            </w:r>
          </w:p>
        </w:tc>
        <w:tc>
          <w:tcPr>
            <w:tcW w:w="0" w:type="auto"/>
            <w:tcMar>
              <w:top w:w="15" w:type="dxa"/>
              <w:left w:w="15" w:type="dxa"/>
              <w:bottom w:w="15" w:type="dxa"/>
              <w:right w:w="15" w:type="dxa"/>
            </w:tcMar>
            <w:vAlign w:val="center"/>
            <w:hideMark/>
          </w:tcPr>
          <w:p w14:paraId="5EB75C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7.5</w:t>
            </w:r>
          </w:p>
        </w:tc>
      </w:tr>
    </w:tbl>
    <w:p w14:paraId="7CFC5F8D"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Low market price and post-harvest losses were the most critical constraints, emphasizing the need for improved storage and value-addition technologies.</w:t>
      </w:r>
    </w:p>
    <w:p w14:paraId="78EA8F5E" w14:textId="77777777" w:rsidR="00E16114" w:rsidRPr="007F6CB3" w:rsidRDefault="00E16114" w:rsidP="00E16114">
      <w:pPr>
        <w:jc w:val="both"/>
        <w:rPr>
          <w:rFonts w:ascii="Times New Roman" w:hAnsi="Times New Roman" w:cs="Times New Roman"/>
          <w:sz w:val="24"/>
          <w:szCs w:val="24"/>
        </w:rPr>
      </w:pPr>
    </w:p>
    <w:p w14:paraId="598AFFC2" w14:textId="77777777" w:rsidR="00E16114" w:rsidRPr="007F6CB3" w:rsidRDefault="00E16114" w:rsidP="00E16114">
      <w:pPr>
        <w:jc w:val="both"/>
        <w:rPr>
          <w:rFonts w:ascii="Times New Roman" w:hAnsi="Times New Roman" w:cs="Times New Roman"/>
          <w:sz w:val="24"/>
          <w:szCs w:val="24"/>
        </w:rPr>
      </w:pPr>
      <w:bookmarkStart w:id="31" w:name="_Hlk221326839"/>
      <w:r w:rsidRPr="007F6CB3">
        <w:rPr>
          <w:rFonts w:ascii="Times New Roman" w:hAnsi="Times New Roman" w:cs="Times New Roman"/>
          <w:sz w:val="24"/>
          <w:szCs w:val="24"/>
        </w:rPr>
        <w:t xml:space="preserve">4.1.12. SECTION G: Knowledge and Perception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and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w:t>
      </w:r>
    </w:p>
    <w:bookmarkEnd w:id="31"/>
    <w:p w14:paraId="4482A3FF" w14:textId="77777777" w:rsidR="00E16114" w:rsidRPr="007F6CB3" w:rsidRDefault="00E16114" w:rsidP="00E16114">
      <w:pPr>
        <w:jc w:val="both"/>
        <w:rPr>
          <w:rFonts w:ascii="Times New Roman" w:hAnsi="Times New Roman" w:cs="Times New Roman"/>
          <w:sz w:val="24"/>
          <w:szCs w:val="24"/>
        </w:rPr>
      </w:pPr>
    </w:p>
    <w:p w14:paraId="62DA4467" w14:textId="50BD969C" w:rsidR="00E16114" w:rsidRPr="007F6CB3" w:rsidRDefault="00E16114" w:rsidP="00E16114">
      <w:pPr>
        <w:jc w:val="both"/>
        <w:rPr>
          <w:rFonts w:ascii="Times New Roman" w:hAnsi="Times New Roman" w:cs="Times New Roman"/>
          <w:sz w:val="24"/>
          <w:szCs w:val="24"/>
        </w:rPr>
      </w:pPr>
      <w:bookmarkStart w:id="32" w:name="_Hlk221326938"/>
      <w:r w:rsidRPr="007F6CB3">
        <w:rPr>
          <w:rFonts w:ascii="Times New Roman" w:hAnsi="Times New Roman" w:cs="Times New Roman"/>
          <w:sz w:val="24"/>
          <w:szCs w:val="24"/>
        </w:rPr>
        <w:t>Table 12.</w:t>
      </w:r>
      <w:r w:rsidR="001D7503">
        <w:rPr>
          <w:rFonts w:ascii="Times New Roman" w:hAnsi="Times New Roman" w:cs="Times New Roman"/>
          <w:sz w:val="24"/>
          <w:szCs w:val="24"/>
        </w:rPr>
        <w:t>1.</w:t>
      </w:r>
      <w:r w:rsidRPr="007F6CB3">
        <w:rPr>
          <w:rFonts w:ascii="Times New Roman" w:hAnsi="Times New Roman" w:cs="Times New Roman"/>
          <w:sz w:val="24"/>
          <w:szCs w:val="24"/>
        </w:rPr>
        <w:t xml:space="preserve">: Awareness of </w:t>
      </w:r>
      <w:proofErr w:type="spellStart"/>
      <w:r w:rsidRPr="007F6CB3">
        <w:rPr>
          <w:rFonts w:ascii="Times New Roman" w:hAnsi="Times New Roman" w:cs="Times New Roman"/>
          <w:sz w:val="24"/>
          <w:szCs w:val="24"/>
        </w:rPr>
        <w:t>biofungicides</w:t>
      </w:r>
      <w:proofErr w:type="spellEnd"/>
    </w:p>
    <w:tbl>
      <w:tblPr>
        <w:tblW w:w="8189" w:type="dxa"/>
        <w:tblCellSpacing w:w="15" w:type="dxa"/>
        <w:tblLook w:val="04A0" w:firstRow="1" w:lastRow="0" w:firstColumn="1" w:lastColumn="0" w:noHBand="0" w:noVBand="1"/>
      </w:tblPr>
      <w:tblGrid>
        <w:gridCol w:w="2238"/>
        <w:gridCol w:w="2437"/>
        <w:gridCol w:w="3514"/>
      </w:tblGrid>
      <w:tr w:rsidR="00E16114" w:rsidRPr="007F6CB3" w14:paraId="33C8412C" w14:textId="77777777" w:rsidTr="0026594F">
        <w:trPr>
          <w:trHeight w:val="311"/>
          <w:tblHeader/>
          <w:tblCellSpacing w:w="15" w:type="dxa"/>
        </w:trPr>
        <w:tc>
          <w:tcPr>
            <w:tcW w:w="0" w:type="auto"/>
            <w:tcMar>
              <w:top w:w="15" w:type="dxa"/>
              <w:left w:w="15" w:type="dxa"/>
              <w:bottom w:w="15" w:type="dxa"/>
              <w:right w:w="15" w:type="dxa"/>
            </w:tcMar>
            <w:vAlign w:val="center"/>
            <w:hideMark/>
          </w:tcPr>
          <w:bookmarkEnd w:id="32"/>
          <w:p w14:paraId="6A7F0A4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26BAC82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669D18A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7E29DA70" w14:textId="77777777" w:rsidTr="0026594F">
        <w:trPr>
          <w:trHeight w:val="326"/>
          <w:tblCellSpacing w:w="15" w:type="dxa"/>
        </w:trPr>
        <w:tc>
          <w:tcPr>
            <w:tcW w:w="0" w:type="auto"/>
            <w:tcMar>
              <w:top w:w="15" w:type="dxa"/>
              <w:left w:w="15" w:type="dxa"/>
              <w:bottom w:w="15" w:type="dxa"/>
              <w:right w:w="15" w:type="dxa"/>
            </w:tcMar>
            <w:vAlign w:val="center"/>
            <w:hideMark/>
          </w:tcPr>
          <w:p w14:paraId="247901C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51465CD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102</w:t>
            </w:r>
          </w:p>
        </w:tc>
        <w:tc>
          <w:tcPr>
            <w:tcW w:w="0" w:type="auto"/>
            <w:tcMar>
              <w:top w:w="15" w:type="dxa"/>
              <w:left w:w="15" w:type="dxa"/>
              <w:bottom w:w="15" w:type="dxa"/>
              <w:right w:w="15" w:type="dxa"/>
            </w:tcMar>
            <w:vAlign w:val="center"/>
            <w:hideMark/>
          </w:tcPr>
          <w:p w14:paraId="1363FE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29.3</w:t>
            </w:r>
          </w:p>
        </w:tc>
      </w:tr>
      <w:tr w:rsidR="00E16114" w:rsidRPr="007F6CB3" w14:paraId="519062FC" w14:textId="77777777" w:rsidTr="0026594F">
        <w:trPr>
          <w:trHeight w:val="311"/>
          <w:tblCellSpacing w:w="15" w:type="dxa"/>
        </w:trPr>
        <w:tc>
          <w:tcPr>
            <w:tcW w:w="0" w:type="auto"/>
            <w:tcMar>
              <w:top w:w="15" w:type="dxa"/>
              <w:left w:w="15" w:type="dxa"/>
              <w:bottom w:w="15" w:type="dxa"/>
              <w:right w:w="15" w:type="dxa"/>
            </w:tcMar>
            <w:vAlign w:val="center"/>
            <w:hideMark/>
          </w:tcPr>
          <w:p w14:paraId="26ADEBC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793A28B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246</w:t>
            </w:r>
          </w:p>
        </w:tc>
        <w:tc>
          <w:tcPr>
            <w:tcW w:w="0" w:type="auto"/>
            <w:tcMar>
              <w:top w:w="15" w:type="dxa"/>
              <w:left w:w="15" w:type="dxa"/>
              <w:bottom w:w="15" w:type="dxa"/>
              <w:right w:w="15" w:type="dxa"/>
            </w:tcMar>
            <w:vAlign w:val="center"/>
            <w:hideMark/>
          </w:tcPr>
          <w:p w14:paraId="47382FD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70.7</w:t>
            </w:r>
          </w:p>
        </w:tc>
      </w:tr>
      <w:tr w:rsidR="00E16114" w:rsidRPr="007F6CB3" w14:paraId="6D586BCB" w14:textId="77777777" w:rsidTr="0026594F">
        <w:trPr>
          <w:trHeight w:val="311"/>
          <w:tblCellSpacing w:w="15" w:type="dxa"/>
        </w:trPr>
        <w:tc>
          <w:tcPr>
            <w:tcW w:w="0" w:type="auto"/>
            <w:tcMar>
              <w:top w:w="15" w:type="dxa"/>
              <w:left w:w="15" w:type="dxa"/>
              <w:bottom w:w="15" w:type="dxa"/>
              <w:right w:w="15" w:type="dxa"/>
            </w:tcMar>
            <w:vAlign w:val="center"/>
            <w:hideMark/>
          </w:tcPr>
          <w:p w14:paraId="2B323E8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4194B65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01246C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742C4793"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was generally low (29.3%), indicating a significant knowledge gap among sweet potato farmers.</w:t>
      </w:r>
    </w:p>
    <w:p w14:paraId="61C2CF4E" w14:textId="77777777" w:rsidR="00E16114" w:rsidRPr="007F6CB3" w:rsidRDefault="00E16114" w:rsidP="00E16114">
      <w:pPr>
        <w:jc w:val="both"/>
        <w:rPr>
          <w:rFonts w:ascii="Times New Roman" w:hAnsi="Times New Roman" w:cs="Times New Roman"/>
          <w:sz w:val="24"/>
          <w:szCs w:val="24"/>
        </w:rPr>
      </w:pPr>
    </w:p>
    <w:p w14:paraId="0997DBC0" w14:textId="75B5B2FB" w:rsidR="00E16114" w:rsidRPr="007F6CB3" w:rsidRDefault="00E16114" w:rsidP="00E16114">
      <w:pPr>
        <w:jc w:val="both"/>
        <w:rPr>
          <w:rFonts w:ascii="Times New Roman" w:hAnsi="Times New Roman" w:cs="Times New Roman"/>
          <w:sz w:val="24"/>
          <w:szCs w:val="24"/>
        </w:rPr>
      </w:pPr>
      <w:bookmarkStart w:id="33" w:name="_Hlk221327016"/>
      <w:r w:rsidRPr="007F6CB3">
        <w:rPr>
          <w:rFonts w:ascii="Times New Roman" w:hAnsi="Times New Roman" w:cs="Times New Roman"/>
          <w:sz w:val="24"/>
          <w:szCs w:val="24"/>
        </w:rPr>
        <w:lastRenderedPageBreak/>
        <w:t>Table 12.</w:t>
      </w:r>
      <w:r w:rsidR="001D7503">
        <w:rPr>
          <w:rFonts w:ascii="Times New Roman" w:hAnsi="Times New Roman" w:cs="Times New Roman"/>
          <w:sz w:val="24"/>
          <w:szCs w:val="24"/>
        </w:rPr>
        <w:t>2.</w:t>
      </w:r>
      <w:r w:rsidRPr="007F6CB3">
        <w:rPr>
          <w:rFonts w:ascii="Times New Roman" w:hAnsi="Times New Roman" w:cs="Times New Roman"/>
          <w:sz w:val="24"/>
          <w:szCs w:val="24"/>
        </w:rPr>
        <w:t>: Perception of microorganisms in rot control</w:t>
      </w:r>
      <w:bookmarkEnd w:id="33"/>
    </w:p>
    <w:tbl>
      <w:tblPr>
        <w:tblW w:w="8245" w:type="dxa"/>
        <w:tblCellSpacing w:w="15" w:type="dxa"/>
        <w:tblLook w:val="04A0" w:firstRow="1" w:lastRow="0" w:firstColumn="1" w:lastColumn="0" w:noHBand="0" w:noVBand="1"/>
      </w:tblPr>
      <w:tblGrid>
        <w:gridCol w:w="2253"/>
        <w:gridCol w:w="2454"/>
        <w:gridCol w:w="3538"/>
      </w:tblGrid>
      <w:tr w:rsidR="00E16114" w:rsidRPr="007F6CB3" w14:paraId="06CA19FD" w14:textId="77777777" w:rsidTr="0026594F">
        <w:trPr>
          <w:trHeight w:val="288"/>
          <w:tblHeader/>
          <w:tblCellSpacing w:w="15" w:type="dxa"/>
        </w:trPr>
        <w:tc>
          <w:tcPr>
            <w:tcW w:w="0" w:type="auto"/>
            <w:tcMar>
              <w:top w:w="15" w:type="dxa"/>
              <w:left w:w="15" w:type="dxa"/>
              <w:bottom w:w="15" w:type="dxa"/>
              <w:right w:w="15" w:type="dxa"/>
            </w:tcMar>
            <w:vAlign w:val="center"/>
            <w:hideMark/>
          </w:tcPr>
          <w:p w14:paraId="21D6044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2A6E119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5BA5E83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09C9F33E" w14:textId="77777777" w:rsidTr="0026594F">
        <w:trPr>
          <w:trHeight w:val="303"/>
          <w:tblCellSpacing w:w="15" w:type="dxa"/>
        </w:trPr>
        <w:tc>
          <w:tcPr>
            <w:tcW w:w="0" w:type="auto"/>
            <w:tcMar>
              <w:top w:w="15" w:type="dxa"/>
              <w:left w:w="15" w:type="dxa"/>
              <w:bottom w:w="15" w:type="dxa"/>
              <w:right w:w="15" w:type="dxa"/>
            </w:tcMar>
            <w:vAlign w:val="center"/>
            <w:hideMark/>
          </w:tcPr>
          <w:p w14:paraId="1253C5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32CC50A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184</w:t>
            </w:r>
          </w:p>
        </w:tc>
        <w:tc>
          <w:tcPr>
            <w:tcW w:w="0" w:type="auto"/>
            <w:tcMar>
              <w:top w:w="15" w:type="dxa"/>
              <w:left w:w="15" w:type="dxa"/>
              <w:bottom w:w="15" w:type="dxa"/>
              <w:right w:w="15" w:type="dxa"/>
            </w:tcMar>
            <w:vAlign w:val="center"/>
            <w:hideMark/>
          </w:tcPr>
          <w:p w14:paraId="633F2D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52.9</w:t>
            </w:r>
          </w:p>
        </w:tc>
      </w:tr>
      <w:tr w:rsidR="00E16114" w:rsidRPr="007F6CB3" w14:paraId="7FF79BEA" w14:textId="77777777" w:rsidTr="0026594F">
        <w:trPr>
          <w:trHeight w:val="288"/>
          <w:tblCellSpacing w:w="15" w:type="dxa"/>
        </w:trPr>
        <w:tc>
          <w:tcPr>
            <w:tcW w:w="0" w:type="auto"/>
            <w:tcMar>
              <w:top w:w="15" w:type="dxa"/>
              <w:left w:w="15" w:type="dxa"/>
              <w:bottom w:w="15" w:type="dxa"/>
              <w:right w:w="15" w:type="dxa"/>
            </w:tcMar>
            <w:vAlign w:val="center"/>
            <w:hideMark/>
          </w:tcPr>
          <w:p w14:paraId="23854D9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4BFF73C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74</w:t>
            </w:r>
          </w:p>
        </w:tc>
        <w:tc>
          <w:tcPr>
            <w:tcW w:w="0" w:type="auto"/>
            <w:tcMar>
              <w:top w:w="15" w:type="dxa"/>
              <w:left w:w="15" w:type="dxa"/>
              <w:bottom w:w="15" w:type="dxa"/>
              <w:right w:w="15" w:type="dxa"/>
            </w:tcMar>
            <w:vAlign w:val="center"/>
            <w:hideMark/>
          </w:tcPr>
          <w:p w14:paraId="220A4B4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21.3</w:t>
            </w:r>
          </w:p>
        </w:tc>
      </w:tr>
      <w:tr w:rsidR="00E16114" w:rsidRPr="007F6CB3" w14:paraId="78C15857" w14:textId="77777777" w:rsidTr="0026594F">
        <w:trPr>
          <w:trHeight w:val="288"/>
          <w:tblCellSpacing w:w="15" w:type="dxa"/>
        </w:trPr>
        <w:tc>
          <w:tcPr>
            <w:tcW w:w="0" w:type="auto"/>
            <w:tcMar>
              <w:top w:w="15" w:type="dxa"/>
              <w:left w:w="15" w:type="dxa"/>
              <w:bottom w:w="15" w:type="dxa"/>
              <w:right w:w="15" w:type="dxa"/>
            </w:tcMar>
            <w:vAlign w:val="center"/>
            <w:hideMark/>
          </w:tcPr>
          <w:p w14:paraId="592563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Not sure</w:t>
            </w:r>
          </w:p>
        </w:tc>
        <w:tc>
          <w:tcPr>
            <w:tcW w:w="0" w:type="auto"/>
            <w:tcMar>
              <w:top w:w="15" w:type="dxa"/>
              <w:left w:w="15" w:type="dxa"/>
              <w:bottom w:w="15" w:type="dxa"/>
              <w:right w:w="15" w:type="dxa"/>
            </w:tcMar>
            <w:vAlign w:val="center"/>
            <w:hideMark/>
          </w:tcPr>
          <w:p w14:paraId="0A58E46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90</w:t>
            </w:r>
          </w:p>
        </w:tc>
        <w:tc>
          <w:tcPr>
            <w:tcW w:w="0" w:type="auto"/>
            <w:tcMar>
              <w:top w:w="15" w:type="dxa"/>
              <w:left w:w="15" w:type="dxa"/>
              <w:bottom w:w="15" w:type="dxa"/>
              <w:right w:w="15" w:type="dxa"/>
            </w:tcMar>
            <w:vAlign w:val="center"/>
            <w:hideMark/>
          </w:tcPr>
          <w:p w14:paraId="0F3ED6C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25.9</w:t>
            </w:r>
          </w:p>
        </w:tc>
      </w:tr>
      <w:tr w:rsidR="00E16114" w:rsidRPr="007F6CB3" w14:paraId="593E9425" w14:textId="77777777" w:rsidTr="0026594F">
        <w:trPr>
          <w:trHeight w:val="288"/>
          <w:tblCellSpacing w:w="15" w:type="dxa"/>
        </w:trPr>
        <w:tc>
          <w:tcPr>
            <w:tcW w:w="0" w:type="auto"/>
            <w:tcMar>
              <w:top w:w="15" w:type="dxa"/>
              <w:left w:w="15" w:type="dxa"/>
              <w:bottom w:w="15" w:type="dxa"/>
              <w:right w:w="15" w:type="dxa"/>
            </w:tcMar>
            <w:vAlign w:val="center"/>
            <w:hideMark/>
          </w:tcPr>
          <w:p w14:paraId="2C67049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07278F1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3A9195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0C6325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Despite low awareness, over half of respondents (52.9%) believed that microorganisms could be used to control crop rots, suggesting latent acceptance potential for biological control technologies.</w:t>
      </w:r>
    </w:p>
    <w:p w14:paraId="5E86512E" w14:textId="77777777" w:rsidR="00E16114" w:rsidRPr="007F6CB3" w:rsidRDefault="00E16114" w:rsidP="00E16114">
      <w:pPr>
        <w:jc w:val="both"/>
        <w:rPr>
          <w:rFonts w:ascii="Times New Roman" w:hAnsi="Times New Roman" w:cs="Times New Roman"/>
          <w:sz w:val="24"/>
          <w:szCs w:val="24"/>
        </w:rPr>
      </w:pPr>
    </w:p>
    <w:p w14:paraId="61E52B2C" w14:textId="68799347" w:rsidR="00E16114" w:rsidRPr="007F6CB3" w:rsidRDefault="00E16114" w:rsidP="00E16114">
      <w:pPr>
        <w:jc w:val="both"/>
        <w:rPr>
          <w:rFonts w:ascii="Times New Roman" w:hAnsi="Times New Roman" w:cs="Times New Roman"/>
          <w:sz w:val="24"/>
          <w:szCs w:val="24"/>
        </w:rPr>
      </w:pPr>
      <w:bookmarkStart w:id="34" w:name="_Hlk221327071"/>
      <w:r w:rsidRPr="007F6CB3">
        <w:rPr>
          <w:rFonts w:ascii="Times New Roman" w:hAnsi="Times New Roman" w:cs="Times New Roman"/>
          <w:sz w:val="24"/>
          <w:szCs w:val="24"/>
        </w:rPr>
        <w:t>Table 12</w:t>
      </w:r>
      <w:r w:rsidR="001D7503">
        <w:rPr>
          <w:rFonts w:ascii="Times New Roman" w:hAnsi="Times New Roman" w:cs="Times New Roman"/>
          <w:sz w:val="24"/>
          <w:szCs w:val="24"/>
        </w:rPr>
        <w:t>.3.</w:t>
      </w:r>
      <w:r w:rsidRPr="007F6CB3">
        <w:rPr>
          <w:rFonts w:ascii="Times New Roman" w:hAnsi="Times New Roman" w:cs="Times New Roman"/>
          <w:sz w:val="24"/>
          <w:szCs w:val="24"/>
        </w:rPr>
        <w:t xml:space="preserve">: Awareness of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w:t>
      </w:r>
      <w:bookmarkEnd w:id="34"/>
    </w:p>
    <w:tbl>
      <w:tblPr>
        <w:tblW w:w="8370" w:type="dxa"/>
        <w:tblCellSpacing w:w="15" w:type="dxa"/>
        <w:tblLook w:val="04A0" w:firstRow="1" w:lastRow="0" w:firstColumn="1" w:lastColumn="0" w:noHBand="0" w:noVBand="1"/>
      </w:tblPr>
      <w:tblGrid>
        <w:gridCol w:w="2287"/>
        <w:gridCol w:w="2491"/>
        <w:gridCol w:w="3592"/>
      </w:tblGrid>
      <w:tr w:rsidR="00E16114" w:rsidRPr="007F6CB3" w14:paraId="0FEE630B" w14:textId="77777777" w:rsidTr="0026594F">
        <w:trPr>
          <w:trHeight w:val="347"/>
          <w:tblHeader/>
          <w:tblCellSpacing w:w="15" w:type="dxa"/>
        </w:trPr>
        <w:tc>
          <w:tcPr>
            <w:tcW w:w="0" w:type="auto"/>
            <w:tcMar>
              <w:top w:w="15" w:type="dxa"/>
              <w:left w:w="15" w:type="dxa"/>
              <w:bottom w:w="15" w:type="dxa"/>
              <w:right w:w="15" w:type="dxa"/>
            </w:tcMar>
            <w:vAlign w:val="center"/>
            <w:hideMark/>
          </w:tcPr>
          <w:p w14:paraId="2FB632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7BBDC62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A66AC5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1FBF7A7B" w14:textId="77777777" w:rsidTr="0026594F">
        <w:trPr>
          <w:trHeight w:val="365"/>
          <w:tblCellSpacing w:w="15" w:type="dxa"/>
        </w:trPr>
        <w:tc>
          <w:tcPr>
            <w:tcW w:w="0" w:type="auto"/>
            <w:tcMar>
              <w:top w:w="15" w:type="dxa"/>
              <w:left w:w="15" w:type="dxa"/>
              <w:bottom w:w="15" w:type="dxa"/>
              <w:right w:w="15" w:type="dxa"/>
            </w:tcMar>
            <w:vAlign w:val="center"/>
            <w:hideMark/>
          </w:tcPr>
          <w:p w14:paraId="475A63E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1B6822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96</w:t>
            </w:r>
          </w:p>
        </w:tc>
        <w:tc>
          <w:tcPr>
            <w:tcW w:w="0" w:type="auto"/>
            <w:tcMar>
              <w:top w:w="15" w:type="dxa"/>
              <w:left w:w="15" w:type="dxa"/>
              <w:bottom w:w="15" w:type="dxa"/>
              <w:right w:w="15" w:type="dxa"/>
            </w:tcMar>
            <w:vAlign w:val="center"/>
            <w:hideMark/>
          </w:tcPr>
          <w:p w14:paraId="01AB329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27.6</w:t>
            </w:r>
          </w:p>
        </w:tc>
      </w:tr>
      <w:tr w:rsidR="00E16114" w:rsidRPr="007F6CB3" w14:paraId="5FFB0DD9" w14:textId="77777777" w:rsidTr="0026594F">
        <w:trPr>
          <w:trHeight w:val="347"/>
          <w:tblCellSpacing w:w="15" w:type="dxa"/>
        </w:trPr>
        <w:tc>
          <w:tcPr>
            <w:tcW w:w="0" w:type="auto"/>
            <w:tcMar>
              <w:top w:w="15" w:type="dxa"/>
              <w:left w:w="15" w:type="dxa"/>
              <w:bottom w:w="15" w:type="dxa"/>
              <w:right w:w="15" w:type="dxa"/>
            </w:tcMar>
            <w:vAlign w:val="center"/>
            <w:hideMark/>
          </w:tcPr>
          <w:p w14:paraId="0FCA950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69C518C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252</w:t>
            </w:r>
          </w:p>
        </w:tc>
        <w:tc>
          <w:tcPr>
            <w:tcW w:w="0" w:type="auto"/>
            <w:tcMar>
              <w:top w:w="15" w:type="dxa"/>
              <w:left w:w="15" w:type="dxa"/>
              <w:bottom w:w="15" w:type="dxa"/>
              <w:right w:w="15" w:type="dxa"/>
            </w:tcMar>
            <w:vAlign w:val="center"/>
            <w:hideMark/>
          </w:tcPr>
          <w:p w14:paraId="4955145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72.4</w:t>
            </w:r>
          </w:p>
        </w:tc>
      </w:tr>
      <w:tr w:rsidR="00E16114" w:rsidRPr="007F6CB3" w14:paraId="16A8546F" w14:textId="77777777" w:rsidTr="0026594F">
        <w:trPr>
          <w:trHeight w:val="347"/>
          <w:tblCellSpacing w:w="15" w:type="dxa"/>
        </w:trPr>
        <w:tc>
          <w:tcPr>
            <w:tcW w:w="0" w:type="auto"/>
            <w:tcMar>
              <w:top w:w="15" w:type="dxa"/>
              <w:left w:w="15" w:type="dxa"/>
              <w:bottom w:w="15" w:type="dxa"/>
              <w:right w:w="15" w:type="dxa"/>
            </w:tcMar>
            <w:vAlign w:val="center"/>
            <w:hideMark/>
          </w:tcPr>
          <w:p w14:paraId="3D4F246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20349D2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1D7E705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2BBDAD9" w14:textId="77777777" w:rsidR="00E16114" w:rsidRPr="007F6CB3" w:rsidRDefault="00E16114" w:rsidP="00E16114">
      <w:pPr>
        <w:jc w:val="both"/>
        <w:rPr>
          <w:rFonts w:ascii="Times New Roman" w:hAnsi="Times New Roman" w:cs="Times New Roman"/>
          <w:sz w:val="24"/>
          <w:szCs w:val="24"/>
        </w:rPr>
      </w:pPr>
    </w:p>
    <w:p w14:paraId="0BC79D56" w14:textId="01DC6275" w:rsidR="00E16114" w:rsidRPr="007F6CB3" w:rsidRDefault="00E16114" w:rsidP="00E16114">
      <w:pPr>
        <w:jc w:val="both"/>
        <w:rPr>
          <w:rFonts w:ascii="Times New Roman" w:hAnsi="Times New Roman" w:cs="Times New Roman"/>
          <w:sz w:val="24"/>
          <w:szCs w:val="24"/>
        </w:rPr>
      </w:pPr>
      <w:bookmarkStart w:id="35" w:name="_Hlk221327109"/>
      <w:r w:rsidRPr="007F6CB3">
        <w:rPr>
          <w:rFonts w:ascii="Times New Roman" w:hAnsi="Times New Roman" w:cs="Times New Roman"/>
          <w:sz w:val="24"/>
          <w:szCs w:val="24"/>
        </w:rPr>
        <w:t>Table 12</w:t>
      </w:r>
      <w:r w:rsidR="001D7503">
        <w:rPr>
          <w:rFonts w:ascii="Times New Roman" w:hAnsi="Times New Roman" w:cs="Times New Roman"/>
          <w:sz w:val="24"/>
          <w:szCs w:val="24"/>
        </w:rPr>
        <w:t>.4.</w:t>
      </w:r>
      <w:r w:rsidRPr="007F6CB3">
        <w:rPr>
          <w:rFonts w:ascii="Times New Roman" w:hAnsi="Times New Roman" w:cs="Times New Roman"/>
          <w:sz w:val="24"/>
          <w:szCs w:val="24"/>
        </w:rPr>
        <w:t xml:space="preserve">: Willingness to use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-based </w:t>
      </w:r>
      <w:proofErr w:type="spellStart"/>
      <w:r w:rsidRPr="007F6CB3">
        <w:rPr>
          <w:rFonts w:ascii="Times New Roman" w:hAnsi="Times New Roman" w:cs="Times New Roman"/>
          <w:sz w:val="24"/>
          <w:szCs w:val="24"/>
        </w:rPr>
        <w:t>biofungicides</w:t>
      </w:r>
      <w:bookmarkEnd w:id="35"/>
      <w:proofErr w:type="spellEnd"/>
    </w:p>
    <w:tbl>
      <w:tblPr>
        <w:tblW w:w="8495" w:type="dxa"/>
        <w:tblCellSpacing w:w="15" w:type="dxa"/>
        <w:tblLook w:val="04A0" w:firstRow="1" w:lastRow="0" w:firstColumn="1" w:lastColumn="0" w:noHBand="0" w:noVBand="1"/>
      </w:tblPr>
      <w:tblGrid>
        <w:gridCol w:w="2320"/>
        <w:gridCol w:w="2529"/>
        <w:gridCol w:w="3646"/>
      </w:tblGrid>
      <w:tr w:rsidR="00E16114" w:rsidRPr="007F6CB3" w14:paraId="7524CC7A" w14:textId="77777777" w:rsidTr="0026594F">
        <w:trPr>
          <w:trHeight w:val="297"/>
          <w:tblHeader/>
          <w:tblCellSpacing w:w="15" w:type="dxa"/>
        </w:trPr>
        <w:tc>
          <w:tcPr>
            <w:tcW w:w="0" w:type="auto"/>
            <w:tcMar>
              <w:top w:w="15" w:type="dxa"/>
              <w:left w:w="15" w:type="dxa"/>
              <w:bottom w:w="15" w:type="dxa"/>
              <w:right w:w="15" w:type="dxa"/>
            </w:tcMar>
            <w:vAlign w:val="center"/>
            <w:hideMark/>
          </w:tcPr>
          <w:p w14:paraId="03EBB24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0424077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753E613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5C03FE78" w14:textId="77777777" w:rsidTr="0026594F">
        <w:trPr>
          <w:trHeight w:val="312"/>
          <w:tblCellSpacing w:w="15" w:type="dxa"/>
        </w:trPr>
        <w:tc>
          <w:tcPr>
            <w:tcW w:w="0" w:type="auto"/>
            <w:tcMar>
              <w:top w:w="15" w:type="dxa"/>
              <w:left w:w="15" w:type="dxa"/>
              <w:bottom w:w="15" w:type="dxa"/>
              <w:right w:w="15" w:type="dxa"/>
            </w:tcMar>
            <w:vAlign w:val="center"/>
            <w:hideMark/>
          </w:tcPr>
          <w:p w14:paraId="1FC55F6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14:paraId="71EAC338"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168</w:t>
            </w:r>
          </w:p>
        </w:tc>
        <w:tc>
          <w:tcPr>
            <w:tcW w:w="0" w:type="auto"/>
            <w:tcMar>
              <w:top w:w="15" w:type="dxa"/>
              <w:left w:w="15" w:type="dxa"/>
              <w:bottom w:w="15" w:type="dxa"/>
              <w:right w:w="15" w:type="dxa"/>
            </w:tcMar>
            <w:vAlign w:val="center"/>
            <w:hideMark/>
          </w:tcPr>
          <w:p w14:paraId="5650276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48.3</w:t>
            </w:r>
          </w:p>
        </w:tc>
      </w:tr>
      <w:tr w:rsidR="00E16114" w:rsidRPr="007F6CB3" w14:paraId="30534685" w14:textId="77777777" w:rsidTr="0026594F">
        <w:trPr>
          <w:trHeight w:val="297"/>
          <w:tblCellSpacing w:w="15" w:type="dxa"/>
        </w:trPr>
        <w:tc>
          <w:tcPr>
            <w:tcW w:w="0" w:type="auto"/>
            <w:tcMar>
              <w:top w:w="15" w:type="dxa"/>
              <w:left w:w="15" w:type="dxa"/>
              <w:bottom w:w="15" w:type="dxa"/>
              <w:right w:w="15" w:type="dxa"/>
            </w:tcMar>
            <w:vAlign w:val="center"/>
            <w:hideMark/>
          </w:tcPr>
          <w:p w14:paraId="204624F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14:paraId="3E04529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62</w:t>
            </w:r>
          </w:p>
        </w:tc>
        <w:tc>
          <w:tcPr>
            <w:tcW w:w="0" w:type="auto"/>
            <w:tcMar>
              <w:top w:w="15" w:type="dxa"/>
              <w:left w:w="15" w:type="dxa"/>
              <w:bottom w:w="15" w:type="dxa"/>
              <w:right w:w="15" w:type="dxa"/>
            </w:tcMar>
            <w:vAlign w:val="center"/>
            <w:hideMark/>
          </w:tcPr>
          <w:p w14:paraId="46E092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17.8</w:t>
            </w:r>
          </w:p>
        </w:tc>
      </w:tr>
      <w:tr w:rsidR="00E16114" w:rsidRPr="007F6CB3" w14:paraId="5D6E77BE" w14:textId="77777777" w:rsidTr="0026594F">
        <w:trPr>
          <w:trHeight w:val="297"/>
          <w:tblCellSpacing w:w="15" w:type="dxa"/>
        </w:trPr>
        <w:tc>
          <w:tcPr>
            <w:tcW w:w="0" w:type="auto"/>
            <w:tcMar>
              <w:top w:w="15" w:type="dxa"/>
              <w:left w:w="15" w:type="dxa"/>
              <w:bottom w:w="15" w:type="dxa"/>
              <w:right w:w="15" w:type="dxa"/>
            </w:tcMar>
            <w:vAlign w:val="center"/>
            <w:hideMark/>
          </w:tcPr>
          <w:p w14:paraId="05C5352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Maybe</w:t>
            </w:r>
          </w:p>
        </w:tc>
        <w:tc>
          <w:tcPr>
            <w:tcW w:w="0" w:type="auto"/>
            <w:tcMar>
              <w:top w:w="15" w:type="dxa"/>
              <w:left w:w="15" w:type="dxa"/>
              <w:bottom w:w="15" w:type="dxa"/>
              <w:right w:w="15" w:type="dxa"/>
            </w:tcMar>
            <w:vAlign w:val="center"/>
            <w:hideMark/>
          </w:tcPr>
          <w:p w14:paraId="79960FE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118</w:t>
            </w:r>
          </w:p>
        </w:tc>
        <w:tc>
          <w:tcPr>
            <w:tcW w:w="0" w:type="auto"/>
            <w:tcMar>
              <w:top w:w="15" w:type="dxa"/>
              <w:left w:w="15" w:type="dxa"/>
              <w:bottom w:w="15" w:type="dxa"/>
              <w:right w:w="15" w:type="dxa"/>
            </w:tcMar>
            <w:vAlign w:val="center"/>
            <w:hideMark/>
          </w:tcPr>
          <w:p w14:paraId="0CEC39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33.9</w:t>
            </w:r>
          </w:p>
        </w:tc>
      </w:tr>
      <w:tr w:rsidR="00E16114" w:rsidRPr="007F6CB3" w14:paraId="5B0B0E8E" w14:textId="77777777" w:rsidTr="0026594F">
        <w:trPr>
          <w:trHeight w:val="297"/>
          <w:tblCellSpacing w:w="15" w:type="dxa"/>
        </w:trPr>
        <w:tc>
          <w:tcPr>
            <w:tcW w:w="0" w:type="auto"/>
            <w:tcMar>
              <w:top w:w="15" w:type="dxa"/>
              <w:left w:w="15" w:type="dxa"/>
              <w:bottom w:w="15" w:type="dxa"/>
              <w:right w:w="15" w:type="dxa"/>
            </w:tcMar>
            <w:vAlign w:val="center"/>
            <w:hideMark/>
          </w:tcPr>
          <w:p w14:paraId="71F4AD8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52B3124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3AD01038" w14:textId="2A688F83"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23A5219"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Nearly half of the respondents (48.3%) expressed willingness to adopt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-based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if proven effective, highlighting strong adoption potential.</w:t>
      </w:r>
    </w:p>
    <w:p w14:paraId="226C743B" w14:textId="77777777" w:rsidR="00E16114" w:rsidRPr="007F6CB3" w:rsidRDefault="00E16114" w:rsidP="00E16114">
      <w:pPr>
        <w:jc w:val="both"/>
        <w:rPr>
          <w:rFonts w:ascii="Times New Roman" w:hAnsi="Times New Roman" w:cs="Times New Roman"/>
          <w:sz w:val="24"/>
          <w:szCs w:val="24"/>
        </w:rPr>
      </w:pPr>
    </w:p>
    <w:p w14:paraId="35B3CB88" w14:textId="4D8D0FC5" w:rsidR="00E16114" w:rsidRPr="007F6CB3" w:rsidRDefault="00E16114" w:rsidP="00E16114">
      <w:pPr>
        <w:jc w:val="both"/>
        <w:rPr>
          <w:rFonts w:ascii="Times New Roman" w:hAnsi="Times New Roman" w:cs="Times New Roman"/>
          <w:sz w:val="24"/>
          <w:szCs w:val="24"/>
        </w:rPr>
      </w:pPr>
      <w:bookmarkStart w:id="36" w:name="_Hlk221327144"/>
      <w:r w:rsidRPr="007F6CB3">
        <w:rPr>
          <w:rFonts w:ascii="Times New Roman" w:hAnsi="Times New Roman" w:cs="Times New Roman"/>
          <w:sz w:val="24"/>
          <w:szCs w:val="24"/>
        </w:rPr>
        <w:t>Table 12.</w:t>
      </w:r>
      <w:r w:rsidR="001D7503">
        <w:rPr>
          <w:rFonts w:ascii="Times New Roman" w:hAnsi="Times New Roman" w:cs="Times New Roman"/>
          <w:sz w:val="24"/>
          <w:szCs w:val="24"/>
        </w:rPr>
        <w:t>5.</w:t>
      </w:r>
      <w:r w:rsidRPr="007F6CB3">
        <w:rPr>
          <w:rFonts w:ascii="Times New Roman" w:hAnsi="Times New Roman" w:cs="Times New Roman"/>
          <w:sz w:val="24"/>
          <w:szCs w:val="24"/>
        </w:rPr>
        <w:t>: Concerns about biological control agents (multiple responses)</w:t>
      </w:r>
    </w:p>
    <w:tbl>
      <w:tblPr>
        <w:tblW w:w="8748" w:type="dxa"/>
        <w:tblCellSpacing w:w="15" w:type="dxa"/>
        <w:tblLook w:val="04A0" w:firstRow="1" w:lastRow="0" w:firstColumn="1" w:lastColumn="0" w:noHBand="0" w:noVBand="1"/>
      </w:tblPr>
      <w:tblGrid>
        <w:gridCol w:w="3713"/>
        <w:gridCol w:w="2062"/>
        <w:gridCol w:w="2973"/>
      </w:tblGrid>
      <w:tr w:rsidR="00E16114" w:rsidRPr="007F6CB3" w14:paraId="510738E0" w14:textId="77777777" w:rsidTr="0026594F">
        <w:trPr>
          <w:trHeight w:val="285"/>
          <w:tblHeader/>
          <w:tblCellSpacing w:w="15" w:type="dxa"/>
        </w:trPr>
        <w:tc>
          <w:tcPr>
            <w:tcW w:w="0" w:type="auto"/>
            <w:tcMar>
              <w:top w:w="15" w:type="dxa"/>
              <w:left w:w="15" w:type="dxa"/>
              <w:bottom w:w="15" w:type="dxa"/>
              <w:right w:w="15" w:type="dxa"/>
            </w:tcMar>
            <w:vAlign w:val="center"/>
            <w:hideMark/>
          </w:tcPr>
          <w:bookmarkEnd w:id="36"/>
          <w:p w14:paraId="4D9400E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Concern</w:t>
            </w:r>
          </w:p>
        </w:tc>
        <w:tc>
          <w:tcPr>
            <w:tcW w:w="0" w:type="auto"/>
            <w:tcMar>
              <w:top w:w="15" w:type="dxa"/>
              <w:left w:w="15" w:type="dxa"/>
              <w:bottom w:w="15" w:type="dxa"/>
              <w:right w:w="15" w:type="dxa"/>
            </w:tcMar>
            <w:vAlign w:val="center"/>
            <w:hideMark/>
          </w:tcPr>
          <w:p w14:paraId="41F3E90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45405B9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304043BB" w14:textId="77777777" w:rsidTr="0026594F">
        <w:trPr>
          <w:trHeight w:val="299"/>
          <w:tblCellSpacing w:w="15" w:type="dxa"/>
        </w:trPr>
        <w:tc>
          <w:tcPr>
            <w:tcW w:w="0" w:type="auto"/>
            <w:tcMar>
              <w:top w:w="15" w:type="dxa"/>
              <w:left w:w="15" w:type="dxa"/>
              <w:bottom w:w="15" w:type="dxa"/>
              <w:right w:w="15" w:type="dxa"/>
            </w:tcMar>
            <w:vAlign w:val="center"/>
            <w:hideMark/>
          </w:tcPr>
          <w:p w14:paraId="1D1DD4F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Safety</w:t>
            </w:r>
          </w:p>
        </w:tc>
        <w:tc>
          <w:tcPr>
            <w:tcW w:w="0" w:type="auto"/>
            <w:tcMar>
              <w:top w:w="15" w:type="dxa"/>
              <w:left w:w="15" w:type="dxa"/>
              <w:bottom w:w="15" w:type="dxa"/>
              <w:right w:w="15" w:type="dxa"/>
            </w:tcMar>
            <w:vAlign w:val="center"/>
            <w:hideMark/>
          </w:tcPr>
          <w:p w14:paraId="1C80280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146</w:t>
            </w:r>
          </w:p>
        </w:tc>
        <w:tc>
          <w:tcPr>
            <w:tcW w:w="0" w:type="auto"/>
            <w:tcMar>
              <w:top w:w="15" w:type="dxa"/>
              <w:left w:w="15" w:type="dxa"/>
              <w:bottom w:w="15" w:type="dxa"/>
              <w:right w:w="15" w:type="dxa"/>
            </w:tcMar>
            <w:vAlign w:val="center"/>
            <w:hideMark/>
          </w:tcPr>
          <w:p w14:paraId="7B8B762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42.0</w:t>
            </w:r>
          </w:p>
        </w:tc>
      </w:tr>
      <w:tr w:rsidR="00E16114" w:rsidRPr="007F6CB3" w14:paraId="57EE90E5" w14:textId="77777777" w:rsidTr="0026594F">
        <w:trPr>
          <w:trHeight w:val="285"/>
          <w:tblCellSpacing w:w="15" w:type="dxa"/>
        </w:trPr>
        <w:tc>
          <w:tcPr>
            <w:tcW w:w="0" w:type="auto"/>
            <w:tcMar>
              <w:top w:w="15" w:type="dxa"/>
              <w:left w:w="15" w:type="dxa"/>
              <w:bottom w:w="15" w:type="dxa"/>
              <w:right w:w="15" w:type="dxa"/>
            </w:tcMar>
            <w:vAlign w:val="center"/>
            <w:hideMark/>
          </w:tcPr>
          <w:p w14:paraId="2C73322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Cost</w:t>
            </w:r>
          </w:p>
        </w:tc>
        <w:tc>
          <w:tcPr>
            <w:tcW w:w="0" w:type="auto"/>
            <w:tcMar>
              <w:top w:w="15" w:type="dxa"/>
              <w:left w:w="15" w:type="dxa"/>
              <w:bottom w:w="15" w:type="dxa"/>
              <w:right w:w="15" w:type="dxa"/>
            </w:tcMar>
            <w:vAlign w:val="center"/>
            <w:hideMark/>
          </w:tcPr>
          <w:p w14:paraId="5A56E39E"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164</w:t>
            </w:r>
          </w:p>
        </w:tc>
        <w:tc>
          <w:tcPr>
            <w:tcW w:w="0" w:type="auto"/>
            <w:tcMar>
              <w:top w:w="15" w:type="dxa"/>
              <w:left w:w="15" w:type="dxa"/>
              <w:bottom w:w="15" w:type="dxa"/>
              <w:right w:w="15" w:type="dxa"/>
            </w:tcMar>
            <w:vAlign w:val="center"/>
            <w:hideMark/>
          </w:tcPr>
          <w:p w14:paraId="526717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47.1</w:t>
            </w:r>
          </w:p>
        </w:tc>
      </w:tr>
      <w:tr w:rsidR="00E16114" w:rsidRPr="007F6CB3" w14:paraId="787EE46A" w14:textId="77777777" w:rsidTr="0026594F">
        <w:trPr>
          <w:trHeight w:val="285"/>
          <w:tblCellSpacing w:w="15" w:type="dxa"/>
        </w:trPr>
        <w:tc>
          <w:tcPr>
            <w:tcW w:w="0" w:type="auto"/>
            <w:tcMar>
              <w:top w:w="15" w:type="dxa"/>
              <w:left w:w="15" w:type="dxa"/>
              <w:bottom w:w="15" w:type="dxa"/>
              <w:right w:w="15" w:type="dxa"/>
            </w:tcMar>
            <w:vAlign w:val="center"/>
            <w:hideMark/>
          </w:tcPr>
          <w:p w14:paraId="7639877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Availability</w:t>
            </w:r>
          </w:p>
        </w:tc>
        <w:tc>
          <w:tcPr>
            <w:tcW w:w="0" w:type="auto"/>
            <w:tcMar>
              <w:top w:w="15" w:type="dxa"/>
              <w:left w:w="15" w:type="dxa"/>
              <w:bottom w:w="15" w:type="dxa"/>
              <w:right w:w="15" w:type="dxa"/>
            </w:tcMar>
            <w:vAlign w:val="center"/>
            <w:hideMark/>
          </w:tcPr>
          <w:p w14:paraId="180EDE1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172</w:t>
            </w:r>
          </w:p>
        </w:tc>
        <w:tc>
          <w:tcPr>
            <w:tcW w:w="0" w:type="auto"/>
            <w:tcMar>
              <w:top w:w="15" w:type="dxa"/>
              <w:left w:w="15" w:type="dxa"/>
              <w:bottom w:w="15" w:type="dxa"/>
              <w:right w:w="15" w:type="dxa"/>
            </w:tcMar>
            <w:vAlign w:val="center"/>
            <w:hideMark/>
          </w:tcPr>
          <w:p w14:paraId="0D6BB80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49.4</w:t>
            </w:r>
          </w:p>
        </w:tc>
      </w:tr>
      <w:tr w:rsidR="00E16114" w:rsidRPr="007F6CB3" w14:paraId="300F4830" w14:textId="77777777" w:rsidTr="0026594F">
        <w:trPr>
          <w:trHeight w:val="285"/>
          <w:tblCellSpacing w:w="15" w:type="dxa"/>
        </w:trPr>
        <w:tc>
          <w:tcPr>
            <w:tcW w:w="0" w:type="auto"/>
            <w:tcMar>
              <w:top w:w="15" w:type="dxa"/>
              <w:left w:w="15" w:type="dxa"/>
              <w:bottom w:w="15" w:type="dxa"/>
              <w:right w:w="15" w:type="dxa"/>
            </w:tcMar>
            <w:vAlign w:val="center"/>
            <w:hideMark/>
          </w:tcPr>
          <w:p w14:paraId="370D9F7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Effectiveness</w:t>
            </w:r>
          </w:p>
        </w:tc>
        <w:tc>
          <w:tcPr>
            <w:tcW w:w="0" w:type="auto"/>
            <w:tcMar>
              <w:top w:w="15" w:type="dxa"/>
              <w:left w:w="15" w:type="dxa"/>
              <w:bottom w:w="15" w:type="dxa"/>
              <w:right w:w="15" w:type="dxa"/>
            </w:tcMar>
            <w:vAlign w:val="center"/>
            <w:hideMark/>
          </w:tcPr>
          <w:p w14:paraId="20AC1DF5"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138</w:t>
            </w:r>
          </w:p>
        </w:tc>
        <w:tc>
          <w:tcPr>
            <w:tcW w:w="0" w:type="auto"/>
            <w:tcMar>
              <w:top w:w="15" w:type="dxa"/>
              <w:left w:w="15" w:type="dxa"/>
              <w:bottom w:w="15" w:type="dxa"/>
              <w:right w:w="15" w:type="dxa"/>
            </w:tcMar>
            <w:vAlign w:val="center"/>
            <w:hideMark/>
          </w:tcPr>
          <w:p w14:paraId="0606058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39.7</w:t>
            </w:r>
          </w:p>
        </w:tc>
      </w:tr>
      <w:tr w:rsidR="00E16114" w:rsidRPr="007F6CB3" w14:paraId="308BAE54" w14:textId="77777777" w:rsidTr="0026594F">
        <w:trPr>
          <w:trHeight w:val="299"/>
          <w:tblCellSpacing w:w="15" w:type="dxa"/>
        </w:trPr>
        <w:tc>
          <w:tcPr>
            <w:tcW w:w="0" w:type="auto"/>
            <w:tcMar>
              <w:top w:w="15" w:type="dxa"/>
              <w:left w:w="15" w:type="dxa"/>
              <w:bottom w:w="15" w:type="dxa"/>
              <w:right w:w="15" w:type="dxa"/>
            </w:tcMar>
            <w:vAlign w:val="center"/>
            <w:hideMark/>
          </w:tcPr>
          <w:p w14:paraId="5551371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Lack of knowledge</w:t>
            </w:r>
          </w:p>
        </w:tc>
        <w:tc>
          <w:tcPr>
            <w:tcW w:w="0" w:type="auto"/>
            <w:tcMar>
              <w:top w:w="15" w:type="dxa"/>
              <w:left w:w="15" w:type="dxa"/>
              <w:bottom w:w="15" w:type="dxa"/>
              <w:right w:w="15" w:type="dxa"/>
            </w:tcMar>
            <w:vAlign w:val="center"/>
            <w:hideMark/>
          </w:tcPr>
          <w:p w14:paraId="27BB95D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206</w:t>
            </w:r>
          </w:p>
        </w:tc>
        <w:tc>
          <w:tcPr>
            <w:tcW w:w="0" w:type="auto"/>
            <w:tcMar>
              <w:top w:w="15" w:type="dxa"/>
              <w:left w:w="15" w:type="dxa"/>
              <w:bottom w:w="15" w:type="dxa"/>
              <w:right w:w="15" w:type="dxa"/>
            </w:tcMar>
            <w:vAlign w:val="center"/>
            <w:hideMark/>
          </w:tcPr>
          <w:p w14:paraId="6271530B"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59.2</w:t>
            </w:r>
          </w:p>
        </w:tc>
      </w:tr>
      <w:tr w:rsidR="00E16114" w:rsidRPr="007F6CB3" w14:paraId="5F0E9E2D" w14:textId="77777777" w:rsidTr="0026594F">
        <w:trPr>
          <w:trHeight w:val="285"/>
          <w:tblCellSpacing w:w="15" w:type="dxa"/>
        </w:trPr>
        <w:tc>
          <w:tcPr>
            <w:tcW w:w="0" w:type="auto"/>
            <w:tcMar>
              <w:top w:w="15" w:type="dxa"/>
              <w:left w:w="15" w:type="dxa"/>
              <w:bottom w:w="15" w:type="dxa"/>
              <w:right w:w="15" w:type="dxa"/>
            </w:tcMar>
            <w:vAlign w:val="center"/>
            <w:hideMark/>
          </w:tcPr>
          <w:p w14:paraId="79ABA47A"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Others</w:t>
            </w:r>
          </w:p>
        </w:tc>
        <w:tc>
          <w:tcPr>
            <w:tcW w:w="0" w:type="auto"/>
            <w:tcMar>
              <w:top w:w="15" w:type="dxa"/>
              <w:left w:w="15" w:type="dxa"/>
              <w:bottom w:w="15" w:type="dxa"/>
              <w:right w:w="15" w:type="dxa"/>
            </w:tcMar>
            <w:vAlign w:val="center"/>
            <w:hideMark/>
          </w:tcPr>
          <w:p w14:paraId="48D1E5F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24</w:t>
            </w:r>
          </w:p>
        </w:tc>
        <w:tc>
          <w:tcPr>
            <w:tcW w:w="0" w:type="auto"/>
            <w:tcMar>
              <w:top w:w="15" w:type="dxa"/>
              <w:left w:w="15" w:type="dxa"/>
              <w:bottom w:w="15" w:type="dxa"/>
              <w:right w:w="15" w:type="dxa"/>
            </w:tcMar>
            <w:vAlign w:val="center"/>
            <w:hideMark/>
          </w:tcPr>
          <w:p w14:paraId="377002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6.9</w:t>
            </w:r>
          </w:p>
        </w:tc>
      </w:tr>
    </w:tbl>
    <w:p w14:paraId="4ED71DA8" w14:textId="77777777" w:rsidR="00E16114" w:rsidRPr="007F6CB3" w:rsidRDefault="00E16114" w:rsidP="00E16114">
      <w:pPr>
        <w:jc w:val="both"/>
        <w:rPr>
          <w:rFonts w:ascii="Times New Roman" w:hAnsi="Times New Roman" w:cs="Times New Roman"/>
          <w:sz w:val="24"/>
          <w:szCs w:val="24"/>
        </w:rPr>
      </w:pPr>
    </w:p>
    <w:p w14:paraId="2D9992CB" w14:textId="15FC3CDE" w:rsidR="00E16114" w:rsidRPr="007F6CB3" w:rsidRDefault="00E16114" w:rsidP="00E16114">
      <w:pPr>
        <w:jc w:val="both"/>
        <w:rPr>
          <w:rFonts w:ascii="Times New Roman" w:hAnsi="Times New Roman" w:cs="Times New Roman"/>
          <w:sz w:val="24"/>
          <w:szCs w:val="24"/>
        </w:rPr>
      </w:pPr>
      <w:bookmarkStart w:id="37" w:name="_Hlk221327193"/>
      <w:r w:rsidRPr="007F6CB3">
        <w:rPr>
          <w:rFonts w:ascii="Times New Roman" w:hAnsi="Times New Roman" w:cs="Times New Roman"/>
          <w:sz w:val="24"/>
          <w:szCs w:val="24"/>
        </w:rPr>
        <w:t>Table 12.</w:t>
      </w:r>
      <w:r w:rsidR="001D7503">
        <w:rPr>
          <w:rFonts w:ascii="Times New Roman" w:hAnsi="Times New Roman" w:cs="Times New Roman"/>
          <w:sz w:val="24"/>
          <w:szCs w:val="24"/>
        </w:rPr>
        <w:t>6.</w:t>
      </w:r>
      <w:r w:rsidRPr="007F6CB3">
        <w:rPr>
          <w:rFonts w:ascii="Times New Roman" w:hAnsi="Times New Roman" w:cs="Times New Roman"/>
          <w:sz w:val="24"/>
          <w:szCs w:val="24"/>
        </w:rPr>
        <w:t>: Willingness to participate in training or demonstrations</w:t>
      </w:r>
    </w:p>
    <w:tbl>
      <w:tblPr>
        <w:tblW w:w="8673" w:type="dxa"/>
        <w:tblCellSpacing w:w="15" w:type="dxa"/>
        <w:tblLook w:val="04A0" w:firstRow="1" w:lastRow="0" w:firstColumn="1" w:lastColumn="0" w:noHBand="0" w:noVBand="1"/>
      </w:tblPr>
      <w:tblGrid>
        <w:gridCol w:w="2654"/>
        <w:gridCol w:w="2465"/>
        <w:gridCol w:w="3554"/>
      </w:tblGrid>
      <w:tr w:rsidR="00E16114" w:rsidRPr="007F6CB3" w14:paraId="79764C25" w14:textId="77777777" w:rsidTr="0026594F">
        <w:trPr>
          <w:trHeight w:val="306"/>
          <w:tblHeader/>
          <w:tblCellSpacing w:w="15" w:type="dxa"/>
        </w:trPr>
        <w:tc>
          <w:tcPr>
            <w:tcW w:w="0" w:type="auto"/>
            <w:tcMar>
              <w:top w:w="15" w:type="dxa"/>
              <w:left w:w="15" w:type="dxa"/>
              <w:bottom w:w="15" w:type="dxa"/>
              <w:right w:w="15" w:type="dxa"/>
            </w:tcMar>
            <w:vAlign w:val="center"/>
            <w:hideMark/>
          </w:tcPr>
          <w:bookmarkEnd w:id="37"/>
          <w:p w14:paraId="77A14AA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Response</w:t>
            </w:r>
          </w:p>
        </w:tc>
        <w:tc>
          <w:tcPr>
            <w:tcW w:w="0" w:type="auto"/>
            <w:tcMar>
              <w:top w:w="15" w:type="dxa"/>
              <w:left w:w="15" w:type="dxa"/>
              <w:bottom w:w="15" w:type="dxa"/>
              <w:right w:w="15" w:type="dxa"/>
            </w:tcMar>
            <w:vAlign w:val="center"/>
            <w:hideMark/>
          </w:tcPr>
          <w:p w14:paraId="01B947B4"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Frequency</w:t>
            </w:r>
          </w:p>
        </w:tc>
        <w:tc>
          <w:tcPr>
            <w:tcW w:w="0" w:type="auto"/>
            <w:tcMar>
              <w:top w:w="15" w:type="dxa"/>
              <w:left w:w="15" w:type="dxa"/>
              <w:bottom w:w="15" w:type="dxa"/>
              <w:right w:w="15" w:type="dxa"/>
            </w:tcMar>
            <w:vAlign w:val="center"/>
            <w:hideMark/>
          </w:tcPr>
          <w:p w14:paraId="3C007ADD"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Percentage (%)</w:t>
            </w:r>
          </w:p>
        </w:tc>
      </w:tr>
      <w:tr w:rsidR="00E16114" w:rsidRPr="007F6CB3" w14:paraId="5D349809" w14:textId="77777777" w:rsidTr="0026594F">
        <w:trPr>
          <w:trHeight w:val="321"/>
          <w:tblCellSpacing w:w="15" w:type="dxa"/>
        </w:trPr>
        <w:tc>
          <w:tcPr>
            <w:tcW w:w="0" w:type="auto"/>
            <w:tcMar>
              <w:top w:w="15" w:type="dxa"/>
              <w:left w:w="15" w:type="dxa"/>
              <w:bottom w:w="15" w:type="dxa"/>
              <w:right w:w="15" w:type="dxa"/>
            </w:tcMar>
            <w:vAlign w:val="center"/>
            <w:hideMark/>
          </w:tcPr>
          <w:p w14:paraId="4A5432C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Very likely</w:t>
            </w:r>
          </w:p>
        </w:tc>
        <w:tc>
          <w:tcPr>
            <w:tcW w:w="0" w:type="auto"/>
            <w:tcMar>
              <w:top w:w="15" w:type="dxa"/>
              <w:left w:w="15" w:type="dxa"/>
              <w:bottom w:w="15" w:type="dxa"/>
              <w:right w:w="15" w:type="dxa"/>
            </w:tcMar>
            <w:vAlign w:val="center"/>
            <w:hideMark/>
          </w:tcPr>
          <w:p w14:paraId="1B2E035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158</w:t>
            </w:r>
          </w:p>
        </w:tc>
        <w:tc>
          <w:tcPr>
            <w:tcW w:w="0" w:type="auto"/>
            <w:tcMar>
              <w:top w:w="15" w:type="dxa"/>
              <w:left w:w="15" w:type="dxa"/>
              <w:bottom w:w="15" w:type="dxa"/>
              <w:right w:w="15" w:type="dxa"/>
            </w:tcMar>
            <w:vAlign w:val="center"/>
            <w:hideMark/>
          </w:tcPr>
          <w:p w14:paraId="4F432022"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45.4</w:t>
            </w:r>
          </w:p>
        </w:tc>
      </w:tr>
      <w:tr w:rsidR="00E16114" w:rsidRPr="007F6CB3" w14:paraId="5AB2FEA2" w14:textId="77777777" w:rsidTr="0026594F">
        <w:trPr>
          <w:trHeight w:val="306"/>
          <w:tblCellSpacing w:w="15" w:type="dxa"/>
        </w:trPr>
        <w:tc>
          <w:tcPr>
            <w:tcW w:w="0" w:type="auto"/>
            <w:tcMar>
              <w:top w:w="15" w:type="dxa"/>
              <w:left w:w="15" w:type="dxa"/>
              <w:bottom w:w="15" w:type="dxa"/>
              <w:right w:w="15" w:type="dxa"/>
            </w:tcMar>
            <w:vAlign w:val="center"/>
            <w:hideMark/>
          </w:tcPr>
          <w:p w14:paraId="45B96963"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lastRenderedPageBreak/>
              <w:t>Likely</w:t>
            </w:r>
          </w:p>
        </w:tc>
        <w:tc>
          <w:tcPr>
            <w:tcW w:w="0" w:type="auto"/>
            <w:tcMar>
              <w:top w:w="15" w:type="dxa"/>
              <w:left w:w="15" w:type="dxa"/>
              <w:bottom w:w="15" w:type="dxa"/>
              <w:right w:w="15" w:type="dxa"/>
            </w:tcMar>
            <w:vAlign w:val="center"/>
            <w:hideMark/>
          </w:tcPr>
          <w:p w14:paraId="750CC5D1"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124</w:t>
            </w:r>
          </w:p>
        </w:tc>
        <w:tc>
          <w:tcPr>
            <w:tcW w:w="0" w:type="auto"/>
            <w:tcMar>
              <w:top w:w="15" w:type="dxa"/>
              <w:left w:w="15" w:type="dxa"/>
              <w:bottom w:w="15" w:type="dxa"/>
              <w:right w:w="15" w:type="dxa"/>
            </w:tcMar>
            <w:vAlign w:val="center"/>
            <w:hideMark/>
          </w:tcPr>
          <w:p w14:paraId="060DCE6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35.6</w:t>
            </w:r>
          </w:p>
        </w:tc>
      </w:tr>
      <w:tr w:rsidR="00E16114" w:rsidRPr="007F6CB3" w14:paraId="230CC036" w14:textId="77777777" w:rsidTr="0026594F">
        <w:trPr>
          <w:trHeight w:val="306"/>
          <w:tblCellSpacing w:w="15" w:type="dxa"/>
        </w:trPr>
        <w:tc>
          <w:tcPr>
            <w:tcW w:w="0" w:type="auto"/>
            <w:tcMar>
              <w:top w:w="15" w:type="dxa"/>
              <w:left w:w="15" w:type="dxa"/>
              <w:bottom w:w="15" w:type="dxa"/>
              <w:right w:w="15" w:type="dxa"/>
            </w:tcMar>
            <w:vAlign w:val="center"/>
            <w:hideMark/>
          </w:tcPr>
          <w:p w14:paraId="1FDF6AD0"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Not likely</w:t>
            </w:r>
          </w:p>
        </w:tc>
        <w:tc>
          <w:tcPr>
            <w:tcW w:w="0" w:type="auto"/>
            <w:tcMar>
              <w:top w:w="15" w:type="dxa"/>
              <w:left w:w="15" w:type="dxa"/>
              <w:bottom w:w="15" w:type="dxa"/>
              <w:right w:w="15" w:type="dxa"/>
            </w:tcMar>
            <w:vAlign w:val="center"/>
            <w:hideMark/>
          </w:tcPr>
          <w:p w14:paraId="59117EDC"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66</w:t>
            </w:r>
          </w:p>
        </w:tc>
        <w:tc>
          <w:tcPr>
            <w:tcW w:w="0" w:type="auto"/>
            <w:tcMar>
              <w:top w:w="15" w:type="dxa"/>
              <w:left w:w="15" w:type="dxa"/>
              <w:bottom w:w="15" w:type="dxa"/>
              <w:right w:w="15" w:type="dxa"/>
            </w:tcMar>
            <w:vAlign w:val="center"/>
            <w:hideMark/>
          </w:tcPr>
          <w:p w14:paraId="0F3C9AD6"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19.0</w:t>
            </w:r>
          </w:p>
        </w:tc>
      </w:tr>
      <w:tr w:rsidR="00E16114" w:rsidRPr="007F6CB3" w14:paraId="39D25FB2" w14:textId="77777777" w:rsidTr="0026594F">
        <w:trPr>
          <w:trHeight w:val="306"/>
          <w:tblCellSpacing w:w="15" w:type="dxa"/>
        </w:trPr>
        <w:tc>
          <w:tcPr>
            <w:tcW w:w="0" w:type="auto"/>
            <w:tcMar>
              <w:top w:w="15" w:type="dxa"/>
              <w:left w:w="15" w:type="dxa"/>
              <w:bottom w:w="15" w:type="dxa"/>
              <w:right w:w="15" w:type="dxa"/>
            </w:tcMar>
            <w:vAlign w:val="center"/>
            <w:hideMark/>
          </w:tcPr>
          <w:p w14:paraId="3B36A17F"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Total</w:t>
            </w:r>
          </w:p>
        </w:tc>
        <w:tc>
          <w:tcPr>
            <w:tcW w:w="0" w:type="auto"/>
            <w:tcMar>
              <w:top w:w="15" w:type="dxa"/>
              <w:left w:w="15" w:type="dxa"/>
              <w:bottom w:w="15" w:type="dxa"/>
              <w:right w:w="15" w:type="dxa"/>
            </w:tcMar>
            <w:vAlign w:val="center"/>
            <w:hideMark/>
          </w:tcPr>
          <w:p w14:paraId="39DE62B9"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348</w:t>
            </w:r>
          </w:p>
        </w:tc>
        <w:tc>
          <w:tcPr>
            <w:tcW w:w="0" w:type="auto"/>
            <w:tcMar>
              <w:top w:w="15" w:type="dxa"/>
              <w:left w:w="15" w:type="dxa"/>
              <w:bottom w:w="15" w:type="dxa"/>
              <w:right w:w="15" w:type="dxa"/>
            </w:tcMar>
            <w:vAlign w:val="center"/>
            <w:hideMark/>
          </w:tcPr>
          <w:p w14:paraId="237E2807" w14:textId="77777777" w:rsidR="00E16114" w:rsidRPr="007F6CB3" w:rsidRDefault="00E16114" w:rsidP="0026594F">
            <w:pPr>
              <w:jc w:val="both"/>
              <w:rPr>
                <w:rFonts w:ascii="Times New Roman" w:hAnsi="Times New Roman" w:cs="Times New Roman"/>
                <w:sz w:val="24"/>
                <w:szCs w:val="24"/>
              </w:rPr>
            </w:pPr>
            <w:r w:rsidRPr="007F6CB3">
              <w:rPr>
                <w:rFonts w:ascii="Times New Roman" w:hAnsi="Times New Roman" w:cs="Times New Roman"/>
                <w:sz w:val="24"/>
                <w:szCs w:val="24"/>
              </w:rPr>
              <w:t>100.0</w:t>
            </w:r>
          </w:p>
        </w:tc>
      </w:tr>
    </w:tbl>
    <w:p w14:paraId="56AE109F"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br/>
        <w:t xml:space="preserve">A large majority (81.0%) showed willingness to participate in training, indicating that extension-based dissemination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would be highly feasible.</w:t>
      </w:r>
    </w:p>
    <w:p w14:paraId="6EC07F3F" w14:textId="77777777" w:rsidR="00E16114" w:rsidRPr="007F6CB3" w:rsidRDefault="00E16114" w:rsidP="00E16114">
      <w:pPr>
        <w:jc w:val="both"/>
        <w:rPr>
          <w:rFonts w:ascii="Times New Roman" w:hAnsi="Times New Roman" w:cs="Times New Roman"/>
          <w:sz w:val="24"/>
          <w:szCs w:val="24"/>
        </w:rPr>
      </w:pPr>
      <w:r w:rsidRPr="007F6CB3">
        <w:rPr>
          <w:rFonts w:ascii="Times New Roman" w:hAnsi="Times New Roman" w:cs="Times New Roman"/>
          <w:sz w:val="24"/>
          <w:szCs w:val="24"/>
        </w:rPr>
        <w:t xml:space="preserve">The findings demonstrate that sweet potato plays a multifaceted role in food security, cultural heritage, and income generation. Although awareness of </w:t>
      </w:r>
      <w:proofErr w:type="spellStart"/>
      <w:r w:rsidRPr="007F6CB3">
        <w:rPr>
          <w:rFonts w:ascii="Times New Roman" w:hAnsi="Times New Roman" w:cs="Times New Roman"/>
          <w:sz w:val="24"/>
          <w:szCs w:val="24"/>
        </w:rPr>
        <w:t>biofungicides</w:t>
      </w:r>
      <w:proofErr w:type="spellEnd"/>
      <w:r w:rsidRPr="007F6CB3">
        <w:rPr>
          <w:rFonts w:ascii="Times New Roman" w:hAnsi="Times New Roman" w:cs="Times New Roman"/>
          <w:sz w:val="24"/>
          <w:szCs w:val="24"/>
        </w:rPr>
        <w:t xml:space="preserve"> and </w:t>
      </w:r>
      <w:r w:rsidRPr="007F6CB3">
        <w:rPr>
          <w:rFonts w:ascii="Times New Roman" w:hAnsi="Times New Roman" w:cs="Times New Roman"/>
          <w:i/>
          <w:iCs/>
          <w:sz w:val="24"/>
          <w:szCs w:val="24"/>
        </w:rPr>
        <w:t>Lactobacillus</w:t>
      </w:r>
      <w:r w:rsidRPr="007F6CB3">
        <w:rPr>
          <w:rFonts w:ascii="Times New Roman" w:hAnsi="Times New Roman" w:cs="Times New Roman"/>
          <w:sz w:val="24"/>
          <w:szCs w:val="24"/>
        </w:rPr>
        <w:t xml:space="preserve"> species remains low, farmers exhibit high acceptance, willingness to learn, and readiness to adopt biological control strategies, provided concerns relating to cost, availability, and knowledge are addressed.</w:t>
      </w:r>
    </w:p>
    <w:p w14:paraId="540BC0FC" w14:textId="77777777" w:rsidR="00DC226B" w:rsidRPr="007F6CB3" w:rsidRDefault="00DC226B">
      <w:pPr>
        <w:rPr>
          <w:rFonts w:ascii="Times New Roman" w:hAnsi="Times New Roman" w:cs="Times New Roman"/>
          <w:sz w:val="24"/>
          <w:szCs w:val="24"/>
        </w:rPr>
      </w:pPr>
    </w:p>
    <w:p w14:paraId="74E5FA01" w14:textId="77777777" w:rsidR="00E16114" w:rsidRPr="007F6CB3" w:rsidRDefault="00E16114">
      <w:pPr>
        <w:rPr>
          <w:rFonts w:ascii="Times New Roman" w:hAnsi="Times New Roman" w:cs="Times New Roman"/>
          <w:sz w:val="24"/>
          <w:szCs w:val="24"/>
        </w:rPr>
      </w:pPr>
    </w:p>
    <w:p w14:paraId="783B20AB" w14:textId="77777777" w:rsidR="00E16114" w:rsidRPr="007F6CB3" w:rsidRDefault="00E16114">
      <w:pPr>
        <w:rPr>
          <w:rFonts w:ascii="Times New Roman" w:hAnsi="Times New Roman" w:cs="Times New Roman"/>
          <w:sz w:val="24"/>
          <w:szCs w:val="24"/>
        </w:rPr>
      </w:pPr>
    </w:p>
    <w:p w14:paraId="1E21C22E" w14:textId="77777777" w:rsidR="00E16114" w:rsidRPr="007F6CB3" w:rsidRDefault="00E16114">
      <w:pPr>
        <w:rPr>
          <w:rFonts w:ascii="Times New Roman" w:hAnsi="Times New Roman" w:cs="Times New Roman"/>
          <w:sz w:val="24"/>
          <w:szCs w:val="24"/>
        </w:rPr>
      </w:pPr>
    </w:p>
    <w:p w14:paraId="5FA25CFC" w14:textId="77777777" w:rsidR="00E16114" w:rsidRPr="007F6CB3" w:rsidRDefault="00E16114" w:rsidP="00E16114">
      <w:pPr>
        <w:pStyle w:val="BodyText"/>
        <w:rPr>
          <w:b/>
          <w:bCs/>
          <w:lang w:val="en-US"/>
        </w:rPr>
      </w:pPr>
      <w:r w:rsidRPr="007F6CB3">
        <w:rPr>
          <w:b/>
          <w:bCs/>
          <w:lang w:val="en-US"/>
        </w:rPr>
        <w:t>DISCUSSION</w:t>
      </w:r>
    </w:p>
    <w:p w14:paraId="72D610E0" w14:textId="6A603187" w:rsidR="00E16114" w:rsidRPr="007F6CB3" w:rsidRDefault="00E16114" w:rsidP="00E16114">
      <w:pPr>
        <w:pStyle w:val="BodyText"/>
        <w:rPr>
          <w:b/>
          <w:bCs/>
          <w:lang w:val="en-US"/>
        </w:rPr>
      </w:pPr>
      <w:r w:rsidRPr="007F6CB3">
        <w:rPr>
          <w:b/>
          <w:bCs/>
          <w:lang w:val="en-US"/>
        </w:rPr>
        <w:t xml:space="preserve"> Ethno-botanical and Socio-demographic Characteristics of Respondents</w:t>
      </w:r>
    </w:p>
    <w:p w14:paraId="19525FB5" w14:textId="77777777" w:rsidR="00E16114" w:rsidRPr="007F6CB3" w:rsidRDefault="00E16114" w:rsidP="00E16114">
      <w:pPr>
        <w:pStyle w:val="BodyText"/>
        <w:rPr>
          <w:lang w:val="en-US"/>
        </w:rPr>
      </w:pPr>
      <w:r w:rsidRPr="007F6CB3">
        <w:rPr>
          <w:lang w:val="en-US"/>
        </w:rPr>
        <w:t>The ethno-botanical survey revealed that sweet potato (</w:t>
      </w:r>
      <w:r w:rsidRPr="007F6CB3">
        <w:rPr>
          <w:i/>
          <w:iCs/>
          <w:lang w:val="en-US"/>
        </w:rPr>
        <w:t>Ipomoea batatas</w:t>
      </w:r>
      <w:r w:rsidRPr="007F6CB3">
        <w:rPr>
          <w:lang w:val="en-US"/>
        </w:rPr>
        <w:t xml:space="preserve"> (L.) Lam.) cultivation and utilization are deeply embedded within the socio-cultural and agricultural systems of Anambra State. The retrieval rate of 60% of administered questionnaires reflects reasonable participation and engagement among respondents, while the distribution across the three senatorial zones ensures broad representation of the study area.</w:t>
      </w:r>
    </w:p>
    <w:p w14:paraId="082E5FD3" w14:textId="77777777" w:rsidR="00E16114" w:rsidRPr="007F6CB3" w:rsidRDefault="00E16114" w:rsidP="00E16114">
      <w:pPr>
        <w:pStyle w:val="BodyText"/>
        <w:rPr>
          <w:lang w:val="en-US"/>
        </w:rPr>
      </w:pPr>
      <w:r w:rsidRPr="007F6CB3">
        <w:rPr>
          <w:lang w:val="en-US"/>
        </w:rPr>
        <w:t>The predominance of male respondents indicates that sweet potato farming is largely male-dominated, particularly in land ownership and decision-making. Nevertheless, notable female participation, especially in Anambra North and South, highlights their critical role in post-harvest handling, processing, and marketing.</w:t>
      </w:r>
    </w:p>
    <w:p w14:paraId="761ED68C" w14:textId="77777777" w:rsidR="00E16114" w:rsidRPr="007F6CB3" w:rsidRDefault="00E16114" w:rsidP="00E16114">
      <w:pPr>
        <w:pStyle w:val="BodyText"/>
        <w:rPr>
          <w:lang w:val="en-US"/>
        </w:rPr>
      </w:pPr>
      <w:r w:rsidRPr="007F6CB3">
        <w:rPr>
          <w:lang w:val="en-US"/>
        </w:rPr>
        <w:t xml:space="preserve">Age distribution showed that indigenous knowledge of sweet potato cultivation is concentrated among middle-aged and older farmers (41–50 years), suggesting gradual erosion of traditional </w:t>
      </w:r>
      <w:r w:rsidRPr="007F6CB3">
        <w:rPr>
          <w:lang w:val="en-US"/>
        </w:rPr>
        <w:lastRenderedPageBreak/>
        <w:t>knowledge among younger generations due to rural–urban migration and declining interest in farming. The absence of respondents aged ≥60 years in Anambra South may indicate demographic shifts or reduced involvement of elderly farmers in active cultivation.</w:t>
      </w:r>
    </w:p>
    <w:p w14:paraId="1819C235" w14:textId="77777777" w:rsidR="00E16114" w:rsidRPr="007F6CB3" w:rsidRDefault="00E16114" w:rsidP="00E16114">
      <w:pPr>
        <w:pStyle w:val="BodyText"/>
        <w:rPr>
          <w:lang w:val="en-US"/>
        </w:rPr>
      </w:pPr>
      <w:r w:rsidRPr="007F6CB3">
        <w:rPr>
          <w:lang w:val="en-US"/>
        </w:rPr>
        <w:t xml:space="preserve">Educational status varied considerably, with a high proportion lacking formal education, particularly in Anambra South. Low formal education may hinder adoption of improved agronomic practices and innovative post-harvest disease management strategies such as </w:t>
      </w:r>
      <w:proofErr w:type="spellStart"/>
      <w:r w:rsidRPr="007F6CB3">
        <w:rPr>
          <w:lang w:val="en-US"/>
        </w:rPr>
        <w:t>biofungicides</w:t>
      </w:r>
      <w:proofErr w:type="spellEnd"/>
      <w:r w:rsidRPr="007F6CB3">
        <w:rPr>
          <w:lang w:val="en-US"/>
        </w:rPr>
        <w:t>. These findings underscore the importance of designing extension and training programs in local languages (Igbo) that align with farmers’ cultural context to effectively communicate innovations (</w:t>
      </w:r>
      <w:bookmarkStart w:id="38" w:name="_Hlk222073628"/>
      <w:proofErr w:type="spellStart"/>
      <w:r w:rsidRPr="007F6CB3">
        <w:rPr>
          <w:lang w:val="en-US"/>
        </w:rPr>
        <w:t>Agrios</w:t>
      </w:r>
      <w:proofErr w:type="spellEnd"/>
      <w:r w:rsidRPr="007F6CB3">
        <w:rPr>
          <w:lang w:val="en-US"/>
        </w:rPr>
        <w:t>, 2005).</w:t>
      </w:r>
      <w:bookmarkEnd w:id="38"/>
    </w:p>
    <w:p w14:paraId="2F3C1CC8" w14:textId="7A211809" w:rsidR="00E16114" w:rsidRPr="007F6CB3" w:rsidRDefault="00E16114" w:rsidP="00E16114">
      <w:pPr>
        <w:pStyle w:val="BodyText"/>
        <w:rPr>
          <w:b/>
          <w:bCs/>
          <w:lang w:val="en-US"/>
        </w:rPr>
      </w:pPr>
      <w:bookmarkStart w:id="39" w:name="_Hlk221436121"/>
      <w:r w:rsidRPr="007F6CB3">
        <w:rPr>
          <w:b/>
          <w:bCs/>
          <w:lang w:val="en-US"/>
        </w:rPr>
        <w:t>Sweet Potato Cultivation Practices</w:t>
      </w:r>
    </w:p>
    <w:bookmarkEnd w:id="39"/>
    <w:p w14:paraId="302900F8" w14:textId="77777777" w:rsidR="00E16114" w:rsidRPr="007F6CB3" w:rsidRDefault="00E16114" w:rsidP="00E16114">
      <w:pPr>
        <w:pStyle w:val="BodyText"/>
        <w:rPr>
          <w:lang w:val="en-US"/>
        </w:rPr>
      </w:pPr>
      <w:r w:rsidRPr="007F6CB3">
        <w:rPr>
          <w:lang w:val="en-US"/>
        </w:rPr>
        <w:t>Sweet potato production in Anambra State is largely smallholder and subsistence-oriented, with over 77% of respondents cultivating less than 3 acres. Small-scale landholdings limit mechanization, access to improved inputs, and storage facilities, thereby increasing vulnerability to yield losses and post-harvest spoilage.</w:t>
      </w:r>
    </w:p>
    <w:p w14:paraId="3016FB8B" w14:textId="77777777" w:rsidR="00E16114" w:rsidRPr="007F6CB3" w:rsidRDefault="00E16114" w:rsidP="00E16114">
      <w:pPr>
        <w:pStyle w:val="BodyText"/>
        <w:rPr>
          <w:lang w:val="en-US"/>
        </w:rPr>
      </w:pPr>
      <w:r w:rsidRPr="007F6CB3">
        <w:rPr>
          <w:lang w:val="en-US"/>
        </w:rPr>
        <w:t xml:space="preserve">Traditional mound and ridge planting methods were the most common agronomic practices. While well-suited to the </w:t>
      </w:r>
      <w:proofErr w:type="spellStart"/>
      <w:r w:rsidRPr="007F6CB3">
        <w:rPr>
          <w:lang w:val="en-US"/>
        </w:rPr>
        <w:t>agro</w:t>
      </w:r>
      <w:proofErr w:type="spellEnd"/>
      <w:r w:rsidRPr="007F6CB3">
        <w:rPr>
          <w:lang w:val="en-US"/>
        </w:rPr>
        <w:t>-ecological conditions of southeastern Nigeria, reliance on these methods without complementary improved practices may contribute to inconsistent yields and susceptibility to soil-borne pathogens.</w:t>
      </w:r>
    </w:p>
    <w:p w14:paraId="7CBCC7FA" w14:textId="70426367" w:rsidR="00E16114" w:rsidRPr="007F6CB3" w:rsidRDefault="00E16114" w:rsidP="00E16114">
      <w:pPr>
        <w:pStyle w:val="BodyText"/>
        <w:rPr>
          <w:lang w:val="en-US"/>
        </w:rPr>
      </w:pPr>
      <w:r w:rsidRPr="007F6CB3">
        <w:rPr>
          <w:lang w:val="en-US"/>
        </w:rPr>
        <w:t xml:space="preserve">Farmers employed mixed-input strategies, using both organic manure and chemical fertilizers, though a significant proportion applied no inputs due to high costs, limited availability, and lack of technical knowledge. Pest infestations, diseases, and declining soil fertility were reported constraints that adversely affect productivity. These findings emphasize the need for integrated </w:t>
      </w:r>
      <w:r w:rsidRPr="007F6CB3">
        <w:rPr>
          <w:lang w:val="en-US"/>
        </w:rPr>
        <w:lastRenderedPageBreak/>
        <w:t>pest and nutrient management strategies that combine traditional knowledge with scientific insights (FAO</w:t>
      </w:r>
      <w:r w:rsidR="000636CE">
        <w:rPr>
          <w:lang w:val="en-US"/>
        </w:rPr>
        <w:t>, 2011</w:t>
      </w:r>
      <w:r w:rsidRPr="007F6CB3">
        <w:rPr>
          <w:lang w:val="en-US"/>
        </w:rPr>
        <w:t xml:space="preserve">; </w:t>
      </w:r>
      <w:proofErr w:type="spellStart"/>
      <w:r w:rsidRPr="007F6CB3">
        <w:rPr>
          <w:lang w:val="en-US"/>
        </w:rPr>
        <w:t>Agrios</w:t>
      </w:r>
      <w:proofErr w:type="spellEnd"/>
      <w:r w:rsidRPr="007F6CB3">
        <w:rPr>
          <w:lang w:val="en-US"/>
        </w:rPr>
        <w:t>, 2005</w:t>
      </w:r>
      <w:r w:rsidR="00B055C2">
        <w:rPr>
          <w:lang w:val="en-US"/>
        </w:rPr>
        <w:t xml:space="preserve">; </w:t>
      </w:r>
      <w:proofErr w:type="spellStart"/>
      <w:r w:rsidR="00B055C2">
        <w:rPr>
          <w:lang w:val="en-US"/>
        </w:rPr>
        <w:t>Afam-Ezeaku</w:t>
      </w:r>
      <w:proofErr w:type="spellEnd"/>
      <w:r w:rsidR="00B055C2">
        <w:rPr>
          <w:lang w:val="en-US"/>
        </w:rPr>
        <w:t xml:space="preserve"> and </w:t>
      </w:r>
      <w:proofErr w:type="spellStart"/>
      <w:r w:rsidR="00B055C2">
        <w:rPr>
          <w:lang w:val="en-US"/>
        </w:rPr>
        <w:t>Okigbo</w:t>
      </w:r>
      <w:proofErr w:type="spellEnd"/>
      <w:r w:rsidR="00B055C2">
        <w:rPr>
          <w:lang w:val="en-US"/>
        </w:rPr>
        <w:t>, 2025</w:t>
      </w:r>
      <w:r w:rsidRPr="007F6CB3">
        <w:rPr>
          <w:lang w:val="en-US"/>
        </w:rPr>
        <w:t>).</w:t>
      </w:r>
    </w:p>
    <w:p w14:paraId="7150C2C5" w14:textId="77777777" w:rsidR="00E16114" w:rsidRPr="007F6CB3" w:rsidRDefault="00E16114" w:rsidP="00E16114">
      <w:pPr>
        <w:pStyle w:val="BodyText"/>
        <w:rPr>
          <w:lang w:val="en-US"/>
        </w:rPr>
      </w:pPr>
    </w:p>
    <w:p w14:paraId="424CF0A2" w14:textId="2171ECCA" w:rsidR="00E16114" w:rsidRPr="007F6CB3" w:rsidRDefault="00E16114" w:rsidP="00E16114">
      <w:pPr>
        <w:pStyle w:val="BodyText"/>
        <w:rPr>
          <w:b/>
          <w:bCs/>
          <w:lang w:val="en-US"/>
        </w:rPr>
      </w:pPr>
      <w:bookmarkStart w:id="40" w:name="_Hlk221436140"/>
      <w:r w:rsidRPr="007F6CB3">
        <w:rPr>
          <w:b/>
          <w:bCs/>
          <w:lang w:val="en-US"/>
        </w:rPr>
        <w:t>Post-Harvest Handling and Rot Occurrence</w:t>
      </w:r>
    </w:p>
    <w:bookmarkEnd w:id="40"/>
    <w:p w14:paraId="1CB85471" w14:textId="77777777" w:rsidR="00E16114" w:rsidRPr="007F6CB3" w:rsidRDefault="00E16114" w:rsidP="00E16114">
      <w:pPr>
        <w:pStyle w:val="BodyText"/>
        <w:rPr>
          <w:lang w:val="en-US"/>
        </w:rPr>
      </w:pPr>
      <w:r w:rsidRPr="007F6CB3">
        <w:rPr>
          <w:lang w:val="en-US"/>
        </w:rPr>
        <w:t xml:space="preserve">Post-harvest rot is a major constraint in sweet potato production, causing significant losses in quality, nutrition, and market value. Microbial pathogens such as </w:t>
      </w:r>
      <w:r w:rsidRPr="007F6CB3">
        <w:rPr>
          <w:i/>
          <w:iCs/>
          <w:lang w:val="en-US"/>
        </w:rPr>
        <w:t>Aspergillus</w:t>
      </w:r>
      <w:r w:rsidRPr="007F6CB3">
        <w:rPr>
          <w:lang w:val="en-US"/>
        </w:rPr>
        <w:t xml:space="preserve">, </w:t>
      </w:r>
      <w:r w:rsidRPr="007F6CB3">
        <w:rPr>
          <w:i/>
          <w:iCs/>
          <w:lang w:val="en-US"/>
        </w:rPr>
        <w:t>Mucor</w:t>
      </w:r>
      <w:r w:rsidRPr="007F6CB3">
        <w:rPr>
          <w:lang w:val="en-US"/>
        </w:rPr>
        <w:t xml:space="preserve">, </w:t>
      </w:r>
      <w:r w:rsidRPr="007F6CB3">
        <w:rPr>
          <w:i/>
          <w:iCs/>
          <w:lang w:val="en-US"/>
        </w:rPr>
        <w:t>Fusarium</w:t>
      </w:r>
      <w:r w:rsidRPr="007F6CB3">
        <w:rPr>
          <w:lang w:val="en-US"/>
        </w:rPr>
        <w:t xml:space="preserve">, </w:t>
      </w:r>
      <w:r w:rsidRPr="007F6CB3">
        <w:rPr>
          <w:i/>
          <w:iCs/>
          <w:lang w:val="en-US"/>
        </w:rPr>
        <w:t>Rhizopus</w:t>
      </w:r>
      <w:r w:rsidRPr="007F6CB3">
        <w:rPr>
          <w:lang w:val="en-US"/>
        </w:rPr>
        <w:t xml:space="preserve">, and </w:t>
      </w:r>
      <w:r w:rsidRPr="007F6CB3">
        <w:rPr>
          <w:i/>
          <w:iCs/>
          <w:lang w:val="en-US"/>
        </w:rPr>
        <w:t>Candida</w:t>
      </w:r>
      <w:r w:rsidRPr="007F6CB3">
        <w:rPr>
          <w:lang w:val="en-US"/>
        </w:rPr>
        <w:t xml:space="preserve"> were isolated from all rotting tubers, confirming the biological basis of storage losses (</w:t>
      </w:r>
      <w:bookmarkStart w:id="41" w:name="_Hlk222073774"/>
      <w:proofErr w:type="spellStart"/>
      <w:r w:rsidRPr="007F6CB3">
        <w:rPr>
          <w:lang w:val="en-US"/>
        </w:rPr>
        <w:t>Terna</w:t>
      </w:r>
      <w:proofErr w:type="spellEnd"/>
      <w:r w:rsidRPr="007F6CB3">
        <w:rPr>
          <w:lang w:val="en-US"/>
        </w:rPr>
        <w:t xml:space="preserve"> </w:t>
      </w:r>
      <w:r w:rsidRPr="007F6CB3">
        <w:rPr>
          <w:i/>
          <w:iCs/>
          <w:lang w:val="en-US"/>
        </w:rPr>
        <w:t>et</w:t>
      </w:r>
      <w:r w:rsidRPr="007F6CB3">
        <w:rPr>
          <w:lang w:val="en-US"/>
        </w:rPr>
        <w:t xml:space="preserve"> </w:t>
      </w:r>
      <w:r w:rsidRPr="007F6CB3">
        <w:rPr>
          <w:i/>
          <w:iCs/>
          <w:lang w:val="en-US"/>
        </w:rPr>
        <w:t>al</w:t>
      </w:r>
      <w:r w:rsidRPr="007F6CB3">
        <w:rPr>
          <w:lang w:val="en-US"/>
        </w:rPr>
        <w:t>., 2024</w:t>
      </w:r>
      <w:bookmarkEnd w:id="41"/>
      <w:r w:rsidRPr="007F6CB3">
        <w:rPr>
          <w:lang w:val="en-US"/>
        </w:rPr>
        <w:t>).</w:t>
      </w:r>
    </w:p>
    <w:p w14:paraId="668C2181" w14:textId="6B6C0CC7" w:rsidR="00E16114" w:rsidRPr="007F6CB3" w:rsidRDefault="00E16114" w:rsidP="00E16114">
      <w:pPr>
        <w:pStyle w:val="BodyText"/>
        <w:rPr>
          <w:lang w:val="en-US"/>
        </w:rPr>
      </w:pPr>
      <w:r w:rsidRPr="007F6CB3">
        <w:rPr>
          <w:lang w:val="en-US"/>
        </w:rPr>
        <w:t>Manual harvesting, the dominant method, increases mechanical injury, creating entry points for fungal pathogens. Traditional storage methods—primarily sacks and barns—provide limited protection against moisture, temperature fluctuations, and microbial contamination. The observed high incidence of post-harvest rot (44.3%) underscores the vulnerability of sweet potatoes during storage (</w:t>
      </w:r>
      <w:bookmarkStart w:id="42" w:name="_Hlk222074364"/>
      <w:r w:rsidRPr="007F6CB3">
        <w:rPr>
          <w:lang w:val="en-US"/>
        </w:rPr>
        <w:t xml:space="preserve">Beckley </w:t>
      </w:r>
      <w:r w:rsidR="000636CE">
        <w:rPr>
          <w:lang w:val="en-US"/>
        </w:rPr>
        <w:t>and</w:t>
      </w:r>
      <w:r w:rsidRPr="007F6CB3">
        <w:rPr>
          <w:lang w:val="en-US"/>
        </w:rPr>
        <w:t xml:space="preserve"> </w:t>
      </w:r>
      <w:proofErr w:type="spellStart"/>
      <w:r w:rsidRPr="007F6CB3">
        <w:rPr>
          <w:lang w:val="en-US"/>
        </w:rPr>
        <w:t>Awoyemi</w:t>
      </w:r>
      <w:proofErr w:type="spellEnd"/>
      <w:r w:rsidRPr="007F6CB3">
        <w:rPr>
          <w:lang w:val="en-US"/>
        </w:rPr>
        <w:t>, 2021;</w:t>
      </w:r>
      <w:bookmarkEnd w:id="42"/>
      <w:r w:rsidRPr="007F6CB3">
        <w:rPr>
          <w:lang w:val="en-US"/>
        </w:rPr>
        <w:t xml:space="preserve"> </w:t>
      </w:r>
      <w:bookmarkStart w:id="43" w:name="_Hlk222074016"/>
      <w:proofErr w:type="spellStart"/>
      <w:r w:rsidRPr="007F6CB3">
        <w:rPr>
          <w:lang w:val="en-US"/>
        </w:rPr>
        <w:t>Enyiukwu</w:t>
      </w:r>
      <w:proofErr w:type="spellEnd"/>
      <w:r w:rsidRPr="007F6CB3">
        <w:rPr>
          <w:lang w:val="en-US"/>
        </w:rPr>
        <w:t xml:space="preserve"> </w:t>
      </w:r>
      <w:r w:rsidRPr="007F6CB3">
        <w:rPr>
          <w:i/>
          <w:iCs/>
          <w:lang w:val="en-US"/>
        </w:rPr>
        <w:t>et</w:t>
      </w:r>
      <w:r w:rsidRPr="007F6CB3">
        <w:rPr>
          <w:lang w:val="en-US"/>
        </w:rPr>
        <w:t xml:space="preserve"> </w:t>
      </w:r>
      <w:r w:rsidRPr="007F6CB3">
        <w:rPr>
          <w:i/>
          <w:iCs/>
          <w:lang w:val="en-US"/>
        </w:rPr>
        <w:t>al</w:t>
      </w:r>
      <w:r w:rsidRPr="007F6CB3">
        <w:rPr>
          <w:lang w:val="en-US"/>
        </w:rPr>
        <w:t>., 2020).</w:t>
      </w:r>
    </w:p>
    <w:bookmarkEnd w:id="43"/>
    <w:p w14:paraId="28EE4362" w14:textId="77777777" w:rsidR="00E16114" w:rsidRPr="007F6CB3" w:rsidRDefault="00E16114" w:rsidP="00E16114">
      <w:pPr>
        <w:pStyle w:val="BodyText"/>
        <w:rPr>
          <w:lang w:val="en-US"/>
        </w:rPr>
      </w:pPr>
      <w:r w:rsidRPr="007F6CB3">
        <w:rPr>
          <w:lang w:val="en-US"/>
        </w:rPr>
        <w:t xml:space="preserve">Symptoms such as soft rot, </w:t>
      </w:r>
      <w:proofErr w:type="spellStart"/>
      <w:r w:rsidRPr="007F6CB3">
        <w:rPr>
          <w:lang w:val="en-US"/>
        </w:rPr>
        <w:t>mould</w:t>
      </w:r>
      <w:proofErr w:type="spellEnd"/>
      <w:r w:rsidRPr="007F6CB3">
        <w:rPr>
          <w:lang w:val="en-US"/>
        </w:rPr>
        <w:t xml:space="preserve"> growth, discoloration, and foul </w:t>
      </w:r>
      <w:proofErr w:type="spellStart"/>
      <w:r w:rsidRPr="007F6CB3">
        <w:rPr>
          <w:lang w:val="en-US"/>
        </w:rPr>
        <w:t>odour</w:t>
      </w:r>
      <w:proofErr w:type="spellEnd"/>
      <w:r w:rsidRPr="007F6CB3">
        <w:rPr>
          <w:lang w:val="en-US"/>
        </w:rPr>
        <w:t xml:space="preserve"> were consistent with fungal spoilage. Seasonal variation was observed, with </w:t>
      </w:r>
      <w:r w:rsidRPr="007F6CB3">
        <w:rPr>
          <w:i/>
          <w:iCs/>
          <w:lang w:val="en-US"/>
        </w:rPr>
        <w:t xml:space="preserve">Rhizopus </w:t>
      </w:r>
      <w:proofErr w:type="spellStart"/>
      <w:r w:rsidRPr="007F6CB3">
        <w:rPr>
          <w:i/>
          <w:iCs/>
          <w:lang w:val="en-US"/>
        </w:rPr>
        <w:t>oryzae</w:t>
      </w:r>
      <w:proofErr w:type="spellEnd"/>
      <w:r w:rsidRPr="007F6CB3">
        <w:rPr>
          <w:lang w:val="en-US"/>
        </w:rPr>
        <w:t xml:space="preserve"> more prevalent in the rainy season and </w:t>
      </w:r>
      <w:r w:rsidRPr="007F6CB3">
        <w:rPr>
          <w:i/>
          <w:iCs/>
          <w:lang w:val="en-US"/>
        </w:rPr>
        <w:t xml:space="preserve">Aspergillus </w:t>
      </w:r>
      <w:proofErr w:type="spellStart"/>
      <w:r w:rsidRPr="007F6CB3">
        <w:rPr>
          <w:i/>
          <w:iCs/>
          <w:lang w:val="en-US"/>
        </w:rPr>
        <w:t>niger</w:t>
      </w:r>
      <w:proofErr w:type="spellEnd"/>
      <w:r w:rsidRPr="007F6CB3">
        <w:rPr>
          <w:lang w:val="en-US"/>
        </w:rPr>
        <w:t xml:space="preserve"> in the dry season, reflecting the influence of environmental conditions on pathogen proliferation.</w:t>
      </w:r>
    </w:p>
    <w:p w14:paraId="0A4FC2F3" w14:textId="53D707A3" w:rsidR="00E16114" w:rsidRPr="007F6CB3" w:rsidRDefault="00E16114" w:rsidP="00E16114">
      <w:pPr>
        <w:pStyle w:val="BodyText"/>
        <w:rPr>
          <w:b/>
          <w:bCs/>
          <w:lang w:val="en-US"/>
        </w:rPr>
      </w:pPr>
      <w:bookmarkStart w:id="44" w:name="_Hlk221436174"/>
      <w:r w:rsidRPr="007F6CB3">
        <w:rPr>
          <w:b/>
          <w:bCs/>
          <w:lang w:val="en-US"/>
        </w:rPr>
        <w:t>Conservation Practices and Preservation Challenges</w:t>
      </w:r>
    </w:p>
    <w:bookmarkEnd w:id="44"/>
    <w:p w14:paraId="30F6A89D" w14:textId="77777777" w:rsidR="00E16114" w:rsidRPr="007F6CB3" w:rsidRDefault="00E16114" w:rsidP="00E16114">
      <w:pPr>
        <w:pStyle w:val="BodyText"/>
        <w:rPr>
          <w:lang w:val="en-US"/>
        </w:rPr>
      </w:pPr>
      <w:r w:rsidRPr="007F6CB3">
        <w:rPr>
          <w:lang w:val="en-US"/>
        </w:rPr>
        <w:t xml:space="preserve">Traditional preservation methods, including vine retention and rudimentary storage, are widely used but limited in effectiveness due to high humidity, insect infestation, and poor storage facilities. Vine retention for propagation was moderately practiced (65%), indicating awareness of </w:t>
      </w:r>
      <w:r w:rsidRPr="007F6CB3">
        <w:rPr>
          <w:lang w:val="en-US"/>
        </w:rPr>
        <w:lastRenderedPageBreak/>
        <w:t>sustainable propagation, yet knowledge gaps hinder effective preservation and increase pathogen carryover.</w:t>
      </w:r>
    </w:p>
    <w:p w14:paraId="01AF5BB1" w14:textId="77777777" w:rsidR="00E16114" w:rsidRPr="007F6CB3" w:rsidRDefault="00E16114" w:rsidP="00E16114">
      <w:pPr>
        <w:pStyle w:val="BodyText"/>
        <w:rPr>
          <w:lang w:val="en-US"/>
        </w:rPr>
      </w:pPr>
      <w:r w:rsidRPr="007F6CB3">
        <w:rPr>
          <w:lang w:val="en-US"/>
        </w:rPr>
        <w:t xml:space="preserve">These findings highlight the need for low-cost, simple preservation methods complemented by training programs to reduce post-harvest losses and ensure availability of quality planting material (O’Brian </w:t>
      </w:r>
      <w:r w:rsidRPr="007F6CB3">
        <w:rPr>
          <w:i/>
          <w:iCs/>
          <w:lang w:val="en-US"/>
        </w:rPr>
        <w:t>et</w:t>
      </w:r>
      <w:r w:rsidRPr="007F6CB3">
        <w:rPr>
          <w:lang w:val="en-US"/>
        </w:rPr>
        <w:t xml:space="preserve"> </w:t>
      </w:r>
      <w:r w:rsidRPr="007F6CB3">
        <w:rPr>
          <w:i/>
          <w:iCs/>
          <w:lang w:val="en-US"/>
        </w:rPr>
        <w:t>al</w:t>
      </w:r>
      <w:r w:rsidRPr="007F6CB3">
        <w:rPr>
          <w:lang w:val="en-US"/>
        </w:rPr>
        <w:t>., 2023).</w:t>
      </w:r>
    </w:p>
    <w:p w14:paraId="77B277FE" w14:textId="509E30E5" w:rsidR="00E16114" w:rsidRPr="007F6CB3" w:rsidRDefault="00E16114" w:rsidP="00E16114">
      <w:pPr>
        <w:pStyle w:val="BodyText"/>
        <w:rPr>
          <w:b/>
          <w:bCs/>
          <w:lang w:val="en-US"/>
        </w:rPr>
      </w:pPr>
      <w:bookmarkStart w:id="45" w:name="_Hlk221436193"/>
      <w:r w:rsidRPr="007F6CB3">
        <w:rPr>
          <w:b/>
          <w:bCs/>
          <w:lang w:val="en-US"/>
        </w:rPr>
        <w:t>Socio-Economic and Cultural Significance of Sweet Potato</w:t>
      </w:r>
    </w:p>
    <w:bookmarkEnd w:id="45"/>
    <w:p w14:paraId="14B23B4B" w14:textId="77777777" w:rsidR="00E16114" w:rsidRPr="007F6CB3" w:rsidRDefault="00E16114" w:rsidP="00E16114">
      <w:pPr>
        <w:pStyle w:val="BodyText"/>
        <w:rPr>
          <w:lang w:val="en-US"/>
        </w:rPr>
      </w:pPr>
      <w:r w:rsidRPr="007F6CB3">
        <w:rPr>
          <w:lang w:val="en-US"/>
        </w:rPr>
        <w:t>Sweet potato serves as a multifunctional crop in Anambra State. Its primary role is household food security, with 89.7% of respondents using it as a staple. Cultural significance is evidenced by its use in rituals, festivals, and traditional medicine (20–30% of respondents).</w:t>
      </w:r>
    </w:p>
    <w:p w14:paraId="14997501" w14:textId="77777777" w:rsidR="00E16114" w:rsidRPr="007F6CB3" w:rsidRDefault="00E16114" w:rsidP="00E16114">
      <w:pPr>
        <w:pStyle w:val="BodyText"/>
        <w:rPr>
          <w:lang w:val="en-US"/>
        </w:rPr>
      </w:pPr>
      <w:r w:rsidRPr="007F6CB3">
        <w:rPr>
          <w:lang w:val="en-US"/>
        </w:rPr>
        <w:t>Economically, sweet potato provides supplementary income, although only 35.6% of respondents consider it a primary source of income, with most earning less than 50% of household income from it. Limited market access, reliance on middlemen, low prices, and high post-harvest losses constrain income generation. These socio-economic and cultural dimensions should inform the design of extension programs to improve adoption of innovations (</w:t>
      </w:r>
      <w:bookmarkStart w:id="46" w:name="_Hlk222075906"/>
      <w:r w:rsidRPr="007F6CB3">
        <w:rPr>
          <w:lang w:val="en-US"/>
        </w:rPr>
        <w:t xml:space="preserve">Yami </w:t>
      </w:r>
      <w:r w:rsidRPr="007F6CB3">
        <w:rPr>
          <w:i/>
          <w:iCs/>
          <w:lang w:val="en-US"/>
        </w:rPr>
        <w:t>et</w:t>
      </w:r>
      <w:r w:rsidRPr="007F6CB3">
        <w:rPr>
          <w:lang w:val="en-US"/>
        </w:rPr>
        <w:t xml:space="preserve"> </w:t>
      </w:r>
      <w:r w:rsidRPr="007F6CB3">
        <w:rPr>
          <w:i/>
          <w:iCs/>
          <w:lang w:val="en-US"/>
        </w:rPr>
        <w:t>al</w:t>
      </w:r>
      <w:r w:rsidRPr="007F6CB3">
        <w:rPr>
          <w:lang w:val="en-US"/>
        </w:rPr>
        <w:t>., 2025).</w:t>
      </w:r>
    </w:p>
    <w:p w14:paraId="1C10C314" w14:textId="6DB7A81A" w:rsidR="00E16114" w:rsidRPr="007F6CB3" w:rsidRDefault="00E16114" w:rsidP="00E16114">
      <w:pPr>
        <w:pStyle w:val="BodyText"/>
        <w:rPr>
          <w:b/>
          <w:bCs/>
          <w:lang w:val="en-US"/>
        </w:rPr>
      </w:pPr>
      <w:bookmarkStart w:id="47" w:name="_Hlk221436209"/>
      <w:bookmarkEnd w:id="46"/>
      <w:r w:rsidRPr="007F6CB3">
        <w:rPr>
          <w:b/>
          <w:bCs/>
          <w:lang w:val="en-US"/>
        </w:rPr>
        <w:t>Potential of Biological Control Agents</w:t>
      </w:r>
    </w:p>
    <w:bookmarkEnd w:id="47"/>
    <w:p w14:paraId="4A189BCC" w14:textId="77777777" w:rsidR="00E16114" w:rsidRPr="007F6CB3" w:rsidRDefault="00E16114" w:rsidP="00E16114">
      <w:pPr>
        <w:pStyle w:val="BodyText"/>
        <w:rPr>
          <w:lang w:val="en-US"/>
        </w:rPr>
      </w:pPr>
      <w:r w:rsidRPr="007F6CB3">
        <w:rPr>
          <w:lang w:val="en-US"/>
        </w:rPr>
        <w:t>The high incidence of post-harvest rot underscores the need for environmentally friendly alternatives to chemical fungicides. Biocontrol agents demonstrated significant potential:</w:t>
      </w:r>
    </w:p>
    <w:p w14:paraId="2D1DD087" w14:textId="77777777" w:rsidR="00E16114" w:rsidRPr="007F6CB3" w:rsidRDefault="00E16114" w:rsidP="00E16114">
      <w:pPr>
        <w:pStyle w:val="BodyText"/>
        <w:numPr>
          <w:ilvl w:val="0"/>
          <w:numId w:val="18"/>
        </w:numPr>
        <w:rPr>
          <w:lang w:val="en-US"/>
        </w:rPr>
      </w:pPr>
      <w:r w:rsidRPr="007F6CB3">
        <w:rPr>
          <w:i/>
          <w:iCs/>
          <w:lang w:val="en-US"/>
        </w:rPr>
        <w:t>Trichoderma</w:t>
      </w:r>
      <w:r w:rsidRPr="007F6CB3">
        <w:rPr>
          <w:lang w:val="en-US"/>
        </w:rPr>
        <w:t xml:space="preserve"> species effectively reduced rot incidence in stored tubers.</w:t>
      </w:r>
    </w:p>
    <w:p w14:paraId="6BD5A8B3" w14:textId="77777777" w:rsidR="00E16114" w:rsidRPr="007F6CB3" w:rsidRDefault="00E16114" w:rsidP="00E16114">
      <w:pPr>
        <w:pStyle w:val="BodyText"/>
        <w:numPr>
          <w:ilvl w:val="0"/>
          <w:numId w:val="18"/>
        </w:numPr>
        <w:rPr>
          <w:lang w:val="en-US"/>
        </w:rPr>
      </w:pPr>
      <w:r w:rsidRPr="007F6CB3">
        <w:rPr>
          <w:lang w:val="en-US"/>
        </w:rPr>
        <w:t xml:space="preserve">Endophytic bacteria such as </w:t>
      </w:r>
      <w:r w:rsidRPr="007F6CB3">
        <w:rPr>
          <w:i/>
          <w:iCs/>
          <w:lang w:val="en-US"/>
        </w:rPr>
        <w:t xml:space="preserve">Bacillus </w:t>
      </w:r>
      <w:proofErr w:type="spellStart"/>
      <w:r w:rsidRPr="007F6CB3">
        <w:rPr>
          <w:i/>
          <w:iCs/>
          <w:lang w:val="en-US"/>
        </w:rPr>
        <w:t>velezensis</w:t>
      </w:r>
      <w:proofErr w:type="spellEnd"/>
      <w:r w:rsidRPr="007F6CB3">
        <w:rPr>
          <w:lang w:val="en-US"/>
        </w:rPr>
        <w:t xml:space="preserve"> inhibited fungal pathogens like </w:t>
      </w:r>
      <w:r w:rsidRPr="007F6CB3">
        <w:rPr>
          <w:i/>
          <w:iCs/>
          <w:lang w:val="en-US"/>
        </w:rPr>
        <w:t>Ceratocystis fimbriata</w:t>
      </w:r>
      <w:r w:rsidRPr="007F6CB3">
        <w:rPr>
          <w:lang w:val="en-US"/>
        </w:rPr>
        <w:t xml:space="preserve"> and </w:t>
      </w:r>
      <w:r w:rsidRPr="007F6CB3">
        <w:rPr>
          <w:i/>
          <w:iCs/>
          <w:lang w:val="en-US"/>
        </w:rPr>
        <w:t xml:space="preserve">Fusarium </w:t>
      </w:r>
      <w:proofErr w:type="spellStart"/>
      <w:r w:rsidRPr="007F6CB3">
        <w:rPr>
          <w:i/>
          <w:iCs/>
          <w:lang w:val="en-US"/>
        </w:rPr>
        <w:t>oxysporum</w:t>
      </w:r>
      <w:proofErr w:type="spellEnd"/>
      <w:r w:rsidRPr="007F6CB3">
        <w:rPr>
          <w:lang w:val="en-US"/>
        </w:rPr>
        <w:t>.</w:t>
      </w:r>
    </w:p>
    <w:p w14:paraId="7EB5DD2D" w14:textId="3512F92B" w:rsidR="00E16114" w:rsidRPr="007F6CB3" w:rsidRDefault="00E16114" w:rsidP="00E16114">
      <w:pPr>
        <w:pStyle w:val="BodyText"/>
        <w:numPr>
          <w:ilvl w:val="0"/>
          <w:numId w:val="18"/>
        </w:numPr>
        <w:rPr>
          <w:lang w:val="en-US"/>
        </w:rPr>
      </w:pPr>
      <w:r w:rsidRPr="007F6CB3">
        <w:rPr>
          <w:lang w:val="en-US"/>
        </w:rPr>
        <w:lastRenderedPageBreak/>
        <w:t xml:space="preserve">Lactic acid bacteria (LAB), including </w:t>
      </w:r>
      <w:r w:rsidRPr="007F6CB3">
        <w:rPr>
          <w:i/>
          <w:iCs/>
          <w:lang w:val="en-US"/>
        </w:rPr>
        <w:t>Lactobacillus acidophilus</w:t>
      </w:r>
      <w:r w:rsidRPr="007F6CB3">
        <w:rPr>
          <w:lang w:val="en-US"/>
        </w:rPr>
        <w:t xml:space="preserve"> and </w:t>
      </w:r>
      <w:r w:rsidRPr="007F6CB3">
        <w:rPr>
          <w:i/>
          <w:iCs/>
          <w:lang w:val="en-US"/>
        </w:rPr>
        <w:t>L. plantarum</w:t>
      </w:r>
      <w:r w:rsidRPr="007F6CB3">
        <w:rPr>
          <w:lang w:val="en-US"/>
        </w:rPr>
        <w:t xml:space="preserve">, isolated from locally fermented beverages, produced antifungal metabolites that suppressed fungal growth both </w:t>
      </w:r>
      <w:r w:rsidRPr="007F6CB3">
        <w:rPr>
          <w:i/>
          <w:iCs/>
          <w:lang w:val="en-US"/>
        </w:rPr>
        <w:t>in</w:t>
      </w:r>
      <w:r w:rsidRPr="007F6CB3">
        <w:rPr>
          <w:lang w:val="en-US"/>
        </w:rPr>
        <w:t xml:space="preserve"> </w:t>
      </w:r>
      <w:r w:rsidRPr="007F6CB3">
        <w:rPr>
          <w:i/>
          <w:iCs/>
          <w:lang w:val="en-US"/>
        </w:rPr>
        <w:t>vitro</w:t>
      </w:r>
      <w:r w:rsidRPr="007F6CB3">
        <w:rPr>
          <w:lang w:val="en-US"/>
        </w:rPr>
        <w:t xml:space="preserve"> and </w:t>
      </w:r>
      <w:r w:rsidRPr="007F6CB3">
        <w:rPr>
          <w:i/>
          <w:iCs/>
          <w:lang w:val="en-US"/>
        </w:rPr>
        <w:t>in</w:t>
      </w:r>
      <w:r w:rsidRPr="007F6CB3">
        <w:rPr>
          <w:lang w:val="en-US"/>
        </w:rPr>
        <w:t xml:space="preserve"> </w:t>
      </w:r>
      <w:r w:rsidRPr="007F6CB3">
        <w:rPr>
          <w:i/>
          <w:iCs/>
          <w:lang w:val="en-US"/>
        </w:rPr>
        <w:t>vivo</w:t>
      </w:r>
      <w:r w:rsidRPr="007F6CB3">
        <w:rPr>
          <w:lang w:val="en-US"/>
        </w:rPr>
        <w:t>.</w:t>
      </w:r>
      <w:r w:rsidR="001E634E" w:rsidRPr="001E634E">
        <w:rPr>
          <w:lang w:val="en-US"/>
        </w:rPr>
        <w:t xml:space="preserve"> </w:t>
      </w:r>
      <w:r w:rsidR="001E634E">
        <w:rPr>
          <w:lang w:val="en-US"/>
        </w:rPr>
        <w:t>(</w:t>
      </w:r>
      <w:proofErr w:type="spellStart"/>
      <w:r w:rsidR="001E634E">
        <w:rPr>
          <w:lang w:val="en-US"/>
        </w:rPr>
        <w:t>Afam-Ezeaku</w:t>
      </w:r>
      <w:proofErr w:type="spellEnd"/>
      <w:r w:rsidR="001E634E">
        <w:rPr>
          <w:lang w:val="en-US"/>
        </w:rPr>
        <w:t xml:space="preserve"> and </w:t>
      </w:r>
      <w:proofErr w:type="spellStart"/>
      <w:r w:rsidR="001E634E">
        <w:rPr>
          <w:lang w:val="en-US"/>
        </w:rPr>
        <w:t>Okigbo</w:t>
      </w:r>
      <w:proofErr w:type="spellEnd"/>
      <w:r w:rsidR="001E634E">
        <w:rPr>
          <w:lang w:val="en-US"/>
        </w:rPr>
        <w:t>, 2026).</w:t>
      </w:r>
    </w:p>
    <w:p w14:paraId="21F2F4D2" w14:textId="553F5EFC" w:rsidR="00E16114" w:rsidRPr="007F6CB3" w:rsidRDefault="00E16114" w:rsidP="00E16114">
      <w:pPr>
        <w:pStyle w:val="BodyText"/>
        <w:rPr>
          <w:lang w:val="en-US"/>
        </w:rPr>
      </w:pPr>
      <w:r w:rsidRPr="007F6CB3">
        <w:rPr>
          <w:lang w:val="en-US"/>
        </w:rPr>
        <w:t xml:space="preserve">Minimum inhibitory concentration (MIC) and </w:t>
      </w:r>
      <w:r w:rsidRPr="003B3BF5">
        <w:rPr>
          <w:i/>
          <w:iCs/>
          <w:lang w:val="en-US"/>
        </w:rPr>
        <w:t>in</w:t>
      </w:r>
      <w:r w:rsidRPr="007F6CB3">
        <w:rPr>
          <w:lang w:val="en-US"/>
        </w:rPr>
        <w:t xml:space="preserve"> </w:t>
      </w:r>
      <w:r w:rsidRPr="003B3BF5">
        <w:rPr>
          <w:i/>
          <w:iCs/>
          <w:lang w:val="en-US"/>
        </w:rPr>
        <w:t>vivo</w:t>
      </w:r>
      <w:r w:rsidRPr="007F6CB3">
        <w:rPr>
          <w:lang w:val="en-US"/>
        </w:rPr>
        <w:t xml:space="preserve"> assays revealed </w:t>
      </w:r>
      <w:r w:rsidRPr="007F6CB3">
        <w:rPr>
          <w:i/>
          <w:iCs/>
          <w:lang w:val="en-US"/>
        </w:rPr>
        <w:t>L. acidophilus</w:t>
      </w:r>
      <w:r w:rsidRPr="007F6CB3">
        <w:rPr>
          <w:lang w:val="en-US"/>
        </w:rPr>
        <w:t xml:space="preserve"> consistently exhibited stronger antifungal activity than </w:t>
      </w:r>
      <w:r w:rsidRPr="007F6CB3">
        <w:rPr>
          <w:i/>
          <w:iCs/>
          <w:lang w:val="en-US"/>
        </w:rPr>
        <w:t>L. plantarum</w:t>
      </w:r>
      <w:r w:rsidRPr="007F6CB3">
        <w:rPr>
          <w:lang w:val="en-US"/>
        </w:rPr>
        <w:t xml:space="preserve">, achieving up to 40.16% growth inhibition against </w:t>
      </w:r>
      <w:r w:rsidRPr="007F6CB3">
        <w:rPr>
          <w:i/>
          <w:iCs/>
          <w:lang w:val="en-US"/>
        </w:rPr>
        <w:t xml:space="preserve">Rhizopus </w:t>
      </w:r>
      <w:proofErr w:type="spellStart"/>
      <w:r w:rsidRPr="007F6CB3">
        <w:rPr>
          <w:i/>
          <w:iCs/>
          <w:lang w:val="en-US"/>
        </w:rPr>
        <w:t>stolonifer</w:t>
      </w:r>
      <w:proofErr w:type="spellEnd"/>
      <w:r w:rsidRPr="007F6CB3">
        <w:rPr>
          <w:lang w:val="en-US"/>
        </w:rPr>
        <w:t xml:space="preserve">. These findings suggest strain-specific differences in metabolite production and highlight the practical potential of LAB-based </w:t>
      </w:r>
      <w:proofErr w:type="spellStart"/>
      <w:r w:rsidRPr="007F6CB3">
        <w:rPr>
          <w:lang w:val="en-US"/>
        </w:rPr>
        <w:t>biofungicides</w:t>
      </w:r>
      <w:proofErr w:type="spellEnd"/>
      <w:r w:rsidRPr="007F6CB3">
        <w:rPr>
          <w:lang w:val="en-US"/>
        </w:rPr>
        <w:t xml:space="preserve"> as part of integrated post-harvest management (</w:t>
      </w:r>
      <w:bookmarkStart w:id="48" w:name="_Hlk222076125"/>
      <w:r w:rsidRPr="007F6CB3">
        <w:rPr>
          <w:lang w:val="en-US"/>
        </w:rPr>
        <w:t xml:space="preserve">Liu </w:t>
      </w:r>
      <w:r w:rsidRPr="007F6CB3">
        <w:rPr>
          <w:i/>
          <w:iCs/>
          <w:lang w:val="en-US"/>
        </w:rPr>
        <w:t>et</w:t>
      </w:r>
      <w:r w:rsidRPr="007F6CB3">
        <w:rPr>
          <w:lang w:val="en-US"/>
        </w:rPr>
        <w:t xml:space="preserve"> </w:t>
      </w:r>
      <w:r w:rsidRPr="007F6CB3">
        <w:rPr>
          <w:i/>
          <w:iCs/>
          <w:lang w:val="en-US"/>
        </w:rPr>
        <w:t>al</w:t>
      </w:r>
      <w:r w:rsidRPr="007F6CB3">
        <w:rPr>
          <w:lang w:val="en-US"/>
        </w:rPr>
        <w:t>., 2024</w:t>
      </w:r>
      <w:bookmarkEnd w:id="48"/>
      <w:r w:rsidRPr="007F6CB3">
        <w:rPr>
          <w:lang w:val="en-US"/>
        </w:rPr>
        <w:t xml:space="preserve">; </w:t>
      </w:r>
      <w:bookmarkStart w:id="49" w:name="_Hlk222076404"/>
      <w:proofErr w:type="spellStart"/>
      <w:r w:rsidRPr="007F6CB3">
        <w:rPr>
          <w:lang w:val="en-US"/>
        </w:rPr>
        <w:t>Tagele</w:t>
      </w:r>
      <w:proofErr w:type="spellEnd"/>
      <w:r w:rsidRPr="007F6CB3">
        <w:rPr>
          <w:lang w:val="en-US"/>
        </w:rPr>
        <w:t xml:space="preserve"> </w:t>
      </w:r>
      <w:r w:rsidR="000636CE">
        <w:rPr>
          <w:lang w:val="en-US"/>
        </w:rPr>
        <w:t xml:space="preserve"> and </w:t>
      </w:r>
      <w:proofErr w:type="spellStart"/>
      <w:r w:rsidRPr="007F6CB3">
        <w:rPr>
          <w:lang w:val="en-US"/>
        </w:rPr>
        <w:t>Gachomo</w:t>
      </w:r>
      <w:proofErr w:type="spellEnd"/>
      <w:r w:rsidRPr="007F6CB3">
        <w:rPr>
          <w:lang w:val="en-US"/>
        </w:rPr>
        <w:t>, 2025</w:t>
      </w:r>
      <w:bookmarkEnd w:id="49"/>
      <w:r w:rsidRPr="007F6CB3">
        <w:rPr>
          <w:lang w:val="en-US"/>
        </w:rPr>
        <w:t>).</w:t>
      </w:r>
    </w:p>
    <w:p w14:paraId="1CAB0ACA" w14:textId="0049CAA9" w:rsidR="00E16114" w:rsidRPr="007F6CB3" w:rsidRDefault="00E16114" w:rsidP="00E16114">
      <w:pPr>
        <w:pStyle w:val="BodyText"/>
        <w:rPr>
          <w:b/>
          <w:bCs/>
          <w:lang w:val="en-US"/>
        </w:rPr>
      </w:pPr>
      <w:bookmarkStart w:id="50" w:name="_Hlk221436226"/>
      <w:r w:rsidRPr="007F6CB3">
        <w:rPr>
          <w:b/>
          <w:bCs/>
          <w:lang w:val="en-US"/>
        </w:rPr>
        <w:t xml:space="preserve">Awareness and Adoption of </w:t>
      </w:r>
      <w:proofErr w:type="spellStart"/>
      <w:r w:rsidRPr="007F6CB3">
        <w:rPr>
          <w:b/>
          <w:bCs/>
          <w:lang w:val="en-US"/>
        </w:rPr>
        <w:t>Biofungicides</w:t>
      </w:r>
      <w:proofErr w:type="spellEnd"/>
    </w:p>
    <w:bookmarkEnd w:id="50"/>
    <w:p w14:paraId="68C9A08D" w14:textId="77692200" w:rsidR="00E16114" w:rsidRPr="007F6CB3" w:rsidRDefault="00E16114" w:rsidP="00E16114">
      <w:pPr>
        <w:pStyle w:val="BodyText"/>
        <w:rPr>
          <w:lang w:val="en-US"/>
        </w:rPr>
      </w:pPr>
      <w:r w:rsidRPr="007F6CB3">
        <w:rPr>
          <w:lang w:val="en-US"/>
        </w:rPr>
        <w:t xml:space="preserve">Awareness of </w:t>
      </w:r>
      <w:proofErr w:type="spellStart"/>
      <w:r w:rsidRPr="007F6CB3">
        <w:rPr>
          <w:lang w:val="en-US"/>
        </w:rPr>
        <w:t>biofungicides</w:t>
      </w:r>
      <w:proofErr w:type="spellEnd"/>
      <w:r w:rsidRPr="007F6CB3">
        <w:rPr>
          <w:lang w:val="en-US"/>
        </w:rPr>
        <w:t xml:space="preserve"> and LAB was low (&lt;30%), but more than half of respondents believed microorganisms could help control rot, and nearly half indicated willingness to adopt LAB-based treatments. This suggests latent acceptance, which could be enhanced through tailored extension services addressing cost, availability, and knowledge gaps. Adoption of LAB aligns with sustainable agriculture goals, providing an eco-friendly and cost-effective alternative to chemical fungicides</w:t>
      </w:r>
      <w:r w:rsidR="001E634E">
        <w:rPr>
          <w:lang w:val="en-US"/>
        </w:rPr>
        <w:t xml:space="preserve"> (</w:t>
      </w:r>
      <w:proofErr w:type="spellStart"/>
      <w:r w:rsidR="001E634E">
        <w:rPr>
          <w:lang w:val="en-US"/>
        </w:rPr>
        <w:t>Afam-Ezeaku</w:t>
      </w:r>
      <w:proofErr w:type="spellEnd"/>
      <w:r w:rsidR="001E634E">
        <w:rPr>
          <w:lang w:val="en-US"/>
        </w:rPr>
        <w:t xml:space="preserve"> and </w:t>
      </w:r>
      <w:proofErr w:type="spellStart"/>
      <w:r w:rsidR="001E634E">
        <w:rPr>
          <w:lang w:val="en-US"/>
        </w:rPr>
        <w:t>Okigbo</w:t>
      </w:r>
      <w:proofErr w:type="spellEnd"/>
      <w:r w:rsidR="001E634E">
        <w:rPr>
          <w:lang w:val="en-US"/>
        </w:rPr>
        <w:t>, 2026).</w:t>
      </w:r>
    </w:p>
    <w:p w14:paraId="08383B6A" w14:textId="28514B96" w:rsidR="00E16114" w:rsidRPr="007F6CB3" w:rsidRDefault="00E16114" w:rsidP="00E16114">
      <w:pPr>
        <w:pStyle w:val="BodyText"/>
        <w:rPr>
          <w:b/>
          <w:bCs/>
          <w:lang w:val="en-US"/>
        </w:rPr>
      </w:pPr>
      <w:bookmarkStart w:id="51" w:name="_Hlk221436241"/>
      <w:r w:rsidRPr="007F6CB3">
        <w:rPr>
          <w:b/>
          <w:bCs/>
          <w:lang w:val="en-US"/>
        </w:rPr>
        <w:t>Implications for Sweet Potato Post-Harvest Management</w:t>
      </w:r>
    </w:p>
    <w:bookmarkEnd w:id="51"/>
    <w:p w14:paraId="056670D8" w14:textId="76D24D96" w:rsidR="005C5713" w:rsidRPr="007F6CB3" w:rsidRDefault="00E16114" w:rsidP="00E16114">
      <w:pPr>
        <w:pStyle w:val="BodyText"/>
        <w:rPr>
          <w:lang w:val="en-US"/>
        </w:rPr>
      </w:pPr>
      <w:r w:rsidRPr="007F6CB3">
        <w:rPr>
          <w:lang w:val="en-US"/>
        </w:rPr>
        <w:t>The prevalence of multiple fungal pathogens and high colony counts poses significant threats to food security, income, and nutritional quality. Integrating LAB</w:t>
      </w:r>
      <w:r w:rsidR="001E634E">
        <w:rPr>
          <w:lang w:val="en-US"/>
        </w:rPr>
        <w:t xml:space="preserve"> </w:t>
      </w:r>
      <w:r w:rsidRPr="007F6CB3">
        <w:rPr>
          <w:lang w:val="en-US"/>
        </w:rPr>
        <w:t>treatments</w:t>
      </w:r>
      <w:r w:rsidR="001E634E">
        <w:rPr>
          <w:lang w:val="en-US"/>
        </w:rPr>
        <w:t xml:space="preserve">, according to </w:t>
      </w:r>
      <w:proofErr w:type="spellStart"/>
      <w:r w:rsidR="001E634E">
        <w:rPr>
          <w:lang w:val="en-US"/>
        </w:rPr>
        <w:t>Afam-Ezeaku</w:t>
      </w:r>
      <w:proofErr w:type="spellEnd"/>
      <w:r w:rsidR="001E634E">
        <w:rPr>
          <w:lang w:val="en-US"/>
        </w:rPr>
        <w:t xml:space="preserve"> and </w:t>
      </w:r>
      <w:proofErr w:type="spellStart"/>
      <w:r w:rsidR="001E634E">
        <w:rPr>
          <w:lang w:val="en-US"/>
        </w:rPr>
        <w:t>Okigbo</w:t>
      </w:r>
      <w:proofErr w:type="spellEnd"/>
      <w:r w:rsidR="001E634E">
        <w:rPr>
          <w:lang w:val="en-US"/>
        </w:rPr>
        <w:t xml:space="preserve"> (2026), </w:t>
      </w:r>
      <w:r w:rsidRPr="007F6CB3">
        <w:rPr>
          <w:lang w:val="en-US"/>
        </w:rPr>
        <w:t>with improved handling and storage practices could reduce fungal burden, extend tuber shelf life, and enhance economic returns. Biological control strategies should complement traditional practices as part of an integrated management framework.</w:t>
      </w:r>
      <w:bookmarkStart w:id="52" w:name="_Hlk221436273"/>
    </w:p>
    <w:p w14:paraId="4168BAC1" w14:textId="1547FA9F" w:rsidR="00E16114" w:rsidRPr="007F6CB3" w:rsidRDefault="00E16114" w:rsidP="00E16114">
      <w:pPr>
        <w:pStyle w:val="BodyText"/>
        <w:rPr>
          <w:lang w:val="en-US"/>
        </w:rPr>
      </w:pPr>
      <w:r w:rsidRPr="007F6CB3">
        <w:rPr>
          <w:b/>
          <w:bCs/>
          <w:lang w:val="en-US"/>
        </w:rPr>
        <w:lastRenderedPageBreak/>
        <w:t xml:space="preserve">Conclusion </w:t>
      </w:r>
    </w:p>
    <w:bookmarkEnd w:id="52"/>
    <w:p w14:paraId="69D165A9" w14:textId="77777777" w:rsidR="00E16114" w:rsidRPr="007F6CB3" w:rsidRDefault="00E16114" w:rsidP="00E16114">
      <w:pPr>
        <w:pStyle w:val="BodyText"/>
        <w:rPr>
          <w:lang w:val="en-US"/>
        </w:rPr>
      </w:pPr>
      <w:r w:rsidRPr="007F6CB3">
        <w:rPr>
          <w:lang w:val="en-US"/>
        </w:rPr>
        <w:t xml:space="preserve">Post-harvest fungal spoilage significantly undermines sweet potato production, affecting food security, economic value, and nutritional quality in Anambra State. The identification of indigenous LAB with strong antifungal activity presents a promising biological control strategy. Integrating </w:t>
      </w:r>
      <w:proofErr w:type="spellStart"/>
      <w:r w:rsidRPr="007F6CB3">
        <w:rPr>
          <w:lang w:val="en-US"/>
        </w:rPr>
        <w:t>biofungicide</w:t>
      </w:r>
      <w:proofErr w:type="spellEnd"/>
      <w:r w:rsidRPr="007F6CB3">
        <w:rPr>
          <w:lang w:val="en-US"/>
        </w:rPr>
        <w:t xml:space="preserve"> technology with improved storage, handling, and farmer education could substantially reduce post-harvest losses, enhance income, and promote sustainable sweet potato production in the region.</w:t>
      </w:r>
    </w:p>
    <w:p w14:paraId="2B32BCEA" w14:textId="77777777" w:rsidR="008A0F42" w:rsidRDefault="008A0F42" w:rsidP="008A0F42">
      <w:pPr>
        <w:rPr>
          <w:rFonts w:ascii="Calibri" w:eastAsia="Calibri" w:hAnsi="Calibri" w:cs="Times New Roman"/>
          <w:kern w:val="2"/>
          <w:highlight w:val="yellow"/>
        </w:rPr>
      </w:pPr>
    </w:p>
    <w:p w14:paraId="5486271C" w14:textId="77777777" w:rsidR="008A0F42" w:rsidRDefault="008A0F42" w:rsidP="008A0F42">
      <w:pPr>
        <w:rPr>
          <w:rFonts w:ascii="Calibri" w:eastAsia="Calibri" w:hAnsi="Calibri" w:cs="Times New Roman"/>
          <w:kern w:val="2"/>
          <w:highlight w:val="yellow"/>
        </w:rPr>
      </w:pPr>
      <w:bookmarkStart w:id="53" w:name="_Hlk218868534"/>
    </w:p>
    <w:p w14:paraId="39974FAA" w14:textId="77777777" w:rsidR="008A0F42" w:rsidRPr="00005ED1" w:rsidRDefault="008A0F42" w:rsidP="008A0F42">
      <w:pPr>
        <w:pStyle w:val="NoSpacing"/>
        <w:rPr>
          <w:rFonts w:ascii="Arial" w:hAnsi="Arial" w:cs="Arial"/>
          <w:highlight w:val="yellow"/>
        </w:rPr>
      </w:pPr>
      <w:bookmarkStart w:id="54" w:name="_Hlk221624953"/>
      <w:r w:rsidRPr="00005ED1">
        <w:rPr>
          <w:rFonts w:ascii="Arial" w:hAnsi="Arial" w:cs="Arial"/>
          <w:highlight w:val="yellow"/>
        </w:rPr>
        <w:t>Disclaimer (Artificial intelligence)</w:t>
      </w:r>
    </w:p>
    <w:p w14:paraId="7CD7F536" w14:textId="77777777" w:rsidR="008A0F42" w:rsidRPr="00005ED1" w:rsidRDefault="008A0F42" w:rsidP="008A0F42">
      <w:pPr>
        <w:pStyle w:val="NoSpacing"/>
        <w:rPr>
          <w:rFonts w:ascii="Arial" w:hAnsi="Arial" w:cs="Arial"/>
          <w:highlight w:val="yellow"/>
        </w:rPr>
      </w:pPr>
    </w:p>
    <w:p w14:paraId="03E70B43" w14:textId="77777777" w:rsidR="008A0F42" w:rsidRDefault="008A0F42" w:rsidP="008A0F4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53"/>
    <w:p w14:paraId="51A7B985" w14:textId="77777777" w:rsidR="008A0F42" w:rsidRDefault="008A0F42" w:rsidP="008A0F42">
      <w:pPr>
        <w:pStyle w:val="NoSpacing"/>
        <w:rPr>
          <w:rFonts w:ascii="Arial" w:hAnsi="Arial" w:cs="Arial"/>
          <w:highlight w:val="yellow"/>
        </w:rPr>
      </w:pPr>
    </w:p>
    <w:bookmarkEnd w:id="54"/>
    <w:p w14:paraId="2A84F54A" w14:textId="77777777" w:rsidR="008A0F42" w:rsidRDefault="008A0F42" w:rsidP="008A0F42">
      <w:pPr>
        <w:pStyle w:val="NoSpacing"/>
        <w:rPr>
          <w:rFonts w:ascii="Arial" w:hAnsi="Arial" w:cs="Arial"/>
          <w:highlight w:val="yellow"/>
        </w:rPr>
      </w:pPr>
    </w:p>
    <w:p w14:paraId="213605A6" w14:textId="77777777" w:rsidR="00E16114" w:rsidRPr="007F6CB3" w:rsidRDefault="00E16114" w:rsidP="00E16114">
      <w:pPr>
        <w:pStyle w:val="BodyText"/>
      </w:pPr>
    </w:p>
    <w:p w14:paraId="26BDB77C" w14:textId="77777777" w:rsidR="007F6CB3" w:rsidRPr="007F6CB3" w:rsidRDefault="007F6CB3" w:rsidP="007F6CB3">
      <w:pPr>
        <w:rPr>
          <w:rFonts w:ascii="Times New Roman" w:hAnsi="Times New Roman" w:cs="Times New Roman"/>
          <w:sz w:val="24"/>
          <w:szCs w:val="24"/>
        </w:rPr>
      </w:pPr>
    </w:p>
    <w:p w14:paraId="146C162B" w14:textId="77777777" w:rsidR="00A346F7" w:rsidRPr="007F6CB3" w:rsidRDefault="00A346F7" w:rsidP="00A346F7">
      <w:pPr>
        <w:rPr>
          <w:rFonts w:ascii="Times New Roman" w:hAnsi="Times New Roman" w:cs="Times New Roman"/>
          <w:sz w:val="24"/>
          <w:szCs w:val="24"/>
        </w:rPr>
      </w:pPr>
      <w:r w:rsidRPr="007F6CB3">
        <w:rPr>
          <w:rFonts w:ascii="Times New Roman" w:hAnsi="Times New Roman" w:cs="Times New Roman"/>
          <w:sz w:val="24"/>
          <w:szCs w:val="24"/>
        </w:rPr>
        <w:t xml:space="preserve">REFERENCES </w:t>
      </w:r>
    </w:p>
    <w:p w14:paraId="119B19BC" w14:textId="77777777" w:rsidR="00A346F7" w:rsidRDefault="00A346F7" w:rsidP="00A346F7">
      <w:pPr>
        <w:rPr>
          <w:rFonts w:ascii="Times New Roman" w:hAnsi="Times New Roman" w:cs="Times New Roman"/>
          <w:sz w:val="24"/>
          <w:szCs w:val="24"/>
        </w:rPr>
      </w:pPr>
    </w:p>
    <w:p w14:paraId="0636F7EC" w14:textId="77777777" w:rsidR="00A346F7" w:rsidRDefault="00A346F7" w:rsidP="00A346F7">
      <w:pPr>
        <w:ind w:left="720" w:hanging="720"/>
      </w:pPr>
    </w:p>
    <w:p w14:paraId="05D1DC2C" w14:textId="61E9843E" w:rsidR="00A346F7" w:rsidRPr="0049209D" w:rsidRDefault="00A346F7" w:rsidP="0049209D">
      <w:pPr>
        <w:pStyle w:val="ListParagraph"/>
        <w:numPr>
          <w:ilvl w:val="0"/>
          <w:numId w:val="33"/>
        </w:numPr>
        <w:rPr>
          <w:rFonts w:ascii="Times New Roman" w:hAnsi="Times New Roman" w:cs="Times New Roman"/>
          <w:sz w:val="24"/>
          <w:szCs w:val="24"/>
        </w:rPr>
      </w:pPr>
      <w:bookmarkStart w:id="55" w:name="_GoBack"/>
      <w:proofErr w:type="spellStart"/>
      <w:r w:rsidRPr="0049209D">
        <w:rPr>
          <w:rFonts w:ascii="Times New Roman" w:hAnsi="Times New Roman" w:cs="Times New Roman"/>
          <w:sz w:val="24"/>
          <w:szCs w:val="24"/>
        </w:rPr>
        <w:t>Afam-Ezeaku</w:t>
      </w:r>
      <w:proofErr w:type="spellEnd"/>
      <w:r w:rsidRPr="0049209D">
        <w:rPr>
          <w:rFonts w:ascii="Times New Roman" w:hAnsi="Times New Roman" w:cs="Times New Roman"/>
          <w:sz w:val="24"/>
          <w:szCs w:val="24"/>
        </w:rPr>
        <w:t xml:space="preserve">, C. E. and </w:t>
      </w: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R N. (202</w:t>
      </w:r>
      <w:r w:rsidR="00CD38CA" w:rsidRPr="0049209D">
        <w:rPr>
          <w:rFonts w:ascii="Times New Roman" w:hAnsi="Times New Roman" w:cs="Times New Roman"/>
          <w:sz w:val="24"/>
          <w:szCs w:val="24"/>
        </w:rPr>
        <w:t>5</w:t>
      </w:r>
      <w:r w:rsidRPr="0049209D">
        <w:rPr>
          <w:rFonts w:ascii="Times New Roman" w:hAnsi="Times New Roman" w:cs="Times New Roman"/>
          <w:sz w:val="24"/>
          <w:szCs w:val="24"/>
        </w:rPr>
        <w:t xml:space="preserve">). The Role of Digital Technologies in Advancing Plant Pathology in Africa. </w:t>
      </w:r>
      <w:r w:rsidRPr="0049209D">
        <w:rPr>
          <w:rFonts w:ascii="Times New Roman" w:hAnsi="Times New Roman" w:cs="Times New Roman"/>
          <w:i/>
          <w:iCs/>
          <w:sz w:val="24"/>
          <w:szCs w:val="24"/>
        </w:rPr>
        <w:t>Asian Journal of Plant and Soil Sciences</w:t>
      </w:r>
      <w:r w:rsidRPr="0049209D">
        <w:rPr>
          <w:rFonts w:ascii="Times New Roman" w:hAnsi="Times New Roman" w:cs="Times New Roman"/>
          <w:sz w:val="24"/>
          <w:szCs w:val="24"/>
        </w:rPr>
        <w:t xml:space="preserve">, 10(1), 12-25. </w:t>
      </w:r>
    </w:p>
    <w:p w14:paraId="5EF849BE"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Afam-Ezeaku</w:t>
      </w:r>
      <w:proofErr w:type="spellEnd"/>
      <w:r w:rsidRPr="0049209D">
        <w:rPr>
          <w:rFonts w:ascii="Times New Roman" w:hAnsi="Times New Roman" w:cs="Times New Roman"/>
          <w:sz w:val="24"/>
          <w:szCs w:val="24"/>
        </w:rPr>
        <w:t xml:space="preserve">, C. E. and </w:t>
      </w: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xml:space="preserve">, R N. (2026). Use of bioprotective potentials of </w:t>
      </w:r>
      <w:r w:rsidRPr="0049209D">
        <w:rPr>
          <w:rFonts w:ascii="Times New Roman" w:hAnsi="Times New Roman" w:cs="Times New Roman"/>
          <w:i/>
          <w:iCs/>
          <w:sz w:val="24"/>
          <w:szCs w:val="24"/>
        </w:rPr>
        <w:t>Lactobacillus</w:t>
      </w:r>
      <w:r w:rsidRPr="0049209D">
        <w:rPr>
          <w:rFonts w:ascii="Times New Roman" w:hAnsi="Times New Roman" w:cs="Times New Roman"/>
          <w:sz w:val="24"/>
          <w:szCs w:val="24"/>
        </w:rPr>
        <w:t xml:space="preserve"> spp. for the control of post-harvest rot of sweet potato (</w:t>
      </w:r>
      <w:r w:rsidRPr="0049209D">
        <w:rPr>
          <w:rFonts w:ascii="Times New Roman" w:hAnsi="Times New Roman" w:cs="Times New Roman"/>
          <w:i/>
          <w:iCs/>
          <w:sz w:val="24"/>
          <w:szCs w:val="24"/>
        </w:rPr>
        <w:t>Ipomoea</w:t>
      </w:r>
      <w:r w:rsidRPr="0049209D">
        <w:rPr>
          <w:rFonts w:ascii="Times New Roman" w:hAnsi="Times New Roman" w:cs="Times New Roman"/>
          <w:sz w:val="24"/>
          <w:szCs w:val="24"/>
        </w:rPr>
        <w:t xml:space="preserve"> </w:t>
      </w:r>
      <w:r w:rsidRPr="0049209D">
        <w:rPr>
          <w:rFonts w:ascii="Times New Roman" w:hAnsi="Times New Roman" w:cs="Times New Roman"/>
          <w:i/>
          <w:iCs/>
          <w:sz w:val="24"/>
          <w:szCs w:val="24"/>
        </w:rPr>
        <w:t>batatas</w:t>
      </w:r>
      <w:r w:rsidRPr="0049209D">
        <w:rPr>
          <w:rFonts w:ascii="Times New Roman" w:hAnsi="Times New Roman" w:cs="Times New Roman"/>
          <w:sz w:val="24"/>
          <w:szCs w:val="24"/>
        </w:rPr>
        <w:t xml:space="preserve"> (L.) Lam.). </w:t>
      </w:r>
      <w:r w:rsidRPr="0049209D">
        <w:rPr>
          <w:rFonts w:ascii="Times New Roman" w:hAnsi="Times New Roman" w:cs="Times New Roman"/>
          <w:i/>
          <w:iCs/>
          <w:sz w:val="24"/>
          <w:szCs w:val="24"/>
        </w:rPr>
        <w:t>Journal of Advances in Food Science and Technology</w:t>
      </w:r>
      <w:r w:rsidRPr="0049209D">
        <w:rPr>
          <w:rFonts w:ascii="Times New Roman" w:hAnsi="Times New Roman" w:cs="Times New Roman"/>
          <w:sz w:val="24"/>
          <w:szCs w:val="24"/>
        </w:rPr>
        <w:t>, 13(1), 21-33.</w:t>
      </w:r>
    </w:p>
    <w:p w14:paraId="7631DBFB"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Agu</w:t>
      </w:r>
      <w:proofErr w:type="spellEnd"/>
      <w:r w:rsidRPr="0049209D">
        <w:rPr>
          <w:rFonts w:ascii="Times New Roman" w:hAnsi="Times New Roman" w:cs="Times New Roman"/>
          <w:sz w:val="24"/>
          <w:szCs w:val="24"/>
        </w:rPr>
        <w:t xml:space="preserve">, K.C., Nweke, G.U., </w:t>
      </w:r>
      <w:proofErr w:type="spellStart"/>
      <w:r w:rsidRPr="0049209D">
        <w:rPr>
          <w:rFonts w:ascii="Times New Roman" w:hAnsi="Times New Roman" w:cs="Times New Roman"/>
          <w:sz w:val="24"/>
          <w:szCs w:val="24"/>
        </w:rPr>
        <w:t>Awah</w:t>
      </w:r>
      <w:proofErr w:type="spellEnd"/>
      <w:r w:rsidRPr="0049209D">
        <w:rPr>
          <w:rFonts w:ascii="Times New Roman" w:hAnsi="Times New Roman" w:cs="Times New Roman"/>
          <w:sz w:val="24"/>
          <w:szCs w:val="24"/>
        </w:rPr>
        <w:t xml:space="preserve">, N.S., </w:t>
      </w:r>
      <w:proofErr w:type="spellStart"/>
      <w:r w:rsidRPr="0049209D">
        <w:rPr>
          <w:rFonts w:ascii="Times New Roman" w:hAnsi="Times New Roman" w:cs="Times New Roman"/>
          <w:sz w:val="24"/>
          <w:szCs w:val="24"/>
        </w:rPr>
        <w:t>Keke</w:t>
      </w:r>
      <w:proofErr w:type="spellEnd"/>
      <w:r w:rsidRPr="0049209D">
        <w:rPr>
          <w:rFonts w:ascii="Times New Roman" w:hAnsi="Times New Roman" w:cs="Times New Roman"/>
          <w:sz w:val="24"/>
          <w:szCs w:val="24"/>
        </w:rPr>
        <w:t xml:space="preserve">, B.C., </w:t>
      </w: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xml:space="preserve">, R.N. and </w:t>
      </w:r>
      <w:proofErr w:type="spellStart"/>
      <w:r w:rsidRPr="0049209D">
        <w:rPr>
          <w:rFonts w:ascii="Times New Roman" w:hAnsi="Times New Roman" w:cs="Times New Roman"/>
          <w:sz w:val="24"/>
          <w:szCs w:val="24"/>
        </w:rPr>
        <w:t>Ngenegbo</w:t>
      </w:r>
      <w:proofErr w:type="spellEnd"/>
      <w:r w:rsidRPr="0049209D">
        <w:rPr>
          <w:rFonts w:ascii="Times New Roman" w:hAnsi="Times New Roman" w:cs="Times New Roman"/>
          <w:sz w:val="24"/>
          <w:szCs w:val="24"/>
        </w:rPr>
        <w:t>, U.C. (2015). Fungi associated with the postharvest loss of sweet potato (</w:t>
      </w:r>
      <w:r w:rsidRPr="0049209D">
        <w:rPr>
          <w:rFonts w:ascii="Times New Roman" w:hAnsi="Times New Roman" w:cs="Times New Roman"/>
          <w:i/>
          <w:iCs/>
          <w:sz w:val="24"/>
          <w:szCs w:val="24"/>
        </w:rPr>
        <w:t>Ipomoea</w:t>
      </w:r>
      <w:r w:rsidRPr="0049209D">
        <w:rPr>
          <w:rFonts w:ascii="Times New Roman" w:hAnsi="Times New Roman" w:cs="Times New Roman"/>
          <w:sz w:val="24"/>
          <w:szCs w:val="24"/>
        </w:rPr>
        <w:t xml:space="preserve"> </w:t>
      </w:r>
      <w:r w:rsidRPr="0049209D">
        <w:rPr>
          <w:rFonts w:ascii="Times New Roman" w:hAnsi="Times New Roman" w:cs="Times New Roman"/>
          <w:i/>
          <w:iCs/>
          <w:sz w:val="24"/>
          <w:szCs w:val="24"/>
        </w:rPr>
        <w:t>batatas</w:t>
      </w:r>
      <w:r w:rsidRPr="0049209D">
        <w:rPr>
          <w:rFonts w:ascii="Times New Roman" w:hAnsi="Times New Roman" w:cs="Times New Roman"/>
          <w:sz w:val="24"/>
          <w:szCs w:val="24"/>
        </w:rPr>
        <w:t xml:space="preserve"> L.). </w:t>
      </w:r>
      <w:r w:rsidRPr="0049209D">
        <w:rPr>
          <w:rFonts w:ascii="Times New Roman" w:hAnsi="Times New Roman" w:cs="Times New Roman"/>
          <w:i/>
          <w:iCs/>
          <w:sz w:val="24"/>
          <w:szCs w:val="24"/>
        </w:rPr>
        <w:t>International Journal of Research Studies in Biosciences</w:t>
      </w:r>
      <w:r w:rsidRPr="0049209D">
        <w:rPr>
          <w:rFonts w:ascii="Times New Roman" w:hAnsi="Times New Roman" w:cs="Times New Roman"/>
          <w:sz w:val="24"/>
          <w:szCs w:val="24"/>
        </w:rPr>
        <w:t>, 3(9), 32-37.</w:t>
      </w:r>
    </w:p>
    <w:p w14:paraId="71D123D7"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Altieri, M. A. (2004). </w:t>
      </w:r>
      <w:r w:rsidRPr="0049209D">
        <w:rPr>
          <w:rFonts w:ascii="Times New Roman" w:hAnsi="Times New Roman" w:cs="Times New Roman"/>
          <w:i/>
          <w:iCs/>
          <w:sz w:val="24"/>
          <w:szCs w:val="24"/>
        </w:rPr>
        <w:t>Agroecology</w:t>
      </w:r>
      <w:r w:rsidRPr="0049209D">
        <w:rPr>
          <w:rFonts w:ascii="Times New Roman" w:hAnsi="Times New Roman" w:cs="Times New Roman"/>
          <w:sz w:val="24"/>
          <w:szCs w:val="24"/>
        </w:rPr>
        <w:t>: The science of sustainable agriculture (2nd ed.). Westview Press.</w:t>
      </w:r>
    </w:p>
    <w:p w14:paraId="7F58F274"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lastRenderedPageBreak/>
        <w:t>Anuagasi</w:t>
      </w:r>
      <w:proofErr w:type="spellEnd"/>
      <w:r w:rsidRPr="0049209D">
        <w:rPr>
          <w:rFonts w:ascii="Times New Roman" w:hAnsi="Times New Roman" w:cs="Times New Roman"/>
          <w:sz w:val="24"/>
          <w:szCs w:val="24"/>
        </w:rPr>
        <w:t xml:space="preserve">, C. L. and </w:t>
      </w: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R. N. (2024). Ethno-Botanical Studies of Post-Harvest Rot of White Yam (</w:t>
      </w:r>
      <w:proofErr w:type="spellStart"/>
      <w:r w:rsidRPr="0049209D">
        <w:rPr>
          <w:rFonts w:ascii="Times New Roman" w:hAnsi="Times New Roman" w:cs="Times New Roman"/>
          <w:i/>
          <w:iCs/>
          <w:sz w:val="24"/>
          <w:szCs w:val="24"/>
        </w:rPr>
        <w:t>Dioscorea</w:t>
      </w:r>
      <w:proofErr w:type="spellEnd"/>
      <w:r w:rsidRPr="0049209D">
        <w:rPr>
          <w:rFonts w:ascii="Times New Roman" w:hAnsi="Times New Roman" w:cs="Times New Roman"/>
          <w:sz w:val="24"/>
          <w:szCs w:val="24"/>
        </w:rPr>
        <w:t xml:space="preserve"> </w:t>
      </w:r>
      <w:proofErr w:type="spellStart"/>
      <w:r w:rsidRPr="0049209D">
        <w:rPr>
          <w:rFonts w:ascii="Times New Roman" w:hAnsi="Times New Roman" w:cs="Times New Roman"/>
          <w:i/>
          <w:iCs/>
          <w:sz w:val="24"/>
          <w:szCs w:val="24"/>
        </w:rPr>
        <w:t>rotundata</w:t>
      </w:r>
      <w:proofErr w:type="spellEnd"/>
      <w:r w:rsidRPr="0049209D">
        <w:rPr>
          <w:rFonts w:ascii="Times New Roman" w:hAnsi="Times New Roman" w:cs="Times New Roman"/>
          <w:sz w:val="24"/>
          <w:szCs w:val="24"/>
        </w:rPr>
        <w:t xml:space="preserve"> </w:t>
      </w:r>
      <w:proofErr w:type="spellStart"/>
      <w:r w:rsidRPr="0049209D">
        <w:rPr>
          <w:rFonts w:ascii="Times New Roman" w:hAnsi="Times New Roman" w:cs="Times New Roman"/>
          <w:sz w:val="24"/>
          <w:szCs w:val="24"/>
        </w:rPr>
        <w:t>Poir</w:t>
      </w:r>
      <w:proofErr w:type="spellEnd"/>
      <w:r w:rsidRPr="0049209D">
        <w:rPr>
          <w:rFonts w:ascii="Times New Roman" w:hAnsi="Times New Roman" w:cs="Times New Roman"/>
          <w:sz w:val="24"/>
          <w:szCs w:val="24"/>
        </w:rPr>
        <w:t xml:space="preserve">.) in the five South-Eastern States of Nigeria. GSC </w:t>
      </w:r>
      <w:r w:rsidRPr="0049209D">
        <w:rPr>
          <w:rFonts w:ascii="Times New Roman" w:hAnsi="Times New Roman" w:cs="Times New Roman"/>
          <w:i/>
          <w:iCs/>
          <w:sz w:val="24"/>
          <w:szCs w:val="24"/>
        </w:rPr>
        <w:t>Advanced Research and Reviews</w:t>
      </w:r>
      <w:r w:rsidRPr="0049209D">
        <w:rPr>
          <w:rFonts w:ascii="Times New Roman" w:hAnsi="Times New Roman" w:cs="Times New Roman"/>
          <w:sz w:val="24"/>
          <w:szCs w:val="24"/>
        </w:rPr>
        <w:t>, 20(1), 439-455.</w:t>
      </w:r>
    </w:p>
    <w:p w14:paraId="125A3604"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Ezebo</w:t>
      </w:r>
      <w:proofErr w:type="spellEnd"/>
      <w:r w:rsidRPr="0049209D">
        <w:rPr>
          <w:rFonts w:ascii="Times New Roman" w:hAnsi="Times New Roman" w:cs="Times New Roman"/>
          <w:sz w:val="24"/>
          <w:szCs w:val="24"/>
        </w:rPr>
        <w:t xml:space="preserve">, R. O. and </w:t>
      </w: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R.N. (2024). Ethno-Botanical Study of Water Yam (</w:t>
      </w:r>
      <w:proofErr w:type="spellStart"/>
      <w:r w:rsidRPr="0049209D">
        <w:rPr>
          <w:rFonts w:ascii="Times New Roman" w:hAnsi="Times New Roman" w:cs="Times New Roman"/>
          <w:i/>
          <w:iCs/>
          <w:sz w:val="24"/>
          <w:szCs w:val="24"/>
        </w:rPr>
        <w:t>Dioscorea</w:t>
      </w:r>
      <w:proofErr w:type="spellEnd"/>
      <w:r w:rsidRPr="0049209D">
        <w:rPr>
          <w:rFonts w:ascii="Times New Roman" w:hAnsi="Times New Roman" w:cs="Times New Roman"/>
          <w:sz w:val="24"/>
          <w:szCs w:val="24"/>
        </w:rPr>
        <w:t xml:space="preserve"> </w:t>
      </w:r>
      <w:proofErr w:type="spellStart"/>
      <w:r w:rsidRPr="0049209D">
        <w:rPr>
          <w:rFonts w:ascii="Times New Roman" w:hAnsi="Times New Roman" w:cs="Times New Roman"/>
          <w:i/>
          <w:iCs/>
          <w:sz w:val="24"/>
          <w:szCs w:val="24"/>
        </w:rPr>
        <w:t>alata</w:t>
      </w:r>
      <w:proofErr w:type="spellEnd"/>
      <w:r w:rsidRPr="0049209D">
        <w:rPr>
          <w:rFonts w:ascii="Times New Roman" w:hAnsi="Times New Roman" w:cs="Times New Roman"/>
          <w:sz w:val="24"/>
          <w:szCs w:val="24"/>
        </w:rPr>
        <w:t xml:space="preserve"> L.) Tubers in Storage in the South-Eastern Nigeria. </w:t>
      </w:r>
      <w:r w:rsidRPr="0049209D">
        <w:rPr>
          <w:rFonts w:ascii="Times New Roman" w:hAnsi="Times New Roman" w:cs="Times New Roman"/>
          <w:i/>
          <w:iCs/>
          <w:sz w:val="24"/>
          <w:szCs w:val="24"/>
        </w:rPr>
        <w:t>Asian Journal of Food Research and Nutrition</w:t>
      </w:r>
      <w:r w:rsidRPr="0049209D">
        <w:rPr>
          <w:rFonts w:ascii="Times New Roman" w:hAnsi="Times New Roman" w:cs="Times New Roman"/>
          <w:sz w:val="24"/>
          <w:szCs w:val="24"/>
        </w:rPr>
        <w:t>, 3(4), 1113-1130.</w:t>
      </w:r>
    </w:p>
    <w:p w14:paraId="29D70442"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Food and Agriculture Organization (FAO). (2011). </w:t>
      </w:r>
      <w:r w:rsidRPr="0049209D">
        <w:rPr>
          <w:rFonts w:ascii="Times New Roman" w:hAnsi="Times New Roman" w:cs="Times New Roman"/>
          <w:i/>
          <w:iCs/>
          <w:sz w:val="24"/>
          <w:szCs w:val="24"/>
        </w:rPr>
        <w:t>Guide to post-harvest handling of root and tuber crops</w:t>
      </w:r>
      <w:r w:rsidRPr="0049209D">
        <w:rPr>
          <w:rFonts w:ascii="Times New Roman" w:hAnsi="Times New Roman" w:cs="Times New Roman"/>
          <w:sz w:val="24"/>
          <w:szCs w:val="24"/>
        </w:rPr>
        <w:t>. FAO.</w:t>
      </w:r>
    </w:p>
    <w:p w14:paraId="38CB126C"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Food and Agriculture Organization (FAO). (2022). </w:t>
      </w:r>
      <w:r w:rsidRPr="0049209D">
        <w:rPr>
          <w:rFonts w:ascii="Times New Roman" w:hAnsi="Times New Roman" w:cs="Times New Roman"/>
          <w:i/>
          <w:iCs/>
          <w:sz w:val="24"/>
          <w:szCs w:val="24"/>
        </w:rPr>
        <w:t>FAOSTAT statistical database</w:t>
      </w:r>
      <w:r w:rsidRPr="0049209D">
        <w:rPr>
          <w:rFonts w:ascii="Times New Roman" w:hAnsi="Times New Roman" w:cs="Times New Roman"/>
          <w:sz w:val="24"/>
          <w:szCs w:val="24"/>
        </w:rPr>
        <w:t>. FAO. https://www.fao.org/faostat/</w:t>
      </w:r>
    </w:p>
    <w:p w14:paraId="618E86C9"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Kader, A. A. (2005). Increasing food availability by reducing postharvest losses of fresh produce. </w:t>
      </w:r>
      <w:r w:rsidRPr="0049209D">
        <w:rPr>
          <w:rFonts w:ascii="Times New Roman" w:hAnsi="Times New Roman" w:cs="Times New Roman"/>
          <w:i/>
          <w:iCs/>
          <w:sz w:val="24"/>
          <w:szCs w:val="24"/>
        </w:rPr>
        <w:t xml:space="preserve">Acta </w:t>
      </w:r>
      <w:proofErr w:type="spellStart"/>
      <w:r w:rsidRPr="0049209D">
        <w:rPr>
          <w:rFonts w:ascii="Times New Roman" w:hAnsi="Times New Roman" w:cs="Times New Roman"/>
          <w:i/>
          <w:iCs/>
          <w:sz w:val="24"/>
          <w:szCs w:val="24"/>
        </w:rPr>
        <w:t>Horticulturae</w:t>
      </w:r>
      <w:proofErr w:type="spellEnd"/>
      <w:r w:rsidRPr="0049209D">
        <w:rPr>
          <w:rFonts w:ascii="Times New Roman" w:hAnsi="Times New Roman" w:cs="Times New Roman"/>
          <w:sz w:val="24"/>
          <w:szCs w:val="24"/>
        </w:rPr>
        <w:t>, 682, 2169–2176.</w:t>
      </w:r>
    </w:p>
    <w:p w14:paraId="33D5A6C9"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Loebenstein</w:t>
      </w:r>
      <w:proofErr w:type="spellEnd"/>
      <w:r w:rsidRPr="0049209D">
        <w:rPr>
          <w:rFonts w:ascii="Times New Roman" w:hAnsi="Times New Roman" w:cs="Times New Roman"/>
          <w:sz w:val="24"/>
          <w:szCs w:val="24"/>
        </w:rPr>
        <w:t xml:space="preserve">, G. and </w:t>
      </w:r>
      <w:proofErr w:type="spellStart"/>
      <w:r w:rsidRPr="0049209D">
        <w:rPr>
          <w:rFonts w:ascii="Times New Roman" w:hAnsi="Times New Roman" w:cs="Times New Roman"/>
          <w:sz w:val="24"/>
          <w:szCs w:val="24"/>
        </w:rPr>
        <w:t>Thottappilly</w:t>
      </w:r>
      <w:proofErr w:type="spellEnd"/>
      <w:r w:rsidRPr="0049209D">
        <w:rPr>
          <w:rFonts w:ascii="Times New Roman" w:hAnsi="Times New Roman" w:cs="Times New Roman"/>
          <w:sz w:val="24"/>
          <w:szCs w:val="24"/>
        </w:rPr>
        <w:t xml:space="preserve">, G. (Eds.). (2009). </w:t>
      </w:r>
      <w:r w:rsidRPr="0049209D">
        <w:rPr>
          <w:rFonts w:ascii="Times New Roman" w:hAnsi="Times New Roman" w:cs="Times New Roman"/>
          <w:i/>
          <w:iCs/>
          <w:sz w:val="24"/>
          <w:szCs w:val="24"/>
        </w:rPr>
        <w:t>The sweet potato</w:t>
      </w:r>
      <w:r w:rsidRPr="0049209D">
        <w:rPr>
          <w:rFonts w:ascii="Times New Roman" w:hAnsi="Times New Roman" w:cs="Times New Roman"/>
          <w:sz w:val="24"/>
          <w:szCs w:val="24"/>
        </w:rPr>
        <w:t>. Springer.</w:t>
      </w:r>
    </w:p>
    <w:p w14:paraId="266C37BA"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National Root Crops Research Institute (NRCRI). (2020). </w:t>
      </w:r>
      <w:r w:rsidRPr="0049209D">
        <w:rPr>
          <w:rFonts w:ascii="Times New Roman" w:hAnsi="Times New Roman" w:cs="Times New Roman"/>
          <w:i/>
          <w:iCs/>
          <w:sz w:val="24"/>
          <w:szCs w:val="24"/>
        </w:rPr>
        <w:t>Annual report on root and tuber crop production in Nigeria</w:t>
      </w:r>
      <w:r w:rsidRPr="0049209D">
        <w:rPr>
          <w:rFonts w:ascii="Times New Roman" w:hAnsi="Times New Roman" w:cs="Times New Roman"/>
          <w:sz w:val="24"/>
          <w:szCs w:val="24"/>
        </w:rPr>
        <w:t xml:space="preserve">. NRCRI, </w:t>
      </w:r>
      <w:proofErr w:type="spellStart"/>
      <w:r w:rsidRPr="0049209D">
        <w:rPr>
          <w:rFonts w:ascii="Times New Roman" w:hAnsi="Times New Roman" w:cs="Times New Roman"/>
          <w:sz w:val="24"/>
          <w:szCs w:val="24"/>
        </w:rPr>
        <w:t>Umudike</w:t>
      </w:r>
      <w:proofErr w:type="spellEnd"/>
      <w:r w:rsidRPr="0049209D">
        <w:rPr>
          <w:rFonts w:ascii="Times New Roman" w:hAnsi="Times New Roman" w:cs="Times New Roman"/>
          <w:sz w:val="24"/>
          <w:szCs w:val="24"/>
        </w:rPr>
        <w:t>.</w:t>
      </w:r>
    </w:p>
    <w:p w14:paraId="20A291B8"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Nwosu, A. C. and Okoye, B. C. (2017). Root and tuber crops in Nigerian food systems: Socioeconomic importance and policy implications. </w:t>
      </w:r>
      <w:r w:rsidRPr="0049209D">
        <w:rPr>
          <w:rFonts w:ascii="Times New Roman" w:hAnsi="Times New Roman" w:cs="Times New Roman"/>
          <w:i/>
          <w:iCs/>
          <w:sz w:val="24"/>
          <w:szCs w:val="24"/>
        </w:rPr>
        <w:t>African Journal of Agricultural Research</w:t>
      </w:r>
      <w:r w:rsidRPr="0049209D">
        <w:rPr>
          <w:rFonts w:ascii="Times New Roman" w:hAnsi="Times New Roman" w:cs="Times New Roman"/>
          <w:sz w:val="24"/>
          <w:szCs w:val="24"/>
        </w:rPr>
        <w:t>, 12(25), 2121–2130.</w:t>
      </w:r>
    </w:p>
    <w:p w14:paraId="17BD0DB2"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Ray, R. C. and Ravi, V. (2005). Post-harvest spoilage of sweet potato in tropics and control measures. </w:t>
      </w:r>
      <w:r w:rsidRPr="0049209D">
        <w:rPr>
          <w:rFonts w:ascii="Times New Roman" w:hAnsi="Times New Roman" w:cs="Times New Roman"/>
          <w:i/>
          <w:iCs/>
          <w:sz w:val="24"/>
          <w:szCs w:val="24"/>
        </w:rPr>
        <w:t>Critical Reviews in Food Science and Nutrition</w:t>
      </w:r>
      <w:r w:rsidRPr="0049209D">
        <w:rPr>
          <w:rFonts w:ascii="Times New Roman" w:hAnsi="Times New Roman" w:cs="Times New Roman"/>
          <w:sz w:val="24"/>
          <w:szCs w:val="24"/>
        </w:rPr>
        <w:t>, 45(7–8), 623–644.</w:t>
      </w:r>
    </w:p>
    <w:p w14:paraId="4AC334F0"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Toledo, V. M. and Barrera-</w:t>
      </w:r>
      <w:proofErr w:type="spellStart"/>
      <w:r w:rsidRPr="0049209D">
        <w:rPr>
          <w:rFonts w:ascii="Times New Roman" w:hAnsi="Times New Roman" w:cs="Times New Roman"/>
          <w:sz w:val="24"/>
          <w:szCs w:val="24"/>
        </w:rPr>
        <w:t>Bassols</w:t>
      </w:r>
      <w:proofErr w:type="spellEnd"/>
      <w:r w:rsidRPr="0049209D">
        <w:rPr>
          <w:rFonts w:ascii="Times New Roman" w:hAnsi="Times New Roman" w:cs="Times New Roman"/>
          <w:sz w:val="24"/>
          <w:szCs w:val="24"/>
        </w:rPr>
        <w:t xml:space="preserve">, N. (2008). </w:t>
      </w:r>
      <w:r w:rsidRPr="0049209D">
        <w:rPr>
          <w:rFonts w:ascii="Times New Roman" w:hAnsi="Times New Roman" w:cs="Times New Roman"/>
          <w:i/>
          <w:iCs/>
          <w:sz w:val="24"/>
          <w:szCs w:val="24"/>
          <w:lang w:val="es-US"/>
        </w:rPr>
        <w:t>La memoria biocultural: La importancia ecológica de las sabidurías tradicionales</w:t>
      </w:r>
      <w:r w:rsidRPr="0049209D">
        <w:rPr>
          <w:rFonts w:ascii="Times New Roman" w:hAnsi="Times New Roman" w:cs="Times New Roman"/>
          <w:sz w:val="24"/>
          <w:szCs w:val="24"/>
          <w:lang w:val="es-US"/>
        </w:rPr>
        <w:t xml:space="preserve">. </w:t>
      </w:r>
      <w:r w:rsidRPr="0049209D">
        <w:rPr>
          <w:rFonts w:ascii="Times New Roman" w:hAnsi="Times New Roman" w:cs="Times New Roman"/>
          <w:sz w:val="24"/>
          <w:szCs w:val="24"/>
        </w:rPr>
        <w:t>Icaria Editorial.</w:t>
      </w:r>
    </w:p>
    <w:p w14:paraId="3DD2BBC5"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Okigbo</w:t>
      </w:r>
      <w:proofErr w:type="spellEnd"/>
      <w:r w:rsidRPr="0049209D">
        <w:rPr>
          <w:rFonts w:ascii="Times New Roman" w:hAnsi="Times New Roman" w:cs="Times New Roman"/>
          <w:sz w:val="24"/>
          <w:szCs w:val="24"/>
        </w:rPr>
        <w:t xml:space="preserve">, R. N. and </w:t>
      </w:r>
      <w:proofErr w:type="spellStart"/>
      <w:r w:rsidRPr="0049209D">
        <w:rPr>
          <w:rFonts w:ascii="Times New Roman" w:hAnsi="Times New Roman" w:cs="Times New Roman"/>
          <w:sz w:val="24"/>
          <w:szCs w:val="24"/>
        </w:rPr>
        <w:t>Nwatu</w:t>
      </w:r>
      <w:proofErr w:type="spellEnd"/>
      <w:r w:rsidRPr="0049209D">
        <w:rPr>
          <w:rFonts w:ascii="Times New Roman" w:hAnsi="Times New Roman" w:cs="Times New Roman"/>
          <w:sz w:val="24"/>
          <w:szCs w:val="24"/>
        </w:rPr>
        <w:t xml:space="preserve">, C. M. (2015). </w:t>
      </w:r>
      <w:proofErr w:type="spellStart"/>
      <w:r w:rsidRPr="0049209D">
        <w:rPr>
          <w:rFonts w:ascii="Times New Roman" w:hAnsi="Times New Roman" w:cs="Times New Roman"/>
          <w:sz w:val="24"/>
          <w:szCs w:val="24"/>
        </w:rPr>
        <w:t>Ethnostudy</w:t>
      </w:r>
      <w:proofErr w:type="spellEnd"/>
      <w:r w:rsidRPr="0049209D">
        <w:rPr>
          <w:rFonts w:ascii="Times New Roman" w:hAnsi="Times New Roman" w:cs="Times New Roman"/>
          <w:sz w:val="24"/>
          <w:szCs w:val="24"/>
        </w:rPr>
        <w:t xml:space="preserve"> and Usage of Edible and Medicinal Mushrooms in some parts of Anambra State, Nigeria. </w:t>
      </w:r>
      <w:r w:rsidRPr="0049209D">
        <w:rPr>
          <w:rFonts w:ascii="Times New Roman" w:hAnsi="Times New Roman" w:cs="Times New Roman"/>
          <w:i/>
          <w:iCs/>
          <w:sz w:val="24"/>
          <w:szCs w:val="24"/>
        </w:rPr>
        <w:t>Natural Resources</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6</w:t>
      </w:r>
      <w:r w:rsidRPr="0049209D">
        <w:rPr>
          <w:rFonts w:ascii="Times New Roman" w:hAnsi="Times New Roman" w:cs="Times New Roman"/>
          <w:sz w:val="24"/>
          <w:szCs w:val="24"/>
        </w:rPr>
        <w:t>: 79-89.</w:t>
      </w:r>
    </w:p>
    <w:p w14:paraId="587A5393"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Obidiegwu</w:t>
      </w:r>
      <w:proofErr w:type="spellEnd"/>
      <w:r w:rsidRPr="0049209D">
        <w:rPr>
          <w:rFonts w:ascii="Times New Roman" w:hAnsi="Times New Roman" w:cs="Times New Roman"/>
          <w:sz w:val="24"/>
          <w:szCs w:val="24"/>
        </w:rPr>
        <w:t xml:space="preserve">, J. E. and Akpabio, E. M. (2017). The Geography of Yam cultivation in Southern Nigeria: Exploring its Social meanings and Cultural Functions. </w:t>
      </w:r>
      <w:r w:rsidRPr="0049209D">
        <w:rPr>
          <w:rFonts w:ascii="Times New Roman" w:hAnsi="Times New Roman" w:cs="Times New Roman"/>
          <w:i/>
          <w:iCs/>
          <w:sz w:val="24"/>
          <w:szCs w:val="24"/>
        </w:rPr>
        <w:t>Journal of Ethnic Foods</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4</w:t>
      </w:r>
      <w:r w:rsidRPr="0049209D">
        <w:rPr>
          <w:rFonts w:ascii="Times New Roman" w:hAnsi="Times New Roman" w:cs="Times New Roman"/>
          <w:sz w:val="24"/>
          <w:szCs w:val="24"/>
        </w:rPr>
        <w:t>: 28-35.</w:t>
      </w:r>
    </w:p>
    <w:p w14:paraId="67E51487"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Ema</w:t>
      </w:r>
      <w:proofErr w:type="spellEnd"/>
      <w:r w:rsidRPr="0049209D">
        <w:rPr>
          <w:rFonts w:ascii="Times New Roman" w:hAnsi="Times New Roman" w:cs="Times New Roman"/>
          <w:sz w:val="24"/>
          <w:szCs w:val="24"/>
        </w:rPr>
        <w:t xml:space="preserve">, E-O. S., </w:t>
      </w:r>
      <w:proofErr w:type="spellStart"/>
      <w:r w:rsidRPr="0049209D">
        <w:rPr>
          <w:rFonts w:ascii="Times New Roman" w:hAnsi="Times New Roman" w:cs="Times New Roman"/>
          <w:sz w:val="24"/>
          <w:szCs w:val="24"/>
        </w:rPr>
        <w:t>Obidiegwu</w:t>
      </w:r>
      <w:proofErr w:type="spellEnd"/>
      <w:r w:rsidRPr="0049209D">
        <w:rPr>
          <w:rFonts w:ascii="Times New Roman" w:hAnsi="Times New Roman" w:cs="Times New Roman"/>
          <w:sz w:val="24"/>
          <w:szCs w:val="24"/>
        </w:rPr>
        <w:t xml:space="preserve">, J. E., </w:t>
      </w:r>
      <w:proofErr w:type="spellStart"/>
      <w:r w:rsidRPr="0049209D">
        <w:rPr>
          <w:rFonts w:ascii="Times New Roman" w:hAnsi="Times New Roman" w:cs="Times New Roman"/>
          <w:sz w:val="24"/>
          <w:szCs w:val="24"/>
        </w:rPr>
        <w:t>Chilaka</w:t>
      </w:r>
      <w:proofErr w:type="spellEnd"/>
      <w:r w:rsidRPr="0049209D">
        <w:rPr>
          <w:rFonts w:ascii="Times New Roman" w:hAnsi="Times New Roman" w:cs="Times New Roman"/>
          <w:sz w:val="24"/>
          <w:szCs w:val="24"/>
        </w:rPr>
        <w:t xml:space="preserve">, C. A. and Akpabio, E. M. (2023). Indigenous Food Yam Cultivation and Livelihood Practices in Cross River State, Nigeria. </w:t>
      </w:r>
      <w:r w:rsidRPr="0049209D">
        <w:rPr>
          <w:rFonts w:ascii="Times New Roman" w:hAnsi="Times New Roman" w:cs="Times New Roman"/>
          <w:i/>
          <w:iCs/>
          <w:sz w:val="24"/>
          <w:szCs w:val="24"/>
        </w:rPr>
        <w:t>World</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4</w:t>
      </w:r>
      <w:r w:rsidRPr="0049209D">
        <w:rPr>
          <w:rFonts w:ascii="Times New Roman" w:hAnsi="Times New Roman" w:cs="Times New Roman"/>
          <w:sz w:val="24"/>
          <w:szCs w:val="24"/>
        </w:rPr>
        <w:t>: 314-332.</w:t>
      </w:r>
    </w:p>
    <w:p w14:paraId="5A516EFC"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National Population Commission (NPC). (2006). </w:t>
      </w:r>
      <w:r w:rsidRPr="0049209D">
        <w:rPr>
          <w:rFonts w:ascii="Times New Roman" w:hAnsi="Times New Roman" w:cs="Times New Roman"/>
          <w:i/>
          <w:iCs/>
          <w:sz w:val="24"/>
          <w:szCs w:val="24"/>
        </w:rPr>
        <w:t>Report of the National Population and Housing Census of Nigeria, 2006</w:t>
      </w:r>
      <w:r w:rsidRPr="0049209D">
        <w:rPr>
          <w:rFonts w:ascii="Times New Roman" w:hAnsi="Times New Roman" w:cs="Times New Roman"/>
          <w:sz w:val="24"/>
          <w:szCs w:val="24"/>
        </w:rPr>
        <w:t>. National Population Commission, Federal Republic of Nigeria.</w:t>
      </w:r>
    </w:p>
    <w:p w14:paraId="011BA1A0"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Wikipedia contributors. (2022). </w:t>
      </w:r>
      <w:r w:rsidRPr="0049209D">
        <w:rPr>
          <w:rFonts w:ascii="Times New Roman" w:hAnsi="Times New Roman" w:cs="Times New Roman"/>
          <w:i/>
          <w:iCs/>
          <w:sz w:val="24"/>
          <w:szCs w:val="24"/>
        </w:rPr>
        <w:t>Cross-Niger transition forests</w:t>
      </w:r>
      <w:r w:rsidRPr="0049209D">
        <w:rPr>
          <w:rFonts w:ascii="Times New Roman" w:hAnsi="Times New Roman" w:cs="Times New Roman"/>
          <w:sz w:val="24"/>
          <w:szCs w:val="24"/>
        </w:rPr>
        <w:t>. In Wikipedia, The Free Encyclopedia.</w:t>
      </w:r>
    </w:p>
    <w:p w14:paraId="1C143611"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Igwilo</w:t>
      </w:r>
      <w:proofErr w:type="spellEnd"/>
      <w:r w:rsidRPr="0049209D">
        <w:rPr>
          <w:rFonts w:ascii="Times New Roman" w:hAnsi="Times New Roman" w:cs="Times New Roman"/>
          <w:sz w:val="24"/>
          <w:szCs w:val="24"/>
        </w:rPr>
        <w:t xml:space="preserve">, I. O., </w:t>
      </w:r>
      <w:proofErr w:type="spellStart"/>
      <w:r w:rsidRPr="0049209D">
        <w:rPr>
          <w:rFonts w:ascii="Times New Roman" w:hAnsi="Times New Roman" w:cs="Times New Roman"/>
          <w:sz w:val="24"/>
          <w:szCs w:val="24"/>
        </w:rPr>
        <w:t>Afonne</w:t>
      </w:r>
      <w:proofErr w:type="spellEnd"/>
      <w:r w:rsidRPr="0049209D">
        <w:rPr>
          <w:rFonts w:ascii="Times New Roman" w:hAnsi="Times New Roman" w:cs="Times New Roman"/>
          <w:sz w:val="24"/>
          <w:szCs w:val="24"/>
        </w:rPr>
        <w:t xml:space="preserve">, O. J., </w:t>
      </w:r>
      <w:proofErr w:type="spellStart"/>
      <w:r w:rsidRPr="0049209D">
        <w:rPr>
          <w:rFonts w:ascii="Times New Roman" w:hAnsi="Times New Roman" w:cs="Times New Roman"/>
          <w:sz w:val="24"/>
          <w:szCs w:val="24"/>
        </w:rPr>
        <w:t>Maduabuchi</w:t>
      </w:r>
      <w:proofErr w:type="spellEnd"/>
      <w:r w:rsidRPr="0049209D">
        <w:rPr>
          <w:rFonts w:ascii="Times New Roman" w:hAnsi="Times New Roman" w:cs="Times New Roman"/>
          <w:sz w:val="24"/>
          <w:szCs w:val="24"/>
        </w:rPr>
        <w:t xml:space="preserve">, U. J. and </w:t>
      </w:r>
      <w:proofErr w:type="spellStart"/>
      <w:r w:rsidRPr="0049209D">
        <w:rPr>
          <w:rFonts w:ascii="Times New Roman" w:hAnsi="Times New Roman" w:cs="Times New Roman"/>
          <w:sz w:val="24"/>
          <w:szCs w:val="24"/>
        </w:rPr>
        <w:t>Orisakwe</w:t>
      </w:r>
      <w:proofErr w:type="spellEnd"/>
      <w:r w:rsidRPr="0049209D">
        <w:rPr>
          <w:rFonts w:ascii="Times New Roman" w:hAnsi="Times New Roman" w:cs="Times New Roman"/>
          <w:sz w:val="24"/>
          <w:szCs w:val="24"/>
        </w:rPr>
        <w:t xml:space="preserve">, O.E. (2006). Toxicological study of the </w:t>
      </w:r>
      <w:proofErr w:type="spellStart"/>
      <w:r w:rsidRPr="0049209D">
        <w:rPr>
          <w:rFonts w:ascii="Times New Roman" w:hAnsi="Times New Roman" w:cs="Times New Roman"/>
          <w:sz w:val="24"/>
          <w:szCs w:val="24"/>
        </w:rPr>
        <w:t>Anam</w:t>
      </w:r>
      <w:proofErr w:type="spellEnd"/>
      <w:r w:rsidRPr="0049209D">
        <w:rPr>
          <w:rFonts w:ascii="Times New Roman" w:hAnsi="Times New Roman" w:cs="Times New Roman"/>
          <w:sz w:val="24"/>
          <w:szCs w:val="24"/>
        </w:rPr>
        <w:t xml:space="preserve"> River in </w:t>
      </w:r>
      <w:proofErr w:type="spellStart"/>
      <w:r w:rsidRPr="0049209D">
        <w:rPr>
          <w:rFonts w:ascii="Times New Roman" w:hAnsi="Times New Roman" w:cs="Times New Roman"/>
          <w:sz w:val="24"/>
          <w:szCs w:val="24"/>
        </w:rPr>
        <w:t>Otuocha</w:t>
      </w:r>
      <w:proofErr w:type="spellEnd"/>
      <w:r w:rsidRPr="0049209D">
        <w:rPr>
          <w:rFonts w:ascii="Times New Roman" w:hAnsi="Times New Roman" w:cs="Times New Roman"/>
          <w:sz w:val="24"/>
          <w:szCs w:val="24"/>
        </w:rPr>
        <w:t xml:space="preserve">, Anambra State, Nigeria. </w:t>
      </w:r>
      <w:r w:rsidRPr="0049209D">
        <w:rPr>
          <w:rFonts w:ascii="Times New Roman" w:hAnsi="Times New Roman" w:cs="Times New Roman"/>
          <w:i/>
          <w:iCs/>
          <w:sz w:val="24"/>
          <w:szCs w:val="24"/>
        </w:rPr>
        <w:t>Archives of Environmental and Occupational Health</w:t>
      </w:r>
      <w:r w:rsidRPr="0049209D">
        <w:rPr>
          <w:rFonts w:ascii="Times New Roman" w:hAnsi="Times New Roman" w:cs="Times New Roman"/>
          <w:sz w:val="24"/>
          <w:szCs w:val="24"/>
        </w:rPr>
        <w:t>, 61(5), 205-208.</w:t>
      </w:r>
    </w:p>
    <w:p w14:paraId="4E6AF3D5"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Ezenwaji</w:t>
      </w:r>
      <w:proofErr w:type="spellEnd"/>
      <w:r w:rsidRPr="0049209D">
        <w:rPr>
          <w:rFonts w:ascii="Times New Roman" w:hAnsi="Times New Roman" w:cs="Times New Roman"/>
          <w:sz w:val="24"/>
          <w:szCs w:val="24"/>
        </w:rPr>
        <w:t xml:space="preserve">, E. E., </w:t>
      </w:r>
      <w:proofErr w:type="spellStart"/>
      <w:r w:rsidRPr="0049209D">
        <w:rPr>
          <w:rFonts w:ascii="Times New Roman" w:hAnsi="Times New Roman" w:cs="Times New Roman"/>
          <w:sz w:val="24"/>
          <w:szCs w:val="24"/>
        </w:rPr>
        <w:t>Awopeju</w:t>
      </w:r>
      <w:proofErr w:type="spellEnd"/>
      <w:r w:rsidRPr="0049209D">
        <w:rPr>
          <w:rFonts w:ascii="Times New Roman" w:hAnsi="Times New Roman" w:cs="Times New Roman"/>
          <w:sz w:val="24"/>
          <w:szCs w:val="24"/>
        </w:rPr>
        <w:t xml:space="preserve">, A. K., </w:t>
      </w:r>
      <w:proofErr w:type="spellStart"/>
      <w:r w:rsidRPr="0049209D">
        <w:rPr>
          <w:rFonts w:ascii="Times New Roman" w:hAnsi="Times New Roman" w:cs="Times New Roman"/>
          <w:sz w:val="24"/>
          <w:szCs w:val="24"/>
        </w:rPr>
        <w:t>Otti</w:t>
      </w:r>
      <w:proofErr w:type="spellEnd"/>
      <w:r w:rsidRPr="0049209D">
        <w:rPr>
          <w:rFonts w:ascii="Times New Roman" w:hAnsi="Times New Roman" w:cs="Times New Roman"/>
          <w:sz w:val="24"/>
          <w:szCs w:val="24"/>
        </w:rPr>
        <w:t xml:space="preserve">, V. I. and </w:t>
      </w:r>
      <w:proofErr w:type="spellStart"/>
      <w:r w:rsidRPr="0049209D">
        <w:rPr>
          <w:rFonts w:ascii="Times New Roman" w:hAnsi="Times New Roman" w:cs="Times New Roman"/>
          <w:sz w:val="24"/>
          <w:szCs w:val="24"/>
        </w:rPr>
        <w:t>Eduputa</w:t>
      </w:r>
      <w:proofErr w:type="spellEnd"/>
      <w:r w:rsidRPr="0049209D">
        <w:rPr>
          <w:rFonts w:ascii="Times New Roman" w:hAnsi="Times New Roman" w:cs="Times New Roman"/>
          <w:sz w:val="24"/>
          <w:szCs w:val="24"/>
        </w:rPr>
        <w:t xml:space="preserve">, B. M. (2014). Spatial Patterns of Residential Water Supply Accessibility Levels in Anambra State, Nigeria. </w:t>
      </w:r>
      <w:r w:rsidRPr="0049209D">
        <w:rPr>
          <w:rFonts w:ascii="Times New Roman" w:hAnsi="Times New Roman" w:cs="Times New Roman"/>
          <w:i/>
          <w:iCs/>
          <w:sz w:val="24"/>
          <w:szCs w:val="24"/>
        </w:rPr>
        <w:t>International Journal of Engineering Research and Applications</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4</w:t>
      </w:r>
      <w:r w:rsidRPr="0049209D">
        <w:rPr>
          <w:rFonts w:ascii="Times New Roman" w:hAnsi="Times New Roman" w:cs="Times New Roman"/>
          <w:sz w:val="24"/>
          <w:szCs w:val="24"/>
        </w:rPr>
        <w:t>(1), 326-336.</w:t>
      </w:r>
    </w:p>
    <w:p w14:paraId="7819068F"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Agrios</w:t>
      </w:r>
      <w:proofErr w:type="spellEnd"/>
      <w:r w:rsidRPr="0049209D">
        <w:rPr>
          <w:rFonts w:ascii="Times New Roman" w:hAnsi="Times New Roman" w:cs="Times New Roman"/>
          <w:sz w:val="24"/>
          <w:szCs w:val="24"/>
        </w:rPr>
        <w:t xml:space="preserve">, G. N. (2005). </w:t>
      </w:r>
      <w:r w:rsidRPr="0049209D">
        <w:rPr>
          <w:rFonts w:ascii="Times New Roman" w:hAnsi="Times New Roman" w:cs="Times New Roman"/>
          <w:i/>
          <w:iCs/>
          <w:sz w:val="24"/>
          <w:szCs w:val="24"/>
        </w:rPr>
        <w:t>Plant pathology.</w:t>
      </w:r>
      <w:r w:rsidRPr="0049209D">
        <w:rPr>
          <w:rFonts w:ascii="Times New Roman" w:hAnsi="Times New Roman" w:cs="Times New Roman"/>
          <w:sz w:val="24"/>
          <w:szCs w:val="24"/>
        </w:rPr>
        <w:t xml:space="preserve"> (5</w:t>
      </w:r>
      <w:r w:rsidRPr="0049209D">
        <w:rPr>
          <w:rFonts w:ascii="Times New Roman" w:hAnsi="Times New Roman" w:cs="Times New Roman"/>
          <w:sz w:val="24"/>
          <w:szCs w:val="24"/>
          <w:vertAlign w:val="superscript"/>
        </w:rPr>
        <w:t>th</w:t>
      </w:r>
      <w:r w:rsidRPr="0049209D">
        <w:rPr>
          <w:rFonts w:ascii="Times New Roman" w:hAnsi="Times New Roman" w:cs="Times New Roman"/>
          <w:sz w:val="24"/>
          <w:szCs w:val="24"/>
        </w:rPr>
        <w:t xml:space="preserve"> edition). Elsevier Academic Press. 49 P.</w:t>
      </w:r>
    </w:p>
    <w:p w14:paraId="731D8BBD"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Terna</w:t>
      </w:r>
      <w:proofErr w:type="spellEnd"/>
      <w:r w:rsidRPr="0049209D">
        <w:rPr>
          <w:rFonts w:ascii="Times New Roman" w:hAnsi="Times New Roman" w:cs="Times New Roman"/>
          <w:sz w:val="24"/>
          <w:szCs w:val="24"/>
        </w:rPr>
        <w:t xml:space="preserve">, P.P., </w:t>
      </w:r>
      <w:proofErr w:type="spellStart"/>
      <w:r w:rsidRPr="0049209D">
        <w:rPr>
          <w:rFonts w:ascii="Times New Roman" w:hAnsi="Times New Roman" w:cs="Times New Roman"/>
          <w:sz w:val="24"/>
          <w:szCs w:val="24"/>
        </w:rPr>
        <w:t>Lebele</w:t>
      </w:r>
      <w:proofErr w:type="spellEnd"/>
      <w:r w:rsidRPr="0049209D">
        <w:rPr>
          <w:rFonts w:ascii="Times New Roman" w:hAnsi="Times New Roman" w:cs="Times New Roman"/>
          <w:sz w:val="24"/>
          <w:szCs w:val="24"/>
        </w:rPr>
        <w:t xml:space="preserve">, O.W. and </w:t>
      </w:r>
      <w:proofErr w:type="spellStart"/>
      <w:r w:rsidRPr="0049209D">
        <w:rPr>
          <w:rFonts w:ascii="Times New Roman" w:hAnsi="Times New Roman" w:cs="Times New Roman"/>
          <w:sz w:val="24"/>
          <w:szCs w:val="24"/>
        </w:rPr>
        <w:t>Okogbaa</w:t>
      </w:r>
      <w:proofErr w:type="spellEnd"/>
      <w:r w:rsidRPr="0049209D">
        <w:rPr>
          <w:rFonts w:ascii="Times New Roman" w:hAnsi="Times New Roman" w:cs="Times New Roman"/>
          <w:sz w:val="24"/>
          <w:szCs w:val="24"/>
        </w:rPr>
        <w:t>, J. (2024). Identification and control of postharvest fungal contaminants of sweet potato (</w:t>
      </w:r>
      <w:r w:rsidRPr="0049209D">
        <w:rPr>
          <w:rFonts w:ascii="Times New Roman" w:hAnsi="Times New Roman" w:cs="Times New Roman"/>
          <w:i/>
          <w:iCs/>
          <w:sz w:val="24"/>
          <w:szCs w:val="24"/>
        </w:rPr>
        <w:t>Ipomoea batatas</w:t>
      </w:r>
      <w:r w:rsidRPr="0049209D">
        <w:rPr>
          <w:rFonts w:ascii="Times New Roman" w:hAnsi="Times New Roman" w:cs="Times New Roman"/>
          <w:sz w:val="24"/>
          <w:szCs w:val="24"/>
        </w:rPr>
        <w:t xml:space="preserve"> L.) in Lafia. </w:t>
      </w:r>
      <w:r w:rsidRPr="0049209D">
        <w:rPr>
          <w:rFonts w:ascii="Times New Roman" w:hAnsi="Times New Roman" w:cs="Times New Roman"/>
          <w:i/>
          <w:iCs/>
          <w:sz w:val="24"/>
          <w:szCs w:val="24"/>
        </w:rPr>
        <w:t>Proceedings of the Faculty of Science Conference</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1</w:t>
      </w:r>
      <w:r w:rsidRPr="0049209D">
        <w:rPr>
          <w:rFonts w:ascii="Times New Roman" w:hAnsi="Times New Roman" w:cs="Times New Roman"/>
          <w:sz w:val="24"/>
          <w:szCs w:val="24"/>
        </w:rPr>
        <w:t>(1), 501-510.</w:t>
      </w:r>
    </w:p>
    <w:p w14:paraId="4F86D229"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lastRenderedPageBreak/>
        <w:t>Enyiukwu</w:t>
      </w:r>
      <w:proofErr w:type="spellEnd"/>
      <w:r w:rsidRPr="0049209D">
        <w:rPr>
          <w:rFonts w:ascii="Times New Roman" w:hAnsi="Times New Roman" w:cs="Times New Roman"/>
          <w:sz w:val="24"/>
          <w:szCs w:val="24"/>
        </w:rPr>
        <w:t xml:space="preserve">, D. N., </w:t>
      </w:r>
      <w:proofErr w:type="spellStart"/>
      <w:r w:rsidRPr="0049209D">
        <w:rPr>
          <w:rFonts w:ascii="Times New Roman" w:hAnsi="Times New Roman" w:cs="Times New Roman"/>
          <w:sz w:val="24"/>
          <w:szCs w:val="24"/>
        </w:rPr>
        <w:t>Nwaogu</w:t>
      </w:r>
      <w:proofErr w:type="spellEnd"/>
      <w:r w:rsidRPr="0049209D">
        <w:rPr>
          <w:rFonts w:ascii="Times New Roman" w:hAnsi="Times New Roman" w:cs="Times New Roman"/>
          <w:sz w:val="24"/>
          <w:szCs w:val="24"/>
        </w:rPr>
        <w:t xml:space="preserve">, G. A., Bassey, I.N., </w:t>
      </w:r>
      <w:proofErr w:type="spellStart"/>
      <w:r w:rsidRPr="0049209D">
        <w:rPr>
          <w:rFonts w:ascii="Times New Roman" w:hAnsi="Times New Roman" w:cs="Times New Roman"/>
          <w:sz w:val="24"/>
          <w:szCs w:val="24"/>
        </w:rPr>
        <w:t>Maranzu</w:t>
      </w:r>
      <w:proofErr w:type="spellEnd"/>
      <w:r w:rsidRPr="0049209D">
        <w:rPr>
          <w:rFonts w:ascii="Times New Roman" w:hAnsi="Times New Roman" w:cs="Times New Roman"/>
          <w:sz w:val="24"/>
          <w:szCs w:val="24"/>
        </w:rPr>
        <w:t xml:space="preserve">, J. O. and Chukwu, L. A. (2020). Postharvest spoilage and management of fruits and vegetables: A perspective on small-holder agricultural systems of the tropics. </w:t>
      </w:r>
      <w:r w:rsidRPr="0049209D">
        <w:rPr>
          <w:rFonts w:ascii="Times New Roman" w:hAnsi="Times New Roman" w:cs="Times New Roman"/>
          <w:i/>
          <w:iCs/>
          <w:sz w:val="24"/>
          <w:szCs w:val="24"/>
        </w:rPr>
        <w:t>Greener Trends in Plant Pathology and Entomology</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3</w:t>
      </w:r>
      <w:r w:rsidRPr="0049209D">
        <w:rPr>
          <w:rFonts w:ascii="Times New Roman" w:hAnsi="Times New Roman" w:cs="Times New Roman"/>
          <w:sz w:val="24"/>
          <w:szCs w:val="24"/>
        </w:rPr>
        <w:t>(1), 1-17.</w:t>
      </w:r>
    </w:p>
    <w:p w14:paraId="02395C85"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Beckley, F. and </w:t>
      </w:r>
      <w:proofErr w:type="spellStart"/>
      <w:r w:rsidRPr="0049209D">
        <w:rPr>
          <w:rFonts w:ascii="Times New Roman" w:hAnsi="Times New Roman" w:cs="Times New Roman"/>
          <w:sz w:val="24"/>
          <w:szCs w:val="24"/>
        </w:rPr>
        <w:t>Awoyemi</w:t>
      </w:r>
      <w:proofErr w:type="spellEnd"/>
      <w:r w:rsidRPr="0049209D">
        <w:rPr>
          <w:rFonts w:ascii="Times New Roman" w:hAnsi="Times New Roman" w:cs="Times New Roman"/>
          <w:sz w:val="24"/>
          <w:szCs w:val="24"/>
        </w:rPr>
        <w:t>, S. O. (2021). Occurrence of postharvest fungal rots of sweet potato (</w:t>
      </w:r>
      <w:r w:rsidRPr="0049209D">
        <w:rPr>
          <w:rFonts w:ascii="Times New Roman" w:hAnsi="Times New Roman" w:cs="Times New Roman"/>
          <w:i/>
          <w:iCs/>
          <w:sz w:val="24"/>
          <w:szCs w:val="24"/>
        </w:rPr>
        <w:t>Ipomoea batatas</w:t>
      </w:r>
      <w:r w:rsidRPr="0049209D">
        <w:rPr>
          <w:rFonts w:ascii="Times New Roman" w:hAnsi="Times New Roman" w:cs="Times New Roman"/>
          <w:sz w:val="24"/>
          <w:szCs w:val="24"/>
        </w:rPr>
        <w:t xml:space="preserve"> (L.) Lam.) in Southwest Nigeria and their control with sawdust extracts. </w:t>
      </w:r>
      <w:r w:rsidRPr="0049209D">
        <w:rPr>
          <w:rFonts w:ascii="Times New Roman" w:hAnsi="Times New Roman" w:cs="Times New Roman"/>
          <w:i/>
          <w:iCs/>
          <w:sz w:val="24"/>
          <w:szCs w:val="24"/>
        </w:rPr>
        <w:t>Journal of Experimental Agriculture International</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43</w:t>
      </w:r>
      <w:r w:rsidRPr="0049209D">
        <w:rPr>
          <w:rFonts w:ascii="Times New Roman" w:hAnsi="Times New Roman" w:cs="Times New Roman"/>
          <w:sz w:val="24"/>
          <w:szCs w:val="24"/>
        </w:rPr>
        <w:t xml:space="preserve">(1), 24-33. </w:t>
      </w:r>
    </w:p>
    <w:p w14:paraId="6D9F03D3"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 xml:space="preserve">O’Brian, T. F., Smith, R. P. and </w:t>
      </w:r>
      <w:proofErr w:type="spellStart"/>
      <w:r w:rsidRPr="0049209D">
        <w:rPr>
          <w:rFonts w:ascii="Times New Roman" w:hAnsi="Times New Roman" w:cs="Times New Roman"/>
          <w:sz w:val="24"/>
          <w:szCs w:val="24"/>
        </w:rPr>
        <w:t>Adepoju</w:t>
      </w:r>
      <w:proofErr w:type="spellEnd"/>
      <w:r w:rsidRPr="0049209D">
        <w:rPr>
          <w:rFonts w:ascii="Times New Roman" w:hAnsi="Times New Roman" w:cs="Times New Roman"/>
          <w:sz w:val="24"/>
          <w:szCs w:val="24"/>
        </w:rPr>
        <w:t xml:space="preserve">, A. O. (2023). Mycotoxin risks in stored root crops: Identification and management. </w:t>
      </w:r>
      <w:r w:rsidRPr="0049209D">
        <w:rPr>
          <w:rFonts w:ascii="Times New Roman" w:hAnsi="Times New Roman" w:cs="Times New Roman"/>
          <w:i/>
          <w:iCs/>
          <w:sz w:val="24"/>
          <w:szCs w:val="24"/>
        </w:rPr>
        <w:t>Journal of Food Safety and Quality</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12</w:t>
      </w:r>
      <w:r w:rsidRPr="0049209D">
        <w:rPr>
          <w:rFonts w:ascii="Times New Roman" w:hAnsi="Times New Roman" w:cs="Times New Roman"/>
          <w:sz w:val="24"/>
          <w:szCs w:val="24"/>
        </w:rPr>
        <w:t>, 40-50.</w:t>
      </w:r>
    </w:p>
    <w:p w14:paraId="0862A7A0"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Yami, M., Liverpool</w:t>
      </w:r>
      <w:r w:rsidRPr="0049209D">
        <w:rPr>
          <w:rFonts w:ascii="Times New Roman" w:hAnsi="Times New Roman" w:cs="Times New Roman"/>
          <w:sz w:val="24"/>
          <w:szCs w:val="24"/>
        </w:rPr>
        <w:noBreakHyphen/>
      </w:r>
      <w:proofErr w:type="spellStart"/>
      <w:r w:rsidRPr="0049209D">
        <w:rPr>
          <w:rFonts w:ascii="Times New Roman" w:hAnsi="Times New Roman" w:cs="Times New Roman"/>
          <w:sz w:val="24"/>
          <w:szCs w:val="24"/>
        </w:rPr>
        <w:t>Tasie</w:t>
      </w:r>
      <w:proofErr w:type="spellEnd"/>
      <w:r w:rsidRPr="0049209D">
        <w:rPr>
          <w:rFonts w:ascii="Times New Roman" w:hAnsi="Times New Roman" w:cs="Times New Roman"/>
          <w:sz w:val="24"/>
          <w:szCs w:val="24"/>
        </w:rPr>
        <w:t xml:space="preserve">, L. S. O. and </w:t>
      </w:r>
      <w:proofErr w:type="spellStart"/>
      <w:r w:rsidRPr="0049209D">
        <w:rPr>
          <w:rFonts w:ascii="Times New Roman" w:hAnsi="Times New Roman" w:cs="Times New Roman"/>
          <w:sz w:val="24"/>
          <w:szCs w:val="24"/>
        </w:rPr>
        <w:t>Olaoye</w:t>
      </w:r>
      <w:proofErr w:type="spellEnd"/>
      <w:r w:rsidRPr="0049209D">
        <w:rPr>
          <w:rFonts w:ascii="Times New Roman" w:hAnsi="Times New Roman" w:cs="Times New Roman"/>
          <w:sz w:val="24"/>
          <w:szCs w:val="24"/>
        </w:rPr>
        <w:t xml:space="preserve">, I. (2025). Adoption of postharvest innovations to minimize losses in horticultural crops in Nigeria. </w:t>
      </w:r>
      <w:r w:rsidRPr="0049209D">
        <w:rPr>
          <w:rFonts w:ascii="Times New Roman" w:hAnsi="Times New Roman" w:cs="Times New Roman"/>
          <w:i/>
          <w:iCs/>
          <w:sz w:val="24"/>
          <w:szCs w:val="24"/>
        </w:rPr>
        <w:t>Scientific Reports</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15</w:t>
      </w:r>
      <w:r w:rsidRPr="0049209D">
        <w:rPr>
          <w:rFonts w:ascii="Times New Roman" w:hAnsi="Times New Roman" w:cs="Times New Roman"/>
          <w:sz w:val="24"/>
          <w:szCs w:val="24"/>
        </w:rPr>
        <w:t>(1), 15618.</w:t>
      </w:r>
    </w:p>
    <w:p w14:paraId="4BC553CE" w14:textId="77777777" w:rsidR="00A346F7" w:rsidRPr="0049209D" w:rsidRDefault="00A346F7" w:rsidP="0049209D">
      <w:pPr>
        <w:pStyle w:val="ListParagraph"/>
        <w:numPr>
          <w:ilvl w:val="0"/>
          <w:numId w:val="33"/>
        </w:numPr>
        <w:rPr>
          <w:rFonts w:ascii="Times New Roman" w:hAnsi="Times New Roman" w:cs="Times New Roman"/>
          <w:sz w:val="24"/>
          <w:szCs w:val="24"/>
        </w:rPr>
      </w:pPr>
      <w:proofErr w:type="spellStart"/>
      <w:r w:rsidRPr="0049209D">
        <w:rPr>
          <w:rFonts w:ascii="Times New Roman" w:hAnsi="Times New Roman" w:cs="Times New Roman"/>
          <w:sz w:val="24"/>
          <w:szCs w:val="24"/>
        </w:rPr>
        <w:t>Tagele</w:t>
      </w:r>
      <w:proofErr w:type="spellEnd"/>
      <w:r w:rsidRPr="0049209D">
        <w:rPr>
          <w:rFonts w:ascii="Times New Roman" w:hAnsi="Times New Roman" w:cs="Times New Roman"/>
          <w:sz w:val="24"/>
          <w:szCs w:val="24"/>
        </w:rPr>
        <w:t xml:space="preserve">, S. B. and </w:t>
      </w:r>
      <w:proofErr w:type="spellStart"/>
      <w:r w:rsidRPr="0049209D">
        <w:rPr>
          <w:rFonts w:ascii="Times New Roman" w:hAnsi="Times New Roman" w:cs="Times New Roman"/>
          <w:sz w:val="24"/>
          <w:szCs w:val="24"/>
        </w:rPr>
        <w:t>Gachomo</w:t>
      </w:r>
      <w:proofErr w:type="spellEnd"/>
      <w:r w:rsidRPr="0049209D">
        <w:rPr>
          <w:rFonts w:ascii="Times New Roman" w:hAnsi="Times New Roman" w:cs="Times New Roman"/>
          <w:sz w:val="24"/>
          <w:szCs w:val="24"/>
        </w:rPr>
        <w:t xml:space="preserve">, E. W.  (2025). A comparative study: impact of chemical and biological fungicides on soil bacterial communities. </w:t>
      </w:r>
      <w:r w:rsidRPr="0049209D">
        <w:rPr>
          <w:rFonts w:ascii="Times New Roman" w:hAnsi="Times New Roman" w:cs="Times New Roman"/>
          <w:i/>
          <w:iCs/>
          <w:sz w:val="24"/>
          <w:szCs w:val="24"/>
        </w:rPr>
        <w:t>Environmental Microbiome</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20</w:t>
      </w:r>
      <w:r w:rsidRPr="0049209D">
        <w:rPr>
          <w:rFonts w:ascii="Times New Roman" w:hAnsi="Times New Roman" w:cs="Times New Roman"/>
          <w:sz w:val="24"/>
          <w:szCs w:val="24"/>
        </w:rPr>
        <w:t>(1), 44.</w:t>
      </w:r>
    </w:p>
    <w:p w14:paraId="6C2CE5E4" w14:textId="77777777" w:rsidR="00A346F7" w:rsidRPr="0049209D" w:rsidRDefault="00A346F7" w:rsidP="0049209D">
      <w:pPr>
        <w:pStyle w:val="ListParagraph"/>
        <w:numPr>
          <w:ilvl w:val="0"/>
          <w:numId w:val="33"/>
        </w:numPr>
        <w:rPr>
          <w:rFonts w:ascii="Times New Roman" w:hAnsi="Times New Roman" w:cs="Times New Roman"/>
          <w:sz w:val="24"/>
          <w:szCs w:val="24"/>
        </w:rPr>
      </w:pPr>
      <w:r w:rsidRPr="0049209D">
        <w:rPr>
          <w:rFonts w:ascii="Times New Roman" w:hAnsi="Times New Roman" w:cs="Times New Roman"/>
          <w:sz w:val="24"/>
          <w:szCs w:val="24"/>
        </w:rPr>
        <w:t>Liu, X., Wang, Q. and Li, Y. (2024). Lactic acid bacteria as biocontrol agents against post</w:t>
      </w:r>
      <w:r w:rsidRPr="0049209D">
        <w:rPr>
          <w:rFonts w:ascii="Times New Roman" w:hAnsi="Times New Roman" w:cs="Times New Roman"/>
          <w:sz w:val="24"/>
          <w:szCs w:val="24"/>
        </w:rPr>
        <w:noBreakHyphen/>
        <w:t xml:space="preserve">harvest fungal pathogens: Mechanisms and applications. </w:t>
      </w:r>
      <w:r w:rsidRPr="0049209D">
        <w:rPr>
          <w:rFonts w:ascii="Times New Roman" w:hAnsi="Times New Roman" w:cs="Times New Roman"/>
          <w:i/>
          <w:iCs/>
          <w:sz w:val="24"/>
          <w:szCs w:val="24"/>
        </w:rPr>
        <w:t>Food Microbiology and Biotechnology</w:t>
      </w:r>
      <w:r w:rsidRPr="0049209D">
        <w:rPr>
          <w:rFonts w:ascii="Times New Roman" w:hAnsi="Times New Roman" w:cs="Times New Roman"/>
          <w:sz w:val="24"/>
          <w:szCs w:val="24"/>
        </w:rPr>
        <w:t xml:space="preserve">, </w:t>
      </w:r>
      <w:r w:rsidRPr="0049209D">
        <w:rPr>
          <w:rFonts w:ascii="Times New Roman" w:hAnsi="Times New Roman" w:cs="Times New Roman"/>
          <w:b/>
          <w:bCs/>
          <w:sz w:val="24"/>
          <w:szCs w:val="24"/>
        </w:rPr>
        <w:t>12</w:t>
      </w:r>
      <w:r w:rsidRPr="0049209D">
        <w:rPr>
          <w:rFonts w:ascii="Times New Roman" w:hAnsi="Times New Roman" w:cs="Times New Roman"/>
          <w:sz w:val="24"/>
          <w:szCs w:val="24"/>
        </w:rPr>
        <w:t>(1), 18–33.</w:t>
      </w:r>
    </w:p>
    <w:p w14:paraId="117C56CA" w14:textId="77777777" w:rsidR="00A346F7" w:rsidRPr="007F6CB3" w:rsidRDefault="00A346F7" w:rsidP="00A346F7">
      <w:pPr>
        <w:ind w:left="720" w:hanging="720"/>
        <w:rPr>
          <w:rFonts w:ascii="Times New Roman" w:hAnsi="Times New Roman" w:cs="Times New Roman"/>
          <w:sz w:val="24"/>
          <w:szCs w:val="24"/>
        </w:rPr>
      </w:pPr>
    </w:p>
    <w:bookmarkEnd w:id="55"/>
    <w:p w14:paraId="7DBCB391" w14:textId="77777777" w:rsidR="001E634E" w:rsidRDefault="001E634E" w:rsidP="007F6CB3">
      <w:pPr>
        <w:rPr>
          <w:rFonts w:ascii="Times New Roman" w:hAnsi="Times New Roman" w:cs="Times New Roman"/>
          <w:sz w:val="24"/>
          <w:szCs w:val="24"/>
        </w:rPr>
      </w:pPr>
    </w:p>
    <w:p w14:paraId="36725292" w14:textId="77777777" w:rsidR="001E634E" w:rsidRDefault="001E634E" w:rsidP="007F6CB3">
      <w:pPr>
        <w:rPr>
          <w:rFonts w:ascii="Times New Roman" w:hAnsi="Times New Roman" w:cs="Times New Roman"/>
          <w:sz w:val="24"/>
          <w:szCs w:val="24"/>
        </w:rPr>
      </w:pPr>
    </w:p>
    <w:p w14:paraId="708F761C" w14:textId="77777777" w:rsidR="001E634E" w:rsidRDefault="001E634E" w:rsidP="007F6CB3">
      <w:pPr>
        <w:rPr>
          <w:rFonts w:ascii="Times New Roman" w:hAnsi="Times New Roman" w:cs="Times New Roman"/>
          <w:sz w:val="24"/>
          <w:szCs w:val="24"/>
        </w:rPr>
      </w:pPr>
    </w:p>
    <w:p w14:paraId="4FB0C56A" w14:textId="77777777" w:rsidR="001E634E" w:rsidRDefault="001E634E" w:rsidP="007F6CB3">
      <w:pPr>
        <w:rPr>
          <w:rFonts w:ascii="Times New Roman" w:hAnsi="Times New Roman" w:cs="Times New Roman"/>
          <w:sz w:val="24"/>
          <w:szCs w:val="24"/>
        </w:rPr>
      </w:pPr>
    </w:p>
    <w:p w14:paraId="49B91DF5" w14:textId="77777777" w:rsidR="001E634E" w:rsidRDefault="001E634E" w:rsidP="007F6CB3">
      <w:pPr>
        <w:rPr>
          <w:rFonts w:ascii="Times New Roman" w:hAnsi="Times New Roman" w:cs="Times New Roman"/>
          <w:sz w:val="24"/>
          <w:szCs w:val="24"/>
        </w:rPr>
      </w:pPr>
    </w:p>
    <w:p w14:paraId="069A2D4B" w14:textId="77777777" w:rsidR="001E634E" w:rsidRDefault="001E634E" w:rsidP="007F6CB3">
      <w:pPr>
        <w:rPr>
          <w:rFonts w:ascii="Times New Roman" w:hAnsi="Times New Roman" w:cs="Times New Roman"/>
          <w:sz w:val="24"/>
          <w:szCs w:val="24"/>
        </w:rPr>
      </w:pPr>
    </w:p>
    <w:p w14:paraId="1459C00C" w14:textId="77777777" w:rsidR="001E634E" w:rsidRDefault="001E634E" w:rsidP="007F6CB3">
      <w:pPr>
        <w:rPr>
          <w:rFonts w:ascii="Times New Roman" w:hAnsi="Times New Roman" w:cs="Times New Roman"/>
          <w:sz w:val="24"/>
          <w:szCs w:val="24"/>
        </w:rPr>
      </w:pPr>
    </w:p>
    <w:p w14:paraId="15E70ADF" w14:textId="77777777" w:rsidR="001E634E" w:rsidRDefault="001E634E" w:rsidP="007F6CB3">
      <w:pPr>
        <w:rPr>
          <w:rFonts w:ascii="Times New Roman" w:hAnsi="Times New Roman" w:cs="Times New Roman"/>
          <w:sz w:val="24"/>
          <w:szCs w:val="24"/>
        </w:rPr>
      </w:pPr>
    </w:p>
    <w:p w14:paraId="0EBB65F9" w14:textId="77777777" w:rsidR="001E634E" w:rsidRDefault="001E634E" w:rsidP="007F6CB3">
      <w:pPr>
        <w:rPr>
          <w:rFonts w:ascii="Times New Roman" w:hAnsi="Times New Roman" w:cs="Times New Roman"/>
          <w:sz w:val="24"/>
          <w:szCs w:val="24"/>
        </w:rPr>
      </w:pPr>
    </w:p>
    <w:p w14:paraId="2EF6E132" w14:textId="77777777" w:rsidR="001E634E" w:rsidRDefault="001E634E" w:rsidP="007F6CB3">
      <w:pPr>
        <w:rPr>
          <w:rFonts w:ascii="Times New Roman" w:hAnsi="Times New Roman" w:cs="Times New Roman"/>
          <w:sz w:val="24"/>
          <w:szCs w:val="24"/>
        </w:rPr>
      </w:pPr>
    </w:p>
    <w:p w14:paraId="77105494" w14:textId="77777777" w:rsidR="001E634E" w:rsidRDefault="001E634E" w:rsidP="007F6CB3">
      <w:pPr>
        <w:rPr>
          <w:rFonts w:ascii="Times New Roman" w:hAnsi="Times New Roman" w:cs="Times New Roman"/>
          <w:sz w:val="24"/>
          <w:szCs w:val="24"/>
        </w:rPr>
      </w:pPr>
    </w:p>
    <w:p w14:paraId="64BCB16E" w14:textId="77777777" w:rsidR="001E634E" w:rsidRDefault="001E634E" w:rsidP="007F6CB3">
      <w:pPr>
        <w:rPr>
          <w:rFonts w:ascii="Times New Roman" w:hAnsi="Times New Roman" w:cs="Times New Roman"/>
          <w:sz w:val="24"/>
          <w:szCs w:val="24"/>
        </w:rPr>
      </w:pPr>
    </w:p>
    <w:p w14:paraId="465677DC" w14:textId="77777777" w:rsidR="001E634E" w:rsidRDefault="001E634E" w:rsidP="007F6CB3">
      <w:pPr>
        <w:rPr>
          <w:rFonts w:ascii="Times New Roman" w:hAnsi="Times New Roman" w:cs="Times New Roman"/>
          <w:sz w:val="24"/>
          <w:szCs w:val="24"/>
        </w:rPr>
      </w:pPr>
    </w:p>
    <w:p w14:paraId="1F5454DF" w14:textId="77777777" w:rsidR="001E634E" w:rsidRDefault="001E634E" w:rsidP="007F6CB3">
      <w:pPr>
        <w:rPr>
          <w:rFonts w:ascii="Times New Roman" w:hAnsi="Times New Roman" w:cs="Times New Roman"/>
          <w:sz w:val="24"/>
          <w:szCs w:val="24"/>
        </w:rPr>
      </w:pPr>
    </w:p>
    <w:p w14:paraId="64F97C0E" w14:textId="77777777" w:rsidR="00A346F7" w:rsidRDefault="00A346F7" w:rsidP="007F6CB3">
      <w:pPr>
        <w:rPr>
          <w:rFonts w:ascii="Times New Roman" w:hAnsi="Times New Roman" w:cs="Times New Roman"/>
          <w:sz w:val="24"/>
          <w:szCs w:val="24"/>
        </w:rPr>
      </w:pPr>
    </w:p>
    <w:p w14:paraId="29A43A76" w14:textId="77777777" w:rsidR="00A346F7" w:rsidRDefault="00A346F7" w:rsidP="007F6CB3">
      <w:pPr>
        <w:rPr>
          <w:rFonts w:ascii="Times New Roman" w:hAnsi="Times New Roman" w:cs="Times New Roman"/>
          <w:sz w:val="24"/>
          <w:szCs w:val="24"/>
        </w:rPr>
      </w:pPr>
    </w:p>
    <w:p w14:paraId="32B494A1" w14:textId="77777777" w:rsidR="00A346F7" w:rsidRDefault="00A346F7" w:rsidP="007F6CB3">
      <w:pPr>
        <w:rPr>
          <w:rFonts w:ascii="Times New Roman" w:hAnsi="Times New Roman" w:cs="Times New Roman"/>
          <w:sz w:val="24"/>
          <w:szCs w:val="24"/>
        </w:rPr>
      </w:pPr>
    </w:p>
    <w:p w14:paraId="7D85FE2A" w14:textId="77777777" w:rsidR="00A346F7" w:rsidRDefault="00A346F7" w:rsidP="007F6CB3">
      <w:pPr>
        <w:rPr>
          <w:rFonts w:ascii="Times New Roman" w:hAnsi="Times New Roman" w:cs="Times New Roman"/>
          <w:sz w:val="24"/>
          <w:szCs w:val="24"/>
        </w:rPr>
      </w:pPr>
    </w:p>
    <w:p w14:paraId="4A14582A" w14:textId="77777777" w:rsidR="00A346F7" w:rsidRDefault="00A346F7" w:rsidP="007F6CB3">
      <w:pPr>
        <w:rPr>
          <w:rFonts w:ascii="Times New Roman" w:hAnsi="Times New Roman" w:cs="Times New Roman"/>
          <w:sz w:val="24"/>
          <w:szCs w:val="24"/>
        </w:rPr>
      </w:pPr>
    </w:p>
    <w:p w14:paraId="1FC1B644" w14:textId="77777777" w:rsidR="00A346F7" w:rsidRDefault="00A346F7" w:rsidP="007F6CB3">
      <w:pPr>
        <w:rPr>
          <w:rFonts w:ascii="Times New Roman" w:hAnsi="Times New Roman" w:cs="Times New Roman"/>
          <w:sz w:val="24"/>
          <w:szCs w:val="24"/>
        </w:rPr>
      </w:pPr>
    </w:p>
    <w:p w14:paraId="1533CA91" w14:textId="77777777" w:rsidR="00A346F7" w:rsidRDefault="00A346F7" w:rsidP="007F6CB3">
      <w:pPr>
        <w:rPr>
          <w:rFonts w:ascii="Times New Roman" w:hAnsi="Times New Roman" w:cs="Times New Roman"/>
          <w:sz w:val="24"/>
          <w:szCs w:val="24"/>
        </w:rPr>
      </w:pPr>
    </w:p>
    <w:p w14:paraId="2B974FA0" w14:textId="77777777" w:rsidR="00A346F7" w:rsidRDefault="00A346F7" w:rsidP="007F6CB3">
      <w:pPr>
        <w:rPr>
          <w:rFonts w:ascii="Times New Roman" w:hAnsi="Times New Roman" w:cs="Times New Roman"/>
          <w:sz w:val="24"/>
          <w:szCs w:val="24"/>
        </w:rPr>
      </w:pPr>
    </w:p>
    <w:p w14:paraId="4C2A6440" w14:textId="77777777" w:rsidR="00A346F7" w:rsidRDefault="00A346F7" w:rsidP="007F6CB3">
      <w:pPr>
        <w:rPr>
          <w:rFonts w:ascii="Times New Roman" w:hAnsi="Times New Roman" w:cs="Times New Roman"/>
          <w:sz w:val="24"/>
          <w:szCs w:val="24"/>
        </w:rPr>
      </w:pPr>
    </w:p>
    <w:p w14:paraId="7DAC42EB" w14:textId="77777777" w:rsidR="00A346F7" w:rsidRDefault="00A346F7" w:rsidP="007F6CB3">
      <w:pPr>
        <w:rPr>
          <w:rFonts w:ascii="Times New Roman" w:hAnsi="Times New Roman" w:cs="Times New Roman"/>
          <w:sz w:val="24"/>
          <w:szCs w:val="24"/>
        </w:rPr>
      </w:pPr>
    </w:p>
    <w:p w14:paraId="3A7FE983" w14:textId="77777777" w:rsidR="00A346F7" w:rsidRDefault="00A346F7" w:rsidP="007F6CB3">
      <w:pPr>
        <w:rPr>
          <w:rFonts w:ascii="Times New Roman" w:hAnsi="Times New Roman" w:cs="Times New Roman"/>
          <w:sz w:val="24"/>
          <w:szCs w:val="24"/>
        </w:rPr>
      </w:pPr>
    </w:p>
    <w:p w14:paraId="7C685016" w14:textId="77777777" w:rsidR="00A346F7" w:rsidRDefault="00A346F7" w:rsidP="007F6CB3">
      <w:pPr>
        <w:rPr>
          <w:rFonts w:ascii="Times New Roman" w:hAnsi="Times New Roman" w:cs="Times New Roman"/>
          <w:sz w:val="24"/>
          <w:szCs w:val="24"/>
        </w:rPr>
      </w:pPr>
    </w:p>
    <w:p w14:paraId="3C69DA0C" w14:textId="77777777" w:rsidR="00A346F7" w:rsidRDefault="00A346F7" w:rsidP="007F6CB3">
      <w:pPr>
        <w:rPr>
          <w:rFonts w:ascii="Times New Roman" w:hAnsi="Times New Roman" w:cs="Times New Roman"/>
          <w:sz w:val="24"/>
          <w:szCs w:val="24"/>
        </w:rPr>
      </w:pPr>
    </w:p>
    <w:p w14:paraId="559A9F66" w14:textId="77777777" w:rsidR="00A346F7" w:rsidRDefault="00A346F7" w:rsidP="007F6CB3">
      <w:pPr>
        <w:rPr>
          <w:rFonts w:ascii="Times New Roman" w:hAnsi="Times New Roman" w:cs="Times New Roman"/>
          <w:sz w:val="24"/>
          <w:szCs w:val="24"/>
        </w:rPr>
      </w:pPr>
    </w:p>
    <w:p w14:paraId="21D2A1A1" w14:textId="77777777" w:rsidR="00A346F7" w:rsidRDefault="00A346F7" w:rsidP="007F6CB3">
      <w:pPr>
        <w:rPr>
          <w:rFonts w:ascii="Times New Roman" w:hAnsi="Times New Roman" w:cs="Times New Roman"/>
          <w:sz w:val="24"/>
          <w:szCs w:val="24"/>
        </w:rPr>
      </w:pPr>
    </w:p>
    <w:p w14:paraId="21F8CDAA" w14:textId="77777777" w:rsidR="00A346F7" w:rsidRDefault="00A346F7" w:rsidP="007F6CB3">
      <w:pPr>
        <w:rPr>
          <w:rFonts w:ascii="Times New Roman" w:hAnsi="Times New Roman" w:cs="Times New Roman"/>
          <w:sz w:val="24"/>
          <w:szCs w:val="24"/>
        </w:rPr>
      </w:pPr>
    </w:p>
    <w:p w14:paraId="754ACFD0" w14:textId="77777777" w:rsidR="00A346F7" w:rsidRDefault="00A346F7" w:rsidP="007F6CB3">
      <w:pPr>
        <w:rPr>
          <w:rFonts w:ascii="Times New Roman" w:hAnsi="Times New Roman" w:cs="Times New Roman"/>
          <w:sz w:val="24"/>
          <w:szCs w:val="24"/>
        </w:rPr>
      </w:pPr>
    </w:p>
    <w:p w14:paraId="4C8BF27F" w14:textId="77777777" w:rsidR="00A346F7" w:rsidRDefault="00A346F7" w:rsidP="007F6CB3">
      <w:pPr>
        <w:rPr>
          <w:rFonts w:ascii="Times New Roman" w:hAnsi="Times New Roman" w:cs="Times New Roman"/>
          <w:sz w:val="24"/>
          <w:szCs w:val="24"/>
        </w:rPr>
      </w:pPr>
    </w:p>
    <w:p w14:paraId="2E1F004F" w14:textId="77777777" w:rsidR="00A346F7" w:rsidRDefault="00A346F7" w:rsidP="007F6CB3">
      <w:pPr>
        <w:rPr>
          <w:rFonts w:ascii="Times New Roman" w:hAnsi="Times New Roman" w:cs="Times New Roman"/>
          <w:sz w:val="24"/>
          <w:szCs w:val="24"/>
        </w:rPr>
      </w:pPr>
    </w:p>
    <w:p w14:paraId="335774EC" w14:textId="77777777" w:rsidR="00A346F7" w:rsidRDefault="00A346F7" w:rsidP="007F6CB3">
      <w:pPr>
        <w:rPr>
          <w:rFonts w:ascii="Times New Roman" w:hAnsi="Times New Roman" w:cs="Times New Roman"/>
          <w:sz w:val="24"/>
          <w:szCs w:val="24"/>
        </w:rPr>
      </w:pPr>
    </w:p>
    <w:p w14:paraId="26570AD2" w14:textId="77777777" w:rsidR="00A346F7" w:rsidRDefault="00A346F7" w:rsidP="007F6CB3">
      <w:pPr>
        <w:rPr>
          <w:rFonts w:ascii="Times New Roman" w:hAnsi="Times New Roman" w:cs="Times New Roman"/>
          <w:sz w:val="24"/>
          <w:szCs w:val="24"/>
        </w:rPr>
      </w:pPr>
    </w:p>
    <w:p w14:paraId="44383242" w14:textId="77777777" w:rsidR="001E634E" w:rsidRDefault="001E634E" w:rsidP="007F6CB3">
      <w:pPr>
        <w:rPr>
          <w:rFonts w:ascii="Times New Roman" w:hAnsi="Times New Roman" w:cs="Times New Roman"/>
          <w:sz w:val="24"/>
          <w:szCs w:val="24"/>
        </w:rPr>
      </w:pPr>
    </w:p>
    <w:p w14:paraId="1B703D70" w14:textId="77777777" w:rsidR="001E634E" w:rsidRPr="001E634E" w:rsidRDefault="001E634E" w:rsidP="001E634E">
      <w:pPr>
        <w:rPr>
          <w:rFonts w:ascii="Times New Roman" w:hAnsi="Times New Roman" w:cs="Times New Roman"/>
          <w:b/>
          <w:sz w:val="24"/>
          <w:szCs w:val="24"/>
        </w:rPr>
      </w:pPr>
      <w:r w:rsidRPr="001E634E">
        <w:rPr>
          <w:rFonts w:ascii="Times New Roman" w:hAnsi="Times New Roman" w:cs="Times New Roman"/>
          <w:b/>
          <w:sz w:val="24"/>
          <w:szCs w:val="24"/>
        </w:rPr>
        <w:t>APPENDIX 1:</w:t>
      </w:r>
    </w:p>
    <w:p w14:paraId="3BF1A59D" w14:textId="77777777" w:rsidR="001E634E" w:rsidRPr="001E634E" w:rsidRDefault="001E634E" w:rsidP="001E634E">
      <w:pPr>
        <w:rPr>
          <w:rFonts w:ascii="Times New Roman" w:hAnsi="Times New Roman" w:cs="Times New Roman"/>
          <w:b/>
          <w:bCs/>
          <w:sz w:val="24"/>
          <w:szCs w:val="24"/>
        </w:rPr>
      </w:pPr>
      <w:r w:rsidRPr="001E634E">
        <w:rPr>
          <w:rFonts w:ascii="Times New Roman" w:hAnsi="Times New Roman" w:cs="Times New Roman"/>
          <w:b/>
          <w:bCs/>
          <w:sz w:val="24"/>
          <w:szCs w:val="24"/>
        </w:rPr>
        <w:t xml:space="preserve">QUESTIONNAIRE FOR ETHNO-BOTANICAL STUDIES OF SWEET POTATO AND BIOFUNGICIDAL POTENTIAL OF </w:t>
      </w:r>
      <w:r w:rsidRPr="001E634E">
        <w:rPr>
          <w:rFonts w:ascii="Times New Roman" w:hAnsi="Times New Roman" w:cs="Times New Roman"/>
          <w:b/>
          <w:bCs/>
          <w:i/>
          <w:iCs/>
          <w:sz w:val="24"/>
          <w:szCs w:val="24"/>
        </w:rPr>
        <w:t xml:space="preserve">Lactobacillus </w:t>
      </w:r>
      <w:r w:rsidRPr="001E634E">
        <w:rPr>
          <w:rFonts w:ascii="Times New Roman" w:hAnsi="Times New Roman" w:cs="Times New Roman"/>
          <w:b/>
          <w:bCs/>
          <w:sz w:val="24"/>
          <w:szCs w:val="24"/>
        </w:rPr>
        <w:t>SPECIES</w:t>
      </w:r>
    </w:p>
    <w:p w14:paraId="406B4D27" w14:textId="77777777" w:rsidR="001E634E" w:rsidRPr="001E634E" w:rsidRDefault="001E634E" w:rsidP="001E634E">
      <w:pPr>
        <w:rPr>
          <w:rFonts w:ascii="Times New Roman" w:hAnsi="Times New Roman" w:cs="Times New Roman"/>
          <w:sz w:val="24"/>
          <w:szCs w:val="24"/>
        </w:rPr>
      </w:pPr>
      <w:r w:rsidRPr="001E634E">
        <w:rPr>
          <w:rFonts w:ascii="Times New Roman" w:hAnsi="Times New Roman" w:cs="Times New Roman"/>
          <w:b/>
          <w:bCs/>
          <w:sz w:val="24"/>
          <w:szCs w:val="24"/>
        </w:rPr>
        <w:t>SECTION A: Respondent Demographic Information</w:t>
      </w:r>
    </w:p>
    <w:p w14:paraId="6F7BB831" w14:textId="77777777" w:rsidR="001E634E" w:rsidRPr="001E634E" w:rsidRDefault="001E634E" w:rsidP="001E634E">
      <w:pPr>
        <w:numPr>
          <w:ilvl w:val="0"/>
          <w:numId w:val="31"/>
        </w:numPr>
        <w:rPr>
          <w:rFonts w:ascii="Times New Roman" w:hAnsi="Times New Roman" w:cs="Times New Roman"/>
          <w:sz w:val="24"/>
          <w:szCs w:val="24"/>
        </w:rPr>
      </w:pPr>
      <w:r w:rsidRPr="001E634E">
        <w:rPr>
          <w:rFonts w:ascii="Times New Roman" w:hAnsi="Times New Roman" w:cs="Times New Roman"/>
          <w:sz w:val="24"/>
          <w:szCs w:val="24"/>
        </w:rPr>
        <w:t>Age:</w:t>
      </w:r>
      <w:r w:rsidRPr="001E634E">
        <w:rPr>
          <w:rFonts w:ascii="Times New Roman" w:hAnsi="Times New Roman" w:cs="Times New Roman"/>
          <w:sz w:val="24"/>
          <w:szCs w:val="24"/>
        </w:rPr>
        <w:br/>
        <w:t>( )21–30 ( ) 31–40 ( ) 41–50 ( ) 51-60 ( ) 60 and above</w:t>
      </w:r>
    </w:p>
    <w:p w14:paraId="785626A2" w14:textId="77777777" w:rsidR="001E634E" w:rsidRPr="001E634E" w:rsidRDefault="001E634E" w:rsidP="001E634E">
      <w:pPr>
        <w:numPr>
          <w:ilvl w:val="0"/>
          <w:numId w:val="31"/>
        </w:numPr>
        <w:rPr>
          <w:rFonts w:ascii="Times New Roman" w:hAnsi="Times New Roman" w:cs="Times New Roman"/>
          <w:sz w:val="24"/>
          <w:szCs w:val="24"/>
        </w:rPr>
      </w:pPr>
      <w:r w:rsidRPr="001E634E">
        <w:rPr>
          <w:rFonts w:ascii="Times New Roman" w:hAnsi="Times New Roman" w:cs="Times New Roman"/>
          <w:sz w:val="24"/>
          <w:szCs w:val="24"/>
        </w:rPr>
        <w:t>Gender:</w:t>
      </w:r>
      <w:r w:rsidRPr="001E634E">
        <w:rPr>
          <w:rFonts w:ascii="Times New Roman" w:hAnsi="Times New Roman" w:cs="Times New Roman"/>
          <w:sz w:val="24"/>
          <w:szCs w:val="24"/>
        </w:rPr>
        <w:br/>
        <w:t>( ) Male ( ) Female( ) I don’t know</w:t>
      </w:r>
    </w:p>
    <w:p w14:paraId="1C15185A" w14:textId="77777777" w:rsidR="001E634E" w:rsidRPr="001E634E" w:rsidRDefault="001E634E" w:rsidP="001E634E">
      <w:pPr>
        <w:numPr>
          <w:ilvl w:val="0"/>
          <w:numId w:val="31"/>
        </w:numPr>
        <w:rPr>
          <w:rFonts w:ascii="Times New Roman" w:hAnsi="Times New Roman" w:cs="Times New Roman"/>
          <w:sz w:val="24"/>
          <w:szCs w:val="24"/>
        </w:rPr>
      </w:pPr>
      <w:r w:rsidRPr="001E634E">
        <w:rPr>
          <w:rFonts w:ascii="Times New Roman" w:hAnsi="Times New Roman" w:cs="Times New Roman"/>
          <w:sz w:val="24"/>
          <w:szCs w:val="24"/>
        </w:rPr>
        <w:t>Occupation:</w:t>
      </w:r>
      <w:r w:rsidRPr="001E634E">
        <w:rPr>
          <w:rFonts w:ascii="Times New Roman" w:hAnsi="Times New Roman" w:cs="Times New Roman"/>
          <w:sz w:val="24"/>
          <w:szCs w:val="24"/>
        </w:rPr>
        <w:br/>
        <w:t>( ) Farmer ( ) Trader ( ) Processor ( ) Researcher</w:t>
      </w:r>
      <w:r w:rsidRPr="001E634E">
        <w:rPr>
          <w:rFonts w:ascii="Times New Roman" w:hAnsi="Times New Roman" w:cs="Times New Roman"/>
          <w:sz w:val="24"/>
          <w:szCs w:val="24"/>
        </w:rPr>
        <w:br/>
        <w:t>( ) Extension Officer ( ) Others ______________________</w:t>
      </w:r>
    </w:p>
    <w:p w14:paraId="70540624" w14:textId="77777777" w:rsidR="001E634E" w:rsidRPr="001E634E" w:rsidRDefault="001E634E" w:rsidP="001E634E">
      <w:pPr>
        <w:numPr>
          <w:ilvl w:val="0"/>
          <w:numId w:val="31"/>
        </w:numPr>
        <w:rPr>
          <w:rFonts w:ascii="Times New Roman" w:hAnsi="Times New Roman" w:cs="Times New Roman"/>
          <w:sz w:val="24"/>
          <w:szCs w:val="24"/>
        </w:rPr>
      </w:pPr>
      <w:r w:rsidRPr="001E634E">
        <w:rPr>
          <w:rFonts w:ascii="Times New Roman" w:hAnsi="Times New Roman" w:cs="Times New Roman"/>
          <w:sz w:val="24"/>
          <w:szCs w:val="24"/>
        </w:rPr>
        <w:t>Years of experience in sweet potato production/handling:</w:t>
      </w:r>
      <w:r w:rsidRPr="001E634E">
        <w:rPr>
          <w:rFonts w:ascii="Times New Roman" w:hAnsi="Times New Roman" w:cs="Times New Roman"/>
          <w:sz w:val="24"/>
          <w:szCs w:val="24"/>
        </w:rPr>
        <w:br/>
        <w:t>( )&lt; 5 years ( ) 5–10 years ( )&gt;10 years</w:t>
      </w:r>
    </w:p>
    <w:p w14:paraId="627C7DED" w14:textId="77777777" w:rsidR="001E634E" w:rsidRPr="001E634E" w:rsidRDefault="001E634E" w:rsidP="001E634E">
      <w:pPr>
        <w:numPr>
          <w:ilvl w:val="0"/>
          <w:numId w:val="31"/>
        </w:numPr>
        <w:rPr>
          <w:rFonts w:ascii="Times New Roman" w:hAnsi="Times New Roman" w:cs="Times New Roman"/>
          <w:sz w:val="24"/>
          <w:szCs w:val="24"/>
        </w:rPr>
      </w:pPr>
      <w:r w:rsidRPr="001E634E">
        <w:rPr>
          <w:rFonts w:ascii="Times New Roman" w:hAnsi="Times New Roman" w:cs="Times New Roman"/>
          <w:sz w:val="24"/>
          <w:szCs w:val="24"/>
        </w:rPr>
        <w:t>Highest Educational Qualification: (a) FSLC ( ) (b) WASSCE/GCE ( ) (c) Higher Institution ( ) (d) None ( )</w:t>
      </w:r>
    </w:p>
    <w:p w14:paraId="5CF7C7D6" w14:textId="77777777" w:rsidR="001E634E" w:rsidRPr="001E634E" w:rsidRDefault="001E634E" w:rsidP="001E634E">
      <w:pPr>
        <w:rPr>
          <w:rFonts w:ascii="Times New Roman" w:hAnsi="Times New Roman" w:cs="Times New Roman"/>
          <w:sz w:val="24"/>
          <w:szCs w:val="24"/>
        </w:rPr>
      </w:pPr>
      <w:r w:rsidRPr="001E634E">
        <w:rPr>
          <w:rFonts w:ascii="Times New Roman" w:hAnsi="Times New Roman" w:cs="Times New Roman"/>
          <w:sz w:val="24"/>
          <w:szCs w:val="24"/>
        </w:rPr>
        <w:t xml:space="preserve"> </w:t>
      </w:r>
    </w:p>
    <w:p w14:paraId="28BA354F" w14:textId="77777777" w:rsidR="001E634E" w:rsidRPr="001E634E" w:rsidRDefault="001E634E" w:rsidP="001E634E">
      <w:pPr>
        <w:rPr>
          <w:rFonts w:ascii="Times New Roman" w:hAnsi="Times New Roman" w:cs="Times New Roman"/>
          <w:sz w:val="24"/>
          <w:szCs w:val="24"/>
        </w:rPr>
      </w:pPr>
      <w:r w:rsidRPr="001E634E">
        <w:rPr>
          <w:rFonts w:ascii="Times New Roman" w:hAnsi="Times New Roman" w:cs="Times New Roman"/>
          <w:b/>
          <w:bCs/>
          <w:sz w:val="24"/>
          <w:szCs w:val="24"/>
        </w:rPr>
        <w:t>SECTION B: Cultivation Practices of Sweet Potato</w:t>
      </w:r>
    </w:p>
    <w:p w14:paraId="0A9BE601" w14:textId="77777777" w:rsidR="001E634E" w:rsidRPr="001E634E" w:rsidRDefault="001E634E" w:rsidP="001E634E">
      <w:pPr>
        <w:numPr>
          <w:ilvl w:val="0"/>
          <w:numId w:val="32"/>
        </w:numPr>
        <w:rPr>
          <w:rFonts w:ascii="Times New Roman" w:hAnsi="Times New Roman" w:cs="Times New Roman"/>
          <w:sz w:val="24"/>
          <w:szCs w:val="24"/>
        </w:rPr>
      </w:pPr>
      <w:r w:rsidRPr="001E634E">
        <w:rPr>
          <w:rFonts w:ascii="Times New Roman" w:hAnsi="Times New Roman" w:cs="Times New Roman"/>
          <w:sz w:val="24"/>
          <w:szCs w:val="24"/>
        </w:rPr>
        <w:t>What varieties of sweet potato are commonly cultivated in your area?</w:t>
      </w:r>
      <w:r w:rsidRPr="001E634E">
        <w:rPr>
          <w:rFonts w:ascii="Times New Roman" w:hAnsi="Times New Roman" w:cs="Times New Roman"/>
          <w:sz w:val="24"/>
          <w:szCs w:val="24"/>
        </w:rPr>
        <w:br/>
      </w:r>
    </w:p>
    <w:p w14:paraId="19D360B9" w14:textId="77777777" w:rsidR="001E634E" w:rsidRPr="001E634E" w:rsidRDefault="00732E52" w:rsidP="001E634E">
      <w:pPr>
        <w:rPr>
          <w:rFonts w:ascii="Times New Roman" w:hAnsi="Times New Roman" w:cs="Times New Roman"/>
          <w:sz w:val="24"/>
          <w:szCs w:val="24"/>
        </w:rPr>
      </w:pPr>
      <w:r>
        <w:rPr>
          <w:rFonts w:ascii="Times New Roman" w:hAnsi="Times New Roman" w:cs="Times New Roman"/>
          <w:sz w:val="24"/>
          <w:szCs w:val="24"/>
        </w:rPr>
        <w:pict w14:anchorId="4887C3D2">
          <v:rect id="_x0000_i1025" style="width:468pt;height:1.5pt" o:hralign="center" o:hrstd="t" o:hr="t" fillcolor="#a0a0a0" stroked="f"/>
        </w:pict>
      </w:r>
    </w:p>
    <w:p w14:paraId="5D326110" w14:textId="77777777" w:rsidR="001E634E" w:rsidRPr="001E634E" w:rsidRDefault="001E634E" w:rsidP="001E634E">
      <w:pPr>
        <w:numPr>
          <w:ilvl w:val="0"/>
          <w:numId w:val="32"/>
        </w:numPr>
        <w:rPr>
          <w:rFonts w:ascii="Times New Roman" w:hAnsi="Times New Roman" w:cs="Times New Roman"/>
          <w:sz w:val="24"/>
          <w:szCs w:val="24"/>
        </w:rPr>
      </w:pPr>
      <w:r w:rsidRPr="001E634E">
        <w:rPr>
          <w:rFonts w:ascii="Times New Roman" w:hAnsi="Times New Roman" w:cs="Times New Roman"/>
          <w:sz w:val="24"/>
          <w:szCs w:val="24"/>
        </w:rPr>
        <w:t>What is the average land size used for sweet potato cultivation?</w:t>
      </w:r>
      <w:r w:rsidRPr="001E634E">
        <w:rPr>
          <w:rFonts w:ascii="Times New Roman" w:hAnsi="Times New Roman" w:cs="Times New Roman"/>
          <w:sz w:val="24"/>
          <w:szCs w:val="24"/>
        </w:rPr>
        <w:br/>
        <w:t>( )&lt; 1 acre ( ) 1–3 acres ( ) 4–6 acres ( )&gt;6 acres</w:t>
      </w:r>
      <w:r w:rsidRPr="001E634E">
        <w:rPr>
          <w:rFonts w:ascii="Times New Roman" w:hAnsi="Times New Roman" w:cs="Times New Roman"/>
          <w:sz w:val="24"/>
          <w:szCs w:val="24"/>
        </w:rPr>
        <w:br/>
      </w:r>
    </w:p>
    <w:p w14:paraId="70C28411" w14:textId="77777777" w:rsidR="001E634E" w:rsidRPr="001E634E" w:rsidRDefault="001E634E" w:rsidP="001E634E">
      <w:pPr>
        <w:numPr>
          <w:ilvl w:val="0"/>
          <w:numId w:val="32"/>
        </w:numPr>
        <w:rPr>
          <w:rFonts w:ascii="Times New Roman" w:hAnsi="Times New Roman" w:cs="Times New Roman"/>
          <w:sz w:val="24"/>
          <w:szCs w:val="24"/>
        </w:rPr>
      </w:pPr>
      <w:r w:rsidRPr="001E634E">
        <w:rPr>
          <w:rFonts w:ascii="Times New Roman" w:hAnsi="Times New Roman" w:cs="Times New Roman"/>
          <w:sz w:val="24"/>
          <w:szCs w:val="24"/>
        </w:rPr>
        <w:t>What planting method(s) do you use?</w:t>
      </w:r>
      <w:r w:rsidRPr="001E634E">
        <w:rPr>
          <w:rFonts w:ascii="Times New Roman" w:hAnsi="Times New Roman" w:cs="Times New Roman"/>
          <w:sz w:val="24"/>
          <w:szCs w:val="24"/>
        </w:rPr>
        <w:br/>
        <w:t>( ) Mound ( ) Ridge ( ) Flatbed ( )Hole ( )Others __________________</w:t>
      </w:r>
      <w:r w:rsidRPr="001E634E">
        <w:rPr>
          <w:rFonts w:ascii="Times New Roman" w:hAnsi="Times New Roman" w:cs="Times New Roman"/>
          <w:sz w:val="24"/>
          <w:szCs w:val="24"/>
        </w:rPr>
        <w:br/>
      </w:r>
    </w:p>
    <w:p w14:paraId="71517789" w14:textId="77777777" w:rsidR="001E634E" w:rsidRPr="001E634E" w:rsidRDefault="001E634E" w:rsidP="001E634E">
      <w:pPr>
        <w:numPr>
          <w:ilvl w:val="0"/>
          <w:numId w:val="32"/>
        </w:numPr>
        <w:rPr>
          <w:rFonts w:ascii="Times New Roman" w:hAnsi="Times New Roman" w:cs="Times New Roman"/>
          <w:sz w:val="24"/>
          <w:szCs w:val="24"/>
        </w:rPr>
      </w:pPr>
      <w:r w:rsidRPr="001E634E">
        <w:rPr>
          <w:rFonts w:ascii="Times New Roman" w:hAnsi="Times New Roman" w:cs="Times New Roman"/>
          <w:sz w:val="24"/>
          <w:szCs w:val="24"/>
        </w:rPr>
        <w:t>What farming inputs do you commonly use?</w:t>
      </w:r>
      <w:r w:rsidRPr="001E634E">
        <w:rPr>
          <w:rFonts w:ascii="Times New Roman" w:hAnsi="Times New Roman" w:cs="Times New Roman"/>
          <w:sz w:val="24"/>
          <w:szCs w:val="24"/>
        </w:rPr>
        <w:br/>
        <w:t>( ) Organic manure ( ) Chemical fertilizer ( )Poultry ( )None</w:t>
      </w:r>
      <w:r w:rsidRPr="001E634E">
        <w:rPr>
          <w:rFonts w:ascii="Times New Roman" w:hAnsi="Times New Roman" w:cs="Times New Roman"/>
          <w:sz w:val="24"/>
          <w:szCs w:val="24"/>
        </w:rPr>
        <w:br/>
        <w:t>( ) Others: ___________________</w:t>
      </w:r>
      <w:r w:rsidRPr="001E634E">
        <w:rPr>
          <w:rFonts w:ascii="Times New Roman" w:hAnsi="Times New Roman" w:cs="Times New Roman"/>
          <w:sz w:val="24"/>
          <w:szCs w:val="24"/>
        </w:rPr>
        <w:br/>
      </w:r>
    </w:p>
    <w:p w14:paraId="5D63AA3E" w14:textId="77777777" w:rsidR="001E634E" w:rsidRPr="001E634E" w:rsidRDefault="001E634E" w:rsidP="001E634E">
      <w:pPr>
        <w:rPr>
          <w:rFonts w:ascii="Times New Roman" w:hAnsi="Times New Roman" w:cs="Times New Roman"/>
          <w:sz w:val="24"/>
          <w:szCs w:val="24"/>
        </w:rPr>
      </w:pPr>
      <w:r w:rsidRPr="001E634E">
        <w:rPr>
          <w:rFonts w:ascii="Times New Roman" w:hAnsi="Times New Roman" w:cs="Times New Roman"/>
          <w:sz w:val="24"/>
          <w:szCs w:val="24"/>
        </w:rPr>
        <w:t>What challenges do you face during sweet potato cultivation?</w:t>
      </w:r>
      <w:r w:rsidRPr="001E634E">
        <w:rPr>
          <w:rFonts w:ascii="Times New Roman" w:hAnsi="Times New Roman" w:cs="Times New Roman"/>
          <w:sz w:val="24"/>
          <w:szCs w:val="24"/>
        </w:rPr>
        <w:br/>
        <w:t>( )Insect Pests</w:t>
      </w:r>
      <w:r w:rsidRPr="001E634E">
        <w:rPr>
          <w:rFonts w:ascii="Times New Roman" w:hAnsi="Times New Roman" w:cs="Times New Roman"/>
          <w:sz w:val="24"/>
          <w:szCs w:val="24"/>
        </w:rPr>
        <w:br/>
        <w:t>( ) Diseases</w:t>
      </w:r>
    </w:p>
    <w:p w14:paraId="2CA2F8D1" w14:textId="77777777" w:rsidR="001E634E" w:rsidRPr="007F6CB3" w:rsidRDefault="001E634E" w:rsidP="007F6CB3">
      <w:pPr>
        <w:rPr>
          <w:rFonts w:ascii="Times New Roman" w:hAnsi="Times New Roman" w:cs="Times New Roman"/>
          <w:sz w:val="24"/>
          <w:szCs w:val="24"/>
        </w:rPr>
      </w:pPr>
    </w:p>
    <w:sectPr w:rsidR="001E634E" w:rsidRPr="007F6C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AF43" w14:textId="77777777" w:rsidR="00732E52" w:rsidRDefault="00732E52" w:rsidP="005C22C1">
      <w:r>
        <w:separator/>
      </w:r>
    </w:p>
  </w:endnote>
  <w:endnote w:type="continuationSeparator" w:id="0">
    <w:p w14:paraId="3EB01EF6" w14:textId="77777777" w:rsidR="00732E52" w:rsidRDefault="00732E52" w:rsidP="005C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AE14" w14:textId="77777777" w:rsidR="005C22C1" w:rsidRDefault="005C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877C" w14:textId="77777777" w:rsidR="005C22C1" w:rsidRDefault="005C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9E57" w14:textId="77777777" w:rsidR="005C22C1" w:rsidRDefault="005C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20BF" w14:textId="77777777" w:rsidR="00732E52" w:rsidRDefault="00732E52" w:rsidP="005C22C1">
      <w:r>
        <w:separator/>
      </w:r>
    </w:p>
  </w:footnote>
  <w:footnote w:type="continuationSeparator" w:id="0">
    <w:p w14:paraId="5E98374C" w14:textId="77777777" w:rsidR="00732E52" w:rsidRDefault="00732E52" w:rsidP="005C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332C" w14:textId="1F8AE7E2" w:rsidR="005C22C1" w:rsidRDefault="00732E52">
    <w:pPr>
      <w:pStyle w:val="Header"/>
    </w:pPr>
    <w:r>
      <w:rPr>
        <w:noProof/>
      </w:rPr>
      <w:pict w14:anchorId="6F796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7393" w14:textId="13A718FE" w:rsidR="005C22C1" w:rsidRDefault="00732E52">
    <w:pPr>
      <w:pStyle w:val="Header"/>
    </w:pPr>
    <w:r>
      <w:rPr>
        <w:noProof/>
      </w:rPr>
      <w:pict w14:anchorId="138C9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EF68" w14:textId="69398DBC" w:rsidR="005C22C1" w:rsidRDefault="00732E52">
    <w:pPr>
      <w:pStyle w:val="Header"/>
    </w:pPr>
    <w:r>
      <w:rPr>
        <w:noProof/>
      </w:rPr>
      <w:pict w14:anchorId="42F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E0B528"/>
    <w:multiLevelType w:val="multilevel"/>
    <w:tmpl w:val="9FE0B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A1DCAB22"/>
    <w:multiLevelType w:val="multilevel"/>
    <w:tmpl w:val="A1DCA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A3BBF10B"/>
    <w:multiLevelType w:val="multilevel"/>
    <w:tmpl w:val="A3BBF1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A6499CE5"/>
    <w:multiLevelType w:val="singleLevel"/>
    <w:tmpl w:val="A6499CE5"/>
    <w:lvl w:ilvl="0">
      <w:start w:val="18"/>
      <w:numFmt w:val="upperLetter"/>
      <w:suff w:val="space"/>
      <w:lvlText w:val="%1."/>
      <w:lvlJc w:val="left"/>
    </w:lvl>
  </w:abstractNum>
  <w:abstractNum w:abstractNumId="4" w15:restartNumberingAfterBreak="0">
    <w:nsid w:val="C8F8D527"/>
    <w:multiLevelType w:val="multilevel"/>
    <w:tmpl w:val="C8F8D52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DC8A3331"/>
    <w:multiLevelType w:val="multilevel"/>
    <w:tmpl w:val="DC8A33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F2FFCBB3"/>
    <w:multiLevelType w:val="multilevel"/>
    <w:tmpl w:val="F2FFCB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3911165"/>
    <w:multiLevelType w:val="multilevel"/>
    <w:tmpl w:val="E65858FC"/>
    <w:lvl w:ilvl="0">
      <w:start w:val="2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62C70E6"/>
    <w:multiLevelType w:val="multilevel"/>
    <w:tmpl w:val="D39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C32B6"/>
    <w:multiLevelType w:val="multilevel"/>
    <w:tmpl w:val="6E6CAD7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3A563A9"/>
    <w:multiLevelType w:val="multilevel"/>
    <w:tmpl w:val="0E763362"/>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95509"/>
    <w:multiLevelType w:val="multilevel"/>
    <w:tmpl w:val="EB9ECB60"/>
    <w:lvl w:ilvl="0">
      <w:start w:val="6"/>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left"/>
      <w:pPr>
        <w:ind w:left="6480" w:hanging="360"/>
      </w:pPr>
      <w:rPr>
        <w:rFonts w:ascii="Times New Roman" w:hAnsi="Times New Roman" w:cs="Times New Roman" w:hint="default"/>
      </w:rPr>
    </w:lvl>
  </w:abstractNum>
  <w:abstractNum w:abstractNumId="12" w15:restartNumberingAfterBreak="0">
    <w:nsid w:val="1BB47B92"/>
    <w:multiLevelType w:val="multilevel"/>
    <w:tmpl w:val="1BB47B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BDD31CB"/>
    <w:multiLevelType w:val="multilevel"/>
    <w:tmpl w:val="E28A4E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left"/>
      <w:pPr>
        <w:ind w:left="6480" w:hanging="360"/>
      </w:pPr>
      <w:rPr>
        <w:rFonts w:ascii="Times New Roman" w:hAnsi="Times New Roman" w:cs="Times New Roman" w:hint="default"/>
      </w:rPr>
    </w:lvl>
  </w:abstractNum>
  <w:abstractNum w:abstractNumId="14" w15:restartNumberingAfterBreak="0">
    <w:nsid w:val="30392996"/>
    <w:multiLevelType w:val="multilevel"/>
    <w:tmpl w:val="303929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1386CE1"/>
    <w:multiLevelType w:val="multilevel"/>
    <w:tmpl w:val="A27A9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9F6343B"/>
    <w:multiLevelType w:val="singleLevel"/>
    <w:tmpl w:val="39F6343B"/>
    <w:lvl w:ilvl="0">
      <w:start w:val="1"/>
      <w:numFmt w:val="decimal"/>
      <w:lvlText w:val="%1."/>
      <w:lvlJc w:val="left"/>
    </w:lvl>
  </w:abstractNum>
  <w:abstractNum w:abstractNumId="17" w15:restartNumberingAfterBreak="0">
    <w:nsid w:val="3A4F2994"/>
    <w:multiLevelType w:val="hybridMultilevel"/>
    <w:tmpl w:val="8C541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0E181"/>
    <w:multiLevelType w:val="multilevel"/>
    <w:tmpl w:val="42D0E18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66FB4"/>
    <w:multiLevelType w:val="multilevel"/>
    <w:tmpl w:val="51163E30"/>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7B41980"/>
    <w:multiLevelType w:val="multilevel"/>
    <w:tmpl w:val="F1BEC8E8"/>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A5E297F"/>
    <w:multiLevelType w:val="multilevel"/>
    <w:tmpl w:val="4A5E297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60CA72"/>
    <w:multiLevelType w:val="multilevel"/>
    <w:tmpl w:val="4B60C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E77052"/>
    <w:multiLevelType w:val="multilevel"/>
    <w:tmpl w:val="91281A78"/>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D8C3C91"/>
    <w:multiLevelType w:val="multilevel"/>
    <w:tmpl w:val="AA2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8174C"/>
    <w:multiLevelType w:val="multilevel"/>
    <w:tmpl w:val="54381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9008A5"/>
    <w:multiLevelType w:val="multilevel"/>
    <w:tmpl w:val="AD1228FC"/>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FAE6C77"/>
    <w:multiLevelType w:val="multilevel"/>
    <w:tmpl w:val="C582B3A2"/>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2AA70ED"/>
    <w:multiLevelType w:val="multilevel"/>
    <w:tmpl w:val="204C85C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135A0"/>
    <w:multiLevelType w:val="multilevel"/>
    <w:tmpl w:val="69E135A0"/>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6DB104E9"/>
    <w:multiLevelType w:val="multilevel"/>
    <w:tmpl w:val="6DB104E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B31B65"/>
    <w:multiLevelType w:val="singleLevel"/>
    <w:tmpl w:val="77B31B65"/>
    <w:lvl w:ilvl="0">
      <w:start w:val="1"/>
      <w:numFmt w:val="upperLetter"/>
      <w:lvlText w:val="%1."/>
      <w:lvlJc w:val="left"/>
    </w:lvl>
  </w:abstractNum>
  <w:abstractNum w:abstractNumId="32" w15:restartNumberingAfterBreak="0">
    <w:nsid w:val="7973071E"/>
    <w:multiLevelType w:val="multilevel"/>
    <w:tmpl w:val="5070699A"/>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14"/>
  </w:num>
  <w:num w:numId="3">
    <w:abstractNumId w:val="12"/>
  </w:num>
  <w:num w:numId="4">
    <w:abstractNumId w:val="2"/>
  </w:num>
  <w:num w:numId="5">
    <w:abstractNumId w:val="4"/>
  </w:num>
  <w:num w:numId="6">
    <w:abstractNumId w:val="25"/>
  </w:num>
  <w:num w:numId="7">
    <w:abstractNumId w:val="1"/>
  </w:num>
  <w:num w:numId="8">
    <w:abstractNumId w:val="21"/>
  </w:num>
  <w:num w:numId="9">
    <w:abstractNumId w:val="22"/>
  </w:num>
  <w:num w:numId="10">
    <w:abstractNumId w:val="0"/>
  </w:num>
  <w:num w:numId="11">
    <w:abstractNumId w:val="18"/>
  </w:num>
  <w:num w:numId="12">
    <w:abstractNumId w:val="5"/>
  </w:num>
  <w:num w:numId="13">
    <w:abstractNumId w:val="30"/>
  </w:num>
  <w:num w:numId="14">
    <w:abstractNumId w:val="6"/>
  </w:num>
  <w:num w:numId="15">
    <w:abstractNumId w:val="16"/>
  </w:num>
  <w:num w:numId="16">
    <w:abstractNumId w:val="3"/>
  </w:num>
  <w:num w:numId="17">
    <w:abstractNumId w:val="31"/>
  </w:num>
  <w:num w:numId="18">
    <w:abstractNumId w:val="8"/>
  </w:num>
  <w:num w:numId="19">
    <w:abstractNumId w:val="24"/>
  </w:num>
  <w:num w:numId="20">
    <w:abstractNumId w:val="15"/>
  </w:num>
  <w:num w:numId="21">
    <w:abstractNumId w:val="9"/>
  </w:num>
  <w:num w:numId="22">
    <w:abstractNumId w:val="19"/>
  </w:num>
  <w:num w:numId="23">
    <w:abstractNumId w:val="20"/>
  </w:num>
  <w:num w:numId="24">
    <w:abstractNumId w:val="26"/>
  </w:num>
  <w:num w:numId="25">
    <w:abstractNumId w:val="7"/>
  </w:num>
  <w:num w:numId="26">
    <w:abstractNumId w:val="27"/>
  </w:num>
  <w:num w:numId="27">
    <w:abstractNumId w:val="23"/>
  </w:num>
  <w:num w:numId="28">
    <w:abstractNumId w:val="32"/>
  </w:num>
  <w:num w:numId="29">
    <w:abstractNumId w:val="10"/>
  </w:num>
  <w:num w:numId="30">
    <w:abstractNumId w:val="2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MDWyNDG3MDUwMzFQ0lEKTi0uzszPAykwrAUACS94wSwAAAA="/>
  </w:docVars>
  <w:rsids>
    <w:rsidRoot w:val="00DC226B"/>
    <w:rsid w:val="000636CE"/>
    <w:rsid w:val="000F0D9C"/>
    <w:rsid w:val="001D01DC"/>
    <w:rsid w:val="001D7503"/>
    <w:rsid w:val="001E1F8D"/>
    <w:rsid w:val="001E634E"/>
    <w:rsid w:val="00273C79"/>
    <w:rsid w:val="00335443"/>
    <w:rsid w:val="003B3BF5"/>
    <w:rsid w:val="004241C6"/>
    <w:rsid w:val="0049209D"/>
    <w:rsid w:val="0049393C"/>
    <w:rsid w:val="004D2905"/>
    <w:rsid w:val="004E4FA0"/>
    <w:rsid w:val="005C22C1"/>
    <w:rsid w:val="005C5713"/>
    <w:rsid w:val="00732E52"/>
    <w:rsid w:val="0079440F"/>
    <w:rsid w:val="007C13D9"/>
    <w:rsid w:val="007C1DB2"/>
    <w:rsid w:val="007F6CB3"/>
    <w:rsid w:val="008A0F42"/>
    <w:rsid w:val="00943D6A"/>
    <w:rsid w:val="00962AE2"/>
    <w:rsid w:val="0098407C"/>
    <w:rsid w:val="009D143E"/>
    <w:rsid w:val="009E4A0E"/>
    <w:rsid w:val="00A14AC4"/>
    <w:rsid w:val="00A208F7"/>
    <w:rsid w:val="00A346F7"/>
    <w:rsid w:val="00B013F0"/>
    <w:rsid w:val="00B055C2"/>
    <w:rsid w:val="00BB0DF5"/>
    <w:rsid w:val="00C368D2"/>
    <w:rsid w:val="00C77BA2"/>
    <w:rsid w:val="00CC5848"/>
    <w:rsid w:val="00CD38CA"/>
    <w:rsid w:val="00CF2D51"/>
    <w:rsid w:val="00D341F6"/>
    <w:rsid w:val="00D8778B"/>
    <w:rsid w:val="00DC226B"/>
    <w:rsid w:val="00DD46E7"/>
    <w:rsid w:val="00DF4474"/>
    <w:rsid w:val="00E1101B"/>
    <w:rsid w:val="00E16114"/>
    <w:rsid w:val="00E220E1"/>
    <w:rsid w:val="00F8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D9A5E"/>
  <w15:chartTrackingRefBased/>
  <w15:docId w15:val="{EFD271A5-7C9C-4F4F-8AFB-8A96B43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26B"/>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DC2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DC2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C22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2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2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2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C22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C22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2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2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26B"/>
    <w:rPr>
      <w:rFonts w:eastAsiaTheme="majorEastAsia" w:cstheme="majorBidi"/>
      <w:color w:val="272727" w:themeColor="text1" w:themeTint="D8"/>
    </w:rPr>
  </w:style>
  <w:style w:type="paragraph" w:styleId="Title">
    <w:name w:val="Title"/>
    <w:basedOn w:val="Normal"/>
    <w:next w:val="Normal"/>
    <w:link w:val="TitleChar"/>
    <w:uiPriority w:val="10"/>
    <w:qFormat/>
    <w:rsid w:val="00DC2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26B"/>
    <w:pPr>
      <w:spacing w:before="160"/>
      <w:jc w:val="center"/>
    </w:pPr>
    <w:rPr>
      <w:i/>
      <w:iCs/>
      <w:color w:val="404040" w:themeColor="text1" w:themeTint="BF"/>
    </w:rPr>
  </w:style>
  <w:style w:type="character" w:customStyle="1" w:styleId="QuoteChar">
    <w:name w:val="Quote Char"/>
    <w:basedOn w:val="DefaultParagraphFont"/>
    <w:link w:val="Quote"/>
    <w:uiPriority w:val="29"/>
    <w:rsid w:val="00DC226B"/>
    <w:rPr>
      <w:i/>
      <w:iCs/>
      <w:color w:val="404040" w:themeColor="text1" w:themeTint="BF"/>
    </w:rPr>
  </w:style>
  <w:style w:type="paragraph" w:styleId="ListParagraph">
    <w:name w:val="List Paragraph"/>
    <w:basedOn w:val="Normal"/>
    <w:uiPriority w:val="34"/>
    <w:qFormat/>
    <w:rsid w:val="00DC226B"/>
    <w:pPr>
      <w:ind w:left="720"/>
      <w:contextualSpacing/>
    </w:pPr>
  </w:style>
  <w:style w:type="character" w:styleId="IntenseEmphasis">
    <w:name w:val="Intense Emphasis"/>
    <w:basedOn w:val="DefaultParagraphFont"/>
    <w:uiPriority w:val="21"/>
    <w:qFormat/>
    <w:rsid w:val="00DC226B"/>
    <w:rPr>
      <w:i/>
      <w:iCs/>
      <w:color w:val="2F5496" w:themeColor="accent1" w:themeShade="BF"/>
    </w:rPr>
  </w:style>
  <w:style w:type="paragraph" w:styleId="IntenseQuote">
    <w:name w:val="Intense Quote"/>
    <w:basedOn w:val="Normal"/>
    <w:next w:val="Normal"/>
    <w:link w:val="IntenseQuoteChar"/>
    <w:uiPriority w:val="30"/>
    <w:qFormat/>
    <w:rsid w:val="00DC2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26B"/>
    <w:rPr>
      <w:i/>
      <w:iCs/>
      <w:color w:val="2F5496" w:themeColor="accent1" w:themeShade="BF"/>
    </w:rPr>
  </w:style>
  <w:style w:type="character" w:styleId="IntenseReference">
    <w:name w:val="Intense Reference"/>
    <w:basedOn w:val="DefaultParagraphFont"/>
    <w:uiPriority w:val="32"/>
    <w:qFormat/>
    <w:rsid w:val="00DC226B"/>
    <w:rPr>
      <w:b/>
      <w:bCs/>
      <w:smallCaps/>
      <w:color w:val="2F5496" w:themeColor="accent1" w:themeShade="BF"/>
      <w:spacing w:val="5"/>
    </w:rPr>
  </w:style>
  <w:style w:type="paragraph" w:styleId="BodyText">
    <w:name w:val="Body Text"/>
    <w:basedOn w:val="Normal"/>
    <w:link w:val="BodyTextChar"/>
    <w:qFormat/>
    <w:rsid w:val="00E16114"/>
    <w:pPr>
      <w:spacing w:after="200" w:line="480" w:lineRule="auto"/>
      <w:jc w:val="both"/>
    </w:pPr>
    <w:rPr>
      <w:rFonts w:ascii="Times New Roman" w:eastAsia="Calibri" w:hAnsi="Times New Roman" w:cs="Times New Roman"/>
      <w:sz w:val="24"/>
      <w:szCs w:val="24"/>
      <w:lang w:val="en-GB" w:eastAsia="en-US"/>
    </w:rPr>
  </w:style>
  <w:style w:type="character" w:customStyle="1" w:styleId="BodyTextChar">
    <w:name w:val="Body Text Char"/>
    <w:basedOn w:val="DefaultParagraphFont"/>
    <w:link w:val="BodyText"/>
    <w:qFormat/>
    <w:rsid w:val="00E16114"/>
    <w:rPr>
      <w:rFonts w:ascii="Times New Roman" w:eastAsia="Calibri" w:hAnsi="Times New Roman" w:cs="Times New Roman"/>
      <w:kern w:val="0"/>
      <w:lang w:val="en-GB"/>
      <w14:ligatures w14:val="none"/>
    </w:rPr>
  </w:style>
  <w:style w:type="character" w:styleId="Emphasis">
    <w:name w:val="Emphasis"/>
    <w:basedOn w:val="DefaultParagraphFont"/>
    <w:qFormat/>
    <w:rsid w:val="00E16114"/>
    <w:rPr>
      <w:i/>
      <w:iCs/>
    </w:rPr>
  </w:style>
  <w:style w:type="paragraph" w:styleId="NormalWeb">
    <w:name w:val="Normal (Web)"/>
    <w:basedOn w:val="Normal"/>
    <w:uiPriority w:val="99"/>
    <w:unhideWhenUsed/>
    <w:qFormat/>
    <w:rsid w:val="00E16114"/>
    <w:pPr>
      <w:spacing w:before="100" w:beforeAutospacing="1" w:after="100" w:afterAutospacing="1" w:line="276" w:lineRule="auto"/>
    </w:pPr>
    <w:rPr>
      <w:rFonts w:ascii="Times New Roman" w:eastAsia="Times New Roman" w:hAnsi="Times New Roman" w:cs="Times New Roman"/>
      <w:sz w:val="24"/>
      <w:szCs w:val="24"/>
      <w:lang w:eastAsia="en-US"/>
    </w:rPr>
  </w:style>
  <w:style w:type="paragraph" w:customStyle="1" w:styleId="msonormal0">
    <w:name w:val="msonormal"/>
    <w:basedOn w:val="Normal"/>
    <w:rsid w:val="00E16114"/>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99"/>
    <w:unhideWhenUsed/>
    <w:qFormat/>
    <w:rsid w:val="00E16114"/>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16114"/>
    <w:pPr>
      <w:spacing w:before="100" w:beforeAutospacing="1"/>
    </w:pPr>
    <w:rPr>
      <w:rFonts w:eastAsia="Times New Roman"/>
      <w:sz w:val="22"/>
      <w:szCs w:val="22"/>
    </w:rPr>
  </w:style>
  <w:style w:type="table" w:customStyle="1" w:styleId="PlainTable21">
    <w:name w:val="Plain Table 21"/>
    <w:basedOn w:val="TableNormal"/>
    <w:uiPriority w:val="42"/>
    <w:qFormat/>
    <w:rsid w:val="00E16114"/>
    <w:pPr>
      <w:spacing w:after="0" w:line="240" w:lineRule="auto"/>
    </w:pPr>
    <w:rPr>
      <w:rFonts w:ascii="Calibri" w:eastAsia="Calibri" w:hAnsi="Calibri" w:cs="Calibri"/>
      <w:kern w:val="0"/>
      <w:sz w:val="20"/>
      <w:szCs w:val="20"/>
      <w:lang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rsid w:val="00E16114"/>
    <w:pPr>
      <w:tabs>
        <w:tab w:val="center" w:pos="4680"/>
        <w:tab w:val="right" w:pos="9360"/>
      </w:tabs>
    </w:pPr>
  </w:style>
  <w:style w:type="character" w:customStyle="1" w:styleId="HeaderChar">
    <w:name w:val="Header Char"/>
    <w:basedOn w:val="DefaultParagraphFont"/>
    <w:link w:val="Header"/>
    <w:rsid w:val="00E16114"/>
    <w:rPr>
      <w:rFonts w:eastAsiaTheme="minorEastAsia"/>
      <w:kern w:val="0"/>
      <w:sz w:val="20"/>
      <w:szCs w:val="20"/>
      <w:lang w:eastAsia="zh-CN"/>
      <w14:ligatures w14:val="none"/>
    </w:rPr>
  </w:style>
  <w:style w:type="paragraph" w:styleId="Footer">
    <w:name w:val="footer"/>
    <w:basedOn w:val="Normal"/>
    <w:link w:val="FooterChar"/>
    <w:rsid w:val="00E16114"/>
    <w:pPr>
      <w:tabs>
        <w:tab w:val="center" w:pos="4680"/>
        <w:tab w:val="right" w:pos="9360"/>
      </w:tabs>
    </w:pPr>
  </w:style>
  <w:style w:type="character" w:customStyle="1" w:styleId="FooterChar">
    <w:name w:val="Footer Char"/>
    <w:basedOn w:val="DefaultParagraphFont"/>
    <w:link w:val="Footer"/>
    <w:rsid w:val="00E16114"/>
    <w:rPr>
      <w:rFonts w:eastAsiaTheme="minorEastAsia"/>
      <w:kern w:val="0"/>
      <w:sz w:val="20"/>
      <w:szCs w:val="20"/>
      <w:lang w:eastAsia="zh-CN"/>
      <w14:ligatures w14:val="none"/>
    </w:rPr>
  </w:style>
  <w:style w:type="character" w:styleId="Hyperlink">
    <w:name w:val="Hyperlink"/>
    <w:basedOn w:val="DefaultParagraphFont"/>
    <w:uiPriority w:val="99"/>
    <w:unhideWhenUsed/>
    <w:rsid w:val="00E16114"/>
    <w:rPr>
      <w:color w:val="0563C1" w:themeColor="hyperlink"/>
      <w:u w:val="single"/>
    </w:rPr>
  </w:style>
  <w:style w:type="character" w:styleId="UnresolvedMention">
    <w:name w:val="Unresolved Mention"/>
    <w:basedOn w:val="DefaultParagraphFont"/>
    <w:uiPriority w:val="99"/>
    <w:semiHidden/>
    <w:unhideWhenUsed/>
    <w:rsid w:val="007F6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27</Pages>
  <Words>7278</Words>
  <Characters>41486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24</cp:revision>
  <dcterms:created xsi:type="dcterms:W3CDTF">2026-02-17T12:45:00Z</dcterms:created>
  <dcterms:modified xsi:type="dcterms:W3CDTF">2026-02-23T11:23:00Z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a90b3cbe-6f18-4dd1-8084-6e8a38573f14</vt:lpwstr>
  </property>
</Properties>
</file>