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5381B" w14:textId="73869C82" w:rsidR="00812296" w:rsidRPr="00812296" w:rsidRDefault="00812296" w:rsidP="00812296">
      <w:pPr>
        <w:ind w:left="360"/>
        <w:rPr>
          <w:rFonts w:ascii="Times New Roman" w:hAnsi="Times New Roman" w:cs="Times New Roman"/>
          <w:sz w:val="24"/>
          <w:szCs w:val="24"/>
        </w:rPr>
      </w:pPr>
      <w:r w:rsidRPr="00812296">
        <w:rPr>
          <w:rFonts w:ascii="Times New Roman" w:hAnsi="Times New Roman" w:cs="Times New Roman"/>
          <w:sz w:val="24"/>
          <w:szCs w:val="24"/>
        </w:rPr>
        <w:t>Resolution of Neck Pain and Recovery of Drug-Associated Erectile Dysfunction Following Conservative Management in Cervical Spondylosis: A Case Report</w:t>
      </w:r>
    </w:p>
    <w:p w14:paraId="2D752ABC" w14:textId="77777777" w:rsidR="00812296" w:rsidRDefault="00812296">
      <w:pPr>
        <w:spacing w:line="360" w:lineRule="auto"/>
        <w:rPr>
          <w:rFonts w:ascii="Times New Roman" w:eastAsia="Times New Roman" w:hAnsi="Times New Roman" w:cs="Times New Roman"/>
          <w:sz w:val="24"/>
          <w:szCs w:val="24"/>
        </w:rPr>
      </w:pPr>
    </w:p>
    <w:p w14:paraId="13F5DA27" w14:textId="77777777" w:rsidR="00C2586D" w:rsidRDefault="00C2586D">
      <w:pPr>
        <w:spacing w:line="360" w:lineRule="auto"/>
        <w:rPr>
          <w:rFonts w:ascii="Times New Roman" w:eastAsia="Times New Roman" w:hAnsi="Times New Roman" w:cs="Times New Roman"/>
          <w:sz w:val="24"/>
          <w:szCs w:val="24"/>
        </w:rPr>
      </w:pPr>
    </w:p>
    <w:p w14:paraId="0AA3CC8B"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p>
    <w:p w14:paraId="48EAA193" w14:textId="77777777"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Cervical spondylosis is a degenerative disorder of the cervical spine that commonly causes chronic neck pain and functional limitations in older adults. Although pharmacologic therapy, including neuropathic pain agents, is usually the first line of management, it can cause adverse effects such as erectile dysfunction, which may limit its usefulness and necessitate conservative management like physiotherapy.</w:t>
      </w:r>
    </w:p>
    <w:p w14:paraId="6C455D44" w14:textId="77777777"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67-year-old male civil servant presented with a six-month history of right-sided neck pain and a burning sensation that began after abrupt neck rotation during exercise. Radiographs showed osteophyte formation and straightening of the cervical lordosis. Medical management included Amlodipine, </w:t>
      </w:r>
      <w:proofErr w:type="spellStart"/>
      <w:r>
        <w:rPr>
          <w:rFonts w:ascii="Times New Roman" w:eastAsia="Times New Roman" w:hAnsi="Times New Roman" w:cs="Times New Roman"/>
          <w:sz w:val="24"/>
          <w:szCs w:val="24"/>
        </w:rPr>
        <w:t>Neurovite</w:t>
      </w:r>
      <w:proofErr w:type="spellEnd"/>
      <w:r>
        <w:rPr>
          <w:rFonts w:ascii="Times New Roman" w:eastAsia="Times New Roman" w:hAnsi="Times New Roman" w:cs="Times New Roman"/>
          <w:sz w:val="24"/>
          <w:szCs w:val="24"/>
        </w:rPr>
        <w:t>, and the neuropathic pain agent Gabapentin, which provided minimal relief but triggered erectile dysfunction shortly after initiation, prompting discontinuation and referral for physiotherapy.</w:t>
      </w:r>
    </w:p>
    <w:p w14:paraId="3C17E3E1" w14:textId="77777777"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 underwent eight physiotherapy sessions over four weeks, consisting of cervical mobilization (Grades II and III), soft-tissue mobilization, cryotherapy, progressive neck stabilization exercises, strengthening exercises, and ergonomic counseling.</w:t>
      </w:r>
    </w:p>
    <w:p w14:paraId="7B8DF10C" w14:textId="77777777"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treatment, pain reduced (NPRS: 8/10 to 2/10), disability decreased (NDI: 27% to 8%), and the drug-induced erectile dysfunction completely resolved (IIEF-5: 10/25 to 25/25). Cervical range of motion improved across all planes, and no radicular signs were observed.</w:t>
      </w:r>
    </w:p>
    <w:p w14:paraId="1D76DC2B" w14:textId="43CA05A6" w:rsidR="00812296" w:rsidRDefault="00812296" w:rsidP="005A4360">
      <w:pPr>
        <w:pStyle w:val="NormalWeb"/>
        <w:spacing w:line="360" w:lineRule="auto"/>
      </w:pPr>
      <w:r>
        <w:t>This case highlights the role of structured physiotherapy in improving pain and function in cervical spondylosis and was associated with recovery of drug-related erectile dysfunction after medication cessation, although causality cannot be definitively established.</w:t>
      </w:r>
    </w:p>
    <w:p w14:paraId="0F65500D" w14:textId="73E92C4B" w:rsidR="00DC5EF8" w:rsidRDefault="00DC5EF8">
      <w:pPr>
        <w:spacing w:before="240" w:after="240" w:line="360" w:lineRule="auto"/>
        <w:rPr>
          <w:rFonts w:ascii="Times New Roman" w:eastAsia="Times New Roman" w:hAnsi="Times New Roman" w:cs="Times New Roman"/>
          <w:sz w:val="24"/>
          <w:szCs w:val="24"/>
        </w:rPr>
      </w:pPr>
    </w:p>
    <w:p w14:paraId="3CBCAB69" w14:textId="77777777" w:rsidR="00DC5EF8" w:rsidRDefault="00DC5EF8">
      <w:pPr>
        <w:spacing w:line="360" w:lineRule="auto"/>
        <w:rPr>
          <w:rFonts w:ascii="Times New Roman" w:eastAsia="Times New Roman" w:hAnsi="Times New Roman" w:cs="Times New Roman"/>
          <w:sz w:val="24"/>
          <w:szCs w:val="24"/>
        </w:rPr>
      </w:pPr>
    </w:p>
    <w:p w14:paraId="2D08A6D3"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Keywords: Neck Pain, Cervical Spondylosis, Physiotherapy, Erectile Dysfunction, Rehabilitation</w:t>
      </w:r>
    </w:p>
    <w:p w14:paraId="3FF4B1A9" w14:textId="77777777" w:rsidR="00DC5EF8" w:rsidRDefault="00DC5EF8">
      <w:pPr>
        <w:spacing w:line="360" w:lineRule="auto"/>
        <w:rPr>
          <w:rFonts w:ascii="Times New Roman" w:eastAsia="Times New Roman" w:hAnsi="Times New Roman" w:cs="Times New Roman"/>
          <w:sz w:val="24"/>
          <w:szCs w:val="24"/>
        </w:rPr>
      </w:pPr>
    </w:p>
    <w:p w14:paraId="29508566" w14:textId="77777777" w:rsidR="00DC5EF8" w:rsidRDefault="00DC5EF8">
      <w:pPr>
        <w:spacing w:line="360" w:lineRule="auto"/>
        <w:rPr>
          <w:rFonts w:ascii="Times New Roman" w:eastAsia="Times New Roman" w:hAnsi="Times New Roman" w:cs="Times New Roman"/>
          <w:sz w:val="24"/>
          <w:szCs w:val="24"/>
        </w:rPr>
      </w:pPr>
    </w:p>
    <w:p w14:paraId="111A6E34"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INTRODUCTION</w:t>
      </w:r>
      <w:r>
        <w:rPr>
          <w:rFonts w:ascii="Times New Roman" w:eastAsia="Times New Roman" w:hAnsi="Times New Roman" w:cs="Times New Roman"/>
          <w:sz w:val="24"/>
          <w:szCs w:val="24"/>
        </w:rPr>
        <w:t xml:space="preserve"> </w:t>
      </w:r>
    </w:p>
    <w:p w14:paraId="3E0273B1" w14:textId="77777777" w:rsidR="00DC5EF8" w:rsidRDefault="00DC5EF8">
      <w:pPr>
        <w:spacing w:line="360" w:lineRule="auto"/>
        <w:rPr>
          <w:rFonts w:ascii="Times New Roman" w:eastAsia="Times New Roman" w:hAnsi="Times New Roman" w:cs="Times New Roman"/>
          <w:sz w:val="24"/>
          <w:szCs w:val="24"/>
        </w:rPr>
      </w:pPr>
    </w:p>
    <w:p w14:paraId="7F1D2CFB"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Neck pain is one of the most prevalent musculoskeletal disorders worldwide, second only to low back pain in contributing to disability. In 2020, approximately 203 million people were affected globally, with projections suggesting this number may rise to 269 million by 2050 as populations age [1]. Cervical spondylosis, a progressive age‑related degenerative disorder of the cervical spine, commonly causes neck pain and functional limitation in older adults [2].</w:t>
      </w:r>
    </w:p>
    <w:p w14:paraId="1D5397AA" w14:textId="77777777" w:rsidR="00DC5EF8" w:rsidRDefault="00DC5EF8">
      <w:pPr>
        <w:spacing w:line="360" w:lineRule="auto"/>
        <w:rPr>
          <w:rFonts w:ascii="Times New Roman" w:eastAsia="Times New Roman" w:hAnsi="Times New Roman" w:cs="Times New Roman"/>
          <w:sz w:val="24"/>
          <w:szCs w:val="24"/>
        </w:rPr>
      </w:pPr>
    </w:p>
    <w:p w14:paraId="2AEE1F9D"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pharmacologic therapy including analgesics, muscle relaxants, and neuropathic agents may provide temporary relief, they often fail to restore function and can be associated with adverse effects, as observed in this patient, who developed erectile dysfunction during medical management [3].</w:t>
      </w:r>
    </w:p>
    <w:p w14:paraId="0C3F8F1F" w14:textId="77777777" w:rsidR="00DC5EF8" w:rsidRDefault="00DC5EF8">
      <w:pPr>
        <w:spacing w:line="360" w:lineRule="auto"/>
        <w:rPr>
          <w:rFonts w:ascii="Times New Roman" w:eastAsia="Times New Roman" w:hAnsi="Times New Roman" w:cs="Times New Roman"/>
          <w:sz w:val="24"/>
          <w:szCs w:val="24"/>
        </w:rPr>
      </w:pPr>
    </w:p>
    <w:p w14:paraId="7D625DDE"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physiotherapy offers a targeted, conservative approach that addresses the underlying musculoskeletal deficits [4]. Through manual therapy, therapeutic exercise, postural correction, and patient education, physiotherapy can reduce pain, restore mobility, strengthen supporting musculature, and improve function without the risks associated with long-term medication use [5].</w:t>
      </w:r>
    </w:p>
    <w:p w14:paraId="41B80409" w14:textId="77777777" w:rsidR="00DC5EF8" w:rsidRDefault="00DC5EF8">
      <w:pPr>
        <w:spacing w:line="360" w:lineRule="auto"/>
        <w:rPr>
          <w:rFonts w:ascii="Times New Roman" w:eastAsia="Times New Roman" w:hAnsi="Times New Roman" w:cs="Times New Roman"/>
          <w:sz w:val="24"/>
          <w:szCs w:val="24"/>
        </w:rPr>
      </w:pPr>
    </w:p>
    <w:p w14:paraId="4B7FA6CF"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physiotherapy has been shown to improve erectile function in men with sexual dysfunction through interventions such as pelvic floor exercises, electrical stimulation, and biofeedback [6], its role in reversing medication‑induced erectile dysfunction remains unexplored. Medication‑related sexual side effects may be under-recognized in older </w:t>
      </w:r>
      <w:proofErr w:type="gramStart"/>
      <w:r>
        <w:rPr>
          <w:rFonts w:ascii="Times New Roman" w:eastAsia="Times New Roman" w:hAnsi="Times New Roman" w:cs="Times New Roman"/>
          <w:sz w:val="24"/>
          <w:szCs w:val="24"/>
        </w:rPr>
        <w:t>adults[</w:t>
      </w:r>
      <w:proofErr w:type="gramEnd"/>
      <w:r>
        <w:rPr>
          <w:rFonts w:ascii="Times New Roman" w:eastAsia="Times New Roman" w:hAnsi="Times New Roman" w:cs="Times New Roman"/>
          <w:sz w:val="24"/>
          <w:szCs w:val="24"/>
        </w:rPr>
        <w:t>7]  The aim of this case report is to describe the role of structured physiotherapy in managing cervical spondylosis and its potential influence on drug-induced erectile dysfunction.</w:t>
      </w:r>
    </w:p>
    <w:p w14:paraId="7B2F2F5C" w14:textId="77777777" w:rsidR="00DC5EF8" w:rsidRDefault="00DC5EF8">
      <w:pPr>
        <w:spacing w:line="360" w:lineRule="auto"/>
        <w:rPr>
          <w:rFonts w:ascii="Times New Roman" w:eastAsia="Times New Roman" w:hAnsi="Times New Roman" w:cs="Times New Roman"/>
          <w:sz w:val="24"/>
          <w:szCs w:val="24"/>
        </w:rPr>
      </w:pPr>
    </w:p>
    <w:p w14:paraId="2C0086A3" w14:textId="77777777" w:rsidR="0093571C" w:rsidRDefault="0093571C">
      <w:pPr>
        <w:spacing w:line="360" w:lineRule="auto"/>
        <w:rPr>
          <w:rFonts w:ascii="Times New Roman" w:eastAsia="Times New Roman" w:hAnsi="Times New Roman" w:cs="Times New Roman"/>
          <w:b/>
          <w:bCs/>
          <w:sz w:val="24"/>
          <w:szCs w:val="24"/>
        </w:rPr>
      </w:pPr>
    </w:p>
    <w:p w14:paraId="68DFB2BD" w14:textId="77777777" w:rsidR="0093571C" w:rsidRDefault="0093571C">
      <w:pPr>
        <w:spacing w:line="360" w:lineRule="auto"/>
        <w:rPr>
          <w:rFonts w:ascii="Times New Roman" w:eastAsia="Times New Roman" w:hAnsi="Times New Roman" w:cs="Times New Roman"/>
          <w:b/>
          <w:bCs/>
          <w:sz w:val="24"/>
          <w:szCs w:val="24"/>
        </w:rPr>
      </w:pPr>
    </w:p>
    <w:p w14:paraId="5C38C64B" w14:textId="2B39F102"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CASE PRESENTATION</w:t>
      </w:r>
    </w:p>
    <w:p w14:paraId="091C1E6A"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67-year-old married retired civil servant presented to the Physiotherapy Department on 11th June 2025 with a six-month history of right-sided neck pain. Written informed consent was obtained from the patient for publication of this case report and any accompanying images or data. The report follows CARE guidelines [8]. Institutional Review Board approval was waived as per local protocol for single-case reports.</w:t>
      </w:r>
    </w:p>
    <w:p w14:paraId="16C782F4" w14:textId="77777777" w:rsidR="00DC5EF8" w:rsidRDefault="00DC5EF8">
      <w:pPr>
        <w:spacing w:line="360" w:lineRule="auto"/>
        <w:rPr>
          <w:rFonts w:ascii="Times New Roman" w:eastAsia="Times New Roman" w:hAnsi="Times New Roman" w:cs="Times New Roman"/>
          <w:sz w:val="24"/>
          <w:szCs w:val="24"/>
        </w:rPr>
      </w:pPr>
    </w:p>
    <w:p w14:paraId="7EF79830"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 symptoms began in December 2024 during an early morning jog, when he sharply rotated his neck and heard a cracking sound, followed by a burning pain on the right side of the neck. The pain worsened with heavy lifting and use of high pillows but eased with flat pillows, ice, and rest.</w:t>
      </w:r>
    </w:p>
    <w:p w14:paraId="7B966990" w14:textId="77777777" w:rsidR="00DC5EF8" w:rsidRDefault="00DC5EF8">
      <w:pPr>
        <w:spacing w:line="360" w:lineRule="auto"/>
        <w:rPr>
          <w:rFonts w:ascii="Times New Roman" w:eastAsia="Times New Roman" w:hAnsi="Times New Roman" w:cs="Times New Roman"/>
          <w:sz w:val="24"/>
          <w:szCs w:val="24"/>
        </w:rPr>
      </w:pPr>
    </w:p>
    <w:p w14:paraId="545CAA87" w14:textId="68D8F4C5"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initially self-medicated with paracetamol without relief, then sought care at Rivers State University Teaching Hospital in February 2025, where Baclofen and </w:t>
      </w:r>
      <w:proofErr w:type="spellStart"/>
      <w:r>
        <w:rPr>
          <w:rFonts w:ascii="Times New Roman" w:eastAsia="Times New Roman" w:hAnsi="Times New Roman" w:cs="Times New Roman"/>
          <w:sz w:val="24"/>
          <w:szCs w:val="24"/>
        </w:rPr>
        <w:t>Neurovite</w:t>
      </w:r>
      <w:proofErr w:type="spellEnd"/>
      <w:r>
        <w:rPr>
          <w:rFonts w:ascii="Times New Roman" w:eastAsia="Times New Roman" w:hAnsi="Times New Roman" w:cs="Times New Roman"/>
          <w:sz w:val="24"/>
          <w:szCs w:val="24"/>
        </w:rPr>
        <w:t xml:space="preserve"> were prescribed. Cervical X-ray confirmed cervical spondylosis with osteophytes from C2–C6 and loss of cervical lordosis. Following persistent burning pain on the right side of the neck, further treatment was with Gabapentin 300 mg tablets, three times daily (TID). It provided mild relief but led to erectile dysfunction, prompting discontinuation. The erectile dysfunction developed after starting Gabapentin, and the patient reported normal erectile function prior to medication, supporting a drug-induced etiology.</w:t>
      </w:r>
    </w:p>
    <w:p w14:paraId="0206E892" w14:textId="77777777" w:rsidR="00DC5EF8" w:rsidRDefault="00DC5EF8">
      <w:pPr>
        <w:spacing w:line="360" w:lineRule="auto"/>
        <w:rPr>
          <w:rFonts w:ascii="Times New Roman" w:eastAsia="Times New Roman" w:hAnsi="Times New Roman" w:cs="Times New Roman"/>
          <w:sz w:val="24"/>
          <w:szCs w:val="24"/>
        </w:rPr>
      </w:pPr>
    </w:p>
    <w:p w14:paraId="5E14CF40"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eight-session, four-week physiotherapy program commenced as shown in Table 1. These included cervical mobilization using Grades II–III anteroposterior and rotational mobilizations targeting the C2–C6 segments. Soft-tissue mobilization was applied to the upper trapezius, levator scapulae and the sternocleidomastoid muscles.  Cryotherapy was used locally to reduce inflammation and pain. Posture retraining and ergonomic counselling were provided, focusing on pillow height, workstation setup, and neck alignment. Progressive neck strengthening exercises targeted the deep cervical flexors, scapular stabilizers (middle/lower trapezius, rhomboids), and cervical extensors with graded resistance. The patient was also prescribed a home exercise program consisting of neck stretches, chin tucks, and posture correction exercises to be performed daily</w:t>
      </w:r>
    </w:p>
    <w:p w14:paraId="5F5FBC84" w14:textId="77777777" w:rsidR="00DC5EF8" w:rsidRDefault="00DC5EF8">
      <w:pPr>
        <w:spacing w:line="360" w:lineRule="auto"/>
        <w:rPr>
          <w:rFonts w:ascii="Times New Roman" w:eastAsia="Times New Roman" w:hAnsi="Times New Roman" w:cs="Times New Roman"/>
          <w:sz w:val="24"/>
          <w:szCs w:val="24"/>
        </w:rPr>
      </w:pPr>
    </w:p>
    <w:p w14:paraId="2D1BD721" w14:textId="7402A694" w:rsidR="0093571C" w:rsidRDefault="00B65E97" w:rsidP="0093571C">
      <w:pPr>
        <w:pStyle w:val="NormalWeb"/>
        <w:spacing w:line="360" w:lineRule="auto"/>
      </w:pPr>
      <w:r>
        <w:t>Physical examination revealed forward head posture, limited right rotation and lateral flexion, as shown in Table 2, and no neurological deficits. Baseline scores were NPRS 8/10, NDI 27%, and IIEF-5 10/25. The IIEF-5 score of 10/25 reflects moderate erectile dysfunction that developed after initiation of Gabapentin.</w:t>
      </w:r>
      <w:r w:rsidR="0093571C" w:rsidRPr="0093571C">
        <w:t xml:space="preserve"> </w:t>
      </w:r>
      <w:r w:rsidR="0093571C">
        <w:t xml:space="preserve">Spurling’s test, cervical compression test, cervical distraction test </w:t>
      </w:r>
      <w:r w:rsidR="0093571C">
        <w:t xml:space="preserve">and </w:t>
      </w:r>
      <w:proofErr w:type="spellStart"/>
      <w:proofErr w:type="gramStart"/>
      <w:r w:rsidR="0093571C">
        <w:t>Roos</w:t>
      </w:r>
      <w:proofErr w:type="spellEnd"/>
      <w:proofErr w:type="gramEnd"/>
      <w:r w:rsidR="0093571C">
        <w:t xml:space="preserve"> test </w:t>
      </w:r>
      <w:r w:rsidR="0093571C">
        <w:t>were performed and were negative for radicular symptoms.</w:t>
      </w:r>
    </w:p>
    <w:p w14:paraId="76D004DE" w14:textId="2018CF87" w:rsidR="00DC5EF8" w:rsidRDefault="00DC5EF8">
      <w:pPr>
        <w:spacing w:line="360" w:lineRule="auto"/>
        <w:rPr>
          <w:rFonts w:ascii="Times New Roman" w:eastAsia="Times New Roman" w:hAnsi="Times New Roman" w:cs="Times New Roman"/>
          <w:sz w:val="24"/>
          <w:szCs w:val="24"/>
        </w:rPr>
      </w:pPr>
    </w:p>
    <w:p w14:paraId="2557AE96" w14:textId="77777777" w:rsidR="00DC5EF8" w:rsidRDefault="00DC5EF8">
      <w:pPr>
        <w:spacing w:line="360" w:lineRule="auto"/>
        <w:rPr>
          <w:rFonts w:ascii="Times New Roman" w:eastAsia="Times New Roman" w:hAnsi="Times New Roman" w:cs="Times New Roman"/>
          <w:sz w:val="24"/>
          <w:szCs w:val="24"/>
        </w:rPr>
      </w:pPr>
    </w:p>
    <w:p w14:paraId="2FD186BC" w14:textId="4906B00F"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Gabapentin was discontinued in </w:t>
      </w:r>
      <w:r w:rsidR="0093571C">
        <w:rPr>
          <w:rFonts w:ascii="Times New Roman" w:eastAsia="Times New Roman" w:hAnsi="Times New Roman" w:cs="Times New Roman"/>
          <w:sz w:val="24"/>
          <w:szCs w:val="24"/>
        </w:rPr>
        <w:t>June</w:t>
      </w:r>
      <w:r>
        <w:rPr>
          <w:rFonts w:ascii="Times New Roman" w:eastAsia="Times New Roman" w:hAnsi="Times New Roman" w:cs="Times New Roman"/>
          <w:sz w:val="24"/>
          <w:szCs w:val="24"/>
        </w:rPr>
        <w:t xml:space="preserve"> 2025, physiotherapy was initiated the same month, and follow-up assessments were performed. By week four, pain had reduced to 2/10 (NPRS), disability to 8% (NDI), and IIEF-5 had improved to 25/25, indicating full restoration of erectile function. These gains exceeded the MCID thresholds for NPRS and NDI [9,10].</w:t>
      </w:r>
    </w:p>
    <w:p w14:paraId="142AB6C3" w14:textId="77777777" w:rsidR="00DC5EF8" w:rsidRDefault="00DC5EF8">
      <w:pPr>
        <w:spacing w:line="360" w:lineRule="auto"/>
        <w:rPr>
          <w:rFonts w:ascii="Times New Roman" w:eastAsia="Times New Roman" w:hAnsi="Times New Roman" w:cs="Times New Roman"/>
          <w:sz w:val="24"/>
          <w:szCs w:val="24"/>
        </w:rPr>
      </w:pPr>
    </w:p>
    <w:p w14:paraId="45B20FDC"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patient’s erectile function improved after both discontinuation of Gabapentin and structured physiotherapy. While a causal relationship cannot be definitively established, the timing suggests physiotherapy may have contributed to functional recovery in conjunction with drug cessation.</w:t>
      </w:r>
    </w:p>
    <w:p w14:paraId="5B174D87" w14:textId="77777777" w:rsidR="00DC5EF8" w:rsidRDefault="00DC5EF8">
      <w:pPr>
        <w:spacing w:line="360" w:lineRule="auto"/>
        <w:rPr>
          <w:rFonts w:ascii="Times New Roman" w:eastAsia="Times New Roman" w:hAnsi="Times New Roman" w:cs="Times New Roman"/>
          <w:sz w:val="24"/>
          <w:szCs w:val="24"/>
        </w:rPr>
      </w:pPr>
    </w:p>
    <w:p w14:paraId="28060F62" w14:textId="77777777" w:rsidR="00DC5EF8" w:rsidRDefault="00DC5EF8">
      <w:pPr>
        <w:spacing w:line="360" w:lineRule="auto"/>
        <w:rPr>
          <w:rFonts w:ascii="Times New Roman" w:eastAsia="Times New Roman" w:hAnsi="Times New Roman" w:cs="Times New Roman"/>
          <w:sz w:val="24"/>
          <w:szCs w:val="24"/>
        </w:rPr>
      </w:pPr>
    </w:p>
    <w:p w14:paraId="0B88E631"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shows each intervention employed alongside the frequency, intensity and time:</w:t>
      </w:r>
    </w:p>
    <w:p w14:paraId="1DF39323" w14:textId="77777777" w:rsidR="00DC5EF8" w:rsidRDefault="00DC5EF8">
      <w:pPr>
        <w:spacing w:line="360" w:lineRule="auto"/>
        <w:rPr>
          <w:rFonts w:ascii="Times New Roman" w:eastAsia="Times New Roman" w:hAnsi="Times New Roman" w:cs="Times New Roman"/>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DC5EF8" w14:paraId="4E642383" w14:textId="77777777">
        <w:tc>
          <w:tcPr>
            <w:tcW w:w="1872" w:type="dxa"/>
            <w:tcMar>
              <w:top w:w="100" w:type="dxa"/>
              <w:left w:w="100" w:type="dxa"/>
              <w:bottom w:w="100" w:type="dxa"/>
              <w:right w:w="100" w:type="dxa"/>
            </w:tcMar>
          </w:tcPr>
          <w:p w14:paraId="24605512"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Interventions</w:t>
            </w:r>
          </w:p>
        </w:tc>
        <w:tc>
          <w:tcPr>
            <w:tcW w:w="1872" w:type="dxa"/>
            <w:tcMar>
              <w:top w:w="100" w:type="dxa"/>
              <w:left w:w="100" w:type="dxa"/>
              <w:bottom w:w="100" w:type="dxa"/>
              <w:right w:w="100" w:type="dxa"/>
            </w:tcMar>
          </w:tcPr>
          <w:p w14:paraId="1EAC6597"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 1</w:t>
            </w:r>
          </w:p>
        </w:tc>
        <w:tc>
          <w:tcPr>
            <w:tcW w:w="1872" w:type="dxa"/>
            <w:tcMar>
              <w:top w:w="100" w:type="dxa"/>
              <w:left w:w="100" w:type="dxa"/>
              <w:bottom w:w="100" w:type="dxa"/>
              <w:right w:w="100" w:type="dxa"/>
            </w:tcMar>
          </w:tcPr>
          <w:p w14:paraId="56C2015C"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 2</w:t>
            </w:r>
          </w:p>
        </w:tc>
        <w:tc>
          <w:tcPr>
            <w:tcW w:w="1872" w:type="dxa"/>
            <w:tcMar>
              <w:top w:w="100" w:type="dxa"/>
              <w:left w:w="100" w:type="dxa"/>
              <w:bottom w:w="100" w:type="dxa"/>
              <w:right w:w="100" w:type="dxa"/>
            </w:tcMar>
          </w:tcPr>
          <w:p w14:paraId="6BBB0667"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 3</w:t>
            </w:r>
          </w:p>
        </w:tc>
        <w:tc>
          <w:tcPr>
            <w:tcW w:w="1872" w:type="dxa"/>
            <w:tcMar>
              <w:top w:w="100" w:type="dxa"/>
              <w:left w:w="100" w:type="dxa"/>
              <w:bottom w:w="100" w:type="dxa"/>
              <w:right w:w="100" w:type="dxa"/>
            </w:tcMar>
          </w:tcPr>
          <w:p w14:paraId="00F19169"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 4</w:t>
            </w:r>
          </w:p>
        </w:tc>
      </w:tr>
      <w:tr w:rsidR="00DC5EF8" w14:paraId="48275733" w14:textId="77777777">
        <w:tc>
          <w:tcPr>
            <w:tcW w:w="1872" w:type="dxa"/>
            <w:tcMar>
              <w:top w:w="100" w:type="dxa"/>
              <w:left w:w="100" w:type="dxa"/>
              <w:bottom w:w="100" w:type="dxa"/>
              <w:right w:w="100" w:type="dxa"/>
            </w:tcMar>
          </w:tcPr>
          <w:p w14:paraId="72B34589"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Neck mobilization exercises </w:t>
            </w:r>
          </w:p>
        </w:tc>
        <w:tc>
          <w:tcPr>
            <w:tcW w:w="1872" w:type="dxa"/>
            <w:tcMar>
              <w:top w:w="100" w:type="dxa"/>
              <w:left w:w="100" w:type="dxa"/>
              <w:bottom w:w="100" w:type="dxa"/>
              <w:right w:w="100" w:type="dxa"/>
            </w:tcMar>
          </w:tcPr>
          <w:p w14:paraId="627F821E"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p w14:paraId="50AFA1B9"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reps x 3 sets</w:t>
            </w:r>
          </w:p>
          <w:p w14:paraId="7CDC1477"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times daily</w:t>
            </w:r>
          </w:p>
          <w:p w14:paraId="220A0667"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p w14:paraId="75A469EB"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3F8047AB" w14:textId="77777777" w:rsidR="00DC5EF8" w:rsidRDefault="00DC5EF8">
            <w:pPr>
              <w:spacing w:line="360" w:lineRule="auto"/>
              <w:rPr>
                <w:rFonts w:ascii="Times New Roman" w:eastAsia="Times New Roman" w:hAnsi="Times New Roman" w:cs="Times New Roman"/>
                <w:sz w:val="24"/>
                <w:szCs w:val="24"/>
              </w:rPr>
            </w:pPr>
          </w:p>
          <w:p w14:paraId="374A4928"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reps x 3 sets</w:t>
            </w:r>
          </w:p>
          <w:p w14:paraId="37E55BCC"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times daily</w:t>
            </w:r>
          </w:p>
          <w:p w14:paraId="74FF79E6" w14:textId="77777777" w:rsidR="00DC5EF8" w:rsidRDefault="00DC5EF8">
            <w:pPr>
              <w:spacing w:line="360" w:lineRule="auto"/>
              <w:rPr>
                <w:rFonts w:ascii="Times New Roman" w:eastAsia="Times New Roman" w:hAnsi="Times New Roman" w:cs="Times New Roman"/>
                <w:sz w:val="24"/>
                <w:szCs w:val="24"/>
              </w:rPr>
            </w:pPr>
          </w:p>
          <w:p w14:paraId="07F44FC3"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42A4B233"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15min x 3 sets</w:t>
            </w:r>
          </w:p>
          <w:p w14:paraId="43551782"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times daily</w:t>
            </w:r>
          </w:p>
          <w:p w14:paraId="3273ACEB"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p w14:paraId="1ABD9348"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75C7F7D0"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15min x 3 sets</w:t>
            </w:r>
          </w:p>
          <w:p w14:paraId="137ACB6B"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times daily</w:t>
            </w:r>
          </w:p>
          <w:p w14:paraId="68DA8E3A" w14:textId="77777777" w:rsidR="00DC5EF8" w:rsidRDefault="00DC5EF8">
            <w:pPr>
              <w:spacing w:line="360" w:lineRule="auto"/>
              <w:rPr>
                <w:rFonts w:ascii="Times New Roman" w:eastAsia="Times New Roman" w:hAnsi="Times New Roman" w:cs="Times New Roman"/>
                <w:sz w:val="24"/>
                <w:szCs w:val="24"/>
              </w:rPr>
            </w:pPr>
          </w:p>
          <w:p w14:paraId="238F366A"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DC5EF8" w14:paraId="33B8FAE4" w14:textId="77777777">
        <w:tc>
          <w:tcPr>
            <w:tcW w:w="1872" w:type="dxa"/>
            <w:tcMar>
              <w:top w:w="100" w:type="dxa"/>
              <w:left w:w="100" w:type="dxa"/>
              <w:bottom w:w="100" w:type="dxa"/>
              <w:right w:w="100" w:type="dxa"/>
            </w:tcMar>
          </w:tcPr>
          <w:p w14:paraId="28491F70"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Sustained Passive Stretches</w:t>
            </w:r>
          </w:p>
        </w:tc>
        <w:tc>
          <w:tcPr>
            <w:tcW w:w="1872" w:type="dxa"/>
            <w:tcMar>
              <w:top w:w="100" w:type="dxa"/>
              <w:left w:w="100" w:type="dxa"/>
              <w:bottom w:w="100" w:type="dxa"/>
              <w:right w:w="100" w:type="dxa"/>
            </w:tcMar>
          </w:tcPr>
          <w:p w14:paraId="1847D259"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10-20 seconds hold per stretch 3 reps</w:t>
            </w:r>
          </w:p>
        </w:tc>
        <w:tc>
          <w:tcPr>
            <w:tcW w:w="1872" w:type="dxa"/>
            <w:tcMar>
              <w:top w:w="100" w:type="dxa"/>
              <w:left w:w="100" w:type="dxa"/>
              <w:bottom w:w="100" w:type="dxa"/>
              <w:right w:w="100" w:type="dxa"/>
            </w:tcMar>
          </w:tcPr>
          <w:p w14:paraId="165D5ED3"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10-20 seconds hold per stretch 3 reps</w:t>
            </w:r>
          </w:p>
        </w:tc>
        <w:tc>
          <w:tcPr>
            <w:tcW w:w="1872" w:type="dxa"/>
            <w:tcMar>
              <w:top w:w="100" w:type="dxa"/>
              <w:left w:w="100" w:type="dxa"/>
              <w:bottom w:w="100" w:type="dxa"/>
              <w:right w:w="100" w:type="dxa"/>
            </w:tcMar>
          </w:tcPr>
          <w:p w14:paraId="170B8ADD" w14:textId="77777777" w:rsidR="00DC5EF8" w:rsidRDefault="00DC5EF8">
            <w:pPr>
              <w:spacing w:line="360" w:lineRule="auto"/>
              <w:rPr>
                <w:rFonts w:ascii="Times New Roman" w:eastAsia="Times New Roman" w:hAnsi="Times New Roman" w:cs="Times New Roman"/>
                <w:sz w:val="24"/>
                <w:szCs w:val="24"/>
              </w:rPr>
            </w:pPr>
          </w:p>
          <w:p w14:paraId="30DAFB54"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20-30 seconds hold per stretch 3 reps</w:t>
            </w:r>
          </w:p>
        </w:tc>
        <w:tc>
          <w:tcPr>
            <w:tcW w:w="1872" w:type="dxa"/>
            <w:tcMar>
              <w:top w:w="100" w:type="dxa"/>
              <w:left w:w="100" w:type="dxa"/>
              <w:bottom w:w="100" w:type="dxa"/>
              <w:right w:w="100" w:type="dxa"/>
            </w:tcMar>
          </w:tcPr>
          <w:p w14:paraId="5BE8A473" w14:textId="77777777" w:rsidR="00DC5EF8" w:rsidRDefault="00DC5EF8">
            <w:pPr>
              <w:spacing w:line="360" w:lineRule="auto"/>
              <w:rPr>
                <w:rFonts w:ascii="Times New Roman" w:eastAsia="Times New Roman" w:hAnsi="Times New Roman" w:cs="Times New Roman"/>
                <w:sz w:val="24"/>
                <w:szCs w:val="24"/>
              </w:rPr>
            </w:pPr>
          </w:p>
          <w:p w14:paraId="06F9AEF1"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20-30 seconds hold per stretch 3 reps</w:t>
            </w:r>
          </w:p>
        </w:tc>
      </w:tr>
      <w:tr w:rsidR="00DC5EF8" w14:paraId="5C42C1B1" w14:textId="77777777">
        <w:tc>
          <w:tcPr>
            <w:tcW w:w="1872" w:type="dxa"/>
            <w:tcMar>
              <w:top w:w="100" w:type="dxa"/>
              <w:left w:w="100" w:type="dxa"/>
              <w:bottom w:w="100" w:type="dxa"/>
              <w:right w:w="100" w:type="dxa"/>
            </w:tcMar>
          </w:tcPr>
          <w:p w14:paraId="5A7DBE2A"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Soft Tissue Mobilization to muscles of the neck</w:t>
            </w:r>
          </w:p>
        </w:tc>
        <w:tc>
          <w:tcPr>
            <w:tcW w:w="1872" w:type="dxa"/>
            <w:tcMar>
              <w:top w:w="100" w:type="dxa"/>
              <w:left w:w="100" w:type="dxa"/>
              <w:bottom w:w="100" w:type="dxa"/>
              <w:right w:w="100" w:type="dxa"/>
            </w:tcMar>
          </w:tcPr>
          <w:p w14:paraId="24F53A16"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Effleurage for 5 mins</w:t>
            </w:r>
          </w:p>
          <w:p w14:paraId="6EC215E3" w14:textId="77777777"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26CE92A3"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Effleurage for 5 mins</w:t>
            </w:r>
          </w:p>
          <w:p w14:paraId="5DDC43B7" w14:textId="77777777"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661EAEC7"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Effleurage for 5 mins</w:t>
            </w:r>
          </w:p>
          <w:p w14:paraId="4223E654" w14:textId="77777777"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7647FCC7"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Effleurage for 5 mins</w:t>
            </w:r>
          </w:p>
          <w:p w14:paraId="42B95D72" w14:textId="77777777" w:rsidR="00DC5EF8" w:rsidRDefault="00DC5EF8">
            <w:pPr>
              <w:spacing w:line="360" w:lineRule="auto"/>
              <w:rPr>
                <w:rFonts w:ascii="Times New Roman" w:eastAsia="Times New Roman" w:hAnsi="Times New Roman" w:cs="Times New Roman"/>
                <w:sz w:val="24"/>
                <w:szCs w:val="24"/>
              </w:rPr>
            </w:pPr>
          </w:p>
        </w:tc>
      </w:tr>
      <w:tr w:rsidR="00DC5EF8" w14:paraId="7E076A0D" w14:textId="77777777">
        <w:tc>
          <w:tcPr>
            <w:tcW w:w="1872" w:type="dxa"/>
            <w:tcMar>
              <w:top w:w="100" w:type="dxa"/>
              <w:left w:w="100" w:type="dxa"/>
              <w:bottom w:w="100" w:type="dxa"/>
              <w:right w:w="100" w:type="dxa"/>
            </w:tcMar>
          </w:tcPr>
          <w:p w14:paraId="080D96FE"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Cryotherapy</w:t>
            </w:r>
          </w:p>
        </w:tc>
        <w:tc>
          <w:tcPr>
            <w:tcW w:w="1872" w:type="dxa"/>
            <w:tcMar>
              <w:top w:w="100" w:type="dxa"/>
              <w:left w:w="100" w:type="dxa"/>
              <w:bottom w:w="100" w:type="dxa"/>
              <w:right w:w="100" w:type="dxa"/>
            </w:tcMar>
          </w:tcPr>
          <w:p w14:paraId="0C665323"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c>
          <w:tcPr>
            <w:tcW w:w="1872" w:type="dxa"/>
            <w:tcMar>
              <w:top w:w="100" w:type="dxa"/>
              <w:left w:w="100" w:type="dxa"/>
              <w:bottom w:w="100" w:type="dxa"/>
              <w:right w:w="100" w:type="dxa"/>
            </w:tcMar>
          </w:tcPr>
          <w:p w14:paraId="4C90166B"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c>
          <w:tcPr>
            <w:tcW w:w="1872" w:type="dxa"/>
            <w:tcMar>
              <w:top w:w="100" w:type="dxa"/>
              <w:left w:w="100" w:type="dxa"/>
              <w:bottom w:w="100" w:type="dxa"/>
              <w:right w:w="100" w:type="dxa"/>
            </w:tcMar>
          </w:tcPr>
          <w:p w14:paraId="4EB8E342"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c>
          <w:tcPr>
            <w:tcW w:w="1872" w:type="dxa"/>
            <w:tcMar>
              <w:top w:w="100" w:type="dxa"/>
              <w:left w:w="100" w:type="dxa"/>
              <w:bottom w:w="100" w:type="dxa"/>
              <w:right w:w="100" w:type="dxa"/>
            </w:tcMar>
          </w:tcPr>
          <w:p w14:paraId="25F33365"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r>
      <w:tr w:rsidR="00DC5EF8" w14:paraId="6BEF57CA" w14:textId="77777777">
        <w:tc>
          <w:tcPr>
            <w:tcW w:w="1872" w:type="dxa"/>
            <w:tcMar>
              <w:top w:w="100" w:type="dxa"/>
              <w:left w:w="100" w:type="dxa"/>
              <w:bottom w:w="100" w:type="dxa"/>
              <w:right w:w="100" w:type="dxa"/>
            </w:tcMar>
          </w:tcPr>
          <w:p w14:paraId="7D7C760C"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Stabilization Exercises </w:t>
            </w:r>
          </w:p>
        </w:tc>
        <w:tc>
          <w:tcPr>
            <w:tcW w:w="1872" w:type="dxa"/>
            <w:tcMar>
              <w:top w:w="100" w:type="dxa"/>
              <w:left w:w="100" w:type="dxa"/>
              <w:bottom w:w="100" w:type="dxa"/>
              <w:right w:w="100" w:type="dxa"/>
            </w:tcMar>
          </w:tcPr>
          <w:p w14:paraId="2AC997FB"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reps x 5 times</w:t>
            </w:r>
          </w:p>
          <w:p w14:paraId="12D84823" w14:textId="77777777"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0E5412ED"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reps x 5 times</w:t>
            </w:r>
          </w:p>
          <w:p w14:paraId="4A66C804" w14:textId="77777777"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64142AF3"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reps x 5 times</w:t>
            </w:r>
          </w:p>
          <w:p w14:paraId="74C0A2E3" w14:textId="77777777"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1D35CCE9"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reps x 5 times</w:t>
            </w:r>
          </w:p>
          <w:p w14:paraId="3402D698" w14:textId="77777777" w:rsidR="00DC5EF8" w:rsidRDefault="00DC5EF8">
            <w:pPr>
              <w:spacing w:line="360" w:lineRule="auto"/>
              <w:rPr>
                <w:rFonts w:ascii="Times New Roman" w:eastAsia="Times New Roman" w:hAnsi="Times New Roman" w:cs="Times New Roman"/>
                <w:sz w:val="24"/>
                <w:szCs w:val="24"/>
              </w:rPr>
            </w:pPr>
          </w:p>
        </w:tc>
      </w:tr>
    </w:tbl>
    <w:p w14:paraId="5807C0AA" w14:textId="77777777" w:rsidR="00DC5EF8" w:rsidRDefault="00DC5EF8">
      <w:pPr>
        <w:spacing w:line="360" w:lineRule="auto"/>
        <w:rPr>
          <w:rFonts w:ascii="Times New Roman" w:eastAsia="Times New Roman" w:hAnsi="Times New Roman" w:cs="Times New Roman"/>
          <w:sz w:val="24"/>
          <w:szCs w:val="24"/>
        </w:rPr>
      </w:pPr>
    </w:p>
    <w:p w14:paraId="3C772355"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Physiotherapy interventions administered over four weeks, including type, frequency, intensity, and duration and showing exercise progression according to patient’s tolerability. </w:t>
      </w:r>
    </w:p>
    <w:p w14:paraId="41934B18" w14:textId="77777777" w:rsidR="00DC5EF8" w:rsidRDefault="00DC5EF8">
      <w:pPr>
        <w:spacing w:line="360" w:lineRule="auto"/>
        <w:rPr>
          <w:rFonts w:ascii="Times New Roman" w:eastAsia="Times New Roman" w:hAnsi="Times New Roman" w:cs="Times New Roman"/>
          <w:sz w:val="24"/>
          <w:szCs w:val="24"/>
        </w:rPr>
      </w:pPr>
    </w:p>
    <w:p w14:paraId="4AB4C20B" w14:textId="77777777" w:rsidR="00DC5EF8" w:rsidRDefault="00DC5EF8">
      <w:pPr>
        <w:spacing w:line="360" w:lineRule="auto"/>
        <w:rPr>
          <w:rFonts w:ascii="Times New Roman" w:eastAsia="Times New Roman" w:hAnsi="Times New Roman" w:cs="Times New Roman"/>
          <w:sz w:val="24"/>
          <w:szCs w:val="24"/>
        </w:rPr>
      </w:pPr>
    </w:p>
    <w:p w14:paraId="1384F02C" w14:textId="77777777" w:rsidR="00DC5EF8" w:rsidRDefault="00DC5EF8">
      <w:pPr>
        <w:spacing w:line="360" w:lineRule="auto"/>
        <w:rPr>
          <w:rFonts w:ascii="Times New Roman" w:eastAsia="Times New Roman" w:hAnsi="Times New Roman" w:cs="Times New Roman"/>
          <w:sz w:val="24"/>
          <w:szCs w:val="24"/>
        </w:rPr>
      </w:pPr>
    </w:p>
    <w:p w14:paraId="6DFE8918"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Goniometric measurements before intervention revealed restricted and painful cervical movements, particularly during lateral flexion and rotation. Following physiotherapy, full and pain-free range of motion (ROM) was achieved across all movements from a neutral position as shown below:</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8"/>
        <w:gridCol w:w="2448"/>
        <w:gridCol w:w="2160"/>
        <w:gridCol w:w="2304"/>
      </w:tblGrid>
      <w:tr w:rsidR="00DC5EF8" w14:paraId="6D867A4B" w14:textId="77777777">
        <w:tc>
          <w:tcPr>
            <w:tcW w:w="2448" w:type="dxa"/>
            <w:tcMar>
              <w:top w:w="100" w:type="dxa"/>
              <w:left w:w="100" w:type="dxa"/>
              <w:bottom w:w="100" w:type="dxa"/>
              <w:right w:w="100" w:type="dxa"/>
            </w:tcMar>
          </w:tcPr>
          <w:p w14:paraId="58DE5800"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Movements </w:t>
            </w:r>
          </w:p>
        </w:tc>
        <w:tc>
          <w:tcPr>
            <w:tcW w:w="2448" w:type="dxa"/>
            <w:tcMar>
              <w:top w:w="100" w:type="dxa"/>
              <w:left w:w="100" w:type="dxa"/>
              <w:bottom w:w="100" w:type="dxa"/>
              <w:right w:w="100" w:type="dxa"/>
            </w:tcMar>
          </w:tcPr>
          <w:p w14:paraId="64E2E29F"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Normal range</w:t>
            </w:r>
          </w:p>
        </w:tc>
        <w:tc>
          <w:tcPr>
            <w:tcW w:w="2160" w:type="dxa"/>
            <w:tcMar>
              <w:top w:w="100" w:type="dxa"/>
              <w:left w:w="100" w:type="dxa"/>
              <w:bottom w:w="100" w:type="dxa"/>
              <w:right w:w="100" w:type="dxa"/>
            </w:tcMar>
          </w:tcPr>
          <w:p w14:paraId="6F1CD9CE"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Pre-intervention (°)</w:t>
            </w:r>
          </w:p>
        </w:tc>
        <w:tc>
          <w:tcPr>
            <w:tcW w:w="2304" w:type="dxa"/>
            <w:tcMar>
              <w:top w:w="100" w:type="dxa"/>
              <w:left w:w="100" w:type="dxa"/>
              <w:bottom w:w="100" w:type="dxa"/>
              <w:right w:w="100" w:type="dxa"/>
            </w:tcMar>
          </w:tcPr>
          <w:p w14:paraId="40DCB131"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Post-intervention (°)</w:t>
            </w:r>
          </w:p>
        </w:tc>
      </w:tr>
      <w:tr w:rsidR="00DC5EF8" w14:paraId="582C7A42" w14:textId="77777777">
        <w:tc>
          <w:tcPr>
            <w:tcW w:w="2448" w:type="dxa"/>
            <w:tcMar>
              <w:top w:w="100" w:type="dxa"/>
              <w:left w:w="100" w:type="dxa"/>
              <w:bottom w:w="100" w:type="dxa"/>
              <w:right w:w="100" w:type="dxa"/>
            </w:tcMar>
          </w:tcPr>
          <w:p w14:paraId="5B0E72C0"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Flexion</w:t>
            </w:r>
          </w:p>
        </w:tc>
        <w:tc>
          <w:tcPr>
            <w:tcW w:w="2448" w:type="dxa"/>
            <w:tcMar>
              <w:top w:w="100" w:type="dxa"/>
              <w:left w:w="100" w:type="dxa"/>
              <w:bottom w:w="100" w:type="dxa"/>
              <w:right w:w="100" w:type="dxa"/>
            </w:tcMar>
          </w:tcPr>
          <w:p w14:paraId="545511FB"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160" w:type="dxa"/>
            <w:tcMar>
              <w:top w:w="100" w:type="dxa"/>
              <w:left w:w="100" w:type="dxa"/>
              <w:bottom w:w="100" w:type="dxa"/>
              <w:right w:w="100" w:type="dxa"/>
            </w:tcMar>
          </w:tcPr>
          <w:p w14:paraId="5E9FA90B"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0- 41</w:t>
            </w:r>
          </w:p>
        </w:tc>
        <w:tc>
          <w:tcPr>
            <w:tcW w:w="2304" w:type="dxa"/>
            <w:tcMar>
              <w:top w:w="100" w:type="dxa"/>
              <w:left w:w="100" w:type="dxa"/>
              <w:bottom w:w="100" w:type="dxa"/>
              <w:right w:w="100" w:type="dxa"/>
            </w:tcMar>
          </w:tcPr>
          <w:p w14:paraId="2E24E330"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r>
      <w:tr w:rsidR="00DC5EF8" w14:paraId="7EC39D9D" w14:textId="77777777">
        <w:tc>
          <w:tcPr>
            <w:tcW w:w="2448" w:type="dxa"/>
            <w:tcMar>
              <w:top w:w="100" w:type="dxa"/>
              <w:left w:w="100" w:type="dxa"/>
              <w:bottom w:w="100" w:type="dxa"/>
              <w:right w:w="100" w:type="dxa"/>
            </w:tcMar>
          </w:tcPr>
          <w:p w14:paraId="3D5B1D4E"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Extension</w:t>
            </w:r>
          </w:p>
        </w:tc>
        <w:tc>
          <w:tcPr>
            <w:tcW w:w="2448" w:type="dxa"/>
            <w:tcMar>
              <w:top w:w="100" w:type="dxa"/>
              <w:left w:w="100" w:type="dxa"/>
              <w:bottom w:w="100" w:type="dxa"/>
              <w:right w:w="100" w:type="dxa"/>
            </w:tcMar>
          </w:tcPr>
          <w:p w14:paraId="6B7FFF51"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160" w:type="dxa"/>
            <w:tcMar>
              <w:top w:w="100" w:type="dxa"/>
              <w:left w:w="100" w:type="dxa"/>
              <w:bottom w:w="100" w:type="dxa"/>
              <w:right w:w="100" w:type="dxa"/>
            </w:tcMar>
          </w:tcPr>
          <w:p w14:paraId="2872B94B"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2304" w:type="dxa"/>
            <w:tcMar>
              <w:top w:w="100" w:type="dxa"/>
              <w:left w:w="100" w:type="dxa"/>
              <w:bottom w:w="100" w:type="dxa"/>
              <w:right w:w="100" w:type="dxa"/>
            </w:tcMar>
          </w:tcPr>
          <w:p w14:paraId="543B3741"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0- 45</w:t>
            </w:r>
          </w:p>
        </w:tc>
      </w:tr>
      <w:tr w:rsidR="00DC5EF8" w14:paraId="7DA6BB65" w14:textId="77777777">
        <w:tc>
          <w:tcPr>
            <w:tcW w:w="2448" w:type="dxa"/>
            <w:tcMar>
              <w:top w:w="100" w:type="dxa"/>
              <w:left w:w="100" w:type="dxa"/>
              <w:bottom w:w="100" w:type="dxa"/>
              <w:right w:w="100" w:type="dxa"/>
            </w:tcMar>
          </w:tcPr>
          <w:p w14:paraId="31828A8B"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Lateral Flexion</w:t>
            </w:r>
          </w:p>
        </w:tc>
        <w:tc>
          <w:tcPr>
            <w:tcW w:w="2448" w:type="dxa"/>
            <w:tcMar>
              <w:top w:w="100" w:type="dxa"/>
              <w:left w:w="100" w:type="dxa"/>
              <w:bottom w:w="100" w:type="dxa"/>
              <w:right w:w="100" w:type="dxa"/>
            </w:tcMar>
          </w:tcPr>
          <w:p w14:paraId="7809CFBC"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160" w:type="dxa"/>
            <w:tcMar>
              <w:top w:w="100" w:type="dxa"/>
              <w:left w:w="100" w:type="dxa"/>
              <w:bottom w:w="100" w:type="dxa"/>
              <w:right w:w="100" w:type="dxa"/>
            </w:tcMar>
          </w:tcPr>
          <w:p w14:paraId="2B7345F3"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2304" w:type="dxa"/>
            <w:tcMar>
              <w:top w:w="100" w:type="dxa"/>
              <w:left w:w="100" w:type="dxa"/>
              <w:bottom w:w="100" w:type="dxa"/>
              <w:right w:w="100" w:type="dxa"/>
            </w:tcMar>
          </w:tcPr>
          <w:p w14:paraId="004F4F6D"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0- 42</w:t>
            </w:r>
          </w:p>
        </w:tc>
      </w:tr>
      <w:tr w:rsidR="00DC5EF8" w14:paraId="3D67EFC9" w14:textId="77777777">
        <w:tc>
          <w:tcPr>
            <w:tcW w:w="2448" w:type="dxa"/>
            <w:tcMar>
              <w:top w:w="100" w:type="dxa"/>
              <w:left w:w="100" w:type="dxa"/>
              <w:bottom w:w="100" w:type="dxa"/>
              <w:right w:w="100" w:type="dxa"/>
            </w:tcMar>
          </w:tcPr>
          <w:p w14:paraId="007017BE"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Left Lateral Flexion</w:t>
            </w:r>
          </w:p>
        </w:tc>
        <w:tc>
          <w:tcPr>
            <w:tcW w:w="2448" w:type="dxa"/>
            <w:tcMar>
              <w:top w:w="100" w:type="dxa"/>
              <w:left w:w="100" w:type="dxa"/>
              <w:bottom w:w="100" w:type="dxa"/>
              <w:right w:w="100" w:type="dxa"/>
            </w:tcMar>
          </w:tcPr>
          <w:p w14:paraId="674B943C"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160" w:type="dxa"/>
            <w:tcMar>
              <w:top w:w="100" w:type="dxa"/>
              <w:left w:w="100" w:type="dxa"/>
              <w:bottom w:w="100" w:type="dxa"/>
              <w:right w:w="100" w:type="dxa"/>
            </w:tcMar>
          </w:tcPr>
          <w:p w14:paraId="5982B530"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2304" w:type="dxa"/>
            <w:tcMar>
              <w:top w:w="100" w:type="dxa"/>
              <w:left w:w="100" w:type="dxa"/>
              <w:bottom w:w="100" w:type="dxa"/>
              <w:right w:w="100" w:type="dxa"/>
            </w:tcMar>
          </w:tcPr>
          <w:p w14:paraId="066DCD41"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r>
      <w:tr w:rsidR="00DC5EF8" w14:paraId="77766D2F" w14:textId="77777777">
        <w:tc>
          <w:tcPr>
            <w:tcW w:w="2448" w:type="dxa"/>
            <w:tcMar>
              <w:top w:w="100" w:type="dxa"/>
              <w:left w:w="100" w:type="dxa"/>
              <w:bottom w:w="100" w:type="dxa"/>
              <w:right w:w="100" w:type="dxa"/>
            </w:tcMar>
          </w:tcPr>
          <w:p w14:paraId="5766BC33"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Rotation</w:t>
            </w:r>
          </w:p>
        </w:tc>
        <w:tc>
          <w:tcPr>
            <w:tcW w:w="2448" w:type="dxa"/>
            <w:tcMar>
              <w:top w:w="100" w:type="dxa"/>
              <w:left w:w="100" w:type="dxa"/>
              <w:bottom w:w="100" w:type="dxa"/>
              <w:right w:w="100" w:type="dxa"/>
            </w:tcMar>
          </w:tcPr>
          <w:p w14:paraId="1B4EC3A0"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2160" w:type="dxa"/>
            <w:tcMar>
              <w:top w:w="100" w:type="dxa"/>
              <w:left w:w="100" w:type="dxa"/>
              <w:bottom w:w="100" w:type="dxa"/>
              <w:right w:w="100" w:type="dxa"/>
            </w:tcMar>
          </w:tcPr>
          <w:p w14:paraId="37B39576"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c>
          <w:tcPr>
            <w:tcW w:w="2304" w:type="dxa"/>
            <w:tcMar>
              <w:top w:w="100" w:type="dxa"/>
              <w:left w:w="100" w:type="dxa"/>
              <w:bottom w:w="100" w:type="dxa"/>
              <w:right w:w="100" w:type="dxa"/>
            </w:tcMar>
          </w:tcPr>
          <w:p w14:paraId="7F799C84"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r>
      <w:tr w:rsidR="00DC5EF8" w14:paraId="51F04E7E" w14:textId="77777777">
        <w:tc>
          <w:tcPr>
            <w:tcW w:w="2448" w:type="dxa"/>
            <w:tcMar>
              <w:top w:w="100" w:type="dxa"/>
              <w:left w:w="100" w:type="dxa"/>
              <w:bottom w:w="100" w:type="dxa"/>
              <w:right w:w="100" w:type="dxa"/>
            </w:tcMar>
          </w:tcPr>
          <w:p w14:paraId="1547A062"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Left Rotation</w:t>
            </w:r>
          </w:p>
        </w:tc>
        <w:tc>
          <w:tcPr>
            <w:tcW w:w="2448" w:type="dxa"/>
            <w:tcMar>
              <w:top w:w="100" w:type="dxa"/>
              <w:left w:w="100" w:type="dxa"/>
              <w:bottom w:w="100" w:type="dxa"/>
              <w:right w:w="100" w:type="dxa"/>
            </w:tcMar>
          </w:tcPr>
          <w:p w14:paraId="77E09043"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2160" w:type="dxa"/>
            <w:tcMar>
              <w:top w:w="100" w:type="dxa"/>
              <w:left w:w="100" w:type="dxa"/>
              <w:bottom w:w="100" w:type="dxa"/>
              <w:right w:w="100" w:type="dxa"/>
            </w:tcMar>
          </w:tcPr>
          <w:p w14:paraId="7D0B512C"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2304" w:type="dxa"/>
            <w:tcMar>
              <w:top w:w="100" w:type="dxa"/>
              <w:left w:w="100" w:type="dxa"/>
              <w:bottom w:w="100" w:type="dxa"/>
              <w:right w:w="100" w:type="dxa"/>
            </w:tcMar>
          </w:tcPr>
          <w:p w14:paraId="3636087C"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r>
    </w:tbl>
    <w:p w14:paraId="0B0022A0" w14:textId="27459CB6"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Cervical range of motion before and after physiotherapy intervention, measured with goniometry on Active ROM. </w:t>
      </w:r>
    </w:p>
    <w:p w14:paraId="3499C3CA" w14:textId="09F8F5C7" w:rsidR="007E458B" w:rsidRDefault="007E458B">
      <w:pPr>
        <w:spacing w:line="360" w:lineRule="auto"/>
        <w:rPr>
          <w:rFonts w:ascii="Times New Roman" w:eastAsia="Times New Roman" w:hAnsi="Times New Roman" w:cs="Times New Roman"/>
          <w:sz w:val="24"/>
          <w:szCs w:val="24"/>
        </w:rPr>
      </w:pPr>
    </w:p>
    <w:p w14:paraId="2EF97B28" w14:textId="06165288" w:rsidR="007E458B" w:rsidRDefault="007E458B">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168D25F" wp14:editId="42F2B495">
            <wp:extent cx="79248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1F3D085A" w14:textId="77777777" w:rsidR="00DC5EF8" w:rsidRDefault="00DC5EF8">
      <w:pPr>
        <w:spacing w:line="360" w:lineRule="auto"/>
        <w:rPr>
          <w:rFonts w:ascii="Times New Roman" w:eastAsia="Times New Roman" w:hAnsi="Times New Roman" w:cs="Times New Roman"/>
          <w:sz w:val="24"/>
          <w:szCs w:val="24"/>
        </w:rPr>
      </w:pPr>
    </w:p>
    <w:p w14:paraId="03762F54"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After four weeks of structured physiotherapy, he regained full cervical range of motion, could comfortably rotate his neck to both sides, and resumed reading and household activities without discomfort.</w:t>
      </w:r>
    </w:p>
    <w:p w14:paraId="680259B1" w14:textId="77777777" w:rsidR="00DC5EF8" w:rsidRDefault="00DC5EF8">
      <w:pPr>
        <w:spacing w:line="360" w:lineRule="auto"/>
        <w:rPr>
          <w:rFonts w:ascii="Times New Roman" w:eastAsia="Times New Roman" w:hAnsi="Times New Roman" w:cs="Times New Roman"/>
          <w:sz w:val="24"/>
          <w:szCs w:val="24"/>
        </w:rPr>
      </w:pPr>
    </w:p>
    <w:p w14:paraId="3D37D3A3"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Postural education and stabilization exercises played a pivotal role in his recovery. The patient was taught ergonomic corrections, including maintaining a neutral spine while sitting, avoiding prolonged neck flexion during reading, and using a low, supportive pillow during sleep. Ice therapy and soft tissue mobilization provided immediate relief during the early sessions, while progressive mobilization and strengthening exercises sustained long-term functional gains.</w:t>
      </w:r>
    </w:p>
    <w:p w14:paraId="21BEE31E" w14:textId="77777777" w:rsidR="00DC5EF8" w:rsidRDefault="00DC5EF8">
      <w:pPr>
        <w:spacing w:line="360" w:lineRule="auto"/>
        <w:rPr>
          <w:rFonts w:ascii="Times New Roman" w:eastAsia="Times New Roman" w:hAnsi="Times New Roman" w:cs="Times New Roman"/>
          <w:sz w:val="24"/>
          <w:szCs w:val="24"/>
        </w:rPr>
      </w:pPr>
    </w:p>
    <w:p w14:paraId="5A292843" w14:textId="39F899AB" w:rsidR="0093571C" w:rsidRDefault="00B65E97" w:rsidP="0093571C">
      <w:pPr>
        <w:pStyle w:val="NormalWeb"/>
        <w:spacing w:line="360" w:lineRule="auto"/>
      </w:pPr>
      <w:r>
        <w:t>By the end of rehabilitation, he reported improved quality of sleep, absence of burning pain, and complete resolution of movement limitation, enabling him to return fully to his daily routine without discomfort. The patient was followed up at 1 month and 3 months post-physiotherapy. At both follow-ups, neck pain remained significantly reduced, cervical range of motion was maintained, and erectile function remained stable as assessed by IIEF-5 scores. No recurrence of symptoms or adverse events was observed during this period.</w:t>
      </w:r>
      <w:r w:rsidR="0093571C">
        <w:t xml:space="preserve"> It is important to note that t</w:t>
      </w:r>
      <w:r w:rsidR="0093571C">
        <w:t>he patient did not use phosphodiesterase-5 inhibitors (e.g., sildenafil) or any other pharmacological treatment for erectile dysfunction during the rehabilitation period.</w:t>
      </w:r>
    </w:p>
    <w:p w14:paraId="331BB3A4" w14:textId="77FA8175" w:rsidR="00DC5EF8" w:rsidRDefault="00DC5EF8">
      <w:pPr>
        <w:spacing w:line="360" w:lineRule="auto"/>
        <w:rPr>
          <w:rFonts w:ascii="Times New Roman" w:eastAsia="Times New Roman" w:hAnsi="Times New Roman" w:cs="Times New Roman"/>
          <w:sz w:val="24"/>
          <w:szCs w:val="24"/>
        </w:rPr>
      </w:pPr>
    </w:p>
    <w:p w14:paraId="48C767D4" w14:textId="77777777" w:rsidR="00DC5EF8" w:rsidRDefault="00DC5EF8">
      <w:pPr>
        <w:spacing w:line="360" w:lineRule="auto"/>
        <w:rPr>
          <w:rFonts w:ascii="Times New Roman" w:eastAsia="Times New Roman" w:hAnsi="Times New Roman" w:cs="Times New Roman"/>
          <w:sz w:val="24"/>
          <w:szCs w:val="24"/>
        </w:rPr>
      </w:pPr>
    </w:p>
    <w:p w14:paraId="68B17088" w14:textId="77777777" w:rsidR="00CE006B" w:rsidRDefault="00CE006B">
      <w:pPr>
        <w:spacing w:line="360" w:lineRule="auto"/>
        <w:rPr>
          <w:rFonts w:ascii="Times New Roman" w:eastAsia="Times New Roman" w:hAnsi="Times New Roman" w:cs="Times New Roman"/>
          <w:b/>
          <w:bCs/>
          <w:sz w:val="24"/>
          <w:szCs w:val="24"/>
        </w:rPr>
      </w:pPr>
    </w:p>
    <w:p w14:paraId="2D8BC0C5" w14:textId="77777777" w:rsidR="00CE006B" w:rsidRDefault="00CE006B">
      <w:pPr>
        <w:spacing w:line="360" w:lineRule="auto"/>
        <w:rPr>
          <w:rFonts w:ascii="Times New Roman" w:eastAsia="Times New Roman" w:hAnsi="Times New Roman" w:cs="Times New Roman"/>
          <w:b/>
          <w:bCs/>
          <w:sz w:val="24"/>
          <w:szCs w:val="24"/>
        </w:rPr>
      </w:pPr>
    </w:p>
    <w:p w14:paraId="24E71446" w14:textId="7A3710C8"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DISCUSSION</w:t>
      </w:r>
      <w:r>
        <w:rPr>
          <w:rFonts w:ascii="Times New Roman" w:eastAsia="Times New Roman" w:hAnsi="Times New Roman" w:cs="Times New Roman"/>
          <w:sz w:val="24"/>
          <w:szCs w:val="24"/>
        </w:rPr>
        <w:t xml:space="preserve"> </w:t>
      </w:r>
    </w:p>
    <w:p w14:paraId="50017641"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describes the non-surgical management of cervical spondylosis–related neck pain in a 67-year-old male, highlighting the potential role of physiotherapy in achieving pain relief, functional recovery, and resolution of drug-induced erectile dysfunction. Cervical spondylosis is a degenerative disorder of the cervical spine involving progressive disc desiccation, osteophyte formation, and facet joint arthropathy that lead to chronic neck pain, stiffness, and restricted motion [11]. It is commonly associated with age-related wear and tear and is prevalent among individuals above 50 years [11].</w:t>
      </w:r>
    </w:p>
    <w:p w14:paraId="632277A0" w14:textId="77777777" w:rsidR="00DC5EF8" w:rsidRDefault="00DC5EF8">
      <w:pPr>
        <w:spacing w:line="360" w:lineRule="auto"/>
        <w:rPr>
          <w:rFonts w:ascii="Times New Roman" w:eastAsia="Times New Roman" w:hAnsi="Times New Roman" w:cs="Times New Roman"/>
          <w:sz w:val="24"/>
          <w:szCs w:val="24"/>
        </w:rPr>
      </w:pPr>
    </w:p>
    <w:p w14:paraId="3C541110" w14:textId="1F156570"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patient’s presenting complaint of burning sensation suggested possible neuropathic involvement, which led to initial prescription of Gabapentin. However, physiotherapy assessment, including cervical compression/distraction and Spurling’s tests, revealed no radicular symptoms, and pain did not radiate to the shoulders or upper limbs, helping differentiate cervical spondylosis from cervical radiculopathy. Radiographic findings confirmed cervical spondylosis with osteophyte formation and straightening of the cervical spine.</w:t>
      </w:r>
      <w:r w:rsidR="00DC7C98">
        <w:rPr>
          <w:rFonts w:ascii="Times New Roman" w:eastAsia="Times New Roman" w:hAnsi="Times New Roman" w:cs="Times New Roman"/>
          <w:sz w:val="24"/>
          <w:szCs w:val="24"/>
        </w:rPr>
        <w:t xml:space="preserve"> </w:t>
      </w:r>
    </w:p>
    <w:p w14:paraId="001F67C9" w14:textId="77777777" w:rsidR="00DC5EF8" w:rsidRDefault="00DC5EF8">
      <w:pPr>
        <w:spacing w:line="360" w:lineRule="auto"/>
        <w:rPr>
          <w:rFonts w:ascii="Times New Roman" w:eastAsia="Times New Roman" w:hAnsi="Times New Roman" w:cs="Times New Roman"/>
          <w:sz w:val="24"/>
          <w:szCs w:val="24"/>
        </w:rPr>
      </w:pPr>
    </w:p>
    <w:p w14:paraId="4FDD3CBF" w14:textId="6D9D2E3B" w:rsidR="00DC5EF8" w:rsidRDefault="00B65E97" w:rsidP="00CE006B">
      <w:pPr>
        <w:pStyle w:val="NormalWeb"/>
        <w:spacing w:line="360" w:lineRule="auto"/>
      </w:pPr>
      <w:r>
        <w:t xml:space="preserve">Initial pharmacologic management with Gabapentin (a gamma-aminobutyric acid analogue that modulates neuropathic pain), Baclofen (a GABA_B receptor agonist acting as a muscle relaxant), and NSAIDs provided partial relief but resulted in erectile dysfunction. This complication aligns with reports that centrally acting agents may interfere with dopaminergic and nitric oxide pathways essential for erectile function [12]. </w:t>
      </w:r>
      <w:r w:rsidR="00CE006B">
        <w:t xml:space="preserve">Erectile dysfunction is a recognized adverse effect of gabapentin, with clinical reports documenting its onset shortly after therapy </w:t>
      </w:r>
      <w:proofErr w:type="gramStart"/>
      <w:r w:rsidR="00CE006B">
        <w:t xml:space="preserve">initiation </w:t>
      </w:r>
      <w:r w:rsidR="00CE006B">
        <w:t xml:space="preserve"> [</w:t>
      </w:r>
      <w:proofErr w:type="gramEnd"/>
      <w:r w:rsidR="00CE006B">
        <w:t xml:space="preserve">13]. </w:t>
      </w:r>
      <w:r>
        <w:t>Following discontinuation of these medications, erectile function improved, suggesting a reversible drug-induced effect. It is important to acknowledge, however, that the improvement may be attributable to either medication cessation, physiotherapy, or a combination of both.</w:t>
      </w:r>
    </w:p>
    <w:p w14:paraId="7570441A" w14:textId="77777777" w:rsidR="00DC5EF8" w:rsidRDefault="00DC5EF8">
      <w:pPr>
        <w:spacing w:line="360" w:lineRule="auto"/>
        <w:rPr>
          <w:rFonts w:ascii="Times New Roman" w:eastAsia="Times New Roman" w:hAnsi="Times New Roman" w:cs="Times New Roman"/>
          <w:sz w:val="24"/>
          <w:szCs w:val="24"/>
        </w:rPr>
      </w:pPr>
    </w:p>
    <w:p w14:paraId="332E37A9" w14:textId="77777777" w:rsidR="0093571C" w:rsidRDefault="0093571C" w:rsidP="0093571C">
      <w:pPr>
        <w:pStyle w:val="NormalWeb"/>
      </w:pPr>
      <w:r>
        <w:t>Several mechanisms have been proposed in the literature that may be relevant to the observed outcomes.</w:t>
      </w:r>
    </w:p>
    <w:p w14:paraId="6EF18411" w14:textId="151901AA"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Reduction in pain and central </w:t>
      </w:r>
      <w:proofErr w:type="spellStart"/>
      <w:r>
        <w:rPr>
          <w:rFonts w:ascii="Times New Roman" w:eastAsia="Times New Roman" w:hAnsi="Times New Roman" w:cs="Times New Roman"/>
          <w:sz w:val="24"/>
          <w:szCs w:val="24"/>
        </w:rPr>
        <w:t>sensitisation</w:t>
      </w:r>
      <w:proofErr w:type="spellEnd"/>
      <w:r>
        <w:rPr>
          <w:rFonts w:ascii="Times New Roman" w:eastAsia="Times New Roman" w:hAnsi="Times New Roman" w:cs="Times New Roman"/>
          <w:sz w:val="24"/>
          <w:szCs w:val="24"/>
        </w:rPr>
        <w:t xml:space="preserve"> during rehabilitation </w:t>
      </w:r>
      <w:r w:rsidR="0093571C">
        <w:rPr>
          <w:rFonts w:ascii="Times New Roman" w:eastAsia="Times New Roman" w:hAnsi="Times New Roman" w:cs="Times New Roman"/>
          <w:sz w:val="24"/>
          <w:szCs w:val="24"/>
        </w:rPr>
        <w:t>may</w:t>
      </w:r>
      <w:r>
        <w:rPr>
          <w:rFonts w:ascii="Times New Roman" w:eastAsia="Times New Roman" w:hAnsi="Times New Roman" w:cs="Times New Roman"/>
          <w:sz w:val="24"/>
          <w:szCs w:val="24"/>
        </w:rPr>
        <w:t xml:space="preserve"> have restored autonomic balance and improved central modulation of sexual function, consistent with evidence that exercise induces sympathetic neural adaptations and enhances autonomic regulation [14]. Increased physical activity and enhanced cardiovascular conditioning may have promoted endothelial and neurovascular function, consistent with studies linking exercise to improved erectile outcomes [15,16]. Targeted cervical rehabilitation may also have reduced neuromusculoskeletal strain and promoted overall well-being.</w:t>
      </w:r>
    </w:p>
    <w:p w14:paraId="42646C4C" w14:textId="77777777" w:rsidR="00DC5EF8" w:rsidRDefault="00DC5EF8">
      <w:pPr>
        <w:spacing w:line="360" w:lineRule="auto"/>
        <w:rPr>
          <w:rFonts w:ascii="Times New Roman" w:eastAsia="Times New Roman" w:hAnsi="Times New Roman" w:cs="Times New Roman"/>
          <w:sz w:val="24"/>
          <w:szCs w:val="24"/>
        </w:rPr>
      </w:pPr>
    </w:p>
    <w:p w14:paraId="219B7DA6"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Physiotherapy was tailored to address pain, stiffness, and postural dysfunction while promoting functional restoration. Cryotherapy was applied to alleviate inflammation and burning sensation in the cervical region [17]. Manual therapy, including cervical joint mobilization, was administered to improve range of motion and reduce stiffness [18]. Neck-specific exercises strengthened deep cervical flexors and improved posture [19], while stabilization exercises enhanced neuromuscular control and cervical stability [20]. Patient education focused on ergonomic advice, posture correction, and activity modification to prevent recurrence [21].</w:t>
      </w:r>
    </w:p>
    <w:p w14:paraId="652FFB34" w14:textId="77777777" w:rsidR="00DC5EF8" w:rsidRDefault="00DC5EF8">
      <w:pPr>
        <w:spacing w:line="360" w:lineRule="auto"/>
        <w:rPr>
          <w:rFonts w:ascii="Times New Roman" w:eastAsia="Times New Roman" w:hAnsi="Times New Roman" w:cs="Times New Roman"/>
          <w:sz w:val="24"/>
          <w:szCs w:val="24"/>
        </w:rPr>
      </w:pPr>
    </w:p>
    <w:p w14:paraId="7CC4F90A"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eight sessions, the patient’s pain score decreased from 8/10 to 2/10, with marked improvement in neck mobility, posture, and daily activity tolerance. Notably, erectile function was restored following withdrawal from pharmacological agents and consistent physiotherapy, highlighting potential systemic benefits of non-pharmacologic rehabilitation. Follow-up at 1 and 3 months demonstrated sustained improvements in neck pain and erectile function, suggesting that the benefits of the physiotherapy program were maintained. While causality cannot be definitively established, the sustained effect highlights the potential value of conservative management in similar cases. Although sexual dysfunction associated with centrally acting medications is well documented, reports describing its reversal following physiotherapy for cervical spondylosis are limited.</w:t>
      </w:r>
    </w:p>
    <w:p w14:paraId="2B92FE34" w14:textId="77777777" w:rsidR="00DC5EF8" w:rsidRDefault="00DC5EF8">
      <w:pPr>
        <w:spacing w:line="360" w:lineRule="auto"/>
        <w:rPr>
          <w:rFonts w:ascii="Times New Roman" w:eastAsia="Times New Roman" w:hAnsi="Times New Roman" w:cs="Times New Roman"/>
          <w:sz w:val="24"/>
          <w:szCs w:val="24"/>
        </w:rPr>
      </w:pPr>
    </w:p>
    <w:p w14:paraId="71B253F9" w14:textId="77777777" w:rsidR="00447B70" w:rsidRDefault="00447B70">
      <w:pPr>
        <w:spacing w:line="360" w:lineRule="auto"/>
        <w:rPr>
          <w:rFonts w:ascii="Times New Roman" w:eastAsia="Times New Roman" w:hAnsi="Times New Roman" w:cs="Times New Roman"/>
          <w:b/>
          <w:bCs/>
          <w:sz w:val="24"/>
          <w:szCs w:val="24"/>
        </w:rPr>
      </w:pPr>
    </w:p>
    <w:p w14:paraId="49E88A8F" w14:textId="77777777" w:rsidR="00447B70" w:rsidRDefault="00447B70">
      <w:pPr>
        <w:spacing w:line="360" w:lineRule="auto"/>
        <w:rPr>
          <w:rFonts w:ascii="Times New Roman" w:eastAsia="Times New Roman" w:hAnsi="Times New Roman" w:cs="Times New Roman"/>
          <w:b/>
          <w:bCs/>
          <w:sz w:val="24"/>
          <w:szCs w:val="24"/>
        </w:rPr>
      </w:pPr>
    </w:p>
    <w:p w14:paraId="3AF24149" w14:textId="77777777" w:rsidR="00447B70" w:rsidRDefault="00447B70">
      <w:pPr>
        <w:spacing w:line="360" w:lineRule="auto"/>
        <w:rPr>
          <w:rFonts w:ascii="Times New Roman" w:eastAsia="Times New Roman" w:hAnsi="Times New Roman" w:cs="Times New Roman"/>
          <w:b/>
          <w:bCs/>
          <w:sz w:val="24"/>
          <w:szCs w:val="24"/>
        </w:rPr>
      </w:pPr>
    </w:p>
    <w:p w14:paraId="1A82D664" w14:textId="77777777" w:rsidR="00447B70" w:rsidRDefault="00447B70">
      <w:pPr>
        <w:spacing w:line="360" w:lineRule="auto"/>
        <w:rPr>
          <w:rFonts w:ascii="Times New Roman" w:eastAsia="Times New Roman" w:hAnsi="Times New Roman" w:cs="Times New Roman"/>
          <w:b/>
          <w:bCs/>
          <w:sz w:val="24"/>
          <w:szCs w:val="24"/>
        </w:rPr>
      </w:pPr>
    </w:p>
    <w:p w14:paraId="412ED740" w14:textId="7ABF5DEA" w:rsidR="00DC5EF8" w:rsidRDefault="00B65E97">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CONCLUSION </w:t>
      </w:r>
    </w:p>
    <w:p w14:paraId="3D047B3B" w14:textId="77777777" w:rsidR="00DC5EF8" w:rsidRDefault="00DC5EF8">
      <w:pPr>
        <w:spacing w:line="360" w:lineRule="auto"/>
        <w:rPr>
          <w:rFonts w:ascii="Times New Roman" w:eastAsia="Times New Roman" w:hAnsi="Times New Roman" w:cs="Times New Roman"/>
          <w:b/>
          <w:bCs/>
          <w:sz w:val="24"/>
          <w:szCs w:val="24"/>
        </w:rPr>
      </w:pPr>
    </w:p>
    <w:p w14:paraId="6FF85D1F"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case illustrates that evidence-based physiotherapy may contribute to pain reduction, functional restoration, and improvement in drug-induced complications in older adults with cervical spondylosis. Clinicians should be aware of potential medication-related adverse effects and consider early physiotherapy as part of a holistic management plan. Recommendations should be interpreted cautiously, given that evidence derives from a single patient. Further </w:t>
      </w:r>
      <w:r>
        <w:rPr>
          <w:rFonts w:ascii="Times New Roman" w:eastAsia="Times New Roman" w:hAnsi="Times New Roman" w:cs="Times New Roman"/>
          <w:sz w:val="24"/>
          <w:szCs w:val="24"/>
        </w:rPr>
        <w:lastRenderedPageBreak/>
        <w:t>studies are warranted to explore the relationship between rehabilitation, medication cessation, and sexual function in older adults.</w:t>
      </w:r>
    </w:p>
    <w:p w14:paraId="26197489" w14:textId="77777777" w:rsidR="00482A0D" w:rsidRDefault="00482A0D">
      <w:pPr>
        <w:spacing w:line="360" w:lineRule="auto"/>
        <w:rPr>
          <w:rFonts w:ascii="Times New Roman" w:eastAsia="Times New Roman" w:hAnsi="Times New Roman" w:cs="Times New Roman"/>
          <w:sz w:val="24"/>
          <w:szCs w:val="24"/>
        </w:rPr>
      </w:pPr>
    </w:p>
    <w:p w14:paraId="3998726D" w14:textId="77777777" w:rsidR="00482A0D" w:rsidRDefault="00482A0D" w:rsidP="00482A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LIMITATIONS</w:t>
      </w:r>
      <w:r>
        <w:rPr>
          <w:rFonts w:ascii="Times New Roman" w:eastAsia="Times New Roman" w:hAnsi="Times New Roman" w:cs="Times New Roman"/>
          <w:sz w:val="24"/>
          <w:szCs w:val="24"/>
        </w:rPr>
        <w:t xml:space="preserve"> </w:t>
      </w:r>
    </w:p>
    <w:p w14:paraId="286AA474" w14:textId="77777777" w:rsidR="00482A0D" w:rsidRDefault="00482A0D" w:rsidP="00482A0D">
      <w:pPr>
        <w:spacing w:line="360" w:lineRule="auto"/>
        <w:rPr>
          <w:rFonts w:ascii="Times New Roman" w:eastAsia="Times New Roman" w:hAnsi="Times New Roman" w:cs="Times New Roman"/>
          <w:sz w:val="24"/>
          <w:szCs w:val="24"/>
        </w:rPr>
      </w:pPr>
    </w:p>
    <w:p w14:paraId="59840816" w14:textId="46C739AD" w:rsidR="005A4360" w:rsidRDefault="00482A0D" w:rsidP="005A4360">
      <w:pPr>
        <w:pStyle w:val="NormalWeb"/>
      </w:pPr>
      <w:r>
        <w:t xml:space="preserve">This report represents a single case. Therefore, the findings are not generalizable. The relative contributions of medication cessation versus physiotherapy to the resolution of erectile dysfunction remain uncertain. </w:t>
      </w:r>
      <w:r w:rsidR="005A4360">
        <w:t>Given the known reversibility of medication-induced erectile dysfunction after withdrawal, the observed improvement may be fully attributable to gabapentin discontinuation rather than physiotherapy.</w:t>
      </w:r>
    </w:p>
    <w:p w14:paraId="1E33BC5A" w14:textId="39371EB1" w:rsidR="00482A0D" w:rsidRDefault="00482A0D" w:rsidP="00482A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objective measures of autonomic function or endothelial health were not assessed, limiting mechanistic interpretation.</w:t>
      </w:r>
    </w:p>
    <w:p w14:paraId="41CD83BD" w14:textId="77777777" w:rsidR="00B43AE1" w:rsidRDefault="00B43AE1" w:rsidP="00B43AE1">
      <w:pPr>
        <w:rPr>
          <w:rFonts w:ascii="Calibri" w:eastAsia="Calibri" w:hAnsi="Calibri" w:cs="Times New Roman"/>
          <w:kern w:val="2"/>
          <w:highlight w:val="yellow"/>
          <w:lang w:val="en-US"/>
        </w:rPr>
      </w:pPr>
    </w:p>
    <w:p w14:paraId="0443C899" w14:textId="77777777" w:rsidR="00B43AE1" w:rsidRDefault="00B43AE1" w:rsidP="00B43AE1">
      <w:pPr>
        <w:rPr>
          <w:rFonts w:ascii="Calibri" w:eastAsia="Calibri" w:hAnsi="Calibri" w:cs="Times New Roman"/>
          <w:kern w:val="2"/>
          <w:highlight w:val="yellow"/>
          <w:lang w:val="en-US"/>
        </w:rPr>
      </w:pPr>
      <w:bookmarkStart w:id="0" w:name="_Hlk218868534"/>
    </w:p>
    <w:p w14:paraId="494891C5" w14:textId="77777777" w:rsidR="005A4360" w:rsidRDefault="005A4360" w:rsidP="00B43AE1">
      <w:pPr>
        <w:pStyle w:val="NoSpacing"/>
        <w:rPr>
          <w:rFonts w:ascii="Arial" w:hAnsi="Arial" w:cs="Arial"/>
          <w:b/>
          <w:bCs/>
        </w:rPr>
      </w:pPr>
      <w:bookmarkStart w:id="1" w:name="_Hlk221624953"/>
    </w:p>
    <w:p w14:paraId="0E03D614" w14:textId="77777777" w:rsidR="005A4360" w:rsidRDefault="005A4360" w:rsidP="00B43AE1">
      <w:pPr>
        <w:pStyle w:val="NoSpacing"/>
        <w:rPr>
          <w:rFonts w:ascii="Arial" w:hAnsi="Arial" w:cs="Arial"/>
          <w:b/>
          <w:bCs/>
        </w:rPr>
      </w:pPr>
    </w:p>
    <w:p w14:paraId="46EAAA17" w14:textId="77777777" w:rsidR="005A4360" w:rsidRDefault="005A4360" w:rsidP="00B43AE1">
      <w:pPr>
        <w:pStyle w:val="NoSpacing"/>
        <w:rPr>
          <w:rFonts w:ascii="Arial" w:hAnsi="Arial" w:cs="Arial"/>
          <w:b/>
          <w:bCs/>
        </w:rPr>
      </w:pPr>
    </w:p>
    <w:p w14:paraId="1D57595E" w14:textId="77777777" w:rsidR="005A4360" w:rsidRDefault="005A4360" w:rsidP="00B43AE1">
      <w:pPr>
        <w:pStyle w:val="NoSpacing"/>
        <w:rPr>
          <w:rFonts w:ascii="Arial" w:hAnsi="Arial" w:cs="Arial"/>
          <w:b/>
          <w:bCs/>
        </w:rPr>
      </w:pPr>
    </w:p>
    <w:p w14:paraId="37734E61" w14:textId="338C02E2" w:rsidR="00B43AE1" w:rsidRPr="005A4360" w:rsidRDefault="00B43AE1" w:rsidP="00B43AE1">
      <w:pPr>
        <w:pStyle w:val="NoSpacing"/>
        <w:rPr>
          <w:rFonts w:ascii="Times New Roman" w:hAnsi="Times New Roman" w:cs="Times New Roman"/>
          <w:b/>
          <w:bCs/>
          <w:sz w:val="24"/>
          <w:szCs w:val="24"/>
        </w:rPr>
      </w:pPr>
      <w:r w:rsidRPr="005A4360">
        <w:rPr>
          <w:rFonts w:ascii="Times New Roman" w:hAnsi="Times New Roman" w:cs="Times New Roman"/>
          <w:b/>
          <w:bCs/>
          <w:sz w:val="24"/>
          <w:szCs w:val="24"/>
        </w:rPr>
        <w:t>Disclaimer (Artificial intelligence)</w:t>
      </w:r>
    </w:p>
    <w:p w14:paraId="5D92ACF0" w14:textId="77777777" w:rsidR="00B43AE1" w:rsidRPr="005A4360" w:rsidRDefault="00B43AE1" w:rsidP="00B43AE1">
      <w:pPr>
        <w:pStyle w:val="NoSpacing"/>
        <w:rPr>
          <w:rFonts w:ascii="Arial" w:hAnsi="Arial" w:cs="Arial"/>
          <w:sz w:val="24"/>
          <w:szCs w:val="24"/>
          <w:highlight w:val="yellow"/>
        </w:rPr>
      </w:pPr>
    </w:p>
    <w:p w14:paraId="5F015AE3" w14:textId="77777777" w:rsidR="00B43AE1" w:rsidRPr="005A4360" w:rsidRDefault="00B43AE1" w:rsidP="005A4360">
      <w:pPr>
        <w:pStyle w:val="NoSpacing"/>
        <w:spacing w:line="360" w:lineRule="auto"/>
        <w:rPr>
          <w:rFonts w:ascii="Times New Roman" w:hAnsi="Times New Roman" w:cs="Times New Roman"/>
          <w:sz w:val="24"/>
          <w:szCs w:val="24"/>
        </w:rPr>
      </w:pPr>
      <w:r w:rsidRPr="005A4360">
        <w:rPr>
          <w:rFonts w:ascii="Times New Roman" w:hAnsi="Times New Roman" w:cs="Times New Roman"/>
          <w:sz w:val="24"/>
          <w:szCs w:val="24"/>
        </w:rPr>
        <w:t>Author(s) hereby declare that NO generative AI technologies such as Large Language Models (</w:t>
      </w:r>
      <w:proofErr w:type="spellStart"/>
      <w:r w:rsidRPr="005A4360">
        <w:rPr>
          <w:rFonts w:ascii="Times New Roman" w:hAnsi="Times New Roman" w:cs="Times New Roman"/>
          <w:sz w:val="24"/>
          <w:szCs w:val="24"/>
        </w:rPr>
        <w:t>ChatGPT</w:t>
      </w:r>
      <w:proofErr w:type="spellEnd"/>
      <w:r w:rsidRPr="005A4360">
        <w:rPr>
          <w:rFonts w:ascii="Times New Roman" w:hAnsi="Times New Roman" w:cs="Times New Roman"/>
          <w:sz w:val="24"/>
          <w:szCs w:val="24"/>
        </w:rPr>
        <w:t xml:space="preserve">, COPILOT, etc.) and text-to-image generators have been used during the writing or editing of this manuscript. </w:t>
      </w:r>
    </w:p>
    <w:bookmarkEnd w:id="0"/>
    <w:p w14:paraId="52089F4A" w14:textId="77777777" w:rsidR="00B43AE1" w:rsidRDefault="00B43AE1" w:rsidP="00B43AE1">
      <w:pPr>
        <w:pStyle w:val="NoSpacing"/>
        <w:rPr>
          <w:rFonts w:ascii="Arial" w:hAnsi="Arial" w:cs="Arial"/>
          <w:highlight w:val="yellow"/>
        </w:rPr>
      </w:pPr>
    </w:p>
    <w:bookmarkEnd w:id="1"/>
    <w:p w14:paraId="2FD3B825" w14:textId="77777777" w:rsidR="00482A0D" w:rsidRDefault="00482A0D">
      <w:pPr>
        <w:spacing w:line="360" w:lineRule="auto"/>
        <w:rPr>
          <w:rFonts w:ascii="Times New Roman" w:eastAsia="Times New Roman" w:hAnsi="Times New Roman" w:cs="Times New Roman"/>
          <w:sz w:val="24"/>
          <w:szCs w:val="24"/>
        </w:rPr>
      </w:pPr>
    </w:p>
    <w:p w14:paraId="684C2A3F" w14:textId="77777777" w:rsidR="00DC5EF8" w:rsidRDefault="00DC5EF8">
      <w:pPr>
        <w:spacing w:line="360" w:lineRule="auto"/>
        <w:rPr>
          <w:rFonts w:ascii="Times New Roman" w:eastAsia="Times New Roman" w:hAnsi="Times New Roman" w:cs="Times New Roman"/>
          <w:sz w:val="24"/>
          <w:szCs w:val="24"/>
        </w:rPr>
      </w:pPr>
    </w:p>
    <w:p w14:paraId="02A849AD" w14:textId="77777777" w:rsidR="00CE006B" w:rsidRDefault="00CE006B">
      <w:pPr>
        <w:spacing w:line="360" w:lineRule="auto"/>
        <w:rPr>
          <w:rFonts w:ascii="Times New Roman" w:eastAsia="Times New Roman" w:hAnsi="Times New Roman" w:cs="Times New Roman"/>
          <w:b/>
          <w:bCs/>
          <w:sz w:val="24"/>
          <w:szCs w:val="24"/>
        </w:rPr>
      </w:pPr>
    </w:p>
    <w:p w14:paraId="7E0A5CC8" w14:textId="77777777" w:rsidR="00CE006B" w:rsidRDefault="00CE006B">
      <w:pPr>
        <w:spacing w:line="360" w:lineRule="auto"/>
        <w:rPr>
          <w:rFonts w:ascii="Times New Roman" w:eastAsia="Times New Roman" w:hAnsi="Times New Roman" w:cs="Times New Roman"/>
          <w:b/>
          <w:bCs/>
          <w:sz w:val="24"/>
          <w:szCs w:val="24"/>
        </w:rPr>
      </w:pPr>
    </w:p>
    <w:p w14:paraId="19D8CAF9" w14:textId="77777777" w:rsidR="00CE006B" w:rsidRDefault="00CE006B">
      <w:pPr>
        <w:spacing w:line="360" w:lineRule="auto"/>
        <w:rPr>
          <w:rFonts w:ascii="Times New Roman" w:eastAsia="Times New Roman" w:hAnsi="Times New Roman" w:cs="Times New Roman"/>
          <w:b/>
          <w:bCs/>
          <w:sz w:val="24"/>
          <w:szCs w:val="24"/>
        </w:rPr>
      </w:pPr>
    </w:p>
    <w:p w14:paraId="764BDD52" w14:textId="77777777" w:rsidR="00CE006B" w:rsidRDefault="00CE006B">
      <w:pPr>
        <w:spacing w:line="360" w:lineRule="auto"/>
        <w:rPr>
          <w:rFonts w:ascii="Times New Roman" w:eastAsia="Times New Roman" w:hAnsi="Times New Roman" w:cs="Times New Roman"/>
          <w:b/>
          <w:bCs/>
          <w:sz w:val="24"/>
          <w:szCs w:val="24"/>
        </w:rPr>
      </w:pPr>
    </w:p>
    <w:p w14:paraId="7BD221EE" w14:textId="77777777" w:rsidR="00CE006B" w:rsidRDefault="00CE006B">
      <w:pPr>
        <w:spacing w:line="360" w:lineRule="auto"/>
        <w:rPr>
          <w:rFonts w:ascii="Times New Roman" w:eastAsia="Times New Roman" w:hAnsi="Times New Roman" w:cs="Times New Roman"/>
          <w:b/>
          <w:bCs/>
          <w:sz w:val="24"/>
          <w:szCs w:val="24"/>
        </w:rPr>
      </w:pPr>
    </w:p>
    <w:p w14:paraId="2D356445" w14:textId="77777777" w:rsidR="00CE006B" w:rsidRDefault="00CE006B">
      <w:pPr>
        <w:spacing w:line="360" w:lineRule="auto"/>
        <w:rPr>
          <w:rFonts w:ascii="Times New Roman" w:eastAsia="Times New Roman" w:hAnsi="Times New Roman" w:cs="Times New Roman"/>
          <w:b/>
          <w:bCs/>
          <w:sz w:val="24"/>
          <w:szCs w:val="24"/>
        </w:rPr>
      </w:pPr>
    </w:p>
    <w:p w14:paraId="4CFDA5AD" w14:textId="476C9FA5"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p>
    <w:p w14:paraId="39C9C22D" w14:textId="77777777" w:rsidR="00DC5EF8" w:rsidRPr="00447B70"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Pr="00447B70">
        <w:rPr>
          <w:rFonts w:ascii="Times New Roman" w:eastAsia="Times New Roman" w:hAnsi="Times New Roman" w:cs="Times New Roman"/>
          <w:sz w:val="24"/>
          <w:szCs w:val="24"/>
        </w:rPr>
        <w:t>. Wu A, March L, Hoy D. Global burden of neck pain from 1990 to 2020 and projections to 2050: A systematic analysis. Ann Rheum Dis. 2024;83(4):552–560. doi:10.1136/annrheumdis-2023-224789</w:t>
      </w:r>
    </w:p>
    <w:p w14:paraId="0C2B1A82" w14:textId="77777777" w:rsidR="00DC5EF8" w:rsidRPr="00447B70" w:rsidRDefault="00DC5EF8">
      <w:pPr>
        <w:spacing w:line="360" w:lineRule="auto"/>
        <w:rPr>
          <w:rFonts w:ascii="Times New Roman" w:eastAsia="Times New Roman" w:hAnsi="Times New Roman" w:cs="Times New Roman"/>
          <w:sz w:val="24"/>
          <w:szCs w:val="24"/>
        </w:rPr>
      </w:pPr>
    </w:p>
    <w:p w14:paraId="6CA49EC0" w14:textId="77777777" w:rsidR="00DC5EF8" w:rsidRPr="00447B70" w:rsidRDefault="00DC5EF8">
      <w:pPr>
        <w:spacing w:line="360" w:lineRule="auto"/>
        <w:rPr>
          <w:rFonts w:ascii="Times New Roman" w:eastAsia="Times New Roman" w:hAnsi="Times New Roman" w:cs="Times New Roman"/>
          <w:sz w:val="24"/>
          <w:szCs w:val="24"/>
        </w:rPr>
      </w:pPr>
    </w:p>
    <w:p w14:paraId="026B2E6E" w14:textId="77777777" w:rsidR="00DC5EF8" w:rsidRPr="00447B70" w:rsidRDefault="00B65E97">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t>2.  Misra A, Kumar S, Raina S. Neurological complications of cervical spondylosis: A clinical perspective. Neurosciences (Riyadh). 2023;28(3):211‑219. doi:10.17712/nsj.2023.3.20230045</w:t>
      </w:r>
    </w:p>
    <w:p w14:paraId="64E0DD0B" w14:textId="77777777" w:rsidR="00DC5EF8" w:rsidRPr="00447B70" w:rsidRDefault="00DC5EF8">
      <w:pPr>
        <w:spacing w:line="360" w:lineRule="auto"/>
        <w:rPr>
          <w:rFonts w:ascii="Times New Roman" w:eastAsia="Times New Roman" w:hAnsi="Times New Roman" w:cs="Times New Roman"/>
          <w:sz w:val="24"/>
          <w:szCs w:val="24"/>
        </w:rPr>
      </w:pPr>
    </w:p>
    <w:p w14:paraId="338E2510" w14:textId="47888A28" w:rsidR="00DC5EF8" w:rsidRPr="00447B70" w:rsidRDefault="00AD5915">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t xml:space="preserve">3. </w:t>
      </w:r>
      <w:r w:rsidRPr="00447B70">
        <w:rPr>
          <w:rFonts w:ascii="Times New Roman" w:hAnsi="Times New Roman" w:cs="Times New Roman"/>
          <w:color w:val="212121"/>
          <w:shd w:val="clear" w:color="auto" w:fill="FFFFFF"/>
        </w:rPr>
        <w:t>Kaufman, K. R., &amp; Struck, P. J. (2011). Gabapentin-induced sexual dysfunction. </w:t>
      </w:r>
      <w:r w:rsidRPr="00447B70">
        <w:rPr>
          <w:rFonts w:ascii="Times New Roman" w:hAnsi="Times New Roman" w:cs="Times New Roman"/>
          <w:i/>
          <w:iCs/>
          <w:color w:val="212121"/>
          <w:shd w:val="clear" w:color="auto" w:fill="FFFFFF"/>
        </w:rPr>
        <w:t xml:space="preserve">Epilepsy &amp; </w:t>
      </w:r>
      <w:proofErr w:type="gramStart"/>
      <w:r w:rsidRPr="00447B70">
        <w:rPr>
          <w:rFonts w:ascii="Times New Roman" w:hAnsi="Times New Roman" w:cs="Times New Roman"/>
          <w:i/>
          <w:iCs/>
          <w:color w:val="212121"/>
          <w:shd w:val="clear" w:color="auto" w:fill="FFFFFF"/>
        </w:rPr>
        <w:t>behavior :</w:t>
      </w:r>
      <w:proofErr w:type="gramEnd"/>
      <w:r w:rsidRPr="00447B70">
        <w:rPr>
          <w:rFonts w:ascii="Times New Roman" w:hAnsi="Times New Roman" w:cs="Times New Roman"/>
          <w:i/>
          <w:iCs/>
          <w:color w:val="212121"/>
          <w:shd w:val="clear" w:color="auto" w:fill="FFFFFF"/>
        </w:rPr>
        <w:t xml:space="preserve"> E&amp;B</w:t>
      </w:r>
      <w:r w:rsidRPr="00447B70">
        <w:rPr>
          <w:rFonts w:ascii="Times New Roman" w:hAnsi="Times New Roman" w:cs="Times New Roman"/>
          <w:color w:val="212121"/>
          <w:shd w:val="clear" w:color="auto" w:fill="FFFFFF"/>
        </w:rPr>
        <w:t>, </w:t>
      </w:r>
      <w:r w:rsidRPr="00447B70">
        <w:rPr>
          <w:rFonts w:ascii="Times New Roman" w:hAnsi="Times New Roman" w:cs="Times New Roman"/>
          <w:i/>
          <w:iCs/>
          <w:color w:val="212121"/>
          <w:shd w:val="clear" w:color="auto" w:fill="FFFFFF"/>
        </w:rPr>
        <w:t>21</w:t>
      </w:r>
      <w:r w:rsidRPr="00447B70">
        <w:rPr>
          <w:rFonts w:ascii="Times New Roman" w:hAnsi="Times New Roman" w:cs="Times New Roman"/>
          <w:color w:val="212121"/>
          <w:shd w:val="clear" w:color="auto" w:fill="FFFFFF"/>
        </w:rPr>
        <w:t>(3), 324–326. https://doi.org/10.1016/j.yebeh.2011.04.058</w:t>
      </w:r>
    </w:p>
    <w:p w14:paraId="6F30985F" w14:textId="77777777" w:rsidR="00DC5EF8" w:rsidRPr="00447B70" w:rsidRDefault="00B65E97">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t xml:space="preserve">4. </w:t>
      </w:r>
      <w:proofErr w:type="spellStart"/>
      <w:r w:rsidRPr="00447B70">
        <w:rPr>
          <w:rFonts w:ascii="Times New Roman" w:eastAsia="Times New Roman" w:hAnsi="Times New Roman" w:cs="Times New Roman"/>
          <w:sz w:val="24"/>
          <w:szCs w:val="24"/>
        </w:rPr>
        <w:t>Kilinc</w:t>
      </w:r>
      <w:proofErr w:type="spellEnd"/>
      <w:r w:rsidRPr="00447B70">
        <w:rPr>
          <w:rFonts w:ascii="Times New Roman" w:eastAsia="Times New Roman" w:hAnsi="Times New Roman" w:cs="Times New Roman"/>
          <w:sz w:val="24"/>
          <w:szCs w:val="24"/>
        </w:rPr>
        <w:t xml:space="preserve"> M, </w:t>
      </w:r>
      <w:proofErr w:type="spellStart"/>
      <w:r w:rsidRPr="00447B70">
        <w:rPr>
          <w:rFonts w:ascii="Times New Roman" w:eastAsia="Times New Roman" w:hAnsi="Times New Roman" w:cs="Times New Roman"/>
          <w:sz w:val="24"/>
          <w:szCs w:val="24"/>
        </w:rPr>
        <w:t>Ulger</w:t>
      </w:r>
      <w:proofErr w:type="spellEnd"/>
      <w:r w:rsidRPr="00447B70">
        <w:rPr>
          <w:rFonts w:ascii="Times New Roman" w:eastAsia="Times New Roman" w:hAnsi="Times New Roman" w:cs="Times New Roman"/>
          <w:sz w:val="24"/>
          <w:szCs w:val="24"/>
        </w:rPr>
        <w:t xml:space="preserve"> O. Physiotherapy interventions for degenerative cervical spine disorders: A systematic review. BMC </w:t>
      </w:r>
      <w:proofErr w:type="spellStart"/>
      <w:r w:rsidRPr="00447B70">
        <w:rPr>
          <w:rFonts w:ascii="Times New Roman" w:eastAsia="Times New Roman" w:hAnsi="Times New Roman" w:cs="Times New Roman"/>
          <w:sz w:val="24"/>
          <w:szCs w:val="24"/>
        </w:rPr>
        <w:t>Musculoskelet</w:t>
      </w:r>
      <w:proofErr w:type="spellEnd"/>
      <w:r w:rsidRPr="00447B70">
        <w:rPr>
          <w:rFonts w:ascii="Times New Roman" w:eastAsia="Times New Roman" w:hAnsi="Times New Roman" w:cs="Times New Roman"/>
          <w:sz w:val="24"/>
          <w:szCs w:val="24"/>
        </w:rPr>
        <w:t xml:space="preserve"> </w:t>
      </w:r>
      <w:proofErr w:type="spellStart"/>
      <w:r w:rsidRPr="00447B70">
        <w:rPr>
          <w:rFonts w:ascii="Times New Roman" w:eastAsia="Times New Roman" w:hAnsi="Times New Roman" w:cs="Times New Roman"/>
          <w:sz w:val="24"/>
          <w:szCs w:val="24"/>
        </w:rPr>
        <w:t>Disord</w:t>
      </w:r>
      <w:proofErr w:type="spellEnd"/>
      <w:r w:rsidRPr="00447B70">
        <w:rPr>
          <w:rFonts w:ascii="Times New Roman" w:eastAsia="Times New Roman" w:hAnsi="Times New Roman" w:cs="Times New Roman"/>
          <w:sz w:val="24"/>
          <w:szCs w:val="24"/>
        </w:rPr>
        <w:t>. 2025;26(1):79‑88. doi:10.1186/s12891‑025-06754-9</w:t>
      </w:r>
    </w:p>
    <w:p w14:paraId="3652723E" w14:textId="77777777" w:rsidR="00DC5EF8" w:rsidRPr="00447B70" w:rsidRDefault="00DC5EF8">
      <w:pPr>
        <w:spacing w:line="360" w:lineRule="auto"/>
        <w:rPr>
          <w:rFonts w:ascii="Times New Roman" w:eastAsia="Times New Roman" w:hAnsi="Times New Roman" w:cs="Times New Roman"/>
          <w:sz w:val="24"/>
          <w:szCs w:val="24"/>
        </w:rPr>
      </w:pPr>
    </w:p>
    <w:p w14:paraId="13F58693" w14:textId="77777777" w:rsidR="00DC5EF8" w:rsidRPr="00447B70" w:rsidRDefault="00B65E97">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t>5. Falla D, Farina D, Fernández‑de‑Las‑</w:t>
      </w:r>
      <w:proofErr w:type="spellStart"/>
      <w:r w:rsidRPr="00447B70">
        <w:rPr>
          <w:rFonts w:ascii="Times New Roman" w:eastAsia="Times New Roman" w:hAnsi="Times New Roman" w:cs="Times New Roman"/>
          <w:sz w:val="24"/>
          <w:szCs w:val="24"/>
        </w:rPr>
        <w:t>Peñas</w:t>
      </w:r>
      <w:proofErr w:type="spellEnd"/>
      <w:r w:rsidRPr="00447B70">
        <w:rPr>
          <w:rFonts w:ascii="Times New Roman" w:eastAsia="Times New Roman" w:hAnsi="Times New Roman" w:cs="Times New Roman"/>
          <w:sz w:val="24"/>
          <w:szCs w:val="24"/>
        </w:rPr>
        <w:t xml:space="preserve"> C. Exercise therapy for chronic neck pain: Mechanisms and efficacy. J </w:t>
      </w:r>
      <w:proofErr w:type="spellStart"/>
      <w:r w:rsidRPr="00447B70">
        <w:rPr>
          <w:rFonts w:ascii="Times New Roman" w:eastAsia="Times New Roman" w:hAnsi="Times New Roman" w:cs="Times New Roman"/>
          <w:sz w:val="24"/>
          <w:szCs w:val="24"/>
        </w:rPr>
        <w:t>Orthop</w:t>
      </w:r>
      <w:proofErr w:type="spellEnd"/>
      <w:r w:rsidRPr="00447B70">
        <w:rPr>
          <w:rFonts w:ascii="Times New Roman" w:eastAsia="Times New Roman" w:hAnsi="Times New Roman" w:cs="Times New Roman"/>
          <w:sz w:val="24"/>
          <w:szCs w:val="24"/>
        </w:rPr>
        <w:t xml:space="preserve"> Sports Phys </w:t>
      </w:r>
      <w:proofErr w:type="spellStart"/>
      <w:r w:rsidRPr="00447B70">
        <w:rPr>
          <w:rFonts w:ascii="Times New Roman" w:eastAsia="Times New Roman" w:hAnsi="Times New Roman" w:cs="Times New Roman"/>
          <w:sz w:val="24"/>
          <w:szCs w:val="24"/>
        </w:rPr>
        <w:t>Ther</w:t>
      </w:r>
      <w:proofErr w:type="spellEnd"/>
      <w:r w:rsidRPr="00447B70">
        <w:rPr>
          <w:rFonts w:ascii="Times New Roman" w:eastAsia="Times New Roman" w:hAnsi="Times New Roman" w:cs="Times New Roman"/>
          <w:sz w:val="24"/>
          <w:szCs w:val="24"/>
        </w:rPr>
        <w:t>. 2022;52(5):273‑283. doi:10.2519/jospt.2022.10654</w:t>
      </w:r>
    </w:p>
    <w:p w14:paraId="4D3864E8" w14:textId="77777777" w:rsidR="00DC5EF8" w:rsidRPr="00447B70" w:rsidRDefault="00B65E97">
      <w:pPr>
        <w:spacing w:line="360" w:lineRule="auto"/>
        <w:rPr>
          <w:rFonts w:ascii="Times New Roman" w:eastAsia="Times New Roman" w:hAnsi="Times New Roman" w:cs="Times New Roman"/>
          <w:color w:val="212121"/>
          <w:sz w:val="24"/>
          <w:szCs w:val="24"/>
        </w:rPr>
      </w:pPr>
      <w:r w:rsidRPr="00447B70">
        <w:rPr>
          <w:rFonts w:ascii="Times New Roman" w:eastAsia="Times New Roman" w:hAnsi="Times New Roman" w:cs="Times New Roman"/>
          <w:color w:val="212121"/>
          <w:sz w:val="24"/>
          <w:szCs w:val="24"/>
        </w:rPr>
        <w:t>.</w:t>
      </w:r>
    </w:p>
    <w:p w14:paraId="0783F845" w14:textId="77777777" w:rsidR="00DC5EF8" w:rsidRPr="00447B70" w:rsidRDefault="00B65E97">
      <w:pPr>
        <w:spacing w:line="360" w:lineRule="auto"/>
        <w:rPr>
          <w:rFonts w:ascii="Times New Roman" w:eastAsia="Times New Roman" w:hAnsi="Times New Roman" w:cs="Times New Roman"/>
          <w:color w:val="333333"/>
          <w:sz w:val="24"/>
          <w:szCs w:val="24"/>
          <w:highlight w:val="white"/>
        </w:rPr>
      </w:pPr>
      <w:r w:rsidRPr="00447B70">
        <w:rPr>
          <w:rFonts w:ascii="Times New Roman" w:eastAsia="Times New Roman" w:hAnsi="Times New Roman" w:cs="Times New Roman"/>
          <w:sz w:val="24"/>
          <w:szCs w:val="24"/>
        </w:rPr>
        <w:t xml:space="preserve">6. </w:t>
      </w:r>
      <w:proofErr w:type="spellStart"/>
      <w:r w:rsidRPr="00447B70">
        <w:rPr>
          <w:rFonts w:ascii="Times New Roman" w:eastAsia="Times New Roman" w:hAnsi="Times New Roman" w:cs="Times New Roman"/>
          <w:color w:val="333333"/>
          <w:sz w:val="24"/>
          <w:szCs w:val="24"/>
          <w:highlight w:val="white"/>
        </w:rPr>
        <w:t>Gbiri</w:t>
      </w:r>
      <w:proofErr w:type="spellEnd"/>
      <w:r w:rsidRPr="00447B70">
        <w:rPr>
          <w:rFonts w:ascii="Times New Roman" w:eastAsia="Times New Roman" w:hAnsi="Times New Roman" w:cs="Times New Roman"/>
          <w:color w:val="333333"/>
          <w:sz w:val="24"/>
          <w:szCs w:val="24"/>
          <w:highlight w:val="white"/>
        </w:rPr>
        <w:t xml:space="preserve">, C. A. O., &amp; </w:t>
      </w:r>
      <w:proofErr w:type="spellStart"/>
      <w:r w:rsidRPr="00447B70">
        <w:rPr>
          <w:rFonts w:ascii="Times New Roman" w:eastAsia="Times New Roman" w:hAnsi="Times New Roman" w:cs="Times New Roman"/>
          <w:color w:val="333333"/>
          <w:sz w:val="24"/>
          <w:szCs w:val="24"/>
          <w:highlight w:val="white"/>
        </w:rPr>
        <w:t>Akumabor</w:t>
      </w:r>
      <w:proofErr w:type="spellEnd"/>
      <w:r w:rsidRPr="00447B70">
        <w:rPr>
          <w:rFonts w:ascii="Times New Roman" w:eastAsia="Times New Roman" w:hAnsi="Times New Roman" w:cs="Times New Roman"/>
          <w:color w:val="333333"/>
          <w:sz w:val="24"/>
          <w:szCs w:val="24"/>
          <w:highlight w:val="white"/>
        </w:rPr>
        <w:t xml:space="preserve">, J. C. (2023). Effectiveness of Physiotherapy Interventions in the Management Male Sexual Dysfunction: A Systematic Review. </w:t>
      </w:r>
      <w:r w:rsidRPr="00447B70">
        <w:rPr>
          <w:rFonts w:ascii="Times New Roman" w:eastAsia="Times New Roman" w:hAnsi="Times New Roman" w:cs="Times New Roman"/>
          <w:i/>
          <w:iCs/>
          <w:color w:val="333333"/>
          <w:sz w:val="24"/>
          <w:szCs w:val="24"/>
          <w:highlight w:val="white"/>
        </w:rPr>
        <w:t>International Journal of Sexual Health</w:t>
      </w:r>
      <w:r w:rsidRPr="00447B70">
        <w:rPr>
          <w:rFonts w:ascii="Times New Roman" w:eastAsia="Times New Roman" w:hAnsi="Times New Roman" w:cs="Times New Roman"/>
          <w:color w:val="333333"/>
          <w:sz w:val="24"/>
          <w:szCs w:val="24"/>
          <w:highlight w:val="white"/>
        </w:rPr>
        <w:t xml:space="preserve">, </w:t>
      </w:r>
      <w:r w:rsidRPr="00447B70">
        <w:rPr>
          <w:rFonts w:ascii="Times New Roman" w:eastAsia="Times New Roman" w:hAnsi="Times New Roman" w:cs="Times New Roman"/>
          <w:i/>
          <w:iCs/>
          <w:color w:val="333333"/>
          <w:sz w:val="24"/>
          <w:szCs w:val="24"/>
          <w:highlight w:val="white"/>
        </w:rPr>
        <w:t>35</w:t>
      </w:r>
      <w:r w:rsidRPr="00447B70">
        <w:rPr>
          <w:rFonts w:ascii="Times New Roman" w:eastAsia="Times New Roman" w:hAnsi="Times New Roman" w:cs="Times New Roman"/>
          <w:color w:val="333333"/>
          <w:sz w:val="24"/>
          <w:szCs w:val="24"/>
          <w:highlight w:val="white"/>
        </w:rPr>
        <w:t xml:space="preserve">(1), 52–66. </w:t>
      </w:r>
      <w:hyperlink r:id="rId8">
        <w:r w:rsidR="00DC5EF8" w:rsidRPr="00447B70">
          <w:rPr>
            <w:rFonts w:ascii="Times New Roman" w:eastAsia="Times New Roman" w:hAnsi="Times New Roman" w:cs="Times New Roman"/>
            <w:color w:val="1155CC"/>
            <w:sz w:val="24"/>
            <w:szCs w:val="24"/>
            <w:highlight w:val="white"/>
            <w:u w:val="single"/>
          </w:rPr>
          <w:t>https://doi.org/10.1080/19317611.2022.2155288</w:t>
        </w:r>
      </w:hyperlink>
    </w:p>
    <w:p w14:paraId="6CD81654" w14:textId="77777777" w:rsidR="00DC5EF8" w:rsidRPr="00447B70" w:rsidRDefault="00B65E97">
      <w:pPr>
        <w:spacing w:line="360" w:lineRule="auto"/>
        <w:rPr>
          <w:rFonts w:ascii="Times New Roman" w:eastAsia="Times New Roman" w:hAnsi="Times New Roman" w:cs="Times New Roman"/>
          <w:color w:val="333333"/>
          <w:sz w:val="24"/>
          <w:szCs w:val="24"/>
          <w:highlight w:val="white"/>
        </w:rPr>
      </w:pPr>
      <w:r w:rsidRPr="00447B70">
        <w:rPr>
          <w:rFonts w:ascii="Times New Roman" w:eastAsia="Times New Roman" w:hAnsi="Times New Roman" w:cs="Times New Roman"/>
          <w:color w:val="333333"/>
          <w:sz w:val="24"/>
          <w:szCs w:val="24"/>
          <w:highlight w:val="white"/>
        </w:rPr>
        <w:t xml:space="preserve">7. Hamed SA. Sexual Dysfunctions Induced by Pregabalin. Clin </w:t>
      </w:r>
      <w:proofErr w:type="spellStart"/>
      <w:r w:rsidRPr="00447B70">
        <w:rPr>
          <w:rFonts w:ascii="Times New Roman" w:eastAsia="Times New Roman" w:hAnsi="Times New Roman" w:cs="Times New Roman"/>
          <w:color w:val="333333"/>
          <w:sz w:val="24"/>
          <w:szCs w:val="24"/>
          <w:highlight w:val="white"/>
        </w:rPr>
        <w:t>Neuropharmacol</w:t>
      </w:r>
      <w:proofErr w:type="spellEnd"/>
      <w:r w:rsidRPr="00447B70">
        <w:rPr>
          <w:rFonts w:ascii="Times New Roman" w:eastAsia="Times New Roman" w:hAnsi="Times New Roman" w:cs="Times New Roman"/>
          <w:color w:val="333333"/>
          <w:sz w:val="24"/>
          <w:szCs w:val="24"/>
          <w:highlight w:val="white"/>
        </w:rPr>
        <w:t>. 2018 Jul‑Aug;41(4):116‑122. doi:10.1097/WNF.0000000000000286.</w:t>
      </w:r>
    </w:p>
    <w:p w14:paraId="38DD7540" w14:textId="77777777" w:rsidR="00DC5EF8" w:rsidRPr="00447B70" w:rsidRDefault="00DC5EF8">
      <w:pPr>
        <w:spacing w:line="360" w:lineRule="auto"/>
        <w:rPr>
          <w:rFonts w:ascii="Times New Roman" w:eastAsia="Times New Roman" w:hAnsi="Times New Roman" w:cs="Times New Roman"/>
          <w:color w:val="333333"/>
          <w:sz w:val="24"/>
          <w:szCs w:val="24"/>
          <w:highlight w:val="white"/>
        </w:rPr>
      </w:pPr>
    </w:p>
    <w:p w14:paraId="22E7DEE9" w14:textId="77777777" w:rsidR="00DC5EF8" w:rsidRPr="00447B70" w:rsidRDefault="00B65E97">
      <w:pPr>
        <w:spacing w:line="360" w:lineRule="auto"/>
        <w:rPr>
          <w:rFonts w:ascii="Times New Roman" w:eastAsia="Times New Roman" w:hAnsi="Times New Roman" w:cs="Times New Roman"/>
          <w:color w:val="333333"/>
          <w:sz w:val="24"/>
          <w:szCs w:val="24"/>
          <w:highlight w:val="white"/>
        </w:rPr>
      </w:pPr>
      <w:r w:rsidRPr="00447B70">
        <w:rPr>
          <w:rFonts w:ascii="Times New Roman" w:eastAsia="Times New Roman" w:hAnsi="Times New Roman" w:cs="Times New Roman"/>
          <w:color w:val="333333"/>
          <w:sz w:val="24"/>
          <w:szCs w:val="24"/>
          <w:highlight w:val="white"/>
        </w:rPr>
        <w:t xml:space="preserve">8. Gagnier JJ, Kienle G, Altman DG, Moher D, Sox H, Riley DS, et al. The CARE guidelines: consensus-based clinical case reporting guideline development. J Med Case Rep. </w:t>
      </w:r>
      <w:proofErr w:type="gramStart"/>
      <w:r w:rsidRPr="00447B70">
        <w:rPr>
          <w:rFonts w:ascii="Times New Roman" w:eastAsia="Times New Roman" w:hAnsi="Times New Roman" w:cs="Times New Roman"/>
          <w:color w:val="333333"/>
          <w:sz w:val="24"/>
          <w:szCs w:val="24"/>
          <w:highlight w:val="white"/>
        </w:rPr>
        <w:t>2013;7:223</w:t>
      </w:r>
      <w:proofErr w:type="gramEnd"/>
      <w:r w:rsidRPr="00447B70">
        <w:rPr>
          <w:rFonts w:ascii="Times New Roman" w:eastAsia="Times New Roman" w:hAnsi="Times New Roman" w:cs="Times New Roman"/>
          <w:color w:val="333333"/>
          <w:sz w:val="24"/>
          <w:szCs w:val="24"/>
          <w:highlight w:val="white"/>
        </w:rPr>
        <w:t xml:space="preserve">. </w:t>
      </w:r>
      <w:proofErr w:type="spellStart"/>
      <w:r w:rsidRPr="00447B70">
        <w:rPr>
          <w:rFonts w:ascii="Times New Roman" w:eastAsia="Times New Roman" w:hAnsi="Times New Roman" w:cs="Times New Roman"/>
          <w:color w:val="333333"/>
          <w:sz w:val="24"/>
          <w:szCs w:val="24"/>
          <w:highlight w:val="white"/>
        </w:rPr>
        <w:t>doi</w:t>
      </w:r>
      <w:proofErr w:type="spellEnd"/>
      <w:r w:rsidRPr="00447B70">
        <w:rPr>
          <w:rFonts w:ascii="Times New Roman" w:eastAsia="Times New Roman" w:hAnsi="Times New Roman" w:cs="Times New Roman"/>
          <w:color w:val="333333"/>
          <w:sz w:val="24"/>
          <w:szCs w:val="24"/>
          <w:highlight w:val="white"/>
        </w:rPr>
        <w:t>: 10.1186/1752-1947-7-223.</w:t>
      </w:r>
    </w:p>
    <w:p w14:paraId="345F4F23" w14:textId="77777777" w:rsidR="00DC5EF8" w:rsidRPr="00447B70" w:rsidRDefault="00DC5EF8">
      <w:pPr>
        <w:spacing w:line="360" w:lineRule="auto"/>
        <w:rPr>
          <w:rFonts w:ascii="Times New Roman" w:eastAsia="Times New Roman" w:hAnsi="Times New Roman" w:cs="Times New Roman"/>
          <w:color w:val="333333"/>
          <w:sz w:val="24"/>
          <w:szCs w:val="24"/>
          <w:highlight w:val="white"/>
        </w:rPr>
      </w:pPr>
    </w:p>
    <w:p w14:paraId="476BB7EC" w14:textId="5E555349" w:rsidR="00DC5EF8" w:rsidRPr="00447B70" w:rsidRDefault="00DC5EF8">
      <w:pPr>
        <w:spacing w:line="360" w:lineRule="auto"/>
        <w:rPr>
          <w:rFonts w:ascii="Times New Roman" w:eastAsia="Times New Roman" w:hAnsi="Times New Roman" w:cs="Times New Roman"/>
          <w:sz w:val="24"/>
          <w:szCs w:val="24"/>
        </w:rPr>
      </w:pPr>
    </w:p>
    <w:p w14:paraId="0A7BBA25" w14:textId="77777777" w:rsidR="00DC5EF8" w:rsidRPr="00447B70" w:rsidRDefault="00DC5EF8">
      <w:pPr>
        <w:spacing w:line="360" w:lineRule="auto"/>
        <w:rPr>
          <w:rFonts w:ascii="Times New Roman" w:eastAsia="Times New Roman" w:hAnsi="Times New Roman" w:cs="Times New Roman"/>
          <w:sz w:val="24"/>
          <w:szCs w:val="24"/>
        </w:rPr>
      </w:pPr>
    </w:p>
    <w:p w14:paraId="47A0D603" w14:textId="3E5BAEFF" w:rsidR="00DC5EF8" w:rsidRPr="00447B70" w:rsidRDefault="00447B70">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lastRenderedPageBreak/>
        <w:t>9</w:t>
      </w:r>
      <w:r w:rsidR="00B65E97" w:rsidRPr="00447B70">
        <w:rPr>
          <w:rFonts w:ascii="Times New Roman" w:eastAsia="Times New Roman" w:hAnsi="Times New Roman" w:cs="Times New Roman"/>
          <w:sz w:val="24"/>
          <w:szCs w:val="24"/>
        </w:rPr>
        <w:t xml:space="preserve">. MacDermid JC, Walton DM, Avery S, Blanchard </w:t>
      </w:r>
      <w:r w:rsidRPr="00447B70">
        <w:rPr>
          <w:rStyle w:val="Strong"/>
          <w:rFonts w:ascii="Times New Roman" w:hAnsi="Times New Roman" w:cs="Times New Roman"/>
          <w:b w:val="0"/>
          <w:bCs w:val="0"/>
        </w:rPr>
        <w:t>Minimal clinically important differences in the erectile function domain of the International Index of Erectile Function scale</w:t>
      </w:r>
      <w:r w:rsidRPr="00447B70">
        <w:rPr>
          <w:rFonts w:ascii="Times New Roman" w:hAnsi="Times New Roman" w:cs="Times New Roman"/>
          <w:b/>
          <w:bCs/>
        </w:rPr>
        <w:t xml:space="preserve">. </w:t>
      </w:r>
      <w:r w:rsidRPr="00447B70">
        <w:rPr>
          <w:rStyle w:val="Emphasis"/>
          <w:rFonts w:ascii="Times New Roman" w:hAnsi="Times New Roman" w:cs="Times New Roman"/>
        </w:rPr>
        <w:t>European Urology</w:t>
      </w:r>
      <w:r w:rsidRPr="00447B70">
        <w:rPr>
          <w:rFonts w:ascii="Times New Roman" w:hAnsi="Times New Roman" w:cs="Times New Roman"/>
        </w:rPr>
        <w:t xml:space="preserve">, </w:t>
      </w:r>
      <w:r w:rsidRPr="00447B70">
        <w:rPr>
          <w:rStyle w:val="Emphasis"/>
          <w:rFonts w:ascii="Times New Roman" w:hAnsi="Times New Roman" w:cs="Times New Roman"/>
        </w:rPr>
        <w:t>60</w:t>
      </w:r>
      <w:r w:rsidRPr="00447B70">
        <w:rPr>
          <w:rFonts w:ascii="Times New Roman" w:hAnsi="Times New Roman" w:cs="Times New Roman"/>
        </w:rPr>
        <w:t xml:space="preserve">(5), 1010–1016. </w:t>
      </w:r>
    </w:p>
    <w:p w14:paraId="523792D9" w14:textId="73935AF9" w:rsidR="00447B70" w:rsidRPr="00447B70" w:rsidRDefault="00447B70" w:rsidP="00447B70">
      <w:pPr>
        <w:pStyle w:val="NormalWeb"/>
        <w:spacing w:line="360" w:lineRule="auto"/>
      </w:pPr>
      <w:r w:rsidRPr="00447B70">
        <w:t xml:space="preserve">10. </w:t>
      </w:r>
      <w:r w:rsidRPr="00447B70">
        <w:t xml:space="preserve">Rosen, R., </w:t>
      </w:r>
      <w:proofErr w:type="spellStart"/>
      <w:r w:rsidRPr="00447B70">
        <w:t>Cappelleri</w:t>
      </w:r>
      <w:proofErr w:type="spellEnd"/>
      <w:r w:rsidRPr="00447B70">
        <w:t>, J. C., Smith, M. D., Lipsky, J., &amp; Peña, B. M. (2011). https://doi.org/10.1016/j.eururo.2011.07.040</w:t>
      </w:r>
    </w:p>
    <w:p w14:paraId="003F1041" w14:textId="77777777" w:rsidR="00DC5EF8" w:rsidRPr="00447B70" w:rsidRDefault="00DC5EF8">
      <w:pPr>
        <w:spacing w:line="360" w:lineRule="auto"/>
        <w:rPr>
          <w:rFonts w:ascii="Times New Roman" w:eastAsia="Times New Roman" w:hAnsi="Times New Roman" w:cs="Times New Roman"/>
          <w:sz w:val="24"/>
          <w:szCs w:val="24"/>
        </w:rPr>
      </w:pPr>
    </w:p>
    <w:p w14:paraId="0E5F34F4" w14:textId="77777777" w:rsidR="00DC5EF8" w:rsidRPr="00447B70" w:rsidRDefault="00DC5EF8">
      <w:pPr>
        <w:spacing w:line="360" w:lineRule="auto"/>
        <w:rPr>
          <w:rFonts w:ascii="Times New Roman" w:eastAsia="Times New Roman" w:hAnsi="Times New Roman" w:cs="Times New Roman"/>
          <w:sz w:val="24"/>
          <w:szCs w:val="24"/>
        </w:rPr>
      </w:pPr>
    </w:p>
    <w:p w14:paraId="2C46AF04" w14:textId="787621F4" w:rsidR="00DC5EF8" w:rsidRPr="00447B70" w:rsidRDefault="00CE006B">
      <w:pPr>
        <w:spacing w:line="360" w:lineRule="auto"/>
        <w:rPr>
          <w:rFonts w:ascii="Times New Roman" w:hAnsi="Times New Roman" w:cs="Times New Roman"/>
          <w:color w:val="1B1B1B"/>
          <w:shd w:val="clear" w:color="auto" w:fill="FFFFFF"/>
        </w:rPr>
      </w:pPr>
      <w:r w:rsidRPr="00447B70">
        <w:rPr>
          <w:rFonts w:ascii="Times New Roman" w:eastAsia="Times New Roman" w:hAnsi="Times New Roman" w:cs="Times New Roman"/>
          <w:sz w:val="24"/>
          <w:szCs w:val="24"/>
        </w:rPr>
        <w:t xml:space="preserve">11. </w:t>
      </w:r>
      <w:r w:rsidRPr="00447B70">
        <w:rPr>
          <w:rFonts w:ascii="Times New Roman" w:hAnsi="Times New Roman" w:cs="Times New Roman"/>
          <w:color w:val="1B1B1B"/>
          <w:shd w:val="clear" w:color="auto" w:fill="FFFFFF"/>
        </w:rPr>
        <w:t>Chen, Q., Wang, Z., &amp; Zhang, S. (2023). Exploring the latest advancements in physical therapy techniques for treating cervical spondylosis patients: A narrative review. </w:t>
      </w:r>
      <w:r w:rsidRPr="00447B70">
        <w:rPr>
          <w:rFonts w:ascii="Times New Roman" w:hAnsi="Times New Roman" w:cs="Times New Roman"/>
          <w:i/>
          <w:iCs/>
          <w:color w:val="1B1B1B"/>
          <w:shd w:val="clear" w:color="auto" w:fill="FFFFFF"/>
        </w:rPr>
        <w:t>Biomolecules &amp; biomedicine</w:t>
      </w:r>
      <w:r w:rsidRPr="00447B70">
        <w:rPr>
          <w:rFonts w:ascii="Times New Roman" w:hAnsi="Times New Roman" w:cs="Times New Roman"/>
          <w:color w:val="1B1B1B"/>
          <w:shd w:val="clear" w:color="auto" w:fill="FFFFFF"/>
        </w:rPr>
        <w:t>, </w:t>
      </w:r>
      <w:r w:rsidRPr="00447B70">
        <w:rPr>
          <w:rFonts w:ascii="Times New Roman" w:hAnsi="Times New Roman" w:cs="Times New Roman"/>
          <w:i/>
          <w:iCs/>
          <w:color w:val="1B1B1B"/>
          <w:shd w:val="clear" w:color="auto" w:fill="FFFFFF"/>
        </w:rPr>
        <w:t>23</w:t>
      </w:r>
      <w:r w:rsidRPr="00447B70">
        <w:rPr>
          <w:rFonts w:ascii="Times New Roman" w:hAnsi="Times New Roman" w:cs="Times New Roman"/>
          <w:color w:val="1B1B1B"/>
          <w:shd w:val="clear" w:color="auto" w:fill="FFFFFF"/>
        </w:rPr>
        <w:t xml:space="preserve">(5), 752–759. </w:t>
      </w:r>
      <w:hyperlink r:id="rId9" w:history="1">
        <w:r w:rsidRPr="00447B70">
          <w:rPr>
            <w:rStyle w:val="Hyperlink"/>
            <w:rFonts w:ascii="Times New Roman" w:hAnsi="Times New Roman" w:cs="Times New Roman"/>
            <w:shd w:val="clear" w:color="auto" w:fill="FFFFFF"/>
          </w:rPr>
          <w:t>https://doi.org/10.17305/bb.2023.9049</w:t>
        </w:r>
      </w:hyperlink>
    </w:p>
    <w:p w14:paraId="7B69FFBA" w14:textId="77777777" w:rsidR="00CE006B" w:rsidRPr="00447B70" w:rsidRDefault="00CE006B">
      <w:pPr>
        <w:spacing w:line="360" w:lineRule="auto"/>
        <w:rPr>
          <w:rFonts w:ascii="Times New Roman" w:eastAsia="Times New Roman" w:hAnsi="Times New Roman" w:cs="Times New Roman"/>
          <w:sz w:val="24"/>
          <w:szCs w:val="24"/>
        </w:rPr>
      </w:pPr>
    </w:p>
    <w:p w14:paraId="2EB4E76C" w14:textId="77777777" w:rsidR="00DC5EF8" w:rsidRPr="00447B70" w:rsidRDefault="00B65E97">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t xml:space="preserve">12. Kumar P, Singh R, Gupta S. Erectile dysfunction associated with long‑term use of centrally acting muscle relaxants and GABA analogues: A systematic review. Med Hypotheses. </w:t>
      </w:r>
      <w:proofErr w:type="gramStart"/>
      <w:r w:rsidRPr="00447B70">
        <w:rPr>
          <w:rFonts w:ascii="Times New Roman" w:eastAsia="Times New Roman" w:hAnsi="Times New Roman" w:cs="Times New Roman"/>
          <w:sz w:val="24"/>
          <w:szCs w:val="24"/>
        </w:rPr>
        <w:t>2021;142:110147</w:t>
      </w:r>
      <w:proofErr w:type="gramEnd"/>
      <w:r w:rsidRPr="00447B70">
        <w:rPr>
          <w:rFonts w:ascii="Times New Roman" w:eastAsia="Times New Roman" w:hAnsi="Times New Roman" w:cs="Times New Roman"/>
          <w:sz w:val="24"/>
          <w:szCs w:val="24"/>
        </w:rPr>
        <w:t xml:space="preserve">. </w:t>
      </w:r>
    </w:p>
    <w:p w14:paraId="6D1EF233" w14:textId="77777777" w:rsidR="00DC5EF8" w:rsidRPr="00447B70" w:rsidRDefault="00DC5EF8">
      <w:pPr>
        <w:spacing w:line="360" w:lineRule="auto"/>
        <w:rPr>
          <w:rFonts w:ascii="Times New Roman" w:eastAsia="Times New Roman" w:hAnsi="Times New Roman" w:cs="Times New Roman"/>
          <w:sz w:val="24"/>
          <w:szCs w:val="24"/>
        </w:rPr>
      </w:pPr>
    </w:p>
    <w:p w14:paraId="11A0DF9A" w14:textId="1E76309C" w:rsidR="00DC5EF8" w:rsidRPr="00447B70" w:rsidRDefault="00CE006B">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t xml:space="preserve">13. </w:t>
      </w:r>
      <w:r w:rsidRPr="00447B70">
        <w:rPr>
          <w:rFonts w:ascii="Times New Roman" w:hAnsi="Times New Roman" w:cs="Times New Roman"/>
          <w:color w:val="212121"/>
          <w:shd w:val="clear" w:color="auto" w:fill="FFFFFF"/>
        </w:rPr>
        <w:t>Kaufman, K. R., &amp; Struck, P. J. (2011). Gabapentin-induced sexual dysfunction. </w:t>
      </w:r>
      <w:r w:rsidRPr="00447B70">
        <w:rPr>
          <w:rFonts w:ascii="Times New Roman" w:hAnsi="Times New Roman" w:cs="Times New Roman"/>
          <w:i/>
          <w:iCs/>
          <w:color w:val="212121"/>
          <w:shd w:val="clear" w:color="auto" w:fill="FFFFFF"/>
        </w:rPr>
        <w:t xml:space="preserve">Epilepsy &amp; </w:t>
      </w:r>
      <w:proofErr w:type="gramStart"/>
      <w:r w:rsidRPr="00447B70">
        <w:rPr>
          <w:rFonts w:ascii="Times New Roman" w:hAnsi="Times New Roman" w:cs="Times New Roman"/>
          <w:i/>
          <w:iCs/>
          <w:color w:val="212121"/>
          <w:shd w:val="clear" w:color="auto" w:fill="FFFFFF"/>
        </w:rPr>
        <w:t>behavior :</w:t>
      </w:r>
      <w:proofErr w:type="gramEnd"/>
      <w:r w:rsidRPr="00447B70">
        <w:rPr>
          <w:rFonts w:ascii="Times New Roman" w:hAnsi="Times New Roman" w:cs="Times New Roman"/>
          <w:i/>
          <w:iCs/>
          <w:color w:val="212121"/>
          <w:shd w:val="clear" w:color="auto" w:fill="FFFFFF"/>
        </w:rPr>
        <w:t xml:space="preserve"> E&amp;B</w:t>
      </w:r>
      <w:r w:rsidRPr="00447B70">
        <w:rPr>
          <w:rFonts w:ascii="Times New Roman" w:hAnsi="Times New Roman" w:cs="Times New Roman"/>
          <w:color w:val="212121"/>
          <w:shd w:val="clear" w:color="auto" w:fill="FFFFFF"/>
        </w:rPr>
        <w:t>, </w:t>
      </w:r>
      <w:r w:rsidRPr="00447B70">
        <w:rPr>
          <w:rFonts w:ascii="Times New Roman" w:hAnsi="Times New Roman" w:cs="Times New Roman"/>
          <w:i/>
          <w:iCs/>
          <w:color w:val="212121"/>
          <w:shd w:val="clear" w:color="auto" w:fill="FFFFFF"/>
        </w:rPr>
        <w:t>21</w:t>
      </w:r>
      <w:r w:rsidRPr="00447B70">
        <w:rPr>
          <w:rFonts w:ascii="Times New Roman" w:hAnsi="Times New Roman" w:cs="Times New Roman"/>
          <w:color w:val="212121"/>
          <w:shd w:val="clear" w:color="auto" w:fill="FFFFFF"/>
        </w:rPr>
        <w:t>(3), 324–326. https://doi.org/10.1016/j.yebeh.2011.04.058</w:t>
      </w:r>
    </w:p>
    <w:p w14:paraId="63AEE2C5" w14:textId="77777777" w:rsidR="00DC5EF8" w:rsidRPr="00447B70" w:rsidRDefault="00DC5EF8">
      <w:pPr>
        <w:spacing w:line="360" w:lineRule="auto"/>
        <w:rPr>
          <w:rFonts w:ascii="Times New Roman" w:eastAsia="Times New Roman" w:hAnsi="Times New Roman" w:cs="Times New Roman"/>
          <w:sz w:val="24"/>
          <w:szCs w:val="24"/>
        </w:rPr>
      </w:pPr>
    </w:p>
    <w:p w14:paraId="473E98E0" w14:textId="16AF64E7" w:rsidR="00DC5EF8" w:rsidRPr="00447B70" w:rsidRDefault="00B65E97">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t xml:space="preserve">14. </w:t>
      </w:r>
      <w:r w:rsidR="00CE006B" w:rsidRPr="00447B70">
        <w:rPr>
          <w:rFonts w:ascii="Times New Roman" w:hAnsi="Times New Roman" w:cs="Times New Roman"/>
          <w:color w:val="212121"/>
          <w:shd w:val="clear" w:color="auto" w:fill="FFFFFF"/>
        </w:rPr>
        <w:t>Carter, J. R., &amp; Ray, C. A. (2015). Sympathetic neural adaptations to exercise training in humans. </w:t>
      </w:r>
      <w:r w:rsidR="00CE006B" w:rsidRPr="00447B70">
        <w:rPr>
          <w:rFonts w:ascii="Times New Roman" w:hAnsi="Times New Roman" w:cs="Times New Roman"/>
          <w:i/>
          <w:iCs/>
          <w:color w:val="212121"/>
          <w:shd w:val="clear" w:color="auto" w:fill="FFFFFF"/>
        </w:rPr>
        <w:t xml:space="preserve">Autonomic </w:t>
      </w:r>
      <w:proofErr w:type="gramStart"/>
      <w:r w:rsidR="00CE006B" w:rsidRPr="00447B70">
        <w:rPr>
          <w:rFonts w:ascii="Times New Roman" w:hAnsi="Times New Roman" w:cs="Times New Roman"/>
          <w:i/>
          <w:iCs/>
          <w:color w:val="212121"/>
          <w:shd w:val="clear" w:color="auto" w:fill="FFFFFF"/>
        </w:rPr>
        <w:t>neuroscience :</w:t>
      </w:r>
      <w:proofErr w:type="gramEnd"/>
      <w:r w:rsidR="00CE006B" w:rsidRPr="00447B70">
        <w:rPr>
          <w:rFonts w:ascii="Times New Roman" w:hAnsi="Times New Roman" w:cs="Times New Roman"/>
          <w:i/>
          <w:iCs/>
          <w:color w:val="212121"/>
          <w:shd w:val="clear" w:color="auto" w:fill="FFFFFF"/>
        </w:rPr>
        <w:t xml:space="preserve"> basic &amp; clinical</w:t>
      </w:r>
      <w:r w:rsidR="00CE006B" w:rsidRPr="00447B70">
        <w:rPr>
          <w:rFonts w:ascii="Times New Roman" w:hAnsi="Times New Roman" w:cs="Times New Roman"/>
          <w:color w:val="212121"/>
          <w:shd w:val="clear" w:color="auto" w:fill="FFFFFF"/>
        </w:rPr>
        <w:t>, </w:t>
      </w:r>
      <w:r w:rsidR="00CE006B" w:rsidRPr="00447B70">
        <w:rPr>
          <w:rFonts w:ascii="Times New Roman" w:hAnsi="Times New Roman" w:cs="Times New Roman"/>
          <w:i/>
          <w:iCs/>
          <w:color w:val="212121"/>
          <w:shd w:val="clear" w:color="auto" w:fill="FFFFFF"/>
        </w:rPr>
        <w:t>188</w:t>
      </w:r>
      <w:r w:rsidR="00CE006B" w:rsidRPr="00447B70">
        <w:rPr>
          <w:rFonts w:ascii="Times New Roman" w:hAnsi="Times New Roman" w:cs="Times New Roman"/>
          <w:color w:val="212121"/>
          <w:shd w:val="clear" w:color="auto" w:fill="FFFFFF"/>
        </w:rPr>
        <w:t>, 36–43. https://doi.org/10.1016/j.autneu.2014.10.020</w:t>
      </w:r>
    </w:p>
    <w:p w14:paraId="477BA623" w14:textId="77777777" w:rsidR="00DC5EF8" w:rsidRPr="00447B70" w:rsidRDefault="00DC5EF8">
      <w:pPr>
        <w:spacing w:line="360" w:lineRule="auto"/>
        <w:rPr>
          <w:rFonts w:ascii="Times New Roman" w:eastAsia="Times New Roman" w:hAnsi="Times New Roman" w:cs="Times New Roman"/>
          <w:sz w:val="24"/>
          <w:szCs w:val="24"/>
        </w:rPr>
      </w:pPr>
    </w:p>
    <w:p w14:paraId="6DA1619B" w14:textId="77777777" w:rsidR="00DC5EF8" w:rsidRPr="00447B70" w:rsidRDefault="00B65E97">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t xml:space="preserve">15. </w:t>
      </w:r>
      <w:proofErr w:type="spellStart"/>
      <w:r w:rsidRPr="00447B70">
        <w:rPr>
          <w:rFonts w:ascii="Times New Roman" w:eastAsia="Times New Roman" w:hAnsi="Times New Roman" w:cs="Times New Roman"/>
          <w:sz w:val="24"/>
          <w:szCs w:val="24"/>
        </w:rPr>
        <w:t>Patoulias</w:t>
      </w:r>
      <w:proofErr w:type="spellEnd"/>
      <w:r w:rsidRPr="00447B70">
        <w:rPr>
          <w:rFonts w:ascii="Times New Roman" w:eastAsia="Times New Roman" w:hAnsi="Times New Roman" w:cs="Times New Roman"/>
          <w:sz w:val="24"/>
          <w:szCs w:val="24"/>
        </w:rPr>
        <w:t xml:space="preserve"> D, </w:t>
      </w:r>
      <w:proofErr w:type="spellStart"/>
      <w:r w:rsidRPr="00447B70">
        <w:rPr>
          <w:rFonts w:ascii="Times New Roman" w:eastAsia="Times New Roman" w:hAnsi="Times New Roman" w:cs="Times New Roman"/>
          <w:sz w:val="24"/>
          <w:szCs w:val="24"/>
        </w:rPr>
        <w:t>Katsimardou</w:t>
      </w:r>
      <w:proofErr w:type="spellEnd"/>
      <w:r w:rsidRPr="00447B70">
        <w:rPr>
          <w:rFonts w:ascii="Times New Roman" w:eastAsia="Times New Roman" w:hAnsi="Times New Roman" w:cs="Times New Roman"/>
          <w:sz w:val="24"/>
          <w:szCs w:val="24"/>
        </w:rPr>
        <w:t xml:space="preserve"> A, </w:t>
      </w:r>
      <w:proofErr w:type="spellStart"/>
      <w:r w:rsidRPr="00447B70">
        <w:rPr>
          <w:rFonts w:ascii="Times New Roman" w:eastAsia="Times New Roman" w:hAnsi="Times New Roman" w:cs="Times New Roman"/>
          <w:sz w:val="24"/>
          <w:szCs w:val="24"/>
        </w:rPr>
        <w:t>Imprialos</w:t>
      </w:r>
      <w:proofErr w:type="spellEnd"/>
      <w:r w:rsidRPr="00447B70">
        <w:rPr>
          <w:rFonts w:ascii="Times New Roman" w:eastAsia="Times New Roman" w:hAnsi="Times New Roman" w:cs="Times New Roman"/>
          <w:sz w:val="24"/>
          <w:szCs w:val="24"/>
        </w:rPr>
        <w:t xml:space="preserve"> K, </w:t>
      </w:r>
      <w:proofErr w:type="spellStart"/>
      <w:r w:rsidRPr="00447B70">
        <w:rPr>
          <w:rFonts w:ascii="Times New Roman" w:eastAsia="Times New Roman" w:hAnsi="Times New Roman" w:cs="Times New Roman"/>
          <w:sz w:val="24"/>
          <w:szCs w:val="24"/>
        </w:rPr>
        <w:t>Doumas</w:t>
      </w:r>
      <w:proofErr w:type="spellEnd"/>
      <w:r w:rsidRPr="00447B70">
        <w:rPr>
          <w:rFonts w:ascii="Times New Roman" w:eastAsia="Times New Roman" w:hAnsi="Times New Roman" w:cs="Times New Roman"/>
          <w:sz w:val="24"/>
          <w:szCs w:val="24"/>
        </w:rPr>
        <w:t xml:space="preserve"> M. Exercise, erectile dysfunction and co-morbidities. Rev Cardiovasc Med. 2022;23(9):1011-1020. doi:10.31083/</w:t>
      </w:r>
      <w:proofErr w:type="gramStart"/>
      <w:r w:rsidRPr="00447B70">
        <w:rPr>
          <w:rFonts w:ascii="Times New Roman" w:eastAsia="Times New Roman" w:hAnsi="Times New Roman" w:cs="Times New Roman"/>
          <w:sz w:val="24"/>
          <w:szCs w:val="24"/>
        </w:rPr>
        <w:t>j.rcm</w:t>
      </w:r>
      <w:proofErr w:type="gramEnd"/>
      <w:r w:rsidRPr="00447B70">
        <w:rPr>
          <w:rFonts w:ascii="Times New Roman" w:eastAsia="Times New Roman" w:hAnsi="Times New Roman" w:cs="Times New Roman"/>
          <w:sz w:val="24"/>
          <w:szCs w:val="24"/>
        </w:rPr>
        <w:t>2309304</w:t>
      </w:r>
    </w:p>
    <w:p w14:paraId="632A6FCB" w14:textId="77777777" w:rsidR="00DC5EF8" w:rsidRPr="00447B70" w:rsidRDefault="00DC5EF8">
      <w:pPr>
        <w:spacing w:line="360" w:lineRule="auto"/>
        <w:rPr>
          <w:rFonts w:ascii="Times New Roman" w:eastAsia="Times New Roman" w:hAnsi="Times New Roman" w:cs="Times New Roman"/>
          <w:sz w:val="24"/>
          <w:szCs w:val="24"/>
        </w:rPr>
      </w:pPr>
    </w:p>
    <w:p w14:paraId="6E0F9B94" w14:textId="77777777" w:rsidR="00DC5EF8" w:rsidRPr="00447B70" w:rsidRDefault="00B65E97">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t xml:space="preserve">16. </w:t>
      </w:r>
      <w:proofErr w:type="spellStart"/>
      <w:r w:rsidRPr="00447B70">
        <w:rPr>
          <w:rFonts w:ascii="Times New Roman" w:eastAsia="Times New Roman" w:hAnsi="Times New Roman" w:cs="Times New Roman"/>
          <w:sz w:val="24"/>
          <w:szCs w:val="24"/>
        </w:rPr>
        <w:t>Alghadir</w:t>
      </w:r>
      <w:proofErr w:type="spellEnd"/>
      <w:r w:rsidRPr="00447B70">
        <w:rPr>
          <w:rFonts w:ascii="Times New Roman" w:eastAsia="Times New Roman" w:hAnsi="Times New Roman" w:cs="Times New Roman"/>
          <w:sz w:val="24"/>
          <w:szCs w:val="24"/>
        </w:rPr>
        <w:t xml:space="preserve"> AH, </w:t>
      </w:r>
      <w:proofErr w:type="spellStart"/>
      <w:r w:rsidRPr="00447B70">
        <w:rPr>
          <w:rFonts w:ascii="Times New Roman" w:eastAsia="Times New Roman" w:hAnsi="Times New Roman" w:cs="Times New Roman"/>
          <w:sz w:val="24"/>
          <w:szCs w:val="24"/>
        </w:rPr>
        <w:t>Gabr</w:t>
      </w:r>
      <w:proofErr w:type="spellEnd"/>
      <w:r w:rsidRPr="00447B70">
        <w:rPr>
          <w:rFonts w:ascii="Times New Roman" w:eastAsia="Times New Roman" w:hAnsi="Times New Roman" w:cs="Times New Roman"/>
          <w:sz w:val="24"/>
          <w:szCs w:val="24"/>
        </w:rPr>
        <w:t xml:space="preserve"> SA, Iqbal A. Effect of physical activity on erectile and sexual function in healthy males. J Men’s Health. 2024;20(9):61-70. doi:10.22514/jomh.2024.150</w:t>
      </w:r>
    </w:p>
    <w:p w14:paraId="67D07EFD" w14:textId="77777777" w:rsidR="00DC5EF8" w:rsidRPr="00447B70" w:rsidRDefault="00DC5EF8">
      <w:pPr>
        <w:spacing w:line="360" w:lineRule="auto"/>
        <w:rPr>
          <w:rFonts w:ascii="Times New Roman" w:eastAsia="Times New Roman" w:hAnsi="Times New Roman" w:cs="Times New Roman"/>
          <w:sz w:val="24"/>
          <w:szCs w:val="24"/>
        </w:rPr>
      </w:pPr>
    </w:p>
    <w:p w14:paraId="44A4A46C" w14:textId="77777777" w:rsidR="00DC5EF8" w:rsidRPr="00447B70" w:rsidRDefault="00B65E97">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lastRenderedPageBreak/>
        <w:t>17. Al‑Najjar Y, Al‑</w:t>
      </w:r>
      <w:proofErr w:type="spellStart"/>
      <w:r w:rsidRPr="00447B70">
        <w:rPr>
          <w:rFonts w:ascii="Times New Roman" w:eastAsia="Times New Roman" w:hAnsi="Times New Roman" w:cs="Times New Roman"/>
          <w:sz w:val="24"/>
          <w:szCs w:val="24"/>
        </w:rPr>
        <w:t>Fatlawi</w:t>
      </w:r>
      <w:proofErr w:type="spellEnd"/>
      <w:r w:rsidRPr="00447B70">
        <w:rPr>
          <w:rFonts w:ascii="Times New Roman" w:eastAsia="Times New Roman" w:hAnsi="Times New Roman" w:cs="Times New Roman"/>
          <w:sz w:val="24"/>
          <w:szCs w:val="24"/>
        </w:rPr>
        <w:t xml:space="preserve"> Z, Hassan M. Cryotherapy for neck pain: A systematic review. Pain Med. 2020;21(7):1300‑1312. doi:10.1093/pm/pnz039. Available: https://pmc.ncbi.nlm.nih.gov/articles/PMC8119547/</w:t>
      </w:r>
    </w:p>
    <w:p w14:paraId="7B44AE61" w14:textId="77777777" w:rsidR="00DC5EF8" w:rsidRPr="00447B70" w:rsidRDefault="00DC5EF8">
      <w:pPr>
        <w:spacing w:line="360" w:lineRule="auto"/>
        <w:rPr>
          <w:rFonts w:ascii="Times New Roman" w:eastAsia="Times New Roman" w:hAnsi="Times New Roman" w:cs="Times New Roman"/>
          <w:sz w:val="24"/>
          <w:szCs w:val="24"/>
        </w:rPr>
      </w:pPr>
    </w:p>
    <w:p w14:paraId="14E2B5B4" w14:textId="77777777" w:rsidR="00DC5EF8" w:rsidRPr="00447B70" w:rsidRDefault="00B65E97">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t xml:space="preserve">18. Wirth B, Jansen C, Dimo NK, et al. Effectiveness and safety of manual therapy for people with neck pain: an umbrella review. BMC Sports Sci Med </w:t>
      </w:r>
      <w:proofErr w:type="spellStart"/>
      <w:r w:rsidRPr="00447B70">
        <w:rPr>
          <w:rFonts w:ascii="Times New Roman" w:eastAsia="Times New Roman" w:hAnsi="Times New Roman" w:cs="Times New Roman"/>
          <w:sz w:val="24"/>
          <w:szCs w:val="24"/>
        </w:rPr>
        <w:t>Rehabil</w:t>
      </w:r>
      <w:proofErr w:type="spellEnd"/>
      <w:r w:rsidRPr="00447B70">
        <w:rPr>
          <w:rFonts w:ascii="Times New Roman" w:eastAsia="Times New Roman" w:hAnsi="Times New Roman" w:cs="Times New Roman"/>
          <w:sz w:val="24"/>
          <w:szCs w:val="24"/>
        </w:rPr>
        <w:t xml:space="preserve">. 2025;16(1):78. </w:t>
      </w:r>
    </w:p>
    <w:p w14:paraId="5861749C" w14:textId="77777777" w:rsidR="00DC5EF8" w:rsidRPr="00447B70" w:rsidRDefault="00DC5EF8">
      <w:pPr>
        <w:spacing w:line="360" w:lineRule="auto"/>
        <w:rPr>
          <w:rFonts w:ascii="Times New Roman" w:eastAsia="Times New Roman" w:hAnsi="Times New Roman" w:cs="Times New Roman"/>
          <w:sz w:val="24"/>
          <w:szCs w:val="24"/>
        </w:rPr>
      </w:pPr>
    </w:p>
    <w:p w14:paraId="2DC363AF" w14:textId="77777777" w:rsidR="00DC5EF8" w:rsidRPr="00447B70" w:rsidRDefault="00B65E97">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t xml:space="preserve">19. Lazcano J, Gómez‑Peña R, Martínez‑Pérez C, et al. Effectiveness of guided neck‑specific exercise therapy on pain and disability: A systematic review and meta‑analysis. Am J Phys Med </w:t>
      </w:r>
      <w:proofErr w:type="spellStart"/>
      <w:r w:rsidRPr="00447B70">
        <w:rPr>
          <w:rFonts w:ascii="Times New Roman" w:eastAsia="Times New Roman" w:hAnsi="Times New Roman" w:cs="Times New Roman"/>
          <w:sz w:val="24"/>
          <w:szCs w:val="24"/>
        </w:rPr>
        <w:t>Rehabil</w:t>
      </w:r>
      <w:proofErr w:type="spellEnd"/>
      <w:r w:rsidRPr="00447B70">
        <w:rPr>
          <w:rFonts w:ascii="Times New Roman" w:eastAsia="Times New Roman" w:hAnsi="Times New Roman" w:cs="Times New Roman"/>
          <w:sz w:val="24"/>
          <w:szCs w:val="24"/>
        </w:rPr>
        <w:t xml:space="preserve">. 2024;103(11):894‑904. </w:t>
      </w:r>
    </w:p>
    <w:p w14:paraId="3BD3F057" w14:textId="77777777" w:rsidR="00DC5EF8" w:rsidRPr="00447B70" w:rsidRDefault="00DC5EF8">
      <w:pPr>
        <w:spacing w:line="360" w:lineRule="auto"/>
        <w:rPr>
          <w:rFonts w:ascii="Times New Roman" w:eastAsia="Times New Roman" w:hAnsi="Times New Roman" w:cs="Times New Roman"/>
          <w:sz w:val="24"/>
          <w:szCs w:val="24"/>
        </w:rPr>
      </w:pPr>
    </w:p>
    <w:p w14:paraId="4A5F0A26" w14:textId="23B68E3F" w:rsidR="00DC5EF8" w:rsidRDefault="00447B70">
      <w:pPr>
        <w:spacing w:line="360" w:lineRule="auto"/>
        <w:rPr>
          <w:rFonts w:ascii="Times New Roman" w:hAnsi="Times New Roman" w:cs="Times New Roman"/>
          <w:color w:val="1B1B1B"/>
          <w:shd w:val="clear" w:color="auto" w:fill="FFFFFF"/>
        </w:rPr>
      </w:pPr>
      <w:r w:rsidRPr="00447B70">
        <w:rPr>
          <w:rFonts w:ascii="Times New Roman" w:eastAsia="Times New Roman" w:hAnsi="Times New Roman" w:cs="Times New Roman"/>
          <w:sz w:val="24"/>
          <w:szCs w:val="24"/>
        </w:rPr>
        <w:t xml:space="preserve">20. </w:t>
      </w:r>
      <w:proofErr w:type="spellStart"/>
      <w:r w:rsidRPr="00447B70">
        <w:rPr>
          <w:rFonts w:ascii="Times New Roman" w:hAnsi="Times New Roman" w:cs="Times New Roman"/>
          <w:color w:val="1B1B1B"/>
          <w:shd w:val="clear" w:color="auto" w:fill="FFFFFF"/>
        </w:rPr>
        <w:t>Sakinepoor</w:t>
      </w:r>
      <w:proofErr w:type="spellEnd"/>
      <w:r w:rsidRPr="00447B70">
        <w:rPr>
          <w:rFonts w:ascii="Times New Roman" w:hAnsi="Times New Roman" w:cs="Times New Roman"/>
          <w:color w:val="1B1B1B"/>
          <w:shd w:val="clear" w:color="auto" w:fill="FFFFFF"/>
        </w:rPr>
        <w:t xml:space="preserve">, A., </w:t>
      </w:r>
      <w:proofErr w:type="spellStart"/>
      <w:r w:rsidRPr="00447B70">
        <w:rPr>
          <w:rFonts w:ascii="Times New Roman" w:hAnsi="Times New Roman" w:cs="Times New Roman"/>
          <w:color w:val="1B1B1B"/>
          <w:shd w:val="clear" w:color="auto" w:fill="FFFFFF"/>
        </w:rPr>
        <w:t>Cheragh</w:t>
      </w:r>
      <w:proofErr w:type="spellEnd"/>
      <w:r w:rsidRPr="00447B70">
        <w:rPr>
          <w:rFonts w:ascii="Times New Roman" w:hAnsi="Times New Roman" w:cs="Times New Roman"/>
          <w:color w:val="1B1B1B"/>
          <w:shd w:val="clear" w:color="auto" w:fill="FFFFFF"/>
        </w:rPr>
        <w:t xml:space="preserve">, Z. A., </w:t>
      </w:r>
      <w:proofErr w:type="spellStart"/>
      <w:r w:rsidRPr="00447B70">
        <w:rPr>
          <w:rFonts w:ascii="Times New Roman" w:hAnsi="Times New Roman" w:cs="Times New Roman"/>
          <w:color w:val="1B1B1B"/>
          <w:shd w:val="clear" w:color="auto" w:fill="FFFFFF"/>
        </w:rPr>
        <w:t>Degens</w:t>
      </w:r>
      <w:proofErr w:type="spellEnd"/>
      <w:r w:rsidRPr="00447B70">
        <w:rPr>
          <w:rFonts w:ascii="Times New Roman" w:hAnsi="Times New Roman" w:cs="Times New Roman"/>
          <w:color w:val="1B1B1B"/>
          <w:shd w:val="clear" w:color="auto" w:fill="FFFFFF"/>
        </w:rPr>
        <w:t xml:space="preserve">, H., &amp; </w:t>
      </w:r>
      <w:proofErr w:type="spellStart"/>
      <w:r w:rsidRPr="00447B70">
        <w:rPr>
          <w:rFonts w:ascii="Times New Roman" w:hAnsi="Times New Roman" w:cs="Times New Roman"/>
          <w:color w:val="1B1B1B"/>
          <w:shd w:val="clear" w:color="auto" w:fill="FFFFFF"/>
        </w:rPr>
        <w:t>Mazidi</w:t>
      </w:r>
      <w:proofErr w:type="spellEnd"/>
      <w:r w:rsidRPr="00447B70">
        <w:rPr>
          <w:rFonts w:ascii="Times New Roman" w:hAnsi="Times New Roman" w:cs="Times New Roman"/>
          <w:color w:val="1B1B1B"/>
          <w:shd w:val="clear" w:color="auto" w:fill="FFFFFF"/>
        </w:rPr>
        <w:t>, M. (2025). Neck stabilization exercise and dynamic neuromuscular stabilization reduce pain intensity, forward head angle and muscle activity of employees with chronic non-specific neck pain: A retrospective study. </w:t>
      </w:r>
      <w:r w:rsidRPr="00447B70">
        <w:rPr>
          <w:rFonts w:ascii="Times New Roman" w:hAnsi="Times New Roman" w:cs="Times New Roman"/>
          <w:i/>
          <w:iCs/>
          <w:color w:val="1B1B1B"/>
          <w:shd w:val="clear" w:color="auto" w:fill="FFFFFF"/>
        </w:rPr>
        <w:t xml:space="preserve">Journal of experimental </w:t>
      </w:r>
      <w:proofErr w:type="spellStart"/>
      <w:r w:rsidRPr="00447B70">
        <w:rPr>
          <w:rFonts w:ascii="Times New Roman" w:hAnsi="Times New Roman" w:cs="Times New Roman"/>
          <w:i/>
          <w:iCs/>
          <w:color w:val="1B1B1B"/>
          <w:shd w:val="clear" w:color="auto" w:fill="FFFFFF"/>
        </w:rPr>
        <w:t>orthopaedics</w:t>
      </w:r>
      <w:proofErr w:type="spellEnd"/>
      <w:r w:rsidRPr="00447B70">
        <w:rPr>
          <w:rFonts w:ascii="Times New Roman" w:hAnsi="Times New Roman" w:cs="Times New Roman"/>
          <w:color w:val="1B1B1B"/>
          <w:shd w:val="clear" w:color="auto" w:fill="FFFFFF"/>
        </w:rPr>
        <w:t>, </w:t>
      </w:r>
      <w:r w:rsidRPr="00447B70">
        <w:rPr>
          <w:rFonts w:ascii="Times New Roman" w:hAnsi="Times New Roman" w:cs="Times New Roman"/>
          <w:i/>
          <w:iCs/>
          <w:color w:val="1B1B1B"/>
          <w:shd w:val="clear" w:color="auto" w:fill="FFFFFF"/>
        </w:rPr>
        <w:t>12</w:t>
      </w:r>
      <w:r w:rsidRPr="00447B70">
        <w:rPr>
          <w:rFonts w:ascii="Times New Roman" w:hAnsi="Times New Roman" w:cs="Times New Roman"/>
          <w:color w:val="1B1B1B"/>
          <w:shd w:val="clear" w:color="auto" w:fill="FFFFFF"/>
        </w:rPr>
        <w:t xml:space="preserve">(1), e70188. </w:t>
      </w:r>
      <w:hyperlink r:id="rId10" w:history="1">
        <w:r w:rsidRPr="00847225">
          <w:rPr>
            <w:rStyle w:val="Hyperlink"/>
            <w:rFonts w:ascii="Times New Roman" w:hAnsi="Times New Roman" w:cs="Times New Roman"/>
            <w:shd w:val="clear" w:color="auto" w:fill="FFFFFF"/>
          </w:rPr>
          <w:t>https://doi.org/10.1002/jeo2.70188</w:t>
        </w:r>
      </w:hyperlink>
    </w:p>
    <w:p w14:paraId="7E4BA399" w14:textId="77777777" w:rsidR="00447B70" w:rsidRPr="00447B70" w:rsidRDefault="00447B70">
      <w:pPr>
        <w:spacing w:line="360" w:lineRule="auto"/>
        <w:rPr>
          <w:rFonts w:ascii="Times New Roman" w:eastAsia="Times New Roman" w:hAnsi="Times New Roman" w:cs="Times New Roman"/>
          <w:sz w:val="24"/>
          <w:szCs w:val="24"/>
        </w:rPr>
      </w:pPr>
    </w:p>
    <w:p w14:paraId="3B15391C" w14:textId="77777777" w:rsidR="00DC5EF8" w:rsidRPr="00447B70" w:rsidRDefault="00B65E97">
      <w:pPr>
        <w:spacing w:line="360" w:lineRule="auto"/>
        <w:rPr>
          <w:rFonts w:ascii="Times New Roman" w:eastAsia="Times New Roman" w:hAnsi="Times New Roman" w:cs="Times New Roman"/>
          <w:sz w:val="24"/>
          <w:szCs w:val="24"/>
        </w:rPr>
      </w:pPr>
      <w:r w:rsidRPr="00447B70">
        <w:rPr>
          <w:rFonts w:ascii="Times New Roman" w:eastAsia="Times New Roman" w:hAnsi="Times New Roman" w:cs="Times New Roman"/>
          <w:sz w:val="24"/>
          <w:szCs w:val="24"/>
        </w:rPr>
        <w:t xml:space="preserve">21. </w:t>
      </w:r>
      <w:proofErr w:type="spellStart"/>
      <w:r w:rsidRPr="00447B70">
        <w:rPr>
          <w:rFonts w:ascii="Times New Roman" w:eastAsia="Times New Roman" w:hAnsi="Times New Roman" w:cs="Times New Roman"/>
          <w:sz w:val="24"/>
          <w:szCs w:val="24"/>
        </w:rPr>
        <w:t>Valenza</w:t>
      </w:r>
      <w:proofErr w:type="spellEnd"/>
      <w:r w:rsidRPr="00447B70">
        <w:rPr>
          <w:rFonts w:ascii="Times New Roman" w:eastAsia="Times New Roman" w:hAnsi="Times New Roman" w:cs="Times New Roman"/>
          <w:sz w:val="24"/>
          <w:szCs w:val="24"/>
        </w:rPr>
        <w:t>‑Peña G, Martín‑</w:t>
      </w:r>
      <w:proofErr w:type="spellStart"/>
      <w:r w:rsidRPr="00447B70">
        <w:rPr>
          <w:rFonts w:ascii="Times New Roman" w:eastAsia="Times New Roman" w:hAnsi="Times New Roman" w:cs="Times New Roman"/>
          <w:sz w:val="24"/>
          <w:szCs w:val="24"/>
        </w:rPr>
        <w:t>Núñez</w:t>
      </w:r>
      <w:proofErr w:type="spellEnd"/>
      <w:r w:rsidRPr="00447B70">
        <w:rPr>
          <w:rFonts w:ascii="Times New Roman" w:eastAsia="Times New Roman" w:hAnsi="Times New Roman" w:cs="Times New Roman"/>
          <w:sz w:val="24"/>
          <w:szCs w:val="24"/>
        </w:rPr>
        <w:t xml:space="preserve"> J, Heredia‑</w:t>
      </w:r>
      <w:proofErr w:type="spellStart"/>
      <w:r w:rsidRPr="00447B70">
        <w:rPr>
          <w:rFonts w:ascii="Times New Roman" w:eastAsia="Times New Roman" w:hAnsi="Times New Roman" w:cs="Times New Roman"/>
          <w:sz w:val="24"/>
          <w:szCs w:val="24"/>
        </w:rPr>
        <w:t>Ciuró</w:t>
      </w:r>
      <w:proofErr w:type="spellEnd"/>
      <w:r w:rsidRPr="00447B70">
        <w:rPr>
          <w:rFonts w:ascii="Times New Roman" w:eastAsia="Times New Roman" w:hAnsi="Times New Roman" w:cs="Times New Roman"/>
          <w:sz w:val="24"/>
          <w:szCs w:val="24"/>
        </w:rPr>
        <w:t xml:space="preserve"> A, et al. Effectiveness of self‑care education for chronic neck pain: a systematic review and meta‑analysis. Healthcare (Basel). 2023;11(24):3161. doi:10.3390/healthcare11243161</w:t>
      </w:r>
    </w:p>
    <w:p w14:paraId="383CB0D4" w14:textId="77777777" w:rsidR="00DC5EF8" w:rsidRPr="00447B70" w:rsidRDefault="00DC5EF8">
      <w:pPr>
        <w:spacing w:line="360" w:lineRule="auto"/>
        <w:rPr>
          <w:rFonts w:ascii="Times New Roman" w:eastAsia="Times New Roman" w:hAnsi="Times New Roman" w:cs="Times New Roman"/>
          <w:sz w:val="24"/>
          <w:szCs w:val="24"/>
        </w:rPr>
      </w:pPr>
    </w:p>
    <w:p w14:paraId="0B587DB3" w14:textId="77777777" w:rsidR="00DC5EF8" w:rsidRPr="00447B70" w:rsidRDefault="00DC5EF8">
      <w:pPr>
        <w:spacing w:line="360" w:lineRule="auto"/>
        <w:rPr>
          <w:rFonts w:ascii="Times New Roman" w:eastAsia="Times New Roman" w:hAnsi="Times New Roman" w:cs="Times New Roman"/>
          <w:sz w:val="24"/>
          <w:szCs w:val="24"/>
        </w:rPr>
      </w:pPr>
    </w:p>
    <w:p w14:paraId="5CDAF6D8" w14:textId="77777777" w:rsidR="00DC5EF8" w:rsidRPr="00447B70" w:rsidRDefault="00DC5EF8">
      <w:pPr>
        <w:spacing w:line="360" w:lineRule="auto"/>
        <w:rPr>
          <w:rFonts w:ascii="Times New Roman" w:eastAsia="Times New Roman" w:hAnsi="Times New Roman" w:cs="Times New Roman"/>
          <w:sz w:val="24"/>
          <w:szCs w:val="24"/>
        </w:rPr>
      </w:pPr>
    </w:p>
    <w:sectPr w:rsidR="00DC5EF8" w:rsidRPr="00447B7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463BE" w14:textId="77777777" w:rsidR="009067CB" w:rsidRDefault="009067CB">
      <w:pPr>
        <w:spacing w:line="240" w:lineRule="auto"/>
      </w:pPr>
      <w:r>
        <w:separator/>
      </w:r>
    </w:p>
  </w:endnote>
  <w:endnote w:type="continuationSeparator" w:id="0">
    <w:p w14:paraId="39DB900C" w14:textId="77777777" w:rsidR="009067CB" w:rsidRDefault="009067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497F4FE-A05A-41B0-91A4-7AE930510A2E}"/>
    <w:embedBold r:id="rId2" w:fontKey="{FB1A6538-4A3A-4B0A-B52A-D729690D6223}"/>
  </w:font>
  <w:font w:name="Calibri">
    <w:panose1 w:val="020F0502020204030204"/>
    <w:charset w:val="00"/>
    <w:family w:val="swiss"/>
    <w:pitch w:val="variable"/>
    <w:sig w:usb0="E4002EFF" w:usb1="C000247B" w:usb2="00000009" w:usb3="00000000" w:csb0="000001FF" w:csb1="00000000"/>
    <w:embedRegular r:id="rId3" w:fontKey="{109E3233-0EB7-46C8-BD23-25F7D182B7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3D64C" w14:textId="77777777" w:rsidR="001E05F3" w:rsidRDefault="001E0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536A" w14:textId="77777777" w:rsidR="00DC5EF8" w:rsidRDefault="00DC5E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BFC4" w14:textId="77777777" w:rsidR="001E05F3" w:rsidRDefault="001E0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C0F4C" w14:textId="77777777" w:rsidR="009067CB" w:rsidRDefault="009067CB">
      <w:pPr>
        <w:spacing w:line="240" w:lineRule="auto"/>
      </w:pPr>
      <w:r>
        <w:separator/>
      </w:r>
    </w:p>
  </w:footnote>
  <w:footnote w:type="continuationSeparator" w:id="0">
    <w:p w14:paraId="447BE79C" w14:textId="77777777" w:rsidR="009067CB" w:rsidRDefault="009067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E4FE" w14:textId="77777777" w:rsidR="001E05F3" w:rsidRDefault="009067CB">
    <w:pPr>
      <w:pStyle w:val="Header"/>
    </w:pPr>
    <w:r>
      <w:rPr>
        <w:noProof/>
      </w:rPr>
      <w:pict w14:anchorId="2294C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A357D" w14:textId="77777777" w:rsidR="00DC5EF8" w:rsidRDefault="009067CB">
    <w:r>
      <w:rPr>
        <w:noProof/>
      </w:rPr>
      <w:pict w14:anchorId="40659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6EEE5" w14:textId="77777777" w:rsidR="001E05F3" w:rsidRDefault="009067CB">
    <w:pPr>
      <w:pStyle w:val="Header"/>
    </w:pPr>
    <w:r>
      <w:rPr>
        <w:noProof/>
      </w:rPr>
      <w:pict w14:anchorId="13A5A4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A83585"/>
    <w:multiLevelType w:val="hybridMultilevel"/>
    <w:tmpl w:val="B75E31AC"/>
    <w:lvl w:ilvl="0" w:tplc="20642136">
      <w:start w:val="1"/>
      <w:numFmt w:val="decimal"/>
      <w:lvlText w:val="%1."/>
      <w:lvlJc w:val="left"/>
      <w:pPr>
        <w:ind w:left="244" w:hanging="245"/>
        <w:jc w:val="left"/>
      </w:pPr>
      <w:rPr>
        <w:rFonts w:ascii="Arial MT" w:eastAsia="Arial MT" w:hAnsi="Arial MT" w:cs="Arial MT" w:hint="default"/>
        <w:b w:val="0"/>
        <w:bCs w:val="0"/>
        <w:i w:val="0"/>
        <w:iCs w:val="0"/>
        <w:spacing w:val="-1"/>
        <w:w w:val="89"/>
        <w:sz w:val="22"/>
        <w:szCs w:val="22"/>
        <w:lang w:val="en-US" w:eastAsia="en-US" w:bidi="ar-SA"/>
      </w:rPr>
    </w:lvl>
    <w:lvl w:ilvl="1" w:tplc="623E55D6">
      <w:numFmt w:val="bullet"/>
      <w:lvlText w:val="•"/>
      <w:lvlJc w:val="left"/>
      <w:pPr>
        <w:ind w:left="1152" w:hanging="245"/>
      </w:pPr>
      <w:rPr>
        <w:rFonts w:hint="default"/>
        <w:lang w:val="en-US" w:eastAsia="en-US" w:bidi="ar-SA"/>
      </w:rPr>
    </w:lvl>
    <w:lvl w:ilvl="2" w:tplc="7A14C7F2">
      <w:numFmt w:val="bullet"/>
      <w:lvlText w:val="•"/>
      <w:lvlJc w:val="left"/>
      <w:pPr>
        <w:ind w:left="2064" w:hanging="245"/>
      </w:pPr>
      <w:rPr>
        <w:rFonts w:hint="default"/>
        <w:lang w:val="en-US" w:eastAsia="en-US" w:bidi="ar-SA"/>
      </w:rPr>
    </w:lvl>
    <w:lvl w:ilvl="3" w:tplc="4C189A86">
      <w:numFmt w:val="bullet"/>
      <w:lvlText w:val="•"/>
      <w:lvlJc w:val="left"/>
      <w:pPr>
        <w:ind w:left="2976" w:hanging="245"/>
      </w:pPr>
      <w:rPr>
        <w:rFonts w:hint="default"/>
        <w:lang w:val="en-US" w:eastAsia="en-US" w:bidi="ar-SA"/>
      </w:rPr>
    </w:lvl>
    <w:lvl w:ilvl="4" w:tplc="A2DC6900">
      <w:numFmt w:val="bullet"/>
      <w:lvlText w:val="•"/>
      <w:lvlJc w:val="left"/>
      <w:pPr>
        <w:ind w:left="3888" w:hanging="245"/>
      </w:pPr>
      <w:rPr>
        <w:rFonts w:hint="default"/>
        <w:lang w:val="en-US" w:eastAsia="en-US" w:bidi="ar-SA"/>
      </w:rPr>
    </w:lvl>
    <w:lvl w:ilvl="5" w:tplc="8752FB22">
      <w:numFmt w:val="bullet"/>
      <w:lvlText w:val="•"/>
      <w:lvlJc w:val="left"/>
      <w:pPr>
        <w:ind w:left="4800" w:hanging="245"/>
      </w:pPr>
      <w:rPr>
        <w:rFonts w:hint="default"/>
        <w:lang w:val="en-US" w:eastAsia="en-US" w:bidi="ar-SA"/>
      </w:rPr>
    </w:lvl>
    <w:lvl w:ilvl="6" w:tplc="00343488">
      <w:numFmt w:val="bullet"/>
      <w:lvlText w:val="•"/>
      <w:lvlJc w:val="left"/>
      <w:pPr>
        <w:ind w:left="5712" w:hanging="245"/>
      </w:pPr>
      <w:rPr>
        <w:rFonts w:hint="default"/>
        <w:lang w:val="en-US" w:eastAsia="en-US" w:bidi="ar-SA"/>
      </w:rPr>
    </w:lvl>
    <w:lvl w:ilvl="7" w:tplc="B0E838AC">
      <w:numFmt w:val="bullet"/>
      <w:lvlText w:val="•"/>
      <w:lvlJc w:val="left"/>
      <w:pPr>
        <w:ind w:left="6624" w:hanging="245"/>
      </w:pPr>
      <w:rPr>
        <w:rFonts w:hint="default"/>
        <w:lang w:val="en-US" w:eastAsia="en-US" w:bidi="ar-SA"/>
      </w:rPr>
    </w:lvl>
    <w:lvl w:ilvl="8" w:tplc="6FCEA7D2">
      <w:numFmt w:val="bullet"/>
      <w:lvlText w:val="•"/>
      <w:lvlJc w:val="left"/>
      <w:pPr>
        <w:ind w:left="7536" w:hanging="245"/>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F8"/>
    <w:rsid w:val="001E05F3"/>
    <w:rsid w:val="003B588A"/>
    <w:rsid w:val="00433765"/>
    <w:rsid w:val="00447B70"/>
    <w:rsid w:val="00482A0D"/>
    <w:rsid w:val="0054797D"/>
    <w:rsid w:val="0057317B"/>
    <w:rsid w:val="005A4360"/>
    <w:rsid w:val="0074077A"/>
    <w:rsid w:val="007E458B"/>
    <w:rsid w:val="00812296"/>
    <w:rsid w:val="008C5F89"/>
    <w:rsid w:val="008D4532"/>
    <w:rsid w:val="008F0D3D"/>
    <w:rsid w:val="009067CB"/>
    <w:rsid w:val="0093571C"/>
    <w:rsid w:val="00AD5915"/>
    <w:rsid w:val="00B43AE1"/>
    <w:rsid w:val="00B65E97"/>
    <w:rsid w:val="00C2586D"/>
    <w:rsid w:val="00CE006B"/>
    <w:rsid w:val="00DC5EF8"/>
    <w:rsid w:val="00DC7C98"/>
    <w:rsid w:val="00E63AD2"/>
    <w:rsid w:val="00F82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4EABD4"/>
  <w15:docId w15:val="{967C733C-2F63-4CCF-8B20-EBA8F1FC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C2586D"/>
    <w:rPr>
      <w:color w:val="0000FF" w:themeColor="hyperlink"/>
      <w:u w:val="single"/>
    </w:rPr>
  </w:style>
  <w:style w:type="character" w:styleId="UnresolvedMention">
    <w:name w:val="Unresolved Mention"/>
    <w:basedOn w:val="DefaultParagraphFont"/>
    <w:uiPriority w:val="99"/>
    <w:semiHidden/>
    <w:unhideWhenUsed/>
    <w:rsid w:val="00C2586D"/>
    <w:rPr>
      <w:color w:val="605E5C"/>
      <w:shd w:val="clear" w:color="auto" w:fill="E1DFDD"/>
    </w:rPr>
  </w:style>
  <w:style w:type="paragraph" w:styleId="Header">
    <w:name w:val="header"/>
    <w:basedOn w:val="Normal"/>
    <w:link w:val="HeaderChar"/>
    <w:uiPriority w:val="99"/>
    <w:unhideWhenUsed/>
    <w:rsid w:val="001E05F3"/>
    <w:pPr>
      <w:tabs>
        <w:tab w:val="center" w:pos="4680"/>
        <w:tab w:val="right" w:pos="9360"/>
      </w:tabs>
      <w:spacing w:line="240" w:lineRule="auto"/>
    </w:pPr>
  </w:style>
  <w:style w:type="character" w:customStyle="1" w:styleId="HeaderChar">
    <w:name w:val="Header Char"/>
    <w:basedOn w:val="DefaultParagraphFont"/>
    <w:link w:val="Header"/>
    <w:uiPriority w:val="99"/>
    <w:rsid w:val="001E05F3"/>
  </w:style>
  <w:style w:type="paragraph" w:styleId="Footer">
    <w:name w:val="footer"/>
    <w:basedOn w:val="Normal"/>
    <w:link w:val="FooterChar"/>
    <w:uiPriority w:val="99"/>
    <w:unhideWhenUsed/>
    <w:rsid w:val="001E05F3"/>
    <w:pPr>
      <w:tabs>
        <w:tab w:val="center" w:pos="4680"/>
        <w:tab w:val="right" w:pos="9360"/>
      </w:tabs>
      <w:spacing w:line="240" w:lineRule="auto"/>
    </w:pPr>
  </w:style>
  <w:style w:type="character" w:customStyle="1" w:styleId="FooterChar">
    <w:name w:val="Footer Char"/>
    <w:basedOn w:val="DefaultParagraphFont"/>
    <w:link w:val="Footer"/>
    <w:uiPriority w:val="99"/>
    <w:rsid w:val="001E05F3"/>
  </w:style>
  <w:style w:type="paragraph" w:styleId="NoSpacing">
    <w:name w:val="No Spacing"/>
    <w:uiPriority w:val="1"/>
    <w:qFormat/>
    <w:rsid w:val="00B43AE1"/>
    <w:pPr>
      <w:spacing w:line="240" w:lineRule="auto"/>
    </w:pPr>
    <w:rPr>
      <w:rFonts w:asciiTheme="minorHAnsi" w:eastAsiaTheme="minorHAnsi" w:hAnsiTheme="minorHAnsi" w:cstheme="minorBidi"/>
      <w:lang w:val="en-GB" w:eastAsia="en-US"/>
    </w:rPr>
  </w:style>
  <w:style w:type="paragraph" w:styleId="NormalWeb">
    <w:name w:val="Normal (Web)"/>
    <w:basedOn w:val="Normal"/>
    <w:uiPriority w:val="99"/>
    <w:unhideWhenUsed/>
    <w:rsid w:val="0081229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447B70"/>
    <w:rPr>
      <w:b/>
      <w:bCs/>
    </w:rPr>
  </w:style>
  <w:style w:type="character" w:styleId="Emphasis">
    <w:name w:val="Emphasis"/>
    <w:basedOn w:val="DefaultParagraphFont"/>
    <w:uiPriority w:val="20"/>
    <w:qFormat/>
    <w:rsid w:val="00447B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51012">
      <w:bodyDiv w:val="1"/>
      <w:marLeft w:val="0"/>
      <w:marRight w:val="0"/>
      <w:marTop w:val="0"/>
      <w:marBottom w:val="0"/>
      <w:divBdr>
        <w:top w:val="none" w:sz="0" w:space="0" w:color="auto"/>
        <w:left w:val="none" w:sz="0" w:space="0" w:color="auto"/>
        <w:bottom w:val="none" w:sz="0" w:space="0" w:color="auto"/>
        <w:right w:val="none" w:sz="0" w:space="0" w:color="auto"/>
      </w:divBdr>
      <w:divsChild>
        <w:div w:id="366757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3841530">
      <w:bodyDiv w:val="1"/>
      <w:marLeft w:val="0"/>
      <w:marRight w:val="0"/>
      <w:marTop w:val="0"/>
      <w:marBottom w:val="0"/>
      <w:divBdr>
        <w:top w:val="none" w:sz="0" w:space="0" w:color="auto"/>
        <w:left w:val="none" w:sz="0" w:space="0" w:color="auto"/>
        <w:bottom w:val="none" w:sz="0" w:space="0" w:color="auto"/>
        <w:right w:val="none" w:sz="0" w:space="0" w:color="auto"/>
      </w:divBdr>
      <w:divsChild>
        <w:div w:id="178591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7926702">
      <w:bodyDiv w:val="1"/>
      <w:marLeft w:val="0"/>
      <w:marRight w:val="0"/>
      <w:marTop w:val="0"/>
      <w:marBottom w:val="0"/>
      <w:divBdr>
        <w:top w:val="none" w:sz="0" w:space="0" w:color="auto"/>
        <w:left w:val="none" w:sz="0" w:space="0" w:color="auto"/>
        <w:bottom w:val="none" w:sz="0" w:space="0" w:color="auto"/>
        <w:right w:val="none" w:sz="0" w:space="0" w:color="auto"/>
      </w:divBdr>
      <w:divsChild>
        <w:div w:id="8997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634505">
      <w:bodyDiv w:val="1"/>
      <w:marLeft w:val="0"/>
      <w:marRight w:val="0"/>
      <w:marTop w:val="0"/>
      <w:marBottom w:val="0"/>
      <w:divBdr>
        <w:top w:val="none" w:sz="0" w:space="0" w:color="auto"/>
        <w:left w:val="none" w:sz="0" w:space="0" w:color="auto"/>
        <w:bottom w:val="none" w:sz="0" w:space="0" w:color="auto"/>
        <w:right w:val="none" w:sz="0" w:space="0" w:color="auto"/>
      </w:divBdr>
      <w:divsChild>
        <w:div w:id="411394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5211286">
      <w:bodyDiv w:val="1"/>
      <w:marLeft w:val="0"/>
      <w:marRight w:val="0"/>
      <w:marTop w:val="0"/>
      <w:marBottom w:val="0"/>
      <w:divBdr>
        <w:top w:val="none" w:sz="0" w:space="0" w:color="auto"/>
        <w:left w:val="none" w:sz="0" w:space="0" w:color="auto"/>
        <w:bottom w:val="none" w:sz="0" w:space="0" w:color="auto"/>
        <w:right w:val="none" w:sz="0" w:space="0" w:color="auto"/>
      </w:divBdr>
      <w:divsChild>
        <w:div w:id="414135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1113731">
      <w:bodyDiv w:val="1"/>
      <w:marLeft w:val="0"/>
      <w:marRight w:val="0"/>
      <w:marTop w:val="0"/>
      <w:marBottom w:val="0"/>
      <w:divBdr>
        <w:top w:val="none" w:sz="0" w:space="0" w:color="auto"/>
        <w:left w:val="none" w:sz="0" w:space="0" w:color="auto"/>
        <w:bottom w:val="none" w:sz="0" w:space="0" w:color="auto"/>
        <w:right w:val="none" w:sz="0" w:space="0" w:color="auto"/>
      </w:divBdr>
      <w:divsChild>
        <w:div w:id="152450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9157">
      <w:bodyDiv w:val="1"/>
      <w:marLeft w:val="0"/>
      <w:marRight w:val="0"/>
      <w:marTop w:val="0"/>
      <w:marBottom w:val="0"/>
      <w:divBdr>
        <w:top w:val="none" w:sz="0" w:space="0" w:color="auto"/>
        <w:left w:val="none" w:sz="0" w:space="0" w:color="auto"/>
        <w:bottom w:val="none" w:sz="0" w:space="0" w:color="auto"/>
        <w:right w:val="none" w:sz="0" w:space="0" w:color="auto"/>
      </w:divBdr>
      <w:divsChild>
        <w:div w:id="705176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148926">
      <w:bodyDiv w:val="1"/>
      <w:marLeft w:val="0"/>
      <w:marRight w:val="0"/>
      <w:marTop w:val="0"/>
      <w:marBottom w:val="0"/>
      <w:divBdr>
        <w:top w:val="none" w:sz="0" w:space="0" w:color="auto"/>
        <w:left w:val="none" w:sz="0" w:space="0" w:color="auto"/>
        <w:bottom w:val="none" w:sz="0" w:space="0" w:color="auto"/>
        <w:right w:val="none" w:sz="0" w:space="0" w:color="auto"/>
      </w:divBdr>
      <w:divsChild>
        <w:div w:id="1984970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19317611.2022.2155288"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1002/jeo2.70188" TargetMode="External"/><Relationship Id="rId4" Type="http://schemas.openxmlformats.org/officeDocument/2006/relationships/webSettings" Target="webSettings.xml"/><Relationship Id="rId9" Type="http://schemas.openxmlformats.org/officeDocument/2006/relationships/hyperlink" Target="https://doi.org/10.17305/bb.2023.9049"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3011</Words>
  <Characters>17164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2026-02-19T23:27:00Z</dcterms:created>
  <dcterms:modified xsi:type="dcterms:W3CDTF">2026-02-19T23:27:00Z</dcterms:modified>
</cp:coreProperties>
</file>