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1008B" w14:textId="77777777" w:rsidR="005D18BF" w:rsidRDefault="005D18BF" w:rsidP="005D18BF">
      <w:pPr>
        <w:pStyle w:val="Header"/>
        <w:rPr>
          <w:i/>
          <w:iCs/>
          <w:sz w:val="28"/>
          <w:szCs w:val="28"/>
        </w:rPr>
      </w:pPr>
      <w:r w:rsidRPr="00355F95">
        <w:rPr>
          <w:i/>
          <w:iCs/>
          <w:sz w:val="28"/>
          <w:szCs w:val="28"/>
        </w:rPr>
        <w:t>Original Research Article</w:t>
      </w:r>
    </w:p>
    <w:p w14:paraId="36701FD5" w14:textId="348C02B7" w:rsidR="005D18BF" w:rsidRPr="00355F95" w:rsidRDefault="005D18BF" w:rsidP="005D18BF">
      <w:pPr>
        <w:pStyle w:val="Header"/>
        <w:rPr>
          <w:i/>
          <w:iCs/>
        </w:rPr>
      </w:pPr>
      <w:r>
        <w:rPr>
          <w:i/>
          <w:iCs/>
          <w:noProof/>
        </w:rPr>
        <mc:AlternateContent>
          <mc:Choice Requires="wps">
            <w:drawing>
              <wp:anchor distT="0" distB="0" distL="114300" distR="114300" simplePos="0" relativeHeight="251679744" behindDoc="1" locked="0" layoutInCell="0" allowOverlap="1" wp14:anchorId="18094386" wp14:editId="4D09F094">
                <wp:simplePos x="0" y="0"/>
                <wp:positionH relativeFrom="margin">
                  <wp:align>center</wp:align>
                </wp:positionH>
                <wp:positionV relativeFrom="margin">
                  <wp:align>center</wp:align>
                </wp:positionV>
                <wp:extent cx="7529195" cy="849630"/>
                <wp:effectExtent l="0" t="2466975" r="0" b="2303145"/>
                <wp:wrapNone/>
                <wp:docPr id="17625888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29195" cy="8496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0E68AD" w14:textId="77777777" w:rsidR="005D18BF" w:rsidRDefault="005D18BF" w:rsidP="005D18BF">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094386" id="_x0000_t202" coordsize="21600,21600" o:spt="202" path="m,l,21600r21600,l21600,xe">
                <v:stroke joinstyle="miter"/>
                <v:path gradientshapeok="t" o:connecttype="rect"/>
              </v:shapetype>
              <v:shape id="Text Box 8" o:spid="_x0000_s1026" type="#_x0000_t202" style="position:absolute;margin-left:0;margin-top:0;width:592.85pt;height:66.9pt;rotation:-45;z-index:-251636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" o:allowincell="f" filled="f" stroked="f">
                <v:stroke joinstyle="round"/>
                <o:lock v:ext="edit" shapetype="t"/>
                <v:textbox style="mso-fit-shape-to-text:t">
                  <w:txbxContent>
                    <w:p w14:paraId="230E68AD" w14:textId="77777777" w:rsidR="005D18BF" w:rsidRDefault="005D18BF" w:rsidP="005D18BF">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UNDER PEER REVIEW</w:t>
                      </w:r>
                    </w:p>
                  </w:txbxContent>
                </v:textbox>
                <w10:wrap anchorx="margin" anchory="margin"/>
              </v:shape>
            </w:pict>
          </mc:Fallback>
        </mc:AlternateContent>
      </w:r>
    </w:p>
    <w:p w14:paraId="20DEA782" w14:textId="52D30FBB" w:rsidR="005F7D48" w:rsidRPr="003F5699" w:rsidRDefault="005F7D48" w:rsidP="003F5699">
      <w:pPr>
        <w:spacing w:after="240" w:line="276" w:lineRule="auto"/>
        <w:jc w:val="both"/>
        <w:rPr>
          <w:b/>
          <w:bCs/>
        </w:rPr>
      </w:pPr>
      <w:r w:rsidRPr="005F7D48">
        <w:rPr>
          <w:b/>
          <w:bCs/>
        </w:rPr>
        <w:t>Enzyme-Driven Phytate Degradation in Fermented Agro-Waste Enhances Protein Efficiency and Oxidative Stability for Broiler Production</w:t>
      </w:r>
    </w:p>
    <w:p w14:paraId="31F725AD" w14:textId="77777777" w:rsidR="00EE3E52" w:rsidRDefault="00EE3E52" w:rsidP="00F33E87">
      <w:pPr>
        <w:spacing w:before="100" w:beforeAutospacing="1" w:after="100" w:afterAutospacing="1"/>
        <w:outlineLvl w:val="1"/>
        <w:rPr>
          <w:b/>
          <w:bCs/>
        </w:rPr>
      </w:pPr>
    </w:p>
    <w:p w14:paraId="4BEEDFEE" w14:textId="52EB8FC4" w:rsidR="00F33E87" w:rsidRPr="003F17FF" w:rsidRDefault="00F33E87" w:rsidP="00F33E87">
      <w:pPr>
        <w:spacing w:before="100" w:beforeAutospacing="1" w:after="100" w:afterAutospacing="1"/>
        <w:outlineLvl w:val="1"/>
        <w:rPr>
          <w:b/>
          <w:bCs/>
        </w:rPr>
      </w:pPr>
      <w:r w:rsidRPr="003F17FF">
        <w:rPr>
          <w:b/>
          <w:bCs/>
        </w:rPr>
        <w:t>Abstract</w:t>
      </w:r>
    </w:p>
    <w:p w14:paraId="66FA180B" w14:textId="253007D9" w:rsidR="00F33E87" w:rsidRPr="003F5699" w:rsidRDefault="003F5699" w:rsidP="00F33E87">
      <w:pPr>
        <w:spacing w:before="100" w:beforeAutospacing="1" w:after="100" w:afterAutospacing="1"/>
        <w:jc w:val="both"/>
      </w:pPr>
      <w:r w:rsidRPr="003F5699">
        <w:rPr>
          <w:b/>
          <w:bCs/>
        </w:rPr>
        <w:t>Background:</w:t>
      </w:r>
      <w:r>
        <w:t xml:space="preserve"> </w:t>
      </w:r>
      <w:r w:rsidR="00F33E87" w:rsidRPr="003F5699">
        <w:t xml:space="preserve">The utilization of agro-waste in poultry nutrition is limited by anti-nutritional factors, particularly phytate, which reduces nutrient bioavailability. This study investigated the effects of enzyme-driven phytate degradation via yeast fermentation on protein utilization, </w:t>
      </w:r>
      <w:r w:rsidR="00F33E87" w:rsidRPr="003F5699">
        <w:rPr>
          <w:i/>
          <w:iCs/>
        </w:rPr>
        <w:t>in-vitro</w:t>
      </w:r>
      <w:r w:rsidR="00F33E87" w:rsidRPr="003F5699">
        <w:t xml:space="preserve"> antioxidant potential of feeds, and organ integrity in broiler chickens. </w:t>
      </w:r>
      <w:r w:rsidRPr="003F5699">
        <w:rPr>
          <w:b/>
          <w:bCs/>
        </w:rPr>
        <w:t>Methods:</w:t>
      </w:r>
      <w:r>
        <w:t xml:space="preserve"> </w:t>
      </w:r>
      <w:r w:rsidR="00F33E87" w:rsidRPr="003F5699">
        <w:t xml:space="preserve">Agro-waste feed ingredients were fermented using </w:t>
      </w:r>
      <w:r w:rsidR="00F33E87" w:rsidRPr="003F5699">
        <w:rPr>
          <w:i/>
          <w:iCs/>
        </w:rPr>
        <w:t>Saccharomyces cerevisiae</w:t>
      </w:r>
      <w:r w:rsidR="00F33E87" w:rsidRPr="003F5699">
        <w:t xml:space="preserve"> to enhance endogenous phytase activity prior to feed formulation. Fifty (50) one-day-old Ross 308 broiler chicks were randomly allocated to three dietary groups: phytate-treated fermented feed, non-phytate-treated feed, and a commercial feed control, and reared for six weeks. Protein efficiency ratio (PER) was determined weekly. </w:t>
      </w:r>
      <w:r w:rsidR="00F33E87" w:rsidRPr="003F5699">
        <w:rPr>
          <w:i/>
          <w:iCs/>
        </w:rPr>
        <w:t>In-vitro</w:t>
      </w:r>
      <w:r w:rsidR="00F33E87" w:rsidRPr="003F5699">
        <w:t xml:space="preserve"> antioxidant assays, including lipid peroxidation (TBARS), catalase, and superoxide dismutase activities, were performed on feed samples. Serum liver enzymes (ALT, AST, ALP, GGT), total protein, and histopathological changes in the liver, small intestine, and bursa of Fabricius were evaluated in birds.</w:t>
      </w:r>
      <w:r w:rsidR="001F7B35" w:rsidRPr="003F5699">
        <w:t xml:space="preserve"> </w:t>
      </w:r>
      <w:r w:rsidRPr="003F5699">
        <w:rPr>
          <w:b/>
          <w:bCs/>
        </w:rPr>
        <w:t>Results:</w:t>
      </w:r>
      <w:r>
        <w:t xml:space="preserve"> </w:t>
      </w:r>
      <w:r w:rsidR="00F33E87" w:rsidRPr="003F5699">
        <w:t xml:space="preserve">Broilers fed the phytate-treated fermented diet showed a progressive increase in PER from 0.06 ± 0.00 (week 1) to 0.82 ± 0.40 (week 6), which was significantly higher (p &lt; 0.05) than values recorded for the non-phytate-treated diet (0.47 ± 0.11) and commercial feed (0.57 ± 0.05) at week 6. </w:t>
      </w:r>
      <w:r w:rsidR="00F33E87" w:rsidRPr="003F5699">
        <w:rPr>
          <w:i/>
          <w:iCs/>
        </w:rPr>
        <w:t>In-vitro</w:t>
      </w:r>
      <w:r w:rsidR="00F33E87" w:rsidRPr="003F5699">
        <w:t xml:space="preserve"> lipid peroxidation values decreased with increasing feed concentration, with the phytate-treated feed showing significantly improved oxidative stability across concentrations. Catalase activity was highest in the phytate-treated feed at 40 mg/ml (4.22 ± 0.00 µmol/g, p &lt; 0.05). Serum ALT (20.00–23.67 IU/L), AST (25.67–37.00 IU/L), ALP (22.33–26.33 IU/L), GGT (450.67–473.33 IU/L), and total protein (36.00–59.33 g/dL) remained within normal physiological ranges across all groups. Histopathological evaluation revealed better preservation of hepatic architecture, intestinal villi, and bursal structure in birds fed the phytate-treated fermented diet.</w:t>
      </w:r>
      <w:r w:rsidR="001F7B35" w:rsidRPr="003F5699">
        <w:t xml:space="preserve"> </w:t>
      </w:r>
      <w:r w:rsidRPr="003F5699">
        <w:rPr>
          <w:b/>
          <w:bCs/>
        </w:rPr>
        <w:t>Conclusion:</w:t>
      </w:r>
      <w:r>
        <w:t xml:space="preserve"> </w:t>
      </w:r>
      <w:r w:rsidRPr="003F5699">
        <w:t>Yeast</w:t>
      </w:r>
      <w:r w:rsidR="00F33E87" w:rsidRPr="003F5699">
        <w:t>-mediated phytate degradation improves feed oxidative quality, enhances protein utilization, and supports organ integrity in broiler chickens, highlighting fermented agro-waste as a sustainable poultry feed alternative.</w:t>
      </w:r>
    </w:p>
    <w:p w14:paraId="5F6014D0" w14:textId="76D85832" w:rsidR="003F5699" w:rsidRPr="003F5699" w:rsidRDefault="000D1040" w:rsidP="003F5699">
      <w:r w:rsidRPr="003F5699">
        <w:rPr>
          <w:b/>
          <w:bCs/>
        </w:rPr>
        <w:t>Keywords:</w:t>
      </w:r>
      <w:r w:rsidR="003F5699" w:rsidRPr="003F5699">
        <w:rPr>
          <w:b/>
          <w:bCs/>
        </w:rPr>
        <w:t xml:space="preserve"> </w:t>
      </w:r>
      <w:r w:rsidR="003F5699" w:rsidRPr="003F5699">
        <w:t>Agro-Waste Feed, Broiler Chicken Health, Oxidative Stability</w:t>
      </w:r>
      <w:r w:rsidR="003F5699">
        <w:t xml:space="preserve">, </w:t>
      </w:r>
      <w:r w:rsidR="003F5699" w:rsidRPr="003F5699">
        <w:t>Phytate Degradation, Yeast Fermentation, Protein Efficiency Ratio (PER)</w:t>
      </w:r>
    </w:p>
    <w:p w14:paraId="2131B276" w14:textId="040B4788" w:rsidR="003F5699" w:rsidRPr="003F5699" w:rsidRDefault="003F5699" w:rsidP="003F5699"/>
    <w:p w14:paraId="214138E7" w14:textId="77777777" w:rsidR="003F5699" w:rsidRDefault="003F5699" w:rsidP="003F17FF"/>
    <w:p w14:paraId="47DF8B93" w14:textId="1010CFBE" w:rsidR="00F51EDC" w:rsidRPr="003F17FF" w:rsidRDefault="003F17FF" w:rsidP="003F17FF">
      <w:pPr>
        <w:spacing w:line="360" w:lineRule="auto"/>
      </w:pPr>
      <w:r w:rsidRPr="003F17FF">
        <w:rPr>
          <w:rStyle w:val="Strong"/>
        </w:rPr>
        <w:t>INTRODUCTION</w:t>
      </w:r>
    </w:p>
    <w:p w14:paraId="78251000" w14:textId="77777777" w:rsidR="003F17FF" w:rsidRDefault="00F51EDC" w:rsidP="003F17FF">
      <w:pPr>
        <w:pStyle w:val="NormalWeb"/>
        <w:spacing w:line="360" w:lineRule="auto"/>
        <w:jc w:val="both"/>
      </w:pPr>
      <w:r w:rsidRPr="003F17FF">
        <w:t xml:space="preserve">Agro-industrial by-products represent an underutilized resource in poultry nutrition, particularly in developing regions, where feed cost accounts for over 70% of production expenses. However, their application is constrained by anti-nutritional factors such as phytate, which complexes dietary </w:t>
      </w:r>
      <w:r w:rsidRPr="003F17FF">
        <w:lastRenderedPageBreak/>
        <w:t>proteins and minerals, reducing nutrient digestibility in monogastric animals (Selle &amp; Ravindran, 2007; Cowieson et al., 2019).</w:t>
      </w:r>
    </w:p>
    <w:p w14:paraId="3756752A" w14:textId="77777777" w:rsidR="003F17FF" w:rsidRDefault="00F51EDC" w:rsidP="003F17FF">
      <w:pPr>
        <w:pStyle w:val="NormalWeb"/>
        <w:spacing w:line="360" w:lineRule="auto"/>
        <w:jc w:val="both"/>
      </w:pPr>
      <w:r w:rsidRPr="003F17FF">
        <w:t>Phytate degradation is fundamentally an enzyme-driven process mediated by phytase, which hydrolyzes myo-inositol hexaphosphate into lower inositol phosphates and inorganic phosphorus. While exogenous phytase supplementation is widely used, biological processing methods such as yeast fermentation can enhance endogenous phytase activity and reduce phytate content directly within feed matrices (Yalçin et al., 2023; Zhang et al., 2024).</w:t>
      </w:r>
    </w:p>
    <w:p w14:paraId="3C82C1C4" w14:textId="7AD77954" w:rsidR="00F51EDC" w:rsidRPr="003F17FF" w:rsidRDefault="00F51EDC" w:rsidP="003F17FF">
      <w:pPr>
        <w:pStyle w:val="NormalWeb"/>
        <w:spacing w:line="360" w:lineRule="auto"/>
        <w:jc w:val="both"/>
      </w:pPr>
      <w:r w:rsidRPr="003F17FF">
        <w:t xml:space="preserve">Beyond nutrient availability, feed oxidative stability is an important determinant of poultry performance and health. Lipid peroxidation in feeds compromises nutrient quality and generates reactive aldehydes that may adversely affect growth and organ function. Antioxidant enzymes such as catalase and superoxide dismutase contribute to oxidative stability by scavenging reactive oxygen species and decomposing hydrogen peroxide (Surai, 2024). Evaluating these parameters </w:t>
      </w:r>
      <w:r w:rsidRPr="003F17FF">
        <w:rPr>
          <w:rStyle w:val="Emphasis"/>
          <w:rFonts w:eastAsiaTheme="majorEastAsia"/>
        </w:rPr>
        <w:t>in-vitro</w:t>
      </w:r>
      <w:r w:rsidRPr="003F17FF">
        <w:t xml:space="preserve"> provides insight into the functional quality of formulated feeds.</w:t>
      </w:r>
    </w:p>
    <w:p w14:paraId="74CAC49C" w14:textId="77777777" w:rsidR="003F17FF" w:rsidRDefault="00F51EDC" w:rsidP="003F17FF">
      <w:pPr>
        <w:pStyle w:val="NormalWeb"/>
        <w:spacing w:line="360" w:lineRule="auto"/>
        <w:jc w:val="both"/>
      </w:pPr>
      <w:r w:rsidRPr="003F17FF">
        <w:t xml:space="preserve">This study therefore evaluated the effects of yeast-mediated phytate degradation on protein utilization in broiler chickens, </w:t>
      </w:r>
      <w:r w:rsidRPr="003F17FF">
        <w:rPr>
          <w:rStyle w:val="Emphasis"/>
          <w:rFonts w:eastAsiaTheme="majorEastAsia"/>
        </w:rPr>
        <w:t>in-vitro</w:t>
      </w:r>
      <w:r w:rsidRPr="003F17FF">
        <w:t xml:space="preserve"> antioxidant potential of fermented agro-waste feeds, and liver, intestinal, and immune organ integrity in broilers.</w:t>
      </w:r>
    </w:p>
    <w:p w14:paraId="2A0D78F7" w14:textId="77777777" w:rsidR="000E5AA8" w:rsidRDefault="003F17FF" w:rsidP="003F17FF">
      <w:pPr>
        <w:pStyle w:val="NormalWeb"/>
        <w:spacing w:line="360" w:lineRule="auto"/>
        <w:jc w:val="both"/>
        <w:rPr>
          <w:rStyle w:val="Strong"/>
        </w:rPr>
      </w:pPr>
      <w:r w:rsidRPr="003F17FF">
        <w:rPr>
          <w:rStyle w:val="Strong"/>
        </w:rPr>
        <w:t>MATERIALS AND METHODS</w:t>
      </w:r>
    </w:p>
    <w:p w14:paraId="2DF78E23" w14:textId="77777777" w:rsidR="000E5AA8" w:rsidRDefault="006E4513" w:rsidP="000E5AA8">
      <w:pPr>
        <w:pStyle w:val="NormalWeb"/>
        <w:spacing w:line="360" w:lineRule="auto"/>
        <w:jc w:val="both"/>
        <w:rPr>
          <w:b/>
          <w:bCs/>
        </w:rPr>
      </w:pPr>
      <w:r w:rsidRPr="003F17FF">
        <w:rPr>
          <w:b/>
          <w:bCs/>
        </w:rPr>
        <w:t>Ingredient Sourcing and Processing</w:t>
      </w:r>
    </w:p>
    <w:p w14:paraId="3E87F561" w14:textId="77777777" w:rsidR="000E5AA8" w:rsidRDefault="006E4513" w:rsidP="000E5AA8">
      <w:pPr>
        <w:pStyle w:val="NormalWeb"/>
        <w:spacing w:line="360" w:lineRule="auto"/>
        <w:jc w:val="both"/>
      </w:pPr>
      <w:r w:rsidRPr="003F17FF">
        <w:rPr>
          <w:rStyle w:val="citation-531"/>
          <w:rFonts w:eastAsiaTheme="majorEastAsia"/>
        </w:rPr>
        <w:t>Raw materials, including whole maize, ginger, garlic, crayfish chaff, fish waste, groundnut husk, and salt, were purchased from Mile 3 and Mile 1 markets in Port Harcourt, Rivers State, Nigeria</w:t>
      </w:r>
      <w:r w:rsidRPr="003F17FF">
        <w:t xml:space="preserve">. </w:t>
      </w:r>
      <w:r w:rsidRPr="003F17FF">
        <w:rPr>
          <w:rStyle w:val="citation-530"/>
        </w:rPr>
        <w:t>Supplemental plant-based components, specifically plantain peels, orange peels, and watermelon rinds, were collected from local vendors within the Port Harcourt metropolis</w:t>
      </w:r>
      <w:r w:rsidRPr="003F17FF">
        <w:t>.</w:t>
      </w:r>
      <w:r w:rsidR="000E5AA8">
        <w:rPr>
          <w:b/>
          <w:bCs/>
        </w:rPr>
        <w:t xml:space="preserve"> </w:t>
      </w:r>
      <w:r w:rsidRPr="003F17FF">
        <w:rPr>
          <w:rStyle w:val="citation-529"/>
        </w:rPr>
        <w:t>Initial processing involved cleaning fish waste and crayfish chaff to remove contaminants, followed by sun-drying for three days</w:t>
      </w:r>
      <w:r w:rsidRPr="003F17FF">
        <w:t xml:space="preserve">. </w:t>
      </w:r>
      <w:r w:rsidRPr="003F17FF">
        <w:rPr>
          <w:rStyle w:val="citation-528"/>
        </w:rPr>
        <w:t>Plant-based materials were rinsed under running water, sliced, and soaked in clean water for 24 hours at ambient temperature (28±2</w:t>
      </w:r>
      <w:r w:rsidRPr="003F17FF">
        <w:rPr>
          <w:rStyle w:val="citation-528"/>
          <w:rFonts w:ascii="Cambria Math" w:hAnsi="Cambria Math" w:cs="Cambria Math"/>
        </w:rPr>
        <w:t>∘</w:t>
      </w:r>
      <w:r w:rsidRPr="003F17FF">
        <w:rPr>
          <w:rStyle w:val="citation-528"/>
        </w:rPr>
        <w:t>C) to facilitate softening and the leaching of soluble anti-nutritional factors</w:t>
      </w:r>
      <w:r w:rsidRPr="003F17FF">
        <w:t>.</w:t>
      </w:r>
    </w:p>
    <w:p w14:paraId="77AA33B3" w14:textId="77777777" w:rsidR="000E5AA8" w:rsidRDefault="006E4513" w:rsidP="000E5AA8">
      <w:pPr>
        <w:pStyle w:val="NormalWeb"/>
        <w:spacing w:line="360" w:lineRule="auto"/>
        <w:jc w:val="both"/>
        <w:rPr>
          <w:b/>
          <w:bCs/>
        </w:rPr>
      </w:pPr>
      <w:r w:rsidRPr="003F17FF">
        <w:rPr>
          <w:b/>
          <w:bCs/>
        </w:rPr>
        <w:lastRenderedPageBreak/>
        <w:t>Inoculum Preparatio</w:t>
      </w:r>
      <w:r w:rsidR="005B3FD4" w:rsidRPr="003F17FF">
        <w:rPr>
          <w:b/>
          <w:bCs/>
        </w:rPr>
        <w:t xml:space="preserve">n, </w:t>
      </w:r>
      <w:r w:rsidRPr="003F17FF">
        <w:rPr>
          <w:b/>
          <w:bCs/>
        </w:rPr>
        <w:t>Fermentation</w:t>
      </w:r>
      <w:r w:rsidR="005B3FD4" w:rsidRPr="003F17FF">
        <w:rPr>
          <w:b/>
          <w:bCs/>
        </w:rPr>
        <w:t xml:space="preserve"> and and Enzyme Activation  </w:t>
      </w:r>
    </w:p>
    <w:p w14:paraId="071014C6" w14:textId="77777777" w:rsidR="000E5AA8" w:rsidRDefault="006E4513" w:rsidP="000E5AA8">
      <w:pPr>
        <w:pStyle w:val="NormalWeb"/>
        <w:spacing w:line="360" w:lineRule="auto"/>
        <w:jc w:val="both"/>
      </w:pPr>
      <w:r w:rsidRPr="003F17FF">
        <w:rPr>
          <w:rStyle w:val="citation-527"/>
        </w:rPr>
        <w:t xml:space="preserve">To enhance fermentation efficiency, a </w:t>
      </w:r>
      <w:r w:rsidRPr="003F17FF">
        <w:rPr>
          <w:rStyle w:val="citation-527"/>
          <w:i/>
          <w:iCs/>
        </w:rPr>
        <w:t>Saccharomyces cerevisiae</w:t>
      </w:r>
      <w:r w:rsidRPr="003F17FF">
        <w:rPr>
          <w:rStyle w:val="citation-527"/>
        </w:rPr>
        <w:t xml:space="preserve"> (baker’s yeast) inoculum was prepared</w:t>
      </w:r>
      <w:r w:rsidRPr="003F17FF">
        <w:t xml:space="preserve">. </w:t>
      </w:r>
      <w:r w:rsidRPr="003F17FF">
        <w:rPr>
          <w:rStyle w:val="citation-526"/>
        </w:rPr>
        <w:t>Ten grams of yeast were dissolved in 100 ml of sterile lukewarm water (30–37</w:t>
      </w:r>
      <w:r w:rsidRPr="003F17FF">
        <w:rPr>
          <w:rStyle w:val="citation-526"/>
          <w:rFonts w:ascii="Cambria Math" w:hAnsi="Cambria Math" w:cs="Cambria Math"/>
        </w:rPr>
        <w:t>∘</w:t>
      </w:r>
      <w:r w:rsidRPr="003F17FF">
        <w:rPr>
          <w:rStyle w:val="citation-526"/>
        </w:rPr>
        <w:t>C), supplemented with 5 g of glucose as an energy source, and activated for 30 minutes until frothing occurred</w:t>
      </w:r>
      <w:r w:rsidRPr="003F17FF">
        <w:t xml:space="preserve">. </w:t>
      </w:r>
      <w:r w:rsidRPr="003F17FF">
        <w:rPr>
          <w:rStyle w:val="citation-525"/>
        </w:rPr>
        <w:t>The suspension was then diluted to a total volume of 1 L with sterile water</w:t>
      </w:r>
      <w:r w:rsidRPr="003F17FF">
        <w:t>.</w:t>
      </w:r>
      <w:r w:rsidR="000E5AA8">
        <w:rPr>
          <w:b/>
          <w:bCs/>
        </w:rPr>
        <w:t xml:space="preserve"> </w:t>
      </w:r>
      <w:r w:rsidRPr="003F17FF">
        <w:rPr>
          <w:rStyle w:val="citation-524"/>
        </w:rPr>
        <w:t>The activated inoculum was introduced into the containers holding the pre-soaked plant materials</w:t>
      </w:r>
      <w:r w:rsidRPr="003F17FF">
        <w:t xml:space="preserve">. </w:t>
      </w:r>
      <w:r w:rsidRPr="003F17FF">
        <w:rPr>
          <w:rStyle w:val="citation-523"/>
        </w:rPr>
        <w:t>The containers were loosely covered to allow limited aeration and left to ferment for 24 hours at 28±2</w:t>
      </w:r>
      <w:r w:rsidRPr="003F17FF">
        <w:rPr>
          <w:rStyle w:val="citation-523"/>
          <w:rFonts w:ascii="Cambria Math" w:hAnsi="Cambria Math" w:cs="Cambria Math"/>
        </w:rPr>
        <w:t>∘</w:t>
      </w:r>
      <w:r w:rsidRPr="003F17FF">
        <w:rPr>
          <w:rStyle w:val="citation-523"/>
        </w:rPr>
        <w:t>C</w:t>
      </w:r>
      <w:r w:rsidRPr="003F17FF">
        <w:t xml:space="preserve">. </w:t>
      </w:r>
      <w:r w:rsidRPr="003F17FF">
        <w:rPr>
          <w:rStyle w:val="citation-522"/>
        </w:rPr>
        <w:t>During this phase, yeast activity was monitored via frothing and odor changes as the microbes metabolized carbohydrates and reduced phytates and other anti-nutritional compounds</w:t>
      </w:r>
      <w:r w:rsidRPr="003F17FF">
        <w:t xml:space="preserve">. </w:t>
      </w:r>
      <w:r w:rsidRPr="003F17FF">
        <w:rPr>
          <w:rStyle w:val="citation-521"/>
        </w:rPr>
        <w:t>Post-fermentation, the materials were oven-dried at 60</w:t>
      </w:r>
      <w:r w:rsidRPr="003F17FF">
        <w:rPr>
          <w:rStyle w:val="citation-521"/>
          <w:rFonts w:ascii="Cambria Math" w:hAnsi="Cambria Math" w:cs="Cambria Math"/>
        </w:rPr>
        <w:t>∘</w:t>
      </w:r>
      <w:r w:rsidRPr="003F17FF">
        <w:rPr>
          <w:rStyle w:val="citation-521"/>
        </w:rPr>
        <w:t>C for 24–48 hours until a constant weight was achieved to halt microbial activity</w:t>
      </w:r>
      <w:r w:rsidRPr="003F17FF">
        <w:t xml:space="preserve">. </w:t>
      </w:r>
      <w:r w:rsidRPr="003F17FF">
        <w:rPr>
          <w:rStyle w:val="citation-520"/>
        </w:rPr>
        <w:t>The dried samples were milled industrially and stored in airtight polyethylene bags at 4</w:t>
      </w:r>
      <w:r w:rsidRPr="003F17FF">
        <w:rPr>
          <w:rStyle w:val="citation-520"/>
          <w:rFonts w:ascii="Cambria Math" w:hAnsi="Cambria Math" w:cs="Cambria Math"/>
        </w:rPr>
        <w:t>∘</w:t>
      </w:r>
      <w:r w:rsidRPr="003F17FF">
        <w:rPr>
          <w:rStyle w:val="citation-520"/>
        </w:rPr>
        <w:t>C</w:t>
      </w:r>
      <w:r w:rsidRPr="003F17FF">
        <w:t>.</w:t>
      </w:r>
    </w:p>
    <w:p w14:paraId="013979F2" w14:textId="77777777" w:rsidR="000E5AA8" w:rsidRDefault="006E4513" w:rsidP="000E5AA8">
      <w:pPr>
        <w:pStyle w:val="NormalWeb"/>
        <w:spacing w:line="360" w:lineRule="auto"/>
        <w:jc w:val="both"/>
        <w:rPr>
          <w:b/>
          <w:bCs/>
        </w:rPr>
      </w:pPr>
      <w:r w:rsidRPr="003F17FF">
        <w:rPr>
          <w:b/>
          <w:bCs/>
        </w:rPr>
        <w:t>Feed Formulation</w:t>
      </w:r>
    </w:p>
    <w:p w14:paraId="5CC15DD7" w14:textId="6372B465" w:rsidR="006E4513" w:rsidRPr="000E5AA8" w:rsidRDefault="006E4513" w:rsidP="000E5AA8">
      <w:pPr>
        <w:pStyle w:val="NormalWeb"/>
        <w:spacing w:line="360" w:lineRule="auto"/>
        <w:jc w:val="both"/>
        <w:rPr>
          <w:b/>
          <w:bCs/>
        </w:rPr>
      </w:pPr>
      <w:r w:rsidRPr="003F17FF">
        <w:rPr>
          <w:rStyle w:val="citation-519"/>
        </w:rPr>
        <w:t>Experimental starter and finisher diets were formulated to a total of 25 kg each by mixing the treated locally sourced agro-industrial by-products</w:t>
      </w:r>
      <w:r w:rsidRPr="003F17FF">
        <w:t>. The ingredient composition for both phases is detailed in Table 1.</w:t>
      </w:r>
    </w:p>
    <w:p w14:paraId="28D0C33C" w14:textId="6A7ABBB7" w:rsidR="00291FBC" w:rsidRPr="003F17FF" w:rsidRDefault="006E4513" w:rsidP="00CF18AC">
      <w:pPr>
        <w:pStyle w:val="NormalWeb"/>
        <w:jc w:val="both"/>
        <w:rPr>
          <w:b/>
          <w:bCs/>
        </w:rPr>
      </w:pPr>
      <w:r w:rsidRPr="003F17FF">
        <w:rPr>
          <w:rStyle w:val="citation-518"/>
          <w:b/>
          <w:bCs/>
        </w:rPr>
        <w:t xml:space="preserve">Table 1: Ingredient Composition of Experimental Broiler </w:t>
      </w:r>
    </w:p>
    <w:tbl>
      <w:tblPr>
        <w:tblStyle w:val="TableGrid"/>
        <w:tblW w:w="0" w:type="auto"/>
        <w:tblLook w:val="04A0" w:firstRow="1" w:lastRow="0" w:firstColumn="1" w:lastColumn="0" w:noHBand="0" w:noVBand="1"/>
      </w:tblPr>
      <w:tblGrid>
        <w:gridCol w:w="2065"/>
        <w:gridCol w:w="1541"/>
        <w:gridCol w:w="1803"/>
        <w:gridCol w:w="1786"/>
        <w:gridCol w:w="1530"/>
      </w:tblGrid>
      <w:tr w:rsidR="000E5AA8" w:rsidRPr="003F17FF" w14:paraId="61715B45" w14:textId="77777777" w:rsidTr="000E5AA8">
        <w:tc>
          <w:tcPr>
            <w:tcW w:w="2065" w:type="dxa"/>
            <w:vMerge w:val="restart"/>
            <w:vAlign w:val="center"/>
          </w:tcPr>
          <w:p w14:paraId="6BDEA258" w14:textId="77777777" w:rsidR="000E5AA8" w:rsidRPr="000E5AA8" w:rsidRDefault="000E5AA8" w:rsidP="00CF18AC">
            <w:pPr>
              <w:pStyle w:val="NormalWeb"/>
              <w:jc w:val="both"/>
              <w:rPr>
                <w:b/>
                <w:bCs/>
              </w:rPr>
            </w:pPr>
            <w:r w:rsidRPr="000E5AA8">
              <w:rPr>
                <w:b/>
                <w:bCs/>
              </w:rPr>
              <w:t>Ingredients</w:t>
            </w:r>
          </w:p>
        </w:tc>
        <w:tc>
          <w:tcPr>
            <w:tcW w:w="3344" w:type="dxa"/>
            <w:gridSpan w:val="2"/>
            <w:vAlign w:val="center"/>
          </w:tcPr>
          <w:p w14:paraId="57070A18" w14:textId="5DBD4A62" w:rsidR="000E5AA8" w:rsidRPr="000E5AA8" w:rsidRDefault="000E5AA8" w:rsidP="000E5AA8">
            <w:pPr>
              <w:pStyle w:val="NormalWeb"/>
              <w:jc w:val="center"/>
              <w:rPr>
                <w:b/>
                <w:bCs/>
              </w:rPr>
            </w:pPr>
            <w:r w:rsidRPr="000E5AA8">
              <w:rPr>
                <w:b/>
                <w:bCs/>
              </w:rPr>
              <w:t>Starter feed</w:t>
            </w:r>
          </w:p>
        </w:tc>
        <w:tc>
          <w:tcPr>
            <w:tcW w:w="3316" w:type="dxa"/>
            <w:gridSpan w:val="2"/>
            <w:vAlign w:val="center"/>
          </w:tcPr>
          <w:p w14:paraId="441B2BEF" w14:textId="41DB8331" w:rsidR="000E5AA8" w:rsidRPr="000E5AA8" w:rsidRDefault="000E5AA8" w:rsidP="000E5AA8">
            <w:pPr>
              <w:pStyle w:val="NormalWeb"/>
              <w:jc w:val="center"/>
              <w:rPr>
                <w:b/>
                <w:bCs/>
              </w:rPr>
            </w:pPr>
            <w:r w:rsidRPr="000E5AA8">
              <w:rPr>
                <w:b/>
                <w:bCs/>
              </w:rPr>
              <w:t>Finisher feed</w:t>
            </w:r>
          </w:p>
        </w:tc>
      </w:tr>
      <w:tr w:rsidR="000E5AA8" w:rsidRPr="003F17FF" w14:paraId="35ED2586" w14:textId="77777777" w:rsidTr="000E5AA8">
        <w:tc>
          <w:tcPr>
            <w:tcW w:w="2065" w:type="dxa"/>
            <w:vMerge/>
            <w:vAlign w:val="center"/>
          </w:tcPr>
          <w:p w14:paraId="54C7520A" w14:textId="22F9A1B4" w:rsidR="000E5AA8" w:rsidRPr="003F17FF" w:rsidRDefault="000E5AA8" w:rsidP="00CF18AC">
            <w:pPr>
              <w:pStyle w:val="NormalWeb"/>
              <w:jc w:val="both"/>
            </w:pPr>
          </w:p>
        </w:tc>
        <w:tc>
          <w:tcPr>
            <w:tcW w:w="1541" w:type="dxa"/>
            <w:vAlign w:val="center"/>
          </w:tcPr>
          <w:p w14:paraId="7DA319A7" w14:textId="77777777" w:rsidR="000E5AA8" w:rsidRPr="003F17FF" w:rsidRDefault="000E5AA8" w:rsidP="00CF18AC">
            <w:pPr>
              <w:pStyle w:val="NormalWeb"/>
              <w:jc w:val="both"/>
              <w:rPr>
                <w:b/>
                <w:bCs/>
              </w:rPr>
            </w:pPr>
            <w:r w:rsidRPr="003F17FF">
              <w:rPr>
                <w:b/>
                <w:bCs/>
              </w:rPr>
              <w:t>%</w:t>
            </w:r>
          </w:p>
        </w:tc>
        <w:tc>
          <w:tcPr>
            <w:tcW w:w="1803" w:type="dxa"/>
            <w:vAlign w:val="center"/>
          </w:tcPr>
          <w:p w14:paraId="751C1B91" w14:textId="77777777" w:rsidR="000E5AA8" w:rsidRPr="003F17FF" w:rsidRDefault="000E5AA8" w:rsidP="00CF18AC">
            <w:pPr>
              <w:pStyle w:val="NormalWeb"/>
              <w:jc w:val="both"/>
              <w:rPr>
                <w:b/>
                <w:bCs/>
              </w:rPr>
            </w:pPr>
            <w:r w:rsidRPr="003F17FF">
              <w:rPr>
                <w:b/>
                <w:bCs/>
              </w:rPr>
              <w:t>Kg</w:t>
            </w:r>
          </w:p>
        </w:tc>
        <w:tc>
          <w:tcPr>
            <w:tcW w:w="1786" w:type="dxa"/>
            <w:vAlign w:val="center"/>
          </w:tcPr>
          <w:p w14:paraId="525A8C46" w14:textId="77777777" w:rsidR="000E5AA8" w:rsidRPr="003F17FF" w:rsidRDefault="000E5AA8" w:rsidP="00CF18AC">
            <w:pPr>
              <w:pStyle w:val="NormalWeb"/>
              <w:jc w:val="both"/>
              <w:rPr>
                <w:b/>
                <w:bCs/>
              </w:rPr>
            </w:pPr>
            <w:r w:rsidRPr="003F17FF">
              <w:rPr>
                <w:b/>
                <w:bCs/>
              </w:rPr>
              <w:t>%</w:t>
            </w:r>
          </w:p>
        </w:tc>
        <w:tc>
          <w:tcPr>
            <w:tcW w:w="1530" w:type="dxa"/>
            <w:vAlign w:val="center"/>
          </w:tcPr>
          <w:p w14:paraId="636507E7" w14:textId="188341A0" w:rsidR="000E5AA8" w:rsidRPr="003F17FF" w:rsidRDefault="000E5AA8" w:rsidP="00CF18AC">
            <w:pPr>
              <w:pStyle w:val="NormalWeb"/>
              <w:jc w:val="both"/>
              <w:rPr>
                <w:b/>
                <w:bCs/>
              </w:rPr>
            </w:pPr>
            <w:r w:rsidRPr="003F17FF">
              <w:rPr>
                <w:b/>
                <w:bCs/>
              </w:rPr>
              <w:t>Kg</w:t>
            </w:r>
          </w:p>
        </w:tc>
      </w:tr>
      <w:tr w:rsidR="00291FBC" w:rsidRPr="003F17FF" w14:paraId="1E9C3503" w14:textId="77777777" w:rsidTr="000E5AA8">
        <w:tc>
          <w:tcPr>
            <w:tcW w:w="2065" w:type="dxa"/>
            <w:vAlign w:val="center"/>
          </w:tcPr>
          <w:p w14:paraId="65C56224" w14:textId="77777777" w:rsidR="00291FBC" w:rsidRPr="003F17FF" w:rsidRDefault="00291FBC" w:rsidP="00CF18AC">
            <w:pPr>
              <w:pStyle w:val="NormalWeb"/>
              <w:jc w:val="both"/>
              <w:rPr>
                <w:b/>
                <w:bCs/>
              </w:rPr>
            </w:pPr>
            <w:r w:rsidRPr="003F17FF">
              <w:t>Plantain peels</w:t>
            </w:r>
          </w:p>
        </w:tc>
        <w:tc>
          <w:tcPr>
            <w:tcW w:w="1541" w:type="dxa"/>
            <w:vAlign w:val="center"/>
          </w:tcPr>
          <w:p w14:paraId="6052DE76" w14:textId="77777777" w:rsidR="00291FBC" w:rsidRPr="003F17FF" w:rsidRDefault="00291FBC" w:rsidP="00CF18AC">
            <w:pPr>
              <w:pStyle w:val="NormalWeb"/>
              <w:jc w:val="both"/>
            </w:pPr>
            <w:r w:rsidRPr="003F17FF">
              <w:t>40.00</w:t>
            </w:r>
          </w:p>
        </w:tc>
        <w:tc>
          <w:tcPr>
            <w:tcW w:w="1803" w:type="dxa"/>
            <w:vAlign w:val="center"/>
          </w:tcPr>
          <w:p w14:paraId="662D3779" w14:textId="77777777" w:rsidR="00291FBC" w:rsidRPr="003F17FF" w:rsidRDefault="00291FBC" w:rsidP="00CF18AC">
            <w:pPr>
              <w:pStyle w:val="NormalWeb"/>
              <w:jc w:val="both"/>
            </w:pPr>
            <w:r w:rsidRPr="003F17FF">
              <w:t>10.00</w:t>
            </w:r>
          </w:p>
        </w:tc>
        <w:tc>
          <w:tcPr>
            <w:tcW w:w="1786" w:type="dxa"/>
            <w:vAlign w:val="center"/>
          </w:tcPr>
          <w:p w14:paraId="6FB5F84B" w14:textId="77777777" w:rsidR="00291FBC" w:rsidRPr="003F17FF" w:rsidRDefault="00291FBC" w:rsidP="00CF18AC">
            <w:pPr>
              <w:pStyle w:val="NormalWeb"/>
              <w:jc w:val="both"/>
            </w:pPr>
            <w:r w:rsidRPr="003F17FF">
              <w:t>40.00</w:t>
            </w:r>
          </w:p>
        </w:tc>
        <w:tc>
          <w:tcPr>
            <w:tcW w:w="1530" w:type="dxa"/>
            <w:vAlign w:val="center"/>
          </w:tcPr>
          <w:p w14:paraId="33033F32" w14:textId="77777777" w:rsidR="00291FBC" w:rsidRPr="003F17FF" w:rsidRDefault="00291FBC" w:rsidP="00CF18AC">
            <w:pPr>
              <w:pStyle w:val="NormalWeb"/>
              <w:jc w:val="both"/>
            </w:pPr>
            <w:r w:rsidRPr="003F17FF">
              <w:t>10.00</w:t>
            </w:r>
          </w:p>
        </w:tc>
      </w:tr>
      <w:tr w:rsidR="00291FBC" w:rsidRPr="003F17FF" w14:paraId="160E8EFD" w14:textId="77777777" w:rsidTr="000E5AA8">
        <w:tc>
          <w:tcPr>
            <w:tcW w:w="2065" w:type="dxa"/>
            <w:vAlign w:val="center"/>
          </w:tcPr>
          <w:p w14:paraId="69AA7161" w14:textId="77777777" w:rsidR="00291FBC" w:rsidRPr="003F17FF" w:rsidRDefault="00291FBC" w:rsidP="00CF18AC">
            <w:pPr>
              <w:pStyle w:val="NormalWeb"/>
              <w:jc w:val="both"/>
              <w:rPr>
                <w:b/>
                <w:bCs/>
              </w:rPr>
            </w:pPr>
            <w:r w:rsidRPr="003F17FF">
              <w:t>Maize</w:t>
            </w:r>
          </w:p>
        </w:tc>
        <w:tc>
          <w:tcPr>
            <w:tcW w:w="1541" w:type="dxa"/>
            <w:vAlign w:val="center"/>
          </w:tcPr>
          <w:p w14:paraId="4ACC8668" w14:textId="77777777" w:rsidR="00291FBC" w:rsidRPr="003F17FF" w:rsidRDefault="00291FBC" w:rsidP="00CF18AC">
            <w:pPr>
              <w:pStyle w:val="NormalWeb"/>
              <w:jc w:val="both"/>
            </w:pPr>
            <w:r w:rsidRPr="003F17FF">
              <w:t>10.00</w:t>
            </w:r>
          </w:p>
        </w:tc>
        <w:tc>
          <w:tcPr>
            <w:tcW w:w="1803" w:type="dxa"/>
            <w:vAlign w:val="center"/>
          </w:tcPr>
          <w:p w14:paraId="234D1A67" w14:textId="77777777" w:rsidR="00291FBC" w:rsidRPr="003F17FF" w:rsidRDefault="00291FBC" w:rsidP="00CF18AC">
            <w:pPr>
              <w:pStyle w:val="NormalWeb"/>
              <w:jc w:val="both"/>
            </w:pPr>
            <w:r w:rsidRPr="003F17FF">
              <w:t>2.50</w:t>
            </w:r>
          </w:p>
        </w:tc>
        <w:tc>
          <w:tcPr>
            <w:tcW w:w="1786" w:type="dxa"/>
            <w:vAlign w:val="center"/>
          </w:tcPr>
          <w:p w14:paraId="5FFA93FE" w14:textId="77777777" w:rsidR="00291FBC" w:rsidRPr="003F17FF" w:rsidRDefault="00291FBC" w:rsidP="00CF18AC">
            <w:pPr>
              <w:pStyle w:val="NormalWeb"/>
              <w:jc w:val="both"/>
            </w:pPr>
            <w:r w:rsidRPr="003F17FF">
              <w:t>20.00</w:t>
            </w:r>
          </w:p>
        </w:tc>
        <w:tc>
          <w:tcPr>
            <w:tcW w:w="1530" w:type="dxa"/>
            <w:vAlign w:val="center"/>
          </w:tcPr>
          <w:p w14:paraId="2B0C686B" w14:textId="77777777" w:rsidR="00291FBC" w:rsidRPr="003F17FF" w:rsidRDefault="00291FBC" w:rsidP="00CF18AC">
            <w:pPr>
              <w:pStyle w:val="NormalWeb"/>
              <w:jc w:val="both"/>
            </w:pPr>
            <w:r w:rsidRPr="003F17FF">
              <w:t>5.00</w:t>
            </w:r>
          </w:p>
        </w:tc>
      </w:tr>
      <w:tr w:rsidR="00291FBC" w:rsidRPr="003F17FF" w14:paraId="1285DADF" w14:textId="77777777" w:rsidTr="000E5AA8">
        <w:tc>
          <w:tcPr>
            <w:tcW w:w="2065" w:type="dxa"/>
            <w:vAlign w:val="center"/>
          </w:tcPr>
          <w:p w14:paraId="479049A4" w14:textId="77777777" w:rsidR="00291FBC" w:rsidRPr="003F17FF" w:rsidRDefault="00291FBC" w:rsidP="00CF18AC">
            <w:pPr>
              <w:pStyle w:val="NormalWeb"/>
              <w:jc w:val="both"/>
              <w:rPr>
                <w:b/>
                <w:bCs/>
              </w:rPr>
            </w:pPr>
            <w:r w:rsidRPr="003F17FF">
              <w:t>Fish waste</w:t>
            </w:r>
          </w:p>
        </w:tc>
        <w:tc>
          <w:tcPr>
            <w:tcW w:w="1541" w:type="dxa"/>
            <w:vAlign w:val="center"/>
          </w:tcPr>
          <w:p w14:paraId="0565E83B" w14:textId="77777777" w:rsidR="00291FBC" w:rsidRPr="003F17FF" w:rsidRDefault="00291FBC" w:rsidP="00CF18AC">
            <w:pPr>
              <w:pStyle w:val="NormalWeb"/>
              <w:jc w:val="both"/>
            </w:pPr>
            <w:r w:rsidRPr="003F17FF">
              <w:t>25.00</w:t>
            </w:r>
          </w:p>
        </w:tc>
        <w:tc>
          <w:tcPr>
            <w:tcW w:w="1803" w:type="dxa"/>
            <w:vAlign w:val="center"/>
          </w:tcPr>
          <w:p w14:paraId="318AD622" w14:textId="77777777" w:rsidR="00291FBC" w:rsidRPr="003F17FF" w:rsidRDefault="00291FBC" w:rsidP="00CF18AC">
            <w:pPr>
              <w:pStyle w:val="NormalWeb"/>
              <w:jc w:val="both"/>
            </w:pPr>
            <w:r w:rsidRPr="003F17FF">
              <w:t>6.25</w:t>
            </w:r>
          </w:p>
        </w:tc>
        <w:tc>
          <w:tcPr>
            <w:tcW w:w="1786" w:type="dxa"/>
            <w:vAlign w:val="center"/>
          </w:tcPr>
          <w:p w14:paraId="3645A0C2" w14:textId="77777777" w:rsidR="00291FBC" w:rsidRPr="003F17FF" w:rsidRDefault="00291FBC" w:rsidP="00CF18AC">
            <w:pPr>
              <w:pStyle w:val="NormalWeb"/>
              <w:jc w:val="both"/>
            </w:pPr>
            <w:r w:rsidRPr="003F17FF">
              <w:t>14.00</w:t>
            </w:r>
          </w:p>
        </w:tc>
        <w:tc>
          <w:tcPr>
            <w:tcW w:w="1530" w:type="dxa"/>
            <w:vAlign w:val="center"/>
          </w:tcPr>
          <w:p w14:paraId="2834F41E" w14:textId="77777777" w:rsidR="00291FBC" w:rsidRPr="003F17FF" w:rsidRDefault="00291FBC" w:rsidP="00CF18AC">
            <w:pPr>
              <w:pStyle w:val="NormalWeb"/>
              <w:jc w:val="both"/>
            </w:pPr>
            <w:r w:rsidRPr="003F17FF">
              <w:t>3.50</w:t>
            </w:r>
          </w:p>
        </w:tc>
      </w:tr>
      <w:tr w:rsidR="00291FBC" w:rsidRPr="003F17FF" w14:paraId="71D000E3" w14:textId="77777777" w:rsidTr="000E5AA8">
        <w:tc>
          <w:tcPr>
            <w:tcW w:w="2065" w:type="dxa"/>
            <w:vAlign w:val="center"/>
          </w:tcPr>
          <w:p w14:paraId="342A6ACA" w14:textId="77777777" w:rsidR="00291FBC" w:rsidRPr="003F17FF" w:rsidRDefault="00291FBC" w:rsidP="00CF18AC">
            <w:pPr>
              <w:pStyle w:val="NormalWeb"/>
              <w:jc w:val="both"/>
              <w:rPr>
                <w:b/>
                <w:bCs/>
              </w:rPr>
            </w:pPr>
            <w:r w:rsidRPr="003F17FF">
              <w:t>Crayfish chaff</w:t>
            </w:r>
          </w:p>
        </w:tc>
        <w:tc>
          <w:tcPr>
            <w:tcW w:w="1541" w:type="dxa"/>
            <w:vAlign w:val="center"/>
          </w:tcPr>
          <w:p w14:paraId="5A4F8FB0" w14:textId="77777777" w:rsidR="00291FBC" w:rsidRPr="003F17FF" w:rsidRDefault="00291FBC" w:rsidP="00CF18AC">
            <w:pPr>
              <w:pStyle w:val="NormalWeb"/>
              <w:jc w:val="both"/>
            </w:pPr>
            <w:r w:rsidRPr="003F17FF">
              <w:t>10.00</w:t>
            </w:r>
          </w:p>
        </w:tc>
        <w:tc>
          <w:tcPr>
            <w:tcW w:w="1803" w:type="dxa"/>
            <w:vAlign w:val="center"/>
          </w:tcPr>
          <w:p w14:paraId="394837A4" w14:textId="77777777" w:rsidR="00291FBC" w:rsidRPr="003F17FF" w:rsidRDefault="00291FBC" w:rsidP="00CF18AC">
            <w:pPr>
              <w:pStyle w:val="NormalWeb"/>
              <w:jc w:val="both"/>
            </w:pPr>
            <w:r w:rsidRPr="003F17FF">
              <w:t>2.50</w:t>
            </w:r>
          </w:p>
        </w:tc>
        <w:tc>
          <w:tcPr>
            <w:tcW w:w="1786" w:type="dxa"/>
            <w:vAlign w:val="center"/>
          </w:tcPr>
          <w:p w14:paraId="228B6D37" w14:textId="77777777" w:rsidR="00291FBC" w:rsidRPr="003F17FF" w:rsidRDefault="00291FBC" w:rsidP="00CF18AC">
            <w:pPr>
              <w:pStyle w:val="NormalWeb"/>
              <w:jc w:val="both"/>
            </w:pPr>
            <w:r w:rsidRPr="003F17FF">
              <w:t>10.00</w:t>
            </w:r>
          </w:p>
        </w:tc>
        <w:tc>
          <w:tcPr>
            <w:tcW w:w="1530" w:type="dxa"/>
            <w:vAlign w:val="center"/>
          </w:tcPr>
          <w:p w14:paraId="59E99A44" w14:textId="77777777" w:rsidR="00291FBC" w:rsidRPr="003F17FF" w:rsidRDefault="00291FBC" w:rsidP="00CF18AC">
            <w:pPr>
              <w:pStyle w:val="NormalWeb"/>
              <w:jc w:val="both"/>
            </w:pPr>
            <w:r w:rsidRPr="003F17FF">
              <w:t>2.50</w:t>
            </w:r>
          </w:p>
        </w:tc>
      </w:tr>
      <w:tr w:rsidR="00291FBC" w:rsidRPr="003F17FF" w14:paraId="21410AA7" w14:textId="77777777" w:rsidTr="000E5AA8">
        <w:tc>
          <w:tcPr>
            <w:tcW w:w="2065" w:type="dxa"/>
            <w:vAlign w:val="center"/>
          </w:tcPr>
          <w:p w14:paraId="53BEEAAB" w14:textId="77777777" w:rsidR="00291FBC" w:rsidRPr="003F17FF" w:rsidRDefault="00291FBC" w:rsidP="00CF18AC">
            <w:pPr>
              <w:pStyle w:val="NormalWeb"/>
              <w:jc w:val="both"/>
              <w:rPr>
                <w:b/>
                <w:bCs/>
              </w:rPr>
            </w:pPr>
            <w:r w:rsidRPr="003F17FF">
              <w:t>Groundnut husk</w:t>
            </w:r>
          </w:p>
        </w:tc>
        <w:tc>
          <w:tcPr>
            <w:tcW w:w="1541" w:type="dxa"/>
            <w:vAlign w:val="center"/>
          </w:tcPr>
          <w:p w14:paraId="5E3D72AB" w14:textId="77777777" w:rsidR="00291FBC" w:rsidRPr="003F17FF" w:rsidRDefault="00291FBC" w:rsidP="00CF18AC">
            <w:pPr>
              <w:pStyle w:val="NormalWeb"/>
              <w:jc w:val="both"/>
            </w:pPr>
            <w:r w:rsidRPr="003F17FF">
              <w:t>4.00</w:t>
            </w:r>
          </w:p>
        </w:tc>
        <w:tc>
          <w:tcPr>
            <w:tcW w:w="1803" w:type="dxa"/>
            <w:vAlign w:val="center"/>
          </w:tcPr>
          <w:p w14:paraId="7664EE13" w14:textId="77777777" w:rsidR="00291FBC" w:rsidRPr="003F17FF" w:rsidRDefault="00291FBC" w:rsidP="00CF18AC">
            <w:pPr>
              <w:pStyle w:val="NormalWeb"/>
              <w:jc w:val="both"/>
            </w:pPr>
            <w:r w:rsidRPr="003F17FF">
              <w:t>1.00</w:t>
            </w:r>
          </w:p>
        </w:tc>
        <w:tc>
          <w:tcPr>
            <w:tcW w:w="1786" w:type="dxa"/>
            <w:vAlign w:val="center"/>
          </w:tcPr>
          <w:p w14:paraId="190E3495" w14:textId="77777777" w:rsidR="00291FBC" w:rsidRPr="003F17FF" w:rsidRDefault="00291FBC" w:rsidP="00CF18AC">
            <w:pPr>
              <w:pStyle w:val="NormalWeb"/>
              <w:jc w:val="both"/>
            </w:pPr>
            <w:r w:rsidRPr="003F17FF">
              <w:t>4.00</w:t>
            </w:r>
          </w:p>
        </w:tc>
        <w:tc>
          <w:tcPr>
            <w:tcW w:w="1530" w:type="dxa"/>
            <w:vAlign w:val="center"/>
          </w:tcPr>
          <w:p w14:paraId="5103FE56" w14:textId="77777777" w:rsidR="00291FBC" w:rsidRPr="003F17FF" w:rsidRDefault="00291FBC" w:rsidP="00CF18AC">
            <w:pPr>
              <w:pStyle w:val="NormalWeb"/>
              <w:jc w:val="both"/>
            </w:pPr>
            <w:r w:rsidRPr="003F17FF">
              <w:t>1.00</w:t>
            </w:r>
          </w:p>
        </w:tc>
      </w:tr>
      <w:tr w:rsidR="00291FBC" w:rsidRPr="003F17FF" w14:paraId="22C634F9" w14:textId="77777777" w:rsidTr="000E5AA8">
        <w:tc>
          <w:tcPr>
            <w:tcW w:w="2065" w:type="dxa"/>
            <w:vAlign w:val="center"/>
          </w:tcPr>
          <w:p w14:paraId="5742613D" w14:textId="77777777" w:rsidR="00291FBC" w:rsidRPr="003F17FF" w:rsidRDefault="00291FBC" w:rsidP="00CF18AC">
            <w:pPr>
              <w:pStyle w:val="NormalWeb"/>
              <w:jc w:val="both"/>
              <w:rPr>
                <w:b/>
                <w:bCs/>
              </w:rPr>
            </w:pPr>
            <w:r w:rsidRPr="003F17FF">
              <w:t>Orange peels</w:t>
            </w:r>
          </w:p>
        </w:tc>
        <w:tc>
          <w:tcPr>
            <w:tcW w:w="1541" w:type="dxa"/>
            <w:vAlign w:val="center"/>
          </w:tcPr>
          <w:p w14:paraId="28994052" w14:textId="77777777" w:rsidR="00291FBC" w:rsidRPr="003F17FF" w:rsidRDefault="00291FBC" w:rsidP="00CF18AC">
            <w:pPr>
              <w:pStyle w:val="NormalWeb"/>
              <w:jc w:val="both"/>
            </w:pPr>
            <w:r w:rsidRPr="003F17FF">
              <w:t>4.00</w:t>
            </w:r>
          </w:p>
        </w:tc>
        <w:tc>
          <w:tcPr>
            <w:tcW w:w="1803" w:type="dxa"/>
            <w:vAlign w:val="center"/>
          </w:tcPr>
          <w:p w14:paraId="1A45577E" w14:textId="77777777" w:rsidR="00291FBC" w:rsidRPr="003F17FF" w:rsidRDefault="00291FBC" w:rsidP="00CF18AC">
            <w:pPr>
              <w:pStyle w:val="NormalWeb"/>
              <w:jc w:val="both"/>
            </w:pPr>
            <w:r w:rsidRPr="003F17FF">
              <w:t>1.00</w:t>
            </w:r>
          </w:p>
        </w:tc>
        <w:tc>
          <w:tcPr>
            <w:tcW w:w="1786" w:type="dxa"/>
            <w:vAlign w:val="center"/>
          </w:tcPr>
          <w:p w14:paraId="713A3E1C" w14:textId="77777777" w:rsidR="00291FBC" w:rsidRPr="003F17FF" w:rsidRDefault="00291FBC" w:rsidP="00CF18AC">
            <w:pPr>
              <w:pStyle w:val="NormalWeb"/>
              <w:jc w:val="both"/>
            </w:pPr>
            <w:r w:rsidRPr="003F17FF">
              <w:t>4.00</w:t>
            </w:r>
          </w:p>
        </w:tc>
        <w:tc>
          <w:tcPr>
            <w:tcW w:w="1530" w:type="dxa"/>
            <w:vAlign w:val="center"/>
          </w:tcPr>
          <w:p w14:paraId="626DA0FF" w14:textId="77777777" w:rsidR="00291FBC" w:rsidRPr="003F17FF" w:rsidRDefault="00291FBC" w:rsidP="00CF18AC">
            <w:pPr>
              <w:pStyle w:val="NormalWeb"/>
              <w:jc w:val="both"/>
            </w:pPr>
            <w:r w:rsidRPr="003F17FF">
              <w:t>1.00</w:t>
            </w:r>
          </w:p>
        </w:tc>
      </w:tr>
      <w:tr w:rsidR="00291FBC" w:rsidRPr="003F17FF" w14:paraId="58CFED6D" w14:textId="77777777" w:rsidTr="000E5AA8">
        <w:tc>
          <w:tcPr>
            <w:tcW w:w="2065" w:type="dxa"/>
            <w:vAlign w:val="center"/>
          </w:tcPr>
          <w:p w14:paraId="28EB023C" w14:textId="77777777" w:rsidR="00291FBC" w:rsidRPr="003F17FF" w:rsidRDefault="00291FBC" w:rsidP="00CF18AC">
            <w:pPr>
              <w:pStyle w:val="NormalWeb"/>
              <w:jc w:val="both"/>
              <w:rPr>
                <w:b/>
                <w:bCs/>
              </w:rPr>
            </w:pPr>
            <w:r w:rsidRPr="003F17FF">
              <w:t>Watermelon rind</w:t>
            </w:r>
          </w:p>
        </w:tc>
        <w:tc>
          <w:tcPr>
            <w:tcW w:w="1541" w:type="dxa"/>
            <w:vAlign w:val="center"/>
          </w:tcPr>
          <w:p w14:paraId="5AC1801A" w14:textId="77777777" w:rsidR="00291FBC" w:rsidRPr="003F17FF" w:rsidRDefault="00291FBC" w:rsidP="00CF18AC">
            <w:pPr>
              <w:pStyle w:val="NormalWeb"/>
              <w:jc w:val="both"/>
            </w:pPr>
            <w:r w:rsidRPr="003F17FF">
              <w:t>3.00</w:t>
            </w:r>
          </w:p>
        </w:tc>
        <w:tc>
          <w:tcPr>
            <w:tcW w:w="1803" w:type="dxa"/>
            <w:vAlign w:val="center"/>
          </w:tcPr>
          <w:p w14:paraId="4C5C4A26" w14:textId="77777777" w:rsidR="00291FBC" w:rsidRPr="003F17FF" w:rsidRDefault="00291FBC" w:rsidP="00CF18AC">
            <w:pPr>
              <w:pStyle w:val="NormalWeb"/>
              <w:jc w:val="both"/>
            </w:pPr>
            <w:r w:rsidRPr="003F17FF">
              <w:t>0.75</w:t>
            </w:r>
          </w:p>
        </w:tc>
        <w:tc>
          <w:tcPr>
            <w:tcW w:w="1786" w:type="dxa"/>
            <w:vAlign w:val="center"/>
          </w:tcPr>
          <w:p w14:paraId="0B957271" w14:textId="77777777" w:rsidR="00291FBC" w:rsidRPr="003F17FF" w:rsidRDefault="00291FBC" w:rsidP="00CF18AC">
            <w:pPr>
              <w:pStyle w:val="NormalWeb"/>
              <w:jc w:val="both"/>
            </w:pPr>
            <w:r w:rsidRPr="003F17FF">
              <w:t>3.00</w:t>
            </w:r>
          </w:p>
        </w:tc>
        <w:tc>
          <w:tcPr>
            <w:tcW w:w="1530" w:type="dxa"/>
            <w:vAlign w:val="center"/>
          </w:tcPr>
          <w:p w14:paraId="7F541C55" w14:textId="77777777" w:rsidR="00291FBC" w:rsidRPr="003F17FF" w:rsidRDefault="00291FBC" w:rsidP="00CF18AC">
            <w:pPr>
              <w:pStyle w:val="NormalWeb"/>
              <w:jc w:val="both"/>
            </w:pPr>
            <w:r w:rsidRPr="003F17FF">
              <w:t>0.75</w:t>
            </w:r>
          </w:p>
        </w:tc>
      </w:tr>
      <w:tr w:rsidR="00291FBC" w:rsidRPr="003F17FF" w14:paraId="4484A73C" w14:textId="77777777" w:rsidTr="000E5AA8">
        <w:tc>
          <w:tcPr>
            <w:tcW w:w="2065" w:type="dxa"/>
            <w:vAlign w:val="center"/>
          </w:tcPr>
          <w:p w14:paraId="3BD454E0" w14:textId="77777777" w:rsidR="00291FBC" w:rsidRPr="003F17FF" w:rsidRDefault="00291FBC" w:rsidP="00CF18AC">
            <w:pPr>
              <w:pStyle w:val="NormalWeb"/>
              <w:jc w:val="both"/>
              <w:rPr>
                <w:b/>
                <w:bCs/>
              </w:rPr>
            </w:pPr>
            <w:r w:rsidRPr="003F17FF">
              <w:t>Ginger</w:t>
            </w:r>
          </w:p>
        </w:tc>
        <w:tc>
          <w:tcPr>
            <w:tcW w:w="1541" w:type="dxa"/>
            <w:vAlign w:val="center"/>
          </w:tcPr>
          <w:p w14:paraId="5BC8ECE4" w14:textId="77777777" w:rsidR="00291FBC" w:rsidRPr="003F17FF" w:rsidRDefault="00291FBC" w:rsidP="00CF18AC">
            <w:pPr>
              <w:pStyle w:val="NormalWeb"/>
              <w:jc w:val="both"/>
            </w:pPr>
            <w:r w:rsidRPr="003F17FF">
              <w:t>1.50</w:t>
            </w:r>
          </w:p>
        </w:tc>
        <w:tc>
          <w:tcPr>
            <w:tcW w:w="1803" w:type="dxa"/>
            <w:vAlign w:val="center"/>
          </w:tcPr>
          <w:p w14:paraId="4634C6A9" w14:textId="77777777" w:rsidR="00291FBC" w:rsidRPr="003F17FF" w:rsidRDefault="00291FBC" w:rsidP="00CF18AC">
            <w:pPr>
              <w:pStyle w:val="NormalWeb"/>
              <w:jc w:val="both"/>
            </w:pPr>
            <w:r w:rsidRPr="003F17FF">
              <w:t>0.38</w:t>
            </w:r>
          </w:p>
        </w:tc>
        <w:tc>
          <w:tcPr>
            <w:tcW w:w="1786" w:type="dxa"/>
            <w:vAlign w:val="center"/>
          </w:tcPr>
          <w:p w14:paraId="71B62772" w14:textId="77777777" w:rsidR="00291FBC" w:rsidRPr="003F17FF" w:rsidRDefault="00291FBC" w:rsidP="00CF18AC">
            <w:pPr>
              <w:pStyle w:val="NormalWeb"/>
              <w:jc w:val="both"/>
            </w:pPr>
            <w:r w:rsidRPr="003F17FF">
              <w:t>2.00</w:t>
            </w:r>
          </w:p>
        </w:tc>
        <w:tc>
          <w:tcPr>
            <w:tcW w:w="1530" w:type="dxa"/>
            <w:vAlign w:val="center"/>
          </w:tcPr>
          <w:p w14:paraId="74142963" w14:textId="77777777" w:rsidR="00291FBC" w:rsidRPr="003F17FF" w:rsidRDefault="00291FBC" w:rsidP="00CF18AC">
            <w:pPr>
              <w:pStyle w:val="NormalWeb"/>
              <w:jc w:val="both"/>
            </w:pPr>
            <w:r w:rsidRPr="003F17FF">
              <w:t>0.50</w:t>
            </w:r>
          </w:p>
        </w:tc>
      </w:tr>
      <w:tr w:rsidR="00291FBC" w:rsidRPr="003F17FF" w14:paraId="1B09D945" w14:textId="77777777" w:rsidTr="000E5AA8">
        <w:tc>
          <w:tcPr>
            <w:tcW w:w="2065" w:type="dxa"/>
            <w:vAlign w:val="center"/>
          </w:tcPr>
          <w:p w14:paraId="301094C5" w14:textId="77777777" w:rsidR="00291FBC" w:rsidRPr="003F17FF" w:rsidRDefault="00291FBC" w:rsidP="00CF18AC">
            <w:pPr>
              <w:pStyle w:val="NormalWeb"/>
              <w:jc w:val="both"/>
              <w:rPr>
                <w:b/>
                <w:bCs/>
              </w:rPr>
            </w:pPr>
            <w:r w:rsidRPr="003F17FF">
              <w:t>Garlic</w:t>
            </w:r>
          </w:p>
        </w:tc>
        <w:tc>
          <w:tcPr>
            <w:tcW w:w="1541" w:type="dxa"/>
            <w:vAlign w:val="center"/>
          </w:tcPr>
          <w:p w14:paraId="07281998" w14:textId="77777777" w:rsidR="00291FBC" w:rsidRPr="003F17FF" w:rsidRDefault="00291FBC" w:rsidP="00CF18AC">
            <w:pPr>
              <w:pStyle w:val="NormalWeb"/>
              <w:jc w:val="both"/>
            </w:pPr>
            <w:r w:rsidRPr="003F17FF">
              <w:t>1.50</w:t>
            </w:r>
          </w:p>
        </w:tc>
        <w:tc>
          <w:tcPr>
            <w:tcW w:w="1803" w:type="dxa"/>
            <w:vAlign w:val="center"/>
          </w:tcPr>
          <w:p w14:paraId="286A8F66" w14:textId="77777777" w:rsidR="00291FBC" w:rsidRPr="003F17FF" w:rsidRDefault="00291FBC" w:rsidP="00CF18AC">
            <w:pPr>
              <w:pStyle w:val="NormalWeb"/>
              <w:jc w:val="both"/>
            </w:pPr>
            <w:r w:rsidRPr="003F17FF">
              <w:t>0.38</w:t>
            </w:r>
          </w:p>
        </w:tc>
        <w:tc>
          <w:tcPr>
            <w:tcW w:w="1786" w:type="dxa"/>
            <w:vAlign w:val="center"/>
          </w:tcPr>
          <w:p w14:paraId="1B0BF1DB" w14:textId="77777777" w:rsidR="00291FBC" w:rsidRPr="003F17FF" w:rsidRDefault="00291FBC" w:rsidP="00CF18AC">
            <w:pPr>
              <w:pStyle w:val="NormalWeb"/>
              <w:jc w:val="both"/>
            </w:pPr>
            <w:r w:rsidRPr="003F17FF">
              <w:t>2.00</w:t>
            </w:r>
          </w:p>
        </w:tc>
        <w:tc>
          <w:tcPr>
            <w:tcW w:w="1530" w:type="dxa"/>
            <w:vAlign w:val="center"/>
          </w:tcPr>
          <w:p w14:paraId="344A2212" w14:textId="77777777" w:rsidR="00291FBC" w:rsidRPr="003F17FF" w:rsidRDefault="00291FBC" w:rsidP="00CF18AC">
            <w:pPr>
              <w:pStyle w:val="NormalWeb"/>
              <w:jc w:val="both"/>
            </w:pPr>
            <w:r w:rsidRPr="003F17FF">
              <w:t>0.50</w:t>
            </w:r>
          </w:p>
        </w:tc>
      </w:tr>
      <w:tr w:rsidR="00291FBC" w:rsidRPr="003F17FF" w14:paraId="342EFCB0" w14:textId="77777777" w:rsidTr="000E5AA8">
        <w:tc>
          <w:tcPr>
            <w:tcW w:w="2065" w:type="dxa"/>
            <w:vAlign w:val="center"/>
          </w:tcPr>
          <w:p w14:paraId="63E0DF8A" w14:textId="77777777" w:rsidR="00291FBC" w:rsidRPr="003F17FF" w:rsidRDefault="00291FBC" w:rsidP="00CF18AC">
            <w:pPr>
              <w:pStyle w:val="NormalWeb"/>
              <w:jc w:val="both"/>
              <w:rPr>
                <w:b/>
                <w:bCs/>
              </w:rPr>
            </w:pPr>
            <w:r w:rsidRPr="003F17FF">
              <w:t>Salt</w:t>
            </w:r>
          </w:p>
        </w:tc>
        <w:tc>
          <w:tcPr>
            <w:tcW w:w="1541" w:type="dxa"/>
            <w:vAlign w:val="center"/>
          </w:tcPr>
          <w:p w14:paraId="44ECA92B" w14:textId="77777777" w:rsidR="00291FBC" w:rsidRPr="003F17FF" w:rsidRDefault="00291FBC" w:rsidP="00CF18AC">
            <w:pPr>
              <w:pStyle w:val="NormalWeb"/>
              <w:jc w:val="both"/>
            </w:pPr>
            <w:r w:rsidRPr="003F17FF">
              <w:t>1.00</w:t>
            </w:r>
          </w:p>
        </w:tc>
        <w:tc>
          <w:tcPr>
            <w:tcW w:w="1803" w:type="dxa"/>
            <w:vAlign w:val="center"/>
          </w:tcPr>
          <w:p w14:paraId="4622B003" w14:textId="77777777" w:rsidR="00291FBC" w:rsidRPr="003F17FF" w:rsidRDefault="00291FBC" w:rsidP="00CF18AC">
            <w:pPr>
              <w:pStyle w:val="NormalWeb"/>
              <w:jc w:val="both"/>
            </w:pPr>
            <w:r w:rsidRPr="003F17FF">
              <w:t>0.25</w:t>
            </w:r>
          </w:p>
        </w:tc>
        <w:tc>
          <w:tcPr>
            <w:tcW w:w="1786" w:type="dxa"/>
            <w:vAlign w:val="center"/>
          </w:tcPr>
          <w:p w14:paraId="3BC73151" w14:textId="77777777" w:rsidR="00291FBC" w:rsidRPr="003F17FF" w:rsidRDefault="00291FBC" w:rsidP="00CF18AC">
            <w:pPr>
              <w:pStyle w:val="NormalWeb"/>
              <w:jc w:val="both"/>
            </w:pPr>
            <w:r w:rsidRPr="003F17FF">
              <w:t>1.00</w:t>
            </w:r>
          </w:p>
        </w:tc>
        <w:tc>
          <w:tcPr>
            <w:tcW w:w="1530" w:type="dxa"/>
            <w:vAlign w:val="center"/>
          </w:tcPr>
          <w:p w14:paraId="63BBBC2D" w14:textId="77777777" w:rsidR="00291FBC" w:rsidRPr="003F17FF" w:rsidRDefault="00291FBC" w:rsidP="00CF18AC">
            <w:pPr>
              <w:pStyle w:val="NormalWeb"/>
              <w:jc w:val="both"/>
            </w:pPr>
            <w:r w:rsidRPr="003F17FF">
              <w:t>0.25</w:t>
            </w:r>
          </w:p>
        </w:tc>
      </w:tr>
      <w:tr w:rsidR="00291FBC" w:rsidRPr="003F17FF" w14:paraId="50862D55" w14:textId="77777777" w:rsidTr="000E5AA8">
        <w:tc>
          <w:tcPr>
            <w:tcW w:w="2065" w:type="dxa"/>
            <w:vAlign w:val="center"/>
          </w:tcPr>
          <w:p w14:paraId="09A0CCD3" w14:textId="057F8682" w:rsidR="00291FBC" w:rsidRPr="003F17FF" w:rsidRDefault="000E5AA8" w:rsidP="00CF18AC">
            <w:pPr>
              <w:pStyle w:val="NormalWeb"/>
              <w:jc w:val="both"/>
              <w:rPr>
                <w:b/>
                <w:bCs/>
              </w:rPr>
            </w:pPr>
            <w:r>
              <w:rPr>
                <w:b/>
                <w:bCs/>
              </w:rPr>
              <w:t>Total</w:t>
            </w:r>
          </w:p>
        </w:tc>
        <w:tc>
          <w:tcPr>
            <w:tcW w:w="1541" w:type="dxa"/>
            <w:vAlign w:val="center"/>
          </w:tcPr>
          <w:p w14:paraId="78DE68CE" w14:textId="77777777" w:rsidR="00291FBC" w:rsidRPr="000E5AA8" w:rsidRDefault="00291FBC" w:rsidP="00CF18AC">
            <w:pPr>
              <w:pStyle w:val="NormalWeb"/>
              <w:jc w:val="both"/>
              <w:rPr>
                <w:b/>
                <w:bCs/>
              </w:rPr>
            </w:pPr>
            <w:r w:rsidRPr="000E5AA8">
              <w:rPr>
                <w:b/>
                <w:bCs/>
              </w:rPr>
              <w:t>100.00</w:t>
            </w:r>
          </w:p>
        </w:tc>
        <w:tc>
          <w:tcPr>
            <w:tcW w:w="1803" w:type="dxa"/>
            <w:vAlign w:val="center"/>
          </w:tcPr>
          <w:p w14:paraId="0767A2D9" w14:textId="77777777" w:rsidR="00291FBC" w:rsidRPr="000E5AA8" w:rsidRDefault="00291FBC" w:rsidP="00CF18AC">
            <w:pPr>
              <w:pStyle w:val="NormalWeb"/>
              <w:jc w:val="both"/>
              <w:rPr>
                <w:b/>
                <w:bCs/>
              </w:rPr>
            </w:pPr>
            <w:r w:rsidRPr="000E5AA8">
              <w:rPr>
                <w:b/>
                <w:bCs/>
              </w:rPr>
              <w:t>25.01</w:t>
            </w:r>
          </w:p>
        </w:tc>
        <w:tc>
          <w:tcPr>
            <w:tcW w:w="1786" w:type="dxa"/>
            <w:vAlign w:val="center"/>
          </w:tcPr>
          <w:p w14:paraId="2DDF03A0" w14:textId="77777777" w:rsidR="00291FBC" w:rsidRPr="000E5AA8" w:rsidRDefault="00291FBC" w:rsidP="00CF18AC">
            <w:pPr>
              <w:pStyle w:val="NormalWeb"/>
              <w:jc w:val="both"/>
              <w:rPr>
                <w:b/>
                <w:bCs/>
              </w:rPr>
            </w:pPr>
            <w:r w:rsidRPr="000E5AA8">
              <w:rPr>
                <w:b/>
                <w:bCs/>
              </w:rPr>
              <w:t>100.00</w:t>
            </w:r>
          </w:p>
        </w:tc>
        <w:tc>
          <w:tcPr>
            <w:tcW w:w="1530" w:type="dxa"/>
            <w:vAlign w:val="center"/>
          </w:tcPr>
          <w:p w14:paraId="5F9ACBB8" w14:textId="77777777" w:rsidR="00291FBC" w:rsidRPr="000E5AA8" w:rsidRDefault="00291FBC" w:rsidP="00CF18AC">
            <w:pPr>
              <w:pStyle w:val="NormalWeb"/>
              <w:jc w:val="both"/>
              <w:rPr>
                <w:b/>
                <w:bCs/>
              </w:rPr>
            </w:pPr>
            <w:r w:rsidRPr="000E5AA8">
              <w:rPr>
                <w:b/>
                <w:bCs/>
              </w:rPr>
              <w:t>25.01</w:t>
            </w:r>
          </w:p>
        </w:tc>
      </w:tr>
    </w:tbl>
    <w:p w14:paraId="66966E16" w14:textId="77777777" w:rsidR="000E5AA8" w:rsidRDefault="000E5AA8" w:rsidP="000E5AA8">
      <w:pPr>
        <w:spacing w:before="100" w:beforeAutospacing="1" w:after="100" w:afterAutospacing="1"/>
        <w:jc w:val="both"/>
        <w:rPr>
          <w:b/>
          <w:bCs/>
        </w:rPr>
      </w:pPr>
    </w:p>
    <w:p w14:paraId="06CBBE28" w14:textId="514AAB91" w:rsidR="000E5AA8" w:rsidRDefault="006E4513" w:rsidP="000E5AA8">
      <w:pPr>
        <w:spacing w:before="100" w:beforeAutospacing="1" w:after="100" w:afterAutospacing="1" w:line="360" w:lineRule="auto"/>
        <w:jc w:val="both"/>
        <w:rPr>
          <w:b/>
          <w:bCs/>
        </w:rPr>
      </w:pPr>
      <w:r w:rsidRPr="003F17FF">
        <w:rPr>
          <w:b/>
          <w:bCs/>
        </w:rPr>
        <w:lastRenderedPageBreak/>
        <w:t>Experimental Animals and Management</w:t>
      </w:r>
    </w:p>
    <w:p w14:paraId="57EAC6BC" w14:textId="77777777" w:rsidR="000E5AA8" w:rsidRDefault="006E4513" w:rsidP="000E5AA8">
      <w:pPr>
        <w:spacing w:before="100" w:beforeAutospacing="1" w:after="100" w:afterAutospacing="1" w:line="360" w:lineRule="auto"/>
        <w:jc w:val="both"/>
      </w:pPr>
      <w:r w:rsidRPr="003F17FF">
        <w:rPr>
          <w:rStyle w:val="citation-517"/>
        </w:rPr>
        <w:t>Fifty 1-day-old Ross 308 broiler chicks (average weight 63.2 g) were obtained from Animal Affairs Nigeria Limited</w:t>
      </w:r>
      <w:r w:rsidRPr="003F17FF">
        <w:t xml:space="preserve">. </w:t>
      </w:r>
      <w:r w:rsidRPr="003F17FF">
        <w:rPr>
          <w:rStyle w:val="citation-516"/>
        </w:rPr>
        <w:t>The birds were housed in a disinfected poultry facility partitioned into nine pens lined with wire mesh for ventilation</w:t>
      </w:r>
      <w:r w:rsidRPr="003F17FF">
        <w:t xml:space="preserve">. </w:t>
      </w:r>
      <w:r w:rsidRPr="003F17FF">
        <w:rPr>
          <w:rStyle w:val="citation-515"/>
        </w:rPr>
        <w:t>Initially, chicks were stabilized with a 5% glucose solution to mitigate transportation stress, followed by oral administration of antibiotics and multivitamins (1 g/L)</w:t>
      </w:r>
      <w:r w:rsidRPr="003F17FF">
        <w:t>.</w:t>
      </w:r>
      <w:r w:rsidR="000E5AA8">
        <w:t xml:space="preserve"> </w:t>
      </w:r>
      <w:r w:rsidRPr="003F17FF">
        <w:rPr>
          <w:rStyle w:val="citation-514"/>
        </w:rPr>
        <w:t>The birds were brooded for two weeks at 32</w:t>
      </w:r>
      <w:r w:rsidRPr="003F17FF">
        <w:rPr>
          <w:rStyle w:val="citation-514"/>
          <w:rFonts w:ascii="Cambria Math" w:hAnsi="Cambria Math" w:cs="Cambria Math"/>
        </w:rPr>
        <w:t>∘</w:t>
      </w:r>
      <w:r w:rsidRPr="003F17FF">
        <w:rPr>
          <w:rStyle w:val="citation-514"/>
        </w:rPr>
        <w:t>C on wood shaving bedding (5–7 cm depth) with constant light</w:t>
      </w:r>
      <w:r w:rsidRPr="003F17FF">
        <w:t xml:space="preserve">. </w:t>
      </w:r>
      <w:r w:rsidRPr="003F17FF">
        <w:rPr>
          <w:rStyle w:val="citation-513"/>
        </w:rPr>
        <w:t>Routine vaccinations (Gumboro and Lasota) and prophylactic medications were administered according to standard schedules</w:t>
      </w:r>
      <w:r w:rsidRPr="003F17FF">
        <w:t xml:space="preserve">. </w:t>
      </w:r>
      <w:r w:rsidRPr="003F17FF">
        <w:rPr>
          <w:rStyle w:val="citation-512"/>
        </w:rPr>
        <w:t xml:space="preserve">Feed and water were provided </w:t>
      </w:r>
      <w:r w:rsidRPr="003F17FF">
        <w:rPr>
          <w:rStyle w:val="citation-512"/>
          <w:i/>
          <w:iCs/>
        </w:rPr>
        <w:t>ad libitum</w:t>
      </w:r>
      <w:r w:rsidRPr="003F17FF">
        <w:rPr>
          <w:rStyle w:val="citation-512"/>
        </w:rPr>
        <w:t xml:space="preserve"> throughout the 42-day study</w:t>
      </w:r>
      <w:r w:rsidRPr="003F17FF">
        <w:t>.</w:t>
      </w:r>
    </w:p>
    <w:p w14:paraId="6C74CD8A" w14:textId="77777777" w:rsidR="000E5AA8" w:rsidRDefault="006E4513" w:rsidP="000E5AA8">
      <w:pPr>
        <w:spacing w:before="100" w:beforeAutospacing="1" w:after="100" w:afterAutospacing="1" w:line="360" w:lineRule="auto"/>
        <w:jc w:val="both"/>
        <w:rPr>
          <w:b/>
          <w:bCs/>
        </w:rPr>
      </w:pPr>
      <w:r w:rsidRPr="003F17FF">
        <w:rPr>
          <w:b/>
          <w:bCs/>
        </w:rPr>
        <w:t>Experimental Design</w:t>
      </w:r>
    </w:p>
    <w:p w14:paraId="2E16D704" w14:textId="21ACD5C5" w:rsidR="004250F9" w:rsidRDefault="004250F9" w:rsidP="000E5AA8">
      <w:pPr>
        <w:spacing w:before="100" w:beforeAutospacing="1" w:after="100" w:afterAutospacing="1" w:line="360" w:lineRule="auto"/>
        <w:jc w:val="both"/>
      </w:pPr>
      <w:r>
        <w:rPr>
          <w:rStyle w:val="citation-511"/>
        </w:rPr>
        <w:t xml:space="preserve">List 1 : </w:t>
      </w:r>
      <w:r w:rsidR="006E4513" w:rsidRPr="003F17FF">
        <w:rPr>
          <w:rStyle w:val="citation-511"/>
        </w:rPr>
        <w:t>The study utilized a completely randomized design consisting of three treatments with three replicates each (4 birds per replicate)</w:t>
      </w:r>
    </w:p>
    <w:tbl>
      <w:tblPr>
        <w:tblStyle w:val="TableGrid"/>
        <w:tblW w:w="0" w:type="auto"/>
        <w:tblLook w:val="04A0" w:firstRow="1" w:lastRow="0" w:firstColumn="1" w:lastColumn="0" w:noHBand="0" w:noVBand="1"/>
      </w:tblPr>
      <w:tblGrid>
        <w:gridCol w:w="1603"/>
        <w:gridCol w:w="1936"/>
        <w:gridCol w:w="5811"/>
      </w:tblGrid>
      <w:tr w:rsidR="000E5AA8" w14:paraId="441718DE" w14:textId="77777777" w:rsidTr="000E5AA8">
        <w:tc>
          <w:tcPr>
            <w:tcW w:w="1603" w:type="dxa"/>
          </w:tcPr>
          <w:p w14:paraId="5129D968" w14:textId="39BF6260" w:rsidR="000E5AA8" w:rsidRDefault="000E5AA8" w:rsidP="000E5AA8">
            <w:pPr>
              <w:spacing w:before="100" w:beforeAutospacing="1" w:after="100" w:afterAutospacing="1" w:line="360" w:lineRule="auto"/>
              <w:jc w:val="both"/>
              <w:rPr>
                <w:b/>
                <w:bCs/>
              </w:rPr>
            </w:pPr>
            <w:r>
              <w:rPr>
                <w:b/>
                <w:bCs/>
              </w:rPr>
              <w:t>Identification</w:t>
            </w:r>
          </w:p>
        </w:tc>
        <w:tc>
          <w:tcPr>
            <w:tcW w:w="1936" w:type="dxa"/>
          </w:tcPr>
          <w:p w14:paraId="4D8641C6" w14:textId="79803922" w:rsidR="000E5AA8" w:rsidRDefault="000E5AA8" w:rsidP="000E5AA8">
            <w:pPr>
              <w:spacing w:before="100" w:beforeAutospacing="1" w:after="100" w:afterAutospacing="1" w:line="360" w:lineRule="auto"/>
              <w:jc w:val="both"/>
              <w:rPr>
                <w:b/>
                <w:bCs/>
              </w:rPr>
            </w:pPr>
            <w:r>
              <w:rPr>
                <w:b/>
                <w:bCs/>
              </w:rPr>
              <w:t>Birds (n)</w:t>
            </w:r>
          </w:p>
        </w:tc>
        <w:tc>
          <w:tcPr>
            <w:tcW w:w="5811" w:type="dxa"/>
          </w:tcPr>
          <w:p w14:paraId="32961E59" w14:textId="4E91697B" w:rsidR="000E5AA8" w:rsidRDefault="000E5AA8" w:rsidP="000E5AA8">
            <w:pPr>
              <w:spacing w:before="100" w:beforeAutospacing="1" w:after="100" w:afterAutospacing="1" w:line="360" w:lineRule="auto"/>
              <w:jc w:val="both"/>
              <w:rPr>
                <w:b/>
                <w:bCs/>
              </w:rPr>
            </w:pPr>
            <w:r>
              <w:rPr>
                <w:b/>
                <w:bCs/>
              </w:rPr>
              <w:t>Treatment</w:t>
            </w:r>
          </w:p>
        </w:tc>
      </w:tr>
      <w:tr w:rsidR="000E5AA8" w14:paraId="6B3765E7" w14:textId="77777777" w:rsidTr="000E5AA8">
        <w:tc>
          <w:tcPr>
            <w:tcW w:w="1603" w:type="dxa"/>
          </w:tcPr>
          <w:p w14:paraId="4521E300" w14:textId="529D7AA6" w:rsidR="000E5AA8" w:rsidRDefault="00E53608" w:rsidP="000E5AA8">
            <w:pPr>
              <w:spacing w:before="100" w:beforeAutospacing="1" w:after="100" w:afterAutospacing="1" w:line="360" w:lineRule="auto"/>
              <w:jc w:val="both"/>
              <w:rPr>
                <w:b/>
                <w:bCs/>
              </w:rPr>
            </w:pPr>
            <w:r>
              <w:rPr>
                <w:b/>
                <w:bCs/>
              </w:rPr>
              <w:t>Group 1</w:t>
            </w:r>
          </w:p>
        </w:tc>
        <w:tc>
          <w:tcPr>
            <w:tcW w:w="1936" w:type="dxa"/>
          </w:tcPr>
          <w:p w14:paraId="400E557C" w14:textId="471CD4AC" w:rsidR="000E5AA8" w:rsidRDefault="000E5AA8" w:rsidP="000E5AA8">
            <w:pPr>
              <w:spacing w:before="100" w:beforeAutospacing="1" w:after="100" w:afterAutospacing="1" w:line="360" w:lineRule="auto"/>
              <w:jc w:val="both"/>
              <w:rPr>
                <w:b/>
                <w:bCs/>
              </w:rPr>
            </w:pPr>
            <w:r>
              <w:rPr>
                <w:b/>
                <w:bCs/>
              </w:rPr>
              <w:t>4</w:t>
            </w:r>
          </w:p>
        </w:tc>
        <w:tc>
          <w:tcPr>
            <w:tcW w:w="5811" w:type="dxa"/>
          </w:tcPr>
          <w:p w14:paraId="00F251C3" w14:textId="7E5F2B48" w:rsidR="000E5AA8" w:rsidRDefault="000E5AA8" w:rsidP="000E5AA8">
            <w:pPr>
              <w:spacing w:before="100" w:beforeAutospacing="1" w:after="100" w:afterAutospacing="1" w:line="360" w:lineRule="auto"/>
              <w:jc w:val="both"/>
              <w:rPr>
                <w:b/>
                <w:bCs/>
              </w:rPr>
            </w:pPr>
            <w:r w:rsidRPr="003F17FF">
              <w:rPr>
                <w:rStyle w:val="citation-510"/>
              </w:rPr>
              <w:t>Phytate-treated locally formulated diet</w:t>
            </w:r>
          </w:p>
        </w:tc>
      </w:tr>
      <w:tr w:rsidR="000E5AA8" w14:paraId="07FCDA22" w14:textId="77777777" w:rsidTr="000E5AA8">
        <w:tc>
          <w:tcPr>
            <w:tcW w:w="1603" w:type="dxa"/>
          </w:tcPr>
          <w:p w14:paraId="474D345F" w14:textId="037C9D43" w:rsidR="000E5AA8" w:rsidRDefault="00E53608" w:rsidP="000E5AA8">
            <w:pPr>
              <w:spacing w:before="100" w:beforeAutospacing="1" w:after="100" w:afterAutospacing="1" w:line="360" w:lineRule="auto"/>
              <w:jc w:val="both"/>
              <w:rPr>
                <w:b/>
                <w:bCs/>
              </w:rPr>
            </w:pPr>
            <w:r>
              <w:rPr>
                <w:b/>
                <w:bCs/>
              </w:rPr>
              <w:t>Group 2</w:t>
            </w:r>
          </w:p>
        </w:tc>
        <w:tc>
          <w:tcPr>
            <w:tcW w:w="1936" w:type="dxa"/>
          </w:tcPr>
          <w:p w14:paraId="77DF03A4" w14:textId="3817A61F" w:rsidR="000E5AA8" w:rsidRDefault="000E5AA8" w:rsidP="000E5AA8">
            <w:pPr>
              <w:spacing w:before="100" w:beforeAutospacing="1" w:after="100" w:afterAutospacing="1" w:line="360" w:lineRule="auto"/>
              <w:jc w:val="both"/>
              <w:rPr>
                <w:b/>
                <w:bCs/>
              </w:rPr>
            </w:pPr>
            <w:r>
              <w:rPr>
                <w:b/>
                <w:bCs/>
              </w:rPr>
              <w:t>4</w:t>
            </w:r>
          </w:p>
        </w:tc>
        <w:tc>
          <w:tcPr>
            <w:tcW w:w="5811" w:type="dxa"/>
          </w:tcPr>
          <w:p w14:paraId="419B9055" w14:textId="3E1843FC" w:rsidR="000E5AA8" w:rsidRDefault="000E5AA8" w:rsidP="000E5AA8">
            <w:pPr>
              <w:spacing w:before="100" w:beforeAutospacing="1" w:after="100" w:afterAutospacing="1" w:line="360" w:lineRule="auto"/>
              <w:jc w:val="both"/>
              <w:rPr>
                <w:b/>
                <w:bCs/>
              </w:rPr>
            </w:pPr>
            <w:r w:rsidRPr="003F17FF">
              <w:rPr>
                <w:rStyle w:val="citation-509"/>
              </w:rPr>
              <w:t>Phytate-untreated locally formulated diet</w:t>
            </w:r>
          </w:p>
        </w:tc>
      </w:tr>
      <w:tr w:rsidR="000E5AA8" w14:paraId="00135CEE" w14:textId="77777777" w:rsidTr="000E5AA8">
        <w:tc>
          <w:tcPr>
            <w:tcW w:w="1603" w:type="dxa"/>
          </w:tcPr>
          <w:p w14:paraId="0A49083F" w14:textId="6AC93EC4" w:rsidR="000E5AA8" w:rsidRDefault="00E53608" w:rsidP="000E5AA8">
            <w:pPr>
              <w:spacing w:before="100" w:beforeAutospacing="1" w:after="100" w:afterAutospacing="1" w:line="360" w:lineRule="auto"/>
              <w:jc w:val="both"/>
              <w:rPr>
                <w:b/>
                <w:bCs/>
              </w:rPr>
            </w:pPr>
            <w:r>
              <w:rPr>
                <w:b/>
                <w:bCs/>
              </w:rPr>
              <w:t>Group 3</w:t>
            </w:r>
          </w:p>
        </w:tc>
        <w:tc>
          <w:tcPr>
            <w:tcW w:w="1936" w:type="dxa"/>
          </w:tcPr>
          <w:p w14:paraId="2ECE0DB6" w14:textId="7E4CD2B8" w:rsidR="000E5AA8" w:rsidRDefault="000E5AA8" w:rsidP="000E5AA8">
            <w:pPr>
              <w:spacing w:before="100" w:beforeAutospacing="1" w:after="100" w:afterAutospacing="1" w:line="360" w:lineRule="auto"/>
              <w:jc w:val="both"/>
              <w:rPr>
                <w:b/>
                <w:bCs/>
              </w:rPr>
            </w:pPr>
            <w:r>
              <w:rPr>
                <w:b/>
                <w:bCs/>
              </w:rPr>
              <w:t>4</w:t>
            </w:r>
          </w:p>
        </w:tc>
        <w:tc>
          <w:tcPr>
            <w:tcW w:w="5811" w:type="dxa"/>
          </w:tcPr>
          <w:p w14:paraId="31F0DB21" w14:textId="6A885BC7" w:rsidR="000E5AA8" w:rsidRDefault="000E5AA8" w:rsidP="000E5AA8">
            <w:pPr>
              <w:spacing w:before="100" w:beforeAutospacing="1" w:after="100" w:afterAutospacing="1" w:line="360" w:lineRule="auto"/>
              <w:jc w:val="both"/>
              <w:rPr>
                <w:b/>
                <w:bCs/>
              </w:rPr>
            </w:pPr>
            <w:r w:rsidRPr="003F17FF">
              <w:rPr>
                <w:rStyle w:val="citation-508"/>
              </w:rPr>
              <w:t>Commercial ration (Hi-Pro brand) as a control</w:t>
            </w:r>
          </w:p>
        </w:tc>
      </w:tr>
    </w:tbl>
    <w:p w14:paraId="5720CCB0" w14:textId="77777777" w:rsidR="000E5AA8" w:rsidRDefault="006E4513" w:rsidP="000E5AA8">
      <w:pPr>
        <w:pStyle w:val="NormalWeb"/>
        <w:spacing w:line="360" w:lineRule="auto"/>
        <w:jc w:val="both"/>
      </w:pPr>
      <w:r w:rsidRPr="003F17FF">
        <w:rPr>
          <w:rStyle w:val="citation-507"/>
        </w:rPr>
        <w:t>Self-formulated diets were provided in Starter and Finisher phases, with the finisher phase commencing from week 4 to week 6</w:t>
      </w:r>
      <w:r w:rsidRPr="003F17FF">
        <w:t>.</w:t>
      </w:r>
    </w:p>
    <w:p w14:paraId="1E100C66" w14:textId="77777777" w:rsidR="000E5AA8" w:rsidRDefault="006E4513" w:rsidP="000E5AA8">
      <w:pPr>
        <w:pStyle w:val="NormalWeb"/>
        <w:spacing w:line="360" w:lineRule="auto"/>
        <w:jc w:val="both"/>
      </w:pPr>
      <w:r w:rsidRPr="003F17FF">
        <w:rPr>
          <w:b/>
          <w:bCs/>
        </w:rPr>
        <w:t>Sample Collection</w:t>
      </w:r>
    </w:p>
    <w:p w14:paraId="28680415" w14:textId="77777777" w:rsidR="000E5AA8" w:rsidRDefault="006E4513" w:rsidP="000E5AA8">
      <w:pPr>
        <w:pStyle w:val="NormalWeb"/>
        <w:spacing w:line="360" w:lineRule="auto"/>
        <w:jc w:val="both"/>
      </w:pPr>
      <w:r w:rsidRPr="003F17FF">
        <w:rPr>
          <w:rStyle w:val="citation-506"/>
        </w:rPr>
        <w:t>At the conclusion of the 42-day feeding period, birds were fasted overnight</w:t>
      </w:r>
      <w:r w:rsidRPr="003F17FF">
        <w:t xml:space="preserve">. </w:t>
      </w:r>
      <w:r w:rsidRPr="003F17FF">
        <w:rPr>
          <w:rStyle w:val="citation-505"/>
        </w:rPr>
        <w:t>Sacrifice was performed humanely via cervical severing</w:t>
      </w:r>
      <w:r w:rsidRPr="003F17FF">
        <w:t xml:space="preserve">. </w:t>
      </w:r>
      <w:r w:rsidRPr="003F17FF">
        <w:rPr>
          <w:rStyle w:val="citation-504"/>
        </w:rPr>
        <w:t>Blood samples were collected into sterile tubes for biochemical analysis, and</w:t>
      </w:r>
      <w:r w:rsidR="00AF2061" w:rsidRPr="003F17FF">
        <w:t xml:space="preserve"> liver, small intestine, and bursa of Fabricius</w:t>
      </w:r>
      <w:r w:rsidRPr="003F17FF">
        <w:rPr>
          <w:rStyle w:val="citation-504"/>
        </w:rPr>
        <w:t xml:space="preserve"> tissues were excised for further histological and biochemical evaluation</w:t>
      </w:r>
      <w:r w:rsidRPr="003F17FF">
        <w:t>.</w:t>
      </w:r>
    </w:p>
    <w:p w14:paraId="34BBD06F" w14:textId="77777777" w:rsidR="000E5AA8" w:rsidRDefault="00D814CC" w:rsidP="000E5AA8">
      <w:pPr>
        <w:pStyle w:val="NormalWeb"/>
        <w:spacing w:line="360" w:lineRule="auto"/>
        <w:jc w:val="both"/>
      </w:pPr>
      <w:r w:rsidRPr="003F17FF">
        <w:rPr>
          <w:rStyle w:val="Strong"/>
        </w:rPr>
        <w:t xml:space="preserve">Determination of </w:t>
      </w:r>
      <w:bookmarkStart w:id="0" w:name="_Hlk220287133"/>
      <w:r w:rsidR="00F51EDC" w:rsidRPr="003F17FF">
        <w:rPr>
          <w:rStyle w:val="Strong"/>
        </w:rPr>
        <w:t xml:space="preserve">Protein Efficiency Ratio </w:t>
      </w:r>
      <w:bookmarkEnd w:id="0"/>
      <w:r w:rsidR="00F51EDC" w:rsidRPr="003F17FF">
        <w:rPr>
          <w:rStyle w:val="Strong"/>
        </w:rPr>
        <w:t>(PER)</w:t>
      </w:r>
    </w:p>
    <w:p w14:paraId="305D4602" w14:textId="77777777" w:rsidR="000E5AA8" w:rsidRDefault="00437789" w:rsidP="000E5AA8">
      <w:pPr>
        <w:pStyle w:val="NormalWeb"/>
        <w:spacing w:line="360" w:lineRule="auto"/>
        <w:jc w:val="both"/>
      </w:pPr>
      <w:r w:rsidRPr="003F17FF">
        <w:lastRenderedPageBreak/>
        <w:t xml:space="preserve">All the birds and feed leftovers were weighted at 1, 21, and 42 d of age to calculate </w:t>
      </w:r>
      <w:bookmarkStart w:id="1" w:name="_Hlk220296429"/>
      <w:r w:rsidR="00044836" w:rsidRPr="003F17FF">
        <w:t>Protein Efficiency Ratio (</w:t>
      </w:r>
      <w:r w:rsidR="00F51EDC" w:rsidRPr="003F17FF">
        <w:t>PER</w:t>
      </w:r>
      <w:bookmarkEnd w:id="1"/>
      <w:r w:rsidR="00044836" w:rsidRPr="003F17FF">
        <w:t xml:space="preserve">). </w:t>
      </w:r>
      <w:r w:rsidR="00F51EDC" w:rsidRPr="003F17FF">
        <w:t xml:space="preserve"> </w:t>
      </w:r>
      <w:r w:rsidR="00044836" w:rsidRPr="003F17FF">
        <w:t xml:space="preserve">PER </w:t>
      </w:r>
      <w:r w:rsidR="00F51EDC" w:rsidRPr="003F17FF">
        <w:t>was calculated weekly as weight gain divided by protein intake.</w:t>
      </w:r>
    </w:p>
    <w:p w14:paraId="3F6EA2B2" w14:textId="77777777" w:rsidR="000E5AA8" w:rsidRDefault="00F51EDC" w:rsidP="000E5AA8">
      <w:pPr>
        <w:pStyle w:val="NormalWeb"/>
        <w:spacing w:line="360" w:lineRule="auto"/>
        <w:jc w:val="both"/>
        <w:rPr>
          <w:rStyle w:val="Strong"/>
        </w:rPr>
      </w:pPr>
      <w:r w:rsidRPr="003F17FF">
        <w:rPr>
          <w:rStyle w:val="Emphasis"/>
          <w:b/>
          <w:bCs/>
        </w:rPr>
        <w:t>In-Vitro</w:t>
      </w:r>
      <w:r w:rsidRPr="003F17FF">
        <w:rPr>
          <w:rStyle w:val="Strong"/>
        </w:rPr>
        <w:t xml:space="preserve"> Antioxidant Assays of Feeds</w:t>
      </w:r>
    </w:p>
    <w:p w14:paraId="634092D1" w14:textId="77777777" w:rsidR="000E5AA8" w:rsidRDefault="00BB13C9" w:rsidP="000E5AA8">
      <w:pPr>
        <w:pStyle w:val="NormalWeb"/>
        <w:spacing w:line="360" w:lineRule="auto"/>
        <w:jc w:val="both"/>
      </w:pPr>
      <w:r w:rsidRPr="003F17FF">
        <w:t>Feed samples were collected during feed manufacture and analyzed for the following</w:t>
      </w:r>
      <w:bookmarkStart w:id="2" w:name="_Hlk220295639"/>
      <w:r w:rsidR="000E5AA8">
        <w:t>:</w:t>
      </w:r>
    </w:p>
    <w:p w14:paraId="65B94B10" w14:textId="77777777" w:rsidR="000E5AA8" w:rsidRDefault="000E5AA8" w:rsidP="00CF18AC">
      <w:pPr>
        <w:pStyle w:val="NormalWeb"/>
        <w:numPr>
          <w:ilvl w:val="0"/>
          <w:numId w:val="7"/>
        </w:numPr>
        <w:spacing w:line="360" w:lineRule="auto"/>
        <w:jc w:val="both"/>
      </w:pPr>
      <w:r w:rsidRPr="003F17FF">
        <w:rPr>
          <w:rStyle w:val="Strong"/>
        </w:rPr>
        <w:t>Lipid peroxidation</w:t>
      </w:r>
      <w:r>
        <w:t xml:space="preserve">: </w:t>
      </w:r>
      <w:r w:rsidR="00F51EDC" w:rsidRPr="000E5AA8">
        <w:rPr>
          <w:rStyle w:val="Strong"/>
        </w:rPr>
        <w:t>Lipid peroxidation</w:t>
      </w:r>
      <w:r w:rsidR="00F51EDC" w:rsidRPr="000E5AA8">
        <w:t xml:space="preserve"> </w:t>
      </w:r>
      <w:bookmarkEnd w:id="2"/>
      <w:r w:rsidR="00F51EDC" w:rsidRPr="000E5AA8">
        <w:t xml:space="preserve">of feed samples was </w:t>
      </w:r>
      <w:r w:rsidR="004259DD" w:rsidRPr="000E5AA8">
        <w:t>feed was determined using the Thiobarbituric Acid Reactive Substances (TBARS) assay as described by Ohkawa et al. (1979)</w:t>
      </w:r>
      <w:r w:rsidR="00F51EDC" w:rsidRPr="000E5AA8">
        <w:t>.</w:t>
      </w:r>
      <w:r w:rsidR="00050622" w:rsidRPr="000E5AA8">
        <w:rPr>
          <w:color w:val="1F1F1F"/>
        </w:rPr>
        <w:t xml:space="preserve"> </w:t>
      </w:r>
      <w:r w:rsidR="00050622" w:rsidRPr="000E5AA8">
        <w:t>For the in- vitro lipid peroxidation,</w:t>
      </w:r>
      <w:r w:rsidR="0005169C" w:rsidRPr="000E5AA8">
        <w:t xml:space="preserve"> t</w:t>
      </w:r>
      <w:r w:rsidR="00094094" w:rsidRPr="000E5AA8">
        <w:t>wo grams of feed sample was homogenized in an appropriate buffer to prevent further oxidation. The homogenate was mixed with TBA reagent and heated in a boiling water bath at 95 °C for 30 minutes to allow complete formation of the MDA–TBA complex. After cooling, the mixture was extracted with an organic solvent to separate the complex, and the absorbance of the resulting pink solution was measured at 532 nm. The concentration of MDA, and hence the extent of lipid peroxidation, was determined using a standard curve prepared with known concentrations of MDA.</w:t>
      </w:r>
    </w:p>
    <w:p w14:paraId="131E62B0" w14:textId="77777777" w:rsidR="000E5AA8" w:rsidRDefault="000E5AA8" w:rsidP="00CF18AC">
      <w:pPr>
        <w:pStyle w:val="NormalWeb"/>
        <w:numPr>
          <w:ilvl w:val="0"/>
          <w:numId w:val="7"/>
        </w:numPr>
        <w:spacing w:line="360" w:lineRule="auto"/>
        <w:jc w:val="both"/>
      </w:pPr>
      <w:r w:rsidRPr="003F17FF">
        <w:rPr>
          <w:rStyle w:val="Strong"/>
        </w:rPr>
        <w:t>Catalase activity</w:t>
      </w:r>
      <w:r>
        <w:t xml:space="preserve">: </w:t>
      </w:r>
      <w:r w:rsidR="00F51EDC" w:rsidRPr="000E5AA8">
        <w:rPr>
          <w:rStyle w:val="Strong"/>
        </w:rPr>
        <w:t>Catalase activity</w:t>
      </w:r>
      <w:r w:rsidR="00F51EDC" w:rsidRPr="000E5AA8">
        <w:t xml:space="preserve"> in feed extracts</w:t>
      </w:r>
      <w:r w:rsidR="0048647C" w:rsidRPr="000E5AA8">
        <w:t xml:space="preserve"> </w:t>
      </w:r>
      <w:r w:rsidR="00444816" w:rsidRPr="000E5AA8">
        <w:t>was determined using the method described by Aebi (1984)</w:t>
      </w:r>
      <w:r w:rsidR="0048647C" w:rsidRPr="000E5AA8">
        <w:t xml:space="preserve">. </w:t>
      </w:r>
      <w:r w:rsidR="000609FF" w:rsidRPr="000E5AA8">
        <w:t>One gram of feed sample was homogenized in 10 ml of cold phosphate buffer (50 mM, pH 7.0) and centrifuged at 10,000 rpm for 15 minutes at 4 °C. The clear supernatant was collected as the enzyme extract. The reaction mixture, containing 2.9 ml of 50 mM phosphate buffer and 1 ml of 30 mM H₂O₂, was pre-incubated at 25 °C, after which 0.1 ml of the enzyme extract was added to initiate the reaction. The decrease in absorbance of H₂O₂ was monitored at 240 nm over 1–2 minutes using a spectrophotometer. Catalase activity was expressed in units per gram of feed, where one unit is defined as the amount of enzyme decomposing 1 μmol of H₂O₂ per minute under the assay conditions.</w:t>
      </w:r>
    </w:p>
    <w:p w14:paraId="43A3E223" w14:textId="77777777" w:rsidR="000E5AA8" w:rsidRDefault="00F51EDC" w:rsidP="000E5AA8">
      <w:pPr>
        <w:pStyle w:val="NormalWeb"/>
        <w:spacing w:line="360" w:lineRule="auto"/>
        <w:jc w:val="both"/>
      </w:pPr>
      <w:r w:rsidRPr="000E5AA8">
        <w:rPr>
          <w:rStyle w:val="Strong"/>
        </w:rPr>
        <w:t>Serum Biochemical Analysis of Birds</w:t>
      </w:r>
    </w:p>
    <w:p w14:paraId="7EDDAFB9" w14:textId="764A3F4F" w:rsidR="000E5AA8" w:rsidRDefault="00855E6B" w:rsidP="000E5AA8">
      <w:pPr>
        <w:pStyle w:val="NormalWeb"/>
        <w:spacing w:line="360" w:lineRule="auto"/>
        <w:jc w:val="both"/>
      </w:pPr>
      <w:r w:rsidRPr="003F17FF">
        <w:t xml:space="preserve">Before slaughtering, </w:t>
      </w:r>
      <w:r w:rsidR="00462B4D" w:rsidRPr="003F17FF">
        <w:t>three</w:t>
      </w:r>
      <w:r w:rsidRPr="003F17FF">
        <w:t xml:space="preserve"> broiler</w:t>
      </w:r>
      <w:r w:rsidR="003B28D3" w:rsidRPr="003F17FF">
        <w:t>s</w:t>
      </w:r>
      <w:r w:rsidRPr="003F17FF">
        <w:t xml:space="preserve"> </w:t>
      </w:r>
      <w:bookmarkStart w:id="3" w:name="_Hlk220297373"/>
      <w:r w:rsidRPr="003F17FF">
        <w:t xml:space="preserve">in each group </w:t>
      </w:r>
      <w:bookmarkEnd w:id="3"/>
      <w:r w:rsidR="000E5AA8" w:rsidRPr="003F17FF">
        <w:t>were</w:t>
      </w:r>
      <w:r w:rsidRPr="003F17FF">
        <w:t xml:space="preserve"> sampled from the thoracic artery, and the blood was collected at 5 mL/min at 3000 rpm for centrifugation 10 min, and the serum was </w:t>
      </w:r>
      <w:r w:rsidRPr="003F17FF">
        <w:lastRenderedPageBreak/>
        <w:t>collected.</w:t>
      </w:r>
      <w:r w:rsidR="00C84DCC" w:rsidRPr="003F17FF">
        <w:t xml:space="preserve"> Liver enzymes (</w:t>
      </w:r>
      <w:r w:rsidR="00F51EDC" w:rsidRPr="003F17FF">
        <w:t>ALT, AST, ALP, GGT</w:t>
      </w:r>
      <w:r w:rsidR="00C84DCC" w:rsidRPr="003F17FF">
        <w:t>)</w:t>
      </w:r>
      <w:r w:rsidR="00F51EDC" w:rsidRPr="003F17FF">
        <w:t>, and total protein were measured in serum samples collected from broiler chickens.</w:t>
      </w:r>
    </w:p>
    <w:p w14:paraId="16E24D7A" w14:textId="77777777" w:rsidR="000E5AA8" w:rsidRDefault="00F51EDC" w:rsidP="000E5AA8">
      <w:pPr>
        <w:pStyle w:val="NormalWeb"/>
        <w:spacing w:line="360" w:lineRule="auto"/>
        <w:jc w:val="both"/>
      </w:pPr>
      <w:r w:rsidRPr="000E5AA8">
        <w:rPr>
          <w:rStyle w:val="Strong"/>
        </w:rPr>
        <w:t>Histopathological Examination</w:t>
      </w:r>
    </w:p>
    <w:p w14:paraId="087B7426" w14:textId="77777777" w:rsidR="008A4FD3" w:rsidRDefault="008A4FD3" w:rsidP="000E5AA8">
      <w:pPr>
        <w:pStyle w:val="NormalWeb"/>
        <w:spacing w:line="360" w:lineRule="auto"/>
        <w:jc w:val="both"/>
      </w:pPr>
      <w:r w:rsidRPr="008A4FD3">
        <w:t>To evaluate the structural impact of the experimental diets on key metabolic and immune organs, a histopathological analysis was conducted. At the conclusion of the feeding trial, three birds per dietary group (Group 1: phytate-treated; Group 2: non-phytate treated; Group 3: commercial feed) were euthanized via rapid cervical dislocation. Tissue samples were immediately collected from the liver, small intestine, and bursa of Fabricius. The samples were fixed, processed, and embedded in paraffin for sectioning. Tissue sections (5 µm) were stained with Hematoxylin and Eosin (H&amp;E) and examined under light microscopy for microstructural alterations.</w:t>
      </w:r>
    </w:p>
    <w:p w14:paraId="761E843D" w14:textId="3ECAE336" w:rsidR="000E5AA8" w:rsidRDefault="000E5AA8" w:rsidP="000E5AA8">
      <w:pPr>
        <w:pStyle w:val="NormalWeb"/>
        <w:spacing w:line="360" w:lineRule="auto"/>
        <w:jc w:val="both"/>
        <w:rPr>
          <w:rStyle w:val="Strong"/>
          <w:b w:val="0"/>
          <w:bCs w:val="0"/>
        </w:rPr>
      </w:pPr>
      <w:r w:rsidRPr="000E5AA8">
        <w:rPr>
          <w:rStyle w:val="Strong"/>
        </w:rPr>
        <w:t>RESULTS</w:t>
      </w:r>
    </w:p>
    <w:p w14:paraId="6ED7D368" w14:textId="77777777" w:rsidR="000E5AA8" w:rsidRDefault="00F51EDC" w:rsidP="000E5AA8">
      <w:pPr>
        <w:pStyle w:val="NormalWeb"/>
        <w:spacing w:line="360" w:lineRule="auto"/>
        <w:jc w:val="both"/>
      </w:pPr>
      <w:r w:rsidRPr="003F17FF">
        <w:rPr>
          <w:rStyle w:val="Emphasis"/>
          <w:b/>
          <w:bCs/>
        </w:rPr>
        <w:t>In-Vitro</w:t>
      </w:r>
      <w:r w:rsidRPr="003F17FF">
        <w:rPr>
          <w:rStyle w:val="Strong"/>
        </w:rPr>
        <w:t xml:space="preserve"> Antioxidant Potential of Feeds</w:t>
      </w:r>
    </w:p>
    <w:p w14:paraId="158BE1D6" w14:textId="74459E68" w:rsidR="000E5AA8" w:rsidRDefault="00F51EDC" w:rsidP="000E5AA8">
      <w:pPr>
        <w:pStyle w:val="NormalWeb"/>
        <w:spacing w:line="360" w:lineRule="auto"/>
        <w:jc w:val="both"/>
      </w:pPr>
      <w:r w:rsidRPr="003F17FF">
        <w:t>Phytate-treated fermented feeds showed significantly</w:t>
      </w:r>
      <w:r w:rsidR="003F0702" w:rsidRPr="003F17FF">
        <w:t xml:space="preserve"> </w:t>
      </w:r>
      <w:r w:rsidR="00B67EDE" w:rsidRPr="003F17FF">
        <w:t xml:space="preserve">(p &lt; 0.05) </w:t>
      </w:r>
      <w:r w:rsidRPr="003F17FF">
        <w:t>lower lipid peroxidation levels</w:t>
      </w:r>
      <w:r w:rsidR="00E53608">
        <w:t xml:space="preserve"> </w:t>
      </w:r>
      <w:r w:rsidR="009F58CF" w:rsidRPr="003F17FF">
        <w:t xml:space="preserve">(Table </w:t>
      </w:r>
      <w:r w:rsidR="00E53608">
        <w:t>2</w:t>
      </w:r>
      <w:r w:rsidR="00405F17" w:rsidRPr="003F17FF">
        <w:t>)</w:t>
      </w:r>
      <w:r w:rsidRPr="003F17FF">
        <w:t xml:space="preserve"> and higher catalase activity</w:t>
      </w:r>
      <w:r w:rsidR="00E53608">
        <w:t xml:space="preserve"> </w:t>
      </w:r>
      <w:r w:rsidR="00405F17" w:rsidRPr="003F17FF">
        <w:t xml:space="preserve">(Table </w:t>
      </w:r>
      <w:r w:rsidR="00E53608">
        <w:t>3</w:t>
      </w:r>
      <w:r w:rsidR="00405F17" w:rsidRPr="003F17FF">
        <w:t>)</w:t>
      </w:r>
      <w:r w:rsidRPr="003F17FF">
        <w:t xml:space="preserve"> compared with non-treated and commercial feeds, indicating improved oxidative stability of the feed matrix. Reduced lipid peroxidation suggests enhanced feed quality and shelf stability, which may indirectly support better growth and organ health in broilers.</w:t>
      </w:r>
    </w:p>
    <w:p w14:paraId="782D4517" w14:textId="77777777" w:rsidR="001920F6" w:rsidRPr="001920F6" w:rsidRDefault="001920F6" w:rsidP="001920F6">
      <w:pPr>
        <w:pStyle w:val="NormalWeb"/>
        <w:spacing w:line="360" w:lineRule="auto"/>
        <w:jc w:val="both"/>
        <w:rPr>
          <w:b/>
          <w:bCs/>
        </w:rPr>
      </w:pPr>
      <w:r w:rsidRPr="001920F6">
        <w:rPr>
          <w:b/>
          <w:bCs/>
        </w:rPr>
        <w:t>Table 2: In-vitro Lipid Peroxidation (TBARS, nmol MDA/g) of Formulated and Commercial Feeds</w:t>
      </w:r>
    </w:p>
    <w:tbl>
      <w:tblPr>
        <w:tblStyle w:val="TableGrid"/>
        <w:tblW w:w="0" w:type="auto"/>
        <w:tblLook w:val="04A0" w:firstRow="1" w:lastRow="0" w:firstColumn="1" w:lastColumn="0" w:noHBand="0" w:noVBand="1"/>
      </w:tblPr>
      <w:tblGrid>
        <w:gridCol w:w="2339"/>
        <w:gridCol w:w="2498"/>
        <w:gridCol w:w="2193"/>
        <w:gridCol w:w="2320"/>
      </w:tblGrid>
      <w:tr w:rsidR="001920F6" w:rsidRPr="001920F6" w14:paraId="71DDE26A" w14:textId="77777777" w:rsidTr="001920F6">
        <w:tc>
          <w:tcPr>
            <w:tcW w:w="0" w:type="auto"/>
            <w:hideMark/>
          </w:tcPr>
          <w:p w14:paraId="7BC0873A" w14:textId="77777777" w:rsidR="001920F6" w:rsidRPr="001920F6" w:rsidRDefault="001920F6" w:rsidP="001920F6">
            <w:pPr>
              <w:pStyle w:val="NormalWeb"/>
              <w:spacing w:line="360" w:lineRule="auto"/>
              <w:rPr>
                <w:b/>
                <w:bCs/>
              </w:rPr>
            </w:pPr>
            <w:r w:rsidRPr="001920F6">
              <w:rPr>
                <w:b/>
                <w:bCs/>
              </w:rPr>
              <w:t>Concentration (mg/ml)</w:t>
            </w:r>
          </w:p>
        </w:tc>
        <w:tc>
          <w:tcPr>
            <w:tcW w:w="0" w:type="auto"/>
            <w:hideMark/>
          </w:tcPr>
          <w:p w14:paraId="2410B049" w14:textId="77777777" w:rsidR="001920F6" w:rsidRPr="001920F6" w:rsidRDefault="001920F6" w:rsidP="001920F6">
            <w:pPr>
              <w:pStyle w:val="NormalWeb"/>
              <w:spacing w:line="360" w:lineRule="auto"/>
              <w:rPr>
                <w:b/>
                <w:bCs/>
              </w:rPr>
            </w:pPr>
            <w:r w:rsidRPr="001920F6">
              <w:rPr>
                <w:b/>
                <w:bCs/>
              </w:rPr>
              <w:t>Group 1 (Phytate-Treated)</w:t>
            </w:r>
          </w:p>
        </w:tc>
        <w:tc>
          <w:tcPr>
            <w:tcW w:w="0" w:type="auto"/>
            <w:hideMark/>
          </w:tcPr>
          <w:p w14:paraId="2F47AFDF" w14:textId="77777777" w:rsidR="001920F6" w:rsidRPr="001920F6" w:rsidRDefault="001920F6" w:rsidP="001920F6">
            <w:pPr>
              <w:pStyle w:val="NormalWeb"/>
              <w:spacing w:line="360" w:lineRule="auto"/>
              <w:rPr>
                <w:b/>
                <w:bCs/>
              </w:rPr>
            </w:pPr>
            <w:r w:rsidRPr="001920F6">
              <w:rPr>
                <w:b/>
                <w:bCs/>
              </w:rPr>
              <w:t>Group 2 (Non-Phytate)</w:t>
            </w:r>
          </w:p>
        </w:tc>
        <w:tc>
          <w:tcPr>
            <w:tcW w:w="0" w:type="auto"/>
            <w:hideMark/>
          </w:tcPr>
          <w:p w14:paraId="6C32BF32" w14:textId="77777777" w:rsidR="001920F6" w:rsidRPr="001920F6" w:rsidRDefault="001920F6" w:rsidP="001920F6">
            <w:pPr>
              <w:pStyle w:val="NormalWeb"/>
              <w:spacing w:line="360" w:lineRule="auto"/>
              <w:rPr>
                <w:b/>
                <w:bCs/>
              </w:rPr>
            </w:pPr>
            <w:r w:rsidRPr="001920F6">
              <w:rPr>
                <w:b/>
                <w:bCs/>
              </w:rPr>
              <w:t>Group 3 (Commercial)</w:t>
            </w:r>
          </w:p>
        </w:tc>
      </w:tr>
      <w:tr w:rsidR="001920F6" w:rsidRPr="001920F6" w14:paraId="44AF714A" w14:textId="77777777" w:rsidTr="001920F6">
        <w:tc>
          <w:tcPr>
            <w:tcW w:w="0" w:type="auto"/>
            <w:hideMark/>
          </w:tcPr>
          <w:p w14:paraId="6843E315" w14:textId="77777777" w:rsidR="001920F6" w:rsidRPr="001920F6" w:rsidRDefault="001920F6" w:rsidP="001920F6">
            <w:pPr>
              <w:pStyle w:val="NormalWeb"/>
              <w:spacing w:line="360" w:lineRule="auto"/>
              <w:jc w:val="both"/>
            </w:pPr>
            <w:r w:rsidRPr="001920F6">
              <w:t>0</w:t>
            </w:r>
          </w:p>
        </w:tc>
        <w:tc>
          <w:tcPr>
            <w:tcW w:w="0" w:type="auto"/>
            <w:hideMark/>
          </w:tcPr>
          <w:p w14:paraId="0F6B9019" w14:textId="77777777" w:rsidR="001920F6" w:rsidRPr="001920F6" w:rsidRDefault="001920F6" w:rsidP="001920F6">
            <w:pPr>
              <w:pStyle w:val="NormalWeb"/>
              <w:spacing w:line="360" w:lineRule="auto"/>
              <w:jc w:val="both"/>
            </w:pPr>
            <w:r w:rsidRPr="001920F6">
              <w:t>0.44 ± 0.00ᵃ</w:t>
            </w:r>
          </w:p>
        </w:tc>
        <w:tc>
          <w:tcPr>
            <w:tcW w:w="0" w:type="auto"/>
            <w:hideMark/>
          </w:tcPr>
          <w:p w14:paraId="2C83BF0A" w14:textId="77777777" w:rsidR="001920F6" w:rsidRPr="001920F6" w:rsidRDefault="001920F6" w:rsidP="001920F6">
            <w:pPr>
              <w:pStyle w:val="NormalWeb"/>
              <w:spacing w:line="360" w:lineRule="auto"/>
              <w:jc w:val="both"/>
            </w:pPr>
            <w:r w:rsidRPr="001920F6">
              <w:t>0.40 ± 0.00ᵇ</w:t>
            </w:r>
          </w:p>
        </w:tc>
        <w:tc>
          <w:tcPr>
            <w:tcW w:w="0" w:type="auto"/>
            <w:hideMark/>
          </w:tcPr>
          <w:p w14:paraId="55449FB3" w14:textId="77777777" w:rsidR="001920F6" w:rsidRPr="001920F6" w:rsidRDefault="001920F6" w:rsidP="001920F6">
            <w:pPr>
              <w:pStyle w:val="NormalWeb"/>
              <w:spacing w:line="360" w:lineRule="auto"/>
              <w:jc w:val="both"/>
            </w:pPr>
            <w:r w:rsidRPr="001920F6">
              <w:t>0.39 ± 0.00ᵇ</w:t>
            </w:r>
          </w:p>
        </w:tc>
      </w:tr>
      <w:tr w:rsidR="001920F6" w:rsidRPr="001920F6" w14:paraId="106884C1" w14:textId="77777777" w:rsidTr="001920F6">
        <w:tc>
          <w:tcPr>
            <w:tcW w:w="0" w:type="auto"/>
            <w:hideMark/>
          </w:tcPr>
          <w:p w14:paraId="199A06DE" w14:textId="77777777" w:rsidR="001920F6" w:rsidRPr="001920F6" w:rsidRDefault="001920F6" w:rsidP="001920F6">
            <w:pPr>
              <w:pStyle w:val="NormalWeb"/>
              <w:spacing w:line="360" w:lineRule="auto"/>
              <w:jc w:val="both"/>
            </w:pPr>
            <w:r w:rsidRPr="001920F6">
              <w:t>40</w:t>
            </w:r>
          </w:p>
        </w:tc>
        <w:tc>
          <w:tcPr>
            <w:tcW w:w="0" w:type="auto"/>
            <w:hideMark/>
          </w:tcPr>
          <w:p w14:paraId="4506241A" w14:textId="77777777" w:rsidR="001920F6" w:rsidRPr="001920F6" w:rsidRDefault="001920F6" w:rsidP="001920F6">
            <w:pPr>
              <w:pStyle w:val="NormalWeb"/>
              <w:spacing w:line="360" w:lineRule="auto"/>
              <w:jc w:val="both"/>
            </w:pPr>
            <w:r w:rsidRPr="001920F6">
              <w:t>0.16 ± 0.00ᵃ</w:t>
            </w:r>
          </w:p>
        </w:tc>
        <w:tc>
          <w:tcPr>
            <w:tcW w:w="0" w:type="auto"/>
            <w:hideMark/>
          </w:tcPr>
          <w:p w14:paraId="17A3CECB" w14:textId="77777777" w:rsidR="001920F6" w:rsidRPr="001920F6" w:rsidRDefault="001920F6" w:rsidP="001920F6">
            <w:pPr>
              <w:pStyle w:val="NormalWeb"/>
              <w:spacing w:line="360" w:lineRule="auto"/>
              <w:jc w:val="both"/>
            </w:pPr>
            <w:r w:rsidRPr="001920F6">
              <w:t>0.12 ± 0.00ᵇ</w:t>
            </w:r>
          </w:p>
        </w:tc>
        <w:tc>
          <w:tcPr>
            <w:tcW w:w="0" w:type="auto"/>
            <w:hideMark/>
          </w:tcPr>
          <w:p w14:paraId="0240F0F4" w14:textId="77777777" w:rsidR="001920F6" w:rsidRPr="001920F6" w:rsidRDefault="001920F6" w:rsidP="001920F6">
            <w:pPr>
              <w:pStyle w:val="NormalWeb"/>
              <w:spacing w:line="360" w:lineRule="auto"/>
              <w:jc w:val="both"/>
            </w:pPr>
            <w:r w:rsidRPr="001920F6">
              <w:t>0.13 ± 0.00ᵇ</w:t>
            </w:r>
          </w:p>
        </w:tc>
      </w:tr>
      <w:tr w:rsidR="001920F6" w:rsidRPr="001920F6" w14:paraId="0AEBB043" w14:textId="77777777" w:rsidTr="001920F6">
        <w:tc>
          <w:tcPr>
            <w:tcW w:w="0" w:type="auto"/>
            <w:hideMark/>
          </w:tcPr>
          <w:p w14:paraId="14B997DE" w14:textId="77777777" w:rsidR="001920F6" w:rsidRPr="001920F6" w:rsidRDefault="001920F6" w:rsidP="001920F6">
            <w:pPr>
              <w:pStyle w:val="NormalWeb"/>
              <w:spacing w:line="360" w:lineRule="auto"/>
              <w:jc w:val="both"/>
            </w:pPr>
            <w:r w:rsidRPr="001920F6">
              <w:t>80</w:t>
            </w:r>
          </w:p>
        </w:tc>
        <w:tc>
          <w:tcPr>
            <w:tcW w:w="0" w:type="auto"/>
            <w:hideMark/>
          </w:tcPr>
          <w:p w14:paraId="2F03C929" w14:textId="77777777" w:rsidR="001920F6" w:rsidRPr="001920F6" w:rsidRDefault="001920F6" w:rsidP="001920F6">
            <w:pPr>
              <w:pStyle w:val="NormalWeb"/>
              <w:spacing w:line="360" w:lineRule="auto"/>
              <w:jc w:val="both"/>
            </w:pPr>
            <w:r w:rsidRPr="001920F6">
              <w:t>0.25 ± 0.00ᵃ</w:t>
            </w:r>
          </w:p>
        </w:tc>
        <w:tc>
          <w:tcPr>
            <w:tcW w:w="0" w:type="auto"/>
            <w:hideMark/>
          </w:tcPr>
          <w:p w14:paraId="3F48F57F" w14:textId="77777777" w:rsidR="001920F6" w:rsidRPr="001920F6" w:rsidRDefault="001920F6" w:rsidP="001920F6">
            <w:pPr>
              <w:pStyle w:val="NormalWeb"/>
              <w:spacing w:line="360" w:lineRule="auto"/>
              <w:jc w:val="both"/>
            </w:pPr>
            <w:r w:rsidRPr="001920F6">
              <w:t>0.20 ± 0.00ᵇ</w:t>
            </w:r>
          </w:p>
        </w:tc>
        <w:tc>
          <w:tcPr>
            <w:tcW w:w="0" w:type="auto"/>
            <w:hideMark/>
          </w:tcPr>
          <w:p w14:paraId="6CFEED8A" w14:textId="77777777" w:rsidR="001920F6" w:rsidRPr="001920F6" w:rsidRDefault="001920F6" w:rsidP="001920F6">
            <w:pPr>
              <w:pStyle w:val="NormalWeb"/>
              <w:spacing w:line="360" w:lineRule="auto"/>
              <w:jc w:val="both"/>
            </w:pPr>
            <w:r w:rsidRPr="001920F6">
              <w:t>0.19 ± 0.00ᵇ</w:t>
            </w:r>
          </w:p>
        </w:tc>
      </w:tr>
      <w:tr w:rsidR="001920F6" w:rsidRPr="001920F6" w14:paraId="5E12FFCE" w14:textId="77777777" w:rsidTr="001920F6">
        <w:tc>
          <w:tcPr>
            <w:tcW w:w="0" w:type="auto"/>
            <w:hideMark/>
          </w:tcPr>
          <w:p w14:paraId="0ED5A7D3" w14:textId="77777777" w:rsidR="001920F6" w:rsidRPr="001920F6" w:rsidRDefault="001920F6" w:rsidP="001920F6">
            <w:pPr>
              <w:pStyle w:val="NormalWeb"/>
              <w:spacing w:line="360" w:lineRule="auto"/>
              <w:jc w:val="both"/>
            </w:pPr>
            <w:r w:rsidRPr="001920F6">
              <w:t>120</w:t>
            </w:r>
          </w:p>
        </w:tc>
        <w:tc>
          <w:tcPr>
            <w:tcW w:w="0" w:type="auto"/>
            <w:hideMark/>
          </w:tcPr>
          <w:p w14:paraId="359406F2" w14:textId="77777777" w:rsidR="001920F6" w:rsidRPr="001920F6" w:rsidRDefault="001920F6" w:rsidP="001920F6">
            <w:pPr>
              <w:pStyle w:val="NormalWeb"/>
              <w:spacing w:line="360" w:lineRule="auto"/>
              <w:jc w:val="both"/>
            </w:pPr>
            <w:r w:rsidRPr="001920F6">
              <w:t>0.26 ± 0.00ᵃ</w:t>
            </w:r>
          </w:p>
        </w:tc>
        <w:tc>
          <w:tcPr>
            <w:tcW w:w="0" w:type="auto"/>
            <w:hideMark/>
          </w:tcPr>
          <w:p w14:paraId="0ADB3BB9" w14:textId="77777777" w:rsidR="001920F6" w:rsidRPr="001920F6" w:rsidRDefault="001920F6" w:rsidP="001920F6">
            <w:pPr>
              <w:pStyle w:val="NormalWeb"/>
              <w:spacing w:line="360" w:lineRule="auto"/>
              <w:jc w:val="both"/>
            </w:pPr>
            <w:r w:rsidRPr="001920F6">
              <w:t>0.23 ± 0.00ᵇ</w:t>
            </w:r>
          </w:p>
        </w:tc>
        <w:tc>
          <w:tcPr>
            <w:tcW w:w="0" w:type="auto"/>
            <w:hideMark/>
          </w:tcPr>
          <w:p w14:paraId="178ED877" w14:textId="77777777" w:rsidR="001920F6" w:rsidRPr="001920F6" w:rsidRDefault="001920F6" w:rsidP="001920F6">
            <w:pPr>
              <w:pStyle w:val="NormalWeb"/>
              <w:spacing w:line="360" w:lineRule="auto"/>
              <w:jc w:val="both"/>
            </w:pPr>
            <w:r w:rsidRPr="001920F6">
              <w:t>0.21 ± 0.00ᶜ</w:t>
            </w:r>
          </w:p>
        </w:tc>
      </w:tr>
      <w:tr w:rsidR="001920F6" w:rsidRPr="001920F6" w14:paraId="74B365C4" w14:textId="77777777" w:rsidTr="001920F6">
        <w:tc>
          <w:tcPr>
            <w:tcW w:w="0" w:type="auto"/>
            <w:hideMark/>
          </w:tcPr>
          <w:p w14:paraId="19EC72FB" w14:textId="77777777" w:rsidR="001920F6" w:rsidRPr="001920F6" w:rsidRDefault="001920F6" w:rsidP="001920F6">
            <w:pPr>
              <w:pStyle w:val="NormalWeb"/>
              <w:spacing w:line="360" w:lineRule="auto"/>
              <w:jc w:val="both"/>
            </w:pPr>
            <w:r w:rsidRPr="001920F6">
              <w:t>160</w:t>
            </w:r>
          </w:p>
        </w:tc>
        <w:tc>
          <w:tcPr>
            <w:tcW w:w="0" w:type="auto"/>
            <w:hideMark/>
          </w:tcPr>
          <w:p w14:paraId="1F03C54D" w14:textId="77777777" w:rsidR="001920F6" w:rsidRPr="001920F6" w:rsidRDefault="001920F6" w:rsidP="001920F6">
            <w:pPr>
              <w:pStyle w:val="NormalWeb"/>
              <w:spacing w:line="360" w:lineRule="auto"/>
              <w:jc w:val="both"/>
            </w:pPr>
            <w:r w:rsidRPr="001920F6">
              <w:t>0.29 ± 0.00ᵃ</w:t>
            </w:r>
          </w:p>
        </w:tc>
        <w:tc>
          <w:tcPr>
            <w:tcW w:w="0" w:type="auto"/>
            <w:hideMark/>
          </w:tcPr>
          <w:p w14:paraId="6EB4E4B3" w14:textId="77777777" w:rsidR="001920F6" w:rsidRPr="001920F6" w:rsidRDefault="001920F6" w:rsidP="001920F6">
            <w:pPr>
              <w:pStyle w:val="NormalWeb"/>
              <w:spacing w:line="360" w:lineRule="auto"/>
              <w:jc w:val="both"/>
            </w:pPr>
            <w:r w:rsidRPr="001920F6">
              <w:t>0.26 ± 0.00ᵇ</w:t>
            </w:r>
          </w:p>
        </w:tc>
        <w:tc>
          <w:tcPr>
            <w:tcW w:w="0" w:type="auto"/>
            <w:hideMark/>
          </w:tcPr>
          <w:p w14:paraId="2CB69D0A" w14:textId="77777777" w:rsidR="001920F6" w:rsidRPr="001920F6" w:rsidRDefault="001920F6" w:rsidP="001920F6">
            <w:pPr>
              <w:pStyle w:val="NormalWeb"/>
              <w:spacing w:line="360" w:lineRule="auto"/>
              <w:jc w:val="both"/>
            </w:pPr>
            <w:r w:rsidRPr="001920F6">
              <w:t>0.23 ± 0.00ᶜ</w:t>
            </w:r>
          </w:p>
        </w:tc>
      </w:tr>
    </w:tbl>
    <w:p w14:paraId="215407F1" w14:textId="1E7FC260" w:rsidR="001920F6" w:rsidRPr="001920F6" w:rsidRDefault="001920F6" w:rsidP="001920F6">
      <w:pPr>
        <w:pStyle w:val="NormalWeb"/>
        <w:spacing w:line="360" w:lineRule="auto"/>
        <w:jc w:val="both"/>
      </w:pPr>
      <w:r w:rsidRPr="001920F6">
        <w:lastRenderedPageBreak/>
        <w:t>Values are Mean ± SEM (n=3). Within each row, means with different superscript letters differ significantly (p &lt; 0.05, Tukey’s post-hoc test). Group 1 = Phytate-treated fermented feed; Group 2 = Non-phytate-treated feed; Group 3 = Commercial feed.</w:t>
      </w:r>
    </w:p>
    <w:p w14:paraId="297B38A1" w14:textId="77777777" w:rsidR="001920F6" w:rsidRPr="001920F6" w:rsidRDefault="001920F6" w:rsidP="001920F6">
      <w:pPr>
        <w:pStyle w:val="NormalWeb"/>
        <w:spacing w:line="360" w:lineRule="auto"/>
        <w:jc w:val="both"/>
        <w:rPr>
          <w:b/>
          <w:bCs/>
        </w:rPr>
      </w:pPr>
      <w:r w:rsidRPr="001920F6">
        <w:rPr>
          <w:b/>
          <w:bCs/>
        </w:rPr>
        <w:t>Table 3: Catalase Activity (µmol/g) in Formulated and Commercial Feeds</w:t>
      </w:r>
    </w:p>
    <w:tbl>
      <w:tblPr>
        <w:tblStyle w:val="TableGrid"/>
        <w:tblW w:w="0" w:type="auto"/>
        <w:tblLook w:val="04A0" w:firstRow="1" w:lastRow="0" w:firstColumn="1" w:lastColumn="0" w:noHBand="0" w:noVBand="1"/>
      </w:tblPr>
      <w:tblGrid>
        <w:gridCol w:w="2339"/>
        <w:gridCol w:w="2498"/>
        <w:gridCol w:w="2193"/>
        <w:gridCol w:w="2320"/>
      </w:tblGrid>
      <w:tr w:rsidR="001920F6" w:rsidRPr="001920F6" w14:paraId="3723C9F0" w14:textId="77777777" w:rsidTr="001920F6">
        <w:tc>
          <w:tcPr>
            <w:tcW w:w="0" w:type="auto"/>
            <w:hideMark/>
          </w:tcPr>
          <w:p w14:paraId="77383A7F" w14:textId="77777777" w:rsidR="001920F6" w:rsidRPr="001920F6" w:rsidRDefault="001920F6" w:rsidP="001920F6">
            <w:pPr>
              <w:pStyle w:val="NormalWeb"/>
              <w:spacing w:line="360" w:lineRule="auto"/>
              <w:rPr>
                <w:b/>
                <w:bCs/>
              </w:rPr>
            </w:pPr>
            <w:r w:rsidRPr="001920F6">
              <w:rPr>
                <w:b/>
                <w:bCs/>
              </w:rPr>
              <w:t>Concentration (mg/ml)</w:t>
            </w:r>
          </w:p>
        </w:tc>
        <w:tc>
          <w:tcPr>
            <w:tcW w:w="0" w:type="auto"/>
            <w:hideMark/>
          </w:tcPr>
          <w:p w14:paraId="43291B50" w14:textId="77777777" w:rsidR="001920F6" w:rsidRPr="001920F6" w:rsidRDefault="001920F6" w:rsidP="001920F6">
            <w:pPr>
              <w:pStyle w:val="NormalWeb"/>
              <w:spacing w:line="360" w:lineRule="auto"/>
              <w:rPr>
                <w:b/>
                <w:bCs/>
              </w:rPr>
            </w:pPr>
            <w:r w:rsidRPr="001920F6">
              <w:rPr>
                <w:b/>
                <w:bCs/>
              </w:rPr>
              <w:t>Group 1 (Phytate-Treated)</w:t>
            </w:r>
          </w:p>
        </w:tc>
        <w:tc>
          <w:tcPr>
            <w:tcW w:w="0" w:type="auto"/>
            <w:hideMark/>
          </w:tcPr>
          <w:p w14:paraId="1B09AB99" w14:textId="77777777" w:rsidR="001920F6" w:rsidRPr="001920F6" w:rsidRDefault="001920F6" w:rsidP="001920F6">
            <w:pPr>
              <w:pStyle w:val="NormalWeb"/>
              <w:spacing w:line="360" w:lineRule="auto"/>
              <w:rPr>
                <w:b/>
                <w:bCs/>
              </w:rPr>
            </w:pPr>
            <w:r w:rsidRPr="001920F6">
              <w:rPr>
                <w:b/>
                <w:bCs/>
              </w:rPr>
              <w:t>Group 2 (Non-Phytate)</w:t>
            </w:r>
          </w:p>
        </w:tc>
        <w:tc>
          <w:tcPr>
            <w:tcW w:w="0" w:type="auto"/>
            <w:hideMark/>
          </w:tcPr>
          <w:p w14:paraId="5D08D6C2" w14:textId="77777777" w:rsidR="001920F6" w:rsidRPr="001920F6" w:rsidRDefault="001920F6" w:rsidP="001920F6">
            <w:pPr>
              <w:pStyle w:val="NormalWeb"/>
              <w:spacing w:line="360" w:lineRule="auto"/>
              <w:rPr>
                <w:b/>
                <w:bCs/>
              </w:rPr>
            </w:pPr>
            <w:r w:rsidRPr="001920F6">
              <w:rPr>
                <w:b/>
                <w:bCs/>
              </w:rPr>
              <w:t>Group 3 (Commercial)</w:t>
            </w:r>
          </w:p>
        </w:tc>
      </w:tr>
      <w:tr w:rsidR="001920F6" w:rsidRPr="001920F6" w14:paraId="355AD267" w14:textId="77777777" w:rsidTr="001920F6">
        <w:tc>
          <w:tcPr>
            <w:tcW w:w="0" w:type="auto"/>
            <w:hideMark/>
          </w:tcPr>
          <w:p w14:paraId="7306C085" w14:textId="77777777" w:rsidR="001920F6" w:rsidRPr="001920F6" w:rsidRDefault="001920F6" w:rsidP="001920F6">
            <w:pPr>
              <w:pStyle w:val="NormalWeb"/>
              <w:spacing w:line="360" w:lineRule="auto"/>
              <w:jc w:val="both"/>
            </w:pPr>
            <w:r w:rsidRPr="001920F6">
              <w:t>40</w:t>
            </w:r>
          </w:p>
        </w:tc>
        <w:tc>
          <w:tcPr>
            <w:tcW w:w="0" w:type="auto"/>
            <w:hideMark/>
          </w:tcPr>
          <w:p w14:paraId="6514A154" w14:textId="77777777" w:rsidR="001920F6" w:rsidRPr="001920F6" w:rsidRDefault="001920F6" w:rsidP="001920F6">
            <w:pPr>
              <w:pStyle w:val="NormalWeb"/>
              <w:spacing w:line="360" w:lineRule="auto"/>
              <w:jc w:val="both"/>
            </w:pPr>
            <w:r w:rsidRPr="001920F6">
              <w:t>4.22 ± 0.00ᵃ</w:t>
            </w:r>
          </w:p>
        </w:tc>
        <w:tc>
          <w:tcPr>
            <w:tcW w:w="0" w:type="auto"/>
            <w:hideMark/>
          </w:tcPr>
          <w:p w14:paraId="637E0CD3" w14:textId="77777777" w:rsidR="001920F6" w:rsidRPr="001920F6" w:rsidRDefault="001920F6" w:rsidP="001920F6">
            <w:pPr>
              <w:pStyle w:val="NormalWeb"/>
              <w:spacing w:line="360" w:lineRule="auto"/>
              <w:jc w:val="both"/>
            </w:pPr>
            <w:r w:rsidRPr="001920F6">
              <w:t>4.17 ± 0.00ᵇ</w:t>
            </w:r>
          </w:p>
        </w:tc>
        <w:tc>
          <w:tcPr>
            <w:tcW w:w="0" w:type="auto"/>
            <w:hideMark/>
          </w:tcPr>
          <w:p w14:paraId="75BED769" w14:textId="77777777" w:rsidR="001920F6" w:rsidRPr="001920F6" w:rsidRDefault="001920F6" w:rsidP="001920F6">
            <w:pPr>
              <w:pStyle w:val="NormalWeb"/>
              <w:spacing w:line="360" w:lineRule="auto"/>
              <w:jc w:val="both"/>
            </w:pPr>
            <w:r w:rsidRPr="001920F6">
              <w:t>4.13 ± 0.00ᶜ</w:t>
            </w:r>
          </w:p>
        </w:tc>
      </w:tr>
      <w:tr w:rsidR="001920F6" w:rsidRPr="001920F6" w14:paraId="4C5C45F1" w14:textId="77777777" w:rsidTr="001920F6">
        <w:tc>
          <w:tcPr>
            <w:tcW w:w="0" w:type="auto"/>
            <w:hideMark/>
          </w:tcPr>
          <w:p w14:paraId="78468B9C" w14:textId="77777777" w:rsidR="001920F6" w:rsidRPr="001920F6" w:rsidRDefault="001920F6" w:rsidP="001920F6">
            <w:pPr>
              <w:pStyle w:val="NormalWeb"/>
              <w:spacing w:line="360" w:lineRule="auto"/>
              <w:jc w:val="both"/>
            </w:pPr>
            <w:r w:rsidRPr="001920F6">
              <w:t>80</w:t>
            </w:r>
          </w:p>
        </w:tc>
        <w:tc>
          <w:tcPr>
            <w:tcW w:w="0" w:type="auto"/>
            <w:hideMark/>
          </w:tcPr>
          <w:p w14:paraId="4566E9D7" w14:textId="77777777" w:rsidR="001920F6" w:rsidRPr="001920F6" w:rsidRDefault="001920F6" w:rsidP="001920F6">
            <w:pPr>
              <w:pStyle w:val="NormalWeb"/>
              <w:spacing w:line="360" w:lineRule="auto"/>
              <w:jc w:val="both"/>
            </w:pPr>
            <w:r w:rsidRPr="001920F6">
              <w:t>4.20 ± 0.00ᵃ</w:t>
            </w:r>
          </w:p>
        </w:tc>
        <w:tc>
          <w:tcPr>
            <w:tcW w:w="0" w:type="auto"/>
            <w:hideMark/>
          </w:tcPr>
          <w:p w14:paraId="1825B4D9" w14:textId="77777777" w:rsidR="001920F6" w:rsidRPr="001920F6" w:rsidRDefault="001920F6" w:rsidP="001920F6">
            <w:pPr>
              <w:pStyle w:val="NormalWeb"/>
              <w:spacing w:line="360" w:lineRule="auto"/>
              <w:jc w:val="both"/>
            </w:pPr>
            <w:r w:rsidRPr="001920F6">
              <w:t>4.16 ± 0.00ᵇ</w:t>
            </w:r>
          </w:p>
        </w:tc>
        <w:tc>
          <w:tcPr>
            <w:tcW w:w="0" w:type="auto"/>
            <w:hideMark/>
          </w:tcPr>
          <w:p w14:paraId="7997B734" w14:textId="77777777" w:rsidR="001920F6" w:rsidRPr="001920F6" w:rsidRDefault="001920F6" w:rsidP="001920F6">
            <w:pPr>
              <w:pStyle w:val="NormalWeb"/>
              <w:spacing w:line="360" w:lineRule="auto"/>
              <w:jc w:val="both"/>
            </w:pPr>
            <w:r w:rsidRPr="001920F6">
              <w:t>4.11 ± 0.00ᶜ</w:t>
            </w:r>
          </w:p>
        </w:tc>
      </w:tr>
      <w:tr w:rsidR="001920F6" w:rsidRPr="001920F6" w14:paraId="0466CAC9" w14:textId="77777777" w:rsidTr="001920F6">
        <w:tc>
          <w:tcPr>
            <w:tcW w:w="0" w:type="auto"/>
            <w:hideMark/>
          </w:tcPr>
          <w:p w14:paraId="0AF418BA" w14:textId="77777777" w:rsidR="001920F6" w:rsidRPr="001920F6" w:rsidRDefault="001920F6" w:rsidP="001920F6">
            <w:pPr>
              <w:pStyle w:val="NormalWeb"/>
              <w:spacing w:line="360" w:lineRule="auto"/>
              <w:jc w:val="both"/>
            </w:pPr>
            <w:r w:rsidRPr="001920F6">
              <w:t>120</w:t>
            </w:r>
          </w:p>
        </w:tc>
        <w:tc>
          <w:tcPr>
            <w:tcW w:w="0" w:type="auto"/>
            <w:hideMark/>
          </w:tcPr>
          <w:p w14:paraId="516559CE" w14:textId="77777777" w:rsidR="001920F6" w:rsidRPr="001920F6" w:rsidRDefault="001920F6" w:rsidP="001920F6">
            <w:pPr>
              <w:pStyle w:val="NormalWeb"/>
              <w:spacing w:line="360" w:lineRule="auto"/>
              <w:jc w:val="both"/>
            </w:pPr>
            <w:r w:rsidRPr="001920F6">
              <w:t>4.00 ± 0.00ᵃ</w:t>
            </w:r>
          </w:p>
        </w:tc>
        <w:tc>
          <w:tcPr>
            <w:tcW w:w="0" w:type="auto"/>
            <w:hideMark/>
          </w:tcPr>
          <w:p w14:paraId="3833238E" w14:textId="77777777" w:rsidR="001920F6" w:rsidRPr="001920F6" w:rsidRDefault="001920F6" w:rsidP="001920F6">
            <w:pPr>
              <w:pStyle w:val="NormalWeb"/>
              <w:spacing w:line="360" w:lineRule="auto"/>
              <w:jc w:val="both"/>
            </w:pPr>
            <w:r w:rsidRPr="001920F6">
              <w:t>4.13 ± 0.00ᵇ</w:t>
            </w:r>
          </w:p>
        </w:tc>
        <w:tc>
          <w:tcPr>
            <w:tcW w:w="0" w:type="auto"/>
            <w:hideMark/>
          </w:tcPr>
          <w:p w14:paraId="1CE7D1C2" w14:textId="77777777" w:rsidR="001920F6" w:rsidRPr="001920F6" w:rsidRDefault="001920F6" w:rsidP="001920F6">
            <w:pPr>
              <w:pStyle w:val="NormalWeb"/>
              <w:spacing w:line="360" w:lineRule="auto"/>
              <w:jc w:val="both"/>
            </w:pPr>
            <w:r w:rsidRPr="001920F6">
              <w:t>4.09 ± 0.00ᶜ</w:t>
            </w:r>
          </w:p>
        </w:tc>
      </w:tr>
      <w:tr w:rsidR="001920F6" w:rsidRPr="001920F6" w14:paraId="4F005709" w14:textId="77777777" w:rsidTr="001920F6">
        <w:tc>
          <w:tcPr>
            <w:tcW w:w="0" w:type="auto"/>
            <w:hideMark/>
          </w:tcPr>
          <w:p w14:paraId="767E232F" w14:textId="77777777" w:rsidR="001920F6" w:rsidRPr="001920F6" w:rsidRDefault="001920F6" w:rsidP="001920F6">
            <w:pPr>
              <w:pStyle w:val="NormalWeb"/>
              <w:spacing w:line="360" w:lineRule="auto"/>
              <w:jc w:val="both"/>
            </w:pPr>
            <w:r w:rsidRPr="001920F6">
              <w:t>160</w:t>
            </w:r>
          </w:p>
        </w:tc>
        <w:tc>
          <w:tcPr>
            <w:tcW w:w="0" w:type="auto"/>
            <w:hideMark/>
          </w:tcPr>
          <w:p w14:paraId="6018BBAE" w14:textId="77777777" w:rsidR="001920F6" w:rsidRPr="001920F6" w:rsidRDefault="001920F6" w:rsidP="001920F6">
            <w:pPr>
              <w:pStyle w:val="NormalWeb"/>
              <w:spacing w:line="360" w:lineRule="auto"/>
              <w:jc w:val="both"/>
            </w:pPr>
            <w:r w:rsidRPr="001920F6">
              <w:t>4.12 ± 0.00ᵃ</w:t>
            </w:r>
          </w:p>
        </w:tc>
        <w:tc>
          <w:tcPr>
            <w:tcW w:w="0" w:type="auto"/>
            <w:hideMark/>
          </w:tcPr>
          <w:p w14:paraId="2FE4FAEC" w14:textId="77777777" w:rsidR="001920F6" w:rsidRPr="001920F6" w:rsidRDefault="001920F6" w:rsidP="001920F6">
            <w:pPr>
              <w:pStyle w:val="NormalWeb"/>
              <w:spacing w:line="360" w:lineRule="auto"/>
              <w:jc w:val="both"/>
            </w:pPr>
            <w:r w:rsidRPr="001920F6">
              <w:t>4.15 ± 0.00ᵇ</w:t>
            </w:r>
          </w:p>
        </w:tc>
        <w:tc>
          <w:tcPr>
            <w:tcW w:w="0" w:type="auto"/>
            <w:hideMark/>
          </w:tcPr>
          <w:p w14:paraId="7E7AFB1C" w14:textId="77777777" w:rsidR="001920F6" w:rsidRPr="001920F6" w:rsidRDefault="001920F6" w:rsidP="001920F6">
            <w:pPr>
              <w:pStyle w:val="NormalWeb"/>
              <w:spacing w:line="360" w:lineRule="auto"/>
              <w:jc w:val="both"/>
            </w:pPr>
            <w:r w:rsidRPr="001920F6">
              <w:t>4.08 ± 0.00ᶜ</w:t>
            </w:r>
          </w:p>
        </w:tc>
      </w:tr>
    </w:tbl>
    <w:p w14:paraId="21D5133E" w14:textId="5A1A53A4" w:rsidR="002E12DF" w:rsidRPr="001920F6" w:rsidRDefault="001920F6" w:rsidP="008A4FD3">
      <w:pPr>
        <w:pStyle w:val="NormalWeb"/>
        <w:spacing w:line="360" w:lineRule="auto"/>
        <w:jc w:val="both"/>
        <w:rPr>
          <w:rStyle w:val="Strong"/>
          <w:b w:val="0"/>
          <w:bCs w:val="0"/>
        </w:rPr>
      </w:pPr>
      <w:r w:rsidRPr="001920F6">
        <w:t>Values are Mean ± SEM (n=3). Within each row, means with different superscript letters differ significantly (p &lt; 0.05, Tukey’s post-hoc test). Group 1 = Phytate-treated fermented feed; Group 2 = Non-phytate-treated feed; Group 3 = Commercial feed.</w:t>
      </w:r>
    </w:p>
    <w:p w14:paraId="29BD5970" w14:textId="1B4FB864" w:rsidR="002E12DF" w:rsidRPr="00E53608" w:rsidRDefault="002E12DF" w:rsidP="00E53608">
      <w:pPr>
        <w:spacing w:line="360" w:lineRule="auto"/>
        <w:jc w:val="both"/>
      </w:pPr>
      <w:r w:rsidRPr="00E53608">
        <w:rPr>
          <w:rStyle w:val="Strong"/>
        </w:rPr>
        <w:t>Protein Utilization</w:t>
      </w:r>
    </w:p>
    <w:p w14:paraId="601CEAF0" w14:textId="203208E9" w:rsidR="002E12DF" w:rsidRDefault="002E12DF" w:rsidP="00E53608">
      <w:pPr>
        <w:spacing w:line="360" w:lineRule="auto"/>
        <w:jc w:val="both"/>
      </w:pPr>
      <w:r w:rsidRPr="003F17FF">
        <w:t>Broilers fed the phytate-treated fermented diet exhibited significantly</w:t>
      </w:r>
      <w:r w:rsidR="008153B8" w:rsidRPr="003F17FF">
        <w:t xml:space="preserve"> </w:t>
      </w:r>
      <w:r w:rsidR="001E4CB4" w:rsidRPr="003F17FF">
        <w:t>(p &lt; 0.05)</w:t>
      </w:r>
      <w:r w:rsidRPr="003F17FF">
        <w:t xml:space="preserve"> higher Protein Efficiency Ratio (PER) compared with birds fed the non-treated diet</w:t>
      </w:r>
      <w:r w:rsidR="001E4CB4" w:rsidRPr="003F17FF">
        <w:t xml:space="preserve"> (Table </w:t>
      </w:r>
      <w:r w:rsidR="00E53608">
        <w:t>4</w:t>
      </w:r>
      <w:r w:rsidR="001E4CB4" w:rsidRPr="003F17FF">
        <w:t>)</w:t>
      </w:r>
      <w:r w:rsidRPr="003F17FF">
        <w:t>, reflecting enhanced protein bioavailability following enzyme-driven phytate hydrolysis.</w:t>
      </w:r>
    </w:p>
    <w:p w14:paraId="5239B91A" w14:textId="77777777" w:rsidR="00E53608" w:rsidRPr="003F17FF" w:rsidRDefault="00E53608" w:rsidP="00E53608">
      <w:pPr>
        <w:spacing w:line="360" w:lineRule="auto"/>
        <w:jc w:val="both"/>
      </w:pPr>
    </w:p>
    <w:p w14:paraId="0BCA05F1" w14:textId="5F843B8D" w:rsidR="009A7F48" w:rsidRPr="003F17FF" w:rsidRDefault="009A7F48" w:rsidP="00CF18AC">
      <w:pPr>
        <w:jc w:val="both"/>
        <w:rPr>
          <w:b/>
        </w:rPr>
      </w:pPr>
      <w:r w:rsidRPr="003F17FF">
        <w:rPr>
          <w:b/>
        </w:rPr>
        <w:t xml:space="preserve">Table </w:t>
      </w:r>
      <w:r w:rsidR="00E53608">
        <w:rPr>
          <w:b/>
        </w:rPr>
        <w:t>4</w:t>
      </w:r>
      <w:r w:rsidRPr="003F17FF">
        <w:rPr>
          <w:b/>
        </w:rPr>
        <w:t xml:space="preserve">: </w:t>
      </w:r>
      <w:bookmarkStart w:id="4" w:name="_Hlk220204077"/>
      <w:r w:rsidRPr="003F17FF">
        <w:rPr>
          <w:b/>
        </w:rPr>
        <w:t xml:space="preserve">Protein Efficiency Ratio </w:t>
      </w:r>
      <w:bookmarkEnd w:id="4"/>
      <w:r w:rsidRPr="003F17FF">
        <w:rPr>
          <w:b/>
        </w:rPr>
        <w:t>of broilers fed with the formulated and commercial feeds</w:t>
      </w:r>
    </w:p>
    <w:tbl>
      <w:tblPr>
        <w:tblStyle w:val="TableGrid"/>
        <w:tblW w:w="4318" w:type="pct"/>
        <w:tblLook w:val="04A0" w:firstRow="1" w:lastRow="0" w:firstColumn="1" w:lastColumn="0" w:noHBand="0" w:noVBand="1"/>
      </w:tblPr>
      <w:tblGrid>
        <w:gridCol w:w="1908"/>
        <w:gridCol w:w="1910"/>
        <w:gridCol w:w="1909"/>
        <w:gridCol w:w="2348"/>
      </w:tblGrid>
      <w:tr w:rsidR="009A7F48" w:rsidRPr="003F17FF" w14:paraId="5968DD51" w14:textId="77777777" w:rsidTr="00E53608">
        <w:tc>
          <w:tcPr>
            <w:tcW w:w="1181" w:type="pct"/>
          </w:tcPr>
          <w:p w14:paraId="6052A339" w14:textId="77777777" w:rsidR="009A7F48" w:rsidRPr="003F17FF" w:rsidRDefault="009A7F48" w:rsidP="00CF18AC">
            <w:pPr>
              <w:jc w:val="both"/>
            </w:pPr>
            <w:r w:rsidRPr="003F17FF">
              <w:t>Week</w:t>
            </w:r>
          </w:p>
        </w:tc>
        <w:tc>
          <w:tcPr>
            <w:tcW w:w="1182" w:type="pct"/>
          </w:tcPr>
          <w:p w14:paraId="5D4CB625" w14:textId="77777777" w:rsidR="009A7F48" w:rsidRPr="003F17FF" w:rsidRDefault="009A7F48" w:rsidP="00CF18AC">
            <w:pPr>
              <w:jc w:val="both"/>
            </w:pPr>
            <w:r w:rsidRPr="003F17FF">
              <w:t xml:space="preserve">Group 1 </w:t>
            </w:r>
          </w:p>
        </w:tc>
        <w:tc>
          <w:tcPr>
            <w:tcW w:w="1182" w:type="pct"/>
          </w:tcPr>
          <w:p w14:paraId="62F48D9E" w14:textId="77777777" w:rsidR="009A7F48" w:rsidRPr="003F17FF" w:rsidRDefault="009A7F48" w:rsidP="00CF18AC">
            <w:pPr>
              <w:jc w:val="both"/>
            </w:pPr>
            <w:r w:rsidRPr="003F17FF">
              <w:t xml:space="preserve">Group 2 </w:t>
            </w:r>
          </w:p>
        </w:tc>
        <w:tc>
          <w:tcPr>
            <w:tcW w:w="1454" w:type="pct"/>
          </w:tcPr>
          <w:p w14:paraId="5AE9E0FB" w14:textId="77777777" w:rsidR="009A7F48" w:rsidRPr="003F17FF" w:rsidRDefault="009A7F48" w:rsidP="00CF18AC">
            <w:pPr>
              <w:jc w:val="both"/>
            </w:pPr>
            <w:r w:rsidRPr="003F17FF">
              <w:t xml:space="preserve">Group 3 </w:t>
            </w:r>
          </w:p>
        </w:tc>
      </w:tr>
      <w:tr w:rsidR="009A7F48" w:rsidRPr="003F17FF" w14:paraId="0EF561B4" w14:textId="77777777" w:rsidTr="00E53608">
        <w:tc>
          <w:tcPr>
            <w:tcW w:w="1181" w:type="pct"/>
          </w:tcPr>
          <w:p w14:paraId="26FF47FD" w14:textId="77777777" w:rsidR="009A7F48" w:rsidRPr="003F17FF" w:rsidRDefault="009A7F48" w:rsidP="00CF18AC">
            <w:pPr>
              <w:jc w:val="both"/>
            </w:pPr>
            <w:r w:rsidRPr="003F17FF">
              <w:t>1</w:t>
            </w:r>
          </w:p>
        </w:tc>
        <w:tc>
          <w:tcPr>
            <w:tcW w:w="1182" w:type="pct"/>
          </w:tcPr>
          <w:p w14:paraId="2A798D67" w14:textId="77777777" w:rsidR="009A7F48" w:rsidRPr="003F17FF" w:rsidRDefault="009A7F48" w:rsidP="00CF18AC">
            <w:pPr>
              <w:jc w:val="both"/>
            </w:pPr>
            <w:r w:rsidRPr="003F17FF">
              <w:t>0.06 ± 0.00</w:t>
            </w:r>
            <w:r w:rsidRPr="003F17FF">
              <w:rPr>
                <w:vertAlign w:val="superscript"/>
              </w:rPr>
              <w:t>a</w:t>
            </w:r>
          </w:p>
        </w:tc>
        <w:tc>
          <w:tcPr>
            <w:tcW w:w="1182" w:type="pct"/>
          </w:tcPr>
          <w:p w14:paraId="14326FC1" w14:textId="77777777" w:rsidR="009A7F48" w:rsidRPr="003F17FF" w:rsidRDefault="009A7F48" w:rsidP="00CF18AC">
            <w:pPr>
              <w:jc w:val="both"/>
            </w:pPr>
            <w:r w:rsidRPr="003F17FF">
              <w:t>0.06 ± 0.00</w:t>
            </w:r>
            <w:r w:rsidRPr="003F17FF">
              <w:rPr>
                <w:vertAlign w:val="superscript"/>
              </w:rPr>
              <w:t>a</w:t>
            </w:r>
          </w:p>
        </w:tc>
        <w:tc>
          <w:tcPr>
            <w:tcW w:w="1454" w:type="pct"/>
          </w:tcPr>
          <w:p w14:paraId="6DF5EF97" w14:textId="77777777" w:rsidR="009A7F48" w:rsidRPr="003F17FF" w:rsidRDefault="009A7F48" w:rsidP="00CF18AC">
            <w:pPr>
              <w:jc w:val="both"/>
            </w:pPr>
            <w:r w:rsidRPr="003F17FF">
              <w:t>0.06 ± 0.00</w:t>
            </w:r>
            <w:r w:rsidRPr="003F17FF">
              <w:rPr>
                <w:vertAlign w:val="superscript"/>
              </w:rPr>
              <w:t>a</w:t>
            </w:r>
          </w:p>
        </w:tc>
      </w:tr>
      <w:tr w:rsidR="009A7F48" w:rsidRPr="003F17FF" w14:paraId="08E16C2C" w14:textId="77777777" w:rsidTr="00E53608">
        <w:tc>
          <w:tcPr>
            <w:tcW w:w="1181" w:type="pct"/>
          </w:tcPr>
          <w:p w14:paraId="1C718DD5" w14:textId="77777777" w:rsidR="009A7F48" w:rsidRPr="003F17FF" w:rsidRDefault="009A7F48" w:rsidP="00CF18AC">
            <w:pPr>
              <w:jc w:val="both"/>
            </w:pPr>
            <w:r w:rsidRPr="003F17FF">
              <w:t>2</w:t>
            </w:r>
          </w:p>
        </w:tc>
        <w:tc>
          <w:tcPr>
            <w:tcW w:w="1182" w:type="pct"/>
          </w:tcPr>
          <w:p w14:paraId="4B5AD84E" w14:textId="77777777" w:rsidR="009A7F48" w:rsidRPr="003F17FF" w:rsidRDefault="009A7F48" w:rsidP="00CF18AC">
            <w:pPr>
              <w:jc w:val="both"/>
            </w:pPr>
            <w:r w:rsidRPr="003F17FF">
              <w:t>0.07 ± 0.00</w:t>
            </w:r>
            <w:r w:rsidRPr="003F17FF">
              <w:rPr>
                <w:vertAlign w:val="superscript"/>
              </w:rPr>
              <w:t>a</w:t>
            </w:r>
          </w:p>
        </w:tc>
        <w:tc>
          <w:tcPr>
            <w:tcW w:w="1182" w:type="pct"/>
          </w:tcPr>
          <w:p w14:paraId="7728FD74" w14:textId="77777777" w:rsidR="009A7F48" w:rsidRPr="003F17FF" w:rsidRDefault="009A7F48" w:rsidP="00CF18AC">
            <w:pPr>
              <w:jc w:val="both"/>
            </w:pPr>
            <w:r w:rsidRPr="003F17FF">
              <w:t>0.07 ± 0.00</w:t>
            </w:r>
            <w:r w:rsidRPr="003F17FF">
              <w:rPr>
                <w:vertAlign w:val="superscript"/>
              </w:rPr>
              <w:t>a</w:t>
            </w:r>
          </w:p>
        </w:tc>
        <w:tc>
          <w:tcPr>
            <w:tcW w:w="1454" w:type="pct"/>
          </w:tcPr>
          <w:p w14:paraId="7A90322A" w14:textId="77777777" w:rsidR="009A7F48" w:rsidRPr="003F17FF" w:rsidRDefault="009A7F48" w:rsidP="00CF18AC">
            <w:pPr>
              <w:jc w:val="both"/>
            </w:pPr>
            <w:r w:rsidRPr="003F17FF">
              <w:t>0.07 ± 0.00</w:t>
            </w:r>
            <w:r w:rsidRPr="003F17FF">
              <w:rPr>
                <w:vertAlign w:val="superscript"/>
              </w:rPr>
              <w:t>a</w:t>
            </w:r>
          </w:p>
        </w:tc>
      </w:tr>
      <w:tr w:rsidR="009A7F48" w:rsidRPr="003F17FF" w14:paraId="30EE93D7" w14:textId="77777777" w:rsidTr="00E53608">
        <w:trPr>
          <w:trHeight w:val="188"/>
        </w:trPr>
        <w:tc>
          <w:tcPr>
            <w:tcW w:w="1181" w:type="pct"/>
          </w:tcPr>
          <w:p w14:paraId="71EE9085" w14:textId="77777777" w:rsidR="009A7F48" w:rsidRPr="003F17FF" w:rsidRDefault="009A7F48" w:rsidP="00CF18AC">
            <w:pPr>
              <w:jc w:val="both"/>
            </w:pPr>
            <w:r w:rsidRPr="003F17FF">
              <w:t>3</w:t>
            </w:r>
          </w:p>
        </w:tc>
        <w:tc>
          <w:tcPr>
            <w:tcW w:w="1182" w:type="pct"/>
          </w:tcPr>
          <w:p w14:paraId="682B37C6" w14:textId="77777777" w:rsidR="009A7F48" w:rsidRPr="003F17FF" w:rsidRDefault="009A7F48" w:rsidP="00CF18AC">
            <w:pPr>
              <w:jc w:val="both"/>
            </w:pPr>
            <w:r w:rsidRPr="003F17FF">
              <w:t>0.21 ± 0.01</w:t>
            </w:r>
            <w:r w:rsidRPr="003F17FF">
              <w:rPr>
                <w:vertAlign w:val="superscript"/>
              </w:rPr>
              <w:t>b</w:t>
            </w:r>
          </w:p>
        </w:tc>
        <w:tc>
          <w:tcPr>
            <w:tcW w:w="1182" w:type="pct"/>
          </w:tcPr>
          <w:p w14:paraId="5D0791B3" w14:textId="77777777" w:rsidR="009A7F48" w:rsidRPr="003F17FF" w:rsidRDefault="009A7F48" w:rsidP="00CF18AC">
            <w:pPr>
              <w:jc w:val="both"/>
            </w:pPr>
            <w:r w:rsidRPr="003F17FF">
              <w:t>0.17 ± 0.03</w:t>
            </w:r>
            <w:r w:rsidRPr="003F17FF">
              <w:rPr>
                <w:vertAlign w:val="superscript"/>
              </w:rPr>
              <w:t>c</w:t>
            </w:r>
          </w:p>
        </w:tc>
        <w:tc>
          <w:tcPr>
            <w:tcW w:w="1454" w:type="pct"/>
          </w:tcPr>
          <w:p w14:paraId="066D7A04" w14:textId="77777777" w:rsidR="009A7F48" w:rsidRPr="003F17FF" w:rsidRDefault="009A7F48" w:rsidP="00CF18AC">
            <w:pPr>
              <w:jc w:val="both"/>
            </w:pPr>
            <w:r w:rsidRPr="003F17FF">
              <w:t>1.06 ± 0.07</w:t>
            </w:r>
            <w:r w:rsidRPr="003F17FF">
              <w:rPr>
                <w:vertAlign w:val="superscript"/>
              </w:rPr>
              <w:t>a</w:t>
            </w:r>
          </w:p>
        </w:tc>
      </w:tr>
      <w:tr w:rsidR="009A7F48" w:rsidRPr="003F17FF" w14:paraId="13FDD2DC" w14:textId="77777777" w:rsidTr="00E53608">
        <w:tc>
          <w:tcPr>
            <w:tcW w:w="1181" w:type="pct"/>
          </w:tcPr>
          <w:p w14:paraId="65EBB67F" w14:textId="77777777" w:rsidR="009A7F48" w:rsidRPr="003F17FF" w:rsidRDefault="009A7F48" w:rsidP="00CF18AC">
            <w:pPr>
              <w:jc w:val="both"/>
            </w:pPr>
            <w:r w:rsidRPr="003F17FF">
              <w:t>4</w:t>
            </w:r>
          </w:p>
        </w:tc>
        <w:tc>
          <w:tcPr>
            <w:tcW w:w="1182" w:type="pct"/>
          </w:tcPr>
          <w:p w14:paraId="1EC51A5A" w14:textId="77777777" w:rsidR="009A7F48" w:rsidRPr="003F17FF" w:rsidRDefault="009A7F48" w:rsidP="00CF18AC">
            <w:pPr>
              <w:jc w:val="both"/>
            </w:pPr>
            <w:r w:rsidRPr="003F17FF">
              <w:t>0.26 ± 0.06</w:t>
            </w:r>
            <w:r w:rsidRPr="003F17FF">
              <w:rPr>
                <w:vertAlign w:val="superscript"/>
              </w:rPr>
              <w:t>b</w:t>
            </w:r>
          </w:p>
        </w:tc>
        <w:tc>
          <w:tcPr>
            <w:tcW w:w="1182" w:type="pct"/>
          </w:tcPr>
          <w:p w14:paraId="0A90BDF9" w14:textId="77777777" w:rsidR="009A7F48" w:rsidRPr="003F17FF" w:rsidRDefault="009A7F48" w:rsidP="00CF18AC">
            <w:pPr>
              <w:jc w:val="both"/>
            </w:pPr>
            <w:r w:rsidRPr="003F17FF">
              <w:t>0.19 ± 0.03</w:t>
            </w:r>
            <w:r w:rsidRPr="003F17FF">
              <w:rPr>
                <w:vertAlign w:val="superscript"/>
              </w:rPr>
              <w:t>c</w:t>
            </w:r>
          </w:p>
        </w:tc>
        <w:tc>
          <w:tcPr>
            <w:tcW w:w="1454" w:type="pct"/>
          </w:tcPr>
          <w:p w14:paraId="6DD4B3AD" w14:textId="77777777" w:rsidR="009A7F48" w:rsidRPr="003F17FF" w:rsidRDefault="009A7F48" w:rsidP="00CF18AC">
            <w:pPr>
              <w:jc w:val="both"/>
            </w:pPr>
            <w:r w:rsidRPr="003F17FF">
              <w:t>0.52 ± 0.02</w:t>
            </w:r>
            <w:r w:rsidRPr="003F17FF">
              <w:rPr>
                <w:vertAlign w:val="superscript"/>
              </w:rPr>
              <w:t>a</w:t>
            </w:r>
          </w:p>
        </w:tc>
      </w:tr>
      <w:tr w:rsidR="009A7F48" w:rsidRPr="003F17FF" w14:paraId="7B51B572" w14:textId="77777777" w:rsidTr="00E53608">
        <w:tc>
          <w:tcPr>
            <w:tcW w:w="1181" w:type="pct"/>
          </w:tcPr>
          <w:p w14:paraId="1FC2E918" w14:textId="77777777" w:rsidR="009A7F48" w:rsidRPr="003F17FF" w:rsidRDefault="009A7F48" w:rsidP="00CF18AC">
            <w:pPr>
              <w:jc w:val="both"/>
            </w:pPr>
            <w:r w:rsidRPr="003F17FF">
              <w:t>5</w:t>
            </w:r>
          </w:p>
        </w:tc>
        <w:tc>
          <w:tcPr>
            <w:tcW w:w="1182" w:type="pct"/>
          </w:tcPr>
          <w:p w14:paraId="1374F88A" w14:textId="77777777" w:rsidR="009A7F48" w:rsidRPr="003F17FF" w:rsidRDefault="009A7F48" w:rsidP="00CF18AC">
            <w:pPr>
              <w:jc w:val="both"/>
            </w:pPr>
            <w:r w:rsidRPr="003F17FF">
              <w:t>0.71 ± 0.29</w:t>
            </w:r>
            <w:r w:rsidRPr="003F17FF">
              <w:rPr>
                <w:vertAlign w:val="superscript"/>
              </w:rPr>
              <w:t>b</w:t>
            </w:r>
          </w:p>
        </w:tc>
        <w:tc>
          <w:tcPr>
            <w:tcW w:w="1182" w:type="pct"/>
          </w:tcPr>
          <w:p w14:paraId="096F902A" w14:textId="77777777" w:rsidR="009A7F48" w:rsidRPr="003F17FF" w:rsidRDefault="009A7F48" w:rsidP="00CF18AC">
            <w:pPr>
              <w:jc w:val="both"/>
            </w:pPr>
            <w:r w:rsidRPr="003F17FF">
              <w:t>0.44 ± 0.06</w:t>
            </w:r>
            <w:r w:rsidRPr="003F17FF">
              <w:rPr>
                <w:vertAlign w:val="superscript"/>
              </w:rPr>
              <w:t>a</w:t>
            </w:r>
          </w:p>
        </w:tc>
        <w:tc>
          <w:tcPr>
            <w:tcW w:w="1454" w:type="pct"/>
          </w:tcPr>
          <w:p w14:paraId="17FA606B" w14:textId="77777777" w:rsidR="009A7F48" w:rsidRPr="003F17FF" w:rsidRDefault="009A7F48" w:rsidP="00CF18AC">
            <w:pPr>
              <w:jc w:val="both"/>
            </w:pPr>
            <w:r w:rsidRPr="003F17FF">
              <w:t>0.43 ± 0.04</w:t>
            </w:r>
            <w:r w:rsidRPr="003F17FF">
              <w:rPr>
                <w:vertAlign w:val="superscript"/>
              </w:rPr>
              <w:t>a</w:t>
            </w:r>
          </w:p>
        </w:tc>
      </w:tr>
      <w:tr w:rsidR="009A7F48" w:rsidRPr="003F17FF" w14:paraId="40EB4532" w14:textId="77777777" w:rsidTr="00E53608">
        <w:tc>
          <w:tcPr>
            <w:tcW w:w="1181" w:type="pct"/>
          </w:tcPr>
          <w:p w14:paraId="42D8E80D" w14:textId="77777777" w:rsidR="009A7F48" w:rsidRPr="003F17FF" w:rsidRDefault="009A7F48" w:rsidP="00CF18AC">
            <w:pPr>
              <w:jc w:val="both"/>
            </w:pPr>
            <w:r w:rsidRPr="003F17FF">
              <w:t>6</w:t>
            </w:r>
          </w:p>
        </w:tc>
        <w:tc>
          <w:tcPr>
            <w:tcW w:w="1182" w:type="pct"/>
          </w:tcPr>
          <w:p w14:paraId="164B03DB" w14:textId="77777777" w:rsidR="009A7F48" w:rsidRPr="003F17FF" w:rsidRDefault="009A7F48" w:rsidP="00CF18AC">
            <w:pPr>
              <w:jc w:val="both"/>
            </w:pPr>
            <w:r w:rsidRPr="003F17FF">
              <w:t>0.82 ± 0.40</w:t>
            </w:r>
            <w:r w:rsidRPr="003F17FF">
              <w:rPr>
                <w:vertAlign w:val="superscript"/>
              </w:rPr>
              <w:t>a</w:t>
            </w:r>
          </w:p>
        </w:tc>
        <w:tc>
          <w:tcPr>
            <w:tcW w:w="1182" w:type="pct"/>
          </w:tcPr>
          <w:p w14:paraId="56DFA6D3" w14:textId="77777777" w:rsidR="009A7F48" w:rsidRPr="003F17FF" w:rsidRDefault="009A7F48" w:rsidP="00CF18AC">
            <w:pPr>
              <w:jc w:val="both"/>
            </w:pPr>
            <w:r w:rsidRPr="003F17FF">
              <w:t>0.47 ± 0.11</w:t>
            </w:r>
            <w:r w:rsidRPr="003F17FF">
              <w:rPr>
                <w:vertAlign w:val="superscript"/>
              </w:rPr>
              <w:t>c</w:t>
            </w:r>
          </w:p>
        </w:tc>
        <w:tc>
          <w:tcPr>
            <w:tcW w:w="1454" w:type="pct"/>
          </w:tcPr>
          <w:p w14:paraId="5D0FC451" w14:textId="77777777" w:rsidR="009A7F48" w:rsidRPr="003F17FF" w:rsidRDefault="009A7F48" w:rsidP="00CF18AC">
            <w:pPr>
              <w:jc w:val="both"/>
            </w:pPr>
            <w:r w:rsidRPr="003F17FF">
              <w:t>0.57 ± 0.05</w:t>
            </w:r>
            <w:r w:rsidRPr="003F17FF">
              <w:rPr>
                <w:vertAlign w:val="superscript"/>
              </w:rPr>
              <w:t>b</w:t>
            </w:r>
          </w:p>
        </w:tc>
      </w:tr>
    </w:tbl>
    <w:p w14:paraId="614437E7" w14:textId="7B6A1D83" w:rsidR="007A5709" w:rsidRPr="001920F6" w:rsidRDefault="009A7F48" w:rsidP="00E53608">
      <w:pPr>
        <w:jc w:val="both"/>
        <w:rPr>
          <w:color w:val="000000" w:themeColor="text1"/>
          <w:kern w:val="24"/>
        </w:rPr>
      </w:pPr>
      <w:r w:rsidRPr="003F17FF">
        <w:rPr>
          <w:color w:val="000000" w:themeColor="text1"/>
          <w:kern w:val="24"/>
        </w:rPr>
        <w:t>Values are expressed as Mean</w:t>
      </w:r>
      <w:r w:rsidR="007A5709" w:rsidRPr="003F17FF">
        <w:rPr>
          <w:color w:val="000000" w:themeColor="text1"/>
          <w:kern w:val="24"/>
        </w:rPr>
        <w:t xml:space="preserve"> </w:t>
      </w:r>
      <w:r w:rsidRPr="003F17FF">
        <w:rPr>
          <w:color w:val="000000" w:themeColor="text1"/>
          <w:kern w:val="24"/>
        </w:rPr>
        <w:t>±SEM (n=3). Means in the same row with different superscript letters differ significantly (p&lt;0.05)</w:t>
      </w:r>
      <w:r w:rsidR="008C2A8A" w:rsidRPr="003F17FF">
        <w:rPr>
          <w:color w:val="000000" w:themeColor="text1"/>
          <w:kern w:val="24"/>
        </w:rPr>
        <w:t>.</w:t>
      </w:r>
      <w:r w:rsidR="001920F6">
        <w:rPr>
          <w:color w:val="000000" w:themeColor="text1"/>
          <w:kern w:val="24"/>
        </w:rPr>
        <w:t xml:space="preserve"> </w:t>
      </w:r>
      <w:r w:rsidRPr="003F17FF">
        <w:rPr>
          <w:rFonts w:eastAsiaTheme="minorEastAsia"/>
          <w:color w:val="000000" w:themeColor="text1"/>
          <w:kern w:val="24"/>
        </w:rPr>
        <w:t>Group 1 = Phytate-Treated Feed</w:t>
      </w:r>
      <w:r w:rsidR="001920F6">
        <w:rPr>
          <w:color w:val="000000" w:themeColor="text1"/>
          <w:kern w:val="24"/>
        </w:rPr>
        <w:t xml:space="preserve">, </w:t>
      </w:r>
      <w:r w:rsidRPr="003F17FF">
        <w:rPr>
          <w:rFonts w:eastAsiaTheme="minorEastAsia"/>
          <w:color w:val="000000" w:themeColor="text1"/>
          <w:kern w:val="24"/>
        </w:rPr>
        <w:t>Group 2 = Non-Phytate Treated Feed</w:t>
      </w:r>
      <w:r w:rsidR="001920F6">
        <w:rPr>
          <w:color w:val="000000" w:themeColor="text1"/>
          <w:kern w:val="24"/>
        </w:rPr>
        <w:t xml:space="preserve">, </w:t>
      </w:r>
      <w:r w:rsidRPr="003F17FF">
        <w:rPr>
          <w:rFonts w:eastAsiaTheme="minorEastAsia"/>
          <w:color w:val="000000" w:themeColor="text1"/>
          <w:kern w:val="24"/>
        </w:rPr>
        <w:t>Group 3 = Commercial Feed</w:t>
      </w:r>
    </w:p>
    <w:p w14:paraId="6CAAE475" w14:textId="77777777" w:rsidR="00E53608" w:rsidRDefault="00E53608" w:rsidP="00E53608">
      <w:pPr>
        <w:spacing w:line="360" w:lineRule="auto"/>
        <w:jc w:val="both"/>
        <w:rPr>
          <w:rStyle w:val="Strong"/>
        </w:rPr>
      </w:pPr>
    </w:p>
    <w:p w14:paraId="13A31817" w14:textId="77777777" w:rsidR="00E53608" w:rsidRDefault="00E53608" w:rsidP="00E53608">
      <w:pPr>
        <w:spacing w:line="360" w:lineRule="auto"/>
        <w:jc w:val="both"/>
        <w:rPr>
          <w:rStyle w:val="Strong"/>
        </w:rPr>
      </w:pPr>
    </w:p>
    <w:p w14:paraId="1375ED39" w14:textId="77777777" w:rsidR="00E53608" w:rsidRDefault="00E53608" w:rsidP="00E53608">
      <w:pPr>
        <w:spacing w:line="360" w:lineRule="auto"/>
        <w:jc w:val="both"/>
        <w:rPr>
          <w:rStyle w:val="Strong"/>
        </w:rPr>
      </w:pPr>
    </w:p>
    <w:p w14:paraId="3C573A39" w14:textId="72DFEC37" w:rsidR="00F51EDC" w:rsidRPr="003F17FF" w:rsidRDefault="00F51EDC" w:rsidP="00E53608">
      <w:pPr>
        <w:spacing w:line="360" w:lineRule="auto"/>
        <w:jc w:val="both"/>
      </w:pPr>
      <w:r w:rsidRPr="003F17FF">
        <w:rPr>
          <w:rStyle w:val="Strong"/>
        </w:rPr>
        <w:lastRenderedPageBreak/>
        <w:t>Serum Liver Enzymes and Protein</w:t>
      </w:r>
    </w:p>
    <w:p w14:paraId="79616FCD" w14:textId="056CEDFB" w:rsidR="00F51EDC" w:rsidRDefault="00F51EDC" w:rsidP="00E53608">
      <w:pPr>
        <w:spacing w:line="360" w:lineRule="auto"/>
        <w:jc w:val="both"/>
      </w:pPr>
      <w:r w:rsidRPr="003F17FF">
        <w:t>Serum ALT, AST, ALP, GGT, and total protein remained within physiological limits across all groups</w:t>
      </w:r>
      <w:r w:rsidR="00E53608">
        <w:t xml:space="preserve"> (Table 5)</w:t>
      </w:r>
      <w:r w:rsidRPr="003F17FF">
        <w:t>, indicating that the fermented feed did not exert hepatotoxic effects.</w:t>
      </w:r>
    </w:p>
    <w:p w14:paraId="7CAE1BDE" w14:textId="77777777" w:rsidR="00E53608" w:rsidRPr="003F17FF" w:rsidRDefault="00E53608" w:rsidP="00E53608">
      <w:pPr>
        <w:spacing w:line="360" w:lineRule="auto"/>
        <w:jc w:val="both"/>
      </w:pPr>
    </w:p>
    <w:p w14:paraId="1A580CEF" w14:textId="7408D2DC" w:rsidR="00347AC1" w:rsidRPr="003F17FF" w:rsidRDefault="00347AC1" w:rsidP="00CF18AC">
      <w:pPr>
        <w:jc w:val="both"/>
        <w:rPr>
          <w:b/>
          <w:bCs/>
          <w:color w:val="000000" w:themeColor="text1"/>
          <w:kern w:val="24"/>
        </w:rPr>
      </w:pPr>
      <w:r w:rsidRPr="003F17FF">
        <w:rPr>
          <w:b/>
          <w:bCs/>
          <w:color w:val="000000" w:themeColor="text1"/>
          <w:kern w:val="24"/>
        </w:rPr>
        <w:t xml:space="preserve">Table </w:t>
      </w:r>
      <w:r w:rsidR="00E53608">
        <w:rPr>
          <w:b/>
          <w:bCs/>
          <w:color w:val="000000" w:themeColor="text1"/>
          <w:kern w:val="24"/>
        </w:rPr>
        <w:t>5</w:t>
      </w:r>
      <w:r w:rsidRPr="003F17FF">
        <w:rPr>
          <w:b/>
          <w:bCs/>
          <w:color w:val="000000" w:themeColor="text1"/>
          <w:kern w:val="24"/>
        </w:rPr>
        <w:t>: Serum liver enzymes activity and total protein concentration of broilers fed the formulated and commercial feeds</w:t>
      </w:r>
    </w:p>
    <w:tbl>
      <w:tblPr>
        <w:tblStyle w:val="TableGrid"/>
        <w:tblW w:w="0" w:type="auto"/>
        <w:tblLook w:val="04A0" w:firstRow="1" w:lastRow="0" w:firstColumn="1" w:lastColumn="0" w:noHBand="0" w:noVBand="1"/>
      </w:tblPr>
      <w:tblGrid>
        <w:gridCol w:w="2254"/>
        <w:gridCol w:w="2254"/>
        <w:gridCol w:w="2254"/>
        <w:gridCol w:w="2254"/>
      </w:tblGrid>
      <w:tr w:rsidR="00347AC1" w:rsidRPr="003F17FF" w14:paraId="540EF423" w14:textId="77777777" w:rsidTr="00E53608">
        <w:tc>
          <w:tcPr>
            <w:tcW w:w="2254" w:type="dxa"/>
          </w:tcPr>
          <w:p w14:paraId="3EF4FB6D" w14:textId="77777777" w:rsidR="00347AC1" w:rsidRPr="003F17FF" w:rsidRDefault="00347AC1" w:rsidP="00CF18AC">
            <w:pPr>
              <w:jc w:val="both"/>
              <w:rPr>
                <w:color w:val="000000" w:themeColor="text1"/>
                <w:kern w:val="24"/>
              </w:rPr>
            </w:pPr>
            <w:r w:rsidRPr="003F17FF">
              <w:rPr>
                <w:color w:val="000000" w:themeColor="text1"/>
                <w:kern w:val="24"/>
              </w:rPr>
              <w:t>Parameters</w:t>
            </w:r>
          </w:p>
        </w:tc>
        <w:tc>
          <w:tcPr>
            <w:tcW w:w="2254" w:type="dxa"/>
          </w:tcPr>
          <w:p w14:paraId="575E4CD4" w14:textId="77777777" w:rsidR="00347AC1" w:rsidRPr="003F17FF" w:rsidRDefault="00347AC1" w:rsidP="00CF18AC">
            <w:pPr>
              <w:jc w:val="both"/>
              <w:rPr>
                <w:color w:val="000000" w:themeColor="text1"/>
                <w:kern w:val="24"/>
              </w:rPr>
            </w:pPr>
            <w:r w:rsidRPr="003F17FF">
              <w:rPr>
                <w:color w:val="000000" w:themeColor="text1"/>
                <w:kern w:val="24"/>
              </w:rPr>
              <w:t>Group 1</w:t>
            </w:r>
          </w:p>
        </w:tc>
        <w:tc>
          <w:tcPr>
            <w:tcW w:w="2254" w:type="dxa"/>
          </w:tcPr>
          <w:p w14:paraId="57B63EC0" w14:textId="77777777" w:rsidR="00347AC1" w:rsidRPr="003F17FF" w:rsidRDefault="00347AC1" w:rsidP="00CF18AC">
            <w:pPr>
              <w:jc w:val="both"/>
              <w:rPr>
                <w:color w:val="000000" w:themeColor="text1"/>
                <w:kern w:val="24"/>
              </w:rPr>
            </w:pPr>
            <w:r w:rsidRPr="003F17FF">
              <w:rPr>
                <w:color w:val="000000" w:themeColor="text1"/>
                <w:kern w:val="24"/>
              </w:rPr>
              <w:t>Group 2</w:t>
            </w:r>
          </w:p>
        </w:tc>
        <w:tc>
          <w:tcPr>
            <w:tcW w:w="2254" w:type="dxa"/>
          </w:tcPr>
          <w:p w14:paraId="05922E82" w14:textId="2619803B" w:rsidR="00347AC1" w:rsidRPr="003F17FF" w:rsidRDefault="00347AC1" w:rsidP="00CF18AC">
            <w:pPr>
              <w:jc w:val="both"/>
              <w:rPr>
                <w:color w:val="000000" w:themeColor="text1"/>
                <w:kern w:val="24"/>
              </w:rPr>
            </w:pPr>
            <w:r w:rsidRPr="003F17FF">
              <w:rPr>
                <w:color w:val="000000" w:themeColor="text1"/>
                <w:kern w:val="24"/>
              </w:rPr>
              <w:t xml:space="preserve">Group </w:t>
            </w:r>
            <w:r w:rsidR="0064506D">
              <w:rPr>
                <w:color w:val="000000" w:themeColor="text1"/>
                <w:kern w:val="24"/>
              </w:rPr>
              <w:t>3</w:t>
            </w:r>
          </w:p>
        </w:tc>
      </w:tr>
      <w:tr w:rsidR="00347AC1" w:rsidRPr="003F17FF" w14:paraId="6C59A254" w14:textId="77777777" w:rsidTr="00E53608">
        <w:tc>
          <w:tcPr>
            <w:tcW w:w="2254" w:type="dxa"/>
          </w:tcPr>
          <w:p w14:paraId="5CB8C46B" w14:textId="77777777" w:rsidR="00347AC1" w:rsidRPr="003F17FF" w:rsidRDefault="00347AC1" w:rsidP="00CF18AC">
            <w:pPr>
              <w:jc w:val="both"/>
              <w:rPr>
                <w:b/>
                <w:bCs/>
                <w:color w:val="000000" w:themeColor="text1"/>
                <w:kern w:val="24"/>
              </w:rPr>
            </w:pPr>
            <w:r w:rsidRPr="003F17FF">
              <w:rPr>
                <w:color w:val="000000" w:themeColor="text1"/>
                <w:kern w:val="24"/>
              </w:rPr>
              <w:t>GGT (IU/l)</w:t>
            </w:r>
          </w:p>
        </w:tc>
        <w:tc>
          <w:tcPr>
            <w:tcW w:w="2254" w:type="dxa"/>
          </w:tcPr>
          <w:p w14:paraId="375437AE" w14:textId="77777777" w:rsidR="00347AC1" w:rsidRPr="003F17FF" w:rsidRDefault="00347AC1" w:rsidP="00CF18AC">
            <w:pPr>
              <w:jc w:val="both"/>
              <w:rPr>
                <w:b/>
                <w:bCs/>
                <w:color w:val="000000" w:themeColor="text1"/>
                <w:kern w:val="24"/>
              </w:rPr>
            </w:pPr>
            <w:r w:rsidRPr="003F17FF">
              <w:t>450.67±26.30</w:t>
            </w:r>
            <w:r w:rsidRPr="003F17FF">
              <w:rPr>
                <w:vertAlign w:val="superscript"/>
              </w:rPr>
              <w:t>a</w:t>
            </w:r>
          </w:p>
        </w:tc>
        <w:tc>
          <w:tcPr>
            <w:tcW w:w="2254" w:type="dxa"/>
          </w:tcPr>
          <w:p w14:paraId="34E8DCE3" w14:textId="77777777" w:rsidR="00347AC1" w:rsidRPr="003F17FF" w:rsidRDefault="00347AC1" w:rsidP="00CF18AC">
            <w:pPr>
              <w:jc w:val="both"/>
              <w:rPr>
                <w:b/>
                <w:bCs/>
                <w:color w:val="000000" w:themeColor="text1"/>
                <w:kern w:val="24"/>
              </w:rPr>
            </w:pPr>
            <w:r w:rsidRPr="003F17FF">
              <w:t>473.33±14.70</w:t>
            </w:r>
            <w:r w:rsidRPr="003F17FF">
              <w:rPr>
                <w:vertAlign w:val="superscript"/>
              </w:rPr>
              <w:t>a</w:t>
            </w:r>
          </w:p>
        </w:tc>
        <w:tc>
          <w:tcPr>
            <w:tcW w:w="2254" w:type="dxa"/>
          </w:tcPr>
          <w:p w14:paraId="47503DA4" w14:textId="0A7C26F7" w:rsidR="00347AC1" w:rsidRPr="00E53608" w:rsidRDefault="00347AC1" w:rsidP="00CF18AC">
            <w:pPr>
              <w:jc w:val="both"/>
              <w:rPr>
                <w:vertAlign w:val="superscript"/>
              </w:rPr>
            </w:pPr>
            <w:r w:rsidRPr="003F17FF">
              <w:t>457.33±38.30</w:t>
            </w:r>
            <w:r w:rsidRPr="003F17FF">
              <w:rPr>
                <w:vertAlign w:val="superscript"/>
              </w:rPr>
              <w:t>a</w:t>
            </w:r>
          </w:p>
        </w:tc>
      </w:tr>
      <w:tr w:rsidR="00347AC1" w:rsidRPr="003F17FF" w14:paraId="109D9CC2" w14:textId="77777777" w:rsidTr="00E53608">
        <w:tc>
          <w:tcPr>
            <w:tcW w:w="2254" w:type="dxa"/>
          </w:tcPr>
          <w:p w14:paraId="45B563FB" w14:textId="77777777" w:rsidR="00347AC1" w:rsidRPr="003F17FF" w:rsidRDefault="00347AC1" w:rsidP="00CF18AC">
            <w:pPr>
              <w:jc w:val="both"/>
              <w:rPr>
                <w:b/>
                <w:bCs/>
                <w:color w:val="000000" w:themeColor="text1"/>
                <w:kern w:val="24"/>
              </w:rPr>
            </w:pPr>
            <w:r w:rsidRPr="003F17FF">
              <w:rPr>
                <w:color w:val="000000" w:themeColor="text1"/>
                <w:kern w:val="24"/>
              </w:rPr>
              <w:t>AST (IU/l)</w:t>
            </w:r>
          </w:p>
        </w:tc>
        <w:tc>
          <w:tcPr>
            <w:tcW w:w="2254" w:type="dxa"/>
          </w:tcPr>
          <w:p w14:paraId="5AC96A93" w14:textId="77777777" w:rsidR="00347AC1" w:rsidRPr="003F17FF" w:rsidRDefault="00347AC1" w:rsidP="00CF18AC">
            <w:pPr>
              <w:jc w:val="both"/>
              <w:rPr>
                <w:b/>
                <w:bCs/>
                <w:color w:val="000000" w:themeColor="text1"/>
                <w:kern w:val="24"/>
              </w:rPr>
            </w:pPr>
            <w:r w:rsidRPr="003F17FF">
              <w:t>25.67±1.30</w:t>
            </w:r>
            <w:r w:rsidRPr="003F17FF">
              <w:rPr>
                <w:vertAlign w:val="superscript"/>
              </w:rPr>
              <w:t>a</w:t>
            </w:r>
          </w:p>
        </w:tc>
        <w:tc>
          <w:tcPr>
            <w:tcW w:w="2254" w:type="dxa"/>
          </w:tcPr>
          <w:p w14:paraId="7C0A73CC" w14:textId="77777777" w:rsidR="00347AC1" w:rsidRPr="003F17FF" w:rsidRDefault="00347AC1" w:rsidP="00CF18AC">
            <w:pPr>
              <w:jc w:val="both"/>
              <w:rPr>
                <w:b/>
                <w:bCs/>
                <w:color w:val="000000" w:themeColor="text1"/>
                <w:kern w:val="24"/>
              </w:rPr>
            </w:pPr>
            <w:r w:rsidRPr="003F17FF">
              <w:t>32.67±1.60</w:t>
            </w:r>
            <w:r w:rsidRPr="003F17FF">
              <w:rPr>
                <w:vertAlign w:val="superscript"/>
              </w:rPr>
              <w:t>a</w:t>
            </w:r>
          </w:p>
        </w:tc>
        <w:tc>
          <w:tcPr>
            <w:tcW w:w="2254" w:type="dxa"/>
          </w:tcPr>
          <w:p w14:paraId="6CE7B87E" w14:textId="57EF83DB" w:rsidR="00347AC1" w:rsidRPr="00E53608" w:rsidRDefault="00347AC1" w:rsidP="00CF18AC">
            <w:pPr>
              <w:jc w:val="both"/>
              <w:rPr>
                <w:vertAlign w:val="superscript"/>
              </w:rPr>
            </w:pPr>
            <w:r w:rsidRPr="003F17FF">
              <w:t>37.00±1.00</w:t>
            </w:r>
            <w:r w:rsidRPr="003F17FF">
              <w:rPr>
                <w:vertAlign w:val="superscript"/>
              </w:rPr>
              <w:t>a</w:t>
            </w:r>
          </w:p>
        </w:tc>
      </w:tr>
      <w:tr w:rsidR="00347AC1" w:rsidRPr="003F17FF" w14:paraId="0EC43544" w14:textId="77777777" w:rsidTr="00E53608">
        <w:tc>
          <w:tcPr>
            <w:tcW w:w="2254" w:type="dxa"/>
          </w:tcPr>
          <w:p w14:paraId="09937002" w14:textId="77777777" w:rsidR="00347AC1" w:rsidRPr="003F17FF" w:rsidRDefault="00347AC1" w:rsidP="00CF18AC">
            <w:pPr>
              <w:jc w:val="both"/>
              <w:rPr>
                <w:b/>
                <w:bCs/>
                <w:color w:val="000000" w:themeColor="text1"/>
                <w:kern w:val="24"/>
              </w:rPr>
            </w:pPr>
            <w:r w:rsidRPr="003F17FF">
              <w:rPr>
                <w:color w:val="000000" w:themeColor="text1"/>
                <w:kern w:val="24"/>
              </w:rPr>
              <w:t>ALT (IU/l)</w:t>
            </w:r>
          </w:p>
        </w:tc>
        <w:tc>
          <w:tcPr>
            <w:tcW w:w="2254" w:type="dxa"/>
          </w:tcPr>
          <w:p w14:paraId="783CB2AC" w14:textId="77777777" w:rsidR="00347AC1" w:rsidRPr="003F17FF" w:rsidRDefault="00347AC1" w:rsidP="00CF18AC">
            <w:pPr>
              <w:jc w:val="both"/>
              <w:rPr>
                <w:b/>
                <w:bCs/>
                <w:color w:val="000000" w:themeColor="text1"/>
                <w:kern w:val="24"/>
                <w:vertAlign w:val="superscript"/>
              </w:rPr>
            </w:pPr>
            <w:r w:rsidRPr="003F17FF">
              <w:t>20.00±2.50</w:t>
            </w:r>
            <w:r w:rsidRPr="003F17FF">
              <w:rPr>
                <w:vertAlign w:val="superscript"/>
              </w:rPr>
              <w:t>a</w:t>
            </w:r>
          </w:p>
        </w:tc>
        <w:tc>
          <w:tcPr>
            <w:tcW w:w="2254" w:type="dxa"/>
          </w:tcPr>
          <w:p w14:paraId="4B9F684B" w14:textId="77777777" w:rsidR="00347AC1" w:rsidRPr="003F17FF" w:rsidRDefault="00347AC1" w:rsidP="00CF18AC">
            <w:pPr>
              <w:jc w:val="both"/>
              <w:rPr>
                <w:b/>
                <w:bCs/>
                <w:color w:val="000000" w:themeColor="text1"/>
                <w:kern w:val="24"/>
                <w:vertAlign w:val="superscript"/>
              </w:rPr>
            </w:pPr>
            <w:r w:rsidRPr="003F17FF">
              <w:t>12.00±0.00</w:t>
            </w:r>
            <w:r w:rsidRPr="003F17FF">
              <w:rPr>
                <w:vertAlign w:val="superscript"/>
              </w:rPr>
              <w:t>a</w:t>
            </w:r>
          </w:p>
        </w:tc>
        <w:tc>
          <w:tcPr>
            <w:tcW w:w="2254" w:type="dxa"/>
          </w:tcPr>
          <w:p w14:paraId="7E474237" w14:textId="1AA25642" w:rsidR="00347AC1" w:rsidRPr="00E53608" w:rsidRDefault="00347AC1" w:rsidP="00CF18AC">
            <w:pPr>
              <w:jc w:val="both"/>
              <w:rPr>
                <w:vertAlign w:val="superscript"/>
              </w:rPr>
            </w:pPr>
            <w:r w:rsidRPr="003F17FF">
              <w:t>23.67±3.53</w:t>
            </w:r>
            <w:r w:rsidRPr="003F17FF">
              <w:rPr>
                <w:vertAlign w:val="superscript"/>
              </w:rPr>
              <w:t>a</w:t>
            </w:r>
          </w:p>
        </w:tc>
      </w:tr>
      <w:tr w:rsidR="00347AC1" w:rsidRPr="003F17FF" w14:paraId="4C7BF243" w14:textId="77777777" w:rsidTr="00E53608">
        <w:tc>
          <w:tcPr>
            <w:tcW w:w="2254" w:type="dxa"/>
          </w:tcPr>
          <w:p w14:paraId="183C19CB" w14:textId="77777777" w:rsidR="00347AC1" w:rsidRPr="003F17FF" w:rsidRDefault="00347AC1" w:rsidP="00CF18AC">
            <w:pPr>
              <w:jc w:val="both"/>
              <w:rPr>
                <w:b/>
                <w:bCs/>
                <w:color w:val="000000" w:themeColor="text1"/>
                <w:kern w:val="24"/>
              </w:rPr>
            </w:pPr>
            <w:r w:rsidRPr="003F17FF">
              <w:rPr>
                <w:color w:val="000000" w:themeColor="text1"/>
                <w:kern w:val="24"/>
              </w:rPr>
              <w:t>ALP (IU/l)</w:t>
            </w:r>
          </w:p>
        </w:tc>
        <w:tc>
          <w:tcPr>
            <w:tcW w:w="2254" w:type="dxa"/>
          </w:tcPr>
          <w:p w14:paraId="54B63B0A" w14:textId="77777777" w:rsidR="00347AC1" w:rsidRPr="003F17FF" w:rsidRDefault="00347AC1" w:rsidP="00CF18AC">
            <w:pPr>
              <w:jc w:val="both"/>
              <w:rPr>
                <w:b/>
                <w:bCs/>
                <w:color w:val="000000" w:themeColor="text1"/>
                <w:kern w:val="24"/>
              </w:rPr>
            </w:pPr>
            <w:r w:rsidRPr="003F17FF">
              <w:t>26.33±2.30</w:t>
            </w:r>
            <w:r w:rsidRPr="003F17FF">
              <w:rPr>
                <w:vertAlign w:val="superscript"/>
              </w:rPr>
              <w:t>a</w:t>
            </w:r>
          </w:p>
        </w:tc>
        <w:tc>
          <w:tcPr>
            <w:tcW w:w="2254" w:type="dxa"/>
          </w:tcPr>
          <w:p w14:paraId="6E03D49C" w14:textId="77777777" w:rsidR="00347AC1" w:rsidRPr="003F17FF" w:rsidRDefault="00347AC1" w:rsidP="00CF18AC">
            <w:pPr>
              <w:jc w:val="both"/>
              <w:rPr>
                <w:b/>
                <w:bCs/>
                <w:color w:val="000000" w:themeColor="text1"/>
                <w:kern w:val="24"/>
              </w:rPr>
            </w:pPr>
            <w:r w:rsidRPr="003F17FF">
              <w:t>22.33±3.80</w:t>
            </w:r>
            <w:r w:rsidRPr="003F17FF">
              <w:rPr>
                <w:vertAlign w:val="superscript"/>
              </w:rPr>
              <w:t>a</w:t>
            </w:r>
          </w:p>
        </w:tc>
        <w:tc>
          <w:tcPr>
            <w:tcW w:w="2254" w:type="dxa"/>
          </w:tcPr>
          <w:p w14:paraId="6EE46ECF" w14:textId="60D3D274" w:rsidR="00347AC1" w:rsidRPr="00E53608" w:rsidRDefault="00347AC1" w:rsidP="00CF18AC">
            <w:pPr>
              <w:jc w:val="both"/>
              <w:rPr>
                <w:vertAlign w:val="superscript"/>
              </w:rPr>
            </w:pPr>
            <w:r w:rsidRPr="003F17FF">
              <w:t>25.67±7.80</w:t>
            </w:r>
            <w:r w:rsidRPr="003F17FF">
              <w:rPr>
                <w:vertAlign w:val="superscript"/>
              </w:rPr>
              <w:t>a</w:t>
            </w:r>
          </w:p>
        </w:tc>
      </w:tr>
      <w:tr w:rsidR="00347AC1" w:rsidRPr="003F17FF" w14:paraId="45AD2C04" w14:textId="77777777" w:rsidTr="00E53608">
        <w:tc>
          <w:tcPr>
            <w:tcW w:w="2254" w:type="dxa"/>
          </w:tcPr>
          <w:p w14:paraId="4A09BFF1" w14:textId="77777777" w:rsidR="00347AC1" w:rsidRPr="003F17FF" w:rsidRDefault="00347AC1" w:rsidP="00CF18AC">
            <w:pPr>
              <w:jc w:val="both"/>
              <w:rPr>
                <w:b/>
                <w:bCs/>
                <w:color w:val="000000" w:themeColor="text1"/>
                <w:kern w:val="24"/>
              </w:rPr>
            </w:pPr>
            <w:r w:rsidRPr="003F17FF">
              <w:rPr>
                <w:color w:val="000000" w:themeColor="text1"/>
                <w:kern w:val="24"/>
              </w:rPr>
              <w:t>Total protein (g/dl)</w:t>
            </w:r>
          </w:p>
        </w:tc>
        <w:tc>
          <w:tcPr>
            <w:tcW w:w="2254" w:type="dxa"/>
          </w:tcPr>
          <w:p w14:paraId="731564F4" w14:textId="77777777" w:rsidR="00347AC1" w:rsidRPr="003F17FF" w:rsidRDefault="00347AC1" w:rsidP="00CF18AC">
            <w:pPr>
              <w:jc w:val="both"/>
              <w:rPr>
                <w:b/>
                <w:bCs/>
                <w:color w:val="000000" w:themeColor="text1"/>
                <w:kern w:val="24"/>
              </w:rPr>
            </w:pPr>
            <w:r w:rsidRPr="003F17FF">
              <w:t>36.00±1.50</w:t>
            </w:r>
            <w:r w:rsidRPr="003F17FF">
              <w:rPr>
                <w:vertAlign w:val="superscript"/>
              </w:rPr>
              <w:t>a</w:t>
            </w:r>
          </w:p>
        </w:tc>
        <w:tc>
          <w:tcPr>
            <w:tcW w:w="2254" w:type="dxa"/>
          </w:tcPr>
          <w:p w14:paraId="16CECDC5" w14:textId="77777777" w:rsidR="00347AC1" w:rsidRPr="003F17FF" w:rsidRDefault="00347AC1" w:rsidP="00CF18AC">
            <w:pPr>
              <w:jc w:val="both"/>
              <w:rPr>
                <w:b/>
                <w:bCs/>
                <w:color w:val="000000" w:themeColor="text1"/>
                <w:kern w:val="24"/>
              </w:rPr>
            </w:pPr>
            <w:r w:rsidRPr="003F17FF">
              <w:t>59.33±4.10</w:t>
            </w:r>
            <w:r w:rsidRPr="003F17FF">
              <w:rPr>
                <w:vertAlign w:val="superscript"/>
              </w:rPr>
              <w:t>a</w:t>
            </w:r>
          </w:p>
        </w:tc>
        <w:tc>
          <w:tcPr>
            <w:tcW w:w="2254" w:type="dxa"/>
          </w:tcPr>
          <w:p w14:paraId="16B8AC0D" w14:textId="77777777" w:rsidR="00347AC1" w:rsidRPr="003F17FF" w:rsidRDefault="00347AC1" w:rsidP="00CF18AC">
            <w:pPr>
              <w:jc w:val="both"/>
              <w:rPr>
                <w:b/>
                <w:bCs/>
                <w:color w:val="000000" w:themeColor="text1"/>
                <w:kern w:val="24"/>
              </w:rPr>
            </w:pPr>
            <w:r w:rsidRPr="003F17FF">
              <w:t>49.33±6.98</w:t>
            </w:r>
            <w:r w:rsidRPr="003F17FF">
              <w:rPr>
                <w:vertAlign w:val="superscript"/>
              </w:rPr>
              <w:t>a</w:t>
            </w:r>
          </w:p>
        </w:tc>
      </w:tr>
    </w:tbl>
    <w:p w14:paraId="4C7407B2" w14:textId="7162B58C" w:rsidR="00347AC1" w:rsidRPr="001920F6" w:rsidRDefault="00347AC1" w:rsidP="001920F6">
      <w:pPr>
        <w:pStyle w:val="NoSpacing"/>
        <w:jc w:val="both"/>
        <w:rPr>
          <w:rFonts w:ascii="Times New Roman" w:hAnsi="Times New Roman" w:cs="Times New Roman"/>
          <w:sz w:val="24"/>
          <w:szCs w:val="24"/>
        </w:rPr>
      </w:pPr>
      <w:r w:rsidRPr="001920F6">
        <w:rPr>
          <w:rFonts w:ascii="Times New Roman" w:hAnsi="Times New Roman" w:cs="Times New Roman"/>
          <w:sz w:val="24"/>
          <w:szCs w:val="24"/>
        </w:rPr>
        <w:t>Values are expressed as Mean</w:t>
      </w:r>
      <w:r w:rsidR="00E53608" w:rsidRPr="001920F6">
        <w:rPr>
          <w:rFonts w:ascii="Times New Roman" w:hAnsi="Times New Roman" w:cs="Times New Roman"/>
          <w:sz w:val="24"/>
          <w:szCs w:val="24"/>
        </w:rPr>
        <w:t xml:space="preserve"> </w:t>
      </w:r>
      <w:r w:rsidRPr="001920F6">
        <w:rPr>
          <w:rFonts w:ascii="Times New Roman" w:hAnsi="Times New Roman" w:cs="Times New Roman"/>
          <w:sz w:val="24"/>
          <w:szCs w:val="24"/>
        </w:rPr>
        <w:t>±</w:t>
      </w:r>
      <w:r w:rsidR="00E53608" w:rsidRPr="001920F6">
        <w:rPr>
          <w:rFonts w:ascii="Times New Roman" w:hAnsi="Times New Roman" w:cs="Times New Roman"/>
          <w:sz w:val="24"/>
          <w:szCs w:val="24"/>
        </w:rPr>
        <w:t xml:space="preserve"> </w:t>
      </w:r>
      <w:r w:rsidRPr="001920F6">
        <w:rPr>
          <w:rFonts w:ascii="Times New Roman" w:hAnsi="Times New Roman" w:cs="Times New Roman"/>
          <w:sz w:val="24"/>
          <w:szCs w:val="24"/>
        </w:rPr>
        <w:t>SEM (n=3). Means in the same column with different superscript letters differ significantly (p&lt;0.05)</w:t>
      </w:r>
      <w:bookmarkStart w:id="5" w:name="_Hlk213903421"/>
      <w:r w:rsidR="001920F6" w:rsidRPr="001920F6">
        <w:rPr>
          <w:rFonts w:ascii="Times New Roman" w:hAnsi="Times New Roman" w:cs="Times New Roman"/>
          <w:sz w:val="24"/>
          <w:szCs w:val="24"/>
        </w:rPr>
        <w:t xml:space="preserve">. </w:t>
      </w:r>
      <w:r w:rsidRPr="001920F6">
        <w:rPr>
          <w:rFonts w:ascii="Times New Roman" w:hAnsi="Times New Roman" w:cs="Times New Roman"/>
          <w:sz w:val="24"/>
          <w:szCs w:val="24"/>
        </w:rPr>
        <w:t>Group 1 = Phytate-Treated Feed</w:t>
      </w:r>
      <w:r w:rsidR="001920F6" w:rsidRPr="001920F6">
        <w:rPr>
          <w:rFonts w:ascii="Times New Roman" w:hAnsi="Times New Roman" w:cs="Times New Roman"/>
          <w:sz w:val="24"/>
          <w:szCs w:val="24"/>
        </w:rPr>
        <w:t xml:space="preserve">, </w:t>
      </w:r>
      <w:r w:rsidRPr="001920F6">
        <w:rPr>
          <w:rFonts w:ascii="Times New Roman" w:hAnsi="Times New Roman" w:cs="Times New Roman"/>
          <w:sz w:val="24"/>
          <w:szCs w:val="24"/>
        </w:rPr>
        <w:t>Group 2 = Non-Phytate Treated Feed</w:t>
      </w:r>
      <w:r w:rsidR="001920F6" w:rsidRPr="001920F6">
        <w:rPr>
          <w:rFonts w:ascii="Times New Roman" w:hAnsi="Times New Roman" w:cs="Times New Roman"/>
          <w:sz w:val="24"/>
          <w:szCs w:val="24"/>
        </w:rPr>
        <w:t xml:space="preserve">, </w:t>
      </w:r>
      <w:r w:rsidRPr="001920F6">
        <w:rPr>
          <w:rFonts w:ascii="Times New Roman" w:hAnsi="Times New Roman" w:cs="Times New Roman"/>
        </w:rPr>
        <w:t>Group 3 = Commercial Feed</w:t>
      </w:r>
      <w:bookmarkEnd w:id="5"/>
    </w:p>
    <w:p w14:paraId="33A09850" w14:textId="77777777" w:rsidR="00E53608" w:rsidRDefault="00E53608" w:rsidP="00E53608">
      <w:pPr>
        <w:rPr>
          <w:rStyle w:val="Strong"/>
        </w:rPr>
      </w:pPr>
    </w:p>
    <w:p w14:paraId="5B920229" w14:textId="77777777" w:rsidR="00E53608" w:rsidRDefault="00E53608" w:rsidP="00E53608">
      <w:pPr>
        <w:spacing w:line="360" w:lineRule="auto"/>
        <w:jc w:val="both"/>
        <w:rPr>
          <w:rStyle w:val="Strong"/>
        </w:rPr>
      </w:pPr>
    </w:p>
    <w:p w14:paraId="4CC601D4" w14:textId="668E2242" w:rsidR="008A4FD3" w:rsidRPr="008A4FD3" w:rsidRDefault="008A4FD3" w:rsidP="008A4FD3">
      <w:pPr>
        <w:spacing w:line="360" w:lineRule="auto"/>
        <w:jc w:val="both"/>
      </w:pPr>
      <w:r w:rsidRPr="008A4FD3">
        <w:rPr>
          <w:b/>
          <w:bCs/>
        </w:rPr>
        <w:t>Interpretation</w:t>
      </w:r>
      <w:r>
        <w:rPr>
          <w:b/>
          <w:bCs/>
        </w:rPr>
        <w:t xml:space="preserve"> of </w:t>
      </w:r>
      <w:r w:rsidRPr="008A4FD3">
        <w:rPr>
          <w:b/>
          <w:bCs/>
        </w:rPr>
        <w:t>Histopathological</w:t>
      </w:r>
      <w:r>
        <w:rPr>
          <w:b/>
          <w:bCs/>
        </w:rPr>
        <w:t xml:space="preserve"> Findings</w:t>
      </w:r>
    </w:p>
    <w:p w14:paraId="6340F675" w14:textId="77777777" w:rsidR="008A4FD3" w:rsidRPr="008A4FD3" w:rsidRDefault="008A4FD3" w:rsidP="008A4FD3">
      <w:pPr>
        <w:spacing w:line="360" w:lineRule="auto"/>
        <w:jc w:val="both"/>
      </w:pPr>
      <w:r w:rsidRPr="008A4FD3">
        <w:t>A comparative analysis of the histology across the three dietary groups revealed a distinct gradation in tissue integrity. Group 1 (phytate-treated feed) exhibited the most pronounced pathological changes across all organs. In the small intestine (Fig. 1A), this was characterized by villi distortion and luminal debris, suggesting impaired nutrient absorption. The bursa (Fig. 1D) showed distorted infoldings, and the liver (Fig. 1G) displayed diffuse sinusoidal deposits, collectively indicating systemic stress or toxicity.</w:t>
      </w:r>
    </w:p>
    <w:p w14:paraId="4E3BDB8B" w14:textId="77777777" w:rsidR="008A4FD3" w:rsidRPr="008A4FD3" w:rsidRDefault="008A4FD3" w:rsidP="008A4FD3">
      <w:pPr>
        <w:spacing w:line="360" w:lineRule="auto"/>
        <w:jc w:val="both"/>
      </w:pPr>
      <w:r w:rsidRPr="008A4FD3">
        <w:t>Group 2 (non-phytate treated feed) presented an intermediate phenotype. While the small intestine (Fig. 1B) maintained more distinct villi than Group 1, mild microstructural distortion was still noted. The bursa (Fig. 1E) and liver (Fig. 1H) showed moderate alterations, such as cyst-like appearances in the bursa and degenerating hepatocytes with sinusoidal deposits in the liver, suggesting a milder but present adverse effect.</w:t>
      </w:r>
    </w:p>
    <w:p w14:paraId="696232B1" w14:textId="77777777" w:rsidR="008A4FD3" w:rsidRPr="008A4FD3" w:rsidRDefault="008A4FD3" w:rsidP="008A4FD3">
      <w:pPr>
        <w:spacing w:line="360" w:lineRule="auto"/>
        <w:jc w:val="both"/>
      </w:pPr>
      <w:r w:rsidRPr="008A4FD3">
        <w:t>In contrast, Group 3 (commercial feed) demonstrated a different pattern of alterations. The small intestine (Fig. 1C) showed a well-delineated villus structure but with a distorted lamina propria. Notably, the bursa (Fig. 1F) and liver (Fig. 1I) exhibited significant changes, including follicular distortion with cyst-like presentations and hepatocyte degeneration with vascular congestion. This suggests that the commercial feed formulation may introduce distinct metabolic or immunological challenges compared to the experimental phytate-based diets.</w:t>
      </w:r>
    </w:p>
    <w:p w14:paraId="21750996" w14:textId="75C52A05" w:rsidR="003F141E" w:rsidRPr="008A4FD3" w:rsidRDefault="003F141E" w:rsidP="008A4FD3">
      <w:pPr>
        <w:spacing w:line="360" w:lineRule="auto"/>
        <w:jc w:val="both"/>
        <w:sectPr w:rsidR="003F141E" w:rsidRPr="008A4FD3">
          <w:headerReference w:type="even" r:id="rId7"/>
          <w:headerReference w:type="first" r:id="rId8"/>
          <w:pgSz w:w="12240" w:h="15840"/>
          <w:pgMar w:top="1440" w:right="1440" w:bottom="1440" w:left="1440" w:header="720" w:footer="720" w:gutter="0"/>
          <w:cols w:space="720"/>
          <w:docGrid w:linePitch="360"/>
        </w:sectPr>
      </w:pPr>
    </w:p>
    <w:p w14:paraId="51B6658C" w14:textId="3F548954" w:rsidR="003635F5" w:rsidRDefault="005E71F7" w:rsidP="003F141E">
      <w:pPr>
        <w:spacing w:line="360" w:lineRule="auto"/>
        <w:jc w:val="center"/>
      </w:pPr>
      <w:r>
        <w:rPr>
          <w:noProof/>
        </w:rPr>
        <w:lastRenderedPageBreak/>
        <w:drawing>
          <wp:inline distT="0" distB="0" distL="0" distR="0" wp14:anchorId="61EF1662" wp14:editId="44FB1406">
            <wp:extent cx="6902450" cy="5408321"/>
            <wp:effectExtent l="0" t="0" r="0" b="1905"/>
            <wp:docPr id="92251794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2114" t="3818" r="11960" b="12067"/>
                    <a:stretch>
                      <a:fillRect/>
                    </a:stretch>
                  </pic:blipFill>
                  <pic:spPr bwMode="auto">
                    <a:xfrm>
                      <a:off x="0" y="0"/>
                      <a:ext cx="6922809" cy="5424273"/>
                    </a:xfrm>
                    <a:prstGeom prst="rect">
                      <a:avLst/>
                    </a:prstGeom>
                    <a:noFill/>
                    <a:ln>
                      <a:noFill/>
                    </a:ln>
                    <a:extLst>
                      <a:ext uri="{53640926-AAD7-44D8-BBD7-CCE9431645EC}">
                        <a14:shadowObscured xmlns:a14="http://schemas.microsoft.com/office/drawing/2010/main"/>
                      </a:ext>
                    </a:extLst>
                  </pic:spPr>
                </pic:pic>
              </a:graphicData>
            </a:graphic>
          </wp:inline>
        </w:drawing>
      </w:r>
    </w:p>
    <w:p w14:paraId="5F4BF525" w14:textId="77777777" w:rsidR="006A547F" w:rsidRDefault="006A547F" w:rsidP="006A547F">
      <w:pPr>
        <w:rPr>
          <w:sz w:val="20"/>
          <w:szCs w:val="20"/>
        </w:rPr>
        <w:sectPr w:rsidR="006A547F" w:rsidSect="003F141E">
          <w:pgSz w:w="15840" w:h="12240" w:orient="landscape"/>
          <w:pgMar w:top="1440" w:right="1440" w:bottom="1440" w:left="1440" w:header="720" w:footer="720" w:gutter="0"/>
          <w:cols w:space="720"/>
          <w:docGrid w:linePitch="360"/>
        </w:sectPr>
      </w:pPr>
      <w:r w:rsidRPr="006A547F">
        <w:rPr>
          <w:b/>
          <w:bCs/>
          <w:sz w:val="20"/>
          <w:szCs w:val="20"/>
        </w:rPr>
        <w:t>Figure 1:</w:t>
      </w:r>
      <w:r w:rsidRPr="006A547F">
        <w:rPr>
          <w:sz w:val="20"/>
          <w:szCs w:val="20"/>
        </w:rPr>
        <w:t xml:space="preserve"> Photomicrographs of H&amp;E-stained chicken selected organs at ×400 magnification in (A, B, C) small intestine; (D, E, F) bursa of Fabricius; and (G, H, I) liver. Organs are from broilers fed: Group 1 - phytate-treated feed (A, D, G); Group 2 - non-phytate treated feed (B, E, H); and Group 3 - commercial feed (C, F, I).</w:t>
      </w:r>
    </w:p>
    <w:p w14:paraId="38E71228" w14:textId="049B8E3C" w:rsidR="001920F6" w:rsidRDefault="003F5699" w:rsidP="008A4FD3">
      <w:pPr>
        <w:pStyle w:val="NormalWeb"/>
        <w:spacing w:line="360" w:lineRule="auto"/>
        <w:jc w:val="both"/>
        <w:rPr>
          <w:lang w:val="en-GB"/>
        </w:rPr>
      </w:pPr>
      <w:r w:rsidRPr="003F17FF">
        <w:rPr>
          <w:rStyle w:val="Strong"/>
        </w:rPr>
        <w:lastRenderedPageBreak/>
        <w:t>DISCUSSION</w:t>
      </w:r>
    </w:p>
    <w:p w14:paraId="72D9D033" w14:textId="2AC1DE3D" w:rsidR="003F5699" w:rsidRDefault="001920F6" w:rsidP="003F5699">
      <w:pPr>
        <w:pStyle w:val="NormalWeb"/>
        <w:spacing w:line="360" w:lineRule="auto"/>
        <w:jc w:val="both"/>
        <w:rPr>
          <w:lang w:val="en-GB"/>
        </w:rPr>
      </w:pPr>
      <w:r w:rsidRPr="001920F6">
        <w:t>The in-vitro lipid peroxidation (LPO) assay revealed that the phytate-treated fermented feed showed significantly lower lipid peroxidation levels across all tested concentrations compared to non-treated and commercial feeds, reflecting superior oxidative stability of the feed matrix. This finding aligns with the observed higher catalase activity in the same group, suggesting enhanced antioxidant capacity following phytate degradation. Reduced LPO indicates lower susceptibility to oxidative degradation, which may be attributed to the removal of pro-oxidative phytate-metal complexes during fermentation, thereby reducing the availability of free metal ions such as iron that catalyze lipid oxidation (Yu et al., 2018). Moreover, the fermentation process may have promoted the synthesis or preservation of natural antioxidants within the feed. These improvements in oxidative stability are crucial for maintaining feed quality, shelf life, and nutrient integrity, ultimately supporting better health and performance outcomes in broilers (Shurson et al., 2015).</w:t>
      </w:r>
      <w:r>
        <w:t xml:space="preserve"> </w:t>
      </w:r>
      <w:r w:rsidR="00D93569" w:rsidRPr="003F17FF">
        <w:rPr>
          <w:lang w:val="en-GB"/>
        </w:rPr>
        <w:t>On the other hand, the commercial feed manifested the lowest LPO activity, a finding that can be rationalized by its likely lower unsaturated lipid content and/or the presence of added stabilizers or synthetic antioxidants. Feeding studies in animals have demonstrated that peroxidized lipids impair growth performance, reduce antioxidant status (e.g., lower circulating vitamin E), and increase oxidative markers but these adverse effects can be partially mitigated by dietary antioxidants such as vitamin E or polyphenols (Silva-Guillen et al., 2020).</w:t>
      </w:r>
      <w:bookmarkStart w:id="6" w:name="_Hlk216503427"/>
    </w:p>
    <w:p w14:paraId="02F056F2" w14:textId="77777777" w:rsidR="003F5699" w:rsidRDefault="00D93569" w:rsidP="003F5699">
      <w:pPr>
        <w:pStyle w:val="NormalWeb"/>
        <w:spacing w:line="360" w:lineRule="auto"/>
        <w:jc w:val="both"/>
        <w:rPr>
          <w:lang w:val="en-GB"/>
        </w:rPr>
      </w:pPr>
      <w:r w:rsidRPr="003F17FF">
        <w:rPr>
          <w:lang w:val="en-GB"/>
        </w:rPr>
        <w:t>The catalase activity of the experimental feeds reflects their antioxidant enzyme potential</w:t>
      </w:r>
      <w:r w:rsidRPr="003F17FF">
        <w:rPr>
          <w:b/>
          <w:bCs/>
          <w:lang w:val="en-GB"/>
        </w:rPr>
        <w:t>,</w:t>
      </w:r>
      <w:r w:rsidRPr="003F17FF">
        <w:rPr>
          <w:lang w:val="en-GB"/>
        </w:rPr>
        <w:t xml:space="preserve"> which is crucial in neutralizing reactive oxygen species (ROS) and preventing oxidative stress in biological systems. Across the tested concentrations, the phytate-treated feed (Group 1) generally exhibited</w:t>
      </w:r>
      <w:r w:rsidRPr="003F17FF">
        <w:rPr>
          <w:b/>
          <w:bCs/>
          <w:lang w:val="en-GB"/>
        </w:rPr>
        <w:t xml:space="preserve"> </w:t>
      </w:r>
      <w:r w:rsidRPr="003F17FF">
        <w:rPr>
          <w:lang w:val="en-GB"/>
        </w:rPr>
        <w:t xml:space="preserve">the highest catalase activity at lower concentrations (40–80 mg/ml, suggesting that phytate reduction and fermentation may enhance the antioxidant capacity of the feed. Fermentation can stimulate the production of antioxidant enzymes and bioactive compounds, which contribute to increased catalase activity. At higher concentrations (120–160 mg/ml), the non-phytate-treated feed (Group 2) showed slightly higher catalase activity than Group 1. This may be due to the higher content of endogenous minerals, such as magnesium and iron, which act as cofactors for catalase and other peroxidative enzymes, enhancing enzymatic activity. The commercial feed consistently </w:t>
      </w:r>
      <w:r w:rsidRPr="003F17FF">
        <w:rPr>
          <w:lang w:val="en-GB"/>
        </w:rPr>
        <w:lastRenderedPageBreak/>
        <w:t>exhibited the lowest catalase activity, likely reflecting lower levels of natural antioxidants and the absence of fermentation-derived bioactive compounds (Derakhshan et al., 2024).</w:t>
      </w:r>
      <w:bookmarkEnd w:id="6"/>
    </w:p>
    <w:p w14:paraId="0177943F" w14:textId="77777777" w:rsidR="003F5699" w:rsidRDefault="00D45E80" w:rsidP="003F5699">
      <w:pPr>
        <w:pStyle w:val="NormalWeb"/>
        <w:spacing w:line="360" w:lineRule="auto"/>
        <w:jc w:val="both"/>
        <w:rPr>
          <w:lang w:val="en-GB"/>
        </w:rPr>
      </w:pPr>
      <w:r w:rsidRPr="003F17FF">
        <w:rPr>
          <w:lang w:val="en-GB"/>
        </w:rPr>
        <w:t xml:space="preserve">The progressive increase in protein efficiency ratio (PER) observed in Group 1 over the later weeks indicates that the fermentation of the feed had a cumulative positive effect on nutrient utilization. This improvement may be attributed to enhanced bioavailability of peptides and amino acids, as well as beneficial metabolites produced by the yeast, which likely supported more efficient protein digestion and absorption as the broilers’ digestive systems matured. Similar findings have been reported in previous studies, where inclusion of 5–15% fermented feed improved apparent nutrient digestibility and reduced feed conversion ratio (FCR) in broilers, with PER increasing correspondingly over time (Sun et al., 2022). </w:t>
      </w:r>
    </w:p>
    <w:p w14:paraId="13F1B4C2" w14:textId="77777777" w:rsidR="003F5699" w:rsidRDefault="00276C2A" w:rsidP="003F5699">
      <w:pPr>
        <w:pStyle w:val="NormalWeb"/>
        <w:spacing w:line="360" w:lineRule="auto"/>
        <w:jc w:val="both"/>
        <w:rPr>
          <w:lang w:val="en-GB"/>
        </w:rPr>
      </w:pPr>
      <w:r w:rsidRPr="003F17FF">
        <w:rPr>
          <w:lang w:val="en-GB"/>
        </w:rPr>
        <w:t>Liver enzymes (GGT, AST, ALT, ALP) and serum total protein are key indicators of hepatic function and overall metabolic health in broilers. GGT participates in amino acid transport and glutathione metabolism, reflecting liver metabolic activity. AST and ALT are aminotransferases involved in amino acid metabolism and gluconeogenesis (</w:t>
      </w:r>
      <w:bookmarkStart w:id="7" w:name="_Hlk214662527"/>
      <w:r w:rsidRPr="003F17FF">
        <w:rPr>
          <w:lang w:val="en-GB"/>
        </w:rPr>
        <w:t>McGill, 2016</w:t>
      </w:r>
      <w:bookmarkEnd w:id="7"/>
      <w:r w:rsidRPr="003F17FF">
        <w:rPr>
          <w:lang w:val="en-GB"/>
        </w:rPr>
        <w:t>), elevations can indicate hepatocellular stress, though mild increases often reflect higher metabolic load rather than pathology (</w:t>
      </w:r>
      <w:bookmarkStart w:id="8" w:name="_Hlk214672806"/>
      <w:r w:rsidRPr="003F17FF">
        <w:rPr>
          <w:lang w:val="en-GB"/>
        </w:rPr>
        <w:t>Hussain et al., 2016</w:t>
      </w:r>
      <w:bookmarkEnd w:id="8"/>
      <w:r w:rsidRPr="003F17FF">
        <w:rPr>
          <w:lang w:val="en-GB"/>
        </w:rPr>
        <w:t>). ALP is involved in bile formation, lipid transport, and bone growth; moderate increases can signal adaptive metabolic activity (Vimalraj, 2020). In this study, the phytate-treated feed (G1) showed moderate ALT and ALP with low AST and GGT, suggesting normal liver function and efficient nutrient metabolism. The commercial feed (G3) had slightly higher AST and ALT, likely due to greater energy density increasing hepatic metabolic demand. Serum total protein, synthesized by the liver, reflects protein reserves and nutrient utilization. G1 had slightly lower total protein than G2 and G3, which may indicate improved amino acid utilization for tissue growth due to enhanced protein digestibility following phytate reduction (</w:t>
      </w:r>
      <w:bookmarkStart w:id="9" w:name="_Hlk214672157"/>
      <w:r w:rsidRPr="003F17FF">
        <w:rPr>
          <w:lang w:val="en-GB"/>
        </w:rPr>
        <w:t>Derakhshan et al., 2023</w:t>
      </w:r>
      <w:bookmarkEnd w:id="9"/>
      <w:r w:rsidRPr="003F17FF">
        <w:rPr>
          <w:lang w:val="en-GB"/>
        </w:rPr>
        <w:t>). In contrast, higher total protein in the non-phytate-treated feed (G2) may reflect less efficient protein absorption. Overall, the enzyme profile and total protein levels indicate that phytate-treated feed supports normal liver function and efficient protein utilization.</w:t>
      </w:r>
    </w:p>
    <w:p w14:paraId="21EC55D9" w14:textId="77777777" w:rsidR="003F5699" w:rsidRDefault="00C51868" w:rsidP="003F5699">
      <w:pPr>
        <w:pStyle w:val="NormalWeb"/>
        <w:spacing w:line="360" w:lineRule="auto"/>
        <w:jc w:val="both"/>
        <w:rPr>
          <w:rStyle w:val="Strong"/>
          <w:b w:val="0"/>
          <w:bCs w:val="0"/>
          <w:lang w:val="en-GB"/>
        </w:rPr>
      </w:pPr>
      <w:r w:rsidRPr="003F17FF">
        <w:rPr>
          <w:lang w:val="en-GB"/>
        </w:rPr>
        <w:t xml:space="preserve">The histopathological examination of the organs revealed differential tissue responses across the three dietary treatments, reflecting the varying impacts of feed composition on organ microstructure. In the small intestine, overall villus architecture was generally preserved in all </w:t>
      </w:r>
      <w:r w:rsidRPr="003F17FF">
        <w:rPr>
          <w:lang w:val="en-GB"/>
        </w:rPr>
        <w:lastRenderedPageBreak/>
        <w:t>groups; however, the phytate-treated feed induced only mild distortions with minimal luminal debris, whereas the non-phytate-treated feed showed mild-to-moderate architectural alterations. The commercial feed caused moderate disruptions of the lamina propria and increased accumulation of luminal debris. These findings align with previous reports indicating that dietary manipulations, particularly phytase supplementation or phytate reduction, influence intestinal morphology, improving villus height and the villus height-to-crypt depth ratio, which are critical determinants of nutrient absorption (Farrokhi et al., 2021; Mulvenna et al., 2022; Park et al., 2024). The bursa of Fabricius demonstrated a gradient of structural integrity, with the phytate-treated group exhibiting mild follicular infoldings, the non-phytate group showing mild-to-moderate cyst-like spaces, and the commercial feed group displaying moderate medullary degeneration. Such observations are consistent with literature showing that feed composition, including phytase or phytate levels, can influence lymphoid organ morphology and relative weight, affecting the development and function of immune tissues in broilers (</w:t>
      </w:r>
      <w:hyperlink r:id="rId10" w:tgtFrame="_new" w:history="1">
        <w:r w:rsidRPr="003F5699">
          <w:rPr>
            <w:rStyle w:val="Hyperlink"/>
            <w:color w:val="auto"/>
            <w:u w:val="none"/>
            <w:lang w:val="en-GB"/>
          </w:rPr>
          <w:t>Elbaz et al., 2023</w:t>
        </w:r>
      </w:hyperlink>
      <w:r w:rsidRPr="003F17FF">
        <w:rPr>
          <w:lang w:val="en-GB"/>
        </w:rPr>
        <w:t>; Selim et al., 2022). The progressive structural disruption observed suggests that the commercial feed may induce greater immunological stress compared with feeds containing phytate treatments, possibly due to differences in mineral bioavailability and antioxidant capacity. In the liver, hepatocytes remained largely intact in the phytate-treated group, with only mild sinusoidal deposits observed. In contrast, the non-phytate feed elicited mild-to-moderate hepatocyte degeneration, while the commercial feed induced moderate-to-severe hepatocellular degeneration, central vein congestion, and sinusoidal blood pooling. These histological patterns are supported by studies demonstrating that dietary phytase or phytate manipulation can modulate liver structure and metabolic load, potentially by improving mineral utilization and reducing oxidative stress (</w:t>
      </w:r>
      <w:hyperlink r:id="rId11" w:tgtFrame="_new" w:history="1">
        <w:r w:rsidRPr="003F5699">
          <w:rPr>
            <w:rStyle w:val="Hyperlink"/>
            <w:color w:val="auto"/>
            <w:u w:val="none"/>
            <w:lang w:val="en-GB"/>
          </w:rPr>
          <w:t>Darmawan &amp; Ozturk, 2025</w:t>
        </w:r>
      </w:hyperlink>
      <w:r w:rsidRPr="003F5699">
        <w:rPr>
          <w:lang w:val="en-GB"/>
        </w:rPr>
        <w:t xml:space="preserve">). </w:t>
      </w:r>
      <w:r w:rsidRPr="003F17FF">
        <w:rPr>
          <w:lang w:val="en-GB"/>
        </w:rPr>
        <w:t>The milder hepatic alterations observed in the phytate-treated group may reflect the protective effects of phytate or its enzymatic breakdown products, which are known to chelate pro-oxidant metals and mitigate oxidative damage.</w:t>
      </w:r>
    </w:p>
    <w:p w14:paraId="7F7A4F28" w14:textId="77777777" w:rsidR="003F5699" w:rsidRDefault="00F51EDC" w:rsidP="003F5699">
      <w:pPr>
        <w:pStyle w:val="NormalWeb"/>
        <w:spacing w:line="360" w:lineRule="auto"/>
        <w:jc w:val="both"/>
        <w:rPr>
          <w:lang w:val="en-GB"/>
        </w:rPr>
      </w:pPr>
      <w:r w:rsidRPr="003F17FF">
        <w:rPr>
          <w:rStyle w:val="Strong"/>
        </w:rPr>
        <w:t>Conclusion</w:t>
      </w:r>
    </w:p>
    <w:p w14:paraId="2CC9BDCA" w14:textId="6D2B5FE1" w:rsidR="003F5699" w:rsidRDefault="00F51EDC" w:rsidP="003F5699">
      <w:pPr>
        <w:pStyle w:val="NormalWeb"/>
        <w:spacing w:line="360" w:lineRule="auto"/>
        <w:jc w:val="both"/>
      </w:pPr>
      <w:r w:rsidRPr="003F17FF">
        <w:t xml:space="preserve">Yeast-mediated enzyme-driven phytate degradation significantly improves the nutritional and oxidative quality of agro-waste-based feeds, enhances protein utilization in broiler chickens, and preserves organ integrity. The improved </w:t>
      </w:r>
      <w:r w:rsidRPr="003F17FF">
        <w:rPr>
          <w:rStyle w:val="Emphasis"/>
          <w:rFonts w:eastAsiaTheme="majorEastAsia"/>
        </w:rPr>
        <w:t>in-vitro</w:t>
      </w:r>
      <w:r w:rsidRPr="003F17FF">
        <w:t xml:space="preserve"> antioxidant potential of fermented feeds further </w:t>
      </w:r>
      <w:r w:rsidRPr="003F5699">
        <w:t>supports their use as safe and sustainable alternatives to conventional poultry diets.</w:t>
      </w:r>
    </w:p>
    <w:p w14:paraId="340A2B95" w14:textId="0536BBE3" w:rsidR="00AD0EE1" w:rsidRDefault="00AD0EE1" w:rsidP="003F5699">
      <w:pPr>
        <w:pStyle w:val="NormalWeb"/>
        <w:spacing w:line="360" w:lineRule="auto"/>
        <w:jc w:val="both"/>
      </w:pPr>
    </w:p>
    <w:p w14:paraId="1FD2B541" w14:textId="71804485" w:rsidR="00AD0EE1" w:rsidRDefault="00AD0EE1" w:rsidP="003F5699">
      <w:pPr>
        <w:pStyle w:val="NormalWeb"/>
        <w:spacing w:line="360" w:lineRule="auto"/>
        <w:jc w:val="both"/>
      </w:pPr>
    </w:p>
    <w:p w14:paraId="3F11FDC7" w14:textId="3DE73884" w:rsidR="00AD0EE1" w:rsidRPr="004001DB" w:rsidRDefault="00AD0EE1" w:rsidP="00AD0EE1">
      <w:pPr>
        <w:pStyle w:val="NormalWeb"/>
        <w:spacing w:line="360" w:lineRule="auto"/>
        <w:jc w:val="both"/>
        <w:rPr>
          <w:b/>
        </w:rPr>
      </w:pPr>
      <w:r w:rsidRPr="004001DB">
        <w:rPr>
          <w:b/>
        </w:rPr>
        <w:t xml:space="preserve">Ethical approval </w:t>
      </w:r>
      <w:bookmarkStart w:id="10" w:name="_GoBack"/>
      <w:bookmarkEnd w:id="10"/>
    </w:p>
    <w:p w14:paraId="60D18E36" w14:textId="3041A0BF" w:rsidR="00AD0EE1" w:rsidRPr="003F5699" w:rsidRDefault="00AD0EE1" w:rsidP="00AD0EE1">
      <w:pPr>
        <w:pStyle w:val="NormalWeb"/>
        <w:spacing w:line="360" w:lineRule="auto"/>
        <w:jc w:val="both"/>
      </w:pPr>
      <w:r>
        <w:t>All experimental procedures were approved by the Animal Use Ethics Committee of Rivers State University. Chicken care and management were performed according to accepted guidelines (The ARRIVE guidelines 2.0).</w:t>
      </w:r>
    </w:p>
    <w:p w14:paraId="6A3316D6" w14:textId="77777777" w:rsidR="00920BB5" w:rsidRPr="00920BB5" w:rsidRDefault="00920BB5" w:rsidP="00920BB5">
      <w:pPr>
        <w:spacing w:after="160" w:line="259" w:lineRule="auto"/>
        <w:rPr>
          <w:rFonts w:ascii="Calibri" w:eastAsia="Calibri" w:hAnsi="Calibri"/>
          <w:b/>
          <w:sz w:val="22"/>
          <w:szCs w:val="22"/>
        </w:rPr>
      </w:pPr>
      <w:r w:rsidRPr="00920BB5">
        <w:rPr>
          <w:rFonts w:ascii="Calibri" w:eastAsia="Calibri" w:hAnsi="Calibri"/>
          <w:b/>
          <w:sz w:val="22"/>
          <w:szCs w:val="22"/>
        </w:rPr>
        <w:t>COMPETING INTERESTS</w:t>
      </w:r>
    </w:p>
    <w:p w14:paraId="2F8B0DB0" w14:textId="28DD6703" w:rsidR="00920BB5" w:rsidRPr="00920BB5" w:rsidRDefault="00920BB5" w:rsidP="00920BB5">
      <w:pPr>
        <w:spacing w:after="160" w:line="259" w:lineRule="auto"/>
        <w:rPr>
          <w:rFonts w:ascii="Calibri" w:eastAsia="Calibri" w:hAnsi="Calibri"/>
          <w:sz w:val="22"/>
          <w:szCs w:val="22"/>
        </w:rPr>
      </w:pPr>
      <w:r w:rsidRPr="00920BB5">
        <w:rPr>
          <w:rFonts w:ascii="Calibri" w:eastAsia="Calibri" w:hAnsi="Calibri"/>
          <w:sz w:val="22"/>
          <w:szCs w:val="22"/>
        </w:rPr>
        <w:t>Authors have declared that they have no known competing financial interests OR non-financial interests OR personal relationships that could have appeared to influence the work reported in this paper.</w:t>
      </w:r>
    </w:p>
    <w:p w14:paraId="50FA9B8F" w14:textId="2D9E5E0E" w:rsidR="00777FB3" w:rsidRPr="00777FB3" w:rsidRDefault="00777FB3" w:rsidP="00777FB3">
      <w:pPr>
        <w:pStyle w:val="NormalWeb"/>
        <w:spacing w:line="360" w:lineRule="auto"/>
        <w:jc w:val="both"/>
        <w:rPr>
          <w:b/>
          <w:bCs/>
        </w:rPr>
      </w:pPr>
      <w:r w:rsidRPr="00777FB3">
        <w:rPr>
          <w:b/>
          <w:bCs/>
        </w:rPr>
        <w:t>Disclaimer (Artificial intelligence)</w:t>
      </w:r>
    </w:p>
    <w:p w14:paraId="392EA301" w14:textId="74B1D0C1" w:rsidR="00777FB3" w:rsidRDefault="00777FB3" w:rsidP="00777FB3">
      <w:pPr>
        <w:pStyle w:val="NormalWeb"/>
        <w:spacing w:line="360" w:lineRule="auto"/>
        <w:jc w:val="both"/>
      </w:pPr>
      <w:r>
        <w:t>Authors hereby declare that NO generative AI technologies such as Large Language Models</w:t>
      </w:r>
    </w:p>
    <w:p w14:paraId="4D301FF9" w14:textId="77777777" w:rsidR="00777FB3" w:rsidRDefault="00777FB3" w:rsidP="00777FB3">
      <w:pPr>
        <w:pStyle w:val="NormalWeb"/>
        <w:spacing w:line="360" w:lineRule="auto"/>
        <w:jc w:val="both"/>
      </w:pPr>
      <w:r>
        <w:t>(ChatGPT, COPILOT, etc.) and text-to-image generators have been used during the writing or</w:t>
      </w:r>
    </w:p>
    <w:p w14:paraId="09E84EA0" w14:textId="4A477FA7" w:rsidR="00777FB3" w:rsidRPr="003F5699" w:rsidRDefault="00777FB3" w:rsidP="00777FB3">
      <w:pPr>
        <w:pStyle w:val="NormalWeb"/>
        <w:spacing w:line="360" w:lineRule="auto"/>
        <w:jc w:val="both"/>
      </w:pPr>
      <w:r>
        <w:t>editing of this manuscript.</w:t>
      </w:r>
    </w:p>
    <w:p w14:paraId="0A4EF7A2" w14:textId="2460B430" w:rsidR="000078D0" w:rsidRPr="003F5699" w:rsidRDefault="003F5699" w:rsidP="003F5699">
      <w:pPr>
        <w:pStyle w:val="NormalWeb"/>
        <w:spacing w:line="360" w:lineRule="auto"/>
        <w:jc w:val="both"/>
        <w:rPr>
          <w:lang w:val="en-GB"/>
        </w:rPr>
      </w:pPr>
      <w:r w:rsidRPr="003F17FF">
        <w:rPr>
          <w:b/>
          <w:bCs/>
        </w:rPr>
        <w:t>REFERENCES</w:t>
      </w:r>
    </w:p>
    <w:p w14:paraId="7FBA5269" w14:textId="77777777" w:rsidR="003F5699" w:rsidRDefault="003F5699" w:rsidP="003F5699">
      <w:pPr>
        <w:spacing w:before="100" w:beforeAutospacing="1" w:after="100" w:afterAutospacing="1"/>
        <w:ind w:left="709" w:hanging="709"/>
        <w:jc w:val="both"/>
      </w:pPr>
      <w:r w:rsidRPr="003F17FF">
        <w:t xml:space="preserve">Bedford, M. R., &amp; Partridge, G. G. (2010). </w:t>
      </w:r>
      <w:r w:rsidRPr="003F17FF">
        <w:rPr>
          <w:i/>
          <w:iCs/>
        </w:rPr>
        <w:t>Phytases in animal nutrition: Proceedings and developments</w:t>
      </w:r>
      <w:r w:rsidRPr="003F17FF">
        <w:t xml:space="preserve">. In Animal Feed Science and Technology 158, 1–14. </w:t>
      </w:r>
      <w:hyperlink r:id="rId12" w:history="1">
        <w:r w:rsidRPr="003F17FF">
          <w:rPr>
            <w:rStyle w:val="Hyperlink"/>
          </w:rPr>
          <w:t>https://doi.org/10.1016/j.anifeedsci.2010.04.010</w:t>
        </w:r>
      </w:hyperlink>
      <w:r w:rsidRPr="003F17FF">
        <w:t>.</w:t>
      </w:r>
    </w:p>
    <w:p w14:paraId="29F87AE2" w14:textId="6AF08204" w:rsidR="003F5699" w:rsidRDefault="003F5699" w:rsidP="003F5699">
      <w:pPr>
        <w:spacing w:before="100" w:beforeAutospacing="1" w:after="100" w:afterAutospacing="1"/>
        <w:ind w:left="709" w:hanging="709"/>
        <w:jc w:val="both"/>
      </w:pPr>
      <w:r>
        <w:t xml:space="preserve">Cowieson, A. J., Ravindran, V., &amp; Selle, P. H. (2008). Influence of dietary phytic acid and source of microbial phytase on ileal endogenous amino acid flows in broiler chickens. Poultry Science, 87(11), 2287–2299. </w:t>
      </w:r>
      <w:hyperlink r:id="rId13" w:history="1">
        <w:r w:rsidRPr="0019028B">
          <w:rPr>
            <w:rStyle w:val="Hyperlink"/>
          </w:rPr>
          <w:t>https://doi.org/10.3382/ps.2008-00216</w:t>
        </w:r>
      </w:hyperlink>
      <w:r>
        <w:t xml:space="preserve">  </w:t>
      </w:r>
    </w:p>
    <w:p w14:paraId="3C8F09F1" w14:textId="7C95D481" w:rsidR="003F5699" w:rsidRDefault="003F5699" w:rsidP="003F5699">
      <w:pPr>
        <w:spacing w:before="100" w:beforeAutospacing="1" w:after="100" w:afterAutospacing="1"/>
        <w:ind w:left="709" w:hanging="709"/>
        <w:jc w:val="both"/>
      </w:pPr>
      <w:r>
        <w:t xml:space="preserve">Darmawan, A., &amp; Ozturk, E. (2025). Effect of dietary heated hemp seed cake and phytase as soybean meal substitution on broiler chicken performance, carcass yield, visceral organ weight, intestinal health and serum biochemical parameters. Tropical Animal Health and Production, 57, 162.  </w:t>
      </w:r>
      <w:hyperlink r:id="rId14" w:history="1">
        <w:r w:rsidRPr="0019028B">
          <w:rPr>
            <w:rStyle w:val="Hyperlink"/>
          </w:rPr>
          <w:t>https://doi.org/10.1007/s11250-025-04416-5</w:t>
        </w:r>
      </w:hyperlink>
      <w:r>
        <w:t xml:space="preserve"> </w:t>
      </w:r>
    </w:p>
    <w:p w14:paraId="567D3439" w14:textId="5722080B" w:rsidR="003F5699" w:rsidRDefault="003F5699" w:rsidP="003F5699">
      <w:pPr>
        <w:spacing w:before="100" w:beforeAutospacing="1" w:after="100" w:afterAutospacing="1"/>
        <w:ind w:left="709" w:hanging="709"/>
        <w:jc w:val="both"/>
      </w:pPr>
      <w:r>
        <w:t xml:space="preserve">Derakhshan, M., Ghasemian, S.O., &amp; Gholami-Ahang, M. (2023). The effects of probiotic and phytase on growth performance, biochemical parameters and antioxidant capacity in </w:t>
      </w:r>
      <w:r>
        <w:lastRenderedPageBreak/>
        <w:t xml:space="preserve">broiler chickens. Veterinary Medicine and Science, 9(2), 860-866. </w:t>
      </w:r>
      <w:hyperlink r:id="rId15" w:history="1">
        <w:r w:rsidRPr="0019028B">
          <w:rPr>
            <w:rStyle w:val="Hyperlink"/>
          </w:rPr>
          <w:t>https://doi.org/10.1002/vms3.1075</w:t>
        </w:r>
      </w:hyperlink>
      <w:r>
        <w:t xml:space="preserve"> </w:t>
      </w:r>
    </w:p>
    <w:p w14:paraId="1C494819" w14:textId="15DFE78A" w:rsidR="003F5699" w:rsidRDefault="003F5699" w:rsidP="003F5699">
      <w:pPr>
        <w:spacing w:before="100" w:beforeAutospacing="1" w:after="100" w:afterAutospacing="1"/>
        <w:ind w:left="709" w:hanging="709"/>
        <w:jc w:val="both"/>
      </w:pPr>
      <w:r>
        <w:t xml:space="preserve">Elbaz, A.M., El-sheikh, S.E., &amp; Abdel-Maksoud, A. (2023). Growth performance, nutrient digestibility, antioxidant state, ileal histomorphometry, and cecal ecology of broilers fed on fermented canola meal with and without exogenous enzymes. Tropical Animal Health and Production, 55(1), 46. </w:t>
      </w:r>
      <w:hyperlink r:id="rId16" w:history="1">
        <w:r w:rsidRPr="0019028B">
          <w:rPr>
            <w:rStyle w:val="Hyperlink"/>
          </w:rPr>
          <w:t>https://doi.org/10.1007/s11250-023-03476-9</w:t>
        </w:r>
      </w:hyperlink>
      <w:r>
        <w:t xml:space="preserve"> </w:t>
      </w:r>
    </w:p>
    <w:p w14:paraId="425FB54F" w14:textId="475496C2" w:rsidR="003F5699" w:rsidRDefault="003F5699" w:rsidP="003F5699">
      <w:pPr>
        <w:spacing w:before="100" w:beforeAutospacing="1" w:after="100" w:afterAutospacing="1"/>
        <w:ind w:left="709" w:hanging="709"/>
        <w:jc w:val="both"/>
      </w:pPr>
      <w:r>
        <w:t xml:space="preserve">Farrokhi, H., Abdullahpour, R., &amp; Rezaeipour, V. (2021). Influence of dietary phytase and protease, individually or in combination, on growth performance, intestinal morphology, microbiota composition and nutrient utilization in broiler chickens fed sesame meal-based diets. Italian Journal of Animal Science, 20(1), 2122-2130. </w:t>
      </w:r>
      <w:hyperlink r:id="rId17" w:history="1">
        <w:r w:rsidRPr="0019028B">
          <w:rPr>
            <w:rStyle w:val="Hyperlink"/>
          </w:rPr>
          <w:t>https://doi.org/10.1080/1828051X.2021.2001698</w:t>
        </w:r>
      </w:hyperlink>
      <w:r>
        <w:t xml:space="preserve"> </w:t>
      </w:r>
    </w:p>
    <w:p w14:paraId="6CBB6373" w14:textId="63F5C2FC" w:rsidR="003F5699" w:rsidRDefault="003F5699" w:rsidP="003F5699">
      <w:pPr>
        <w:spacing w:before="100" w:beforeAutospacing="1" w:after="100" w:afterAutospacing="1"/>
        <w:ind w:left="709" w:hanging="709"/>
        <w:jc w:val="both"/>
      </w:pPr>
      <w:r>
        <w:t xml:space="preserve">Hassan, F., Shao, Y., Yang, Y. (2024). Filament keratin textiles from poultry wastes: Dyeability with α-bromoacrylamide reactive dyes for large-scale applications. Journal of Environmental Chemical Engineering, 12(6), 114328. </w:t>
      </w:r>
      <w:hyperlink r:id="rId18" w:history="1">
        <w:r w:rsidRPr="0019028B">
          <w:rPr>
            <w:rStyle w:val="Hyperlink"/>
          </w:rPr>
          <w:t>https://doi.org/10.1016/j.jece.2024.114328</w:t>
        </w:r>
      </w:hyperlink>
      <w:r>
        <w:t xml:space="preserve"> </w:t>
      </w:r>
    </w:p>
    <w:p w14:paraId="6BE3251E" w14:textId="0B56AEF9" w:rsidR="003F5699" w:rsidRDefault="003F5699" w:rsidP="003F5699">
      <w:pPr>
        <w:spacing w:before="100" w:beforeAutospacing="1" w:after="100" w:afterAutospacing="1"/>
        <w:ind w:left="709" w:hanging="709"/>
        <w:jc w:val="both"/>
      </w:pPr>
      <w:r>
        <w:t xml:space="preserve">Mulvenna, C.C., McCormack, U.M., Magowan, E., McKillen, J., Bedford, M.R., Walk, C.L., Oster, M., Reyer, H., Wimmers, K., Fornara, D.A., &amp; Ball, M.E. (2022). The growth performance, nutrient digestibility, gut bacteria and bone strength of broilers offered alternative, sustainable diets varying in nutrient specification and phytase dose. Animal (Basel), I12(13), 1669. </w:t>
      </w:r>
      <w:hyperlink r:id="rId19" w:history="1">
        <w:r w:rsidRPr="0019028B">
          <w:rPr>
            <w:rStyle w:val="Hyperlink"/>
          </w:rPr>
          <w:t>https://doi.org/10.3390/ani12131669</w:t>
        </w:r>
      </w:hyperlink>
      <w:r>
        <w:t xml:space="preserve"> </w:t>
      </w:r>
    </w:p>
    <w:p w14:paraId="0413D0EF" w14:textId="60FEF399" w:rsidR="003F5699" w:rsidRDefault="003F5699" w:rsidP="003F5699">
      <w:pPr>
        <w:spacing w:before="100" w:beforeAutospacing="1" w:after="100" w:afterAutospacing="1"/>
        <w:ind w:left="709" w:hanging="709"/>
        <w:jc w:val="both"/>
      </w:pPr>
      <w:r>
        <w:t xml:space="preserve">Park, J., Heo, Y., Kim, D., Kim, Y.B., Kwon, B., Song, J., &amp; Lee, K. (2024). Nutritional and physiological responses to dietary phosphorus levels and phytase in pullets and laying hens. Poultry Science, 103(8), 103886. </w:t>
      </w:r>
      <w:hyperlink r:id="rId20" w:history="1">
        <w:r w:rsidRPr="0019028B">
          <w:rPr>
            <w:rStyle w:val="Hyperlink"/>
          </w:rPr>
          <w:t>https://doi.org/10.1016/j.psj.2024.103886</w:t>
        </w:r>
      </w:hyperlink>
      <w:r>
        <w:t xml:space="preserve"> </w:t>
      </w:r>
    </w:p>
    <w:p w14:paraId="07431CFF" w14:textId="7D5D6542" w:rsidR="003F5699" w:rsidRDefault="003F5699" w:rsidP="003F5699">
      <w:pPr>
        <w:spacing w:before="100" w:beforeAutospacing="1" w:after="100" w:afterAutospacing="1"/>
        <w:ind w:left="709" w:hanging="709"/>
        <w:jc w:val="both"/>
      </w:pPr>
      <w:r>
        <w:t xml:space="preserve">Predescu, N. C., Stefan, G., Rosu, M. P., &amp; Papuc, C. (2024). Fermented feed in broiler diets reduces the antinutritional factors, improves productive performances and modulates gut microbiome — A review. Agriculture, 14(10), 1752. </w:t>
      </w:r>
      <w:hyperlink r:id="rId21" w:history="1">
        <w:r w:rsidRPr="0019028B">
          <w:rPr>
            <w:rStyle w:val="Hyperlink"/>
          </w:rPr>
          <w:t>https://doi.org/10.3390/agriculture14101752</w:t>
        </w:r>
      </w:hyperlink>
      <w:r>
        <w:t xml:space="preserve">  </w:t>
      </w:r>
    </w:p>
    <w:p w14:paraId="34BC10A5" w14:textId="010E21D7" w:rsidR="003F5699" w:rsidRDefault="003F5699" w:rsidP="003F5699">
      <w:pPr>
        <w:spacing w:before="100" w:beforeAutospacing="1" w:after="100" w:afterAutospacing="1"/>
        <w:ind w:left="709" w:hanging="709"/>
        <w:jc w:val="both"/>
      </w:pPr>
      <w:r>
        <w:t xml:space="preserve">Selim, S., Abdel-Megeid, N.S., Khalifa, H.K., Fakiha, K.G., Majrashi, K.A., &amp; Hussein, E. (2022). Efficacy of various feed additives on performance, nutrient digestibility, bone quality, blood constituents, and phosphorus absorption and utilization of broiler chickens fed loe phosphotus diet. Animals (Basel), 12(14), 1742. </w:t>
      </w:r>
      <w:hyperlink r:id="rId22" w:history="1">
        <w:r w:rsidRPr="0019028B">
          <w:rPr>
            <w:rStyle w:val="Hyperlink"/>
          </w:rPr>
          <w:t>https://doi.org/10.3390/ani12141742</w:t>
        </w:r>
      </w:hyperlink>
      <w:r>
        <w:t xml:space="preserve">   </w:t>
      </w:r>
    </w:p>
    <w:p w14:paraId="2DD751A6" w14:textId="1E3CF02C" w:rsidR="003F5699" w:rsidRDefault="003F5699" w:rsidP="003F5699">
      <w:pPr>
        <w:spacing w:before="100" w:beforeAutospacing="1" w:after="100" w:afterAutospacing="1"/>
        <w:ind w:left="709" w:hanging="709"/>
        <w:jc w:val="both"/>
      </w:pPr>
      <w:r>
        <w:t xml:space="preserve">Selle, P. H., &amp; Ravindran, V. (2007). Microbial phytase in poultry nutrition. Animal Feed Science and Technology, 135(1), 1–41. </w:t>
      </w:r>
      <w:hyperlink r:id="rId23" w:history="1">
        <w:r w:rsidRPr="0019028B">
          <w:rPr>
            <w:rStyle w:val="Hyperlink"/>
          </w:rPr>
          <w:t>https://doi.org/10.1016/j.anifeedsci.2006.06.010</w:t>
        </w:r>
      </w:hyperlink>
      <w:r>
        <w:t xml:space="preserve"> </w:t>
      </w:r>
    </w:p>
    <w:p w14:paraId="386420A0" w14:textId="74940DF6" w:rsidR="003F5699" w:rsidRDefault="003F5699" w:rsidP="003F5699">
      <w:pPr>
        <w:spacing w:before="100" w:beforeAutospacing="1" w:after="100" w:afterAutospacing="1"/>
        <w:ind w:left="709" w:hanging="709"/>
        <w:jc w:val="both"/>
      </w:pPr>
      <w:r w:rsidRPr="005D18BF">
        <w:rPr>
          <w:lang w:val="nl-BE"/>
        </w:rPr>
        <w:t xml:space="preserve">Selle, P. H., &amp; Ravindran, V. (2007). </w:t>
      </w:r>
      <w:r>
        <w:t xml:space="preserve">Phytate and phytase: consequences for protein utilisation. Nutrition Research Reviews, 20(1), 34–50. </w:t>
      </w:r>
      <w:hyperlink r:id="rId24" w:history="1">
        <w:r w:rsidRPr="0019028B">
          <w:rPr>
            <w:rStyle w:val="Hyperlink"/>
          </w:rPr>
          <w:t>https://doi.org/10.1017/S0954422407000040</w:t>
        </w:r>
      </w:hyperlink>
      <w:r>
        <w:t xml:space="preserve">  </w:t>
      </w:r>
    </w:p>
    <w:p w14:paraId="7444735D" w14:textId="697A4F68" w:rsidR="003F5699" w:rsidRDefault="003F5699" w:rsidP="003F5699">
      <w:pPr>
        <w:spacing w:before="100" w:beforeAutospacing="1" w:after="100" w:afterAutospacing="1"/>
        <w:ind w:left="709" w:hanging="709"/>
        <w:jc w:val="both"/>
      </w:pPr>
      <w:r>
        <w:lastRenderedPageBreak/>
        <w:t xml:space="preserve">Shurson, G.C., Kerr, B.J., &amp; Hanson, A. (2015). Evaluating the quality of feed fats and oils and their effects on pig growth performance. Journal of Animal and Biotechnology, 6(1), 10. </w:t>
      </w:r>
      <w:hyperlink r:id="rId25" w:history="1">
        <w:r w:rsidRPr="0019028B">
          <w:rPr>
            <w:rStyle w:val="Hyperlink"/>
          </w:rPr>
          <w:t>https://doi.org/10.1186/s40104-015-0005-4</w:t>
        </w:r>
      </w:hyperlink>
      <w:r>
        <w:t xml:space="preserve"> </w:t>
      </w:r>
    </w:p>
    <w:p w14:paraId="010A9D71" w14:textId="7C1880B7" w:rsidR="003F5699" w:rsidRDefault="003F5699" w:rsidP="003F5699">
      <w:pPr>
        <w:spacing w:before="100" w:beforeAutospacing="1" w:after="100" w:afterAutospacing="1"/>
        <w:ind w:left="709" w:hanging="709"/>
        <w:jc w:val="both"/>
      </w:pPr>
      <w:r>
        <w:t xml:space="preserve">Silva-Guillen, Y.V., Arellano, C., Boyd, R.D., Martinez, G., &amp; van Heugten, E. (2020). Growth performance, oxidative stress and immune status of newly weaned pigs fed peroxidized lipids with or without supplemental vitamin E or polyphenols. Journal of Animal Science and Biotechnology, 11(1), 22. </w:t>
      </w:r>
      <w:hyperlink r:id="rId26" w:history="1">
        <w:r w:rsidRPr="0019028B">
          <w:rPr>
            <w:rStyle w:val="Hyperlink"/>
          </w:rPr>
          <w:t>https://doi.org/10.1186/s40104-020-0431-9</w:t>
        </w:r>
      </w:hyperlink>
      <w:r>
        <w:t xml:space="preserve"> </w:t>
      </w:r>
    </w:p>
    <w:p w14:paraId="0F46A5D6" w14:textId="1EE10132" w:rsidR="003F5699" w:rsidRDefault="003F5699" w:rsidP="003F5699">
      <w:pPr>
        <w:spacing w:before="100" w:beforeAutospacing="1" w:after="100" w:afterAutospacing="1"/>
        <w:ind w:left="709" w:hanging="709"/>
        <w:jc w:val="both"/>
      </w:pPr>
      <w:r>
        <w:t xml:space="preserve">Sun, H., Chen, D., Cai, H., Chang, W., Wang, Z., Liu, G., Deng, X., &amp; Chen, Z. (2022). Effects of fermenting the plant fraction of a complete feed on the growth performance, nutrient utilization, antioxidant functions, meat quality and intestinal microbiota of brolers. Animls (Basel), 12(20), 2870. doi: 10.3390/ani12202870       </w:t>
      </w:r>
    </w:p>
    <w:p w14:paraId="2454B58C" w14:textId="120C145A" w:rsidR="003F5699" w:rsidRDefault="003F5699" w:rsidP="003F5699">
      <w:pPr>
        <w:spacing w:before="100" w:beforeAutospacing="1" w:after="100" w:afterAutospacing="1"/>
        <w:ind w:left="709" w:hanging="709"/>
        <w:jc w:val="both"/>
      </w:pPr>
      <w:r>
        <w:t xml:space="preserve">Valente Junior, D. T., Genova, J. L., Kim, S. W., Saraiva, A., &amp; Rocha, G. C. (2024). Carbohydrases and phytase in poultry and pig nutrition: A review beyond the nutrients and energy matrix. Animals, 14(2), 226. </w:t>
      </w:r>
      <w:hyperlink r:id="rId27" w:history="1">
        <w:r w:rsidRPr="0019028B">
          <w:rPr>
            <w:rStyle w:val="Hyperlink"/>
          </w:rPr>
          <w:t>https://doi.org/10.3390/ani14020226</w:t>
        </w:r>
      </w:hyperlink>
      <w:r>
        <w:t xml:space="preserve"> </w:t>
      </w:r>
    </w:p>
    <w:p w14:paraId="60C580AE" w14:textId="4A78002F" w:rsidR="003F5699" w:rsidRPr="005D18BF" w:rsidRDefault="003F5699" w:rsidP="003F5699">
      <w:pPr>
        <w:spacing w:before="100" w:beforeAutospacing="1" w:after="100" w:afterAutospacing="1"/>
        <w:ind w:left="709" w:hanging="709"/>
        <w:jc w:val="both"/>
        <w:rPr>
          <w:lang w:val="nl-BE"/>
        </w:rPr>
      </w:pPr>
      <w:r>
        <w:t xml:space="preserve">Vimalraj, S. (2020). Alkaline phosphatase: structure. Expression and its function in bone mineralization, 754, 144855.  </w:t>
      </w:r>
      <w:hyperlink r:id="rId28" w:history="1">
        <w:r w:rsidRPr="005D18BF">
          <w:rPr>
            <w:rStyle w:val="Hyperlink"/>
            <w:lang w:val="nl-BE"/>
          </w:rPr>
          <w:t>https://doi.org/10.1016/j.gene.2020.144855</w:t>
        </w:r>
      </w:hyperlink>
      <w:r w:rsidRPr="005D18BF">
        <w:rPr>
          <w:lang w:val="nl-BE"/>
        </w:rPr>
        <w:t xml:space="preserve"> </w:t>
      </w:r>
    </w:p>
    <w:p w14:paraId="13E679FA" w14:textId="5185D360" w:rsidR="003F5699" w:rsidRDefault="003F5699" w:rsidP="003F5699">
      <w:pPr>
        <w:spacing w:before="100" w:beforeAutospacing="1" w:after="100" w:afterAutospacing="1"/>
        <w:ind w:left="709" w:hanging="709"/>
        <w:jc w:val="both"/>
      </w:pPr>
      <w:r w:rsidRPr="005D18BF">
        <w:rPr>
          <w:lang w:val="nl-BE"/>
        </w:rPr>
        <w:t xml:space="preserve">Yu, J., Zhang, L., &amp; Li, Y. (2020). </w:t>
      </w:r>
      <w:r>
        <w:t xml:space="preserve">Effects of fermented feed on growth performance, immune response, and antioxidant capacity in laying hen chicks and the underlying molecular mechanism involving nuclear factor-κB. Poultry Science, 99(4), 2000–2012. </w:t>
      </w:r>
      <w:hyperlink r:id="rId29" w:history="1">
        <w:r w:rsidRPr="0019028B">
          <w:rPr>
            <w:rStyle w:val="Hyperlink"/>
          </w:rPr>
          <w:t>https://pumed.ncbi.nlm.nih.gov/32359593/</w:t>
        </w:r>
      </w:hyperlink>
      <w:r>
        <w:t xml:space="preserve"> </w:t>
      </w:r>
    </w:p>
    <w:p w14:paraId="0BE2370D" w14:textId="33A83277" w:rsidR="003F5699" w:rsidRDefault="003F5699" w:rsidP="003F5699">
      <w:pPr>
        <w:spacing w:before="100" w:beforeAutospacing="1" w:after="100" w:afterAutospacing="1"/>
        <w:ind w:left="709" w:hanging="709"/>
        <w:jc w:val="both"/>
      </w:pPr>
      <w:r>
        <w:t xml:space="preserve">Yu, X., Han, J., Li, H., Zhang, Y., &amp; Feng, J. (2018). The effect of enzymes on release of trace elements in feedstuffs based on in vitro digestion model for monogastric livestock. Journal of Animal Science and Biotechnology, 9(1), 73. </w:t>
      </w:r>
      <w:hyperlink r:id="rId30" w:history="1">
        <w:r w:rsidRPr="0019028B">
          <w:rPr>
            <w:rStyle w:val="Hyperlink"/>
          </w:rPr>
          <w:t>https://doi.org/10.1186/s40104-018-0289-2</w:t>
        </w:r>
      </w:hyperlink>
      <w:r>
        <w:t xml:space="preserve"> </w:t>
      </w:r>
    </w:p>
    <w:p w14:paraId="52F6CAF2" w14:textId="092741EA" w:rsidR="00F33E87" w:rsidRPr="003F17FF" w:rsidRDefault="003F5699" w:rsidP="003F5699">
      <w:pPr>
        <w:spacing w:before="100" w:beforeAutospacing="1" w:after="100" w:afterAutospacing="1"/>
        <w:ind w:left="709" w:hanging="709"/>
        <w:jc w:val="both"/>
      </w:pPr>
      <w:r w:rsidRPr="005D18BF">
        <w:rPr>
          <w:lang w:val="nl-BE"/>
        </w:rPr>
        <w:t xml:space="preserve">Zhang, W., Wu, B., u, W., Cui, X., Li, D., Gao, F., Li, T., Zhu, L., Geng, Y., Zhang, L., Hu, Y., Luo, X. (2022). </w:t>
      </w:r>
      <w:r>
        <w:t xml:space="preserve">An optimal dietary sodium chloride supplemental level of broiler chicks fed a corn-soybean meal diet from 1 to 21 days of age. Animal Nutrition and Metabolism, 9, 1077750. </w:t>
      </w:r>
      <w:hyperlink r:id="rId31" w:history="1">
        <w:r w:rsidRPr="0019028B">
          <w:rPr>
            <w:rStyle w:val="Hyperlink"/>
          </w:rPr>
          <w:t>https://doi.org/10.3389/fvets.2022.1077750</w:t>
        </w:r>
      </w:hyperlink>
      <w:r>
        <w:t xml:space="preserve"> </w:t>
      </w:r>
    </w:p>
    <w:sectPr w:rsidR="00F33E87" w:rsidRPr="003F17FF" w:rsidSect="006A54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A2211" w14:textId="77777777" w:rsidR="00593955" w:rsidRDefault="00593955" w:rsidP="00BF1297">
      <w:r>
        <w:separator/>
      </w:r>
    </w:p>
  </w:endnote>
  <w:endnote w:type="continuationSeparator" w:id="0">
    <w:p w14:paraId="0F3F6628" w14:textId="77777777" w:rsidR="00593955" w:rsidRDefault="00593955" w:rsidP="00BF1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C0B30" w14:textId="77777777" w:rsidR="00593955" w:rsidRDefault="00593955" w:rsidP="00BF1297">
      <w:r>
        <w:separator/>
      </w:r>
    </w:p>
  </w:footnote>
  <w:footnote w:type="continuationSeparator" w:id="0">
    <w:p w14:paraId="1D96D939" w14:textId="77777777" w:rsidR="00593955" w:rsidRDefault="00593955" w:rsidP="00BF1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E17CF" w14:textId="35D92E61" w:rsidR="00EE3E52" w:rsidRDefault="00593955">
    <w:pPr>
      <w:pStyle w:val="Header"/>
    </w:pPr>
    <w:r>
      <w:rPr>
        <w:noProof/>
      </w:rPr>
      <w:pict w14:anchorId="4448BF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863235"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07B1A" w14:textId="01A4497F" w:rsidR="00EE3E52" w:rsidRDefault="00593955">
    <w:pPr>
      <w:pStyle w:val="Header"/>
    </w:pPr>
    <w:r>
      <w:rPr>
        <w:noProof/>
      </w:rPr>
      <w:pict w14:anchorId="0C35A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863234"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840A6"/>
    <w:multiLevelType w:val="multilevel"/>
    <w:tmpl w:val="CFEAF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93992"/>
    <w:multiLevelType w:val="multilevel"/>
    <w:tmpl w:val="ACFE0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226D70"/>
    <w:multiLevelType w:val="multilevel"/>
    <w:tmpl w:val="6CA43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02E7E"/>
    <w:multiLevelType w:val="hybridMultilevel"/>
    <w:tmpl w:val="BAACE0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9797F1C"/>
    <w:multiLevelType w:val="multilevel"/>
    <w:tmpl w:val="54522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192684"/>
    <w:multiLevelType w:val="multilevel"/>
    <w:tmpl w:val="99CE0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275AC3"/>
    <w:multiLevelType w:val="multilevel"/>
    <w:tmpl w:val="8018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FD19C8"/>
    <w:multiLevelType w:val="hybridMultilevel"/>
    <w:tmpl w:val="95E4F7F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74750F54"/>
    <w:multiLevelType w:val="multilevel"/>
    <w:tmpl w:val="66AE8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6"/>
  </w:num>
  <w:num w:numId="4">
    <w:abstractNumId w:val="0"/>
  </w:num>
  <w:num w:numId="5">
    <w:abstractNumId w:val="2"/>
  </w:num>
  <w:num w:numId="6">
    <w:abstractNumId w:val="8"/>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E87"/>
    <w:rsid w:val="00001426"/>
    <w:rsid w:val="00001E57"/>
    <w:rsid w:val="000078D0"/>
    <w:rsid w:val="0001188E"/>
    <w:rsid w:val="00015346"/>
    <w:rsid w:val="00025438"/>
    <w:rsid w:val="00032ABB"/>
    <w:rsid w:val="00044836"/>
    <w:rsid w:val="000455C7"/>
    <w:rsid w:val="00050622"/>
    <w:rsid w:val="0005169C"/>
    <w:rsid w:val="000609FF"/>
    <w:rsid w:val="0006211C"/>
    <w:rsid w:val="0006493C"/>
    <w:rsid w:val="00094094"/>
    <w:rsid w:val="000A0E0E"/>
    <w:rsid w:val="000A1727"/>
    <w:rsid w:val="000D090D"/>
    <w:rsid w:val="000D1040"/>
    <w:rsid w:val="000E5AA8"/>
    <w:rsid w:val="001149EE"/>
    <w:rsid w:val="0012370A"/>
    <w:rsid w:val="0013556B"/>
    <w:rsid w:val="00152AB1"/>
    <w:rsid w:val="00153D32"/>
    <w:rsid w:val="001920F6"/>
    <w:rsid w:val="001949FA"/>
    <w:rsid w:val="001B0B0F"/>
    <w:rsid w:val="001C249D"/>
    <w:rsid w:val="001C4A4D"/>
    <w:rsid w:val="001E4CB4"/>
    <w:rsid w:val="001F7B35"/>
    <w:rsid w:val="00221253"/>
    <w:rsid w:val="00245B49"/>
    <w:rsid w:val="00253345"/>
    <w:rsid w:val="002738AB"/>
    <w:rsid w:val="00276C2A"/>
    <w:rsid w:val="00291FBC"/>
    <w:rsid w:val="002974B9"/>
    <w:rsid w:val="00297EA6"/>
    <w:rsid w:val="002B691A"/>
    <w:rsid w:val="002D4565"/>
    <w:rsid w:val="002D63AE"/>
    <w:rsid w:val="002E12DF"/>
    <w:rsid w:val="002E4320"/>
    <w:rsid w:val="002F2BCB"/>
    <w:rsid w:val="00304516"/>
    <w:rsid w:val="00325EF8"/>
    <w:rsid w:val="0033045F"/>
    <w:rsid w:val="00347AC1"/>
    <w:rsid w:val="00355F95"/>
    <w:rsid w:val="003635D5"/>
    <w:rsid w:val="003635F5"/>
    <w:rsid w:val="003674A0"/>
    <w:rsid w:val="003B28D3"/>
    <w:rsid w:val="003D7C40"/>
    <w:rsid w:val="003F0702"/>
    <w:rsid w:val="003F141E"/>
    <w:rsid w:val="003F17FF"/>
    <w:rsid w:val="003F5699"/>
    <w:rsid w:val="004001DB"/>
    <w:rsid w:val="00405F17"/>
    <w:rsid w:val="0041283A"/>
    <w:rsid w:val="004174C6"/>
    <w:rsid w:val="00424568"/>
    <w:rsid w:val="004250F9"/>
    <w:rsid w:val="004259DD"/>
    <w:rsid w:val="00437789"/>
    <w:rsid w:val="00444816"/>
    <w:rsid w:val="00445F10"/>
    <w:rsid w:val="00456E28"/>
    <w:rsid w:val="00462B4D"/>
    <w:rsid w:val="00474D8F"/>
    <w:rsid w:val="004755ED"/>
    <w:rsid w:val="0048647C"/>
    <w:rsid w:val="004E63B6"/>
    <w:rsid w:val="00501D50"/>
    <w:rsid w:val="0053120A"/>
    <w:rsid w:val="00572846"/>
    <w:rsid w:val="0057762F"/>
    <w:rsid w:val="0058001B"/>
    <w:rsid w:val="00593955"/>
    <w:rsid w:val="005B3FD4"/>
    <w:rsid w:val="005C62BC"/>
    <w:rsid w:val="005D18BF"/>
    <w:rsid w:val="005D784D"/>
    <w:rsid w:val="005E71F7"/>
    <w:rsid w:val="005F7D48"/>
    <w:rsid w:val="00600744"/>
    <w:rsid w:val="00635FA9"/>
    <w:rsid w:val="00637A4D"/>
    <w:rsid w:val="0064506D"/>
    <w:rsid w:val="00681E7F"/>
    <w:rsid w:val="00687582"/>
    <w:rsid w:val="00691B71"/>
    <w:rsid w:val="006933F2"/>
    <w:rsid w:val="006A547F"/>
    <w:rsid w:val="006B5971"/>
    <w:rsid w:val="006E4513"/>
    <w:rsid w:val="00752ADC"/>
    <w:rsid w:val="00777FB3"/>
    <w:rsid w:val="00780E37"/>
    <w:rsid w:val="00792794"/>
    <w:rsid w:val="007A5709"/>
    <w:rsid w:val="007A6091"/>
    <w:rsid w:val="007C4B94"/>
    <w:rsid w:val="008153B8"/>
    <w:rsid w:val="008245EF"/>
    <w:rsid w:val="00837785"/>
    <w:rsid w:val="00855E6B"/>
    <w:rsid w:val="00856160"/>
    <w:rsid w:val="00882700"/>
    <w:rsid w:val="008A4FD3"/>
    <w:rsid w:val="008C2A8A"/>
    <w:rsid w:val="008C3B7E"/>
    <w:rsid w:val="008F39D0"/>
    <w:rsid w:val="00920BB5"/>
    <w:rsid w:val="009221A2"/>
    <w:rsid w:val="00922A1E"/>
    <w:rsid w:val="00953141"/>
    <w:rsid w:val="009542DE"/>
    <w:rsid w:val="00970659"/>
    <w:rsid w:val="009864B0"/>
    <w:rsid w:val="009A7F48"/>
    <w:rsid w:val="009C43A6"/>
    <w:rsid w:val="009D3B7F"/>
    <w:rsid w:val="009F58CF"/>
    <w:rsid w:val="00A02A91"/>
    <w:rsid w:val="00A0495D"/>
    <w:rsid w:val="00A050BF"/>
    <w:rsid w:val="00A434ED"/>
    <w:rsid w:val="00A62FD1"/>
    <w:rsid w:val="00A85DDF"/>
    <w:rsid w:val="00AD0EE1"/>
    <w:rsid w:val="00AD5CEB"/>
    <w:rsid w:val="00AE2AB0"/>
    <w:rsid w:val="00AE2EB8"/>
    <w:rsid w:val="00AF2061"/>
    <w:rsid w:val="00B104DA"/>
    <w:rsid w:val="00B175BE"/>
    <w:rsid w:val="00B3603E"/>
    <w:rsid w:val="00B4151B"/>
    <w:rsid w:val="00B55DF3"/>
    <w:rsid w:val="00B63901"/>
    <w:rsid w:val="00B641BC"/>
    <w:rsid w:val="00B67EDE"/>
    <w:rsid w:val="00B7155B"/>
    <w:rsid w:val="00B904B0"/>
    <w:rsid w:val="00B96C2A"/>
    <w:rsid w:val="00BA020F"/>
    <w:rsid w:val="00BB13C9"/>
    <w:rsid w:val="00BB68E4"/>
    <w:rsid w:val="00BC292B"/>
    <w:rsid w:val="00BF1297"/>
    <w:rsid w:val="00BF68F4"/>
    <w:rsid w:val="00C0249A"/>
    <w:rsid w:val="00C15E34"/>
    <w:rsid w:val="00C20949"/>
    <w:rsid w:val="00C27CC0"/>
    <w:rsid w:val="00C51868"/>
    <w:rsid w:val="00C55C2C"/>
    <w:rsid w:val="00C84DCC"/>
    <w:rsid w:val="00C8645B"/>
    <w:rsid w:val="00CC2BA4"/>
    <w:rsid w:val="00CE6337"/>
    <w:rsid w:val="00CF18AC"/>
    <w:rsid w:val="00D2719A"/>
    <w:rsid w:val="00D45E80"/>
    <w:rsid w:val="00D526C7"/>
    <w:rsid w:val="00D814CC"/>
    <w:rsid w:val="00D93569"/>
    <w:rsid w:val="00DA176C"/>
    <w:rsid w:val="00DB0B87"/>
    <w:rsid w:val="00DC1A01"/>
    <w:rsid w:val="00DF0654"/>
    <w:rsid w:val="00DF1035"/>
    <w:rsid w:val="00DF4937"/>
    <w:rsid w:val="00E1100C"/>
    <w:rsid w:val="00E435A5"/>
    <w:rsid w:val="00E51EB8"/>
    <w:rsid w:val="00E53608"/>
    <w:rsid w:val="00E627A8"/>
    <w:rsid w:val="00E64269"/>
    <w:rsid w:val="00EB1636"/>
    <w:rsid w:val="00ED0060"/>
    <w:rsid w:val="00ED1F5F"/>
    <w:rsid w:val="00EE1659"/>
    <w:rsid w:val="00EE3E52"/>
    <w:rsid w:val="00F15BE0"/>
    <w:rsid w:val="00F26654"/>
    <w:rsid w:val="00F33E87"/>
    <w:rsid w:val="00F37AA3"/>
    <w:rsid w:val="00F51EDC"/>
    <w:rsid w:val="00F53562"/>
    <w:rsid w:val="00F576CA"/>
    <w:rsid w:val="00F632AD"/>
    <w:rsid w:val="00F76001"/>
    <w:rsid w:val="00F76642"/>
    <w:rsid w:val="00FB3F3F"/>
    <w:rsid w:val="00FD339E"/>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5DEDBC4"/>
  <w15:chartTrackingRefBased/>
  <w15:docId w15:val="{9A57EC62-DA3F-4A1A-A547-A5244D729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8D0"/>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F33E87"/>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F51ED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3E87"/>
    <w:rPr>
      <w:rFonts w:ascii="Times New Roman" w:eastAsia="Times New Roman" w:hAnsi="Times New Roman" w:cs="Times New Roman"/>
      <w:b/>
      <w:bCs/>
      <w:sz w:val="36"/>
      <w:szCs w:val="36"/>
    </w:rPr>
  </w:style>
  <w:style w:type="character" w:styleId="Strong">
    <w:name w:val="Strong"/>
    <w:basedOn w:val="DefaultParagraphFont"/>
    <w:uiPriority w:val="22"/>
    <w:qFormat/>
    <w:rsid w:val="00F33E87"/>
    <w:rPr>
      <w:b/>
      <w:bCs/>
    </w:rPr>
  </w:style>
  <w:style w:type="paragraph" w:styleId="NormalWeb">
    <w:name w:val="Normal (Web)"/>
    <w:basedOn w:val="Normal"/>
    <w:uiPriority w:val="99"/>
    <w:unhideWhenUsed/>
    <w:rsid w:val="00F33E87"/>
    <w:pPr>
      <w:spacing w:before="100" w:beforeAutospacing="1" w:after="100" w:afterAutospacing="1"/>
    </w:pPr>
  </w:style>
  <w:style w:type="character" w:styleId="Emphasis">
    <w:name w:val="Emphasis"/>
    <w:basedOn w:val="DefaultParagraphFont"/>
    <w:uiPriority w:val="20"/>
    <w:qFormat/>
    <w:rsid w:val="00F33E87"/>
    <w:rPr>
      <w:i/>
      <w:iCs/>
    </w:rPr>
  </w:style>
  <w:style w:type="character" w:customStyle="1" w:styleId="Heading3Char">
    <w:name w:val="Heading 3 Char"/>
    <w:basedOn w:val="DefaultParagraphFont"/>
    <w:link w:val="Heading3"/>
    <w:uiPriority w:val="9"/>
    <w:rsid w:val="00F51EDC"/>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0078D0"/>
    <w:rPr>
      <w:color w:val="0000FF"/>
      <w:u w:val="single"/>
    </w:rPr>
  </w:style>
  <w:style w:type="character" w:customStyle="1" w:styleId="UnresolvedMention1">
    <w:name w:val="Unresolved Mention1"/>
    <w:basedOn w:val="DefaultParagraphFont"/>
    <w:uiPriority w:val="99"/>
    <w:semiHidden/>
    <w:unhideWhenUsed/>
    <w:rsid w:val="00DB0B87"/>
    <w:rPr>
      <w:color w:val="605E5C"/>
      <w:shd w:val="clear" w:color="auto" w:fill="E1DFDD"/>
    </w:rPr>
  </w:style>
  <w:style w:type="paragraph" w:styleId="NoSpacing">
    <w:name w:val="No Spacing"/>
    <w:uiPriority w:val="1"/>
    <w:qFormat/>
    <w:rsid w:val="009F58CF"/>
    <w:pPr>
      <w:spacing w:after="0" w:line="240" w:lineRule="auto"/>
    </w:pPr>
    <w:rPr>
      <w:lang w:val="en-GB"/>
    </w:rPr>
  </w:style>
  <w:style w:type="table" w:customStyle="1" w:styleId="LightShading1">
    <w:name w:val="Light Shading1"/>
    <w:basedOn w:val="TableNormal"/>
    <w:uiPriority w:val="60"/>
    <w:rsid w:val="009F58CF"/>
    <w:pPr>
      <w:spacing w:after="0" w:line="240" w:lineRule="auto"/>
    </w:pPr>
    <w:rPr>
      <w:rFonts w:ascii="Calibri" w:eastAsia="Calibri" w:hAnsi="Calibri" w:cs="SimSun"/>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347AC1"/>
    <w:pPr>
      <w:spacing w:after="160" w:line="259" w:lineRule="auto"/>
      <w:ind w:left="720"/>
      <w:contextualSpacing/>
    </w:pPr>
    <w:rPr>
      <w:rFonts w:asciiTheme="minorHAnsi" w:eastAsiaTheme="minorHAnsi" w:hAnsiTheme="minorHAnsi" w:cstheme="minorBidi"/>
      <w:sz w:val="22"/>
      <w:szCs w:val="22"/>
    </w:rPr>
  </w:style>
  <w:style w:type="character" w:customStyle="1" w:styleId="citation-531">
    <w:name w:val="citation-531"/>
    <w:basedOn w:val="DefaultParagraphFont"/>
    <w:rsid w:val="006E4513"/>
  </w:style>
  <w:style w:type="character" w:customStyle="1" w:styleId="citation-530">
    <w:name w:val="citation-530"/>
    <w:basedOn w:val="DefaultParagraphFont"/>
    <w:rsid w:val="006E4513"/>
  </w:style>
  <w:style w:type="character" w:customStyle="1" w:styleId="citation-529">
    <w:name w:val="citation-529"/>
    <w:basedOn w:val="DefaultParagraphFont"/>
    <w:rsid w:val="006E4513"/>
  </w:style>
  <w:style w:type="character" w:customStyle="1" w:styleId="citation-528">
    <w:name w:val="citation-528"/>
    <w:basedOn w:val="DefaultParagraphFont"/>
    <w:rsid w:val="006E4513"/>
  </w:style>
  <w:style w:type="character" w:customStyle="1" w:styleId="citation-527">
    <w:name w:val="citation-527"/>
    <w:basedOn w:val="DefaultParagraphFont"/>
    <w:rsid w:val="006E4513"/>
  </w:style>
  <w:style w:type="character" w:customStyle="1" w:styleId="citation-526">
    <w:name w:val="citation-526"/>
    <w:basedOn w:val="DefaultParagraphFont"/>
    <w:rsid w:val="006E4513"/>
  </w:style>
  <w:style w:type="character" w:customStyle="1" w:styleId="citation-525">
    <w:name w:val="citation-525"/>
    <w:basedOn w:val="DefaultParagraphFont"/>
    <w:rsid w:val="006E4513"/>
  </w:style>
  <w:style w:type="character" w:customStyle="1" w:styleId="citation-524">
    <w:name w:val="citation-524"/>
    <w:basedOn w:val="DefaultParagraphFont"/>
    <w:rsid w:val="006E4513"/>
  </w:style>
  <w:style w:type="character" w:customStyle="1" w:styleId="citation-523">
    <w:name w:val="citation-523"/>
    <w:basedOn w:val="DefaultParagraphFont"/>
    <w:rsid w:val="006E4513"/>
  </w:style>
  <w:style w:type="character" w:customStyle="1" w:styleId="citation-522">
    <w:name w:val="citation-522"/>
    <w:basedOn w:val="DefaultParagraphFont"/>
    <w:rsid w:val="006E4513"/>
  </w:style>
  <w:style w:type="character" w:customStyle="1" w:styleId="citation-521">
    <w:name w:val="citation-521"/>
    <w:basedOn w:val="DefaultParagraphFont"/>
    <w:rsid w:val="006E4513"/>
  </w:style>
  <w:style w:type="character" w:customStyle="1" w:styleId="citation-520">
    <w:name w:val="citation-520"/>
    <w:basedOn w:val="DefaultParagraphFont"/>
    <w:rsid w:val="006E4513"/>
  </w:style>
  <w:style w:type="character" w:customStyle="1" w:styleId="citation-519">
    <w:name w:val="citation-519"/>
    <w:basedOn w:val="DefaultParagraphFont"/>
    <w:rsid w:val="006E4513"/>
  </w:style>
  <w:style w:type="character" w:customStyle="1" w:styleId="citation-518">
    <w:name w:val="citation-518"/>
    <w:basedOn w:val="DefaultParagraphFont"/>
    <w:rsid w:val="006E4513"/>
  </w:style>
  <w:style w:type="character" w:customStyle="1" w:styleId="citation-517">
    <w:name w:val="citation-517"/>
    <w:basedOn w:val="DefaultParagraphFont"/>
    <w:rsid w:val="006E4513"/>
  </w:style>
  <w:style w:type="character" w:customStyle="1" w:styleId="citation-516">
    <w:name w:val="citation-516"/>
    <w:basedOn w:val="DefaultParagraphFont"/>
    <w:rsid w:val="006E4513"/>
  </w:style>
  <w:style w:type="character" w:customStyle="1" w:styleId="citation-515">
    <w:name w:val="citation-515"/>
    <w:basedOn w:val="DefaultParagraphFont"/>
    <w:rsid w:val="006E4513"/>
  </w:style>
  <w:style w:type="character" w:customStyle="1" w:styleId="citation-514">
    <w:name w:val="citation-514"/>
    <w:basedOn w:val="DefaultParagraphFont"/>
    <w:rsid w:val="006E4513"/>
  </w:style>
  <w:style w:type="character" w:customStyle="1" w:styleId="citation-513">
    <w:name w:val="citation-513"/>
    <w:basedOn w:val="DefaultParagraphFont"/>
    <w:rsid w:val="006E4513"/>
  </w:style>
  <w:style w:type="character" w:customStyle="1" w:styleId="citation-512">
    <w:name w:val="citation-512"/>
    <w:basedOn w:val="DefaultParagraphFont"/>
    <w:rsid w:val="006E4513"/>
  </w:style>
  <w:style w:type="character" w:customStyle="1" w:styleId="citation-511">
    <w:name w:val="citation-511"/>
    <w:basedOn w:val="DefaultParagraphFont"/>
    <w:rsid w:val="006E4513"/>
  </w:style>
  <w:style w:type="character" w:customStyle="1" w:styleId="citation-510">
    <w:name w:val="citation-510"/>
    <w:basedOn w:val="DefaultParagraphFont"/>
    <w:rsid w:val="006E4513"/>
  </w:style>
  <w:style w:type="character" w:customStyle="1" w:styleId="citation-509">
    <w:name w:val="citation-509"/>
    <w:basedOn w:val="DefaultParagraphFont"/>
    <w:rsid w:val="006E4513"/>
  </w:style>
  <w:style w:type="character" w:customStyle="1" w:styleId="citation-508">
    <w:name w:val="citation-508"/>
    <w:basedOn w:val="DefaultParagraphFont"/>
    <w:rsid w:val="006E4513"/>
  </w:style>
  <w:style w:type="character" w:customStyle="1" w:styleId="citation-507">
    <w:name w:val="citation-507"/>
    <w:basedOn w:val="DefaultParagraphFont"/>
    <w:rsid w:val="006E4513"/>
  </w:style>
  <w:style w:type="character" w:customStyle="1" w:styleId="citation-506">
    <w:name w:val="citation-506"/>
    <w:basedOn w:val="DefaultParagraphFont"/>
    <w:rsid w:val="006E4513"/>
  </w:style>
  <w:style w:type="character" w:customStyle="1" w:styleId="citation-505">
    <w:name w:val="citation-505"/>
    <w:basedOn w:val="DefaultParagraphFont"/>
    <w:rsid w:val="006E4513"/>
  </w:style>
  <w:style w:type="character" w:customStyle="1" w:styleId="citation-504">
    <w:name w:val="citation-504"/>
    <w:basedOn w:val="DefaultParagraphFont"/>
    <w:rsid w:val="006E4513"/>
  </w:style>
  <w:style w:type="paragraph" w:styleId="Header">
    <w:name w:val="header"/>
    <w:basedOn w:val="Normal"/>
    <w:link w:val="HeaderChar"/>
    <w:uiPriority w:val="99"/>
    <w:unhideWhenUsed/>
    <w:rsid w:val="00BF1297"/>
    <w:pPr>
      <w:tabs>
        <w:tab w:val="center" w:pos="4680"/>
        <w:tab w:val="right" w:pos="9360"/>
      </w:tabs>
    </w:pPr>
  </w:style>
  <w:style w:type="character" w:customStyle="1" w:styleId="HeaderChar">
    <w:name w:val="Header Char"/>
    <w:basedOn w:val="DefaultParagraphFont"/>
    <w:link w:val="Header"/>
    <w:uiPriority w:val="99"/>
    <w:rsid w:val="00BF129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1297"/>
    <w:pPr>
      <w:tabs>
        <w:tab w:val="center" w:pos="4680"/>
        <w:tab w:val="right" w:pos="9360"/>
      </w:tabs>
    </w:pPr>
  </w:style>
  <w:style w:type="character" w:customStyle="1" w:styleId="FooterChar">
    <w:name w:val="Footer Char"/>
    <w:basedOn w:val="DefaultParagraphFont"/>
    <w:link w:val="Footer"/>
    <w:uiPriority w:val="99"/>
    <w:rsid w:val="00BF1297"/>
    <w:rPr>
      <w:rFonts w:ascii="Times New Roman" w:eastAsia="Times New Roman" w:hAnsi="Times New Roman" w:cs="Times New Roman"/>
      <w:sz w:val="24"/>
      <w:szCs w:val="24"/>
    </w:rPr>
  </w:style>
  <w:style w:type="table" w:styleId="TableGrid">
    <w:name w:val="Table Grid"/>
    <w:basedOn w:val="TableNormal"/>
    <w:uiPriority w:val="39"/>
    <w:rsid w:val="000E5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39D0"/>
    <w:rPr>
      <w:sz w:val="16"/>
      <w:szCs w:val="16"/>
    </w:rPr>
  </w:style>
  <w:style w:type="paragraph" w:styleId="CommentText">
    <w:name w:val="annotation text"/>
    <w:basedOn w:val="Normal"/>
    <w:link w:val="CommentTextChar"/>
    <w:uiPriority w:val="99"/>
    <w:semiHidden/>
    <w:unhideWhenUsed/>
    <w:rsid w:val="008F39D0"/>
    <w:rPr>
      <w:sz w:val="20"/>
      <w:szCs w:val="20"/>
    </w:rPr>
  </w:style>
  <w:style w:type="character" w:customStyle="1" w:styleId="CommentTextChar">
    <w:name w:val="Comment Text Char"/>
    <w:basedOn w:val="DefaultParagraphFont"/>
    <w:link w:val="CommentText"/>
    <w:uiPriority w:val="99"/>
    <w:semiHidden/>
    <w:rsid w:val="008F39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39D0"/>
    <w:rPr>
      <w:b/>
      <w:bCs/>
    </w:rPr>
  </w:style>
  <w:style w:type="character" w:customStyle="1" w:styleId="CommentSubjectChar">
    <w:name w:val="Comment Subject Char"/>
    <w:basedOn w:val="CommentTextChar"/>
    <w:link w:val="CommentSubject"/>
    <w:uiPriority w:val="99"/>
    <w:semiHidden/>
    <w:rsid w:val="008F39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39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9D0"/>
    <w:rPr>
      <w:rFonts w:ascii="Segoe UI" w:eastAsia="Times New Roman" w:hAnsi="Segoe UI" w:cs="Segoe UI"/>
      <w:sz w:val="18"/>
      <w:szCs w:val="18"/>
    </w:rPr>
  </w:style>
  <w:style w:type="character" w:customStyle="1" w:styleId="citation-76">
    <w:name w:val="citation-76"/>
    <w:basedOn w:val="DefaultParagraphFont"/>
    <w:rsid w:val="008F39D0"/>
  </w:style>
  <w:style w:type="character" w:customStyle="1" w:styleId="citation-75">
    <w:name w:val="citation-75"/>
    <w:basedOn w:val="DefaultParagraphFont"/>
    <w:rsid w:val="008F39D0"/>
  </w:style>
  <w:style w:type="character" w:customStyle="1" w:styleId="citation-74">
    <w:name w:val="citation-74"/>
    <w:basedOn w:val="DefaultParagraphFont"/>
    <w:rsid w:val="008F39D0"/>
  </w:style>
  <w:style w:type="character" w:customStyle="1" w:styleId="citation-73">
    <w:name w:val="citation-73"/>
    <w:basedOn w:val="DefaultParagraphFont"/>
    <w:rsid w:val="008F39D0"/>
  </w:style>
  <w:style w:type="character" w:customStyle="1" w:styleId="citation-68">
    <w:name w:val="citation-68"/>
    <w:basedOn w:val="DefaultParagraphFont"/>
    <w:rsid w:val="00221253"/>
  </w:style>
  <w:style w:type="character" w:customStyle="1" w:styleId="citation-67">
    <w:name w:val="citation-67"/>
    <w:basedOn w:val="DefaultParagraphFont"/>
    <w:rsid w:val="00221253"/>
  </w:style>
  <w:style w:type="character" w:customStyle="1" w:styleId="citation-66">
    <w:name w:val="citation-66"/>
    <w:basedOn w:val="DefaultParagraphFont"/>
    <w:rsid w:val="00221253"/>
  </w:style>
  <w:style w:type="paragraph" w:styleId="Revision">
    <w:name w:val="Revision"/>
    <w:hidden/>
    <w:uiPriority w:val="99"/>
    <w:semiHidden/>
    <w:rsid w:val="00B55DF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623098">
      <w:bodyDiv w:val="1"/>
      <w:marLeft w:val="0"/>
      <w:marRight w:val="0"/>
      <w:marTop w:val="0"/>
      <w:marBottom w:val="0"/>
      <w:divBdr>
        <w:top w:val="none" w:sz="0" w:space="0" w:color="auto"/>
        <w:left w:val="none" w:sz="0" w:space="0" w:color="auto"/>
        <w:bottom w:val="none" w:sz="0" w:space="0" w:color="auto"/>
        <w:right w:val="none" w:sz="0" w:space="0" w:color="auto"/>
      </w:divBdr>
    </w:div>
    <w:div w:id="318121172">
      <w:bodyDiv w:val="1"/>
      <w:marLeft w:val="0"/>
      <w:marRight w:val="0"/>
      <w:marTop w:val="0"/>
      <w:marBottom w:val="0"/>
      <w:divBdr>
        <w:top w:val="none" w:sz="0" w:space="0" w:color="auto"/>
        <w:left w:val="none" w:sz="0" w:space="0" w:color="auto"/>
        <w:bottom w:val="none" w:sz="0" w:space="0" w:color="auto"/>
        <w:right w:val="none" w:sz="0" w:space="0" w:color="auto"/>
      </w:divBdr>
    </w:div>
    <w:div w:id="493378457">
      <w:bodyDiv w:val="1"/>
      <w:marLeft w:val="0"/>
      <w:marRight w:val="0"/>
      <w:marTop w:val="0"/>
      <w:marBottom w:val="0"/>
      <w:divBdr>
        <w:top w:val="none" w:sz="0" w:space="0" w:color="auto"/>
        <w:left w:val="none" w:sz="0" w:space="0" w:color="auto"/>
        <w:bottom w:val="none" w:sz="0" w:space="0" w:color="auto"/>
        <w:right w:val="none" w:sz="0" w:space="0" w:color="auto"/>
      </w:divBdr>
      <w:divsChild>
        <w:div w:id="2090761985">
          <w:marLeft w:val="0"/>
          <w:marRight w:val="0"/>
          <w:marTop w:val="0"/>
          <w:marBottom w:val="0"/>
          <w:divBdr>
            <w:top w:val="none" w:sz="0" w:space="0" w:color="auto"/>
            <w:left w:val="none" w:sz="0" w:space="0" w:color="auto"/>
            <w:bottom w:val="none" w:sz="0" w:space="0" w:color="auto"/>
            <w:right w:val="none" w:sz="0" w:space="0" w:color="auto"/>
          </w:divBdr>
        </w:div>
        <w:div w:id="1873421752">
          <w:marLeft w:val="0"/>
          <w:marRight w:val="0"/>
          <w:marTop w:val="0"/>
          <w:marBottom w:val="0"/>
          <w:divBdr>
            <w:top w:val="none" w:sz="0" w:space="0" w:color="auto"/>
            <w:left w:val="none" w:sz="0" w:space="0" w:color="auto"/>
            <w:bottom w:val="none" w:sz="0" w:space="0" w:color="auto"/>
            <w:right w:val="none" w:sz="0" w:space="0" w:color="auto"/>
          </w:divBdr>
        </w:div>
      </w:divsChild>
    </w:div>
    <w:div w:id="617296789">
      <w:bodyDiv w:val="1"/>
      <w:marLeft w:val="0"/>
      <w:marRight w:val="0"/>
      <w:marTop w:val="0"/>
      <w:marBottom w:val="0"/>
      <w:divBdr>
        <w:top w:val="none" w:sz="0" w:space="0" w:color="auto"/>
        <w:left w:val="none" w:sz="0" w:space="0" w:color="auto"/>
        <w:bottom w:val="none" w:sz="0" w:space="0" w:color="auto"/>
        <w:right w:val="none" w:sz="0" w:space="0" w:color="auto"/>
      </w:divBdr>
    </w:div>
    <w:div w:id="674577261">
      <w:bodyDiv w:val="1"/>
      <w:marLeft w:val="0"/>
      <w:marRight w:val="0"/>
      <w:marTop w:val="0"/>
      <w:marBottom w:val="0"/>
      <w:divBdr>
        <w:top w:val="none" w:sz="0" w:space="0" w:color="auto"/>
        <w:left w:val="none" w:sz="0" w:space="0" w:color="auto"/>
        <w:bottom w:val="none" w:sz="0" w:space="0" w:color="auto"/>
        <w:right w:val="none" w:sz="0" w:space="0" w:color="auto"/>
      </w:divBdr>
    </w:div>
    <w:div w:id="1428690534">
      <w:bodyDiv w:val="1"/>
      <w:marLeft w:val="0"/>
      <w:marRight w:val="0"/>
      <w:marTop w:val="0"/>
      <w:marBottom w:val="0"/>
      <w:divBdr>
        <w:top w:val="none" w:sz="0" w:space="0" w:color="auto"/>
        <w:left w:val="none" w:sz="0" w:space="0" w:color="auto"/>
        <w:bottom w:val="none" w:sz="0" w:space="0" w:color="auto"/>
        <w:right w:val="none" w:sz="0" w:space="0" w:color="auto"/>
      </w:divBdr>
    </w:div>
    <w:div w:id="1793013232">
      <w:bodyDiv w:val="1"/>
      <w:marLeft w:val="0"/>
      <w:marRight w:val="0"/>
      <w:marTop w:val="0"/>
      <w:marBottom w:val="0"/>
      <w:divBdr>
        <w:top w:val="none" w:sz="0" w:space="0" w:color="auto"/>
        <w:left w:val="none" w:sz="0" w:space="0" w:color="auto"/>
        <w:bottom w:val="none" w:sz="0" w:space="0" w:color="auto"/>
        <w:right w:val="none" w:sz="0" w:space="0" w:color="auto"/>
      </w:divBdr>
      <w:divsChild>
        <w:div w:id="1947232780">
          <w:marLeft w:val="0"/>
          <w:marRight w:val="0"/>
          <w:marTop w:val="0"/>
          <w:marBottom w:val="0"/>
          <w:divBdr>
            <w:top w:val="none" w:sz="0" w:space="0" w:color="auto"/>
            <w:left w:val="none" w:sz="0" w:space="0" w:color="auto"/>
            <w:bottom w:val="none" w:sz="0" w:space="0" w:color="auto"/>
            <w:right w:val="none" w:sz="0" w:space="0" w:color="auto"/>
          </w:divBdr>
        </w:div>
        <w:div w:id="121310602">
          <w:marLeft w:val="0"/>
          <w:marRight w:val="0"/>
          <w:marTop w:val="0"/>
          <w:marBottom w:val="0"/>
          <w:divBdr>
            <w:top w:val="none" w:sz="0" w:space="0" w:color="auto"/>
            <w:left w:val="none" w:sz="0" w:space="0" w:color="auto"/>
            <w:bottom w:val="none" w:sz="0" w:space="0" w:color="auto"/>
            <w:right w:val="none" w:sz="0" w:space="0" w:color="auto"/>
          </w:divBdr>
        </w:div>
      </w:divsChild>
    </w:div>
    <w:div w:id="1913419128">
      <w:bodyDiv w:val="1"/>
      <w:marLeft w:val="0"/>
      <w:marRight w:val="0"/>
      <w:marTop w:val="0"/>
      <w:marBottom w:val="0"/>
      <w:divBdr>
        <w:top w:val="none" w:sz="0" w:space="0" w:color="auto"/>
        <w:left w:val="none" w:sz="0" w:space="0" w:color="auto"/>
        <w:bottom w:val="none" w:sz="0" w:space="0" w:color="auto"/>
        <w:right w:val="none" w:sz="0" w:space="0" w:color="auto"/>
      </w:divBdr>
    </w:div>
    <w:div w:id="1919512856">
      <w:bodyDiv w:val="1"/>
      <w:marLeft w:val="0"/>
      <w:marRight w:val="0"/>
      <w:marTop w:val="0"/>
      <w:marBottom w:val="0"/>
      <w:divBdr>
        <w:top w:val="none" w:sz="0" w:space="0" w:color="auto"/>
        <w:left w:val="none" w:sz="0" w:space="0" w:color="auto"/>
        <w:bottom w:val="none" w:sz="0" w:space="0" w:color="auto"/>
        <w:right w:val="none" w:sz="0" w:space="0" w:color="auto"/>
      </w:divBdr>
      <w:divsChild>
        <w:div w:id="563302348">
          <w:marLeft w:val="0"/>
          <w:marRight w:val="0"/>
          <w:marTop w:val="0"/>
          <w:marBottom w:val="0"/>
          <w:divBdr>
            <w:top w:val="none" w:sz="0" w:space="0" w:color="auto"/>
            <w:left w:val="none" w:sz="0" w:space="0" w:color="auto"/>
            <w:bottom w:val="none" w:sz="0" w:space="0" w:color="auto"/>
            <w:right w:val="none" w:sz="0" w:space="0" w:color="auto"/>
          </w:divBdr>
          <w:divsChild>
            <w:div w:id="10447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8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2/ps.2008-00216" TargetMode="External"/><Relationship Id="rId18" Type="http://schemas.openxmlformats.org/officeDocument/2006/relationships/hyperlink" Target="https://doi.org/10.1016/j.jece.2024.114328" TargetMode="External"/><Relationship Id="rId26" Type="http://schemas.openxmlformats.org/officeDocument/2006/relationships/hyperlink" Target="https://doi.org/10.1186/s40104-020-0431-9" TargetMode="External"/><Relationship Id="rId3" Type="http://schemas.openxmlformats.org/officeDocument/2006/relationships/settings" Target="settings.xml"/><Relationship Id="rId21" Type="http://schemas.openxmlformats.org/officeDocument/2006/relationships/hyperlink" Target="https://doi.org/10.3390/agriculture14101752" TargetMode="External"/><Relationship Id="rId7" Type="http://schemas.openxmlformats.org/officeDocument/2006/relationships/header" Target="header1.xml"/><Relationship Id="rId12" Type="http://schemas.openxmlformats.org/officeDocument/2006/relationships/hyperlink" Target="https://doi.org/10.1016/j.anifeedsci.2010.04.010" TargetMode="External"/><Relationship Id="rId17" Type="http://schemas.openxmlformats.org/officeDocument/2006/relationships/hyperlink" Target="https://doi.org/10.1080/1828051X.2021.2001698" TargetMode="External"/><Relationship Id="rId25" Type="http://schemas.openxmlformats.org/officeDocument/2006/relationships/hyperlink" Target="https://doi.org/10.1186/s40104-015-0005-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07/s11250-023-03476-9" TargetMode="External"/><Relationship Id="rId20" Type="http://schemas.openxmlformats.org/officeDocument/2006/relationships/hyperlink" Target="https://doi.org/10.1016/j.psj.2024.103886" TargetMode="External"/><Relationship Id="rId29" Type="http://schemas.openxmlformats.org/officeDocument/2006/relationships/hyperlink" Target="https://pumed.ncbi.nlm.nih.gov/3235959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nk.springer.com/article/10.1007/s11250-025-04416-5?utm_source=chatgpt.com" TargetMode="External"/><Relationship Id="rId24" Type="http://schemas.openxmlformats.org/officeDocument/2006/relationships/hyperlink" Target="https://doi.org/10.1017/S0954422407000040"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2/vms3.1075" TargetMode="External"/><Relationship Id="rId23" Type="http://schemas.openxmlformats.org/officeDocument/2006/relationships/hyperlink" Target="https://doi.org/10.1016/j.anifeedsci.2006.06.010" TargetMode="External"/><Relationship Id="rId28" Type="http://schemas.openxmlformats.org/officeDocument/2006/relationships/hyperlink" Target="https://doi.org/10.1016/j.gene.2020.144855" TargetMode="External"/><Relationship Id="rId10" Type="http://schemas.openxmlformats.org/officeDocument/2006/relationships/hyperlink" Target="https://link.springer.com/article/10.1007/s11250-023-03476-9?utm_source=chatgpt.com" TargetMode="External"/><Relationship Id="rId19" Type="http://schemas.openxmlformats.org/officeDocument/2006/relationships/hyperlink" Target="https://doi.org/10.3390/ani12131669" TargetMode="External"/><Relationship Id="rId31" Type="http://schemas.openxmlformats.org/officeDocument/2006/relationships/hyperlink" Target="https://doi.org/10.3389/fvets.2022.1077750"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doi.org/10.1007/s11250-025-04416-5" TargetMode="External"/><Relationship Id="rId22" Type="http://schemas.openxmlformats.org/officeDocument/2006/relationships/hyperlink" Target="https://doi.org/10.3390/ani12141742" TargetMode="External"/><Relationship Id="rId27" Type="http://schemas.openxmlformats.org/officeDocument/2006/relationships/hyperlink" Target="https://doi.org/10.3390/ani14020226" TargetMode="External"/><Relationship Id="rId30" Type="http://schemas.openxmlformats.org/officeDocument/2006/relationships/hyperlink" Target="https://doi.org/10.1186/s40104-018-0289-2"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1767</TotalTime>
  <Pages>15</Pages>
  <Words>4877</Words>
  <Characters>27803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FELICIA-PC</dc:creator>
  <cp:keywords/>
  <dc:description/>
  <cp:lastModifiedBy>SDI CPU 1117</cp:lastModifiedBy>
  <cp:revision>17</cp:revision>
  <dcterms:created xsi:type="dcterms:W3CDTF">2026-01-28T09:58:00Z</dcterms:created>
  <dcterms:modified xsi:type="dcterms:W3CDTF">2026-02-07T05:17:00Z</dcterms:modified>
</cp:coreProperties>
</file>