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5DAC0" w14:textId="77777777" w:rsidR="008B2861" w:rsidRPr="008B2861" w:rsidRDefault="008B2861" w:rsidP="008B2861">
      <w:pPr>
        <w:pStyle w:val="Author"/>
        <w:jc w:val="both"/>
        <w:rPr>
          <w:rFonts w:ascii="Arial" w:hAnsi="Arial" w:cs="Arial"/>
          <w:bCs/>
          <w:i/>
          <w:iCs/>
          <w:kern w:val="28"/>
          <w:sz w:val="32"/>
          <w:szCs w:val="18"/>
          <w:u w:val="single"/>
        </w:rPr>
      </w:pPr>
      <w:r w:rsidRPr="008B2861">
        <w:rPr>
          <w:rFonts w:ascii="Arial" w:hAnsi="Arial" w:cs="Arial"/>
          <w:bCs/>
          <w:i/>
          <w:iCs/>
          <w:kern w:val="28"/>
          <w:sz w:val="32"/>
          <w:szCs w:val="18"/>
          <w:u w:val="single"/>
        </w:rPr>
        <w:t>Short Research Article</w:t>
      </w:r>
    </w:p>
    <w:p w14:paraId="50278523" w14:textId="77777777" w:rsidR="0003134F" w:rsidRDefault="0003134F" w:rsidP="00C902BE">
      <w:pPr>
        <w:pStyle w:val="Author"/>
        <w:spacing w:line="240" w:lineRule="auto"/>
        <w:jc w:val="both"/>
        <w:rPr>
          <w:rFonts w:ascii="Arial" w:hAnsi="Arial" w:cs="Arial"/>
          <w:bCs/>
          <w:iCs/>
          <w:kern w:val="28"/>
          <w:sz w:val="36"/>
        </w:rPr>
      </w:pPr>
    </w:p>
    <w:p w14:paraId="7977277E" w14:textId="70A878FA" w:rsidR="0003134F" w:rsidRDefault="0003134F" w:rsidP="00C902BE">
      <w:pPr>
        <w:pStyle w:val="Author"/>
        <w:spacing w:line="240" w:lineRule="auto"/>
        <w:jc w:val="both"/>
        <w:rPr>
          <w:rFonts w:ascii="Arial" w:hAnsi="Arial" w:cs="Arial"/>
          <w:bCs/>
          <w:iCs/>
          <w:kern w:val="28"/>
          <w:sz w:val="36"/>
        </w:rPr>
      </w:pPr>
      <w:bookmarkStart w:id="0" w:name="_Hlk214796163"/>
      <w:r w:rsidRPr="0003134F">
        <w:rPr>
          <w:rFonts w:ascii="Arial" w:hAnsi="Arial" w:cs="Arial"/>
          <w:bCs/>
          <w:iCs/>
          <w:kern w:val="28"/>
          <w:sz w:val="36"/>
          <w:highlight w:val="yellow"/>
        </w:rPr>
        <w:t xml:space="preserve">Land-Use Dynamics in the </w:t>
      </w:r>
      <w:proofErr w:type="spellStart"/>
      <w:r w:rsidRPr="0003134F">
        <w:rPr>
          <w:rFonts w:ascii="Arial" w:hAnsi="Arial" w:cs="Arial"/>
          <w:bCs/>
          <w:iCs/>
          <w:kern w:val="28"/>
          <w:sz w:val="36"/>
          <w:highlight w:val="yellow"/>
        </w:rPr>
        <w:t>N’Zi</w:t>
      </w:r>
      <w:proofErr w:type="spellEnd"/>
      <w:r w:rsidRPr="0003134F">
        <w:rPr>
          <w:rFonts w:ascii="Arial" w:hAnsi="Arial" w:cs="Arial"/>
          <w:bCs/>
          <w:iCs/>
          <w:kern w:val="28"/>
          <w:sz w:val="36"/>
          <w:highlight w:val="yellow"/>
        </w:rPr>
        <w:t xml:space="preserve"> Watershed</w:t>
      </w:r>
      <w:r w:rsidR="00241478">
        <w:rPr>
          <w:rFonts w:ascii="Arial" w:hAnsi="Arial" w:cs="Arial"/>
          <w:bCs/>
          <w:iCs/>
          <w:kern w:val="28"/>
          <w:sz w:val="36"/>
          <w:highlight w:val="yellow"/>
        </w:rPr>
        <w:t xml:space="preserve"> at </w:t>
      </w:r>
      <w:proofErr w:type="spellStart"/>
      <w:r w:rsidR="00241478">
        <w:rPr>
          <w:rFonts w:ascii="Arial" w:hAnsi="Arial" w:cs="Arial"/>
          <w:bCs/>
          <w:iCs/>
          <w:kern w:val="28"/>
          <w:sz w:val="36"/>
          <w:highlight w:val="yellow"/>
        </w:rPr>
        <w:t>M’Bahiakro</w:t>
      </w:r>
      <w:proofErr w:type="spellEnd"/>
      <w:r w:rsidRPr="0003134F">
        <w:rPr>
          <w:rFonts w:ascii="Arial" w:hAnsi="Arial" w:cs="Arial"/>
          <w:bCs/>
          <w:iCs/>
          <w:kern w:val="28"/>
          <w:sz w:val="36"/>
          <w:highlight w:val="yellow"/>
        </w:rPr>
        <w:t>, Côte d’Ivoire: A Multi-temporal Geospatial Analysis (2015–2024)</w:t>
      </w:r>
    </w:p>
    <w:bookmarkEnd w:id="0"/>
    <w:p w14:paraId="708609CE" w14:textId="77777777" w:rsidR="006C3C0E" w:rsidRDefault="006C3C0E" w:rsidP="00441B6F">
      <w:pPr>
        <w:pStyle w:val="AbstHead"/>
        <w:spacing w:after="0"/>
        <w:jc w:val="both"/>
        <w:rPr>
          <w:rFonts w:ascii="Arial" w:hAnsi="Arial" w:cs="Arial"/>
        </w:rPr>
      </w:pPr>
    </w:p>
    <w:p w14:paraId="72D368A9" w14:textId="361F7987" w:rsidR="00B01FCD" w:rsidRDefault="00B01FCD" w:rsidP="00441B6F">
      <w:pPr>
        <w:pStyle w:val="AbstHead"/>
        <w:spacing w:after="0"/>
        <w:jc w:val="both"/>
        <w:rPr>
          <w:rFonts w:ascii="Arial" w:hAnsi="Arial" w:cs="Arial"/>
        </w:rPr>
      </w:pPr>
      <w:r w:rsidRPr="00FB3A86">
        <w:rPr>
          <w:rFonts w:ascii="Arial" w:hAnsi="Arial" w:cs="Arial"/>
        </w:rPr>
        <w:t>ABSTRACT</w:t>
      </w:r>
    </w:p>
    <w:p w14:paraId="336317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0C6613D" w14:textId="77777777" w:rsidTr="006D6222">
        <w:trPr>
          <w:trHeight w:val="4252"/>
        </w:trPr>
        <w:tc>
          <w:tcPr>
            <w:tcW w:w="9576" w:type="dxa"/>
            <w:shd w:val="clear" w:color="auto" w:fill="F2F2F2"/>
          </w:tcPr>
          <w:p w14:paraId="32D2F759" w14:textId="77777777" w:rsidR="00D276F3" w:rsidRPr="00D276F3" w:rsidRDefault="00D276F3" w:rsidP="00D276F3">
            <w:pPr>
              <w:pStyle w:val="Body"/>
              <w:spacing w:after="0"/>
              <w:rPr>
                <w:rFonts w:ascii="Arial" w:eastAsia="Calibri" w:hAnsi="Arial" w:cs="Arial"/>
                <w:szCs w:val="22"/>
              </w:rPr>
            </w:pPr>
            <w:r w:rsidRPr="00D276F3">
              <w:rPr>
                <w:rFonts w:ascii="Arial" w:eastAsia="Calibri" w:hAnsi="Arial" w:cs="Arial"/>
                <w:szCs w:val="22"/>
              </w:rPr>
              <w:t xml:space="preserve">This study analyzes land cover dynamics in the </w:t>
            </w:r>
            <w:proofErr w:type="spellStart"/>
            <w:r w:rsidRPr="00D276F3">
              <w:rPr>
                <w:rFonts w:ascii="Arial" w:eastAsia="Calibri" w:hAnsi="Arial" w:cs="Arial"/>
                <w:szCs w:val="22"/>
              </w:rPr>
              <w:t>N’Zi</w:t>
            </w:r>
            <w:proofErr w:type="spellEnd"/>
            <w:r w:rsidRPr="00D276F3">
              <w:rPr>
                <w:rFonts w:ascii="Arial" w:eastAsia="Calibri" w:hAnsi="Arial" w:cs="Arial"/>
                <w:szCs w:val="22"/>
              </w:rPr>
              <w:t xml:space="preserve"> watershed at </w:t>
            </w:r>
            <w:proofErr w:type="spellStart"/>
            <w:r w:rsidRPr="00D276F3">
              <w:rPr>
                <w:rFonts w:ascii="Arial" w:eastAsia="Calibri" w:hAnsi="Arial" w:cs="Arial"/>
                <w:szCs w:val="22"/>
              </w:rPr>
              <w:t>M’Bahiakro</w:t>
            </w:r>
            <w:proofErr w:type="spellEnd"/>
            <w:r w:rsidRPr="00D276F3">
              <w:rPr>
                <w:rFonts w:ascii="Arial" w:eastAsia="Calibri" w:hAnsi="Arial" w:cs="Arial"/>
                <w:szCs w:val="22"/>
              </w:rPr>
              <w:t xml:space="preserve"> (Central-Eastern Côte d’Ivoire) between 2015 and 2024. Satellite images acquired in 2015, 2020, and 2024 were preprocessed to correct for radiometric and atmospheric effects and then classified into six land cover categories using supervised maximum likelihood classification: bare soil and urbanized areas, dense forests, degraded forests, savanna, cultivated land and fallow land, and water bodies. The classification accuracy, assessed using a confusion matrix, shows an overall accuracy greater than 85% and a high Kappa coefficient, confirming the reliability of the results. The diachronic analysis reveals major transformations. Between 2015 and 2020, savannas (-14.84 ha; -75.64%) and dense forests (-6.19 ha; -35.43%) decreased significantly, while degraded forests (+7.00 ha; +95.37%) and cultivated land (+6.09 ha; +45.58%) increased. Bare soils and urbanized areas declined slightly (-2.71 ha; -12.68%), while bodies of water increased (+10.65 ha; +51.13%).</w:t>
            </w:r>
          </w:p>
          <w:p w14:paraId="007E8524" w14:textId="17C0211E" w:rsidR="00505F06" w:rsidRPr="00BA1B01" w:rsidRDefault="00D276F3" w:rsidP="00D276F3">
            <w:pPr>
              <w:pStyle w:val="Body"/>
              <w:spacing w:after="0"/>
              <w:rPr>
                <w:rFonts w:ascii="Arial" w:eastAsia="Calibri" w:hAnsi="Arial" w:cs="Arial"/>
                <w:szCs w:val="22"/>
              </w:rPr>
            </w:pPr>
            <w:r w:rsidRPr="00D276F3">
              <w:rPr>
                <w:rFonts w:ascii="Arial" w:eastAsia="Calibri" w:hAnsi="Arial" w:cs="Arial"/>
                <w:szCs w:val="22"/>
              </w:rPr>
              <w:t>Between 2020 and 2024, the changes are even more pronounced: bare soil and urbanized areas increased significantly (+29.82 ha; +159.72%), while degraded forests (-9.65 ha; -67.29%) and cultivated land (-15.89 ha; -81.70%) decreased. Dense forests (+2.69 ha; +23.85%) and savannas (+1.08 ha; +22.59%) increased slightly, while water bodies decreased (-8.04 ha; -25.54%).</w:t>
            </w:r>
            <w:r>
              <w:rPr>
                <w:rFonts w:ascii="Arial" w:eastAsia="Calibri" w:hAnsi="Arial" w:cs="Arial"/>
                <w:szCs w:val="22"/>
              </w:rPr>
              <w:t xml:space="preserve"> </w:t>
            </w:r>
            <w:r w:rsidRPr="00D276F3">
              <w:rPr>
                <w:rFonts w:ascii="Arial" w:eastAsia="Calibri" w:hAnsi="Arial" w:cs="Arial"/>
                <w:szCs w:val="22"/>
              </w:rPr>
              <w:t>These trends reflect increasing human pressure and the ongoing conversion of natural areas into agricultural land. The study recommends the use of predictive models (Markov, CA-Markov, Land Change Modeler, Random Forest) to anticipate future changes and support agricultural planning and environmental sustainability.</w:t>
            </w:r>
            <w:r>
              <w:t xml:space="preserve"> </w:t>
            </w:r>
            <w:r w:rsidRPr="00D276F3">
              <w:rPr>
                <w:rFonts w:ascii="Arial" w:eastAsia="Calibri" w:hAnsi="Arial" w:cs="Arial"/>
                <w:szCs w:val="22"/>
              </w:rPr>
              <w:t>Limitations include the lack of comprehensive field data, seasonal variations between images, and some classification uncertainties, despite the high Kappa coefficient.</w:t>
            </w:r>
          </w:p>
        </w:tc>
      </w:tr>
    </w:tbl>
    <w:p w14:paraId="258D2C9E" w14:textId="77777777" w:rsidR="00636EB2" w:rsidRDefault="00636EB2" w:rsidP="00441B6F">
      <w:pPr>
        <w:pStyle w:val="Body"/>
        <w:spacing w:after="0"/>
        <w:rPr>
          <w:rFonts w:ascii="Arial" w:hAnsi="Arial" w:cs="Arial"/>
          <w:i/>
        </w:rPr>
      </w:pPr>
    </w:p>
    <w:p w14:paraId="0ADBDB4B" w14:textId="20666756" w:rsidR="00E25A5B" w:rsidRPr="00E25A5B" w:rsidRDefault="00A24E7E" w:rsidP="00E25A5B">
      <w:pPr>
        <w:pStyle w:val="Body"/>
        <w:rPr>
          <w:rFonts w:ascii="Arial" w:hAnsi="Arial" w:cs="Arial"/>
          <w:i/>
        </w:rPr>
      </w:pPr>
      <w:r w:rsidRPr="00983C2F">
        <w:rPr>
          <w:rFonts w:ascii="Arial" w:hAnsi="Arial" w:cs="Arial"/>
          <w:b/>
          <w:bCs/>
          <w:i/>
        </w:rPr>
        <w:t>Keywords:</w:t>
      </w:r>
      <w:r>
        <w:rPr>
          <w:rFonts w:ascii="Arial" w:hAnsi="Arial" w:cs="Arial"/>
          <w:i/>
        </w:rPr>
        <w:t xml:space="preserve"> </w:t>
      </w:r>
      <w:r w:rsidR="00E25A5B" w:rsidRPr="00E25A5B">
        <w:rPr>
          <w:rFonts w:ascii="Arial" w:hAnsi="Arial" w:cs="Arial"/>
          <w:i/>
        </w:rPr>
        <w:t>Land-Use Dynamics</w:t>
      </w:r>
      <w:r w:rsidR="00E25A5B">
        <w:rPr>
          <w:rFonts w:ascii="Arial" w:hAnsi="Arial" w:cs="Arial"/>
          <w:i/>
        </w:rPr>
        <w:t xml:space="preserve">, </w:t>
      </w:r>
      <w:r w:rsidR="00E25A5B" w:rsidRPr="00E25A5B">
        <w:rPr>
          <w:rFonts w:ascii="Arial" w:hAnsi="Arial" w:cs="Arial"/>
          <w:i/>
        </w:rPr>
        <w:t>Land Cover Change</w:t>
      </w:r>
      <w:r w:rsidR="00E25A5B">
        <w:rPr>
          <w:rFonts w:ascii="Arial" w:hAnsi="Arial" w:cs="Arial"/>
          <w:i/>
        </w:rPr>
        <w:t xml:space="preserve">, </w:t>
      </w:r>
      <w:r w:rsidR="00E25A5B" w:rsidRPr="00E25A5B">
        <w:rPr>
          <w:rFonts w:ascii="Arial" w:hAnsi="Arial" w:cs="Arial"/>
          <w:i/>
        </w:rPr>
        <w:t>Cultivable Land Vulnerability</w:t>
      </w:r>
      <w:r w:rsidR="00E25A5B">
        <w:rPr>
          <w:rFonts w:ascii="Arial" w:hAnsi="Arial" w:cs="Arial"/>
          <w:i/>
        </w:rPr>
        <w:t xml:space="preserve">, </w:t>
      </w:r>
      <w:r w:rsidR="00E25A5B" w:rsidRPr="00E25A5B">
        <w:rPr>
          <w:rFonts w:ascii="Arial" w:hAnsi="Arial" w:cs="Arial"/>
          <w:i/>
        </w:rPr>
        <w:t>Geospatial Analysis</w:t>
      </w:r>
      <w:r w:rsidR="00E25A5B">
        <w:rPr>
          <w:rFonts w:ascii="Arial" w:hAnsi="Arial" w:cs="Arial"/>
          <w:i/>
        </w:rPr>
        <w:t xml:space="preserve">, </w:t>
      </w:r>
      <w:proofErr w:type="spellStart"/>
      <w:r w:rsidR="00E25A5B" w:rsidRPr="00E25A5B">
        <w:rPr>
          <w:rFonts w:ascii="Arial" w:hAnsi="Arial" w:cs="Arial"/>
          <w:i/>
        </w:rPr>
        <w:t>N’Zi</w:t>
      </w:r>
      <w:proofErr w:type="spellEnd"/>
      <w:r w:rsidR="00E25A5B" w:rsidRPr="00E25A5B">
        <w:rPr>
          <w:rFonts w:ascii="Arial" w:hAnsi="Arial" w:cs="Arial"/>
          <w:i/>
        </w:rPr>
        <w:t xml:space="preserve"> Watershed</w:t>
      </w:r>
      <w:r w:rsidR="00E25A5B">
        <w:rPr>
          <w:rFonts w:ascii="Arial" w:hAnsi="Arial" w:cs="Arial"/>
          <w:i/>
        </w:rPr>
        <w:t xml:space="preserve">, </w:t>
      </w:r>
      <w:proofErr w:type="spellStart"/>
      <w:r w:rsidR="00E25A5B">
        <w:rPr>
          <w:rFonts w:ascii="Arial" w:hAnsi="Arial" w:cs="Arial"/>
          <w:i/>
        </w:rPr>
        <w:t>M’Bahiakro</w:t>
      </w:r>
      <w:proofErr w:type="spellEnd"/>
      <w:r w:rsidR="00E25A5B">
        <w:rPr>
          <w:rFonts w:ascii="Arial" w:hAnsi="Arial" w:cs="Arial"/>
          <w:i/>
        </w:rPr>
        <w:t>, Côte d’Ivoire</w:t>
      </w:r>
    </w:p>
    <w:p w14:paraId="318E4A41" w14:textId="48C0F0E4" w:rsidR="007F7B32" w:rsidRDefault="00902823" w:rsidP="00D341F4">
      <w:pPr>
        <w:pStyle w:val="AbstHead"/>
        <w:spacing w:after="120"/>
        <w:jc w:val="both"/>
        <w:rPr>
          <w:rFonts w:ascii="Arial" w:hAnsi="Arial" w:cs="Arial"/>
          <w:sz w:val="20"/>
        </w:rPr>
      </w:pPr>
      <w:r w:rsidRPr="00E50074">
        <w:rPr>
          <w:rFonts w:ascii="Arial" w:hAnsi="Arial" w:cs="Arial"/>
          <w:sz w:val="20"/>
        </w:rPr>
        <w:t xml:space="preserve">1. </w:t>
      </w:r>
      <w:r w:rsidR="00B01FCD" w:rsidRPr="00E50074">
        <w:rPr>
          <w:rFonts w:ascii="Arial" w:hAnsi="Arial" w:cs="Arial"/>
          <w:sz w:val="20"/>
        </w:rPr>
        <w:t>INTRODUCTION</w:t>
      </w:r>
      <w:r w:rsidR="007F7B32" w:rsidRPr="00E50074">
        <w:rPr>
          <w:rFonts w:ascii="Arial" w:hAnsi="Arial" w:cs="Arial"/>
          <w:sz w:val="20"/>
        </w:rPr>
        <w:t xml:space="preserve"> </w:t>
      </w:r>
    </w:p>
    <w:p w14:paraId="4CA08D6A" w14:textId="04A6C876" w:rsidR="007A4164" w:rsidRPr="007A4164" w:rsidRDefault="007A4164" w:rsidP="007A4164">
      <w:pPr>
        <w:pStyle w:val="AbstHead"/>
        <w:spacing w:after="120"/>
        <w:jc w:val="both"/>
        <w:rPr>
          <w:rFonts w:ascii="Arial" w:hAnsi="Arial" w:cs="Arial"/>
          <w:b w:val="0"/>
          <w:bCs/>
          <w:caps w:val="0"/>
          <w:sz w:val="20"/>
        </w:rPr>
      </w:pPr>
      <w:r w:rsidRPr="007A4164">
        <w:rPr>
          <w:rFonts w:ascii="Arial" w:hAnsi="Arial" w:cs="Arial"/>
          <w:b w:val="0"/>
          <w:bCs/>
          <w:caps w:val="0"/>
          <w:sz w:val="20"/>
        </w:rPr>
        <w:t xml:space="preserve">The transformation of land uses and land occupations is currently one of the main factors eroding the sustainability of ecosystems and agricultural land in West Africa. Under the combined effects of population growth, agricultural expansion, and climate variability, rural landscapes are experiencing accelerated changes </w:t>
      </w:r>
      <w:proofErr w:type="spellStart"/>
      <w:r w:rsidRPr="007A4164">
        <w:rPr>
          <w:rFonts w:ascii="Arial" w:hAnsi="Arial" w:cs="Arial"/>
          <w:b w:val="0"/>
          <w:bCs/>
          <w:caps w:val="0"/>
          <w:sz w:val="20"/>
        </w:rPr>
        <w:t>characteri</w:t>
      </w:r>
      <w:r w:rsidR="00914DB7">
        <w:rPr>
          <w:rFonts w:ascii="Arial" w:hAnsi="Arial" w:cs="Arial"/>
          <w:b w:val="0"/>
          <w:bCs/>
          <w:caps w:val="0"/>
          <w:sz w:val="20"/>
        </w:rPr>
        <w:t>s</w:t>
      </w:r>
      <w:r w:rsidRPr="007A4164">
        <w:rPr>
          <w:rFonts w:ascii="Arial" w:hAnsi="Arial" w:cs="Arial"/>
          <w:b w:val="0"/>
          <w:bCs/>
          <w:caps w:val="0"/>
          <w:sz w:val="20"/>
        </w:rPr>
        <w:t>ed</w:t>
      </w:r>
      <w:proofErr w:type="spellEnd"/>
      <w:r w:rsidRPr="007A4164">
        <w:rPr>
          <w:rFonts w:ascii="Arial" w:hAnsi="Arial" w:cs="Arial"/>
          <w:b w:val="0"/>
          <w:bCs/>
          <w:caps w:val="0"/>
          <w:sz w:val="20"/>
        </w:rPr>
        <w:t xml:space="preserve"> by the conversion of forests into cultivated areas, increasing urbanization, and soil degradation </w:t>
      </w:r>
      <w:r w:rsidRPr="007A4164">
        <w:rPr>
          <w:rFonts w:ascii="Arial" w:hAnsi="Arial" w:cs="Arial"/>
          <w:caps w:val="0"/>
          <w:sz w:val="20"/>
        </w:rPr>
        <w:t>(Kouassi et al., 2021; Kouassi et al., 2024)</w:t>
      </w:r>
      <w:r w:rsidRPr="007A4164">
        <w:rPr>
          <w:rFonts w:ascii="Arial" w:hAnsi="Arial" w:cs="Arial"/>
          <w:b w:val="0"/>
          <w:bCs/>
          <w:caps w:val="0"/>
          <w:sz w:val="20"/>
        </w:rPr>
        <w:t xml:space="preserve">. These changes are generating increased pressure on soils and water resources, jeopardizing food security and the socio-ecological resilience of rural communities </w:t>
      </w:r>
      <w:r w:rsidRPr="007A4164">
        <w:rPr>
          <w:rFonts w:ascii="Arial" w:hAnsi="Arial" w:cs="Arial"/>
          <w:caps w:val="0"/>
          <w:sz w:val="20"/>
        </w:rPr>
        <w:t>(Yao et al., 2023; FAO, 2023)</w:t>
      </w:r>
      <w:r w:rsidRPr="007A4164">
        <w:rPr>
          <w:rFonts w:ascii="Arial" w:hAnsi="Arial" w:cs="Arial"/>
          <w:b w:val="0"/>
          <w:bCs/>
          <w:caps w:val="0"/>
          <w:sz w:val="20"/>
        </w:rPr>
        <w:t>.</w:t>
      </w:r>
    </w:p>
    <w:p w14:paraId="084679D3" w14:textId="77777777" w:rsidR="001D324E" w:rsidRDefault="001D324E" w:rsidP="007A4164">
      <w:pPr>
        <w:pStyle w:val="AbstHead"/>
        <w:spacing w:after="120"/>
        <w:jc w:val="both"/>
        <w:rPr>
          <w:rFonts w:ascii="Arial" w:hAnsi="Arial" w:cs="Arial"/>
          <w:b w:val="0"/>
          <w:bCs/>
          <w:caps w:val="0"/>
          <w:sz w:val="20"/>
          <w:lang w:val="fr-CI"/>
        </w:rPr>
      </w:pPr>
      <w:r w:rsidRPr="001D324E">
        <w:rPr>
          <w:rFonts w:ascii="Arial" w:hAnsi="Arial" w:cs="Arial"/>
          <w:b w:val="0"/>
          <w:bCs/>
          <w:caps w:val="0"/>
          <w:sz w:val="20"/>
          <w:lang w:val="fr-CI"/>
        </w:rPr>
        <w:t xml:space="preserve">En Côte d’Ivoire, ces transformations sont particulièrement marquées dans les zones de transition climatique et agroécologique du centre du pays. Elles se sont intensifiées surtout </w:t>
      </w:r>
      <w:r w:rsidRPr="001D324E">
        <w:rPr>
          <w:rFonts w:ascii="Arial" w:hAnsi="Arial" w:cs="Arial"/>
          <w:b w:val="0"/>
          <w:bCs/>
          <w:caps w:val="0"/>
          <w:sz w:val="20"/>
          <w:lang w:val="fr-CI"/>
        </w:rPr>
        <w:lastRenderedPageBreak/>
        <w:t xml:space="preserve">depuis les années 1960, période caractérisée par l’essor de l’agriculture et l’intensification de l’exploitation forestière </w:t>
      </w:r>
      <w:r w:rsidRPr="001D324E">
        <w:rPr>
          <w:rFonts w:ascii="Arial" w:hAnsi="Arial" w:cs="Arial"/>
          <w:caps w:val="0"/>
          <w:sz w:val="20"/>
          <w:lang w:val="fr-CI"/>
        </w:rPr>
        <w:t>(Chatelain et al., 2004)</w:t>
      </w:r>
      <w:r w:rsidRPr="001D324E">
        <w:rPr>
          <w:rFonts w:ascii="Arial" w:hAnsi="Arial" w:cs="Arial"/>
          <w:b w:val="0"/>
          <w:bCs/>
          <w:caps w:val="0"/>
          <w:sz w:val="20"/>
          <w:lang w:val="fr-CI"/>
        </w:rPr>
        <w:t>.</w:t>
      </w:r>
    </w:p>
    <w:p w14:paraId="722E353B" w14:textId="76FA52C5" w:rsidR="007A4164" w:rsidRPr="007A4164" w:rsidRDefault="007A4164" w:rsidP="007A4164">
      <w:pPr>
        <w:pStyle w:val="AbstHead"/>
        <w:spacing w:after="120"/>
        <w:jc w:val="both"/>
        <w:rPr>
          <w:rFonts w:ascii="Arial" w:hAnsi="Arial" w:cs="Arial"/>
          <w:b w:val="0"/>
          <w:bCs/>
          <w:caps w:val="0"/>
          <w:sz w:val="20"/>
        </w:rPr>
      </w:pPr>
      <w:r w:rsidRPr="001D324E">
        <w:rPr>
          <w:rFonts w:ascii="Arial" w:hAnsi="Arial" w:cs="Arial"/>
          <w:b w:val="0"/>
          <w:bCs/>
          <w:caps w:val="0"/>
          <w:sz w:val="20"/>
        </w:rPr>
        <w:t xml:space="preserve">The N’Zi watershed, a tributary of the </w:t>
      </w:r>
      <w:proofErr w:type="spellStart"/>
      <w:r w:rsidRPr="001D324E">
        <w:rPr>
          <w:rFonts w:ascii="Arial" w:hAnsi="Arial" w:cs="Arial"/>
          <w:b w:val="0"/>
          <w:bCs/>
          <w:caps w:val="0"/>
          <w:sz w:val="20"/>
        </w:rPr>
        <w:t>Bandama</w:t>
      </w:r>
      <w:proofErr w:type="spellEnd"/>
      <w:r w:rsidRPr="001D324E">
        <w:rPr>
          <w:rFonts w:ascii="Arial" w:hAnsi="Arial" w:cs="Arial"/>
          <w:b w:val="0"/>
          <w:bCs/>
          <w:caps w:val="0"/>
          <w:sz w:val="20"/>
        </w:rPr>
        <w:t xml:space="preserve"> River, illustrates these dynamics: forest cover has declined sharply in favor of food and industrial crops (cashew, yam), while extensive agriculture exacerbates soil vulnerability to erosion and organic depletion </w:t>
      </w:r>
      <w:r w:rsidRPr="001D324E">
        <w:rPr>
          <w:rFonts w:ascii="Arial" w:hAnsi="Arial" w:cs="Arial"/>
          <w:caps w:val="0"/>
          <w:sz w:val="20"/>
        </w:rPr>
        <w:t>(Kouassi et al., 2022</w:t>
      </w:r>
      <w:r w:rsidR="00D958DB" w:rsidRPr="001D324E">
        <w:rPr>
          <w:rFonts w:ascii="Arial" w:hAnsi="Arial" w:cs="Arial"/>
          <w:caps w:val="0"/>
          <w:sz w:val="20"/>
        </w:rPr>
        <w:t>a</w:t>
      </w:r>
      <w:r w:rsidRPr="001D324E">
        <w:rPr>
          <w:rFonts w:ascii="Arial" w:hAnsi="Arial" w:cs="Arial"/>
          <w:caps w:val="0"/>
          <w:sz w:val="20"/>
        </w:rPr>
        <w:t>; Dao et al., 2021).</w:t>
      </w:r>
      <w:r w:rsidRPr="001D324E">
        <w:rPr>
          <w:rFonts w:ascii="Arial" w:hAnsi="Arial" w:cs="Arial"/>
          <w:b w:val="0"/>
          <w:bCs/>
          <w:caps w:val="0"/>
          <w:sz w:val="20"/>
        </w:rPr>
        <w:t xml:space="preserve"> </w:t>
      </w:r>
      <w:r w:rsidRPr="007A4164">
        <w:rPr>
          <w:rFonts w:ascii="Arial" w:hAnsi="Arial" w:cs="Arial"/>
          <w:b w:val="0"/>
          <w:bCs/>
          <w:caps w:val="0"/>
          <w:sz w:val="20"/>
        </w:rPr>
        <w:t xml:space="preserve">Recent rainfall fluctuations and the variability of water regimes amplify these degradation processes, further weakening arable land </w:t>
      </w:r>
      <w:r w:rsidRPr="007A4164">
        <w:rPr>
          <w:rFonts w:ascii="Arial" w:hAnsi="Arial" w:cs="Arial"/>
          <w:caps w:val="0"/>
          <w:sz w:val="20"/>
        </w:rPr>
        <w:t>(Koffi, 2023).</w:t>
      </w:r>
      <w:r w:rsidRPr="007A4164">
        <w:rPr>
          <w:rFonts w:ascii="Arial" w:hAnsi="Arial" w:cs="Arial"/>
          <w:b w:val="0"/>
          <w:bCs/>
          <w:caps w:val="0"/>
          <w:sz w:val="20"/>
        </w:rPr>
        <w:t xml:space="preserve"> Geospatial approaches now offer powerful tools for </w:t>
      </w:r>
      <w:proofErr w:type="spellStart"/>
      <w:r w:rsidRPr="007A4164">
        <w:rPr>
          <w:rFonts w:ascii="Arial" w:hAnsi="Arial" w:cs="Arial"/>
          <w:b w:val="0"/>
          <w:bCs/>
          <w:caps w:val="0"/>
          <w:sz w:val="20"/>
        </w:rPr>
        <w:t>analy</w:t>
      </w:r>
      <w:r w:rsidR="00914DB7">
        <w:rPr>
          <w:rFonts w:ascii="Arial" w:hAnsi="Arial" w:cs="Arial"/>
          <w:b w:val="0"/>
          <w:bCs/>
          <w:caps w:val="0"/>
          <w:sz w:val="20"/>
        </w:rPr>
        <w:t>s</w:t>
      </w:r>
      <w:r w:rsidRPr="007A4164">
        <w:rPr>
          <w:rFonts w:ascii="Arial" w:hAnsi="Arial" w:cs="Arial"/>
          <w:b w:val="0"/>
          <w:bCs/>
          <w:caps w:val="0"/>
          <w:sz w:val="20"/>
        </w:rPr>
        <w:t>ing</w:t>
      </w:r>
      <w:proofErr w:type="spellEnd"/>
      <w:r w:rsidRPr="007A4164">
        <w:rPr>
          <w:rFonts w:ascii="Arial" w:hAnsi="Arial" w:cs="Arial"/>
          <w:b w:val="0"/>
          <w:bCs/>
          <w:caps w:val="0"/>
          <w:sz w:val="20"/>
        </w:rPr>
        <w:t xml:space="preserve"> and monitoring these dynamics at different </w:t>
      </w:r>
      <w:proofErr w:type="spellStart"/>
      <w:r w:rsidRPr="007A4164">
        <w:rPr>
          <w:rFonts w:ascii="Arial" w:hAnsi="Arial" w:cs="Arial"/>
          <w:b w:val="0"/>
          <w:bCs/>
          <w:caps w:val="0"/>
          <w:sz w:val="20"/>
        </w:rPr>
        <w:t>spatio</w:t>
      </w:r>
      <w:proofErr w:type="spellEnd"/>
      <w:r w:rsidRPr="007A4164">
        <w:rPr>
          <w:rFonts w:ascii="Arial" w:hAnsi="Arial" w:cs="Arial"/>
          <w:b w:val="0"/>
          <w:bCs/>
          <w:caps w:val="0"/>
          <w:sz w:val="20"/>
        </w:rPr>
        <w:t xml:space="preserve">-temporal scales. The use of satellite imagery allows for the assessment of land-use changes and the modeling of land vulnerability </w:t>
      </w:r>
      <w:r w:rsidRPr="007A4164">
        <w:rPr>
          <w:rFonts w:ascii="Arial" w:hAnsi="Arial" w:cs="Arial"/>
          <w:caps w:val="0"/>
          <w:sz w:val="20"/>
        </w:rPr>
        <w:t>(Kouassi et al., 2024; Aka et al., 2023).</w:t>
      </w:r>
      <w:r w:rsidRPr="007A4164">
        <w:rPr>
          <w:rFonts w:ascii="Arial" w:hAnsi="Arial" w:cs="Arial"/>
          <w:b w:val="0"/>
          <w:bCs/>
          <w:caps w:val="0"/>
          <w:sz w:val="20"/>
        </w:rPr>
        <w:t xml:space="preserve"> However, despite significant progress, an integrated understanding of the interactions between land-use dynamics and the vulnerability of arable land remains limited in the N’Zi River basin, even though this territory constitutes a strategic area for agricultural planning and the sustainable management of natural resources in central-western Côte d’Ivoire.</w:t>
      </w:r>
    </w:p>
    <w:p w14:paraId="7B98574A" w14:textId="77777777" w:rsidR="007A4164" w:rsidRPr="007A4164" w:rsidRDefault="007A4164" w:rsidP="007A4164">
      <w:pPr>
        <w:pStyle w:val="AbstHead"/>
        <w:spacing w:after="0"/>
        <w:jc w:val="both"/>
        <w:rPr>
          <w:rFonts w:ascii="Arial" w:hAnsi="Arial" w:cs="Arial"/>
          <w:b w:val="0"/>
          <w:bCs/>
          <w:caps w:val="0"/>
          <w:sz w:val="20"/>
        </w:rPr>
      </w:pPr>
      <w:r w:rsidRPr="007A4164">
        <w:rPr>
          <w:rFonts w:ascii="Arial" w:hAnsi="Arial" w:cs="Arial"/>
          <w:b w:val="0"/>
          <w:bCs/>
          <w:caps w:val="0"/>
          <w:sz w:val="20"/>
        </w:rPr>
        <w:t>Therefore, several questions remain:</w:t>
      </w:r>
    </w:p>
    <w:p w14:paraId="723A05ED" w14:textId="2B5D1DD1" w:rsidR="007A4164" w:rsidRPr="007A4164" w:rsidRDefault="007A4164" w:rsidP="007A4164">
      <w:pPr>
        <w:pStyle w:val="AbstHead"/>
        <w:spacing w:after="0"/>
        <w:jc w:val="both"/>
        <w:rPr>
          <w:rFonts w:ascii="Arial" w:hAnsi="Arial" w:cs="Arial"/>
          <w:b w:val="0"/>
          <w:bCs/>
          <w:caps w:val="0"/>
          <w:sz w:val="20"/>
        </w:rPr>
      </w:pPr>
      <w:r w:rsidRPr="007A4164">
        <w:rPr>
          <w:rFonts w:ascii="Arial" w:hAnsi="Arial" w:cs="Arial"/>
          <w:b w:val="0"/>
          <w:bCs/>
          <w:caps w:val="0"/>
          <w:sz w:val="20"/>
        </w:rPr>
        <w:t>•How do recent land-use changes influence the vulnerability of arable land?</w:t>
      </w:r>
    </w:p>
    <w:p w14:paraId="6DA3B2C2" w14:textId="38EA188B" w:rsidR="007A4164" w:rsidRPr="007A4164" w:rsidRDefault="007A4164" w:rsidP="007A4164">
      <w:pPr>
        <w:pStyle w:val="AbstHead"/>
        <w:spacing w:after="0"/>
        <w:jc w:val="both"/>
        <w:rPr>
          <w:rFonts w:ascii="Arial" w:hAnsi="Arial" w:cs="Arial"/>
          <w:b w:val="0"/>
          <w:bCs/>
          <w:caps w:val="0"/>
          <w:sz w:val="20"/>
        </w:rPr>
      </w:pPr>
      <w:r w:rsidRPr="007A4164">
        <w:rPr>
          <w:rFonts w:ascii="Arial" w:hAnsi="Arial" w:cs="Arial"/>
          <w:b w:val="0"/>
          <w:bCs/>
          <w:caps w:val="0"/>
          <w:sz w:val="20"/>
        </w:rPr>
        <w:t>• Which areas of the basin are at the highest risk of degradation?</w:t>
      </w:r>
    </w:p>
    <w:p w14:paraId="3C0DA407" w14:textId="77777777" w:rsidR="007A4164" w:rsidRPr="007A4164" w:rsidRDefault="007A4164" w:rsidP="007A4164">
      <w:pPr>
        <w:pStyle w:val="AbstHead"/>
        <w:spacing w:after="120"/>
        <w:jc w:val="both"/>
        <w:rPr>
          <w:rFonts w:ascii="Arial" w:hAnsi="Arial" w:cs="Arial"/>
          <w:b w:val="0"/>
          <w:bCs/>
          <w:caps w:val="0"/>
          <w:sz w:val="20"/>
        </w:rPr>
      </w:pPr>
      <w:r w:rsidRPr="007A4164">
        <w:rPr>
          <w:rFonts w:ascii="Arial" w:hAnsi="Arial" w:cs="Arial"/>
          <w:b w:val="0"/>
          <w:bCs/>
          <w:caps w:val="0"/>
          <w:sz w:val="20"/>
        </w:rPr>
        <w:t>• Which biophysical and anthropogenic indicators most strongly determine this vulnerability?</w:t>
      </w:r>
    </w:p>
    <w:p w14:paraId="1443D135" w14:textId="6678BA71" w:rsidR="007A4164" w:rsidRPr="007A4164" w:rsidRDefault="007A4164" w:rsidP="007A4164">
      <w:pPr>
        <w:pStyle w:val="AbstHead"/>
        <w:spacing w:after="120"/>
        <w:jc w:val="both"/>
        <w:rPr>
          <w:rFonts w:ascii="Arial" w:hAnsi="Arial" w:cs="Arial"/>
          <w:b w:val="0"/>
          <w:bCs/>
          <w:caps w:val="0"/>
          <w:sz w:val="20"/>
        </w:rPr>
      </w:pPr>
      <w:r w:rsidRPr="007A4164">
        <w:rPr>
          <w:rFonts w:ascii="Arial" w:hAnsi="Arial" w:cs="Arial"/>
          <w:b w:val="0"/>
          <w:bCs/>
          <w:caps w:val="0"/>
          <w:sz w:val="20"/>
        </w:rPr>
        <w:t>To answer these questions, this study proposes an integrated geospatial approach combining multi-temporal land-use analysis, vulnerability indicator mode</w:t>
      </w:r>
      <w:r w:rsidR="00914DB7">
        <w:rPr>
          <w:rFonts w:ascii="Arial" w:hAnsi="Arial" w:cs="Arial"/>
          <w:b w:val="0"/>
          <w:bCs/>
          <w:caps w:val="0"/>
          <w:sz w:val="20"/>
        </w:rPr>
        <w:t>l</w:t>
      </w:r>
      <w:r w:rsidRPr="007A4164">
        <w:rPr>
          <w:rFonts w:ascii="Arial" w:hAnsi="Arial" w:cs="Arial"/>
          <w:b w:val="0"/>
          <w:bCs/>
          <w:caps w:val="0"/>
          <w:sz w:val="20"/>
        </w:rPr>
        <w:t>ling, and synthesis mapping of at-risk areas.</w:t>
      </w:r>
    </w:p>
    <w:p w14:paraId="4947A92F" w14:textId="17E10337" w:rsidR="00DB65A4" w:rsidRDefault="007A4164" w:rsidP="007A4164">
      <w:pPr>
        <w:pStyle w:val="AbstHead"/>
        <w:jc w:val="both"/>
        <w:rPr>
          <w:rFonts w:ascii="Arial" w:hAnsi="Arial" w:cs="Arial"/>
          <w:b w:val="0"/>
          <w:bCs/>
          <w:caps w:val="0"/>
          <w:sz w:val="20"/>
        </w:rPr>
      </w:pPr>
      <w:r w:rsidRPr="007A4164">
        <w:rPr>
          <w:rFonts w:ascii="Arial" w:hAnsi="Arial" w:cs="Arial"/>
          <w:b w:val="0"/>
          <w:bCs/>
          <w:caps w:val="0"/>
          <w:sz w:val="20"/>
        </w:rPr>
        <w:t>The objective is to: (</w:t>
      </w:r>
      <w:proofErr w:type="spellStart"/>
      <w:r w:rsidRPr="007A4164">
        <w:rPr>
          <w:rFonts w:ascii="Arial" w:hAnsi="Arial" w:cs="Arial"/>
          <w:b w:val="0"/>
          <w:bCs/>
          <w:caps w:val="0"/>
          <w:sz w:val="20"/>
        </w:rPr>
        <w:t>i</w:t>
      </w:r>
      <w:proofErr w:type="spellEnd"/>
      <w:r w:rsidRPr="007A4164">
        <w:rPr>
          <w:rFonts w:ascii="Arial" w:hAnsi="Arial" w:cs="Arial"/>
          <w:b w:val="0"/>
          <w:bCs/>
          <w:caps w:val="0"/>
          <w:sz w:val="20"/>
        </w:rPr>
        <w:t xml:space="preserve">) characterize the </w:t>
      </w:r>
      <w:proofErr w:type="spellStart"/>
      <w:r w:rsidRPr="007A4164">
        <w:rPr>
          <w:rFonts w:ascii="Arial" w:hAnsi="Arial" w:cs="Arial"/>
          <w:b w:val="0"/>
          <w:bCs/>
          <w:caps w:val="0"/>
          <w:sz w:val="20"/>
        </w:rPr>
        <w:t>spatio</w:t>
      </w:r>
      <w:proofErr w:type="spellEnd"/>
      <w:r w:rsidRPr="007A4164">
        <w:rPr>
          <w:rFonts w:ascii="Arial" w:hAnsi="Arial" w:cs="Arial"/>
          <w:b w:val="0"/>
          <w:bCs/>
          <w:caps w:val="0"/>
          <w:sz w:val="20"/>
        </w:rPr>
        <w:t xml:space="preserve">-temporal dynamics of land use in the N’Zi watershed between </w:t>
      </w:r>
      <w:r w:rsidR="001446BA">
        <w:rPr>
          <w:rFonts w:ascii="Arial" w:hAnsi="Arial" w:cs="Arial"/>
          <w:b w:val="0"/>
          <w:bCs/>
          <w:caps w:val="0"/>
          <w:sz w:val="20"/>
        </w:rPr>
        <w:t>2015</w:t>
      </w:r>
      <w:r w:rsidRPr="007A4164">
        <w:rPr>
          <w:rFonts w:ascii="Arial" w:hAnsi="Arial" w:cs="Arial"/>
          <w:b w:val="0"/>
          <w:bCs/>
          <w:caps w:val="0"/>
          <w:sz w:val="20"/>
        </w:rPr>
        <w:t xml:space="preserve"> and 202</w:t>
      </w:r>
      <w:r w:rsidR="001446BA">
        <w:rPr>
          <w:rFonts w:ascii="Arial" w:hAnsi="Arial" w:cs="Arial"/>
          <w:b w:val="0"/>
          <w:bCs/>
          <w:caps w:val="0"/>
          <w:sz w:val="20"/>
        </w:rPr>
        <w:t>4</w:t>
      </w:r>
      <w:r w:rsidRPr="007A4164">
        <w:rPr>
          <w:rFonts w:ascii="Arial" w:hAnsi="Arial" w:cs="Arial"/>
          <w:b w:val="0"/>
          <w:bCs/>
          <w:caps w:val="0"/>
          <w:sz w:val="20"/>
        </w:rPr>
        <w:t>; and (ii) assess the current vulnerability of arable land in order to inform sustainable development strategies and soil conservation policies. This work contributes to a better understanding of the interactions between spatial dynamics, climate, and the sustainability of agricultural land, from a territorial resilience perspective.</w:t>
      </w:r>
    </w:p>
    <w:p w14:paraId="031933F5" w14:textId="773A777D" w:rsidR="007F7B32" w:rsidRDefault="00902823" w:rsidP="00DB65A4">
      <w:pPr>
        <w:pStyle w:val="AbstHead"/>
        <w:spacing w:after="0"/>
        <w:jc w:val="both"/>
        <w:rPr>
          <w:rFonts w:ascii="Arial" w:hAnsi="Arial" w:cs="Arial"/>
        </w:rPr>
      </w:pPr>
      <w:r>
        <w:rPr>
          <w:rFonts w:ascii="Arial" w:hAnsi="Arial" w:cs="Arial"/>
        </w:rPr>
        <w:t>2. material and method</w:t>
      </w:r>
      <w:r w:rsidR="0032612A">
        <w:rPr>
          <w:rFonts w:ascii="Arial" w:hAnsi="Arial" w:cs="Arial"/>
        </w:rPr>
        <w:t>OLOGY</w:t>
      </w:r>
      <w:r w:rsidR="00000F8F">
        <w:rPr>
          <w:rFonts w:ascii="Arial" w:hAnsi="Arial" w:cs="Arial"/>
        </w:rPr>
        <w:t xml:space="preserve"> </w:t>
      </w:r>
    </w:p>
    <w:p w14:paraId="14E5DCCF" w14:textId="2EC29392" w:rsidR="00C95314" w:rsidRDefault="00C95314" w:rsidP="00441B6F">
      <w:pPr>
        <w:pStyle w:val="AbstHead"/>
        <w:spacing w:after="0"/>
        <w:jc w:val="both"/>
        <w:rPr>
          <w:rFonts w:ascii="Arial" w:hAnsi="Arial" w:cs="Arial"/>
        </w:rPr>
      </w:pPr>
      <w:r>
        <w:rPr>
          <w:rFonts w:ascii="Arial" w:hAnsi="Arial" w:cs="Arial"/>
        </w:rPr>
        <w:t>2.1. M</w:t>
      </w:r>
      <w:r w:rsidRPr="00C95314">
        <w:rPr>
          <w:rFonts w:ascii="Arial" w:hAnsi="Arial" w:cs="Arial"/>
          <w:caps w:val="0"/>
          <w:sz w:val="20"/>
          <w:szCs w:val="18"/>
        </w:rPr>
        <w:t>aterial</w:t>
      </w:r>
    </w:p>
    <w:p w14:paraId="1CD93BB0" w14:textId="5A40C40A" w:rsidR="00C95314" w:rsidRPr="00C95314" w:rsidRDefault="00C95314" w:rsidP="00C95314">
      <w:pPr>
        <w:adjustRightInd w:val="0"/>
        <w:snapToGrid w:val="0"/>
        <w:spacing w:after="120" w:line="280" w:lineRule="atLeast"/>
        <w:jc w:val="both"/>
        <w:rPr>
          <w:rFonts w:ascii="Arial" w:hAnsi="Arial" w:cs="Arial"/>
          <w:b/>
          <w:bCs/>
          <w:snapToGrid w:val="0"/>
          <w:color w:val="000000"/>
          <w:lang w:eastAsia="de-DE" w:bidi="en-US"/>
        </w:rPr>
      </w:pPr>
      <w:r w:rsidRPr="00C95314">
        <w:rPr>
          <w:rFonts w:ascii="Arial" w:hAnsi="Arial" w:cs="Arial"/>
          <w:b/>
          <w:bCs/>
          <w:snapToGrid w:val="0"/>
          <w:color w:val="000000"/>
          <w:lang w:eastAsia="de-DE" w:bidi="en-US"/>
        </w:rPr>
        <w:t xml:space="preserve">2.1. </w:t>
      </w:r>
      <w:r>
        <w:rPr>
          <w:rFonts w:ascii="Arial" w:hAnsi="Arial" w:cs="Arial"/>
          <w:b/>
          <w:bCs/>
          <w:snapToGrid w:val="0"/>
          <w:color w:val="000000"/>
          <w:lang w:eastAsia="de-DE" w:bidi="en-US"/>
        </w:rPr>
        <w:t xml:space="preserve">1 </w:t>
      </w:r>
      <w:r w:rsidRPr="00C95314">
        <w:rPr>
          <w:rFonts w:ascii="Arial" w:hAnsi="Arial" w:cs="Arial"/>
          <w:b/>
          <w:bCs/>
          <w:snapToGrid w:val="0"/>
          <w:color w:val="000000"/>
          <w:lang w:eastAsia="de-DE" w:bidi="en-US"/>
        </w:rPr>
        <w:t>Presentation of the study area</w:t>
      </w:r>
    </w:p>
    <w:p w14:paraId="54D39465" w14:textId="2DE28799" w:rsidR="00C95314" w:rsidRPr="00C95314" w:rsidRDefault="00C95314" w:rsidP="00C95314">
      <w:pPr>
        <w:snapToGrid w:val="0"/>
        <w:spacing w:before="120"/>
        <w:jc w:val="both"/>
        <w:rPr>
          <w:rFonts w:ascii="Arial" w:hAnsi="Arial" w:cs="Arial"/>
          <w:b/>
          <w:bCs/>
          <w:szCs w:val="16"/>
        </w:rPr>
      </w:pPr>
      <w:r w:rsidRPr="00C95314">
        <w:rPr>
          <w:rFonts w:ascii="Arial" w:hAnsi="Arial" w:cs="Arial"/>
          <w:szCs w:val="16"/>
        </w:rPr>
        <w:t xml:space="preserve">The </w:t>
      </w:r>
      <w:proofErr w:type="spellStart"/>
      <w:r w:rsidRPr="00C95314">
        <w:rPr>
          <w:rFonts w:ascii="Arial" w:hAnsi="Arial" w:cs="Arial"/>
          <w:szCs w:val="16"/>
        </w:rPr>
        <w:t>N'Zi</w:t>
      </w:r>
      <w:proofErr w:type="spellEnd"/>
      <w:r w:rsidRPr="00C95314">
        <w:rPr>
          <w:rFonts w:ascii="Arial" w:hAnsi="Arial" w:cs="Arial"/>
          <w:szCs w:val="16"/>
        </w:rPr>
        <w:t xml:space="preserve"> watershed at </w:t>
      </w:r>
      <w:proofErr w:type="spellStart"/>
      <w:r w:rsidRPr="00C95314">
        <w:rPr>
          <w:rFonts w:ascii="Arial" w:hAnsi="Arial" w:cs="Arial"/>
          <w:szCs w:val="16"/>
        </w:rPr>
        <w:t>M'Bahiakro</w:t>
      </w:r>
      <w:proofErr w:type="spellEnd"/>
      <w:r w:rsidRPr="00C95314">
        <w:rPr>
          <w:rFonts w:ascii="Arial" w:hAnsi="Arial" w:cs="Arial"/>
          <w:szCs w:val="16"/>
        </w:rPr>
        <w:t xml:space="preserve"> is located between longitudes 4° and 5° West and latitudes 6° and 9°27' North (Figure 1). This basin is drained exclusively by the N'Zi River, which is the only major watercourse in the study area. The N'Zi rises in northern Côte d'Ivoire in the </w:t>
      </w:r>
      <w:proofErr w:type="spellStart"/>
      <w:r w:rsidRPr="00C95314">
        <w:rPr>
          <w:rFonts w:ascii="Arial" w:hAnsi="Arial" w:cs="Arial"/>
          <w:szCs w:val="16"/>
        </w:rPr>
        <w:t>Ferkéssedougou</w:t>
      </w:r>
      <w:proofErr w:type="spellEnd"/>
      <w:r w:rsidRPr="00C95314">
        <w:rPr>
          <w:rFonts w:ascii="Arial" w:hAnsi="Arial" w:cs="Arial"/>
          <w:szCs w:val="16"/>
        </w:rPr>
        <w:t xml:space="preserve"> region at an altitude of 400 m and flows generally in a north-south direction to its outlet at </w:t>
      </w:r>
      <w:proofErr w:type="spellStart"/>
      <w:r w:rsidRPr="00C95314">
        <w:rPr>
          <w:rFonts w:ascii="Arial" w:hAnsi="Arial" w:cs="Arial"/>
          <w:szCs w:val="16"/>
        </w:rPr>
        <w:t>M'Bahiakro</w:t>
      </w:r>
      <w:proofErr w:type="spellEnd"/>
      <w:r w:rsidRPr="00C95314">
        <w:rPr>
          <w:rFonts w:ascii="Arial" w:hAnsi="Arial" w:cs="Arial"/>
          <w:szCs w:val="16"/>
        </w:rPr>
        <w:t xml:space="preserve">. The density of the hydrographic network decreases from south to north. The climate is </w:t>
      </w:r>
      <w:proofErr w:type="spellStart"/>
      <w:r w:rsidRPr="00C95314">
        <w:rPr>
          <w:rFonts w:ascii="Arial" w:hAnsi="Arial" w:cs="Arial"/>
          <w:szCs w:val="16"/>
        </w:rPr>
        <w:t>characteri</w:t>
      </w:r>
      <w:r w:rsidR="00914DB7">
        <w:rPr>
          <w:rFonts w:ascii="Arial" w:hAnsi="Arial" w:cs="Arial"/>
          <w:szCs w:val="16"/>
        </w:rPr>
        <w:t>s</w:t>
      </w:r>
      <w:r w:rsidRPr="00C95314">
        <w:rPr>
          <w:rFonts w:ascii="Arial" w:hAnsi="Arial" w:cs="Arial"/>
          <w:szCs w:val="16"/>
        </w:rPr>
        <w:t>ed</w:t>
      </w:r>
      <w:proofErr w:type="spellEnd"/>
      <w:r w:rsidRPr="00C95314">
        <w:rPr>
          <w:rFonts w:ascii="Arial" w:hAnsi="Arial" w:cs="Arial"/>
          <w:szCs w:val="16"/>
        </w:rPr>
        <w:t xml:space="preserve"> by a transitional tropical regime (Sudanese-Guinean climate), with annual rainfall less than 1,200 mm in the north. The south of the basin is characterized by a humid tropical regime (</w:t>
      </w:r>
      <w:proofErr w:type="spellStart"/>
      <w:r w:rsidRPr="00C95314">
        <w:rPr>
          <w:rFonts w:ascii="Arial" w:hAnsi="Arial" w:cs="Arial"/>
          <w:szCs w:val="16"/>
        </w:rPr>
        <w:t>Baouléan</w:t>
      </w:r>
      <w:proofErr w:type="spellEnd"/>
      <w:r w:rsidRPr="00C95314">
        <w:rPr>
          <w:rFonts w:ascii="Arial" w:hAnsi="Arial" w:cs="Arial"/>
          <w:szCs w:val="16"/>
        </w:rPr>
        <w:t xml:space="preserve"> climate) with annual rainfall between 1200 and 1600 mm/year </w:t>
      </w:r>
      <w:r w:rsidRPr="00C95314">
        <w:rPr>
          <w:rFonts w:ascii="Arial" w:hAnsi="Arial" w:cs="Arial"/>
          <w:b/>
          <w:bCs/>
          <w:szCs w:val="16"/>
        </w:rPr>
        <w:t>(Kouassi et al., 2022</w:t>
      </w:r>
      <w:r w:rsidR="00296873">
        <w:rPr>
          <w:rFonts w:ascii="Arial" w:hAnsi="Arial" w:cs="Arial"/>
          <w:b/>
          <w:bCs/>
          <w:szCs w:val="16"/>
        </w:rPr>
        <w:t>b</w:t>
      </w:r>
      <w:r w:rsidRPr="00C95314">
        <w:rPr>
          <w:rFonts w:ascii="Arial" w:hAnsi="Arial" w:cs="Arial"/>
          <w:b/>
          <w:bCs/>
          <w:szCs w:val="16"/>
        </w:rPr>
        <w:t>).</w:t>
      </w:r>
      <w:r w:rsidRPr="00C95314">
        <w:rPr>
          <w:rFonts w:ascii="Arial" w:hAnsi="Arial" w:cs="Arial"/>
          <w:szCs w:val="16"/>
        </w:rPr>
        <w:t xml:space="preserve"> The main soil types are moderately desaturated </w:t>
      </w:r>
      <w:proofErr w:type="spellStart"/>
      <w:r w:rsidRPr="00C95314">
        <w:rPr>
          <w:rFonts w:ascii="Arial" w:hAnsi="Arial" w:cs="Arial"/>
          <w:szCs w:val="16"/>
        </w:rPr>
        <w:t>ferralitic</w:t>
      </w:r>
      <w:proofErr w:type="spellEnd"/>
      <w:r w:rsidRPr="00C95314">
        <w:rPr>
          <w:rFonts w:ascii="Arial" w:hAnsi="Arial" w:cs="Arial"/>
          <w:szCs w:val="16"/>
        </w:rPr>
        <w:t xml:space="preserve"> soils (North) and highly desaturated </w:t>
      </w:r>
      <w:proofErr w:type="spellStart"/>
      <w:r w:rsidRPr="00C95314">
        <w:rPr>
          <w:rFonts w:ascii="Arial" w:hAnsi="Arial" w:cs="Arial"/>
          <w:szCs w:val="16"/>
        </w:rPr>
        <w:t>ferralitic</w:t>
      </w:r>
      <w:proofErr w:type="spellEnd"/>
      <w:r w:rsidRPr="00C95314">
        <w:rPr>
          <w:rFonts w:ascii="Arial" w:hAnsi="Arial" w:cs="Arial"/>
          <w:szCs w:val="16"/>
        </w:rPr>
        <w:t xml:space="preserve"> soils (Center and South) (</w:t>
      </w:r>
      <w:r w:rsidRPr="00C95314">
        <w:rPr>
          <w:rFonts w:ascii="Arial" w:hAnsi="Arial" w:cs="Arial"/>
          <w:b/>
          <w:bCs/>
          <w:szCs w:val="16"/>
        </w:rPr>
        <w:t>Kouassi et al., 2019).</w:t>
      </w:r>
    </w:p>
    <w:p w14:paraId="53F0CF24" w14:textId="77777777" w:rsidR="00C95314" w:rsidRPr="00C95314" w:rsidRDefault="00C95314" w:rsidP="00C95314">
      <w:pPr>
        <w:snapToGrid w:val="0"/>
        <w:spacing w:line="360" w:lineRule="auto"/>
        <w:ind w:firstLine="360"/>
        <w:jc w:val="center"/>
        <w:rPr>
          <w:rFonts w:ascii="Times New Roman" w:hAnsi="Times New Roman"/>
          <w:sz w:val="24"/>
        </w:rPr>
      </w:pPr>
      <w:r w:rsidRPr="00C95314">
        <w:rPr>
          <w:rFonts w:ascii="Calibri" w:eastAsia="Calibri" w:hAnsi="Calibri" w:cs="Arial"/>
          <w:noProof/>
          <w:sz w:val="22"/>
          <w:szCs w:val="22"/>
        </w:rPr>
        <w:lastRenderedPageBreak/>
        <w:drawing>
          <wp:inline distT="0" distB="0" distL="0" distR="0" wp14:anchorId="26DC42AF" wp14:editId="3489CF04">
            <wp:extent cx="3816350" cy="3901202"/>
            <wp:effectExtent l="0" t="0" r="0" b="4445"/>
            <wp:docPr id="363681332" name="Image 36368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7890" cy="3933443"/>
                    </a:xfrm>
                    <a:prstGeom prst="rect">
                      <a:avLst/>
                    </a:prstGeom>
                    <a:noFill/>
                    <a:ln>
                      <a:noFill/>
                    </a:ln>
                  </pic:spPr>
                </pic:pic>
              </a:graphicData>
            </a:graphic>
          </wp:inline>
        </w:drawing>
      </w:r>
    </w:p>
    <w:p w14:paraId="238455CC" w14:textId="6CDDFE67" w:rsidR="00C95314" w:rsidRPr="00C95314" w:rsidRDefault="00C95314" w:rsidP="00C95314">
      <w:pPr>
        <w:snapToGrid w:val="0"/>
        <w:spacing w:line="360" w:lineRule="auto"/>
        <w:ind w:firstLine="360"/>
        <w:rPr>
          <w:rFonts w:ascii="Arial" w:hAnsi="Arial" w:cs="Arial"/>
          <w:szCs w:val="16"/>
        </w:rPr>
      </w:pPr>
      <w:r w:rsidRPr="00C95314">
        <w:rPr>
          <w:rFonts w:ascii="Arial" w:hAnsi="Arial" w:cs="Arial"/>
          <w:b/>
          <w:bCs/>
          <w:szCs w:val="16"/>
        </w:rPr>
        <w:t xml:space="preserve">                         Figure 1</w:t>
      </w:r>
      <w:r w:rsidRPr="00C95314">
        <w:rPr>
          <w:rFonts w:ascii="Arial" w:hAnsi="Arial" w:cs="Arial"/>
          <w:szCs w:val="16"/>
        </w:rPr>
        <w:t>: Presentation of the Study Area</w:t>
      </w:r>
    </w:p>
    <w:p w14:paraId="78EAE32A" w14:textId="6C6F064B" w:rsidR="00790ADA" w:rsidRPr="0032612A" w:rsidRDefault="00C95314" w:rsidP="00E50074">
      <w:pPr>
        <w:pStyle w:val="AbstHead"/>
        <w:spacing w:after="120"/>
        <w:jc w:val="both"/>
        <w:rPr>
          <w:rFonts w:ascii="Arial" w:hAnsi="Arial" w:cs="Arial"/>
          <w:sz w:val="20"/>
          <w:szCs w:val="18"/>
        </w:rPr>
      </w:pPr>
      <w:r w:rsidRPr="0003134F">
        <w:rPr>
          <w:rFonts w:ascii="Arial" w:hAnsi="Arial" w:cs="Arial"/>
          <w:sz w:val="20"/>
          <w:szCs w:val="18"/>
        </w:rPr>
        <w:t>2.2 M</w:t>
      </w:r>
      <w:r w:rsidR="0032612A" w:rsidRPr="0003134F">
        <w:rPr>
          <w:rFonts w:ascii="Arial" w:hAnsi="Arial" w:cs="Arial"/>
          <w:caps w:val="0"/>
          <w:sz w:val="20"/>
          <w:szCs w:val="18"/>
        </w:rPr>
        <w:t>ethodology</w:t>
      </w:r>
    </w:p>
    <w:p w14:paraId="05A36BA7" w14:textId="64E113E3" w:rsidR="00B94BC6" w:rsidRPr="00B94BC6" w:rsidRDefault="00B94BC6" w:rsidP="00B94BC6">
      <w:pPr>
        <w:pStyle w:val="Body"/>
        <w:spacing w:after="120"/>
        <w:rPr>
          <w:rFonts w:ascii="Arial" w:hAnsi="Arial" w:cs="Arial"/>
        </w:rPr>
      </w:pPr>
      <w:r w:rsidRPr="0032612A">
        <w:rPr>
          <w:rFonts w:ascii="Arial" w:hAnsi="Arial" w:cs="Arial"/>
          <w:b/>
          <w:bCs/>
        </w:rPr>
        <w:t>2.</w:t>
      </w:r>
      <w:r w:rsidRPr="00B94BC6">
        <w:rPr>
          <w:rFonts w:ascii="Arial" w:hAnsi="Arial" w:cs="Arial"/>
          <w:b/>
          <w:bCs/>
        </w:rPr>
        <w:t>2.1 Acquisition of Satellite Images</w:t>
      </w:r>
    </w:p>
    <w:p w14:paraId="17B5366D" w14:textId="6F8EE0C7" w:rsidR="00146D37" w:rsidRPr="00B94BC6" w:rsidRDefault="0040386D" w:rsidP="0040386D">
      <w:pPr>
        <w:pStyle w:val="Body"/>
        <w:spacing w:after="120"/>
        <w:rPr>
          <w:rFonts w:ascii="Arial" w:hAnsi="Arial" w:cs="Arial"/>
        </w:rPr>
      </w:pPr>
      <w:r w:rsidRPr="0040386D">
        <w:rPr>
          <w:rFonts w:ascii="Arial" w:hAnsi="Arial" w:cs="Arial"/>
        </w:rPr>
        <w:t>The Landsat 8 scenes used in this study underwent rigorous preprocessing to ensure their quality and temporal comparability. The images were first subjected to atmospheric and radiometric corrections, an essential step to eliminate atmospheric effects and guarantee the consistency of spectral values across different dates.</w:t>
      </w:r>
      <w:r>
        <w:rPr>
          <w:rFonts w:ascii="Arial" w:hAnsi="Arial" w:cs="Arial"/>
        </w:rPr>
        <w:t xml:space="preserve"> </w:t>
      </w:r>
      <w:r w:rsidRPr="0040386D">
        <w:rPr>
          <w:rFonts w:ascii="Arial" w:hAnsi="Arial" w:cs="Arial"/>
        </w:rPr>
        <w:t>The data used come from the Landsat 8 sensor (OLI/TIRS), chosen for its 30 m spatial resolution, radiometric stability, and open access—three characteristics offering optimal conditions for reliable diachronic analysis. The scenes (197_055, 197_054, 196_054, and 196_055) were selected based on their low cloud cover (&lt;10%) and their acquisition during the dry season, a period conducive to reducing biases related to seasonal variability.</w:t>
      </w:r>
      <w:r>
        <w:rPr>
          <w:rFonts w:ascii="Arial" w:hAnsi="Arial" w:cs="Arial"/>
        </w:rPr>
        <w:t xml:space="preserve"> </w:t>
      </w:r>
      <w:r w:rsidRPr="0040386D">
        <w:rPr>
          <w:rFonts w:ascii="Arial" w:hAnsi="Arial" w:cs="Arial"/>
        </w:rPr>
        <w:t>All the images covering the N’Zi watershed were acquired between December 11, 2015 and February 27, 2024, and then uploaded to the USGS Earth Explorer platform.</w:t>
      </w:r>
    </w:p>
    <w:tbl>
      <w:tblPr>
        <w:tblStyle w:val="Grilledutableau1"/>
        <w:tblpPr w:leftFromText="141" w:rightFromText="141" w:vertAnchor="text" w:horzAnchor="margin" w:tblpY="401"/>
        <w:tblW w:w="0" w:type="auto"/>
        <w:tblLook w:val="04A0" w:firstRow="1" w:lastRow="0" w:firstColumn="1" w:lastColumn="0" w:noHBand="0" w:noVBand="1"/>
      </w:tblPr>
      <w:tblGrid>
        <w:gridCol w:w="2731"/>
        <w:gridCol w:w="2757"/>
        <w:gridCol w:w="2710"/>
      </w:tblGrid>
      <w:tr w:rsidR="00146D37" w:rsidRPr="00B94BC6" w14:paraId="0B291FB2" w14:textId="77777777" w:rsidTr="00146D37">
        <w:tc>
          <w:tcPr>
            <w:tcW w:w="2731" w:type="dxa"/>
            <w:vAlign w:val="center"/>
          </w:tcPr>
          <w:p w14:paraId="2F7A9752" w14:textId="77777777" w:rsidR="00146D37" w:rsidRPr="00B94BC6" w:rsidRDefault="00146D37" w:rsidP="00146D37">
            <w:pPr>
              <w:spacing w:line="278" w:lineRule="auto"/>
              <w:jc w:val="center"/>
              <w:rPr>
                <w:rFonts w:ascii="Arial" w:hAnsi="Arial" w:cs="Arial"/>
                <w:sz w:val="20"/>
                <w:szCs w:val="20"/>
              </w:rPr>
            </w:pPr>
            <w:r w:rsidRPr="005917E5">
              <w:rPr>
                <w:rStyle w:val="Strong"/>
                <w:rFonts w:ascii="Arial" w:hAnsi="Arial" w:cs="Arial"/>
                <w:sz w:val="20"/>
                <w:szCs w:val="20"/>
              </w:rPr>
              <w:t>Acquisition Date</w:t>
            </w:r>
          </w:p>
        </w:tc>
        <w:tc>
          <w:tcPr>
            <w:tcW w:w="2757" w:type="dxa"/>
            <w:vAlign w:val="center"/>
          </w:tcPr>
          <w:p w14:paraId="0D0BE0E3" w14:textId="77777777" w:rsidR="00146D37" w:rsidRPr="00B94BC6" w:rsidRDefault="00146D37" w:rsidP="00146D37">
            <w:pPr>
              <w:spacing w:line="278" w:lineRule="auto"/>
              <w:jc w:val="center"/>
              <w:rPr>
                <w:rFonts w:ascii="Arial" w:hAnsi="Arial" w:cs="Arial"/>
                <w:sz w:val="20"/>
                <w:szCs w:val="20"/>
              </w:rPr>
            </w:pPr>
            <w:r w:rsidRPr="005917E5">
              <w:rPr>
                <w:rStyle w:val="Strong"/>
                <w:rFonts w:ascii="Arial" w:hAnsi="Arial" w:cs="Arial"/>
                <w:sz w:val="20"/>
                <w:szCs w:val="20"/>
              </w:rPr>
              <w:t>Download Date</w:t>
            </w:r>
          </w:p>
        </w:tc>
        <w:tc>
          <w:tcPr>
            <w:tcW w:w="2710" w:type="dxa"/>
            <w:vAlign w:val="center"/>
          </w:tcPr>
          <w:p w14:paraId="1BBF0B81" w14:textId="77777777" w:rsidR="00146D37" w:rsidRPr="00B94BC6" w:rsidRDefault="00146D37" w:rsidP="00146D37">
            <w:pPr>
              <w:spacing w:line="278" w:lineRule="auto"/>
              <w:jc w:val="center"/>
              <w:rPr>
                <w:rFonts w:ascii="Arial" w:hAnsi="Arial" w:cs="Arial"/>
                <w:sz w:val="20"/>
                <w:szCs w:val="20"/>
              </w:rPr>
            </w:pPr>
            <w:proofErr w:type="spellStart"/>
            <w:r w:rsidRPr="005917E5">
              <w:rPr>
                <w:rStyle w:val="Strong"/>
                <w:rFonts w:ascii="Arial" w:hAnsi="Arial" w:cs="Arial"/>
                <w:sz w:val="20"/>
                <w:szCs w:val="20"/>
              </w:rPr>
              <w:t>Scene</w:t>
            </w:r>
            <w:proofErr w:type="spellEnd"/>
            <w:r w:rsidRPr="005917E5">
              <w:rPr>
                <w:rStyle w:val="Strong"/>
                <w:rFonts w:ascii="Arial" w:hAnsi="Arial" w:cs="Arial"/>
                <w:sz w:val="20"/>
                <w:szCs w:val="20"/>
              </w:rPr>
              <w:t xml:space="preserve"> ID</w:t>
            </w:r>
          </w:p>
        </w:tc>
      </w:tr>
      <w:tr w:rsidR="00146D37" w:rsidRPr="00B94BC6" w14:paraId="6758B8A6" w14:textId="77777777" w:rsidTr="00146D37">
        <w:tc>
          <w:tcPr>
            <w:tcW w:w="2731" w:type="dxa"/>
            <w:vAlign w:val="center"/>
          </w:tcPr>
          <w:p w14:paraId="43B19C3F"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26/01/2024 – 27/02/2024</w:t>
            </w:r>
          </w:p>
        </w:tc>
        <w:tc>
          <w:tcPr>
            <w:tcW w:w="2757" w:type="dxa"/>
            <w:vAlign w:val="center"/>
          </w:tcPr>
          <w:p w14:paraId="0FC3F9A7"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20/10/2025</w:t>
            </w:r>
          </w:p>
        </w:tc>
        <w:tc>
          <w:tcPr>
            <w:tcW w:w="2710" w:type="dxa"/>
            <w:vAlign w:val="center"/>
          </w:tcPr>
          <w:p w14:paraId="6C4D2A32"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15388683" w14:textId="77777777" w:rsidTr="00146D37">
        <w:tc>
          <w:tcPr>
            <w:tcW w:w="2731" w:type="dxa"/>
            <w:vAlign w:val="center"/>
          </w:tcPr>
          <w:p w14:paraId="51B09524"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19/12/2024 – 27/12/2024</w:t>
            </w:r>
          </w:p>
        </w:tc>
        <w:tc>
          <w:tcPr>
            <w:tcW w:w="2757" w:type="dxa"/>
            <w:vAlign w:val="center"/>
          </w:tcPr>
          <w:p w14:paraId="7E5661F0"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20/10/2025</w:t>
            </w:r>
          </w:p>
        </w:tc>
        <w:tc>
          <w:tcPr>
            <w:tcW w:w="2710" w:type="dxa"/>
            <w:vAlign w:val="center"/>
          </w:tcPr>
          <w:p w14:paraId="52F8288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r w:rsidR="00146D37" w:rsidRPr="00B94BC6" w14:paraId="4B1971BC" w14:textId="77777777" w:rsidTr="00146D37">
        <w:tc>
          <w:tcPr>
            <w:tcW w:w="2731" w:type="dxa"/>
            <w:vMerge w:val="restart"/>
            <w:vAlign w:val="center"/>
          </w:tcPr>
          <w:p w14:paraId="348D088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07/01/2020 – 23/08/2020</w:t>
            </w:r>
          </w:p>
        </w:tc>
        <w:tc>
          <w:tcPr>
            <w:tcW w:w="2757" w:type="dxa"/>
            <w:vAlign w:val="center"/>
          </w:tcPr>
          <w:p w14:paraId="218D4B6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22/10/2025</w:t>
            </w:r>
          </w:p>
        </w:tc>
        <w:tc>
          <w:tcPr>
            <w:tcW w:w="2710" w:type="dxa"/>
            <w:vAlign w:val="center"/>
          </w:tcPr>
          <w:p w14:paraId="4492B43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566BFC30" w14:textId="77777777" w:rsidTr="00146D37">
        <w:tc>
          <w:tcPr>
            <w:tcW w:w="2731" w:type="dxa"/>
            <w:vMerge/>
            <w:vAlign w:val="center"/>
          </w:tcPr>
          <w:p w14:paraId="2A2D1084" w14:textId="77777777" w:rsidR="00146D37" w:rsidRPr="00B94BC6" w:rsidRDefault="00146D37" w:rsidP="00146D37">
            <w:pPr>
              <w:spacing w:line="278" w:lineRule="auto"/>
              <w:jc w:val="center"/>
              <w:rPr>
                <w:rFonts w:ascii="Arial" w:hAnsi="Arial" w:cs="Arial"/>
                <w:sz w:val="20"/>
                <w:szCs w:val="20"/>
              </w:rPr>
            </w:pPr>
          </w:p>
        </w:tc>
        <w:tc>
          <w:tcPr>
            <w:tcW w:w="2757" w:type="dxa"/>
            <w:vAlign w:val="center"/>
          </w:tcPr>
          <w:p w14:paraId="1DDF5BEA"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22/10/2025</w:t>
            </w:r>
          </w:p>
        </w:tc>
        <w:tc>
          <w:tcPr>
            <w:tcW w:w="2710" w:type="dxa"/>
            <w:vAlign w:val="center"/>
          </w:tcPr>
          <w:p w14:paraId="1CD5F02F"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r w:rsidR="00146D37" w:rsidRPr="00B94BC6" w14:paraId="21E5E7F9" w14:textId="77777777" w:rsidTr="00146D37">
        <w:tc>
          <w:tcPr>
            <w:tcW w:w="2731" w:type="dxa"/>
            <w:vAlign w:val="center"/>
          </w:tcPr>
          <w:p w14:paraId="07B6915C"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11/12/2015 – 08/09/2020</w:t>
            </w:r>
          </w:p>
        </w:tc>
        <w:tc>
          <w:tcPr>
            <w:tcW w:w="2757" w:type="dxa"/>
            <w:vAlign w:val="center"/>
          </w:tcPr>
          <w:p w14:paraId="01F33AB0"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27/10/2025</w:t>
            </w:r>
          </w:p>
        </w:tc>
        <w:tc>
          <w:tcPr>
            <w:tcW w:w="2710" w:type="dxa"/>
            <w:vAlign w:val="center"/>
          </w:tcPr>
          <w:p w14:paraId="6B1F1141"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21C7508E" w14:textId="77777777" w:rsidTr="00146D37">
        <w:tc>
          <w:tcPr>
            <w:tcW w:w="2731" w:type="dxa"/>
            <w:vAlign w:val="center"/>
          </w:tcPr>
          <w:p w14:paraId="0C010185"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27/12/2015 – 08/09/2020</w:t>
            </w:r>
          </w:p>
        </w:tc>
        <w:tc>
          <w:tcPr>
            <w:tcW w:w="2757" w:type="dxa"/>
            <w:vAlign w:val="center"/>
          </w:tcPr>
          <w:p w14:paraId="1DA3F86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28/10/2025</w:t>
            </w:r>
          </w:p>
        </w:tc>
        <w:tc>
          <w:tcPr>
            <w:tcW w:w="2710" w:type="dxa"/>
            <w:vAlign w:val="center"/>
          </w:tcPr>
          <w:p w14:paraId="367E2E6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bl>
    <w:p w14:paraId="7B72CB9A" w14:textId="3252C4E2" w:rsidR="00B94BC6" w:rsidRDefault="00263A52" w:rsidP="00B94BC6">
      <w:pPr>
        <w:pStyle w:val="Body"/>
        <w:rPr>
          <w:rFonts w:ascii="Arial" w:hAnsi="Arial" w:cs="Arial"/>
        </w:rPr>
      </w:pPr>
      <w:r>
        <w:rPr>
          <w:rFonts w:ascii="Arial" w:hAnsi="Arial" w:cs="Arial"/>
          <w:b/>
          <w:bCs/>
        </w:rPr>
        <w:t>chart</w:t>
      </w:r>
      <w:r w:rsidR="00B94BC6" w:rsidRPr="00B94BC6">
        <w:rPr>
          <w:rFonts w:ascii="Arial" w:hAnsi="Arial" w:cs="Arial"/>
          <w:b/>
          <w:bCs/>
        </w:rPr>
        <w:t xml:space="preserve"> </w:t>
      </w:r>
      <w:r>
        <w:rPr>
          <w:rFonts w:ascii="Arial" w:hAnsi="Arial" w:cs="Arial"/>
          <w:b/>
          <w:bCs/>
        </w:rPr>
        <w:t>1</w:t>
      </w:r>
      <w:r w:rsidR="00B94BC6" w:rsidRPr="00B94BC6">
        <w:rPr>
          <w:rFonts w:ascii="Arial" w:hAnsi="Arial" w:cs="Arial"/>
        </w:rPr>
        <w:t>: Main Characteristics of the Images Used</w:t>
      </w:r>
    </w:p>
    <w:p w14:paraId="4F092A45" w14:textId="66AE1EB9" w:rsidR="007708BA" w:rsidRPr="007708BA" w:rsidRDefault="005917E5" w:rsidP="007708BA">
      <w:pPr>
        <w:pStyle w:val="Body"/>
        <w:spacing w:after="0"/>
        <w:rPr>
          <w:rFonts w:ascii="Arial" w:hAnsi="Arial" w:cs="Arial"/>
          <w:b/>
          <w:bCs/>
          <w:highlight w:val="yellow"/>
        </w:rPr>
      </w:pPr>
      <w:r w:rsidRPr="005917E5">
        <w:rPr>
          <w:rFonts w:ascii="Arial" w:hAnsi="Arial" w:cs="Arial"/>
          <w:b/>
          <w:bCs/>
        </w:rPr>
        <w:lastRenderedPageBreak/>
        <w:t>2.2.2</w:t>
      </w:r>
      <w:r w:rsidR="007708BA" w:rsidRPr="007708BA">
        <w:rPr>
          <w:rFonts w:ascii="Arial" w:hAnsi="Arial" w:cs="Arial"/>
          <w:b/>
          <w:bCs/>
        </w:rPr>
        <w:t xml:space="preserve"> Processing and analysis methods</w:t>
      </w:r>
      <w:r w:rsidR="007708BA" w:rsidRPr="007708BA">
        <w:rPr>
          <w:rFonts w:ascii="Arial" w:hAnsi="Arial" w:cs="Arial"/>
          <w:b/>
          <w:bCs/>
          <w:highlight w:val="yellow"/>
        </w:rPr>
        <w:t xml:space="preserve"> </w:t>
      </w:r>
    </w:p>
    <w:p w14:paraId="6261D74A" w14:textId="2DA76F03" w:rsidR="007708BA" w:rsidRDefault="007708BA" w:rsidP="007708BA">
      <w:pPr>
        <w:pStyle w:val="Body"/>
        <w:spacing w:after="0"/>
        <w:rPr>
          <w:rFonts w:ascii="Arial" w:hAnsi="Arial" w:cs="Arial"/>
          <w:b/>
          <w:bCs/>
        </w:rPr>
      </w:pPr>
    </w:p>
    <w:p w14:paraId="2AE26DFF" w14:textId="07AA6262" w:rsidR="005917E5" w:rsidRPr="005917E5" w:rsidRDefault="007708BA" w:rsidP="005917E5">
      <w:pPr>
        <w:pStyle w:val="Body"/>
        <w:spacing w:after="120"/>
        <w:rPr>
          <w:rFonts w:ascii="Arial" w:hAnsi="Arial" w:cs="Arial"/>
          <w:b/>
          <w:bCs/>
        </w:rPr>
      </w:pPr>
      <w:r>
        <w:rPr>
          <w:rFonts w:ascii="Arial" w:hAnsi="Arial" w:cs="Arial"/>
          <w:b/>
          <w:bCs/>
        </w:rPr>
        <w:t xml:space="preserve">2.2.2.1 </w:t>
      </w:r>
      <w:r w:rsidR="005917E5" w:rsidRPr="005917E5">
        <w:rPr>
          <w:rFonts w:ascii="Arial" w:hAnsi="Arial" w:cs="Arial"/>
          <w:b/>
          <w:bCs/>
        </w:rPr>
        <w:t>Preprocessing of Satellite Images</w:t>
      </w:r>
    </w:p>
    <w:p w14:paraId="352ADA18" w14:textId="77777777" w:rsidR="005917E5" w:rsidRPr="005917E5" w:rsidRDefault="005917E5" w:rsidP="005917E5">
      <w:pPr>
        <w:pStyle w:val="Body"/>
        <w:spacing w:after="120"/>
        <w:rPr>
          <w:rFonts w:ascii="Arial" w:hAnsi="Arial" w:cs="Arial"/>
        </w:rPr>
      </w:pPr>
      <w:r w:rsidRPr="005917E5">
        <w:rPr>
          <w:rFonts w:ascii="Arial" w:hAnsi="Arial" w:cs="Arial"/>
        </w:rPr>
        <w:t>The raw Level-1 images were subjected to preprocessing steps aimed at correcting atmospheric and radiometric effects prior to analysis:</w:t>
      </w:r>
    </w:p>
    <w:p w14:paraId="6914AE51" w14:textId="6347F7A5" w:rsidR="005917E5" w:rsidRDefault="005917E5" w:rsidP="005917E5">
      <w:pPr>
        <w:pStyle w:val="Body"/>
        <w:numPr>
          <w:ilvl w:val="0"/>
          <w:numId w:val="31"/>
        </w:numPr>
        <w:spacing w:after="0"/>
        <w:rPr>
          <w:rFonts w:ascii="Arial" w:hAnsi="Arial" w:cs="Arial"/>
        </w:rPr>
      </w:pPr>
      <w:r w:rsidRPr="005917E5">
        <w:rPr>
          <w:rFonts w:ascii="Arial" w:hAnsi="Arial" w:cs="Arial"/>
        </w:rPr>
        <w:t>Radiometric and atmospheric correction performed using the Semi-Automatic Classification Plugin (SCP) in QGIS 3.4.1;</w:t>
      </w:r>
    </w:p>
    <w:p w14:paraId="597049AB" w14:textId="15B063BF" w:rsidR="005917E5" w:rsidRDefault="005917E5" w:rsidP="005917E5">
      <w:pPr>
        <w:pStyle w:val="Body"/>
        <w:numPr>
          <w:ilvl w:val="0"/>
          <w:numId w:val="31"/>
        </w:numPr>
        <w:spacing w:after="0"/>
        <w:rPr>
          <w:rFonts w:ascii="Arial" w:hAnsi="Arial" w:cs="Arial"/>
        </w:rPr>
      </w:pPr>
      <w:r w:rsidRPr="005917E5">
        <w:rPr>
          <w:rFonts w:ascii="Arial" w:hAnsi="Arial" w:cs="Arial"/>
        </w:rPr>
        <w:t>Conversion to surface reflectance to normalize spectral bands across the different acquisition dates;</w:t>
      </w:r>
    </w:p>
    <w:p w14:paraId="43C702B5" w14:textId="164E5DE8" w:rsidR="005917E5" w:rsidRDefault="005917E5" w:rsidP="005917E5">
      <w:pPr>
        <w:pStyle w:val="Body"/>
        <w:numPr>
          <w:ilvl w:val="0"/>
          <w:numId w:val="31"/>
        </w:numPr>
        <w:spacing w:after="0"/>
        <w:rPr>
          <w:rFonts w:ascii="Arial" w:hAnsi="Arial" w:cs="Arial"/>
        </w:rPr>
      </w:pPr>
      <w:r w:rsidRPr="005917E5">
        <w:rPr>
          <w:rFonts w:ascii="Arial" w:hAnsi="Arial" w:cs="Arial"/>
        </w:rPr>
        <w:t>Clipping based on the hydrological boundaries of the study watershed;</w:t>
      </w:r>
    </w:p>
    <w:p w14:paraId="19A02A79" w14:textId="45CCEF91" w:rsidR="00B94BC6" w:rsidRDefault="005917E5" w:rsidP="00441B6F">
      <w:pPr>
        <w:pStyle w:val="Body"/>
        <w:numPr>
          <w:ilvl w:val="0"/>
          <w:numId w:val="31"/>
        </w:numPr>
        <w:spacing w:after="0"/>
        <w:rPr>
          <w:rFonts w:ascii="Arial" w:hAnsi="Arial" w:cs="Arial"/>
        </w:rPr>
      </w:pPr>
      <w:r w:rsidRPr="005917E5">
        <w:rPr>
          <w:rFonts w:ascii="Arial" w:hAnsi="Arial" w:cs="Arial"/>
        </w:rPr>
        <w:t>Mosaicking of the scenes to obtain complete and homogeneous coverage of the study area.</w:t>
      </w:r>
    </w:p>
    <w:p w14:paraId="3BA803B2" w14:textId="77777777" w:rsidR="007708BA" w:rsidRDefault="007708BA" w:rsidP="007708BA">
      <w:pPr>
        <w:pStyle w:val="Body"/>
        <w:spacing w:after="0"/>
        <w:ind w:left="720"/>
        <w:rPr>
          <w:rFonts w:ascii="Arial" w:hAnsi="Arial" w:cs="Arial"/>
        </w:rPr>
      </w:pPr>
    </w:p>
    <w:p w14:paraId="6F46576C" w14:textId="1177F509" w:rsidR="007708BA" w:rsidRDefault="007708BA" w:rsidP="000B368D">
      <w:pPr>
        <w:pStyle w:val="Body"/>
        <w:spacing w:after="120"/>
        <w:rPr>
          <w:rFonts w:ascii="Arial" w:hAnsi="Arial" w:cs="Arial"/>
          <w:b/>
          <w:bCs/>
        </w:rPr>
      </w:pPr>
      <w:r w:rsidRPr="000B368D">
        <w:rPr>
          <w:rFonts w:ascii="Arial" w:hAnsi="Arial" w:cs="Arial"/>
          <w:b/>
          <w:bCs/>
        </w:rPr>
        <w:t>2.2.</w:t>
      </w:r>
      <w:r w:rsidR="000B368D" w:rsidRPr="000B368D">
        <w:rPr>
          <w:rFonts w:ascii="Arial" w:hAnsi="Arial" w:cs="Arial"/>
          <w:b/>
          <w:bCs/>
        </w:rPr>
        <w:t>2.2</w:t>
      </w:r>
      <w:r w:rsidRPr="000B368D">
        <w:rPr>
          <w:rFonts w:ascii="Arial" w:hAnsi="Arial" w:cs="Arial"/>
          <w:b/>
          <w:bCs/>
        </w:rPr>
        <w:t xml:space="preserve"> Image Processing</w:t>
      </w:r>
    </w:p>
    <w:p w14:paraId="2D946004" w14:textId="5C337463" w:rsidR="000B368D" w:rsidRDefault="000B368D" w:rsidP="007708BA">
      <w:pPr>
        <w:pStyle w:val="Body"/>
        <w:spacing w:after="0"/>
        <w:rPr>
          <w:rFonts w:ascii="Arial" w:hAnsi="Arial" w:cs="Arial"/>
        </w:rPr>
      </w:pPr>
      <w:r w:rsidRPr="000B368D">
        <w:rPr>
          <w:rFonts w:ascii="Arial" w:hAnsi="Arial" w:cs="Arial"/>
        </w:rPr>
        <w:t>The various watersheds studied are fully covered by several satellite images. These images will be assembled or mosaicked to obtain images that completely represent the watersheds. Because the scenes (images) are very large, they were cropped at the boundaries of the study site after being mosaicked.</w:t>
      </w:r>
      <w:r w:rsidRPr="000B368D">
        <w:t xml:space="preserve"> </w:t>
      </w:r>
      <w:r w:rsidRPr="000B368D">
        <w:rPr>
          <w:rFonts w:ascii="Arial" w:hAnsi="Arial" w:cs="Arial"/>
        </w:rPr>
        <w:t xml:space="preserve">Image processing began with the precise delimitation of the study area, corresponding to the N’Zi watershed in the locality of </w:t>
      </w:r>
      <w:proofErr w:type="spellStart"/>
      <w:r w:rsidRPr="000B368D">
        <w:rPr>
          <w:rFonts w:ascii="Arial" w:hAnsi="Arial" w:cs="Arial"/>
        </w:rPr>
        <w:t>M’Bahiakro</w:t>
      </w:r>
      <w:proofErr w:type="spellEnd"/>
      <w:r w:rsidRPr="000B368D">
        <w:rPr>
          <w:rFonts w:ascii="Arial" w:hAnsi="Arial" w:cs="Arial"/>
        </w:rPr>
        <w:t>. This spatial area was then extracted from the various satellite images. A preliminary visual interpretation was carried out to develop a coherent nomenclature for the land cover units to be mapped. Following this phase, six classes were selected: (1) water, (2) settlement/bare soil, (3) cultivated land, (4) fallow land, (5) savanna, and (6) forest.</w:t>
      </w:r>
    </w:p>
    <w:p w14:paraId="02AA24DB" w14:textId="77777777" w:rsidR="00296873" w:rsidRDefault="00296873" w:rsidP="007708BA">
      <w:pPr>
        <w:pStyle w:val="Body"/>
        <w:spacing w:after="0"/>
        <w:rPr>
          <w:rFonts w:ascii="Arial" w:hAnsi="Arial" w:cs="Arial"/>
        </w:rPr>
      </w:pPr>
    </w:p>
    <w:p w14:paraId="3BE9529E" w14:textId="4EAB22D7" w:rsidR="00296873" w:rsidRPr="00296873" w:rsidRDefault="00296873" w:rsidP="00296873">
      <w:pPr>
        <w:pStyle w:val="Body"/>
        <w:spacing w:after="120"/>
        <w:rPr>
          <w:rFonts w:ascii="Arial" w:hAnsi="Arial" w:cs="Arial"/>
          <w:b/>
          <w:bCs/>
        </w:rPr>
      </w:pPr>
      <w:r w:rsidRPr="00296873">
        <w:rPr>
          <w:rFonts w:ascii="Arial" w:hAnsi="Arial" w:cs="Arial"/>
          <w:b/>
          <w:bCs/>
        </w:rPr>
        <w:t>2.2.2.3 Color Composite</w:t>
      </w:r>
    </w:p>
    <w:p w14:paraId="4E5FCA59" w14:textId="27290218" w:rsidR="00296873" w:rsidRPr="000B368D" w:rsidRDefault="00296873" w:rsidP="00296873">
      <w:pPr>
        <w:pStyle w:val="Body"/>
        <w:spacing w:after="120"/>
        <w:rPr>
          <w:rFonts w:ascii="Arial" w:hAnsi="Arial" w:cs="Arial"/>
        </w:rPr>
      </w:pPr>
      <w:r w:rsidRPr="00296873">
        <w:rPr>
          <w:rFonts w:ascii="Arial" w:hAnsi="Arial" w:cs="Arial"/>
        </w:rPr>
        <w:t>A color composite is a color image obtained from three bands, each assigned one of the primary colors: Red (R), Green (G), and Blue (B). The bands are chosen to avoid information redundancy and to obtain the maximum amount of information. Initially, the search for the best combination between the different image bands was undertaken.</w:t>
      </w:r>
      <w:r>
        <w:rPr>
          <w:rFonts w:ascii="Arial" w:hAnsi="Arial" w:cs="Arial"/>
        </w:rPr>
        <w:t xml:space="preserve"> </w:t>
      </w:r>
      <w:r w:rsidRPr="00296873">
        <w:rPr>
          <w:rFonts w:ascii="Arial" w:hAnsi="Arial" w:cs="Arial"/>
        </w:rPr>
        <w:t>After the color composite, a visual interpretation of the images was carried out based on knowledge of the spectral signatures and the terrain. Generally, in terms of land cover, five types of landscape units can be identified: bare soil and habitats (human habitation areas, roads, rock outcrops), degraded forest, dense forest, savanna, cultivated land and fallow land, and water.</w:t>
      </w:r>
    </w:p>
    <w:p w14:paraId="4EA9A54F" w14:textId="77777777" w:rsidR="003A7BAF" w:rsidRDefault="005917E5" w:rsidP="000B368D">
      <w:pPr>
        <w:pStyle w:val="NormalWeb"/>
        <w:spacing w:before="240" w:beforeAutospacing="0" w:after="120" w:afterAutospacing="0"/>
        <w:rPr>
          <w:rStyle w:val="Strong"/>
          <w:rFonts w:ascii="Arial" w:hAnsi="Arial" w:cs="Arial"/>
          <w:sz w:val="20"/>
          <w:szCs w:val="20"/>
          <w:lang w:val="en-US"/>
        </w:rPr>
      </w:pPr>
      <w:r w:rsidRPr="0003134F">
        <w:rPr>
          <w:rFonts w:ascii="Arial" w:hAnsi="Arial" w:cs="Arial"/>
          <w:b/>
          <w:bCs/>
          <w:sz w:val="20"/>
          <w:szCs w:val="20"/>
          <w:lang w:val="en-US"/>
        </w:rPr>
        <w:t>2.2.</w:t>
      </w:r>
      <w:r w:rsidRPr="005917E5">
        <w:rPr>
          <w:rStyle w:val="Strong"/>
          <w:rFonts w:ascii="Arial" w:hAnsi="Arial" w:cs="Arial"/>
          <w:sz w:val="20"/>
          <w:szCs w:val="20"/>
          <w:lang w:val="en-US"/>
        </w:rPr>
        <w:t>3. Land Use Classification</w:t>
      </w:r>
    </w:p>
    <w:p w14:paraId="11E50359" w14:textId="448A9CA2" w:rsidR="005917E5" w:rsidRPr="00146D37" w:rsidRDefault="005917E5" w:rsidP="003A7BAF">
      <w:pPr>
        <w:pStyle w:val="NormalWeb"/>
        <w:spacing w:before="0" w:beforeAutospacing="0" w:after="0" w:afterAutospacing="0"/>
        <w:rPr>
          <w:rFonts w:ascii="Arial" w:hAnsi="Arial" w:cs="Arial"/>
          <w:b/>
          <w:bCs/>
          <w:sz w:val="20"/>
          <w:szCs w:val="20"/>
          <w:lang w:val="en-US"/>
        </w:rPr>
      </w:pPr>
      <w:r w:rsidRPr="005917E5">
        <w:rPr>
          <w:rFonts w:ascii="Arial" w:hAnsi="Arial" w:cs="Arial"/>
          <w:sz w:val="20"/>
          <w:szCs w:val="20"/>
          <w:lang w:val="en-US"/>
        </w:rPr>
        <w:t>Land use classification was performed for each of the three years (2015, 2020, and 2024) using the supervised Maximum Likelihood method.</w:t>
      </w:r>
      <w:r w:rsidR="0040386D">
        <w:rPr>
          <w:rFonts w:ascii="Arial" w:hAnsi="Arial" w:cs="Arial"/>
          <w:sz w:val="20"/>
          <w:szCs w:val="20"/>
          <w:lang w:val="en-US"/>
        </w:rPr>
        <w:t xml:space="preserve"> </w:t>
      </w:r>
      <w:r w:rsidRPr="005917E5">
        <w:rPr>
          <w:rFonts w:ascii="Arial" w:hAnsi="Arial" w:cs="Arial"/>
          <w:sz w:val="20"/>
          <w:szCs w:val="20"/>
          <w:lang w:val="en-US"/>
        </w:rPr>
        <w:t>The classes selected for the land use typology are:</w:t>
      </w:r>
    </w:p>
    <w:p w14:paraId="19BE2DD9"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proofErr w:type="spellStart"/>
      <w:r w:rsidRPr="005917E5">
        <w:rPr>
          <w:rFonts w:ascii="Arial" w:hAnsi="Arial" w:cs="Arial"/>
          <w:sz w:val="20"/>
          <w:szCs w:val="20"/>
        </w:rPr>
        <w:t>Bare</w:t>
      </w:r>
      <w:proofErr w:type="spellEnd"/>
      <w:r w:rsidRPr="005917E5">
        <w:rPr>
          <w:rFonts w:ascii="Arial" w:hAnsi="Arial" w:cs="Arial"/>
          <w:sz w:val="20"/>
          <w:szCs w:val="20"/>
        </w:rPr>
        <w:t xml:space="preserve"> </w:t>
      </w:r>
      <w:proofErr w:type="spellStart"/>
      <w:r w:rsidRPr="005917E5">
        <w:rPr>
          <w:rFonts w:ascii="Arial" w:hAnsi="Arial" w:cs="Arial"/>
          <w:sz w:val="20"/>
          <w:szCs w:val="20"/>
        </w:rPr>
        <w:t>soil</w:t>
      </w:r>
      <w:proofErr w:type="spellEnd"/>
      <w:r w:rsidRPr="005917E5">
        <w:rPr>
          <w:rFonts w:ascii="Arial" w:hAnsi="Arial" w:cs="Arial"/>
          <w:sz w:val="20"/>
          <w:szCs w:val="20"/>
        </w:rPr>
        <w:t xml:space="preserve"> and </w:t>
      </w:r>
      <w:proofErr w:type="spellStart"/>
      <w:r w:rsidRPr="005917E5">
        <w:rPr>
          <w:rFonts w:ascii="Arial" w:hAnsi="Arial" w:cs="Arial"/>
          <w:sz w:val="20"/>
          <w:szCs w:val="20"/>
        </w:rPr>
        <w:t>settlements</w:t>
      </w:r>
      <w:proofErr w:type="spellEnd"/>
    </w:p>
    <w:p w14:paraId="2FF1A05F"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 xml:space="preserve">Dense </w:t>
      </w:r>
      <w:proofErr w:type="spellStart"/>
      <w:r w:rsidRPr="005917E5">
        <w:rPr>
          <w:rFonts w:ascii="Arial" w:hAnsi="Arial" w:cs="Arial"/>
          <w:sz w:val="20"/>
          <w:szCs w:val="20"/>
        </w:rPr>
        <w:t>forests</w:t>
      </w:r>
      <w:proofErr w:type="spellEnd"/>
    </w:p>
    <w:p w14:paraId="63A21B60"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proofErr w:type="spellStart"/>
      <w:r w:rsidRPr="005917E5">
        <w:rPr>
          <w:rFonts w:ascii="Arial" w:hAnsi="Arial" w:cs="Arial"/>
          <w:sz w:val="20"/>
          <w:szCs w:val="20"/>
        </w:rPr>
        <w:t>Degraded</w:t>
      </w:r>
      <w:proofErr w:type="spellEnd"/>
      <w:r w:rsidRPr="005917E5">
        <w:rPr>
          <w:rFonts w:ascii="Arial" w:hAnsi="Arial" w:cs="Arial"/>
          <w:sz w:val="20"/>
          <w:szCs w:val="20"/>
        </w:rPr>
        <w:t xml:space="preserve"> </w:t>
      </w:r>
      <w:proofErr w:type="spellStart"/>
      <w:r w:rsidRPr="005917E5">
        <w:rPr>
          <w:rFonts w:ascii="Arial" w:hAnsi="Arial" w:cs="Arial"/>
          <w:sz w:val="20"/>
          <w:szCs w:val="20"/>
        </w:rPr>
        <w:t>forests</w:t>
      </w:r>
      <w:proofErr w:type="spellEnd"/>
    </w:p>
    <w:p w14:paraId="5D011AEC"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proofErr w:type="spellStart"/>
      <w:r w:rsidRPr="005917E5">
        <w:rPr>
          <w:rFonts w:ascii="Arial" w:hAnsi="Arial" w:cs="Arial"/>
          <w:sz w:val="20"/>
          <w:szCs w:val="20"/>
        </w:rPr>
        <w:t>Savanna</w:t>
      </w:r>
      <w:proofErr w:type="spellEnd"/>
    </w:p>
    <w:p w14:paraId="0E72C2E7"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proofErr w:type="spellStart"/>
      <w:r w:rsidRPr="005917E5">
        <w:rPr>
          <w:rFonts w:ascii="Arial" w:hAnsi="Arial" w:cs="Arial"/>
          <w:sz w:val="20"/>
          <w:szCs w:val="20"/>
        </w:rPr>
        <w:t>Croplands</w:t>
      </w:r>
      <w:proofErr w:type="spellEnd"/>
      <w:r w:rsidRPr="005917E5">
        <w:rPr>
          <w:rFonts w:ascii="Arial" w:hAnsi="Arial" w:cs="Arial"/>
          <w:sz w:val="20"/>
          <w:szCs w:val="20"/>
        </w:rPr>
        <w:t xml:space="preserve"> and </w:t>
      </w:r>
      <w:proofErr w:type="spellStart"/>
      <w:r w:rsidRPr="005917E5">
        <w:rPr>
          <w:rFonts w:ascii="Arial" w:hAnsi="Arial" w:cs="Arial"/>
          <w:sz w:val="20"/>
          <w:szCs w:val="20"/>
        </w:rPr>
        <w:t>fallows</w:t>
      </w:r>
      <w:proofErr w:type="spellEnd"/>
    </w:p>
    <w:p w14:paraId="63ABD25C"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Water</w:t>
      </w:r>
    </w:p>
    <w:p w14:paraId="45824169" w14:textId="77777777" w:rsidR="00B94BC6" w:rsidRDefault="00B94BC6" w:rsidP="00441B6F">
      <w:pPr>
        <w:pStyle w:val="Body"/>
        <w:spacing w:after="0"/>
        <w:rPr>
          <w:rFonts w:ascii="Arial" w:hAnsi="Arial" w:cs="Arial"/>
        </w:rPr>
      </w:pPr>
    </w:p>
    <w:p w14:paraId="4B2A8A41" w14:textId="77777777" w:rsidR="005917E5" w:rsidRDefault="005917E5" w:rsidP="005917E5">
      <w:pPr>
        <w:pStyle w:val="Body"/>
        <w:spacing w:after="120"/>
        <w:rPr>
          <w:rFonts w:ascii="Arial" w:hAnsi="Arial" w:cs="Arial"/>
          <w:b/>
          <w:bCs/>
        </w:rPr>
      </w:pPr>
      <w:r w:rsidRPr="005917E5">
        <w:rPr>
          <w:rFonts w:ascii="Arial" w:hAnsi="Arial" w:cs="Arial"/>
          <w:b/>
          <w:bCs/>
          <w:lang w:val="fr-CI"/>
        </w:rPr>
        <w:t>2.2.</w:t>
      </w:r>
      <w:r w:rsidRPr="005917E5">
        <w:rPr>
          <w:rFonts w:ascii="Arial" w:hAnsi="Arial" w:cs="Arial"/>
          <w:b/>
          <w:bCs/>
        </w:rPr>
        <w:t>4. Accuracy Assessment of Classification</w:t>
      </w:r>
    </w:p>
    <w:p w14:paraId="38255B8E" w14:textId="6678BD0C" w:rsidR="005917E5" w:rsidRDefault="005917E5" w:rsidP="005917E5">
      <w:pPr>
        <w:pStyle w:val="Body"/>
        <w:spacing w:after="0"/>
        <w:rPr>
          <w:rFonts w:ascii="Arial" w:hAnsi="Arial" w:cs="Arial"/>
        </w:rPr>
      </w:pPr>
      <w:r w:rsidRPr="005917E5">
        <w:rPr>
          <w:rFonts w:ascii="Arial" w:hAnsi="Arial" w:cs="Arial"/>
        </w:rPr>
        <w:t>The reliability of the classifications was evaluated using a confusion matrix, comparing the assigned classes with independent reference points. Overall accuracy and Kappa indices were calculated to quantify the quality of the classification. An overall accuracy greater than 85% was considered nearly perfect or satisfactory.</w:t>
      </w:r>
    </w:p>
    <w:p w14:paraId="042A5EC0" w14:textId="298A397C" w:rsidR="0085021E" w:rsidRDefault="005917E5" w:rsidP="0085021E">
      <w:pPr>
        <w:pStyle w:val="Body"/>
        <w:spacing w:after="120"/>
        <w:rPr>
          <w:rFonts w:ascii="Arial" w:hAnsi="Arial" w:cs="Arial"/>
          <w:b/>
          <w:bCs/>
        </w:rPr>
      </w:pPr>
      <w:r>
        <w:rPr>
          <w:rFonts w:ascii="Arial" w:hAnsi="Arial" w:cs="Arial"/>
          <w:b/>
          <w:bCs/>
        </w:rPr>
        <w:lastRenderedPageBreak/>
        <w:t>2.2.</w:t>
      </w:r>
      <w:r w:rsidRPr="005917E5">
        <w:rPr>
          <w:rFonts w:ascii="Arial" w:hAnsi="Arial" w:cs="Arial"/>
          <w:b/>
          <w:bCs/>
        </w:rPr>
        <w:t xml:space="preserve">5. </w:t>
      </w:r>
      <w:r w:rsidR="0085021E" w:rsidRPr="0085021E">
        <w:rPr>
          <w:rFonts w:ascii="Arial" w:hAnsi="Arial" w:cs="Arial"/>
          <w:b/>
          <w:bCs/>
        </w:rPr>
        <w:t>Assessment of land use dynamics</w:t>
      </w:r>
    </w:p>
    <w:p w14:paraId="18D02C73" w14:textId="0B3C22A7" w:rsidR="00306E17" w:rsidRDefault="00306E17" w:rsidP="00306E17">
      <w:pPr>
        <w:pStyle w:val="Body"/>
        <w:rPr>
          <w:rFonts w:ascii="Arial" w:hAnsi="Arial" w:cs="Arial"/>
        </w:rPr>
      </w:pPr>
      <w:r w:rsidRPr="00306E17">
        <w:rPr>
          <w:rFonts w:ascii="Arial" w:hAnsi="Arial" w:cs="Arial"/>
        </w:rPr>
        <w:t>Land cover mapping was performed using supervised classification with the maximum likelihood algorithm. This algorithm was trained on a subset of data with known land cover classes. The classification was then extended to the entire study area to determine the coverage rate of each land cover type.</w:t>
      </w:r>
      <w:r>
        <w:rPr>
          <w:rFonts w:ascii="Arial" w:hAnsi="Arial" w:cs="Arial"/>
        </w:rPr>
        <w:t xml:space="preserve"> </w:t>
      </w:r>
      <w:r w:rsidRPr="00306E17">
        <w:rPr>
          <w:rFonts w:ascii="Arial" w:hAnsi="Arial" w:cs="Arial"/>
        </w:rPr>
        <w:t>To assess the classification quality, a confusion matrix was generated. The overall accuracy, corresponding to the ratio of correctly classified pixels to the total number of pixels, was calculated. This maximum likelihood method is widely used in supervised classifications and is considered one of the most effective algorithms for producing land cover maps</w:t>
      </w:r>
      <w:r w:rsidR="00FF5E5E" w:rsidRPr="00FF5E5E">
        <w:t xml:space="preserve"> </w:t>
      </w:r>
      <w:r w:rsidR="00FF5E5E" w:rsidRPr="00FF5E5E">
        <w:rPr>
          <w:b/>
          <w:bCs/>
        </w:rPr>
        <w:t>(</w:t>
      </w:r>
      <w:r w:rsidR="00FF5E5E" w:rsidRPr="00FF5E5E">
        <w:rPr>
          <w:rFonts w:ascii="Arial" w:hAnsi="Arial" w:cs="Arial"/>
          <w:b/>
          <w:bCs/>
        </w:rPr>
        <w:t>Konan-</w:t>
      </w:r>
      <w:proofErr w:type="spellStart"/>
      <w:r w:rsidR="00FF5E5E" w:rsidRPr="00FF5E5E">
        <w:rPr>
          <w:rFonts w:ascii="Arial" w:hAnsi="Arial" w:cs="Arial"/>
          <w:b/>
          <w:bCs/>
        </w:rPr>
        <w:t>Waidhet</w:t>
      </w:r>
      <w:proofErr w:type="spellEnd"/>
      <w:r w:rsidR="00FF5E5E" w:rsidRPr="00FF5E5E">
        <w:rPr>
          <w:rFonts w:ascii="Arial" w:hAnsi="Arial" w:cs="Arial"/>
          <w:b/>
          <w:bCs/>
        </w:rPr>
        <w:t xml:space="preserve"> et al.,202</w:t>
      </w:r>
      <w:r w:rsidR="00FF5E5E">
        <w:rPr>
          <w:rFonts w:ascii="Arial" w:hAnsi="Arial" w:cs="Arial"/>
          <w:b/>
          <w:bCs/>
        </w:rPr>
        <w:t>2</w:t>
      </w:r>
      <w:r w:rsidR="00FF5E5E" w:rsidRPr="00FF5E5E">
        <w:rPr>
          <w:rFonts w:ascii="Arial" w:hAnsi="Arial" w:cs="Arial"/>
          <w:b/>
          <w:bCs/>
        </w:rPr>
        <w:t>)</w:t>
      </w:r>
      <w:r w:rsidRPr="00306E17">
        <w:rPr>
          <w:rFonts w:ascii="Arial" w:hAnsi="Arial" w:cs="Arial"/>
        </w:rPr>
        <w:t xml:space="preserve">. </w:t>
      </w:r>
      <w:r w:rsidRPr="0085021E">
        <w:rPr>
          <w:rFonts w:ascii="Arial" w:hAnsi="Arial" w:cs="Arial"/>
        </w:rPr>
        <w:t xml:space="preserve">The </w:t>
      </w:r>
      <w:proofErr w:type="spellStart"/>
      <w:r w:rsidRPr="0085021E">
        <w:rPr>
          <w:rFonts w:ascii="Arial" w:hAnsi="Arial" w:cs="Arial"/>
        </w:rPr>
        <w:t>spatio</w:t>
      </w:r>
      <w:proofErr w:type="spellEnd"/>
      <w:r w:rsidRPr="0085021E">
        <w:rPr>
          <w:rFonts w:ascii="Arial" w:hAnsi="Arial" w:cs="Arial"/>
        </w:rPr>
        <w:t>-temporal dynamics were analyzed by comparing maps from different dates (2015–2020; 2020–2024; and 2015–2024) and calculating the rates of change for the classes using the formula</w:t>
      </w:r>
      <w:r w:rsidR="00F84B68">
        <w:rPr>
          <w:rFonts w:ascii="Arial" w:hAnsi="Arial" w:cs="Arial"/>
        </w:rPr>
        <w:t xml:space="preserve"> </w:t>
      </w:r>
      <w:r w:rsidR="00F84B68" w:rsidRPr="00F23F7F">
        <w:rPr>
          <w:rFonts w:ascii="Arial" w:hAnsi="Arial" w:cs="Arial"/>
          <w:b/>
          <w:bCs/>
        </w:rPr>
        <w:t>(</w:t>
      </w:r>
      <w:r w:rsidR="00F23F7F" w:rsidRPr="00F23F7F">
        <w:rPr>
          <w:rFonts w:ascii="Arial" w:hAnsi="Arial" w:cs="Arial"/>
          <w:b/>
          <w:bCs/>
        </w:rPr>
        <w:t>Al-</w:t>
      </w:r>
      <w:proofErr w:type="spellStart"/>
      <w:r w:rsidR="00F23F7F" w:rsidRPr="00F23F7F">
        <w:rPr>
          <w:rFonts w:ascii="Arial" w:hAnsi="Arial" w:cs="Arial"/>
          <w:b/>
          <w:bCs/>
        </w:rPr>
        <w:t>Akad</w:t>
      </w:r>
      <w:proofErr w:type="spellEnd"/>
      <w:r w:rsidR="00F23F7F">
        <w:rPr>
          <w:rFonts w:ascii="Arial" w:hAnsi="Arial" w:cs="Arial"/>
          <w:b/>
          <w:bCs/>
        </w:rPr>
        <w:t xml:space="preserve"> et al.,</w:t>
      </w:r>
      <w:proofErr w:type="gramStart"/>
      <w:r w:rsidR="00F23F7F">
        <w:rPr>
          <w:rFonts w:ascii="Arial" w:hAnsi="Arial" w:cs="Arial"/>
          <w:b/>
          <w:bCs/>
        </w:rPr>
        <w:t xml:space="preserve">2019 </w:t>
      </w:r>
      <w:r w:rsidR="00F23F7F" w:rsidRPr="00F23F7F">
        <w:rPr>
          <w:rFonts w:ascii="Arial" w:hAnsi="Arial" w:cs="Arial"/>
          <w:b/>
          <w:bCs/>
        </w:rPr>
        <w:t>;</w:t>
      </w:r>
      <w:proofErr w:type="gramEnd"/>
      <w:r w:rsidR="00F23F7F" w:rsidRPr="00F23F7F">
        <w:rPr>
          <w:rFonts w:ascii="Arial" w:hAnsi="Arial" w:cs="Arial"/>
          <w:b/>
          <w:bCs/>
        </w:rPr>
        <w:t xml:space="preserve"> Kouassi et al 2020</w:t>
      </w:r>
      <w:r w:rsidR="00F84B68" w:rsidRPr="00F23F7F">
        <w:rPr>
          <w:rFonts w:ascii="Arial" w:hAnsi="Arial" w:cs="Arial"/>
          <w:b/>
          <w:bCs/>
        </w:rPr>
        <w:t>)</w:t>
      </w:r>
      <w:r w:rsidR="00F84B68">
        <w:rPr>
          <w:rFonts w:ascii="Arial" w:hAnsi="Arial" w:cs="Arial"/>
        </w:rPr>
        <w:t>:</w:t>
      </w:r>
    </w:p>
    <w:p w14:paraId="4BB15AD0" w14:textId="77777777" w:rsidR="0085021E" w:rsidRDefault="0085021E" w:rsidP="0085021E">
      <w:pPr>
        <w:spacing w:line="360" w:lineRule="auto"/>
        <w:jc w:val="both"/>
        <w:rPr>
          <w:rFonts w:ascii="Arial" w:hAnsi="Arial" w:cs="Arial"/>
        </w:rPr>
      </w:pPr>
      <w:r w:rsidRPr="0085021E">
        <w:rPr>
          <w:rFonts w:ascii="Arial" w:hAnsi="Arial" w:cs="Arial"/>
        </w:rPr>
        <w:t>Rate of Change (%)</w:t>
      </w:r>
      <w:r>
        <w:rPr>
          <w:rFonts w:ascii="Arial" w:hAnsi="Arial" w:cs="Arial"/>
        </w:rPr>
        <w:t xml:space="preserve"> = </w:t>
      </w:r>
    </w:p>
    <w:p w14:paraId="3EC2661D" w14:textId="6DF5AD5C" w:rsidR="0085021E" w:rsidRPr="0085021E" w:rsidRDefault="0085021E" w:rsidP="0085021E">
      <w:pPr>
        <w:spacing w:line="360" w:lineRule="auto"/>
        <w:jc w:val="both"/>
        <w:rPr>
          <w:rFonts w:ascii="Arial" w:hAnsi="Arial" w:cs="Arial"/>
        </w:rPr>
      </w:pPr>
      <m:oMathPara>
        <m:oMath>
          <m:r>
            <w:rPr>
              <w:rFonts w:ascii="Cambria Math" w:eastAsia="DengXian" w:hAnsi="Cambria Math" w:cs="Cambria Math"/>
              <w:kern w:val="2"/>
              <w:sz w:val="24"/>
              <w:szCs w:val="24"/>
              <w:lang w:val="fr-FR" w:eastAsia="zh-CN"/>
              <w14:ligatures w14:val="standardContextual"/>
            </w:rPr>
            <m:t>Rate</m:t>
          </m:r>
          <m:r>
            <w:rPr>
              <w:rFonts w:ascii="Cambria Math" w:eastAsia="DengXian" w:hAnsi="Cambria Math" w:cs="Cambria Math"/>
              <w:kern w:val="2"/>
              <w:sz w:val="24"/>
              <w:szCs w:val="24"/>
              <w:lang w:eastAsia="zh-CN"/>
              <w14:ligatures w14:val="standardContextual"/>
            </w:rPr>
            <m:t xml:space="preserve"> </m:t>
          </m:r>
          <m:r>
            <w:rPr>
              <w:rFonts w:ascii="Cambria Math" w:eastAsia="DengXian" w:hAnsi="Cambria Math" w:cs="Cambria Math"/>
              <w:kern w:val="2"/>
              <w:sz w:val="24"/>
              <w:szCs w:val="24"/>
              <w:lang w:val="fr-FR" w:eastAsia="zh-CN"/>
              <w14:ligatures w14:val="standardContextual"/>
            </w:rPr>
            <m:t>of</m:t>
          </m:r>
          <m:r>
            <w:rPr>
              <w:rFonts w:ascii="Cambria Math" w:eastAsia="DengXian" w:hAnsi="Cambria Math" w:cs="Cambria Math"/>
              <w:kern w:val="2"/>
              <w:sz w:val="24"/>
              <w:szCs w:val="24"/>
              <w:lang w:eastAsia="zh-CN"/>
              <w14:ligatures w14:val="standardContextual"/>
            </w:rPr>
            <m:t xml:space="preserve"> </m:t>
          </m:r>
          <m:r>
            <w:rPr>
              <w:rFonts w:ascii="Cambria Math" w:eastAsia="DengXian" w:hAnsi="Cambria Math" w:cs="Cambria Math"/>
              <w:kern w:val="2"/>
              <w:sz w:val="24"/>
              <w:szCs w:val="24"/>
              <w:lang w:val="fr-FR" w:eastAsia="zh-CN"/>
              <w14:ligatures w14:val="standardContextual"/>
            </w:rPr>
            <m:t>C</m:t>
          </m:r>
          <m:r>
            <w:rPr>
              <w:rFonts w:ascii="Cambria Math" w:eastAsia="DengXian" w:hAnsi="Cambria Math" w:cs="Cambria Math"/>
              <w:kern w:val="2"/>
              <w:sz w:val="24"/>
              <w:szCs w:val="24"/>
              <w:lang w:eastAsia="zh-CN"/>
              <w14:ligatures w14:val="standardContextual"/>
            </w:rPr>
            <m:t>h</m:t>
          </m:r>
          <m:r>
            <w:rPr>
              <w:rFonts w:ascii="Cambria Math" w:eastAsia="DengXian" w:hAnsi="Cambria Math" w:cs="Cambria Math"/>
              <w:kern w:val="2"/>
              <w:sz w:val="24"/>
              <w:szCs w:val="24"/>
              <w:lang w:val="fr-FR" w:eastAsia="zh-CN"/>
              <w14:ligatures w14:val="standardContextual"/>
            </w:rPr>
            <m:t>ange</m:t>
          </m:r>
          <m:r>
            <w:rPr>
              <w:rFonts w:ascii="Cambria Math" w:eastAsia="DengXian" w:hAnsi="Cambria Math" w:cs="Cambria Math"/>
              <w:kern w:val="2"/>
              <w:sz w:val="24"/>
              <w:szCs w:val="24"/>
              <w:lang w:eastAsia="zh-CN"/>
              <w14:ligatures w14:val="standardContextual"/>
            </w:rPr>
            <m:t xml:space="preserve"> (%)</m:t>
          </m:r>
          <m:r>
            <m:rPr>
              <m:sty m:val="b"/>
            </m:rPr>
            <w:rPr>
              <w:rFonts w:ascii="Cambria Math" w:eastAsia="DengXian" w:hAnsi="Cambria Math" w:cs="Cambria Math"/>
              <w:kern w:val="2"/>
              <w:sz w:val="24"/>
              <w:szCs w:val="24"/>
              <w:lang w:eastAsia="zh-CN"/>
              <w14:ligatures w14:val="standardContextual"/>
            </w:rPr>
            <m:t>=(</m:t>
          </m:r>
          <m:f>
            <m:fPr>
              <m:ctrlPr>
                <w:rPr>
                  <w:rFonts w:ascii="Cambria Math" w:eastAsia="DengXian" w:hAnsi="Cambria Math"/>
                  <w:b/>
                  <w:bCs/>
                  <w:kern w:val="2"/>
                  <w:sz w:val="24"/>
                  <w:szCs w:val="24"/>
                  <w:lang w:val="fr-FR" w:eastAsia="zh-CN"/>
                  <w14:ligatures w14:val="standardContextual"/>
                </w:rPr>
              </m:ctrlPr>
            </m:fPr>
            <m:num>
              <w:bookmarkStart w:id="1" w:name="_Hlk214851784"/>
              <w:bookmarkStart w:id="2" w:name="_Hlk214851809"/>
              <m:sSub>
                <m:sSubPr>
                  <m:ctrlPr>
                    <w:rPr>
                      <w:rFonts w:ascii="Cambria Math" w:eastAsia="DengXian" w:hAnsi="Cambria Math" w:cs="Cambria Math"/>
                      <w:b/>
                      <w:bCs/>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A</m:t>
                  </m:r>
                </m:e>
                <m:sub>
                  <m:sSub>
                    <m:sSubPr>
                      <m:ctrlPr>
                        <w:rPr>
                          <w:rFonts w:ascii="Cambria Math" w:eastAsia="DengXian" w:hAnsi="Cambria Math" w:cs="Cambria Math"/>
                          <w:b/>
                          <w:bCs/>
                          <w:i/>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t</m:t>
                      </m:r>
                    </m:e>
                    <m:sub>
                      <m:r>
                        <m:rPr>
                          <m:sty m:val="bi"/>
                        </m:rPr>
                        <w:rPr>
                          <w:rFonts w:ascii="Cambria Math" w:eastAsia="DengXian" w:hAnsi="Cambria Math" w:cs="Cambria Math"/>
                          <w:kern w:val="2"/>
                          <w:sz w:val="24"/>
                          <w:szCs w:val="24"/>
                          <w:lang w:val="fr-FR" w:eastAsia="zh-CN"/>
                          <w14:ligatures w14:val="standardContextual"/>
                        </w:rPr>
                        <m:t>2</m:t>
                      </m:r>
                    </m:sub>
                  </m:sSub>
                  <m:r>
                    <m:rPr>
                      <m:sty m:val="bi"/>
                    </m:rPr>
                    <w:rPr>
                      <w:rFonts w:ascii="Cambria Math" w:eastAsia="DengXian" w:hAnsi="Cambria Math" w:cs="Cambria Math"/>
                      <w:kern w:val="2"/>
                      <w:sz w:val="24"/>
                      <w:szCs w:val="24"/>
                      <w:lang w:eastAsia="zh-CN"/>
                      <w14:ligatures w14:val="standardContextual"/>
                    </w:rPr>
                    <m:t xml:space="preserve"> </m:t>
                  </m:r>
                </m:sub>
              </m:sSub>
              <w:bookmarkEnd w:id="1"/>
              <m:r>
                <m:rPr>
                  <m:sty m:val="bi"/>
                </m:rPr>
                <w:rPr>
                  <w:rFonts w:ascii="Cambria Math" w:eastAsia="DengXian" w:hAnsi="Cambria Math" w:cs="Cambria Math"/>
                  <w:kern w:val="2"/>
                  <w:sz w:val="24"/>
                  <w:szCs w:val="24"/>
                  <w:lang w:eastAsia="zh-CN"/>
                  <w14:ligatures w14:val="standardContextual"/>
                </w:rPr>
                <m:t>-</m:t>
              </m:r>
              <m:sSub>
                <m:sSubPr>
                  <m:ctrlPr>
                    <w:rPr>
                      <w:rFonts w:ascii="Cambria Math" w:eastAsia="DengXian" w:hAnsi="Cambria Math" w:cs="Cambria Math"/>
                      <w:b/>
                      <w:bCs/>
                      <w:i/>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A</m:t>
                  </m:r>
                </m:e>
                <m:sub>
                  <m:sSub>
                    <m:sSubPr>
                      <m:ctrlPr>
                        <w:rPr>
                          <w:rFonts w:ascii="Cambria Math" w:eastAsia="DengXian" w:hAnsi="Cambria Math" w:cs="Cambria Math"/>
                          <w:b/>
                          <w:bCs/>
                          <w:i/>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t</m:t>
                      </m:r>
                    </m:e>
                    <m:sub>
                      <m:r>
                        <m:rPr>
                          <m:sty m:val="bi"/>
                        </m:rPr>
                        <w:rPr>
                          <w:rFonts w:ascii="Cambria Math" w:eastAsia="DengXian" w:hAnsi="Cambria Math" w:cs="Cambria Math"/>
                          <w:kern w:val="2"/>
                          <w:sz w:val="24"/>
                          <w:szCs w:val="24"/>
                          <w:lang w:val="fr-FR" w:eastAsia="zh-CN"/>
                          <w14:ligatures w14:val="standardContextual"/>
                        </w:rPr>
                        <m:t>1</m:t>
                      </m:r>
                    </m:sub>
                  </m:sSub>
                </m:sub>
              </m:sSub>
              <w:bookmarkEnd w:id="2"/>
            </m:num>
            <m:den>
              <m:sSub>
                <m:sSubPr>
                  <m:ctrlPr>
                    <w:rPr>
                      <w:rFonts w:ascii="Cambria Math" w:eastAsia="DengXian" w:hAnsi="Cambria Math" w:cs="Cambria Math"/>
                      <w:b/>
                      <w:bCs/>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A</m:t>
                  </m:r>
                </m:e>
                <m:sub>
                  <m:sSub>
                    <m:sSubPr>
                      <m:ctrlPr>
                        <w:rPr>
                          <w:rFonts w:ascii="Cambria Math" w:eastAsia="DengXian" w:hAnsi="Cambria Math" w:cs="Cambria Math"/>
                          <w:b/>
                          <w:bCs/>
                          <w:i/>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t</m:t>
                      </m:r>
                    </m:e>
                    <m:sub>
                      <m:r>
                        <m:rPr>
                          <m:sty m:val="bi"/>
                        </m:rPr>
                        <w:rPr>
                          <w:rFonts w:ascii="Cambria Math" w:eastAsia="DengXian" w:hAnsi="Cambria Math" w:cs="Cambria Math"/>
                          <w:kern w:val="2"/>
                          <w:sz w:val="24"/>
                          <w:szCs w:val="24"/>
                          <w:lang w:val="fr-FR" w:eastAsia="zh-CN"/>
                          <w14:ligatures w14:val="standardContextual"/>
                        </w:rPr>
                        <m:t>1</m:t>
                      </m:r>
                    </m:sub>
                  </m:sSub>
                </m:sub>
              </m:sSub>
            </m:den>
          </m:f>
          <m:r>
            <m:rPr>
              <m:sty m:val="bi"/>
            </m:rPr>
            <w:rPr>
              <w:rFonts w:ascii="Cambria Math" w:eastAsia="DengXian" w:hAnsi="Cambria Math"/>
              <w:kern w:val="2"/>
              <w:sz w:val="24"/>
              <w:szCs w:val="24"/>
              <w:lang w:eastAsia="zh-CN"/>
              <w14:ligatures w14:val="standardContextual"/>
            </w:rPr>
            <m:t>)×</m:t>
          </m:r>
          <m:r>
            <m:rPr>
              <m:sty m:val="bi"/>
            </m:rPr>
            <w:rPr>
              <w:rFonts w:ascii="Cambria Math" w:eastAsia="DengXian" w:hAnsi="Cambria Math"/>
              <w:kern w:val="2"/>
              <w:sz w:val="24"/>
              <w:szCs w:val="24"/>
              <w:lang w:val="fr-FR" w:eastAsia="zh-CN"/>
              <w14:ligatures w14:val="standardContextual"/>
            </w:rPr>
            <m:t>100</m:t>
          </m:r>
        </m:oMath>
      </m:oMathPara>
    </w:p>
    <w:p w14:paraId="28A147C6" w14:textId="77777777" w:rsidR="0085021E" w:rsidRPr="0085021E" w:rsidRDefault="0085021E" w:rsidP="00901D48">
      <w:pPr>
        <w:pStyle w:val="Body"/>
        <w:spacing w:after="120"/>
        <w:rPr>
          <w:rFonts w:ascii="Arial" w:hAnsi="Arial" w:cs="Arial"/>
        </w:rPr>
      </w:pPr>
      <w:r w:rsidRPr="0085021E">
        <w:rPr>
          <w:rFonts w:ascii="Arial" w:hAnsi="Arial" w:cs="Arial"/>
        </w:rPr>
        <w:t>Where:</w:t>
      </w:r>
    </w:p>
    <w:p w14:paraId="37C5C580" w14:textId="1A3C1AB5" w:rsidR="0085021E" w:rsidRPr="0085021E" w:rsidRDefault="00914DB7" w:rsidP="00901D48">
      <w:pPr>
        <w:pStyle w:val="Body"/>
        <w:spacing w:after="0"/>
        <w:rPr>
          <w:rFonts w:ascii="Arial" w:hAnsi="Arial" w:cs="Arial"/>
        </w:rPr>
      </w:pPr>
      <m:oMath>
        <m:sSub>
          <m:sSubPr>
            <m:ctrlPr>
              <w:rPr>
                <w:rFonts w:ascii="Cambria Math" w:eastAsia="DengXian" w:hAnsi="Cambria Math" w:cs="Cambria Math"/>
                <w:b/>
                <w:bCs/>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A</m:t>
            </m:r>
          </m:e>
          <m:sub>
            <m:sSub>
              <m:sSubPr>
                <m:ctrlPr>
                  <w:rPr>
                    <w:rFonts w:ascii="Cambria Math" w:eastAsia="DengXian" w:hAnsi="Cambria Math" w:cs="Cambria Math"/>
                    <w:b/>
                    <w:bCs/>
                    <w:i/>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t</m:t>
                </m:r>
              </m:e>
              <m:sub>
                <m:r>
                  <m:rPr>
                    <m:sty m:val="bi"/>
                  </m:rPr>
                  <w:rPr>
                    <w:rFonts w:ascii="Cambria Math" w:eastAsia="DengXian" w:hAnsi="Cambria Math" w:cs="Cambria Math"/>
                    <w:kern w:val="2"/>
                    <w:sz w:val="24"/>
                    <w:szCs w:val="24"/>
                    <w:lang w:val="fr-FR" w:eastAsia="zh-CN"/>
                    <w14:ligatures w14:val="standardContextual"/>
                  </w:rPr>
                  <m:t>1</m:t>
                </m:r>
              </m:sub>
            </m:sSub>
            <m:r>
              <m:rPr>
                <m:sty m:val="bi"/>
              </m:rPr>
              <w:rPr>
                <w:rFonts w:ascii="Cambria Math" w:eastAsia="DengXian" w:hAnsi="Cambria Math" w:cs="Cambria Math"/>
                <w:kern w:val="2"/>
                <w:sz w:val="24"/>
                <w:szCs w:val="24"/>
                <w:lang w:eastAsia="zh-CN"/>
                <w14:ligatures w14:val="standardContextual"/>
              </w:rPr>
              <m:t xml:space="preserve"> </m:t>
            </m:r>
          </m:sub>
        </m:sSub>
      </m:oMath>
      <w:r w:rsidR="0085021E" w:rsidRPr="0085021E">
        <w:rPr>
          <w:rFonts w:ascii="Arial" w:hAnsi="Arial" w:cs="Arial"/>
        </w:rPr>
        <w:t>: Area of the land cover class at the initial date (e.g., 2015), expressed in hectares or km².</w:t>
      </w:r>
    </w:p>
    <w:p w14:paraId="7F5D67FF" w14:textId="617219D8" w:rsidR="0085021E" w:rsidRPr="0085021E" w:rsidRDefault="00914DB7" w:rsidP="00901D48">
      <w:pPr>
        <w:pStyle w:val="Body"/>
        <w:spacing w:after="0"/>
        <w:rPr>
          <w:rFonts w:ascii="Arial" w:hAnsi="Arial" w:cs="Arial"/>
        </w:rPr>
      </w:pPr>
      <m:oMath>
        <m:sSub>
          <m:sSubPr>
            <m:ctrlPr>
              <w:rPr>
                <w:rFonts w:ascii="Cambria Math" w:eastAsia="DengXian" w:hAnsi="Cambria Math" w:cs="Cambria Math"/>
                <w:b/>
                <w:bCs/>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A</m:t>
            </m:r>
          </m:e>
          <m:sub>
            <m:sSub>
              <m:sSubPr>
                <m:ctrlPr>
                  <w:rPr>
                    <w:rFonts w:ascii="Cambria Math" w:eastAsia="DengXian" w:hAnsi="Cambria Math" w:cs="Cambria Math"/>
                    <w:b/>
                    <w:bCs/>
                    <w:i/>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t</m:t>
                </m:r>
              </m:e>
              <m:sub>
                <m:r>
                  <m:rPr>
                    <m:sty m:val="bi"/>
                  </m:rPr>
                  <w:rPr>
                    <w:rFonts w:ascii="Cambria Math" w:eastAsia="DengXian" w:hAnsi="Cambria Math" w:cs="Cambria Math"/>
                    <w:kern w:val="2"/>
                    <w:sz w:val="24"/>
                    <w:szCs w:val="24"/>
                    <w:lang w:val="fr-FR" w:eastAsia="zh-CN"/>
                    <w14:ligatures w14:val="standardContextual"/>
                  </w:rPr>
                  <m:t>2</m:t>
                </m:r>
              </m:sub>
            </m:sSub>
            <m:r>
              <m:rPr>
                <m:sty m:val="bi"/>
              </m:rPr>
              <w:rPr>
                <w:rFonts w:ascii="Cambria Math" w:eastAsia="DengXian" w:hAnsi="Cambria Math" w:cs="Cambria Math"/>
                <w:kern w:val="2"/>
                <w:sz w:val="24"/>
                <w:szCs w:val="24"/>
                <w:lang w:eastAsia="zh-CN"/>
                <w14:ligatures w14:val="standardContextual"/>
              </w:rPr>
              <m:t xml:space="preserve"> </m:t>
            </m:r>
          </m:sub>
        </m:sSub>
      </m:oMath>
      <w:r w:rsidR="0085021E" w:rsidRPr="0085021E">
        <w:rPr>
          <w:rFonts w:ascii="Arial" w:hAnsi="Arial" w:cs="Arial"/>
        </w:rPr>
        <w:t>Area of</w:t>
      </w:r>
      <w:r w:rsidR="0085021E">
        <w:rPr>
          <w:rFonts w:ascii="Arial" w:hAnsi="Arial" w:cs="Arial"/>
        </w:rPr>
        <w:t xml:space="preserve"> </w:t>
      </w:r>
      <w:r w:rsidR="0085021E" w:rsidRPr="0085021E">
        <w:rPr>
          <w:rFonts w:ascii="Arial" w:hAnsi="Arial" w:cs="Arial"/>
        </w:rPr>
        <w:t>the same class at the final date (e.g., 2020 or 2024).</w:t>
      </w:r>
    </w:p>
    <w:p w14:paraId="65D33F59" w14:textId="51E0ACB8" w:rsidR="0085021E" w:rsidRDefault="00914DB7" w:rsidP="00901D48">
      <w:pPr>
        <w:pStyle w:val="Body"/>
        <w:spacing w:after="120"/>
        <w:rPr>
          <w:rFonts w:ascii="Arial" w:hAnsi="Arial" w:cs="Arial"/>
        </w:rPr>
      </w:pPr>
      <m:oMath>
        <m:sSub>
          <m:sSubPr>
            <m:ctrlPr>
              <w:rPr>
                <w:rFonts w:ascii="Cambria Math" w:eastAsia="DengXian" w:hAnsi="Cambria Math" w:cs="Cambria Math"/>
                <w:b/>
                <w:bCs/>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A</m:t>
            </m:r>
          </m:e>
          <m:sub>
            <m:sSub>
              <m:sSubPr>
                <m:ctrlPr>
                  <w:rPr>
                    <w:rFonts w:ascii="Cambria Math" w:eastAsia="DengXian" w:hAnsi="Cambria Math" w:cs="Cambria Math"/>
                    <w:b/>
                    <w:bCs/>
                    <w:i/>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t</m:t>
                </m:r>
              </m:e>
              <m:sub>
                <m:r>
                  <m:rPr>
                    <m:sty m:val="bi"/>
                  </m:rPr>
                  <w:rPr>
                    <w:rFonts w:ascii="Cambria Math" w:eastAsia="DengXian" w:hAnsi="Cambria Math" w:cs="Cambria Math"/>
                    <w:kern w:val="2"/>
                    <w:sz w:val="24"/>
                    <w:szCs w:val="24"/>
                    <w:lang w:val="fr-FR" w:eastAsia="zh-CN"/>
                    <w14:ligatures w14:val="standardContextual"/>
                  </w:rPr>
                  <m:t>2</m:t>
                </m:r>
              </m:sub>
            </m:sSub>
            <m:r>
              <m:rPr>
                <m:sty m:val="bi"/>
              </m:rPr>
              <w:rPr>
                <w:rFonts w:ascii="Cambria Math" w:eastAsia="DengXian" w:hAnsi="Cambria Math" w:cs="Cambria Math"/>
                <w:kern w:val="2"/>
                <w:sz w:val="24"/>
                <w:szCs w:val="24"/>
                <w:lang w:eastAsia="zh-CN"/>
                <w14:ligatures w14:val="standardContextual"/>
              </w:rPr>
              <m:t xml:space="preserve"> </m:t>
            </m:r>
          </m:sub>
        </m:sSub>
        <m:r>
          <m:rPr>
            <m:sty m:val="bi"/>
          </m:rPr>
          <w:rPr>
            <w:rFonts w:ascii="Cambria Math" w:eastAsia="DengXian" w:hAnsi="Cambria Math" w:cs="Cambria Math"/>
            <w:kern w:val="2"/>
            <w:sz w:val="24"/>
            <w:szCs w:val="24"/>
            <w:lang w:eastAsia="zh-CN"/>
            <w14:ligatures w14:val="standardContextual"/>
          </w:rPr>
          <m:t>-</m:t>
        </m:r>
        <m:sSub>
          <m:sSubPr>
            <m:ctrlPr>
              <w:rPr>
                <w:rFonts w:ascii="Cambria Math" w:eastAsia="DengXian" w:hAnsi="Cambria Math" w:cs="Cambria Math"/>
                <w:b/>
                <w:bCs/>
                <w:i/>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A</m:t>
            </m:r>
          </m:e>
          <m:sub>
            <m:sSub>
              <m:sSubPr>
                <m:ctrlPr>
                  <w:rPr>
                    <w:rFonts w:ascii="Cambria Math" w:eastAsia="DengXian" w:hAnsi="Cambria Math" w:cs="Cambria Math"/>
                    <w:b/>
                    <w:bCs/>
                    <w:i/>
                    <w:kern w:val="2"/>
                    <w:sz w:val="24"/>
                    <w:szCs w:val="24"/>
                    <w:lang w:val="fr-FR" w:eastAsia="zh-CN"/>
                    <w14:ligatures w14:val="standardContextual"/>
                  </w:rPr>
                </m:ctrlPr>
              </m:sSubPr>
              <m:e>
                <m:r>
                  <m:rPr>
                    <m:sty m:val="bi"/>
                  </m:rPr>
                  <w:rPr>
                    <w:rFonts w:ascii="Cambria Math" w:eastAsia="DengXian" w:hAnsi="Cambria Math" w:cs="Cambria Math"/>
                    <w:kern w:val="2"/>
                    <w:sz w:val="24"/>
                    <w:szCs w:val="24"/>
                    <w:lang w:val="fr-FR" w:eastAsia="zh-CN"/>
                    <w14:ligatures w14:val="standardContextual"/>
                  </w:rPr>
                  <m:t>t</m:t>
                </m:r>
              </m:e>
              <m:sub>
                <m:r>
                  <m:rPr>
                    <m:sty m:val="bi"/>
                  </m:rPr>
                  <w:rPr>
                    <w:rFonts w:ascii="Cambria Math" w:eastAsia="DengXian" w:hAnsi="Cambria Math" w:cs="Cambria Math"/>
                    <w:kern w:val="2"/>
                    <w:sz w:val="24"/>
                    <w:szCs w:val="24"/>
                    <w:lang w:val="fr-FR" w:eastAsia="zh-CN"/>
                    <w14:ligatures w14:val="standardContextual"/>
                  </w:rPr>
                  <m:t>1</m:t>
                </m:r>
              </m:sub>
            </m:sSub>
          </m:sub>
        </m:sSub>
      </m:oMath>
      <w:r w:rsidR="0085021E" w:rsidRPr="0085021E">
        <w:rPr>
          <w:rFonts w:ascii="Arial" w:hAnsi="Arial" w:cs="Arial"/>
        </w:rPr>
        <w:t>: Absolute change in area between the two dates (gain or loss).</w:t>
      </w:r>
    </w:p>
    <w:p w14:paraId="7CBD61AA" w14:textId="77777777" w:rsidR="00F33833" w:rsidRDefault="00F33833" w:rsidP="00F33833">
      <w:pPr>
        <w:pStyle w:val="Body"/>
        <w:spacing w:after="120"/>
        <w:rPr>
          <w:rFonts w:ascii="Arial" w:hAnsi="Arial" w:cs="Arial"/>
        </w:rPr>
      </w:pPr>
      <w:r w:rsidRPr="00F33833">
        <w:rPr>
          <w:rFonts w:ascii="Arial" w:hAnsi="Arial" w:cs="Arial"/>
        </w:rPr>
        <w:t xml:space="preserve">When: </w:t>
      </w:r>
      <w:r w:rsidRPr="00F33833">
        <w:rPr>
          <w:rFonts w:ascii="Cambria Math" w:hAnsi="Cambria Math" w:cs="Cambria Math"/>
          <w:b/>
          <w:bCs/>
        </w:rPr>
        <w:t>𝑇𝑎𝑛𝑛𝑢𝑒𝑙</w:t>
      </w:r>
      <w:r w:rsidRPr="00F33833">
        <w:rPr>
          <w:rFonts w:ascii="Arial" w:hAnsi="Arial" w:cs="Arial"/>
          <w:b/>
          <w:bCs/>
        </w:rPr>
        <w:t xml:space="preserve"> </w:t>
      </w:r>
      <w:r w:rsidRPr="00F33833">
        <w:rPr>
          <w:rFonts w:ascii="Cambria Math" w:hAnsi="Cambria Math" w:cs="Cambria Math"/>
          <w:b/>
          <w:bCs/>
        </w:rPr>
        <w:t>𝑒𝑡</w:t>
      </w:r>
      <w:r w:rsidRPr="00F33833">
        <w:rPr>
          <w:rFonts w:ascii="Arial" w:hAnsi="Arial" w:cs="Arial"/>
          <w:b/>
          <w:bCs/>
        </w:rPr>
        <w:t xml:space="preserve"> </w:t>
      </w:r>
      <w:r w:rsidRPr="00F33833">
        <w:rPr>
          <w:rFonts w:ascii="Cambria Math" w:hAnsi="Cambria Math" w:cs="Cambria Math"/>
          <w:b/>
          <w:bCs/>
        </w:rPr>
        <w:t>𝑔𝑙𝑜𝑏𝑎𝑙</w:t>
      </w:r>
      <w:r w:rsidRPr="00F33833">
        <w:rPr>
          <w:rFonts w:ascii="Arial" w:hAnsi="Arial" w:cs="Arial"/>
          <w:b/>
          <w:bCs/>
        </w:rPr>
        <w:t xml:space="preserve"> &gt; 0</w:t>
      </w:r>
      <w:r w:rsidRPr="00F33833">
        <w:rPr>
          <w:rFonts w:ascii="Arial" w:hAnsi="Arial" w:cs="Arial"/>
        </w:rPr>
        <w:t>, there is an expansion of the unit. We</w:t>
      </w:r>
      <w:r>
        <w:rPr>
          <w:rFonts w:ascii="Arial" w:hAnsi="Arial" w:cs="Arial"/>
        </w:rPr>
        <w:t xml:space="preserve"> </w:t>
      </w:r>
      <w:r w:rsidRPr="00F33833">
        <w:rPr>
          <w:rFonts w:ascii="Arial" w:hAnsi="Arial" w:cs="Arial"/>
        </w:rPr>
        <w:t>accept that positive values represent an increase in the</w:t>
      </w:r>
      <w:r>
        <w:rPr>
          <w:rFonts w:ascii="Arial" w:hAnsi="Arial" w:cs="Arial"/>
        </w:rPr>
        <w:t xml:space="preserve"> </w:t>
      </w:r>
      <w:r w:rsidRPr="00F33833">
        <w:rPr>
          <w:rFonts w:ascii="Arial" w:hAnsi="Arial" w:cs="Arial"/>
        </w:rPr>
        <w:t xml:space="preserve">area during the observation period; </w:t>
      </w:r>
    </w:p>
    <w:p w14:paraId="2F738131" w14:textId="54EC7DC9" w:rsidR="00F33833" w:rsidRDefault="00F33833" w:rsidP="00F33833">
      <w:pPr>
        <w:pStyle w:val="Body"/>
        <w:spacing w:after="120"/>
        <w:rPr>
          <w:rFonts w:ascii="Arial" w:hAnsi="Arial" w:cs="Arial"/>
        </w:rPr>
      </w:pPr>
      <w:bookmarkStart w:id="3" w:name="_Hlk214852901"/>
      <w:r w:rsidRPr="00F33833">
        <w:rPr>
          <w:rFonts w:ascii="Cambria Math" w:hAnsi="Cambria Math" w:cs="Cambria Math"/>
          <w:b/>
          <w:bCs/>
        </w:rPr>
        <w:t>𝑇𝑎𝑛𝑛𝑢𝑒𝑙</w:t>
      </w:r>
      <w:r w:rsidRPr="00F33833">
        <w:rPr>
          <w:rFonts w:ascii="Arial" w:hAnsi="Arial" w:cs="Arial"/>
          <w:b/>
          <w:bCs/>
        </w:rPr>
        <w:t xml:space="preserve"> </w:t>
      </w:r>
      <w:r w:rsidRPr="00F33833">
        <w:rPr>
          <w:rFonts w:ascii="Cambria Math" w:hAnsi="Cambria Math" w:cs="Cambria Math"/>
          <w:b/>
          <w:bCs/>
        </w:rPr>
        <w:t>𝑒𝑡</w:t>
      </w:r>
      <w:r w:rsidRPr="00F33833">
        <w:rPr>
          <w:rFonts w:ascii="Arial" w:hAnsi="Arial" w:cs="Arial"/>
          <w:b/>
          <w:bCs/>
        </w:rPr>
        <w:t xml:space="preserve"> </w:t>
      </w:r>
      <w:r w:rsidRPr="00F33833">
        <w:rPr>
          <w:rFonts w:ascii="Cambria Math" w:hAnsi="Cambria Math" w:cs="Cambria Math"/>
          <w:b/>
          <w:bCs/>
        </w:rPr>
        <w:t>𝑔𝑙𝑜𝑏𝑎𝑙</w:t>
      </w:r>
      <w:r w:rsidRPr="00F33833">
        <w:rPr>
          <w:rFonts w:ascii="Arial" w:hAnsi="Arial" w:cs="Arial"/>
          <w:b/>
          <w:bCs/>
        </w:rPr>
        <w:t xml:space="preserve"> </w:t>
      </w:r>
      <w:bookmarkEnd w:id="3"/>
      <w:r w:rsidRPr="00F33833">
        <w:rPr>
          <w:rFonts w:ascii="Arial" w:hAnsi="Arial" w:cs="Arial"/>
          <w:b/>
          <w:bCs/>
        </w:rPr>
        <w:t>&lt; 0</w:t>
      </w:r>
      <w:r w:rsidRPr="00F33833">
        <w:rPr>
          <w:rFonts w:ascii="Arial" w:hAnsi="Arial" w:cs="Arial"/>
        </w:rPr>
        <w:t>, there is</w:t>
      </w:r>
      <w:r>
        <w:rPr>
          <w:rFonts w:ascii="Arial" w:hAnsi="Arial" w:cs="Arial"/>
        </w:rPr>
        <w:t xml:space="preserve"> </w:t>
      </w:r>
      <w:r w:rsidRPr="00F33833">
        <w:rPr>
          <w:rFonts w:ascii="Arial" w:hAnsi="Arial" w:cs="Arial"/>
        </w:rPr>
        <w:t>a decrease in this unit and we can conclude that negative</w:t>
      </w:r>
      <w:r>
        <w:rPr>
          <w:rFonts w:ascii="Arial" w:hAnsi="Arial" w:cs="Arial"/>
        </w:rPr>
        <w:t xml:space="preserve"> </w:t>
      </w:r>
      <w:r w:rsidRPr="00F33833">
        <w:rPr>
          <w:rFonts w:ascii="Arial" w:hAnsi="Arial" w:cs="Arial"/>
        </w:rPr>
        <w:t>values indicate a loss of area between the two dates;</w:t>
      </w:r>
    </w:p>
    <w:p w14:paraId="4DC22A2F" w14:textId="77777777" w:rsidR="003D01CF" w:rsidRDefault="00F33833" w:rsidP="003D01CF">
      <w:pPr>
        <w:pStyle w:val="Body"/>
        <w:spacing w:after="120"/>
        <w:rPr>
          <w:rFonts w:ascii="Arial" w:hAnsi="Arial" w:cs="Arial"/>
        </w:rPr>
      </w:pPr>
      <w:r w:rsidRPr="00F33833">
        <w:rPr>
          <w:rFonts w:ascii="Cambria Math" w:hAnsi="Cambria Math" w:cs="Cambria Math"/>
          <w:b/>
          <w:bCs/>
        </w:rPr>
        <w:t>𝑇𝑎𝑛𝑛𝑢𝑒𝑙</w:t>
      </w:r>
      <w:r w:rsidRPr="00F33833">
        <w:rPr>
          <w:rFonts w:ascii="Arial" w:hAnsi="Arial" w:cs="Arial"/>
          <w:b/>
          <w:bCs/>
        </w:rPr>
        <w:t xml:space="preserve"> </w:t>
      </w:r>
      <w:r w:rsidRPr="00F33833">
        <w:rPr>
          <w:rFonts w:ascii="Cambria Math" w:hAnsi="Cambria Math" w:cs="Cambria Math"/>
          <w:b/>
          <w:bCs/>
        </w:rPr>
        <w:t>𝑒𝑡</w:t>
      </w:r>
      <w:r w:rsidRPr="00F33833">
        <w:rPr>
          <w:rFonts w:ascii="Arial" w:hAnsi="Arial" w:cs="Arial"/>
          <w:b/>
          <w:bCs/>
        </w:rPr>
        <w:t xml:space="preserve"> </w:t>
      </w:r>
      <w:r w:rsidRPr="00F33833">
        <w:rPr>
          <w:rFonts w:ascii="Cambria Math" w:hAnsi="Cambria Math" w:cs="Cambria Math"/>
          <w:b/>
          <w:bCs/>
        </w:rPr>
        <w:t>𝑔𝑙𝑜𝑏𝑎𝑙</w:t>
      </w:r>
      <w:r w:rsidRPr="00F33833">
        <w:rPr>
          <w:rFonts w:ascii="Arial" w:hAnsi="Arial" w:cs="Arial"/>
          <w:b/>
          <w:bCs/>
        </w:rPr>
        <w:t xml:space="preserve"> </w:t>
      </w:r>
      <w:r w:rsidRPr="00F33833">
        <w:rPr>
          <w:rFonts w:ascii="Arial" w:hAnsi="Arial" w:cs="Arial"/>
        </w:rPr>
        <w:t>= 0, there is stability (no change in the unit).</w:t>
      </w:r>
      <w:r>
        <w:rPr>
          <w:rFonts w:ascii="Arial" w:hAnsi="Arial" w:cs="Arial"/>
        </w:rPr>
        <w:t xml:space="preserve"> </w:t>
      </w:r>
      <w:r w:rsidRPr="00F33833">
        <w:rPr>
          <w:rFonts w:ascii="Arial" w:hAnsi="Arial" w:cs="Arial"/>
        </w:rPr>
        <w:t>Values close to zero mean that the class remains relatively stable</w:t>
      </w:r>
      <w:r>
        <w:rPr>
          <w:rFonts w:ascii="Arial" w:hAnsi="Arial" w:cs="Arial"/>
        </w:rPr>
        <w:t xml:space="preserve"> </w:t>
      </w:r>
      <w:r w:rsidRPr="00F33833">
        <w:rPr>
          <w:rFonts w:ascii="Arial" w:hAnsi="Arial" w:cs="Arial"/>
        </w:rPr>
        <w:t>between the two observation dates.</w:t>
      </w:r>
      <w:r>
        <w:rPr>
          <w:rFonts w:ascii="Arial" w:hAnsi="Arial" w:cs="Arial"/>
        </w:rPr>
        <w:t xml:space="preserve"> </w:t>
      </w:r>
    </w:p>
    <w:p w14:paraId="1C7427AF" w14:textId="0761CB55" w:rsidR="0085021E" w:rsidRDefault="003D01CF" w:rsidP="003D01CF">
      <w:pPr>
        <w:pStyle w:val="Body"/>
        <w:spacing w:after="120"/>
        <w:rPr>
          <w:rFonts w:ascii="Arial" w:hAnsi="Arial" w:cs="Arial"/>
        </w:rPr>
      </w:pPr>
      <w:r w:rsidRPr="003D01CF">
        <w:rPr>
          <w:rFonts w:ascii="Arial" w:hAnsi="Arial" w:cs="Arial"/>
        </w:rPr>
        <w:t>Thus, the following cartographic synthesis operations were carried out to obtain the evolution of land cover classes.</w:t>
      </w:r>
      <w:r>
        <w:rPr>
          <w:rFonts w:ascii="Arial" w:hAnsi="Arial" w:cs="Arial"/>
        </w:rPr>
        <w:t xml:space="preserve"> </w:t>
      </w:r>
      <w:r w:rsidR="0085021E" w:rsidRPr="0085021E">
        <w:rPr>
          <w:rFonts w:ascii="Arial" w:hAnsi="Arial" w:cs="Arial"/>
        </w:rPr>
        <w:t>This approach made it possible to identify the major changes and trends of expansion or regression of land cover classes between 2015, 2020 and 2024</w:t>
      </w:r>
    </w:p>
    <w:p w14:paraId="5BE01D98" w14:textId="226A30DF" w:rsidR="005917E5" w:rsidRDefault="005917E5" w:rsidP="0032612A">
      <w:pPr>
        <w:pStyle w:val="Body"/>
        <w:spacing w:after="120"/>
        <w:rPr>
          <w:rFonts w:ascii="Arial" w:hAnsi="Arial" w:cs="Arial"/>
          <w:b/>
          <w:bCs/>
        </w:rPr>
      </w:pPr>
      <w:r>
        <w:rPr>
          <w:rFonts w:ascii="Arial" w:hAnsi="Arial" w:cs="Arial"/>
          <w:b/>
          <w:bCs/>
        </w:rPr>
        <w:t xml:space="preserve">2.2.6 </w:t>
      </w:r>
      <w:r w:rsidRPr="005917E5">
        <w:rPr>
          <w:rFonts w:ascii="Arial" w:hAnsi="Arial" w:cs="Arial"/>
          <w:b/>
          <w:bCs/>
        </w:rPr>
        <w:t>Cartographic Production and Interpretation</w:t>
      </w:r>
    </w:p>
    <w:p w14:paraId="72EDCD3C" w14:textId="00D99A21" w:rsidR="00FA244D" w:rsidRPr="005917E5" w:rsidRDefault="005917E5" w:rsidP="00FA244D">
      <w:pPr>
        <w:pStyle w:val="Body"/>
        <w:spacing w:after="0"/>
        <w:rPr>
          <w:rFonts w:ascii="Arial" w:hAnsi="Arial" w:cs="Arial"/>
        </w:rPr>
      </w:pPr>
      <w:r w:rsidRPr="005917E5">
        <w:rPr>
          <w:rFonts w:ascii="Arial" w:hAnsi="Arial" w:cs="Arial"/>
        </w:rPr>
        <w:t>The final maps were produced using QGIS 3.4.1, incorporating standard cartographic elements: title, legend, orientation, scale, geographic coordinates, and data sources.</w:t>
      </w:r>
      <w:r w:rsidRPr="005917E5">
        <w:rPr>
          <w:rFonts w:ascii="Arial" w:hAnsi="Arial" w:cs="Arial"/>
        </w:rPr>
        <w:br/>
        <w:t xml:space="preserve">The interpretation of results was based on comparing the observed trends, allowing for the assessment of the extent of </w:t>
      </w:r>
      <w:proofErr w:type="spellStart"/>
      <w:r w:rsidRPr="005917E5">
        <w:rPr>
          <w:rFonts w:ascii="Arial" w:hAnsi="Arial" w:cs="Arial"/>
        </w:rPr>
        <w:t>anthropization</w:t>
      </w:r>
      <w:proofErr w:type="spellEnd"/>
      <w:r w:rsidRPr="005917E5">
        <w:rPr>
          <w:rFonts w:ascii="Arial" w:hAnsi="Arial" w:cs="Arial"/>
        </w:rPr>
        <w:t xml:space="preserve"> and the </w:t>
      </w:r>
      <w:proofErr w:type="spellStart"/>
      <w:r w:rsidRPr="005917E5">
        <w:rPr>
          <w:rFonts w:ascii="Arial" w:hAnsi="Arial" w:cs="Arial"/>
        </w:rPr>
        <w:t>spatio</w:t>
      </w:r>
      <w:proofErr w:type="spellEnd"/>
      <w:r w:rsidRPr="005917E5">
        <w:rPr>
          <w:rFonts w:ascii="Arial" w:hAnsi="Arial" w:cs="Arial"/>
        </w:rPr>
        <w:t>-temporal dynamics of the ecosystems in the study area.</w:t>
      </w:r>
    </w:p>
    <w:p w14:paraId="3B7F9DA1" w14:textId="42F4DFFA" w:rsidR="00790ADA" w:rsidRDefault="00000F8F" w:rsidP="00146D37">
      <w:pPr>
        <w:pStyle w:val="Head1"/>
        <w:spacing w:after="12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4D73E0BF" w14:textId="2211E6D2" w:rsidR="00146D37" w:rsidRPr="00667DEB" w:rsidRDefault="00146D37" w:rsidP="00F33833">
      <w:pPr>
        <w:pStyle w:val="Head1"/>
        <w:spacing w:after="120"/>
        <w:jc w:val="both"/>
        <w:rPr>
          <w:rFonts w:ascii="Arial" w:hAnsi="Arial" w:cs="Arial"/>
          <w:caps w:val="0"/>
          <w:sz w:val="20"/>
          <w:szCs w:val="18"/>
        </w:rPr>
      </w:pPr>
      <w:r w:rsidRPr="00667DEB">
        <w:rPr>
          <w:rFonts w:ascii="Arial" w:hAnsi="Arial" w:cs="Arial"/>
          <w:sz w:val="20"/>
          <w:szCs w:val="18"/>
        </w:rPr>
        <w:t>3.1 R</w:t>
      </w:r>
      <w:r w:rsidRPr="00667DEB">
        <w:rPr>
          <w:rFonts w:ascii="Arial" w:hAnsi="Arial" w:cs="Arial"/>
          <w:caps w:val="0"/>
          <w:sz w:val="20"/>
          <w:szCs w:val="18"/>
        </w:rPr>
        <w:t>esults</w:t>
      </w:r>
    </w:p>
    <w:p w14:paraId="7A2B7E86" w14:textId="77777777" w:rsidR="00306E17" w:rsidRDefault="00710B52" w:rsidP="00710B52">
      <w:pPr>
        <w:pStyle w:val="Head1"/>
        <w:spacing w:after="120"/>
        <w:jc w:val="both"/>
        <w:rPr>
          <w:rFonts w:ascii="Arial" w:hAnsi="Arial" w:cs="Arial"/>
          <w:b w:val="0"/>
          <w:bCs/>
          <w:caps w:val="0"/>
          <w:sz w:val="20"/>
          <w:szCs w:val="18"/>
        </w:rPr>
      </w:pPr>
      <w:r w:rsidRPr="00710B52">
        <w:rPr>
          <w:rFonts w:ascii="Arial" w:hAnsi="Arial" w:cs="Arial"/>
          <w:b w:val="0"/>
          <w:bCs/>
          <w:caps w:val="0"/>
          <w:sz w:val="20"/>
          <w:szCs w:val="18"/>
        </w:rPr>
        <w:t xml:space="preserve">Land cover mapping (LCM) of the N’Zi watershed was carried out using supervised classification with the Maximum Likelihood algorithm. The quality of the classifications was assessed using overall accuracy and the Kappa coefficient. The results for the three reference </w:t>
      </w:r>
    </w:p>
    <w:p w14:paraId="20039E8B" w14:textId="6FCBD807" w:rsidR="00710B52" w:rsidRPr="00710B52" w:rsidRDefault="00710B52" w:rsidP="00710B52">
      <w:pPr>
        <w:pStyle w:val="Head1"/>
        <w:spacing w:after="120"/>
        <w:jc w:val="both"/>
        <w:rPr>
          <w:rFonts w:ascii="Arial" w:hAnsi="Arial" w:cs="Arial"/>
          <w:b w:val="0"/>
          <w:bCs/>
          <w:caps w:val="0"/>
          <w:sz w:val="20"/>
          <w:szCs w:val="18"/>
        </w:rPr>
      </w:pPr>
      <w:r w:rsidRPr="00710B52">
        <w:rPr>
          <w:rFonts w:ascii="Arial" w:hAnsi="Arial" w:cs="Arial"/>
          <w:b w:val="0"/>
          <w:bCs/>
          <w:caps w:val="0"/>
          <w:sz w:val="20"/>
          <w:szCs w:val="18"/>
        </w:rPr>
        <w:t>dates are as follows:</w:t>
      </w:r>
    </w:p>
    <w:p w14:paraId="258785D9" w14:textId="77777777" w:rsidR="00710B52" w:rsidRPr="00710B52" w:rsidRDefault="00710B52" w:rsidP="00710B52">
      <w:pPr>
        <w:pStyle w:val="Head1"/>
        <w:spacing w:after="0"/>
        <w:jc w:val="both"/>
        <w:rPr>
          <w:rFonts w:ascii="Arial" w:hAnsi="Arial" w:cs="Arial"/>
          <w:b w:val="0"/>
          <w:bCs/>
          <w:caps w:val="0"/>
          <w:sz w:val="20"/>
          <w:szCs w:val="18"/>
        </w:rPr>
      </w:pPr>
      <w:r w:rsidRPr="00710B52">
        <w:rPr>
          <w:rFonts w:ascii="Arial" w:hAnsi="Arial" w:cs="Arial"/>
          <w:b w:val="0"/>
          <w:bCs/>
          <w:caps w:val="0"/>
          <w:sz w:val="20"/>
          <w:szCs w:val="18"/>
        </w:rPr>
        <w:t>2015: overall accuracy 91.34%, Kappa 0.8941</w:t>
      </w:r>
    </w:p>
    <w:p w14:paraId="74A17D00" w14:textId="77777777" w:rsidR="00710B52" w:rsidRPr="00710B52" w:rsidRDefault="00710B52" w:rsidP="00710B52">
      <w:pPr>
        <w:pStyle w:val="Head1"/>
        <w:spacing w:after="0"/>
        <w:jc w:val="both"/>
        <w:rPr>
          <w:rFonts w:ascii="Arial" w:hAnsi="Arial" w:cs="Arial"/>
          <w:b w:val="0"/>
          <w:bCs/>
          <w:caps w:val="0"/>
          <w:sz w:val="20"/>
          <w:szCs w:val="18"/>
        </w:rPr>
      </w:pPr>
      <w:r w:rsidRPr="00710B52">
        <w:rPr>
          <w:rFonts w:ascii="Arial" w:hAnsi="Arial" w:cs="Arial"/>
          <w:b w:val="0"/>
          <w:bCs/>
          <w:caps w:val="0"/>
          <w:sz w:val="20"/>
          <w:szCs w:val="18"/>
        </w:rPr>
        <w:t>2020: overall accuracy 94.27%, Kappa 0.9276</w:t>
      </w:r>
    </w:p>
    <w:p w14:paraId="6ACDCE0D" w14:textId="77777777" w:rsidR="00710B52" w:rsidRPr="00710B52" w:rsidRDefault="00710B52" w:rsidP="00710B52">
      <w:pPr>
        <w:pStyle w:val="Head1"/>
        <w:spacing w:after="0"/>
        <w:jc w:val="both"/>
        <w:rPr>
          <w:rFonts w:ascii="Arial" w:hAnsi="Arial" w:cs="Arial"/>
          <w:b w:val="0"/>
          <w:bCs/>
          <w:caps w:val="0"/>
          <w:sz w:val="20"/>
          <w:szCs w:val="18"/>
        </w:rPr>
      </w:pPr>
      <w:r w:rsidRPr="00710B52">
        <w:rPr>
          <w:rFonts w:ascii="Arial" w:hAnsi="Arial" w:cs="Arial"/>
          <w:b w:val="0"/>
          <w:bCs/>
          <w:caps w:val="0"/>
          <w:sz w:val="20"/>
          <w:szCs w:val="18"/>
        </w:rPr>
        <w:t>2024: overall accuracy 97.09%, Kappa 0.9571</w:t>
      </w:r>
    </w:p>
    <w:p w14:paraId="4E01CB32" w14:textId="488F3B48" w:rsidR="003D01CF" w:rsidRPr="00710B52" w:rsidRDefault="00710B52" w:rsidP="00710B52">
      <w:pPr>
        <w:pStyle w:val="Head1"/>
        <w:spacing w:after="120"/>
        <w:jc w:val="both"/>
        <w:rPr>
          <w:rFonts w:ascii="Arial" w:hAnsi="Arial" w:cs="Arial"/>
          <w:b w:val="0"/>
          <w:bCs/>
          <w:caps w:val="0"/>
          <w:sz w:val="20"/>
          <w:szCs w:val="18"/>
        </w:rPr>
      </w:pPr>
      <w:r w:rsidRPr="00710B52">
        <w:rPr>
          <w:rFonts w:ascii="Arial" w:hAnsi="Arial" w:cs="Arial"/>
          <w:b w:val="0"/>
          <w:bCs/>
          <w:caps w:val="0"/>
          <w:sz w:val="20"/>
          <w:szCs w:val="18"/>
        </w:rPr>
        <w:t xml:space="preserve">According to </w:t>
      </w:r>
      <w:r w:rsidRPr="00710B52">
        <w:rPr>
          <w:rFonts w:ascii="Arial" w:hAnsi="Arial" w:cs="Arial"/>
          <w:caps w:val="0"/>
          <w:sz w:val="20"/>
          <w:szCs w:val="18"/>
        </w:rPr>
        <w:t>McHugh’s (2012)</w:t>
      </w:r>
      <w:r w:rsidRPr="00710B52">
        <w:rPr>
          <w:rFonts w:ascii="Arial" w:hAnsi="Arial" w:cs="Arial"/>
          <w:b w:val="0"/>
          <w:bCs/>
          <w:caps w:val="0"/>
          <w:sz w:val="20"/>
          <w:szCs w:val="18"/>
        </w:rPr>
        <w:t xml:space="preserve"> interpretation scale, these values indicate near-perfect agreement, confirming the reliability of the classifications produced.</w:t>
      </w:r>
    </w:p>
    <w:p w14:paraId="198A5779" w14:textId="77777777" w:rsidR="003D01CF" w:rsidRDefault="003D01CF" w:rsidP="003D01CF">
      <w:pPr>
        <w:pStyle w:val="NormalWeb"/>
        <w:spacing w:before="0" w:beforeAutospacing="0" w:after="120" w:afterAutospacing="0"/>
        <w:jc w:val="both"/>
        <w:rPr>
          <w:rFonts w:ascii="Arial" w:hAnsi="Arial" w:cs="Arial"/>
          <w:b/>
          <w:sz w:val="20"/>
          <w:szCs w:val="18"/>
          <w:lang w:val="en-US" w:eastAsia="en-US"/>
        </w:rPr>
      </w:pPr>
      <w:bookmarkStart w:id="4" w:name="_Hlk214853298"/>
      <w:r w:rsidRPr="00F33833">
        <w:rPr>
          <w:rFonts w:ascii="Arial" w:hAnsi="Arial" w:cs="Arial"/>
          <w:b/>
          <w:caps/>
          <w:sz w:val="20"/>
          <w:szCs w:val="18"/>
          <w:lang w:val="en-US" w:eastAsia="en-US"/>
        </w:rPr>
        <w:t>3.1. L</w:t>
      </w:r>
      <w:r w:rsidRPr="00F33833">
        <w:rPr>
          <w:rFonts w:ascii="Arial" w:hAnsi="Arial" w:cs="Arial"/>
          <w:b/>
          <w:sz w:val="20"/>
          <w:szCs w:val="18"/>
          <w:lang w:val="en-US" w:eastAsia="en-US"/>
        </w:rPr>
        <w:t>and use patterns from 2015 to 2020</w:t>
      </w:r>
    </w:p>
    <w:bookmarkEnd w:id="4"/>
    <w:p w14:paraId="6CFFDCF6" w14:textId="1440203A" w:rsidR="00EA1D64" w:rsidRDefault="00EA1D64" w:rsidP="00EA1D64">
      <w:pPr>
        <w:pStyle w:val="NormalWeb"/>
        <w:spacing w:before="0" w:beforeAutospacing="0" w:after="0" w:afterAutospacing="0"/>
        <w:jc w:val="both"/>
        <w:rPr>
          <w:rFonts w:ascii="Arial" w:hAnsi="Arial" w:cs="Arial"/>
          <w:bCs/>
          <w:sz w:val="20"/>
          <w:szCs w:val="18"/>
          <w:lang w:val="en-US" w:eastAsia="en-US"/>
        </w:rPr>
      </w:pPr>
      <w:r w:rsidRPr="00EA1D64">
        <w:rPr>
          <w:rFonts w:ascii="Arial" w:hAnsi="Arial" w:cs="Arial"/>
          <w:bCs/>
          <w:sz w:val="20"/>
          <w:szCs w:val="18"/>
          <w:lang w:val="en-US" w:eastAsia="en-US"/>
        </w:rPr>
        <w:t>Changes in land cover classes between 2015 and 2020 reveal significant landscape transformations, characterized by a reduction in savanna, dense forest, and bare soil/habitat areas</w:t>
      </w:r>
      <w:r>
        <w:rPr>
          <w:rFonts w:ascii="Arial" w:hAnsi="Arial" w:cs="Arial"/>
          <w:bCs/>
          <w:sz w:val="20"/>
          <w:szCs w:val="18"/>
          <w:lang w:val="en-US" w:eastAsia="en-US"/>
        </w:rPr>
        <w:t xml:space="preserve"> (figure 2)</w:t>
      </w:r>
      <w:r w:rsidRPr="00EA1D64">
        <w:rPr>
          <w:rFonts w:ascii="Arial" w:hAnsi="Arial" w:cs="Arial"/>
          <w:bCs/>
          <w:sz w:val="20"/>
          <w:szCs w:val="18"/>
          <w:lang w:val="en-US" w:eastAsia="en-US"/>
        </w:rPr>
        <w:t>.</w:t>
      </w:r>
      <w:r>
        <w:rPr>
          <w:rFonts w:ascii="Arial" w:hAnsi="Arial" w:cs="Arial"/>
          <w:bCs/>
          <w:sz w:val="20"/>
          <w:szCs w:val="18"/>
          <w:lang w:val="en-US" w:eastAsia="en-US"/>
        </w:rPr>
        <w:t xml:space="preserve"> </w:t>
      </w:r>
      <w:r w:rsidRPr="00EA1D64">
        <w:rPr>
          <w:rFonts w:ascii="Arial" w:hAnsi="Arial" w:cs="Arial"/>
          <w:bCs/>
          <w:sz w:val="20"/>
          <w:szCs w:val="18"/>
          <w:lang w:val="en-US" w:eastAsia="en-US"/>
        </w:rPr>
        <w:t>Savanna experienced the most significant contraction, decreasing from 308,034 ha in 2015 to 75,046 ha in 2020, a reduction of 0.76. Dense forest also decreased, from 274,279 ha to 177,096 ha, representing a loss of 97,183 ha (a rate of change of -0.35), confirming the ongoing deforestation process. Bare soil and habitat areas saw a more moderate decline (-0.13), decreasing from 335,666 ha to 293,119 ha. This decrease does not necessarily indicate a real reduction in human-modified areas, but rather reflects a conversion of some land into cultivated areas.</w:t>
      </w:r>
      <w:r>
        <w:rPr>
          <w:rFonts w:ascii="Arial" w:hAnsi="Arial" w:cs="Arial"/>
          <w:bCs/>
          <w:sz w:val="20"/>
          <w:szCs w:val="18"/>
          <w:lang w:val="en-US" w:eastAsia="en-US"/>
        </w:rPr>
        <w:t xml:space="preserve"> </w:t>
      </w:r>
      <w:r w:rsidRPr="00EA1D64">
        <w:rPr>
          <w:rFonts w:ascii="Arial" w:hAnsi="Arial" w:cs="Arial"/>
          <w:bCs/>
          <w:sz w:val="20"/>
          <w:szCs w:val="18"/>
          <w:lang w:val="en-US" w:eastAsia="en-US"/>
        </w:rPr>
        <w:t>Conversely, degraded forest has expanded significantly, increasing from 115,238 ha to 225,138 ha (+0.95), reflecting the intensification of human pressures. Crops and fallow land also saw a notable increase, rising from 209,752 ha to 305,365 ha (+0.46), illustrating the development of subsistence farming and cash crops. Finally, water bodies increased significantly, from 327,031 ha to 494,236 ha (+0.51).</w:t>
      </w:r>
    </w:p>
    <w:p w14:paraId="7D0DE972" w14:textId="77777777" w:rsidR="00EA1D64" w:rsidRDefault="00EA1D64" w:rsidP="00EA1D64">
      <w:pPr>
        <w:pStyle w:val="NormalWeb"/>
        <w:spacing w:before="0" w:beforeAutospacing="0" w:after="0" w:afterAutospacing="0"/>
        <w:jc w:val="both"/>
        <w:rPr>
          <w:rFonts w:ascii="Arial" w:hAnsi="Arial" w:cs="Arial"/>
          <w:bCs/>
          <w:sz w:val="20"/>
          <w:szCs w:val="18"/>
          <w:lang w:val="en-US" w:eastAsia="en-US"/>
        </w:rPr>
      </w:pPr>
    </w:p>
    <w:p w14:paraId="595D00B6" w14:textId="0E3FF572" w:rsidR="00EA1D64" w:rsidRDefault="00E41119" w:rsidP="00E61AAC">
      <w:pPr>
        <w:pStyle w:val="NormalWeb"/>
        <w:spacing w:before="0" w:beforeAutospacing="0" w:after="0" w:afterAutospacing="0"/>
        <w:jc w:val="center"/>
        <w:rPr>
          <w:rFonts w:ascii="Arial" w:hAnsi="Arial" w:cs="Arial"/>
          <w:bCs/>
          <w:sz w:val="20"/>
          <w:szCs w:val="18"/>
          <w:lang w:val="en-US" w:eastAsia="en-US"/>
        </w:rPr>
      </w:pPr>
      <w:r>
        <w:rPr>
          <w:noProof/>
        </w:rPr>
        <w:drawing>
          <wp:inline distT="0" distB="0" distL="0" distR="0" wp14:anchorId="20E9A043" wp14:editId="3FAA5F3B">
            <wp:extent cx="5212080" cy="3101340"/>
            <wp:effectExtent l="0" t="0" r="7620" b="3810"/>
            <wp:docPr id="18148586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3101340"/>
                    </a:xfrm>
                    <a:prstGeom prst="rect">
                      <a:avLst/>
                    </a:prstGeom>
                    <a:noFill/>
                    <a:ln>
                      <a:noFill/>
                    </a:ln>
                  </pic:spPr>
                </pic:pic>
              </a:graphicData>
            </a:graphic>
          </wp:inline>
        </w:drawing>
      </w:r>
    </w:p>
    <w:p w14:paraId="714629FE" w14:textId="77777777" w:rsidR="00EA1D64" w:rsidRDefault="00EA1D64" w:rsidP="00EA1D64">
      <w:pPr>
        <w:pStyle w:val="NormalWeb"/>
        <w:spacing w:before="0" w:beforeAutospacing="0" w:after="0" w:afterAutospacing="0"/>
        <w:jc w:val="both"/>
        <w:rPr>
          <w:rFonts w:ascii="Arial" w:hAnsi="Arial" w:cs="Arial"/>
          <w:bCs/>
          <w:sz w:val="20"/>
          <w:szCs w:val="18"/>
          <w:lang w:val="en-US" w:eastAsia="en-US"/>
        </w:rPr>
      </w:pPr>
    </w:p>
    <w:p w14:paraId="49E7B486" w14:textId="2B151ADE" w:rsidR="0058234A" w:rsidRPr="008D2377" w:rsidRDefault="0058234A" w:rsidP="00EA1D64">
      <w:pPr>
        <w:pStyle w:val="NormalWeb"/>
        <w:spacing w:before="0" w:beforeAutospacing="0" w:after="0" w:afterAutospacing="0"/>
        <w:jc w:val="both"/>
        <w:rPr>
          <w:rFonts w:ascii="Arial" w:hAnsi="Arial" w:cs="Arial"/>
          <w:b/>
          <w:sz w:val="20"/>
          <w:szCs w:val="18"/>
          <w:lang w:val="en-US" w:eastAsia="en-US"/>
        </w:rPr>
      </w:pPr>
      <w:r w:rsidRPr="008D2377">
        <w:rPr>
          <w:rFonts w:ascii="Arial" w:hAnsi="Arial" w:cs="Arial"/>
          <w:b/>
          <w:sz w:val="20"/>
          <w:szCs w:val="18"/>
          <w:lang w:val="en-US" w:eastAsia="en-US"/>
        </w:rPr>
        <w:t xml:space="preserve">Figure 2: </w:t>
      </w:r>
      <w:r w:rsidR="00C42287" w:rsidRPr="008D2377">
        <w:rPr>
          <w:rFonts w:ascii="Arial" w:hAnsi="Arial" w:cs="Arial"/>
          <w:b/>
          <w:sz w:val="20"/>
          <w:szCs w:val="18"/>
          <w:lang w:val="en-US" w:eastAsia="en-US"/>
        </w:rPr>
        <w:t>Changes in land cover classes between 2015 and 2020 revealing significant landscape transformations</w:t>
      </w:r>
    </w:p>
    <w:p w14:paraId="5C5F2E38" w14:textId="1228FFBD" w:rsidR="00306E17" w:rsidRPr="003D01CF" w:rsidRDefault="003D01CF" w:rsidP="00EA1D64">
      <w:pPr>
        <w:pStyle w:val="NormalWeb"/>
        <w:spacing w:before="0" w:beforeAutospacing="0" w:after="0" w:afterAutospacing="0"/>
        <w:jc w:val="both"/>
        <w:rPr>
          <w:rFonts w:ascii="Arial" w:hAnsi="Arial" w:cs="Arial"/>
          <w:bCs/>
          <w:sz w:val="20"/>
          <w:szCs w:val="18"/>
          <w:lang w:val="en-US" w:eastAsia="en-US"/>
        </w:rPr>
      </w:pPr>
      <w:r w:rsidRPr="003D01CF">
        <w:rPr>
          <w:rFonts w:ascii="Arial" w:hAnsi="Arial" w:cs="Arial"/>
          <w:bCs/>
          <w:sz w:val="20"/>
          <w:szCs w:val="18"/>
          <w:lang w:val="en-US" w:eastAsia="en-US"/>
        </w:rPr>
        <w:lastRenderedPageBreak/>
        <w:t xml:space="preserve">Table 1 highlights the </w:t>
      </w:r>
      <w:r w:rsidR="00E61AAC">
        <w:rPr>
          <w:rFonts w:ascii="Arial" w:hAnsi="Arial" w:cs="Arial"/>
          <w:bCs/>
          <w:sz w:val="20"/>
          <w:szCs w:val="18"/>
          <w:lang w:val="en-US" w:eastAsia="en-US"/>
        </w:rPr>
        <w:t>r</w:t>
      </w:r>
      <w:r w:rsidR="00E61AAC" w:rsidRPr="00E61AAC">
        <w:rPr>
          <w:rFonts w:ascii="Arial" w:hAnsi="Arial" w:cs="Arial"/>
          <w:bCs/>
          <w:sz w:val="20"/>
          <w:szCs w:val="18"/>
          <w:lang w:val="en-US" w:eastAsia="en-US"/>
        </w:rPr>
        <w:t xml:space="preserve">ate of Change between 2015 </w:t>
      </w:r>
      <w:r w:rsidR="00E61AAC">
        <w:rPr>
          <w:rFonts w:ascii="Arial" w:hAnsi="Arial" w:cs="Arial"/>
          <w:bCs/>
          <w:sz w:val="20"/>
          <w:szCs w:val="18"/>
          <w:lang w:val="en-US" w:eastAsia="en-US"/>
        </w:rPr>
        <w:t>–</w:t>
      </w:r>
      <w:r w:rsidR="00E61AAC" w:rsidRPr="00E61AAC">
        <w:rPr>
          <w:rFonts w:ascii="Arial" w:hAnsi="Arial" w:cs="Arial"/>
          <w:bCs/>
          <w:sz w:val="20"/>
          <w:szCs w:val="18"/>
          <w:lang w:val="en-US" w:eastAsia="en-US"/>
        </w:rPr>
        <w:t xml:space="preserve"> 2020</w:t>
      </w:r>
      <w:r w:rsidRPr="003D01CF">
        <w:rPr>
          <w:rFonts w:ascii="Arial" w:hAnsi="Arial" w:cs="Arial"/>
          <w:bCs/>
          <w:sz w:val="20"/>
          <w:szCs w:val="18"/>
          <w:lang w:val="en-US" w:eastAsia="en-US"/>
        </w:rPr>
        <w:t xml:space="preserve">. The comparative analysis reveals a structural evolution marked by a significant decline in natural land classes and an expansion </w:t>
      </w:r>
    </w:p>
    <w:p w14:paraId="6FFF6E4E" w14:textId="4229E5BC" w:rsidR="003D01CF" w:rsidRDefault="003D01CF" w:rsidP="00EA1D64">
      <w:pPr>
        <w:pStyle w:val="NormalWeb"/>
        <w:spacing w:before="0" w:beforeAutospacing="0" w:after="0" w:afterAutospacing="0"/>
        <w:jc w:val="both"/>
        <w:rPr>
          <w:rFonts w:ascii="Arial" w:hAnsi="Arial" w:cs="Arial"/>
          <w:bCs/>
          <w:sz w:val="20"/>
          <w:szCs w:val="18"/>
          <w:lang w:val="en-US" w:eastAsia="en-US"/>
        </w:rPr>
      </w:pPr>
      <w:r w:rsidRPr="003D01CF">
        <w:rPr>
          <w:rFonts w:ascii="Arial" w:hAnsi="Arial" w:cs="Arial"/>
          <w:bCs/>
          <w:sz w:val="20"/>
          <w:szCs w:val="18"/>
          <w:lang w:val="en-US" w:eastAsia="en-US"/>
        </w:rPr>
        <w:t>of anthropogenic and hydrological land classes. The observed declines particularly concern savanna (-75.65%), dense forest (-35.43%), and bare soils/habitats (12.67%), mainly linked to agricultural conversion, logging, and the intensification of human pressure.</w:t>
      </w:r>
    </w:p>
    <w:p w14:paraId="55AE39F2" w14:textId="77777777" w:rsidR="003D01CF" w:rsidRPr="003D01CF" w:rsidRDefault="003D01CF" w:rsidP="003D01CF">
      <w:pPr>
        <w:pStyle w:val="NormalWeb"/>
        <w:spacing w:before="0" w:beforeAutospacing="0" w:after="0" w:afterAutospacing="0"/>
        <w:jc w:val="both"/>
        <w:rPr>
          <w:rFonts w:ascii="Arial" w:hAnsi="Arial" w:cs="Arial"/>
          <w:b/>
          <w:bCs/>
          <w:sz w:val="20"/>
          <w:szCs w:val="18"/>
          <w:lang w:val="en-US" w:eastAsia="en-US"/>
        </w:rPr>
      </w:pPr>
    </w:p>
    <w:p w14:paraId="3ACAAEDE" w14:textId="17EF71C6" w:rsidR="00E41119" w:rsidRPr="00E41119" w:rsidRDefault="003D01CF" w:rsidP="003D01CF">
      <w:pPr>
        <w:pStyle w:val="NormalWeb"/>
        <w:spacing w:before="0" w:beforeAutospacing="0" w:after="0" w:afterAutospacing="0"/>
        <w:jc w:val="both"/>
        <w:rPr>
          <w:rFonts w:ascii="Arial" w:hAnsi="Arial" w:cs="Arial"/>
          <w:sz w:val="20"/>
          <w:szCs w:val="20"/>
          <w:lang w:val="en-US" w:eastAsia="en-US"/>
        </w:rPr>
      </w:pPr>
      <w:r w:rsidRPr="003D01CF">
        <w:rPr>
          <w:rFonts w:ascii="Arial" w:hAnsi="Arial" w:cs="Arial"/>
          <w:b/>
          <w:bCs/>
          <w:sz w:val="20"/>
          <w:szCs w:val="20"/>
          <w:lang w:val="en-US" w:eastAsia="en-US"/>
        </w:rPr>
        <w:t>Table 1</w:t>
      </w:r>
      <w:r w:rsidRPr="003D01CF">
        <w:rPr>
          <w:rFonts w:ascii="Arial" w:hAnsi="Arial" w:cs="Arial"/>
          <w:sz w:val="20"/>
          <w:szCs w:val="20"/>
          <w:lang w:val="en-US" w:eastAsia="en-US"/>
        </w:rPr>
        <w:t xml:space="preserve">: </w:t>
      </w:r>
      <w:bookmarkStart w:id="5" w:name="_Hlk214854065"/>
      <w:r w:rsidRPr="003D01CF">
        <w:rPr>
          <w:rFonts w:ascii="Arial" w:hAnsi="Arial" w:cs="Arial"/>
          <w:sz w:val="20"/>
          <w:szCs w:val="20"/>
          <w:lang w:val="en-US" w:eastAsia="en-US"/>
        </w:rPr>
        <w:t>Rate of Change between</w:t>
      </w:r>
      <w:bookmarkEnd w:id="5"/>
      <w:r w:rsidRPr="003D01CF">
        <w:rPr>
          <w:rFonts w:ascii="Arial" w:hAnsi="Arial" w:cs="Arial"/>
          <w:sz w:val="20"/>
          <w:szCs w:val="20"/>
          <w:lang w:val="en-US" w:eastAsia="en-US"/>
        </w:rPr>
        <w:t xml:space="preserve"> 2015 - 2020</w:t>
      </w:r>
      <w:bookmarkStart w:id="6" w:name="_Hlk214854100"/>
    </w:p>
    <w:tbl>
      <w:tblPr>
        <w:tblpPr w:leftFromText="141" w:rightFromText="141" w:vertAnchor="page" w:horzAnchor="margin" w:tblpY="2631"/>
        <w:tblW w:w="8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845"/>
        <w:gridCol w:w="733"/>
        <w:gridCol w:w="2244"/>
        <w:gridCol w:w="1867"/>
      </w:tblGrid>
      <w:tr w:rsidR="00306E17" w:rsidRPr="003D01CF" w14:paraId="06CE169D" w14:textId="77777777" w:rsidTr="00306E17">
        <w:trPr>
          <w:trHeight w:val="315"/>
        </w:trPr>
        <w:tc>
          <w:tcPr>
            <w:tcW w:w="2694" w:type="dxa"/>
            <w:noWrap/>
            <w:vAlign w:val="center"/>
            <w:hideMark/>
          </w:tcPr>
          <w:p w14:paraId="70D7B6E9" w14:textId="77777777" w:rsidR="00306E17" w:rsidRPr="003D01CF" w:rsidRDefault="00306E17" w:rsidP="00306E17">
            <w:pPr>
              <w:jc w:val="center"/>
              <w:rPr>
                <w:rFonts w:ascii="Arial" w:hAnsi="Arial" w:cs="Arial"/>
                <w:b/>
                <w:bCs/>
                <w:color w:val="000000"/>
                <w:lang w:val="fr-FR" w:eastAsia="zh-CN"/>
              </w:rPr>
            </w:pPr>
            <w:r w:rsidRPr="003D01CF">
              <w:rPr>
                <w:rFonts w:ascii="Arial" w:hAnsi="Arial" w:cs="Arial"/>
                <w:b/>
                <w:bCs/>
                <w:color w:val="000000"/>
                <w:lang w:val="fr-FR" w:eastAsia="zh-CN"/>
              </w:rPr>
              <w:t>Classes</w:t>
            </w:r>
          </w:p>
        </w:tc>
        <w:tc>
          <w:tcPr>
            <w:tcW w:w="845" w:type="dxa"/>
            <w:noWrap/>
            <w:vAlign w:val="center"/>
            <w:hideMark/>
          </w:tcPr>
          <w:p w14:paraId="1E91051A" w14:textId="77777777" w:rsidR="00306E17" w:rsidRPr="003D01CF" w:rsidRDefault="00306E17" w:rsidP="00306E17">
            <w:pPr>
              <w:jc w:val="center"/>
              <w:rPr>
                <w:rFonts w:ascii="Arial" w:hAnsi="Arial" w:cs="Arial"/>
                <w:b/>
                <w:bCs/>
                <w:color w:val="000000"/>
                <w:lang w:val="fr-FR" w:eastAsia="zh-CN"/>
              </w:rPr>
            </w:pPr>
            <w:r w:rsidRPr="003D01CF">
              <w:rPr>
                <w:rFonts w:ascii="Arial" w:hAnsi="Arial" w:cs="Arial"/>
                <w:b/>
                <w:bCs/>
                <w:color w:val="000000"/>
                <w:lang w:val="fr-FR" w:eastAsia="zh-CN"/>
              </w:rPr>
              <w:t>2015</w:t>
            </w:r>
          </w:p>
        </w:tc>
        <w:tc>
          <w:tcPr>
            <w:tcW w:w="733" w:type="dxa"/>
            <w:noWrap/>
            <w:vAlign w:val="center"/>
            <w:hideMark/>
          </w:tcPr>
          <w:p w14:paraId="3C7D850C" w14:textId="77777777" w:rsidR="00306E17" w:rsidRPr="003D01CF" w:rsidRDefault="00306E17" w:rsidP="00306E17">
            <w:pPr>
              <w:jc w:val="center"/>
              <w:rPr>
                <w:rFonts w:ascii="Arial" w:hAnsi="Arial" w:cs="Arial"/>
                <w:b/>
                <w:bCs/>
                <w:color w:val="000000"/>
                <w:lang w:val="fr-FR" w:eastAsia="zh-CN"/>
              </w:rPr>
            </w:pPr>
            <w:r w:rsidRPr="003D01CF">
              <w:rPr>
                <w:rFonts w:ascii="Arial" w:hAnsi="Arial" w:cs="Arial"/>
                <w:b/>
                <w:bCs/>
                <w:color w:val="000000"/>
                <w:lang w:val="fr-FR" w:eastAsia="zh-CN"/>
              </w:rPr>
              <w:t>2020</w:t>
            </w:r>
          </w:p>
        </w:tc>
        <w:tc>
          <w:tcPr>
            <w:tcW w:w="2244" w:type="dxa"/>
            <w:noWrap/>
            <w:vAlign w:val="center"/>
            <w:hideMark/>
          </w:tcPr>
          <w:p w14:paraId="3665E597" w14:textId="77777777" w:rsidR="00306E17" w:rsidRPr="003D01CF" w:rsidRDefault="00306E17" w:rsidP="00306E17">
            <w:pPr>
              <w:jc w:val="center"/>
              <w:rPr>
                <w:rFonts w:ascii="Arial" w:hAnsi="Arial" w:cs="Arial"/>
                <w:b/>
                <w:bCs/>
                <w:color w:val="000000"/>
                <w:lang w:val="fr-FR" w:eastAsia="zh-CN"/>
              </w:rPr>
            </w:pPr>
            <w:proofErr w:type="spellStart"/>
            <w:r w:rsidRPr="003D01CF">
              <w:rPr>
                <w:rFonts w:ascii="Arial" w:hAnsi="Arial" w:cs="Arial"/>
                <w:b/>
                <w:bCs/>
                <w:color w:val="000000"/>
                <w:lang w:val="fr-FR" w:eastAsia="zh-CN"/>
              </w:rPr>
              <w:t>Difference</w:t>
            </w:r>
            <w:proofErr w:type="spellEnd"/>
            <w:r w:rsidRPr="003D01CF">
              <w:rPr>
                <w:rFonts w:ascii="Arial" w:hAnsi="Arial" w:cs="Arial"/>
                <w:b/>
                <w:bCs/>
                <w:color w:val="000000"/>
                <w:lang w:val="fr-FR" w:eastAsia="zh-CN"/>
              </w:rPr>
              <w:t xml:space="preserve"> 2020 - 2015</w:t>
            </w:r>
          </w:p>
        </w:tc>
        <w:tc>
          <w:tcPr>
            <w:tcW w:w="1867" w:type="dxa"/>
            <w:noWrap/>
            <w:vAlign w:val="center"/>
            <w:hideMark/>
          </w:tcPr>
          <w:p w14:paraId="7E25AF96" w14:textId="77777777" w:rsidR="00306E17" w:rsidRPr="003D01CF" w:rsidRDefault="00306E17" w:rsidP="00306E17">
            <w:pPr>
              <w:jc w:val="center"/>
              <w:rPr>
                <w:rFonts w:ascii="Arial" w:hAnsi="Arial" w:cs="Arial"/>
                <w:b/>
                <w:bCs/>
                <w:color w:val="000000"/>
                <w:lang w:val="fr-FR" w:eastAsia="zh-CN"/>
              </w:rPr>
            </w:pPr>
            <w:r w:rsidRPr="003D01CF">
              <w:rPr>
                <w:rFonts w:ascii="Arial" w:hAnsi="Arial" w:cs="Arial"/>
                <w:b/>
                <w:bCs/>
                <w:color w:val="000000"/>
                <w:lang w:val="fr-FR" w:eastAsia="zh-CN"/>
              </w:rPr>
              <w:t>Rate of Change %</w:t>
            </w:r>
          </w:p>
        </w:tc>
      </w:tr>
      <w:tr w:rsidR="00306E17" w:rsidRPr="003D01CF" w14:paraId="7DFED6E5" w14:textId="77777777" w:rsidTr="00306E17">
        <w:trPr>
          <w:trHeight w:val="315"/>
        </w:trPr>
        <w:tc>
          <w:tcPr>
            <w:tcW w:w="2694" w:type="dxa"/>
            <w:noWrap/>
            <w:vAlign w:val="center"/>
            <w:hideMark/>
          </w:tcPr>
          <w:p w14:paraId="2B464819" w14:textId="77777777" w:rsidR="00306E17" w:rsidRPr="003D01CF" w:rsidRDefault="00306E17" w:rsidP="00306E17">
            <w:pPr>
              <w:jc w:val="center"/>
              <w:rPr>
                <w:rFonts w:ascii="Arial" w:hAnsi="Arial" w:cs="Arial"/>
                <w:color w:val="000000"/>
                <w:lang w:val="fr-FR" w:eastAsia="zh-CN"/>
              </w:rPr>
            </w:pPr>
            <w:proofErr w:type="spellStart"/>
            <w:r w:rsidRPr="003D01CF">
              <w:rPr>
                <w:rFonts w:ascii="Arial" w:hAnsi="Arial" w:cs="Arial"/>
                <w:color w:val="000000"/>
                <w:lang w:val="fr-FR" w:eastAsia="zh-CN"/>
              </w:rPr>
              <w:t>Bare</w:t>
            </w:r>
            <w:proofErr w:type="spellEnd"/>
            <w:r w:rsidRPr="003D01CF">
              <w:rPr>
                <w:rFonts w:ascii="Arial" w:hAnsi="Arial" w:cs="Arial"/>
                <w:color w:val="000000"/>
                <w:lang w:val="fr-FR" w:eastAsia="zh-CN"/>
              </w:rPr>
              <w:t xml:space="preserve"> </w:t>
            </w:r>
            <w:proofErr w:type="spellStart"/>
            <w:r w:rsidRPr="003D01CF">
              <w:rPr>
                <w:rFonts w:ascii="Arial" w:hAnsi="Arial" w:cs="Arial"/>
                <w:color w:val="000000"/>
                <w:lang w:val="fr-FR" w:eastAsia="zh-CN"/>
              </w:rPr>
              <w:t>Soil</w:t>
            </w:r>
            <w:proofErr w:type="spellEnd"/>
            <w:r w:rsidRPr="003D01CF">
              <w:rPr>
                <w:rFonts w:ascii="Arial" w:hAnsi="Arial" w:cs="Arial"/>
                <w:color w:val="000000"/>
                <w:lang w:val="fr-FR" w:eastAsia="zh-CN"/>
              </w:rPr>
              <w:t xml:space="preserve"> and </w:t>
            </w:r>
            <w:proofErr w:type="spellStart"/>
            <w:r w:rsidRPr="003D01CF">
              <w:rPr>
                <w:rFonts w:ascii="Arial" w:hAnsi="Arial" w:cs="Arial"/>
                <w:color w:val="000000"/>
                <w:lang w:val="fr-FR" w:eastAsia="zh-CN"/>
              </w:rPr>
              <w:t>Settlements</w:t>
            </w:r>
            <w:proofErr w:type="spellEnd"/>
          </w:p>
        </w:tc>
        <w:tc>
          <w:tcPr>
            <w:tcW w:w="845" w:type="dxa"/>
            <w:noWrap/>
            <w:vAlign w:val="center"/>
            <w:hideMark/>
          </w:tcPr>
          <w:p w14:paraId="4248B05D"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21.38</w:t>
            </w:r>
          </w:p>
        </w:tc>
        <w:tc>
          <w:tcPr>
            <w:tcW w:w="733" w:type="dxa"/>
            <w:noWrap/>
            <w:vAlign w:val="center"/>
            <w:hideMark/>
          </w:tcPr>
          <w:p w14:paraId="79A2ABFC"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18.67</w:t>
            </w:r>
          </w:p>
        </w:tc>
        <w:tc>
          <w:tcPr>
            <w:tcW w:w="2244" w:type="dxa"/>
            <w:noWrap/>
            <w:vAlign w:val="center"/>
            <w:hideMark/>
          </w:tcPr>
          <w:p w14:paraId="70ACD855"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-2.71</w:t>
            </w:r>
          </w:p>
        </w:tc>
        <w:tc>
          <w:tcPr>
            <w:tcW w:w="1867" w:type="dxa"/>
            <w:noWrap/>
            <w:vAlign w:val="center"/>
            <w:hideMark/>
          </w:tcPr>
          <w:p w14:paraId="31F42366"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-12.68</w:t>
            </w:r>
          </w:p>
        </w:tc>
      </w:tr>
      <w:tr w:rsidR="00306E17" w:rsidRPr="003D01CF" w14:paraId="0CBD082C" w14:textId="77777777" w:rsidTr="00306E17">
        <w:trPr>
          <w:trHeight w:val="315"/>
        </w:trPr>
        <w:tc>
          <w:tcPr>
            <w:tcW w:w="2694" w:type="dxa"/>
            <w:noWrap/>
            <w:vAlign w:val="center"/>
            <w:hideMark/>
          </w:tcPr>
          <w:p w14:paraId="3486FD0A" w14:textId="77777777" w:rsidR="00306E17" w:rsidRPr="003D01CF" w:rsidRDefault="00306E17" w:rsidP="00306E17">
            <w:pPr>
              <w:jc w:val="center"/>
              <w:rPr>
                <w:rFonts w:ascii="Arial" w:hAnsi="Arial" w:cs="Arial"/>
                <w:color w:val="000000"/>
                <w:lang w:val="fr-FR" w:eastAsia="zh-CN"/>
              </w:rPr>
            </w:pPr>
            <w:proofErr w:type="spellStart"/>
            <w:r w:rsidRPr="003D01CF">
              <w:rPr>
                <w:rFonts w:ascii="Arial" w:hAnsi="Arial" w:cs="Arial"/>
                <w:color w:val="000000"/>
                <w:lang w:val="fr-FR" w:eastAsia="zh-CN"/>
              </w:rPr>
              <w:t>Degraded</w:t>
            </w:r>
            <w:proofErr w:type="spellEnd"/>
            <w:r w:rsidRPr="003D01CF">
              <w:rPr>
                <w:rFonts w:ascii="Arial" w:hAnsi="Arial" w:cs="Arial"/>
                <w:color w:val="000000"/>
                <w:lang w:val="fr-FR" w:eastAsia="zh-CN"/>
              </w:rPr>
              <w:t xml:space="preserve"> Forest</w:t>
            </w:r>
          </w:p>
        </w:tc>
        <w:tc>
          <w:tcPr>
            <w:tcW w:w="845" w:type="dxa"/>
            <w:noWrap/>
            <w:vAlign w:val="center"/>
            <w:hideMark/>
          </w:tcPr>
          <w:p w14:paraId="39A62733"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7.34</w:t>
            </w:r>
          </w:p>
        </w:tc>
        <w:tc>
          <w:tcPr>
            <w:tcW w:w="733" w:type="dxa"/>
            <w:noWrap/>
            <w:vAlign w:val="center"/>
            <w:hideMark/>
          </w:tcPr>
          <w:p w14:paraId="363A9CB4"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14.34</w:t>
            </w:r>
          </w:p>
        </w:tc>
        <w:tc>
          <w:tcPr>
            <w:tcW w:w="2244" w:type="dxa"/>
            <w:noWrap/>
            <w:vAlign w:val="center"/>
            <w:hideMark/>
          </w:tcPr>
          <w:p w14:paraId="019A82AE"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7</w:t>
            </w:r>
            <w:r>
              <w:rPr>
                <w:rFonts w:ascii="Arial" w:hAnsi="Arial" w:cs="Arial"/>
                <w:color w:val="000000"/>
                <w:lang w:val="fr-FR" w:eastAsia="zh-CN"/>
              </w:rPr>
              <w:t>.00</w:t>
            </w:r>
          </w:p>
        </w:tc>
        <w:tc>
          <w:tcPr>
            <w:tcW w:w="1867" w:type="dxa"/>
            <w:noWrap/>
            <w:vAlign w:val="center"/>
            <w:hideMark/>
          </w:tcPr>
          <w:p w14:paraId="1F940629"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95.37</w:t>
            </w:r>
          </w:p>
        </w:tc>
      </w:tr>
      <w:tr w:rsidR="00306E17" w:rsidRPr="003D01CF" w14:paraId="37BA2179" w14:textId="77777777" w:rsidTr="00306E17">
        <w:trPr>
          <w:trHeight w:val="315"/>
        </w:trPr>
        <w:tc>
          <w:tcPr>
            <w:tcW w:w="2694" w:type="dxa"/>
            <w:noWrap/>
            <w:vAlign w:val="center"/>
            <w:hideMark/>
          </w:tcPr>
          <w:p w14:paraId="4AEF4495"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Dense Forest</w:t>
            </w:r>
          </w:p>
        </w:tc>
        <w:tc>
          <w:tcPr>
            <w:tcW w:w="845" w:type="dxa"/>
            <w:noWrap/>
            <w:vAlign w:val="center"/>
            <w:hideMark/>
          </w:tcPr>
          <w:p w14:paraId="5826D9FD"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17.47</w:t>
            </w:r>
          </w:p>
        </w:tc>
        <w:tc>
          <w:tcPr>
            <w:tcW w:w="733" w:type="dxa"/>
            <w:noWrap/>
            <w:vAlign w:val="center"/>
            <w:hideMark/>
          </w:tcPr>
          <w:p w14:paraId="65859693"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11.28</w:t>
            </w:r>
          </w:p>
        </w:tc>
        <w:tc>
          <w:tcPr>
            <w:tcW w:w="2244" w:type="dxa"/>
            <w:noWrap/>
            <w:vAlign w:val="center"/>
            <w:hideMark/>
          </w:tcPr>
          <w:p w14:paraId="50EE732C"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-6.19</w:t>
            </w:r>
          </w:p>
        </w:tc>
        <w:tc>
          <w:tcPr>
            <w:tcW w:w="1867" w:type="dxa"/>
            <w:noWrap/>
            <w:vAlign w:val="center"/>
            <w:hideMark/>
          </w:tcPr>
          <w:p w14:paraId="66C53CCB"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-35.43</w:t>
            </w:r>
          </w:p>
        </w:tc>
      </w:tr>
      <w:tr w:rsidR="00306E17" w:rsidRPr="003D01CF" w14:paraId="66B210D7" w14:textId="77777777" w:rsidTr="00306E17">
        <w:trPr>
          <w:trHeight w:val="315"/>
        </w:trPr>
        <w:tc>
          <w:tcPr>
            <w:tcW w:w="2694" w:type="dxa"/>
            <w:noWrap/>
            <w:vAlign w:val="center"/>
            <w:hideMark/>
          </w:tcPr>
          <w:p w14:paraId="7AA2DDBE" w14:textId="77777777" w:rsidR="00306E17" w:rsidRPr="003D01CF" w:rsidRDefault="00306E17" w:rsidP="00306E17">
            <w:pPr>
              <w:jc w:val="center"/>
              <w:rPr>
                <w:rFonts w:ascii="Arial" w:hAnsi="Arial" w:cs="Arial"/>
                <w:color w:val="000000"/>
                <w:lang w:val="fr-FR" w:eastAsia="zh-CN"/>
              </w:rPr>
            </w:pPr>
            <w:proofErr w:type="spellStart"/>
            <w:r w:rsidRPr="003D01CF">
              <w:rPr>
                <w:rFonts w:ascii="Arial" w:hAnsi="Arial" w:cs="Arial"/>
                <w:color w:val="000000"/>
                <w:lang w:val="fr-FR" w:eastAsia="zh-CN"/>
              </w:rPr>
              <w:t>Savanna</w:t>
            </w:r>
            <w:proofErr w:type="spellEnd"/>
          </w:p>
        </w:tc>
        <w:tc>
          <w:tcPr>
            <w:tcW w:w="845" w:type="dxa"/>
            <w:noWrap/>
            <w:vAlign w:val="center"/>
            <w:hideMark/>
          </w:tcPr>
          <w:p w14:paraId="5521CA78"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19.62</w:t>
            </w:r>
          </w:p>
        </w:tc>
        <w:tc>
          <w:tcPr>
            <w:tcW w:w="733" w:type="dxa"/>
            <w:noWrap/>
            <w:vAlign w:val="center"/>
            <w:hideMark/>
          </w:tcPr>
          <w:p w14:paraId="0C612E98"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4.78</w:t>
            </w:r>
          </w:p>
        </w:tc>
        <w:tc>
          <w:tcPr>
            <w:tcW w:w="2244" w:type="dxa"/>
            <w:noWrap/>
            <w:vAlign w:val="center"/>
            <w:hideMark/>
          </w:tcPr>
          <w:p w14:paraId="07453E43"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-14.84</w:t>
            </w:r>
          </w:p>
        </w:tc>
        <w:tc>
          <w:tcPr>
            <w:tcW w:w="1867" w:type="dxa"/>
            <w:noWrap/>
            <w:vAlign w:val="center"/>
            <w:hideMark/>
          </w:tcPr>
          <w:p w14:paraId="067236EF"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-75.64</w:t>
            </w:r>
          </w:p>
        </w:tc>
      </w:tr>
      <w:tr w:rsidR="00306E17" w:rsidRPr="003D01CF" w14:paraId="17350DC8" w14:textId="77777777" w:rsidTr="00306E17">
        <w:trPr>
          <w:trHeight w:val="315"/>
        </w:trPr>
        <w:tc>
          <w:tcPr>
            <w:tcW w:w="2694" w:type="dxa"/>
            <w:noWrap/>
            <w:vAlign w:val="center"/>
            <w:hideMark/>
          </w:tcPr>
          <w:p w14:paraId="583CF3C7" w14:textId="77777777" w:rsidR="00306E17" w:rsidRPr="003D01CF" w:rsidRDefault="00306E17" w:rsidP="00306E17">
            <w:pPr>
              <w:jc w:val="center"/>
              <w:rPr>
                <w:rFonts w:ascii="Arial" w:hAnsi="Arial" w:cs="Arial"/>
                <w:color w:val="000000"/>
                <w:lang w:val="fr-FR" w:eastAsia="zh-CN"/>
              </w:rPr>
            </w:pPr>
            <w:proofErr w:type="spellStart"/>
            <w:r w:rsidRPr="003D01CF">
              <w:rPr>
                <w:rFonts w:ascii="Arial" w:hAnsi="Arial" w:cs="Arial"/>
                <w:color w:val="000000"/>
                <w:lang w:val="fr-FR" w:eastAsia="zh-CN"/>
              </w:rPr>
              <w:t>Crops</w:t>
            </w:r>
            <w:proofErr w:type="spellEnd"/>
            <w:r w:rsidRPr="003D01CF">
              <w:rPr>
                <w:rFonts w:ascii="Arial" w:hAnsi="Arial" w:cs="Arial"/>
                <w:color w:val="000000"/>
                <w:lang w:val="fr-FR" w:eastAsia="zh-CN"/>
              </w:rPr>
              <w:t xml:space="preserve"> and </w:t>
            </w:r>
            <w:proofErr w:type="spellStart"/>
            <w:r w:rsidRPr="003D01CF">
              <w:rPr>
                <w:rFonts w:ascii="Arial" w:hAnsi="Arial" w:cs="Arial"/>
                <w:color w:val="000000"/>
                <w:lang w:val="fr-FR" w:eastAsia="zh-CN"/>
              </w:rPr>
              <w:t>Fallow</w:t>
            </w:r>
            <w:proofErr w:type="spellEnd"/>
            <w:r w:rsidRPr="003D01CF">
              <w:rPr>
                <w:rFonts w:ascii="Arial" w:hAnsi="Arial" w:cs="Arial"/>
                <w:color w:val="000000"/>
                <w:lang w:val="fr-FR" w:eastAsia="zh-CN"/>
              </w:rPr>
              <w:t xml:space="preserve"> Lands</w:t>
            </w:r>
          </w:p>
        </w:tc>
        <w:tc>
          <w:tcPr>
            <w:tcW w:w="845" w:type="dxa"/>
            <w:noWrap/>
            <w:vAlign w:val="center"/>
            <w:hideMark/>
          </w:tcPr>
          <w:p w14:paraId="3560F3CF"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13.36</w:t>
            </w:r>
          </w:p>
        </w:tc>
        <w:tc>
          <w:tcPr>
            <w:tcW w:w="733" w:type="dxa"/>
            <w:noWrap/>
            <w:vAlign w:val="center"/>
            <w:hideMark/>
          </w:tcPr>
          <w:p w14:paraId="63760FDC"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19.45</w:t>
            </w:r>
          </w:p>
        </w:tc>
        <w:tc>
          <w:tcPr>
            <w:tcW w:w="2244" w:type="dxa"/>
            <w:noWrap/>
            <w:vAlign w:val="center"/>
            <w:hideMark/>
          </w:tcPr>
          <w:p w14:paraId="434B4596"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6.09</w:t>
            </w:r>
          </w:p>
        </w:tc>
        <w:tc>
          <w:tcPr>
            <w:tcW w:w="1867" w:type="dxa"/>
            <w:noWrap/>
            <w:vAlign w:val="center"/>
            <w:hideMark/>
          </w:tcPr>
          <w:p w14:paraId="39B95D17"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45.58</w:t>
            </w:r>
          </w:p>
        </w:tc>
      </w:tr>
      <w:tr w:rsidR="00306E17" w:rsidRPr="003D01CF" w14:paraId="532E6AD6" w14:textId="77777777" w:rsidTr="00306E17">
        <w:trPr>
          <w:trHeight w:val="315"/>
        </w:trPr>
        <w:tc>
          <w:tcPr>
            <w:tcW w:w="2694" w:type="dxa"/>
            <w:noWrap/>
            <w:vAlign w:val="center"/>
            <w:hideMark/>
          </w:tcPr>
          <w:p w14:paraId="695E5DA3"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Water</w:t>
            </w:r>
          </w:p>
        </w:tc>
        <w:tc>
          <w:tcPr>
            <w:tcW w:w="845" w:type="dxa"/>
            <w:noWrap/>
            <w:vAlign w:val="center"/>
            <w:hideMark/>
          </w:tcPr>
          <w:p w14:paraId="643B27F4"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20.83</w:t>
            </w:r>
          </w:p>
        </w:tc>
        <w:tc>
          <w:tcPr>
            <w:tcW w:w="733" w:type="dxa"/>
            <w:noWrap/>
            <w:vAlign w:val="center"/>
            <w:hideMark/>
          </w:tcPr>
          <w:p w14:paraId="4C78B181"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31.48</w:t>
            </w:r>
          </w:p>
        </w:tc>
        <w:tc>
          <w:tcPr>
            <w:tcW w:w="2244" w:type="dxa"/>
            <w:noWrap/>
            <w:vAlign w:val="center"/>
            <w:hideMark/>
          </w:tcPr>
          <w:p w14:paraId="4D3E70FD"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10.65</w:t>
            </w:r>
          </w:p>
        </w:tc>
        <w:tc>
          <w:tcPr>
            <w:tcW w:w="1867" w:type="dxa"/>
            <w:noWrap/>
            <w:vAlign w:val="center"/>
            <w:hideMark/>
          </w:tcPr>
          <w:p w14:paraId="6F816C8E" w14:textId="77777777" w:rsidR="00306E17" w:rsidRPr="003D01CF" w:rsidRDefault="00306E17" w:rsidP="00306E17">
            <w:pPr>
              <w:jc w:val="center"/>
              <w:rPr>
                <w:rFonts w:ascii="Arial" w:hAnsi="Arial" w:cs="Arial"/>
                <w:color w:val="000000"/>
                <w:lang w:val="fr-FR" w:eastAsia="zh-CN"/>
              </w:rPr>
            </w:pPr>
            <w:r w:rsidRPr="003D01CF">
              <w:rPr>
                <w:rFonts w:ascii="Arial" w:hAnsi="Arial" w:cs="Arial"/>
                <w:color w:val="000000"/>
                <w:lang w:val="fr-FR" w:eastAsia="zh-CN"/>
              </w:rPr>
              <w:t>51.13</w:t>
            </w:r>
          </w:p>
        </w:tc>
      </w:tr>
    </w:tbl>
    <w:p w14:paraId="50CA2AA0" w14:textId="77777777" w:rsidR="00306E17" w:rsidRDefault="00306E17" w:rsidP="003D01CF">
      <w:pPr>
        <w:pStyle w:val="NormalWeb"/>
        <w:spacing w:before="0" w:beforeAutospacing="0" w:after="0" w:afterAutospacing="0"/>
        <w:jc w:val="both"/>
        <w:rPr>
          <w:rFonts w:ascii="Arial" w:hAnsi="Arial" w:cs="Arial"/>
          <w:b/>
          <w:sz w:val="20"/>
          <w:szCs w:val="18"/>
          <w:lang w:val="en-US" w:eastAsia="en-US"/>
        </w:rPr>
      </w:pPr>
    </w:p>
    <w:p w14:paraId="775EC78F" w14:textId="36C57945" w:rsidR="003D01CF" w:rsidRDefault="003D01CF" w:rsidP="003D01CF">
      <w:pPr>
        <w:pStyle w:val="NormalWeb"/>
        <w:spacing w:before="0" w:beforeAutospacing="0" w:after="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Pr>
          <w:rFonts w:ascii="Arial" w:hAnsi="Arial" w:cs="Arial"/>
          <w:b/>
          <w:sz w:val="20"/>
          <w:szCs w:val="18"/>
          <w:lang w:val="en-US" w:eastAsia="en-US"/>
        </w:rPr>
        <w:t>2</w:t>
      </w:r>
      <w:r w:rsidRPr="003D01CF">
        <w:rPr>
          <w:rFonts w:ascii="Arial" w:hAnsi="Arial" w:cs="Arial"/>
          <w:b/>
          <w:sz w:val="20"/>
          <w:szCs w:val="18"/>
          <w:lang w:val="en-US" w:eastAsia="en-US"/>
        </w:rPr>
        <w:t>. Land use patterns from 20</w:t>
      </w:r>
      <w:r>
        <w:rPr>
          <w:rFonts w:ascii="Arial" w:hAnsi="Arial" w:cs="Arial"/>
          <w:b/>
          <w:sz w:val="20"/>
          <w:szCs w:val="18"/>
          <w:lang w:val="en-US" w:eastAsia="en-US"/>
        </w:rPr>
        <w:t xml:space="preserve">20 </w:t>
      </w:r>
      <w:r w:rsidRPr="003D01CF">
        <w:rPr>
          <w:rFonts w:ascii="Arial" w:hAnsi="Arial" w:cs="Arial"/>
          <w:b/>
          <w:sz w:val="20"/>
          <w:szCs w:val="18"/>
          <w:lang w:val="en-US" w:eastAsia="en-US"/>
        </w:rPr>
        <w:t>to 202</w:t>
      </w:r>
      <w:r>
        <w:rPr>
          <w:rFonts w:ascii="Arial" w:hAnsi="Arial" w:cs="Arial"/>
          <w:b/>
          <w:sz w:val="20"/>
          <w:szCs w:val="18"/>
          <w:lang w:val="en-US" w:eastAsia="en-US"/>
        </w:rPr>
        <w:t>4</w:t>
      </w:r>
    </w:p>
    <w:bookmarkEnd w:id="6"/>
    <w:p w14:paraId="7F0D246B" w14:textId="77777777" w:rsidR="003D01CF" w:rsidRPr="00F33833" w:rsidRDefault="003D01CF" w:rsidP="007F6EBA">
      <w:pPr>
        <w:pStyle w:val="NormalWeb"/>
        <w:spacing w:before="0" w:beforeAutospacing="0" w:after="0" w:afterAutospacing="0"/>
        <w:jc w:val="both"/>
        <w:rPr>
          <w:rFonts w:ascii="Arial" w:hAnsi="Arial" w:cs="Arial"/>
          <w:sz w:val="20"/>
          <w:szCs w:val="20"/>
          <w:lang w:val="en-US" w:eastAsia="en-US"/>
        </w:rPr>
      </w:pPr>
    </w:p>
    <w:p w14:paraId="7D0E046F" w14:textId="4AD21674" w:rsidR="001C75F1" w:rsidRDefault="00E61AAC" w:rsidP="001C75F1">
      <w:pPr>
        <w:pStyle w:val="NormalWeb"/>
        <w:spacing w:before="0" w:beforeAutospacing="0" w:after="120" w:afterAutospacing="0"/>
        <w:jc w:val="both"/>
        <w:rPr>
          <w:rFonts w:ascii="Arial" w:hAnsi="Arial" w:cs="Arial"/>
          <w:sz w:val="20"/>
          <w:szCs w:val="20"/>
          <w:lang w:val="en-US" w:eastAsia="en-US"/>
        </w:rPr>
      </w:pPr>
      <w:r w:rsidRPr="00E61AAC">
        <w:rPr>
          <w:rFonts w:ascii="Arial" w:hAnsi="Arial" w:cs="Arial"/>
          <w:sz w:val="20"/>
          <w:szCs w:val="20"/>
          <w:lang w:val="en-US" w:eastAsia="en-US"/>
        </w:rPr>
        <w:t>The period 2020–2024 is distinguished by rapid changes in the landscape, resulting from agricultural expansion and the modification of natural and anthropized spaces</w:t>
      </w:r>
      <w:r w:rsidR="00836D4B">
        <w:rPr>
          <w:rFonts w:ascii="Arial" w:hAnsi="Arial" w:cs="Arial"/>
          <w:sz w:val="20"/>
          <w:szCs w:val="20"/>
          <w:lang w:val="en-US" w:eastAsia="en-US"/>
        </w:rPr>
        <w:t xml:space="preserve"> (figure 2)</w:t>
      </w:r>
      <w:r w:rsidRPr="00E61AAC">
        <w:rPr>
          <w:rFonts w:ascii="Arial" w:hAnsi="Arial" w:cs="Arial"/>
          <w:sz w:val="20"/>
          <w:szCs w:val="20"/>
          <w:lang w:val="en-US" w:eastAsia="en-US"/>
        </w:rPr>
        <w:t>.</w:t>
      </w:r>
      <w:r>
        <w:rPr>
          <w:rFonts w:ascii="Arial" w:hAnsi="Arial" w:cs="Arial"/>
          <w:sz w:val="20"/>
          <w:szCs w:val="20"/>
          <w:lang w:val="en-US" w:eastAsia="en-US"/>
        </w:rPr>
        <w:t xml:space="preserve"> </w:t>
      </w:r>
      <w:r w:rsidR="001C75F1" w:rsidRPr="001C75F1">
        <w:rPr>
          <w:rFonts w:ascii="Arial" w:hAnsi="Arial" w:cs="Arial"/>
          <w:sz w:val="20"/>
          <w:szCs w:val="20"/>
          <w:lang w:val="en-US" w:eastAsia="en-US"/>
        </w:rPr>
        <w:t>Between 2020 and 2024, bare soils and habitats experienced a dramatic increase, rising from 293,119 ha to 761,293 ha, representing a growth rate of +1.60. Savanna also expanded, from 75,046 ha to 92,002 ha (+0.23). After its decline observed until 2020, dense forest resumed its expansion, increasing from 177,096 ha to 219,329 ha (+0.24).</w:t>
      </w:r>
      <w:r>
        <w:rPr>
          <w:rFonts w:ascii="Arial" w:hAnsi="Arial" w:cs="Arial"/>
          <w:sz w:val="20"/>
          <w:szCs w:val="20"/>
          <w:lang w:val="en-US" w:eastAsia="en-US"/>
        </w:rPr>
        <w:t xml:space="preserve"> </w:t>
      </w:r>
      <w:r w:rsidR="001C75F1" w:rsidRPr="001C75F1">
        <w:rPr>
          <w:rFonts w:ascii="Arial" w:hAnsi="Arial" w:cs="Arial"/>
          <w:sz w:val="20"/>
          <w:szCs w:val="20"/>
          <w:lang w:val="en-US" w:eastAsia="en-US"/>
        </w:rPr>
        <w:t>On the other hand, the "Crops and fallow land" class has seen a very marked decrease, from 305,365 ha in 2020 to 55,892 ha in 2024, representing a rate of change of -0.82. Degraded forest also declined sharply, from 225,138 ha to 73,633 ha (-0.67), reflecting a strong conversion of these areas to other uses and the continuation of anthropogenic pressures on forest environments</w:t>
      </w:r>
      <w:r>
        <w:rPr>
          <w:rFonts w:ascii="Arial" w:hAnsi="Arial" w:cs="Arial"/>
          <w:sz w:val="20"/>
          <w:szCs w:val="20"/>
          <w:lang w:val="en-US" w:eastAsia="en-US"/>
        </w:rPr>
        <w:t xml:space="preserve"> (figure 3)</w:t>
      </w:r>
      <w:r w:rsidR="001C75F1" w:rsidRPr="001C75F1">
        <w:rPr>
          <w:rFonts w:ascii="Arial" w:hAnsi="Arial" w:cs="Arial"/>
          <w:sz w:val="20"/>
          <w:szCs w:val="20"/>
          <w:lang w:val="en-US" w:eastAsia="en-US"/>
        </w:rPr>
        <w:t>.</w:t>
      </w:r>
    </w:p>
    <w:p w14:paraId="7AC58E36" w14:textId="1E76F016" w:rsidR="001C75F1" w:rsidRDefault="00E61AAC" w:rsidP="00E61AAC">
      <w:pPr>
        <w:pStyle w:val="NormalWeb"/>
        <w:spacing w:before="0" w:beforeAutospacing="0" w:after="120" w:afterAutospacing="0"/>
        <w:ind w:hanging="142"/>
        <w:jc w:val="both"/>
        <w:rPr>
          <w:rFonts w:ascii="Arial" w:hAnsi="Arial" w:cs="Arial"/>
          <w:sz w:val="20"/>
          <w:szCs w:val="20"/>
          <w:lang w:val="en-US" w:eastAsia="en-US"/>
        </w:rPr>
      </w:pPr>
      <w:r>
        <w:rPr>
          <w:noProof/>
        </w:rPr>
        <w:drawing>
          <wp:inline distT="0" distB="0" distL="0" distR="0" wp14:anchorId="5F12D639" wp14:editId="2D3A2353">
            <wp:extent cx="5340350" cy="3177664"/>
            <wp:effectExtent l="0" t="0" r="0" b="3810"/>
            <wp:docPr id="2354911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4353" cy="3180046"/>
                    </a:xfrm>
                    <a:prstGeom prst="rect">
                      <a:avLst/>
                    </a:prstGeom>
                    <a:noFill/>
                    <a:ln>
                      <a:noFill/>
                    </a:ln>
                  </pic:spPr>
                </pic:pic>
              </a:graphicData>
            </a:graphic>
          </wp:inline>
        </w:drawing>
      </w:r>
    </w:p>
    <w:p w14:paraId="73B50C94" w14:textId="6B46F021" w:rsidR="002F4EF3" w:rsidRPr="002F4EF3" w:rsidRDefault="002F4EF3" w:rsidP="00E61AAC">
      <w:pPr>
        <w:pStyle w:val="NormalWeb"/>
        <w:spacing w:before="0" w:beforeAutospacing="0" w:after="120" w:afterAutospacing="0"/>
        <w:ind w:hanging="142"/>
        <w:jc w:val="both"/>
        <w:rPr>
          <w:rFonts w:ascii="Arial" w:hAnsi="Arial" w:cs="Arial"/>
          <w:b/>
          <w:bCs/>
          <w:sz w:val="20"/>
          <w:szCs w:val="20"/>
          <w:lang w:val="en-US" w:eastAsia="en-US"/>
        </w:rPr>
      </w:pPr>
      <w:r w:rsidRPr="002F4EF3">
        <w:rPr>
          <w:rFonts w:ascii="Arial" w:hAnsi="Arial" w:cs="Arial"/>
          <w:b/>
          <w:bCs/>
          <w:sz w:val="20"/>
          <w:szCs w:val="20"/>
          <w:lang w:val="en-US" w:eastAsia="en-US"/>
        </w:rPr>
        <w:lastRenderedPageBreak/>
        <w:t xml:space="preserve">Figure 3: Degradation of forests reflecting a strong conversion of the areas to other uses and the continuation of anthropogenic pressures on forest environments </w:t>
      </w:r>
    </w:p>
    <w:p w14:paraId="328784CD" w14:textId="773BADF2" w:rsidR="00710B52" w:rsidRDefault="00836D4B" w:rsidP="00DA0715">
      <w:pPr>
        <w:pStyle w:val="NormalWeb"/>
        <w:spacing w:before="0" w:beforeAutospacing="0"/>
        <w:jc w:val="both"/>
        <w:rPr>
          <w:rFonts w:ascii="Arial" w:hAnsi="Arial" w:cs="Arial"/>
          <w:sz w:val="20"/>
          <w:szCs w:val="20"/>
          <w:lang w:val="en-US" w:eastAsia="en-US"/>
        </w:rPr>
      </w:pPr>
      <w:r w:rsidRPr="003D01CF">
        <w:rPr>
          <w:rFonts w:ascii="Arial" w:hAnsi="Arial" w:cs="Arial"/>
          <w:bCs/>
          <w:sz w:val="20"/>
          <w:szCs w:val="18"/>
          <w:lang w:val="en-US" w:eastAsia="en-US"/>
        </w:rPr>
        <w:t xml:space="preserve">Table </w:t>
      </w:r>
      <w:r>
        <w:rPr>
          <w:rFonts w:ascii="Arial" w:hAnsi="Arial" w:cs="Arial"/>
          <w:bCs/>
          <w:sz w:val="20"/>
          <w:szCs w:val="18"/>
          <w:lang w:val="en-US" w:eastAsia="en-US"/>
        </w:rPr>
        <w:t xml:space="preserve">2 </w:t>
      </w:r>
      <w:r w:rsidRPr="003D01CF">
        <w:rPr>
          <w:rFonts w:ascii="Arial" w:hAnsi="Arial" w:cs="Arial"/>
          <w:bCs/>
          <w:sz w:val="20"/>
          <w:szCs w:val="18"/>
          <w:lang w:val="en-US" w:eastAsia="en-US"/>
        </w:rPr>
        <w:t xml:space="preserve">highlights the </w:t>
      </w:r>
      <w:r>
        <w:rPr>
          <w:rFonts w:ascii="Arial" w:hAnsi="Arial" w:cs="Arial"/>
          <w:bCs/>
          <w:sz w:val="20"/>
          <w:szCs w:val="18"/>
          <w:lang w:val="en-US" w:eastAsia="en-US"/>
        </w:rPr>
        <w:t>r</w:t>
      </w:r>
      <w:r w:rsidRPr="00E61AAC">
        <w:rPr>
          <w:rFonts w:ascii="Arial" w:hAnsi="Arial" w:cs="Arial"/>
          <w:bCs/>
          <w:sz w:val="20"/>
          <w:szCs w:val="18"/>
          <w:lang w:val="en-US" w:eastAsia="en-US"/>
        </w:rPr>
        <w:t>ate of Change between 20</w:t>
      </w:r>
      <w:r>
        <w:rPr>
          <w:rFonts w:ascii="Arial" w:hAnsi="Arial" w:cs="Arial"/>
          <w:bCs/>
          <w:sz w:val="20"/>
          <w:szCs w:val="18"/>
          <w:lang w:val="en-US" w:eastAsia="en-US"/>
        </w:rPr>
        <w:t>20-</w:t>
      </w:r>
      <w:r w:rsidRPr="00E61AAC">
        <w:rPr>
          <w:rFonts w:ascii="Arial" w:hAnsi="Arial" w:cs="Arial"/>
          <w:bCs/>
          <w:sz w:val="20"/>
          <w:szCs w:val="18"/>
          <w:lang w:val="en-US" w:eastAsia="en-US"/>
        </w:rPr>
        <w:t>202</w:t>
      </w:r>
      <w:r>
        <w:rPr>
          <w:rFonts w:ascii="Arial" w:hAnsi="Arial" w:cs="Arial"/>
          <w:bCs/>
          <w:sz w:val="20"/>
          <w:szCs w:val="18"/>
          <w:lang w:val="en-US" w:eastAsia="en-US"/>
        </w:rPr>
        <w:t xml:space="preserve">4. </w:t>
      </w:r>
      <w:r w:rsidR="00DA0715" w:rsidRPr="00DA0715">
        <w:rPr>
          <w:rFonts w:ascii="Arial" w:hAnsi="Arial" w:cs="Arial"/>
          <w:sz w:val="20"/>
          <w:szCs w:val="20"/>
          <w:lang w:val="en-US" w:eastAsia="en-US"/>
        </w:rPr>
        <w:t>Bare soils and habitats experienced a major expansion (+159.72%), while cultivated and fallow land saw a sharp decline (81.70%). Degraded forest also declined significantly (-67.29%), while dense forest and savanna showed more moderate increases (+23.85% and +22.59%, respectively). Water bodies decreased by 25.54%, likely due to changes in land cover and human activity.</w:t>
      </w:r>
      <w:r w:rsidR="00DA0715">
        <w:rPr>
          <w:rFonts w:ascii="Arial" w:hAnsi="Arial" w:cs="Arial"/>
          <w:sz w:val="20"/>
          <w:szCs w:val="20"/>
          <w:lang w:val="en-US" w:eastAsia="en-US"/>
        </w:rPr>
        <w:t xml:space="preserve"> </w:t>
      </w:r>
      <w:r w:rsidR="00DA0715" w:rsidRPr="00DA0715">
        <w:rPr>
          <w:rFonts w:ascii="Arial" w:hAnsi="Arial" w:cs="Arial"/>
          <w:sz w:val="20"/>
          <w:szCs w:val="20"/>
          <w:lang w:val="en-US" w:eastAsia="en-US"/>
        </w:rPr>
        <w:t>These trends confirm the continuation of landscape transformations observed during the previous period (2015–2020), with intensified urbanization and increased pressure on agricultural and forest land.</w:t>
      </w:r>
    </w:p>
    <w:tbl>
      <w:tblPr>
        <w:tblpPr w:leftFromText="141" w:rightFromText="141" w:vertAnchor="text" w:horzAnchor="margin" w:tblpY="447"/>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850"/>
        <w:gridCol w:w="992"/>
        <w:gridCol w:w="1701"/>
        <w:gridCol w:w="2408"/>
      </w:tblGrid>
      <w:tr w:rsidR="00DA0715" w:rsidRPr="00DA0715" w14:paraId="3559C548" w14:textId="77777777" w:rsidTr="00836D4B">
        <w:trPr>
          <w:trHeight w:val="315"/>
        </w:trPr>
        <w:tc>
          <w:tcPr>
            <w:tcW w:w="2689" w:type="dxa"/>
            <w:noWrap/>
            <w:vAlign w:val="center"/>
            <w:hideMark/>
          </w:tcPr>
          <w:p w14:paraId="3290AA0F" w14:textId="77777777" w:rsidR="00DA0715" w:rsidRPr="00DA0715" w:rsidRDefault="00DA0715" w:rsidP="00DA0715">
            <w:pPr>
              <w:jc w:val="center"/>
              <w:rPr>
                <w:rFonts w:ascii="Arial" w:hAnsi="Arial" w:cs="Arial"/>
                <w:b/>
                <w:bCs/>
                <w:color w:val="000000"/>
                <w:lang w:val="fr-FR" w:eastAsia="zh-CN"/>
              </w:rPr>
            </w:pPr>
            <w:r w:rsidRPr="00DA0715">
              <w:rPr>
                <w:rFonts w:ascii="Arial" w:hAnsi="Arial" w:cs="Arial"/>
                <w:b/>
                <w:bCs/>
                <w:color w:val="000000"/>
                <w:lang w:val="fr-FR" w:eastAsia="zh-CN"/>
              </w:rPr>
              <w:t>Classes</w:t>
            </w:r>
          </w:p>
        </w:tc>
        <w:tc>
          <w:tcPr>
            <w:tcW w:w="850" w:type="dxa"/>
            <w:noWrap/>
            <w:vAlign w:val="center"/>
            <w:hideMark/>
          </w:tcPr>
          <w:p w14:paraId="72D8C34F" w14:textId="77777777" w:rsidR="00DA0715" w:rsidRPr="00DA0715" w:rsidRDefault="00DA0715" w:rsidP="00DA0715">
            <w:pPr>
              <w:jc w:val="center"/>
              <w:rPr>
                <w:rFonts w:ascii="Arial" w:hAnsi="Arial" w:cs="Arial"/>
                <w:b/>
                <w:bCs/>
                <w:color w:val="000000"/>
                <w:lang w:val="fr-FR" w:eastAsia="zh-CN"/>
              </w:rPr>
            </w:pPr>
            <w:r w:rsidRPr="00DA0715">
              <w:rPr>
                <w:rFonts w:ascii="Arial" w:hAnsi="Arial" w:cs="Arial"/>
                <w:b/>
                <w:bCs/>
                <w:color w:val="000000"/>
                <w:lang w:val="fr-FR" w:eastAsia="zh-CN"/>
              </w:rPr>
              <w:t>2020</w:t>
            </w:r>
          </w:p>
        </w:tc>
        <w:tc>
          <w:tcPr>
            <w:tcW w:w="992" w:type="dxa"/>
            <w:noWrap/>
            <w:vAlign w:val="center"/>
            <w:hideMark/>
          </w:tcPr>
          <w:p w14:paraId="00C9A0F1" w14:textId="77777777" w:rsidR="00DA0715" w:rsidRPr="00DA0715" w:rsidRDefault="00DA0715" w:rsidP="00DA0715">
            <w:pPr>
              <w:jc w:val="center"/>
              <w:rPr>
                <w:rFonts w:ascii="Arial" w:hAnsi="Arial" w:cs="Arial"/>
                <w:b/>
                <w:bCs/>
                <w:color w:val="000000"/>
                <w:lang w:val="fr-FR" w:eastAsia="zh-CN"/>
              </w:rPr>
            </w:pPr>
            <w:r w:rsidRPr="00DA0715">
              <w:rPr>
                <w:rFonts w:ascii="Arial" w:hAnsi="Arial" w:cs="Arial"/>
                <w:b/>
                <w:bCs/>
                <w:color w:val="000000"/>
                <w:lang w:val="fr-FR" w:eastAsia="zh-CN"/>
              </w:rPr>
              <w:t>2024</w:t>
            </w:r>
          </w:p>
        </w:tc>
        <w:tc>
          <w:tcPr>
            <w:tcW w:w="1701" w:type="dxa"/>
            <w:noWrap/>
            <w:vAlign w:val="center"/>
            <w:hideMark/>
          </w:tcPr>
          <w:p w14:paraId="522FFF1D" w14:textId="77777777" w:rsidR="00DA0715" w:rsidRPr="00DA0715" w:rsidRDefault="00DA0715" w:rsidP="00DA0715">
            <w:pPr>
              <w:jc w:val="center"/>
              <w:rPr>
                <w:rFonts w:ascii="Arial" w:hAnsi="Arial" w:cs="Arial"/>
                <w:b/>
                <w:bCs/>
                <w:color w:val="000000"/>
                <w:lang w:val="fr-FR" w:eastAsia="zh-CN"/>
              </w:rPr>
            </w:pPr>
            <w:proofErr w:type="spellStart"/>
            <w:r w:rsidRPr="00DA0715">
              <w:rPr>
                <w:rFonts w:ascii="Arial" w:hAnsi="Arial" w:cs="Arial"/>
                <w:b/>
                <w:bCs/>
                <w:color w:val="000000"/>
                <w:lang w:val="fr-FR" w:eastAsia="zh-CN"/>
              </w:rPr>
              <w:t>Difference</w:t>
            </w:r>
            <w:proofErr w:type="spellEnd"/>
            <w:r w:rsidRPr="00DA0715">
              <w:rPr>
                <w:rFonts w:ascii="Arial" w:hAnsi="Arial" w:cs="Arial"/>
                <w:b/>
                <w:bCs/>
                <w:color w:val="000000"/>
                <w:lang w:val="fr-FR" w:eastAsia="zh-CN"/>
              </w:rPr>
              <w:t xml:space="preserve"> 2024 - 2020</w:t>
            </w:r>
          </w:p>
        </w:tc>
        <w:tc>
          <w:tcPr>
            <w:tcW w:w="2408" w:type="dxa"/>
            <w:noWrap/>
            <w:vAlign w:val="center"/>
            <w:hideMark/>
          </w:tcPr>
          <w:p w14:paraId="165AD2E8" w14:textId="77777777" w:rsidR="00DA0715" w:rsidRPr="00DA0715" w:rsidRDefault="00DA0715" w:rsidP="00DA0715">
            <w:pPr>
              <w:jc w:val="center"/>
              <w:rPr>
                <w:rFonts w:ascii="Arial" w:hAnsi="Arial" w:cs="Arial"/>
                <w:b/>
                <w:bCs/>
                <w:color w:val="000000"/>
                <w:lang w:val="fr-FR" w:eastAsia="zh-CN"/>
              </w:rPr>
            </w:pPr>
            <w:r w:rsidRPr="00DA0715">
              <w:rPr>
                <w:rFonts w:ascii="Arial" w:hAnsi="Arial" w:cs="Arial"/>
                <w:b/>
                <w:bCs/>
                <w:color w:val="000000"/>
                <w:lang w:val="fr-FR" w:eastAsia="zh-CN"/>
              </w:rPr>
              <w:t>Rate of Change %</w:t>
            </w:r>
          </w:p>
        </w:tc>
      </w:tr>
      <w:tr w:rsidR="00DA0715" w:rsidRPr="00DA0715" w14:paraId="299DDB74" w14:textId="77777777" w:rsidTr="00836D4B">
        <w:trPr>
          <w:trHeight w:val="315"/>
        </w:trPr>
        <w:tc>
          <w:tcPr>
            <w:tcW w:w="2689" w:type="dxa"/>
            <w:noWrap/>
            <w:vAlign w:val="center"/>
            <w:hideMark/>
          </w:tcPr>
          <w:p w14:paraId="4FF21B12" w14:textId="77777777" w:rsidR="00DA0715" w:rsidRPr="00DA0715" w:rsidRDefault="00DA0715" w:rsidP="00DA0715">
            <w:pPr>
              <w:jc w:val="center"/>
              <w:rPr>
                <w:rFonts w:ascii="Arial" w:hAnsi="Arial" w:cs="Arial"/>
                <w:color w:val="000000"/>
                <w:lang w:val="fr-FR" w:eastAsia="zh-CN"/>
              </w:rPr>
            </w:pPr>
            <w:proofErr w:type="spellStart"/>
            <w:r w:rsidRPr="00DA0715">
              <w:rPr>
                <w:rFonts w:ascii="Arial" w:hAnsi="Arial" w:cs="Arial"/>
                <w:color w:val="000000"/>
                <w:lang w:val="fr-FR" w:eastAsia="zh-CN"/>
              </w:rPr>
              <w:t>Bare</w:t>
            </w:r>
            <w:proofErr w:type="spellEnd"/>
            <w:r w:rsidRPr="00DA0715">
              <w:rPr>
                <w:rFonts w:ascii="Arial" w:hAnsi="Arial" w:cs="Arial"/>
                <w:color w:val="000000"/>
                <w:lang w:val="fr-FR" w:eastAsia="zh-CN"/>
              </w:rPr>
              <w:t xml:space="preserve"> </w:t>
            </w:r>
            <w:proofErr w:type="spellStart"/>
            <w:r w:rsidRPr="00DA0715">
              <w:rPr>
                <w:rFonts w:ascii="Arial" w:hAnsi="Arial" w:cs="Arial"/>
                <w:color w:val="000000"/>
                <w:lang w:val="fr-FR" w:eastAsia="zh-CN"/>
              </w:rPr>
              <w:t>Soil</w:t>
            </w:r>
            <w:proofErr w:type="spellEnd"/>
            <w:r w:rsidRPr="00DA0715">
              <w:rPr>
                <w:rFonts w:ascii="Arial" w:hAnsi="Arial" w:cs="Arial"/>
                <w:color w:val="000000"/>
                <w:lang w:val="fr-FR" w:eastAsia="zh-CN"/>
              </w:rPr>
              <w:t xml:space="preserve"> and </w:t>
            </w:r>
            <w:proofErr w:type="spellStart"/>
            <w:r w:rsidRPr="00DA0715">
              <w:rPr>
                <w:rFonts w:ascii="Arial" w:hAnsi="Arial" w:cs="Arial"/>
                <w:color w:val="000000"/>
                <w:lang w:val="fr-FR" w:eastAsia="zh-CN"/>
              </w:rPr>
              <w:t>Settlements</w:t>
            </w:r>
            <w:proofErr w:type="spellEnd"/>
          </w:p>
        </w:tc>
        <w:tc>
          <w:tcPr>
            <w:tcW w:w="850" w:type="dxa"/>
            <w:noWrap/>
            <w:vAlign w:val="center"/>
            <w:hideMark/>
          </w:tcPr>
          <w:p w14:paraId="1605590F"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18.67</w:t>
            </w:r>
          </w:p>
        </w:tc>
        <w:tc>
          <w:tcPr>
            <w:tcW w:w="992" w:type="dxa"/>
            <w:noWrap/>
            <w:vAlign w:val="center"/>
            <w:hideMark/>
          </w:tcPr>
          <w:p w14:paraId="66364DEB"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48.49</w:t>
            </w:r>
          </w:p>
        </w:tc>
        <w:tc>
          <w:tcPr>
            <w:tcW w:w="1701" w:type="dxa"/>
            <w:noWrap/>
            <w:vAlign w:val="center"/>
            <w:hideMark/>
          </w:tcPr>
          <w:p w14:paraId="4C58166C" w14:textId="28C40511" w:rsidR="00710B52" w:rsidRPr="00DA0715" w:rsidRDefault="00DA0715" w:rsidP="00CC7BDD">
            <w:pPr>
              <w:jc w:val="center"/>
              <w:rPr>
                <w:rFonts w:ascii="Arial" w:hAnsi="Arial" w:cs="Arial"/>
                <w:color w:val="000000"/>
                <w:lang w:val="fr-FR" w:eastAsia="zh-CN"/>
              </w:rPr>
            </w:pPr>
            <w:r w:rsidRPr="00DA0715">
              <w:rPr>
                <w:rFonts w:ascii="Arial" w:hAnsi="Arial" w:cs="Arial"/>
                <w:color w:val="000000"/>
                <w:lang w:val="fr-FR" w:eastAsia="zh-CN"/>
              </w:rPr>
              <w:t>29.82</w:t>
            </w:r>
          </w:p>
        </w:tc>
        <w:tc>
          <w:tcPr>
            <w:tcW w:w="2408" w:type="dxa"/>
            <w:noWrap/>
            <w:vAlign w:val="center"/>
            <w:hideMark/>
          </w:tcPr>
          <w:p w14:paraId="6A611635"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159.72</w:t>
            </w:r>
          </w:p>
        </w:tc>
      </w:tr>
      <w:tr w:rsidR="00DA0715" w:rsidRPr="00DA0715" w14:paraId="53F3116E" w14:textId="77777777" w:rsidTr="00836D4B">
        <w:trPr>
          <w:trHeight w:val="315"/>
        </w:trPr>
        <w:tc>
          <w:tcPr>
            <w:tcW w:w="2689" w:type="dxa"/>
            <w:noWrap/>
            <w:vAlign w:val="center"/>
            <w:hideMark/>
          </w:tcPr>
          <w:p w14:paraId="27F8AFB5" w14:textId="77777777" w:rsidR="00DA0715" w:rsidRPr="00DA0715" w:rsidRDefault="00DA0715" w:rsidP="00DA0715">
            <w:pPr>
              <w:jc w:val="center"/>
              <w:rPr>
                <w:rFonts w:ascii="Arial" w:hAnsi="Arial" w:cs="Arial"/>
                <w:color w:val="000000"/>
                <w:lang w:val="fr-FR" w:eastAsia="zh-CN"/>
              </w:rPr>
            </w:pPr>
            <w:proofErr w:type="spellStart"/>
            <w:r w:rsidRPr="00DA0715">
              <w:rPr>
                <w:rFonts w:ascii="Arial" w:hAnsi="Arial" w:cs="Arial"/>
                <w:color w:val="000000"/>
                <w:lang w:val="fr-FR" w:eastAsia="zh-CN"/>
              </w:rPr>
              <w:t>Degraded</w:t>
            </w:r>
            <w:proofErr w:type="spellEnd"/>
            <w:r w:rsidRPr="00DA0715">
              <w:rPr>
                <w:rFonts w:ascii="Arial" w:hAnsi="Arial" w:cs="Arial"/>
                <w:color w:val="000000"/>
                <w:lang w:val="fr-FR" w:eastAsia="zh-CN"/>
              </w:rPr>
              <w:t xml:space="preserve"> Forest</w:t>
            </w:r>
          </w:p>
        </w:tc>
        <w:tc>
          <w:tcPr>
            <w:tcW w:w="850" w:type="dxa"/>
            <w:noWrap/>
            <w:vAlign w:val="center"/>
            <w:hideMark/>
          </w:tcPr>
          <w:p w14:paraId="0A797FEF"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14.34</w:t>
            </w:r>
          </w:p>
        </w:tc>
        <w:tc>
          <w:tcPr>
            <w:tcW w:w="992" w:type="dxa"/>
            <w:noWrap/>
            <w:vAlign w:val="center"/>
            <w:hideMark/>
          </w:tcPr>
          <w:p w14:paraId="722DAABE"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4.69</w:t>
            </w:r>
          </w:p>
        </w:tc>
        <w:tc>
          <w:tcPr>
            <w:tcW w:w="1701" w:type="dxa"/>
            <w:noWrap/>
            <w:vAlign w:val="center"/>
            <w:hideMark/>
          </w:tcPr>
          <w:p w14:paraId="5CFC40B2"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-9.65</w:t>
            </w:r>
          </w:p>
        </w:tc>
        <w:tc>
          <w:tcPr>
            <w:tcW w:w="2408" w:type="dxa"/>
            <w:noWrap/>
            <w:vAlign w:val="center"/>
            <w:hideMark/>
          </w:tcPr>
          <w:p w14:paraId="544AC84D"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-67.29</w:t>
            </w:r>
          </w:p>
        </w:tc>
      </w:tr>
      <w:tr w:rsidR="00DA0715" w:rsidRPr="00DA0715" w14:paraId="4A4C7B24" w14:textId="77777777" w:rsidTr="00836D4B">
        <w:trPr>
          <w:trHeight w:val="315"/>
        </w:trPr>
        <w:tc>
          <w:tcPr>
            <w:tcW w:w="2689" w:type="dxa"/>
            <w:noWrap/>
            <w:vAlign w:val="center"/>
            <w:hideMark/>
          </w:tcPr>
          <w:p w14:paraId="2EF09289"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Dense Forest</w:t>
            </w:r>
          </w:p>
        </w:tc>
        <w:tc>
          <w:tcPr>
            <w:tcW w:w="850" w:type="dxa"/>
            <w:noWrap/>
            <w:vAlign w:val="center"/>
            <w:hideMark/>
          </w:tcPr>
          <w:p w14:paraId="5E3268FC"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11.28</w:t>
            </w:r>
          </w:p>
        </w:tc>
        <w:tc>
          <w:tcPr>
            <w:tcW w:w="992" w:type="dxa"/>
            <w:noWrap/>
            <w:vAlign w:val="center"/>
            <w:hideMark/>
          </w:tcPr>
          <w:p w14:paraId="4EF275DF"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13.97</w:t>
            </w:r>
          </w:p>
        </w:tc>
        <w:tc>
          <w:tcPr>
            <w:tcW w:w="1701" w:type="dxa"/>
            <w:noWrap/>
            <w:vAlign w:val="center"/>
            <w:hideMark/>
          </w:tcPr>
          <w:p w14:paraId="46A0BC2F"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2.69</w:t>
            </w:r>
          </w:p>
        </w:tc>
        <w:tc>
          <w:tcPr>
            <w:tcW w:w="2408" w:type="dxa"/>
            <w:noWrap/>
            <w:vAlign w:val="center"/>
            <w:hideMark/>
          </w:tcPr>
          <w:p w14:paraId="1F603E8D"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23.85</w:t>
            </w:r>
          </w:p>
        </w:tc>
      </w:tr>
      <w:tr w:rsidR="00DA0715" w:rsidRPr="00DA0715" w14:paraId="6EA9F702" w14:textId="77777777" w:rsidTr="00836D4B">
        <w:trPr>
          <w:trHeight w:val="315"/>
        </w:trPr>
        <w:tc>
          <w:tcPr>
            <w:tcW w:w="2689" w:type="dxa"/>
            <w:noWrap/>
            <w:vAlign w:val="center"/>
            <w:hideMark/>
          </w:tcPr>
          <w:p w14:paraId="731CFEB3" w14:textId="77777777" w:rsidR="00DA0715" w:rsidRPr="00DA0715" w:rsidRDefault="00DA0715" w:rsidP="00DA0715">
            <w:pPr>
              <w:jc w:val="center"/>
              <w:rPr>
                <w:rFonts w:ascii="Arial" w:hAnsi="Arial" w:cs="Arial"/>
                <w:color w:val="000000"/>
                <w:lang w:val="fr-FR" w:eastAsia="zh-CN"/>
              </w:rPr>
            </w:pPr>
            <w:proofErr w:type="spellStart"/>
            <w:r w:rsidRPr="00DA0715">
              <w:rPr>
                <w:rFonts w:ascii="Arial" w:hAnsi="Arial" w:cs="Arial"/>
                <w:color w:val="000000"/>
                <w:lang w:val="fr-FR" w:eastAsia="zh-CN"/>
              </w:rPr>
              <w:t>Savanna</w:t>
            </w:r>
            <w:proofErr w:type="spellEnd"/>
          </w:p>
        </w:tc>
        <w:tc>
          <w:tcPr>
            <w:tcW w:w="850" w:type="dxa"/>
            <w:noWrap/>
            <w:vAlign w:val="center"/>
            <w:hideMark/>
          </w:tcPr>
          <w:p w14:paraId="3A640513"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4.78</w:t>
            </w:r>
          </w:p>
        </w:tc>
        <w:tc>
          <w:tcPr>
            <w:tcW w:w="992" w:type="dxa"/>
            <w:noWrap/>
            <w:vAlign w:val="center"/>
            <w:hideMark/>
          </w:tcPr>
          <w:p w14:paraId="2A23810C"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5.86</w:t>
            </w:r>
          </w:p>
        </w:tc>
        <w:tc>
          <w:tcPr>
            <w:tcW w:w="1701" w:type="dxa"/>
            <w:noWrap/>
            <w:vAlign w:val="center"/>
            <w:hideMark/>
          </w:tcPr>
          <w:p w14:paraId="2F1A665A"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1.08</w:t>
            </w:r>
          </w:p>
        </w:tc>
        <w:tc>
          <w:tcPr>
            <w:tcW w:w="2408" w:type="dxa"/>
            <w:noWrap/>
            <w:vAlign w:val="center"/>
            <w:hideMark/>
          </w:tcPr>
          <w:p w14:paraId="22D55EFE"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22.59</w:t>
            </w:r>
          </w:p>
        </w:tc>
      </w:tr>
      <w:tr w:rsidR="00DA0715" w:rsidRPr="00DA0715" w14:paraId="19108EB5" w14:textId="77777777" w:rsidTr="00836D4B">
        <w:trPr>
          <w:trHeight w:val="315"/>
        </w:trPr>
        <w:tc>
          <w:tcPr>
            <w:tcW w:w="2689" w:type="dxa"/>
            <w:noWrap/>
            <w:vAlign w:val="center"/>
            <w:hideMark/>
          </w:tcPr>
          <w:p w14:paraId="09760589" w14:textId="77777777" w:rsidR="00DA0715" w:rsidRPr="00DA0715" w:rsidRDefault="00DA0715" w:rsidP="00DA0715">
            <w:pPr>
              <w:jc w:val="center"/>
              <w:rPr>
                <w:rFonts w:ascii="Arial" w:hAnsi="Arial" w:cs="Arial"/>
                <w:color w:val="000000"/>
                <w:lang w:val="fr-FR" w:eastAsia="zh-CN"/>
              </w:rPr>
            </w:pPr>
            <w:proofErr w:type="spellStart"/>
            <w:r w:rsidRPr="00DA0715">
              <w:rPr>
                <w:rFonts w:ascii="Arial" w:hAnsi="Arial" w:cs="Arial"/>
                <w:color w:val="000000"/>
                <w:lang w:val="fr-FR" w:eastAsia="zh-CN"/>
              </w:rPr>
              <w:t>Crops</w:t>
            </w:r>
            <w:proofErr w:type="spellEnd"/>
            <w:r w:rsidRPr="00DA0715">
              <w:rPr>
                <w:rFonts w:ascii="Arial" w:hAnsi="Arial" w:cs="Arial"/>
                <w:color w:val="000000"/>
                <w:lang w:val="fr-FR" w:eastAsia="zh-CN"/>
              </w:rPr>
              <w:t xml:space="preserve"> and </w:t>
            </w:r>
            <w:proofErr w:type="spellStart"/>
            <w:r w:rsidRPr="00DA0715">
              <w:rPr>
                <w:rFonts w:ascii="Arial" w:hAnsi="Arial" w:cs="Arial"/>
                <w:color w:val="000000"/>
                <w:lang w:val="fr-FR" w:eastAsia="zh-CN"/>
              </w:rPr>
              <w:t>Fallow</w:t>
            </w:r>
            <w:proofErr w:type="spellEnd"/>
            <w:r w:rsidRPr="00DA0715">
              <w:rPr>
                <w:rFonts w:ascii="Arial" w:hAnsi="Arial" w:cs="Arial"/>
                <w:color w:val="000000"/>
                <w:lang w:val="fr-FR" w:eastAsia="zh-CN"/>
              </w:rPr>
              <w:t xml:space="preserve"> Lands</w:t>
            </w:r>
          </w:p>
        </w:tc>
        <w:tc>
          <w:tcPr>
            <w:tcW w:w="850" w:type="dxa"/>
            <w:noWrap/>
            <w:vAlign w:val="center"/>
            <w:hideMark/>
          </w:tcPr>
          <w:p w14:paraId="0FBF0B59"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19.45</w:t>
            </w:r>
          </w:p>
        </w:tc>
        <w:tc>
          <w:tcPr>
            <w:tcW w:w="992" w:type="dxa"/>
            <w:noWrap/>
            <w:vAlign w:val="center"/>
            <w:hideMark/>
          </w:tcPr>
          <w:p w14:paraId="2F23201D"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3.56</w:t>
            </w:r>
          </w:p>
        </w:tc>
        <w:tc>
          <w:tcPr>
            <w:tcW w:w="1701" w:type="dxa"/>
            <w:noWrap/>
            <w:vAlign w:val="center"/>
            <w:hideMark/>
          </w:tcPr>
          <w:p w14:paraId="7193B6A6"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-15.89</w:t>
            </w:r>
          </w:p>
        </w:tc>
        <w:tc>
          <w:tcPr>
            <w:tcW w:w="2408" w:type="dxa"/>
            <w:noWrap/>
            <w:vAlign w:val="center"/>
            <w:hideMark/>
          </w:tcPr>
          <w:p w14:paraId="4AD2EE66"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-81.70</w:t>
            </w:r>
          </w:p>
        </w:tc>
      </w:tr>
      <w:tr w:rsidR="00DA0715" w:rsidRPr="00DA0715" w14:paraId="229EF19B" w14:textId="77777777" w:rsidTr="00836D4B">
        <w:trPr>
          <w:trHeight w:val="315"/>
        </w:trPr>
        <w:tc>
          <w:tcPr>
            <w:tcW w:w="2689" w:type="dxa"/>
            <w:noWrap/>
            <w:vAlign w:val="center"/>
            <w:hideMark/>
          </w:tcPr>
          <w:p w14:paraId="2B3F6C74"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Water</w:t>
            </w:r>
          </w:p>
        </w:tc>
        <w:tc>
          <w:tcPr>
            <w:tcW w:w="850" w:type="dxa"/>
            <w:noWrap/>
            <w:vAlign w:val="center"/>
            <w:hideMark/>
          </w:tcPr>
          <w:p w14:paraId="3B30688C"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31.48</w:t>
            </w:r>
          </w:p>
        </w:tc>
        <w:tc>
          <w:tcPr>
            <w:tcW w:w="992" w:type="dxa"/>
            <w:noWrap/>
            <w:vAlign w:val="center"/>
            <w:hideMark/>
          </w:tcPr>
          <w:p w14:paraId="4B27847F"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23.44</w:t>
            </w:r>
          </w:p>
        </w:tc>
        <w:tc>
          <w:tcPr>
            <w:tcW w:w="1701" w:type="dxa"/>
            <w:noWrap/>
            <w:vAlign w:val="center"/>
            <w:hideMark/>
          </w:tcPr>
          <w:p w14:paraId="4612DA79"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-8.04</w:t>
            </w:r>
          </w:p>
        </w:tc>
        <w:tc>
          <w:tcPr>
            <w:tcW w:w="2408" w:type="dxa"/>
            <w:noWrap/>
            <w:vAlign w:val="center"/>
            <w:hideMark/>
          </w:tcPr>
          <w:p w14:paraId="5C5421BB" w14:textId="77777777" w:rsidR="00DA0715" w:rsidRPr="00DA0715" w:rsidRDefault="00DA0715" w:rsidP="00DA0715">
            <w:pPr>
              <w:jc w:val="center"/>
              <w:rPr>
                <w:rFonts w:ascii="Arial" w:hAnsi="Arial" w:cs="Arial"/>
                <w:color w:val="000000"/>
                <w:lang w:val="fr-FR" w:eastAsia="zh-CN"/>
              </w:rPr>
            </w:pPr>
            <w:r w:rsidRPr="00DA0715">
              <w:rPr>
                <w:rFonts w:ascii="Arial" w:hAnsi="Arial" w:cs="Arial"/>
                <w:color w:val="000000"/>
                <w:lang w:val="fr-FR" w:eastAsia="zh-CN"/>
              </w:rPr>
              <w:t>-25.54</w:t>
            </w:r>
          </w:p>
        </w:tc>
      </w:tr>
    </w:tbl>
    <w:p w14:paraId="6D701ACC" w14:textId="7F364E16" w:rsidR="003D01CF" w:rsidRDefault="00DA0715" w:rsidP="00DA0715">
      <w:pPr>
        <w:pStyle w:val="NormalWeb"/>
        <w:spacing w:before="0" w:beforeAutospacing="0"/>
        <w:jc w:val="both"/>
        <w:rPr>
          <w:rFonts w:ascii="Arial" w:hAnsi="Arial" w:cs="Arial"/>
          <w:sz w:val="20"/>
          <w:szCs w:val="20"/>
          <w:lang w:val="en-US" w:eastAsia="en-US"/>
        </w:rPr>
      </w:pPr>
      <w:r w:rsidRPr="00DA0715">
        <w:rPr>
          <w:rFonts w:ascii="Arial" w:hAnsi="Arial" w:cs="Arial"/>
          <w:b/>
          <w:bCs/>
          <w:sz w:val="20"/>
          <w:szCs w:val="20"/>
          <w:lang w:val="en-US" w:eastAsia="en-US"/>
        </w:rPr>
        <w:t>Table 2</w:t>
      </w:r>
      <w:r>
        <w:rPr>
          <w:rFonts w:ascii="Arial" w:hAnsi="Arial" w:cs="Arial"/>
          <w:sz w:val="20"/>
          <w:szCs w:val="20"/>
          <w:lang w:val="en-US" w:eastAsia="en-US"/>
        </w:rPr>
        <w:t xml:space="preserve">: </w:t>
      </w:r>
      <w:r w:rsidRPr="00DA0715">
        <w:rPr>
          <w:rFonts w:ascii="Arial" w:hAnsi="Arial" w:cs="Arial"/>
          <w:sz w:val="20"/>
          <w:szCs w:val="20"/>
          <w:lang w:val="en-US" w:eastAsia="en-US"/>
        </w:rPr>
        <w:t>Rate of Change between 2020 and 2024</w:t>
      </w:r>
    </w:p>
    <w:p w14:paraId="08817ACB" w14:textId="77777777" w:rsidR="003D01CF" w:rsidRDefault="003D01CF" w:rsidP="007F6EBA">
      <w:pPr>
        <w:pStyle w:val="NormalWeb"/>
        <w:spacing w:before="0" w:beforeAutospacing="0" w:after="0" w:afterAutospacing="0"/>
        <w:jc w:val="both"/>
        <w:rPr>
          <w:rFonts w:ascii="Arial" w:hAnsi="Arial" w:cs="Arial"/>
          <w:sz w:val="20"/>
          <w:szCs w:val="20"/>
          <w:lang w:val="en-US" w:eastAsia="en-US"/>
        </w:rPr>
      </w:pPr>
    </w:p>
    <w:p w14:paraId="21D84754" w14:textId="74FFFBE9" w:rsidR="00DA0715" w:rsidRDefault="00DA0715" w:rsidP="00DA0715">
      <w:pPr>
        <w:pStyle w:val="NormalWeb"/>
        <w:spacing w:before="0" w:beforeAutospacing="0" w:after="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sidR="0071549D">
        <w:rPr>
          <w:rFonts w:ascii="Arial" w:hAnsi="Arial" w:cs="Arial"/>
          <w:b/>
          <w:sz w:val="20"/>
          <w:szCs w:val="18"/>
          <w:lang w:val="en-US" w:eastAsia="en-US"/>
        </w:rPr>
        <w:t>3</w:t>
      </w:r>
      <w:r w:rsidRPr="003D01CF">
        <w:rPr>
          <w:rFonts w:ascii="Arial" w:hAnsi="Arial" w:cs="Arial"/>
          <w:b/>
          <w:sz w:val="20"/>
          <w:szCs w:val="18"/>
          <w:lang w:val="en-US" w:eastAsia="en-US"/>
        </w:rPr>
        <w:t>. Land use patterns from 20</w:t>
      </w:r>
      <w:r w:rsidR="00667DEB">
        <w:rPr>
          <w:rFonts w:ascii="Arial" w:hAnsi="Arial" w:cs="Arial"/>
          <w:b/>
          <w:sz w:val="20"/>
          <w:szCs w:val="18"/>
          <w:lang w:val="en-US" w:eastAsia="en-US"/>
        </w:rPr>
        <w:t>15</w:t>
      </w:r>
      <w:r>
        <w:rPr>
          <w:rFonts w:ascii="Arial" w:hAnsi="Arial" w:cs="Arial"/>
          <w:b/>
          <w:sz w:val="20"/>
          <w:szCs w:val="18"/>
          <w:lang w:val="en-US" w:eastAsia="en-US"/>
        </w:rPr>
        <w:t xml:space="preserve"> </w:t>
      </w:r>
      <w:r w:rsidRPr="003D01CF">
        <w:rPr>
          <w:rFonts w:ascii="Arial" w:hAnsi="Arial" w:cs="Arial"/>
          <w:b/>
          <w:sz w:val="20"/>
          <w:szCs w:val="18"/>
          <w:lang w:val="en-US" w:eastAsia="en-US"/>
        </w:rPr>
        <w:t>to 202</w:t>
      </w:r>
      <w:r>
        <w:rPr>
          <w:rFonts w:ascii="Arial" w:hAnsi="Arial" w:cs="Arial"/>
          <w:b/>
          <w:sz w:val="20"/>
          <w:szCs w:val="18"/>
          <w:lang w:val="en-US" w:eastAsia="en-US"/>
        </w:rPr>
        <w:t>4</w:t>
      </w:r>
    </w:p>
    <w:p w14:paraId="4C776590" w14:textId="22DF414D" w:rsidR="001B6337" w:rsidRDefault="001B6337" w:rsidP="0071549D">
      <w:pPr>
        <w:pStyle w:val="NormalWeb"/>
        <w:jc w:val="both"/>
        <w:rPr>
          <w:rFonts w:ascii="Arial" w:hAnsi="Arial" w:cs="Arial"/>
          <w:sz w:val="20"/>
          <w:szCs w:val="20"/>
          <w:lang w:val="en-US" w:eastAsia="en-US"/>
        </w:rPr>
      </w:pPr>
      <w:r w:rsidRPr="001B6337">
        <w:rPr>
          <w:rFonts w:ascii="Arial" w:hAnsi="Arial" w:cs="Arial"/>
          <w:sz w:val="20"/>
          <w:szCs w:val="20"/>
          <w:lang w:val="en-US" w:eastAsia="en-US"/>
        </w:rPr>
        <w:t xml:space="preserve">Between 2015 and 2024, the </w:t>
      </w:r>
      <w:proofErr w:type="spellStart"/>
      <w:r w:rsidRPr="001B6337">
        <w:rPr>
          <w:rFonts w:ascii="Arial" w:hAnsi="Arial" w:cs="Arial"/>
          <w:sz w:val="20"/>
          <w:szCs w:val="20"/>
          <w:lang w:val="en-US" w:eastAsia="en-US"/>
        </w:rPr>
        <w:t>N’Zi</w:t>
      </w:r>
      <w:proofErr w:type="spellEnd"/>
      <w:r w:rsidRPr="001B6337">
        <w:rPr>
          <w:rFonts w:ascii="Arial" w:hAnsi="Arial" w:cs="Arial"/>
          <w:sz w:val="20"/>
          <w:szCs w:val="20"/>
          <w:lang w:val="en-US" w:eastAsia="en-US"/>
        </w:rPr>
        <w:t xml:space="preserve"> watershed at </w:t>
      </w:r>
      <w:proofErr w:type="spellStart"/>
      <w:r w:rsidRPr="001B6337">
        <w:rPr>
          <w:rFonts w:ascii="Arial" w:hAnsi="Arial" w:cs="Arial"/>
          <w:sz w:val="20"/>
          <w:szCs w:val="20"/>
          <w:lang w:val="en-US" w:eastAsia="en-US"/>
        </w:rPr>
        <w:t>M’Bahiakro</w:t>
      </w:r>
      <w:proofErr w:type="spellEnd"/>
      <w:r w:rsidRPr="001B6337">
        <w:rPr>
          <w:rFonts w:ascii="Arial" w:hAnsi="Arial" w:cs="Arial"/>
          <w:sz w:val="20"/>
          <w:szCs w:val="20"/>
          <w:lang w:val="en-US" w:eastAsia="en-US"/>
        </w:rPr>
        <w:t xml:space="preserve"> underwent profound landscape transformations. Savannas decreased significantly, from 308,034 ha to 92,002 ha (–70.1%), and dense forest from 274,279 ha to 219,329 ha (–20.0%), with the period 2015–2020 marked by significant deforestation. Degraded forest also declined, from 115,238 ha to 73,633 ha (–36.1%), reflecting a conversion to agricultural land or bare soil and </w:t>
      </w:r>
      <w:proofErr w:type="spellStart"/>
      <w:proofErr w:type="gramStart"/>
      <w:r w:rsidRPr="001B6337">
        <w:rPr>
          <w:rFonts w:ascii="Arial" w:hAnsi="Arial" w:cs="Arial"/>
          <w:sz w:val="20"/>
          <w:szCs w:val="20"/>
          <w:lang w:val="en-US" w:eastAsia="en-US"/>
        </w:rPr>
        <w:t>habitats.</w:t>
      </w:r>
      <w:r>
        <w:rPr>
          <w:rFonts w:ascii="Arial" w:hAnsi="Arial" w:cs="Arial"/>
          <w:sz w:val="20"/>
          <w:szCs w:val="20"/>
          <w:lang w:val="en-US" w:eastAsia="en-US"/>
        </w:rPr>
        <w:t>n</w:t>
      </w:r>
      <w:r w:rsidRPr="001B6337">
        <w:rPr>
          <w:rFonts w:ascii="Arial" w:hAnsi="Arial" w:cs="Arial"/>
          <w:sz w:val="20"/>
          <w:szCs w:val="20"/>
          <w:lang w:val="en-US" w:eastAsia="en-US"/>
        </w:rPr>
        <w:t>The</w:t>
      </w:r>
      <w:proofErr w:type="spellEnd"/>
      <w:proofErr w:type="gramEnd"/>
      <w:r w:rsidRPr="001B6337">
        <w:rPr>
          <w:rFonts w:ascii="Arial" w:hAnsi="Arial" w:cs="Arial"/>
          <w:sz w:val="20"/>
          <w:szCs w:val="20"/>
          <w:lang w:val="en-US" w:eastAsia="en-US"/>
        </w:rPr>
        <w:t xml:space="preserve"> area of cultivated land and fallow land fell from 209,752 ha to 55,892 ha (-73.4%) after an initial expansion, while bare soil and habitats increased sharply, from 335,666 ha to 761,293 ha (+126.8%). Water bodies increased slightly, from 327,031 ha to 367,851 ha (+12.5%), reflecting the proliferation of reservoirs and water bodies in the basin.</w:t>
      </w:r>
      <w:r>
        <w:rPr>
          <w:rFonts w:ascii="Arial" w:hAnsi="Arial" w:cs="Arial"/>
          <w:sz w:val="20"/>
          <w:szCs w:val="20"/>
          <w:lang w:val="en-US" w:eastAsia="en-US"/>
        </w:rPr>
        <w:t xml:space="preserve"> </w:t>
      </w:r>
      <w:r w:rsidRPr="001B6337">
        <w:rPr>
          <w:rFonts w:ascii="Arial" w:hAnsi="Arial" w:cs="Arial"/>
          <w:sz w:val="20"/>
          <w:szCs w:val="20"/>
          <w:lang w:val="en-US" w:eastAsia="en-US"/>
        </w:rPr>
        <w:t>These changes reflect the intensification of human pressures and a significant redistribution of land cover classes in the N’Zi watershed.</w:t>
      </w:r>
      <w:r>
        <w:rPr>
          <w:rFonts w:ascii="Arial" w:hAnsi="Arial" w:cs="Arial"/>
          <w:sz w:val="20"/>
          <w:szCs w:val="20"/>
          <w:lang w:val="en-US" w:eastAsia="en-US"/>
        </w:rPr>
        <w:t xml:space="preserve"> </w:t>
      </w:r>
      <w:r w:rsidRPr="001B6337">
        <w:rPr>
          <w:rFonts w:ascii="Arial" w:hAnsi="Arial" w:cs="Arial"/>
          <w:sz w:val="20"/>
          <w:szCs w:val="20"/>
          <w:lang w:val="en-US" w:eastAsia="en-US"/>
        </w:rPr>
        <w:t xml:space="preserve">Between 2015 and 2024, the </w:t>
      </w:r>
      <w:proofErr w:type="spellStart"/>
      <w:r w:rsidRPr="001B6337">
        <w:rPr>
          <w:rFonts w:ascii="Arial" w:hAnsi="Arial" w:cs="Arial"/>
          <w:sz w:val="20"/>
          <w:szCs w:val="20"/>
          <w:lang w:val="en-US" w:eastAsia="en-US"/>
        </w:rPr>
        <w:t>N’Zi</w:t>
      </w:r>
      <w:proofErr w:type="spellEnd"/>
      <w:r w:rsidRPr="001B6337">
        <w:rPr>
          <w:rFonts w:ascii="Arial" w:hAnsi="Arial" w:cs="Arial"/>
          <w:sz w:val="20"/>
          <w:szCs w:val="20"/>
          <w:lang w:val="en-US" w:eastAsia="en-US"/>
        </w:rPr>
        <w:t xml:space="preserve"> watershed at </w:t>
      </w:r>
      <w:proofErr w:type="spellStart"/>
      <w:r w:rsidRPr="001B6337">
        <w:rPr>
          <w:rFonts w:ascii="Arial" w:hAnsi="Arial" w:cs="Arial"/>
          <w:sz w:val="20"/>
          <w:szCs w:val="20"/>
          <w:lang w:val="en-US" w:eastAsia="en-US"/>
        </w:rPr>
        <w:t>M’Bahiakro</w:t>
      </w:r>
      <w:proofErr w:type="spellEnd"/>
      <w:r w:rsidRPr="001B6337">
        <w:rPr>
          <w:rFonts w:ascii="Arial" w:hAnsi="Arial" w:cs="Arial"/>
          <w:sz w:val="20"/>
          <w:szCs w:val="20"/>
          <w:lang w:val="en-US" w:eastAsia="en-US"/>
        </w:rPr>
        <w:t xml:space="preserve"> underwent major landscape transformations. Bare soils and habitats increased significantly (+126.8%), while savanna (-70.1%), dense forest (-20.0%), degraded forest (-36.1%), and cultivated/fallow land (-73.4%) declined. Water bodies increased slightly (+12.5%). These changes reflect the intensification of human pressures and the redistribution of land cover classes within the watershed.</w:t>
      </w:r>
    </w:p>
    <w:p w14:paraId="59F63629" w14:textId="76B263FD" w:rsidR="00836D4B" w:rsidRDefault="0071549D" w:rsidP="007F6EBA">
      <w:pPr>
        <w:pStyle w:val="NormalWeb"/>
        <w:spacing w:before="0" w:beforeAutospacing="0" w:after="0" w:afterAutospacing="0"/>
        <w:jc w:val="both"/>
        <w:rPr>
          <w:rFonts w:ascii="Arial" w:hAnsi="Arial" w:cs="Arial"/>
          <w:sz w:val="20"/>
          <w:szCs w:val="20"/>
          <w:lang w:val="en-US" w:eastAsia="en-US"/>
        </w:rPr>
      </w:pPr>
      <w:r>
        <w:rPr>
          <w:noProof/>
        </w:rPr>
        <w:lastRenderedPageBreak/>
        <w:drawing>
          <wp:inline distT="0" distB="0" distL="0" distR="0" wp14:anchorId="7C0D8E95" wp14:editId="113493CC">
            <wp:extent cx="5416550" cy="4274905"/>
            <wp:effectExtent l="0" t="0" r="0" b="0"/>
            <wp:docPr id="4190782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0151" cy="4293532"/>
                    </a:xfrm>
                    <a:prstGeom prst="rect">
                      <a:avLst/>
                    </a:prstGeom>
                    <a:noFill/>
                    <a:ln>
                      <a:noFill/>
                    </a:ln>
                  </pic:spPr>
                </pic:pic>
              </a:graphicData>
            </a:graphic>
          </wp:inline>
        </w:drawing>
      </w:r>
    </w:p>
    <w:p w14:paraId="355626C2" w14:textId="52B43024" w:rsidR="00D341F4" w:rsidRPr="00D341F4" w:rsidRDefault="001B6337" w:rsidP="001B6337">
      <w:pPr>
        <w:pStyle w:val="NormalWeb"/>
        <w:spacing w:before="240" w:beforeAutospacing="0"/>
        <w:jc w:val="both"/>
        <w:rPr>
          <w:rFonts w:ascii="Arial" w:hAnsi="Arial" w:cs="Arial"/>
          <w:lang w:val="en-US"/>
        </w:rPr>
      </w:pPr>
      <w:r w:rsidRPr="001B6337">
        <w:rPr>
          <w:rFonts w:ascii="Arial" w:hAnsi="Arial" w:cs="Arial"/>
          <w:b/>
          <w:bCs/>
          <w:sz w:val="20"/>
          <w:szCs w:val="20"/>
          <w:lang w:val="en-US"/>
        </w:rPr>
        <w:t xml:space="preserve">   </w:t>
      </w:r>
      <w:r w:rsidR="00D341F4" w:rsidRPr="001B6337">
        <w:rPr>
          <w:rFonts w:ascii="Arial" w:hAnsi="Arial" w:cs="Arial"/>
          <w:b/>
          <w:bCs/>
          <w:sz w:val="20"/>
          <w:szCs w:val="20"/>
          <w:lang w:val="en-US"/>
        </w:rPr>
        <w:t xml:space="preserve">Figure </w:t>
      </w:r>
      <w:r w:rsidRPr="001B6337">
        <w:rPr>
          <w:rFonts w:ascii="Arial" w:hAnsi="Arial" w:cs="Arial"/>
          <w:b/>
          <w:bCs/>
          <w:sz w:val="20"/>
          <w:szCs w:val="20"/>
          <w:lang w:val="en-US"/>
        </w:rPr>
        <w:t>4</w:t>
      </w:r>
      <w:r w:rsidR="00D341F4" w:rsidRPr="001B6337">
        <w:rPr>
          <w:rFonts w:ascii="Arial" w:hAnsi="Arial" w:cs="Arial"/>
          <w:b/>
          <w:bCs/>
          <w:sz w:val="20"/>
          <w:szCs w:val="20"/>
          <w:lang w:val="en-US"/>
        </w:rPr>
        <w:t>:</w:t>
      </w:r>
      <w:r w:rsidR="00D341F4" w:rsidRPr="001B6337">
        <w:rPr>
          <w:rFonts w:ascii="Arial" w:hAnsi="Arial" w:cs="Arial"/>
          <w:sz w:val="20"/>
          <w:szCs w:val="20"/>
          <w:lang w:val="en-US"/>
        </w:rPr>
        <w:t xml:space="preserve"> Land Use Dynamics in the </w:t>
      </w:r>
      <w:proofErr w:type="spellStart"/>
      <w:r w:rsidR="00D341F4" w:rsidRPr="001B6337">
        <w:rPr>
          <w:rFonts w:ascii="Arial" w:hAnsi="Arial" w:cs="Arial"/>
          <w:sz w:val="20"/>
          <w:szCs w:val="20"/>
          <w:lang w:val="en-US"/>
        </w:rPr>
        <w:t>N’Zi</w:t>
      </w:r>
      <w:proofErr w:type="spellEnd"/>
      <w:r w:rsidR="00D341F4" w:rsidRPr="001B6337">
        <w:rPr>
          <w:rFonts w:ascii="Arial" w:hAnsi="Arial" w:cs="Arial"/>
          <w:sz w:val="20"/>
          <w:szCs w:val="20"/>
          <w:lang w:val="en-US"/>
        </w:rPr>
        <w:t xml:space="preserve"> Watershed at</w:t>
      </w:r>
      <w:r w:rsidR="00D341F4" w:rsidRPr="00D341F4">
        <w:rPr>
          <w:rFonts w:ascii="Arial" w:hAnsi="Arial" w:cs="Arial"/>
          <w:sz w:val="20"/>
          <w:szCs w:val="20"/>
          <w:lang w:val="en-US"/>
        </w:rPr>
        <w:t xml:space="preserve"> </w:t>
      </w:r>
      <w:proofErr w:type="spellStart"/>
      <w:r w:rsidR="00D341F4" w:rsidRPr="00D341F4">
        <w:rPr>
          <w:rFonts w:ascii="Arial" w:hAnsi="Arial" w:cs="Arial"/>
          <w:sz w:val="20"/>
          <w:szCs w:val="20"/>
          <w:lang w:val="en-US"/>
        </w:rPr>
        <w:t>M’Bahiakro</w:t>
      </w:r>
      <w:proofErr w:type="spellEnd"/>
    </w:p>
    <w:p w14:paraId="6FCB8C7C" w14:textId="4D94C0AC" w:rsidR="00146D37" w:rsidRDefault="00146D37" w:rsidP="00EA26F2">
      <w:pPr>
        <w:pStyle w:val="Body"/>
        <w:spacing w:after="120"/>
        <w:rPr>
          <w:rFonts w:ascii="Arial" w:hAnsi="Arial" w:cs="Arial"/>
          <w:b/>
          <w:bCs/>
        </w:rPr>
      </w:pPr>
      <w:r w:rsidRPr="00146D37">
        <w:rPr>
          <w:rFonts w:ascii="Arial" w:hAnsi="Arial" w:cs="Arial"/>
          <w:b/>
          <w:bCs/>
        </w:rPr>
        <w:t>3.2</w:t>
      </w:r>
      <w:r>
        <w:rPr>
          <w:rFonts w:ascii="Arial" w:hAnsi="Arial" w:cs="Arial"/>
          <w:b/>
          <w:bCs/>
        </w:rPr>
        <w:t xml:space="preserve"> Discussion</w:t>
      </w:r>
    </w:p>
    <w:p w14:paraId="603C10F2" w14:textId="61934686" w:rsidR="00EA26F2" w:rsidRPr="00EA26F2" w:rsidRDefault="00EA26F2" w:rsidP="00EA26F2">
      <w:pPr>
        <w:pStyle w:val="NormalWeb"/>
        <w:spacing w:before="0" w:beforeAutospacing="0" w:after="0" w:afterAutospacing="0"/>
        <w:jc w:val="both"/>
        <w:rPr>
          <w:rFonts w:ascii="Arial" w:hAnsi="Arial" w:cs="Arial"/>
          <w:b/>
          <w:sz w:val="20"/>
          <w:szCs w:val="20"/>
          <w:lang w:val="en-US" w:eastAsia="en-US"/>
        </w:rPr>
      </w:pPr>
      <w:bookmarkStart w:id="7" w:name="_Hlk214859015"/>
      <w:r w:rsidRPr="00EA26F2">
        <w:rPr>
          <w:rFonts w:ascii="Arial" w:hAnsi="Arial" w:cs="Arial"/>
          <w:b/>
          <w:bCs/>
          <w:sz w:val="20"/>
          <w:szCs w:val="20"/>
          <w:lang w:val="en-US"/>
        </w:rPr>
        <w:t xml:space="preserve">3.2.1 </w:t>
      </w:r>
      <w:r w:rsidRPr="00EA26F2">
        <w:rPr>
          <w:rFonts w:ascii="Arial" w:hAnsi="Arial" w:cs="Arial"/>
          <w:b/>
          <w:sz w:val="20"/>
          <w:szCs w:val="20"/>
          <w:lang w:val="en-US" w:eastAsia="en-US"/>
        </w:rPr>
        <w:t>Land use patterns from 20</w:t>
      </w:r>
      <w:r>
        <w:rPr>
          <w:rFonts w:ascii="Arial" w:hAnsi="Arial" w:cs="Arial"/>
          <w:b/>
          <w:sz w:val="20"/>
          <w:szCs w:val="20"/>
          <w:lang w:val="en-US" w:eastAsia="en-US"/>
        </w:rPr>
        <w:t>15</w:t>
      </w:r>
      <w:r w:rsidRPr="00EA26F2">
        <w:rPr>
          <w:rFonts w:ascii="Arial" w:hAnsi="Arial" w:cs="Arial"/>
          <w:b/>
          <w:sz w:val="20"/>
          <w:szCs w:val="20"/>
          <w:lang w:val="en-US" w:eastAsia="en-US"/>
        </w:rPr>
        <w:t xml:space="preserve"> to 202</w:t>
      </w:r>
      <w:r>
        <w:rPr>
          <w:rFonts w:ascii="Arial" w:hAnsi="Arial" w:cs="Arial"/>
          <w:b/>
          <w:sz w:val="20"/>
          <w:szCs w:val="20"/>
          <w:lang w:val="en-US" w:eastAsia="en-US"/>
        </w:rPr>
        <w:t>0</w:t>
      </w:r>
    </w:p>
    <w:bookmarkEnd w:id="7"/>
    <w:p w14:paraId="27110D22" w14:textId="7B62EF79" w:rsidR="00146D37" w:rsidRDefault="00146D37" w:rsidP="00146D37">
      <w:pPr>
        <w:pStyle w:val="Body"/>
        <w:spacing w:after="0"/>
        <w:rPr>
          <w:rFonts w:ascii="Arial" w:hAnsi="Arial" w:cs="Arial"/>
          <w:b/>
          <w:bCs/>
        </w:rPr>
      </w:pPr>
    </w:p>
    <w:p w14:paraId="510A5F25" w14:textId="7624C478" w:rsidR="00EA26F2" w:rsidRPr="00EA26F2" w:rsidRDefault="00EA26F2" w:rsidP="00EA26F2">
      <w:pPr>
        <w:pStyle w:val="Body"/>
        <w:spacing w:after="120"/>
        <w:rPr>
          <w:rFonts w:ascii="Arial" w:hAnsi="Arial" w:cs="Arial"/>
        </w:rPr>
      </w:pPr>
      <w:r w:rsidRPr="00EA26F2">
        <w:rPr>
          <w:rFonts w:ascii="Arial" w:hAnsi="Arial" w:cs="Arial"/>
        </w:rPr>
        <w:t>Between 2015 and 2020, the N’Zi watershed underwent significant land-use changes, marked by a sharp decline in natural habitats. Savannas decreased from 308,034 ha to 75,046 ha (–75.6%), and dense forest from 274,279 ha to 177,096 ha (–35.4%), while bare soils and habitats decreased slightly (–12.7%), and cultivated land and fallow land expanded considerably (+46%). Degraded forest almost doubled (+95%), reflecting increasing human pressure on ecosystems.</w:t>
      </w:r>
      <w:r>
        <w:rPr>
          <w:rFonts w:ascii="Arial" w:hAnsi="Arial" w:cs="Arial"/>
        </w:rPr>
        <w:t xml:space="preserve"> </w:t>
      </w:r>
      <w:r w:rsidRPr="00EA26F2">
        <w:rPr>
          <w:rFonts w:ascii="Arial" w:hAnsi="Arial" w:cs="Arial"/>
        </w:rPr>
        <w:t xml:space="preserve">These trends are consistent with observations made by </w:t>
      </w:r>
      <w:r w:rsidRPr="00EA26F2">
        <w:rPr>
          <w:rFonts w:ascii="Arial" w:hAnsi="Arial" w:cs="Arial"/>
          <w:b/>
          <w:bCs/>
        </w:rPr>
        <w:t>Koffi et al. (2023)</w:t>
      </w:r>
      <w:r w:rsidRPr="00EA26F2">
        <w:rPr>
          <w:rFonts w:ascii="Arial" w:hAnsi="Arial" w:cs="Arial"/>
        </w:rPr>
        <w:t xml:space="preserve"> in the Lobo watershed, Côte d’Ivoire, where extensive agriculture and logging were identified as the main drivers of deforestation. </w:t>
      </w:r>
      <w:r w:rsidRPr="00EA26F2">
        <w:rPr>
          <w:rFonts w:ascii="Arial" w:hAnsi="Arial" w:cs="Arial"/>
          <w:b/>
          <w:bCs/>
        </w:rPr>
        <w:t>Angoua (2018)</w:t>
      </w:r>
      <w:r w:rsidRPr="00EA26F2">
        <w:rPr>
          <w:rFonts w:ascii="Arial" w:hAnsi="Arial" w:cs="Arial"/>
        </w:rPr>
        <w:t xml:space="preserve"> also emphasize that the conversion of savannas and forests into agricultural land and habitats results from population growth and increased demand for arable land.</w:t>
      </w:r>
      <w:r>
        <w:rPr>
          <w:rFonts w:ascii="Arial" w:hAnsi="Arial" w:cs="Arial"/>
        </w:rPr>
        <w:t xml:space="preserve"> </w:t>
      </w:r>
      <w:r w:rsidRPr="00EA26F2">
        <w:rPr>
          <w:rFonts w:ascii="Arial" w:hAnsi="Arial" w:cs="Arial"/>
        </w:rPr>
        <w:t xml:space="preserve">The expansion of cultivated and fallow land reflects the intensification of subsistence and cash crop farming, a phenomenon observed in other rural areas of Côte d'Ivoire </w:t>
      </w:r>
      <w:r w:rsidRPr="00EA26F2">
        <w:rPr>
          <w:rFonts w:ascii="Arial" w:hAnsi="Arial" w:cs="Arial"/>
          <w:b/>
          <w:bCs/>
        </w:rPr>
        <w:t>(Ruf &amp; Varlet, 2019; Ouattara et al., 2021)</w:t>
      </w:r>
      <w:r w:rsidRPr="00EA26F2">
        <w:rPr>
          <w:rFonts w:ascii="Arial" w:hAnsi="Arial" w:cs="Arial"/>
        </w:rPr>
        <w:t xml:space="preserve">. At the same time, the increase in degraded forest indicates that natural environments are undergoing fragmentation and progressive degradation, confirming the findings of </w:t>
      </w:r>
      <w:r w:rsidRPr="00EA26F2">
        <w:rPr>
          <w:rFonts w:ascii="Arial" w:hAnsi="Arial" w:cs="Arial"/>
          <w:b/>
          <w:bCs/>
        </w:rPr>
        <w:t>Traoré et al. (2024)</w:t>
      </w:r>
      <w:r w:rsidRPr="00EA26F2">
        <w:rPr>
          <w:rFonts w:ascii="Arial" w:hAnsi="Arial" w:cs="Arial"/>
        </w:rPr>
        <w:t>, who show that extensive agriculture combined with firewood collection reduces forest connectivity and accelerates habitat fragmentation.</w:t>
      </w:r>
      <w:r>
        <w:rPr>
          <w:rFonts w:ascii="Arial" w:hAnsi="Arial" w:cs="Arial"/>
        </w:rPr>
        <w:t xml:space="preserve"> </w:t>
      </w:r>
      <w:r w:rsidRPr="00EA26F2">
        <w:rPr>
          <w:rFonts w:ascii="Arial" w:hAnsi="Arial" w:cs="Arial"/>
        </w:rPr>
        <w:t xml:space="preserve">Thus, the period 2015–2020 illustrates a </w:t>
      </w:r>
      <w:r w:rsidRPr="00EA26F2">
        <w:rPr>
          <w:rFonts w:ascii="Arial" w:hAnsi="Arial" w:cs="Arial"/>
        </w:rPr>
        <w:lastRenderedPageBreak/>
        <w:t>dynamic of strong deforestation and transformation of savannas into anthropized spaces, in accordance with the general trends observed in Ivory Coast and West Africa.</w:t>
      </w:r>
    </w:p>
    <w:p w14:paraId="5944DEB6" w14:textId="77777777" w:rsidR="00EA26F2" w:rsidRDefault="00EA26F2" w:rsidP="00146D37">
      <w:pPr>
        <w:pStyle w:val="Body"/>
        <w:spacing w:after="0"/>
        <w:rPr>
          <w:rFonts w:ascii="Arial" w:hAnsi="Arial" w:cs="Arial"/>
          <w:b/>
          <w:bCs/>
        </w:rPr>
      </w:pPr>
    </w:p>
    <w:p w14:paraId="19692A42" w14:textId="66E1654D" w:rsidR="00EA26F2" w:rsidRPr="00EA26F2" w:rsidRDefault="00EA26F2" w:rsidP="00EA26F2">
      <w:pPr>
        <w:pStyle w:val="NormalWeb"/>
        <w:spacing w:before="0" w:beforeAutospacing="0" w:after="0" w:afterAutospacing="0"/>
        <w:jc w:val="both"/>
        <w:rPr>
          <w:rFonts w:ascii="Arial" w:hAnsi="Arial" w:cs="Arial"/>
          <w:b/>
          <w:sz w:val="20"/>
          <w:szCs w:val="20"/>
          <w:lang w:val="en-US" w:eastAsia="en-US"/>
        </w:rPr>
      </w:pPr>
      <w:r w:rsidRPr="00EA26F2">
        <w:rPr>
          <w:rFonts w:ascii="Arial" w:hAnsi="Arial" w:cs="Arial"/>
          <w:b/>
          <w:bCs/>
          <w:sz w:val="20"/>
          <w:szCs w:val="20"/>
          <w:lang w:val="en-US"/>
        </w:rPr>
        <w:t>3.2.</w:t>
      </w:r>
      <w:r w:rsidR="00E421D1">
        <w:rPr>
          <w:rFonts w:ascii="Arial" w:hAnsi="Arial" w:cs="Arial"/>
          <w:b/>
          <w:bCs/>
          <w:sz w:val="20"/>
          <w:szCs w:val="20"/>
          <w:lang w:val="en-US"/>
        </w:rPr>
        <w:t>2</w:t>
      </w:r>
      <w:r w:rsidRPr="00EA26F2">
        <w:rPr>
          <w:rFonts w:ascii="Arial" w:hAnsi="Arial" w:cs="Arial"/>
          <w:b/>
          <w:bCs/>
          <w:sz w:val="20"/>
          <w:szCs w:val="20"/>
          <w:lang w:val="en-US"/>
        </w:rPr>
        <w:t xml:space="preserve"> </w:t>
      </w:r>
      <w:r w:rsidRPr="00EA26F2">
        <w:rPr>
          <w:rFonts w:ascii="Arial" w:hAnsi="Arial" w:cs="Arial"/>
          <w:b/>
          <w:sz w:val="20"/>
          <w:szCs w:val="20"/>
          <w:lang w:val="en-US" w:eastAsia="en-US"/>
        </w:rPr>
        <w:t>Land use patterns from 20</w:t>
      </w:r>
      <w:r>
        <w:rPr>
          <w:rFonts w:ascii="Arial" w:hAnsi="Arial" w:cs="Arial"/>
          <w:b/>
          <w:sz w:val="20"/>
          <w:szCs w:val="20"/>
          <w:lang w:val="en-US" w:eastAsia="en-US"/>
        </w:rPr>
        <w:t xml:space="preserve">20 </w:t>
      </w:r>
      <w:r w:rsidRPr="00EA26F2">
        <w:rPr>
          <w:rFonts w:ascii="Arial" w:hAnsi="Arial" w:cs="Arial"/>
          <w:b/>
          <w:sz w:val="20"/>
          <w:szCs w:val="20"/>
          <w:lang w:val="en-US" w:eastAsia="en-US"/>
        </w:rPr>
        <w:t>to 202</w:t>
      </w:r>
      <w:r>
        <w:rPr>
          <w:rFonts w:ascii="Arial" w:hAnsi="Arial" w:cs="Arial"/>
          <w:b/>
          <w:sz w:val="20"/>
          <w:szCs w:val="20"/>
          <w:lang w:val="en-US" w:eastAsia="en-US"/>
        </w:rPr>
        <w:t>4</w:t>
      </w:r>
    </w:p>
    <w:p w14:paraId="7F3FEF32" w14:textId="77777777" w:rsidR="00EA26F2" w:rsidRDefault="00EA26F2" w:rsidP="00146D37">
      <w:pPr>
        <w:pStyle w:val="Body"/>
        <w:spacing w:after="0"/>
        <w:rPr>
          <w:rFonts w:ascii="Arial" w:hAnsi="Arial" w:cs="Arial"/>
          <w:b/>
          <w:bCs/>
        </w:rPr>
      </w:pPr>
    </w:p>
    <w:p w14:paraId="6B8CE1F5" w14:textId="75A0F497" w:rsidR="00EA26F2" w:rsidRPr="00520DB1" w:rsidRDefault="00520DB1" w:rsidP="00520DB1">
      <w:pPr>
        <w:pStyle w:val="Body"/>
        <w:rPr>
          <w:rFonts w:ascii="Arial" w:hAnsi="Arial" w:cs="Arial"/>
        </w:rPr>
      </w:pPr>
      <w:r w:rsidRPr="00520DB1">
        <w:rPr>
          <w:rFonts w:ascii="Arial" w:hAnsi="Arial" w:cs="Arial"/>
        </w:rPr>
        <w:t xml:space="preserve">Between 2020 and 2024, the N’Zi watershed experienced rapid landscape transformations, primarily due to agricultural expansion and the reorganization of human-modified areas. Bare soils and habitats increased significantly (+159.7%), reflecting urbanization and the expansion of human-modified zones, consistent with </w:t>
      </w:r>
      <w:r w:rsidRPr="00520DB1">
        <w:rPr>
          <w:rFonts w:ascii="Arial" w:hAnsi="Arial" w:cs="Arial"/>
          <w:b/>
          <w:bCs/>
        </w:rPr>
        <w:t>Kouassi et al. (2024),</w:t>
      </w:r>
      <w:r w:rsidRPr="00520DB1">
        <w:rPr>
          <w:rFonts w:ascii="Arial" w:hAnsi="Arial" w:cs="Arial"/>
        </w:rPr>
        <w:t xml:space="preserve"> who documented a significant expansion of non-forest areas in Côte d’Ivoire (DOI: 10.3846/gac.2024.18724).</w:t>
      </w:r>
      <w:r>
        <w:rPr>
          <w:rFonts w:ascii="Arial" w:hAnsi="Arial" w:cs="Arial"/>
        </w:rPr>
        <w:t xml:space="preserve"> </w:t>
      </w:r>
      <w:r w:rsidRPr="00520DB1">
        <w:rPr>
          <w:rFonts w:ascii="Arial" w:hAnsi="Arial" w:cs="Arial"/>
        </w:rPr>
        <w:t>Savanna (+22.6%) and dense forest (+23.9%) experienced moderate increases, reflecting partial regeneration or conversion of natural habitats. Cropland and fallow land decreased sharply (-81.7%), while degraded forest declined (-67.3%), indic</w:t>
      </w:r>
      <w:bookmarkStart w:id="8" w:name="_GoBack"/>
      <w:bookmarkEnd w:id="8"/>
      <w:r w:rsidRPr="00520DB1">
        <w:rPr>
          <w:rFonts w:ascii="Arial" w:hAnsi="Arial" w:cs="Arial"/>
        </w:rPr>
        <w:t xml:space="preserve">ating a shift towards other uses or continued human pressures on forests </w:t>
      </w:r>
      <w:r w:rsidRPr="00520DB1">
        <w:rPr>
          <w:rFonts w:ascii="Arial" w:hAnsi="Arial" w:cs="Arial"/>
          <w:b/>
          <w:bCs/>
        </w:rPr>
        <w:t>(Traoré et al., 2024)</w:t>
      </w:r>
      <w:r w:rsidRPr="00520DB1">
        <w:rPr>
          <w:rFonts w:ascii="Arial" w:hAnsi="Arial" w:cs="Arial"/>
        </w:rPr>
        <w:t>.</w:t>
      </w:r>
      <w:r>
        <w:rPr>
          <w:rFonts w:ascii="Arial" w:hAnsi="Arial" w:cs="Arial"/>
        </w:rPr>
        <w:t xml:space="preserve"> </w:t>
      </w:r>
      <w:r w:rsidRPr="00520DB1">
        <w:rPr>
          <w:rFonts w:ascii="Arial" w:hAnsi="Arial" w:cs="Arial"/>
        </w:rPr>
        <w:t xml:space="preserve">Water bodies decreased by 25.5%, likely linked to changes in land use and human water withdrawals. These results are consistent with the observations of </w:t>
      </w:r>
      <w:r w:rsidRPr="00520DB1">
        <w:rPr>
          <w:rFonts w:ascii="Arial" w:hAnsi="Arial" w:cs="Arial"/>
          <w:b/>
          <w:bCs/>
        </w:rPr>
        <w:t>Tellen et al. (2020)</w:t>
      </w:r>
      <w:r w:rsidRPr="00520DB1">
        <w:rPr>
          <w:rFonts w:ascii="Arial" w:hAnsi="Arial" w:cs="Arial"/>
        </w:rPr>
        <w:t xml:space="preserve"> and </w:t>
      </w:r>
      <w:proofErr w:type="spellStart"/>
      <w:r w:rsidRPr="00520DB1">
        <w:rPr>
          <w:rFonts w:ascii="Arial" w:hAnsi="Arial" w:cs="Arial"/>
          <w:b/>
          <w:bCs/>
        </w:rPr>
        <w:t>Abindaw</w:t>
      </w:r>
      <w:proofErr w:type="spellEnd"/>
      <w:r w:rsidRPr="00520DB1">
        <w:rPr>
          <w:rFonts w:ascii="Arial" w:hAnsi="Arial" w:cs="Arial"/>
          <w:b/>
          <w:bCs/>
        </w:rPr>
        <w:t xml:space="preserve"> et al. (2023),</w:t>
      </w:r>
      <w:r w:rsidRPr="00520DB1">
        <w:rPr>
          <w:rFonts w:ascii="Arial" w:hAnsi="Arial" w:cs="Arial"/>
        </w:rPr>
        <w:t xml:space="preserve"> which show that the intensification of agricultural practices and human pressure accelerate the degradation of tropical soils and the fragmentation of landscapes.</w:t>
      </w:r>
      <w:r>
        <w:rPr>
          <w:rFonts w:ascii="Arial" w:hAnsi="Arial" w:cs="Arial"/>
        </w:rPr>
        <w:t xml:space="preserve"> </w:t>
      </w:r>
      <w:r w:rsidRPr="00520DB1">
        <w:rPr>
          <w:rFonts w:ascii="Arial" w:hAnsi="Arial" w:cs="Arial"/>
        </w:rPr>
        <w:t>These trends confirm the continuity of the transformations observed between 2015 and 2020, highlighting the need for sustainable land and forest management policies to limit degradation and strengthen the ecological resilience of the basin.</w:t>
      </w:r>
    </w:p>
    <w:p w14:paraId="742C3CC1" w14:textId="4118F724" w:rsidR="00EA26F2" w:rsidRPr="00E421D1" w:rsidRDefault="00E421D1" w:rsidP="00E421D1">
      <w:pPr>
        <w:pStyle w:val="NormalWeb"/>
        <w:spacing w:before="0" w:beforeAutospacing="0" w:after="120" w:afterAutospacing="0"/>
        <w:jc w:val="both"/>
        <w:rPr>
          <w:rFonts w:ascii="Arial" w:hAnsi="Arial" w:cs="Arial"/>
          <w:b/>
          <w:sz w:val="20"/>
          <w:szCs w:val="20"/>
          <w:lang w:val="en-US" w:eastAsia="en-US"/>
        </w:rPr>
      </w:pPr>
      <w:r w:rsidRPr="00EA26F2">
        <w:rPr>
          <w:rFonts w:ascii="Arial" w:hAnsi="Arial" w:cs="Arial"/>
          <w:b/>
          <w:bCs/>
          <w:sz w:val="20"/>
          <w:szCs w:val="20"/>
          <w:lang w:val="en-US"/>
        </w:rPr>
        <w:t>3.2.</w:t>
      </w:r>
      <w:r>
        <w:rPr>
          <w:rFonts w:ascii="Arial" w:hAnsi="Arial" w:cs="Arial"/>
          <w:b/>
          <w:bCs/>
          <w:sz w:val="20"/>
          <w:szCs w:val="20"/>
          <w:lang w:val="en-US"/>
        </w:rPr>
        <w:t>3</w:t>
      </w:r>
      <w:r w:rsidRPr="00EA26F2">
        <w:rPr>
          <w:rFonts w:ascii="Arial" w:hAnsi="Arial" w:cs="Arial"/>
          <w:b/>
          <w:bCs/>
          <w:sz w:val="20"/>
          <w:szCs w:val="20"/>
          <w:lang w:val="en-US"/>
        </w:rPr>
        <w:t xml:space="preserve"> </w:t>
      </w:r>
      <w:r w:rsidRPr="00EA26F2">
        <w:rPr>
          <w:rFonts w:ascii="Arial" w:hAnsi="Arial" w:cs="Arial"/>
          <w:b/>
          <w:sz w:val="20"/>
          <w:szCs w:val="20"/>
          <w:lang w:val="en-US" w:eastAsia="en-US"/>
        </w:rPr>
        <w:t>Land use patterns from 20</w:t>
      </w:r>
      <w:r>
        <w:rPr>
          <w:rFonts w:ascii="Arial" w:hAnsi="Arial" w:cs="Arial"/>
          <w:b/>
          <w:sz w:val="20"/>
          <w:szCs w:val="20"/>
          <w:lang w:val="en-US" w:eastAsia="en-US"/>
        </w:rPr>
        <w:t xml:space="preserve">15 </w:t>
      </w:r>
      <w:r w:rsidRPr="00EA26F2">
        <w:rPr>
          <w:rFonts w:ascii="Arial" w:hAnsi="Arial" w:cs="Arial"/>
          <w:b/>
          <w:sz w:val="20"/>
          <w:szCs w:val="20"/>
          <w:lang w:val="en-US" w:eastAsia="en-US"/>
        </w:rPr>
        <w:t>to 202</w:t>
      </w:r>
      <w:r>
        <w:rPr>
          <w:rFonts w:ascii="Arial" w:hAnsi="Arial" w:cs="Arial"/>
          <w:b/>
          <w:sz w:val="20"/>
          <w:szCs w:val="20"/>
          <w:lang w:val="en-US" w:eastAsia="en-US"/>
        </w:rPr>
        <w:t>4</w:t>
      </w:r>
    </w:p>
    <w:p w14:paraId="0FAF8DBB" w14:textId="77777777" w:rsidR="00667DEB" w:rsidRPr="00667DEB" w:rsidRDefault="00667DEB" w:rsidP="00667DEB">
      <w:pPr>
        <w:pStyle w:val="Body"/>
        <w:spacing w:after="120"/>
        <w:rPr>
          <w:rFonts w:ascii="Arial" w:hAnsi="Arial" w:cs="Arial"/>
        </w:rPr>
      </w:pPr>
      <w:r w:rsidRPr="00667DEB">
        <w:rPr>
          <w:rFonts w:ascii="Arial" w:hAnsi="Arial" w:cs="Arial"/>
        </w:rPr>
        <w:t xml:space="preserve">The transition observed between 2015 and 2024 in the N’Zi River basin shows a clear shift from forest to savanna and agricultural land. This evolution follows trends described in other regions of West Africa. Several studies indicate that Côte d’Ivoire still has one of the highest deforestation rates in the world. This situation is mainly explained by cash crops, the expansion of food crops, and population growth </w:t>
      </w:r>
      <w:r w:rsidRPr="00667DEB">
        <w:rPr>
          <w:rFonts w:ascii="Arial" w:hAnsi="Arial" w:cs="Arial"/>
          <w:b/>
          <w:bCs/>
        </w:rPr>
        <w:t>(Hansen et al., 2013; Kouassi et al., 2021)</w:t>
      </w:r>
      <w:r w:rsidRPr="00667DEB">
        <w:rPr>
          <w:rFonts w:ascii="Arial" w:hAnsi="Arial" w:cs="Arial"/>
        </w:rPr>
        <w:t>.</w:t>
      </w:r>
    </w:p>
    <w:p w14:paraId="2430FD89" w14:textId="77777777" w:rsidR="00667DEB" w:rsidRPr="00667DEB" w:rsidRDefault="00667DEB" w:rsidP="00667DEB">
      <w:pPr>
        <w:pStyle w:val="Body"/>
        <w:spacing w:after="120"/>
        <w:rPr>
          <w:rFonts w:ascii="Arial" w:hAnsi="Arial" w:cs="Arial"/>
        </w:rPr>
      </w:pPr>
      <w:r w:rsidRPr="00667DEB">
        <w:rPr>
          <w:rFonts w:ascii="Arial" w:hAnsi="Arial" w:cs="Arial"/>
        </w:rPr>
        <w:t xml:space="preserve">The increase in arable land, especially between 2020 and 2024, reflects the rise of cash crops such as cocoa and cashew. These crops are the main drivers of land-use change in Côte d’Ivoire </w:t>
      </w:r>
      <w:r w:rsidRPr="00667DEB">
        <w:rPr>
          <w:rFonts w:ascii="Arial" w:hAnsi="Arial" w:cs="Arial"/>
          <w:b/>
          <w:bCs/>
        </w:rPr>
        <w:t xml:space="preserve">(Ruf &amp; Varlet, 2019; Ouattara et al., 2021; </w:t>
      </w:r>
      <w:proofErr w:type="spellStart"/>
      <w:r w:rsidRPr="00667DEB">
        <w:rPr>
          <w:rFonts w:ascii="Arial" w:hAnsi="Arial" w:cs="Arial"/>
          <w:b/>
          <w:bCs/>
        </w:rPr>
        <w:t>Kalischek</w:t>
      </w:r>
      <w:proofErr w:type="spellEnd"/>
      <w:r w:rsidRPr="00667DEB">
        <w:rPr>
          <w:rFonts w:ascii="Arial" w:hAnsi="Arial" w:cs="Arial"/>
          <w:b/>
          <w:bCs/>
        </w:rPr>
        <w:t xml:space="preserve"> et al., 2023)</w:t>
      </w:r>
      <w:r w:rsidRPr="00667DEB">
        <w:rPr>
          <w:rFonts w:ascii="Arial" w:hAnsi="Arial" w:cs="Arial"/>
        </w:rPr>
        <w:t xml:space="preserve">. The rapid expansion of cashew cultivation in the central part of the country has led to the conversion of numerous wooded savannas and secondary forests </w:t>
      </w:r>
      <w:r w:rsidRPr="00667DEB">
        <w:rPr>
          <w:rFonts w:ascii="Arial" w:hAnsi="Arial" w:cs="Arial"/>
          <w:b/>
          <w:bCs/>
        </w:rPr>
        <w:t>(Akpa You et al., 2019; Soro et al., 2020)</w:t>
      </w:r>
      <w:r w:rsidRPr="00667DEB">
        <w:rPr>
          <w:rFonts w:ascii="Arial" w:hAnsi="Arial" w:cs="Arial"/>
        </w:rPr>
        <w:t xml:space="preserve">. In areas near the N’Zi River basin, </w:t>
      </w:r>
      <w:r w:rsidRPr="00667DEB">
        <w:rPr>
          <w:rFonts w:ascii="Arial" w:hAnsi="Arial" w:cs="Arial"/>
          <w:b/>
          <w:bCs/>
        </w:rPr>
        <w:t>Traoré et al. (2024)</w:t>
      </w:r>
      <w:r w:rsidRPr="00667DEB">
        <w:rPr>
          <w:rFonts w:ascii="Arial" w:hAnsi="Arial" w:cs="Arial"/>
        </w:rPr>
        <w:t xml:space="preserve"> show that extensive agriculture and fuelwood harvesting reduce forest continuity and accelerate forest fragmentation.</w:t>
      </w:r>
    </w:p>
    <w:p w14:paraId="429C77D6" w14:textId="4A663473" w:rsidR="00667DEB" w:rsidRPr="00667DEB" w:rsidRDefault="00667DEB" w:rsidP="00667DEB">
      <w:pPr>
        <w:pStyle w:val="Body"/>
        <w:spacing w:after="120"/>
        <w:rPr>
          <w:rFonts w:ascii="Arial" w:hAnsi="Arial" w:cs="Arial"/>
        </w:rPr>
      </w:pPr>
      <w:r w:rsidRPr="00667DEB">
        <w:rPr>
          <w:rFonts w:ascii="Arial" w:hAnsi="Arial" w:cs="Arial"/>
        </w:rPr>
        <w:t xml:space="preserve">The expansion of savannas is part of a </w:t>
      </w:r>
      <w:proofErr w:type="spellStart"/>
      <w:r w:rsidRPr="00667DEB">
        <w:rPr>
          <w:rFonts w:ascii="Arial" w:hAnsi="Arial" w:cs="Arial"/>
        </w:rPr>
        <w:t>savannization</w:t>
      </w:r>
      <w:proofErr w:type="spellEnd"/>
      <w:r w:rsidRPr="00667DEB">
        <w:rPr>
          <w:rFonts w:ascii="Arial" w:hAnsi="Arial" w:cs="Arial"/>
        </w:rPr>
        <w:t xml:space="preserve"> process. This phenomenon corresponds to the transition from a forest or semi-open environment to an ecosystem dominated by herbaceous plants. It is often difficult to reverse. The mechanisms described in the literature</w:t>
      </w:r>
      <w:r>
        <w:rPr>
          <w:rFonts w:ascii="Arial" w:hAnsi="Arial" w:cs="Arial"/>
        </w:rPr>
        <w:t>-</w:t>
      </w:r>
      <w:r w:rsidRPr="00667DEB">
        <w:rPr>
          <w:rFonts w:ascii="Arial" w:hAnsi="Arial" w:cs="Arial"/>
        </w:rPr>
        <w:t>recurrent fires, decline in woody biomass, fire-vegetation feedbacks, and droughts</w:t>
      </w:r>
      <w:r>
        <w:rPr>
          <w:rFonts w:ascii="Arial" w:hAnsi="Arial" w:cs="Arial"/>
        </w:rPr>
        <w:t xml:space="preserve"> </w:t>
      </w:r>
      <w:r w:rsidRPr="00667DEB">
        <w:rPr>
          <w:rFonts w:ascii="Arial" w:hAnsi="Arial" w:cs="Arial"/>
        </w:rPr>
        <w:t xml:space="preserve">are also observed in the N’Zi River basin </w:t>
      </w:r>
      <w:r w:rsidRPr="00667DEB">
        <w:rPr>
          <w:rFonts w:ascii="Arial" w:hAnsi="Arial" w:cs="Arial"/>
          <w:b/>
          <w:bCs/>
        </w:rPr>
        <w:t>(Beckett</w:t>
      </w:r>
      <w:r w:rsidR="004D102C">
        <w:rPr>
          <w:rFonts w:ascii="Arial" w:hAnsi="Arial" w:cs="Arial"/>
          <w:b/>
          <w:bCs/>
        </w:rPr>
        <w:t xml:space="preserve"> et al.</w:t>
      </w:r>
      <w:r w:rsidRPr="00667DEB">
        <w:rPr>
          <w:rFonts w:ascii="Arial" w:hAnsi="Arial" w:cs="Arial"/>
          <w:b/>
          <w:bCs/>
        </w:rPr>
        <w:t>, 2022; Staver et al., 2020; Abreu et al., 2021)</w:t>
      </w:r>
      <w:r w:rsidRPr="00667DEB">
        <w:rPr>
          <w:rFonts w:ascii="Arial" w:hAnsi="Arial" w:cs="Arial"/>
        </w:rPr>
        <w:t xml:space="preserve">. </w:t>
      </w:r>
      <w:r w:rsidRPr="00667DEB">
        <w:rPr>
          <w:rFonts w:ascii="Arial" w:hAnsi="Arial" w:cs="Arial"/>
          <w:b/>
          <w:bCs/>
        </w:rPr>
        <w:t>Schwantes Marinho et al. (2022)</w:t>
      </w:r>
      <w:r w:rsidRPr="00667DEB">
        <w:rPr>
          <w:rFonts w:ascii="Arial" w:hAnsi="Arial" w:cs="Arial"/>
        </w:rPr>
        <w:t xml:space="preserve"> show that extreme fires, repeated annually, prevent forest regeneration. They subsequently promote the formation of treeless savannas.</w:t>
      </w:r>
    </w:p>
    <w:p w14:paraId="1E6BBCA9" w14:textId="3E671B2C" w:rsidR="00BF0DF1" w:rsidRDefault="00667DEB" w:rsidP="00667DEB">
      <w:pPr>
        <w:pStyle w:val="Body"/>
        <w:spacing w:after="120"/>
        <w:rPr>
          <w:rFonts w:ascii="Arial" w:hAnsi="Arial" w:cs="Arial"/>
        </w:rPr>
      </w:pPr>
      <w:r w:rsidRPr="00667DEB">
        <w:rPr>
          <w:rFonts w:ascii="Arial" w:hAnsi="Arial" w:cs="Arial"/>
        </w:rPr>
        <w:t xml:space="preserve">Uncontrolled agricultural expansion also increases soil vulnerability. These results are consistent with those of </w:t>
      </w:r>
      <w:r w:rsidRPr="00667DEB">
        <w:rPr>
          <w:rFonts w:ascii="Arial" w:hAnsi="Arial" w:cs="Arial"/>
          <w:b/>
          <w:bCs/>
        </w:rPr>
        <w:t>Tellen et al. (2020)</w:t>
      </w:r>
      <w:r w:rsidRPr="00667DEB">
        <w:rPr>
          <w:rFonts w:ascii="Arial" w:hAnsi="Arial" w:cs="Arial"/>
        </w:rPr>
        <w:t xml:space="preserve">, </w:t>
      </w:r>
      <w:proofErr w:type="spellStart"/>
      <w:r w:rsidRPr="00667DEB">
        <w:rPr>
          <w:rFonts w:ascii="Arial" w:hAnsi="Arial" w:cs="Arial"/>
          <w:b/>
          <w:bCs/>
        </w:rPr>
        <w:t>Abindaw</w:t>
      </w:r>
      <w:proofErr w:type="spellEnd"/>
      <w:r w:rsidRPr="00667DEB">
        <w:rPr>
          <w:rFonts w:ascii="Arial" w:hAnsi="Arial" w:cs="Arial"/>
          <w:b/>
          <w:bCs/>
        </w:rPr>
        <w:t xml:space="preserve"> et al. (2023)</w:t>
      </w:r>
      <w:r w:rsidRPr="00667DEB">
        <w:rPr>
          <w:rFonts w:ascii="Arial" w:hAnsi="Arial" w:cs="Arial"/>
        </w:rPr>
        <w:t xml:space="preserve">, and </w:t>
      </w:r>
      <w:r w:rsidRPr="00667DEB">
        <w:rPr>
          <w:rFonts w:ascii="Arial" w:hAnsi="Arial" w:cs="Arial"/>
          <w:b/>
          <w:bCs/>
        </w:rPr>
        <w:t>Saravia-Maldonado et al. (2024)</w:t>
      </w:r>
      <w:r w:rsidRPr="00667DEB">
        <w:rPr>
          <w:rFonts w:ascii="Arial" w:hAnsi="Arial" w:cs="Arial"/>
        </w:rPr>
        <w:t xml:space="preserve">. These authors show that land-use changes accelerate the degradation of the physical and chemical properties of tropical soils. In Côte d'Ivoire, recent studies </w:t>
      </w:r>
      <w:r w:rsidRPr="00667DEB">
        <w:rPr>
          <w:rFonts w:ascii="Arial" w:hAnsi="Arial" w:cs="Arial"/>
          <w:b/>
          <w:bCs/>
        </w:rPr>
        <w:t>(Koffi et al., 2024; Angaman et al., 2024)</w:t>
      </w:r>
      <w:r w:rsidRPr="00667DEB">
        <w:rPr>
          <w:rFonts w:ascii="Arial" w:hAnsi="Arial" w:cs="Arial"/>
        </w:rPr>
        <w:t xml:space="preserve"> confirm that vegetation degradation, combined with agricultural pressure, significantly increases the risk of erosion. The most affected areas are the plateaus and the forest-savanna transition zones.</w:t>
      </w:r>
    </w:p>
    <w:p w14:paraId="32F07A28" w14:textId="77777777" w:rsidR="00146D37" w:rsidRDefault="00146D37" w:rsidP="00146D37">
      <w:pPr>
        <w:pStyle w:val="Body"/>
        <w:spacing w:after="0"/>
        <w:rPr>
          <w:rFonts w:ascii="Arial" w:hAnsi="Arial" w:cs="Arial"/>
        </w:rPr>
      </w:pPr>
    </w:p>
    <w:p w14:paraId="2B724926" w14:textId="2AD6431A" w:rsidR="00A227DB" w:rsidRPr="00E421D1" w:rsidRDefault="00E25A5B" w:rsidP="00E421D1">
      <w:pPr>
        <w:pStyle w:val="Body"/>
        <w:spacing w:after="120"/>
        <w:rPr>
          <w:rFonts w:ascii="Arial" w:hAnsi="Arial" w:cs="Arial"/>
          <w:sz w:val="22"/>
          <w:szCs w:val="22"/>
        </w:rPr>
      </w:pPr>
      <w:r w:rsidRPr="00E25A5B">
        <w:rPr>
          <w:rFonts w:ascii="Arial" w:hAnsi="Arial" w:cs="Arial"/>
          <w:b/>
          <w:bCs/>
          <w:sz w:val="22"/>
          <w:szCs w:val="22"/>
        </w:rPr>
        <w:lastRenderedPageBreak/>
        <w:t>CONCLUSION</w:t>
      </w:r>
    </w:p>
    <w:p w14:paraId="289ED95F" w14:textId="36257AA6" w:rsidR="00A227DB" w:rsidRPr="00A227DB" w:rsidRDefault="00A227DB" w:rsidP="00E421D1">
      <w:pPr>
        <w:pStyle w:val="Body"/>
        <w:rPr>
          <w:rFonts w:ascii="Arial" w:hAnsi="Arial" w:cs="Arial"/>
        </w:rPr>
      </w:pPr>
      <w:r w:rsidRPr="00A227DB">
        <w:rPr>
          <w:rFonts w:ascii="Arial" w:hAnsi="Arial" w:cs="Arial"/>
        </w:rPr>
        <w:t xml:space="preserve">This study examined land-use dynamics and the vulnerability of cultivable lands in the </w:t>
      </w:r>
      <w:proofErr w:type="spellStart"/>
      <w:r w:rsidRPr="00A227DB">
        <w:rPr>
          <w:rFonts w:ascii="Arial" w:hAnsi="Arial" w:cs="Arial"/>
        </w:rPr>
        <w:t>N’Zi</w:t>
      </w:r>
      <w:proofErr w:type="spellEnd"/>
      <w:r w:rsidRPr="00A227DB">
        <w:rPr>
          <w:rFonts w:ascii="Arial" w:hAnsi="Arial" w:cs="Arial"/>
        </w:rPr>
        <w:t xml:space="preserve"> watershed at </w:t>
      </w:r>
      <w:proofErr w:type="spellStart"/>
      <w:r w:rsidRPr="00A227DB">
        <w:rPr>
          <w:rFonts w:ascii="Arial" w:hAnsi="Arial" w:cs="Arial"/>
        </w:rPr>
        <w:t>M’Bahiakro</w:t>
      </w:r>
      <w:proofErr w:type="spellEnd"/>
      <w:r w:rsidRPr="00A227DB">
        <w:rPr>
          <w:rFonts w:ascii="Arial" w:hAnsi="Arial" w:cs="Arial"/>
        </w:rPr>
        <w:t xml:space="preserve"> (Central–Eastern Côte d’Ivoire) between 2015 and 2024. Satellite images from 2015, 2020, and 2024 were preprocessed to correct radiometric and atmospheric effects and were classified using the supervised Maximum Likelihood method into six land-use categories: bare soil and settlements, dense forest, degraded forest, savanna, croplands and fallows, and water. Classification accuracy, assessed through a confusion matrix, exceeded 85%, ensuring reliable outputs.</w:t>
      </w:r>
      <w:r w:rsidR="00E421D1">
        <w:rPr>
          <w:rFonts w:ascii="Arial" w:hAnsi="Arial" w:cs="Arial"/>
        </w:rPr>
        <w:t xml:space="preserve"> </w:t>
      </w:r>
      <w:r w:rsidRPr="00A227DB">
        <w:rPr>
          <w:rFonts w:ascii="Arial" w:hAnsi="Arial" w:cs="Arial"/>
        </w:rPr>
        <w:t xml:space="preserve">The diachronic analysis reveals a rapid and significant transformation of the landscape: a marked decline in dense forests, a progressive expansion of savannas and croplands, and a strong intensification of agricultural activities, particularly in the central and southern sectors by 2024. Degraded forests expanded between 2015 and 2020 before decreasing in </w:t>
      </w:r>
      <w:proofErr w:type="spellStart"/>
      <w:r w:rsidRPr="00A227DB">
        <w:rPr>
          <w:rFonts w:ascii="Arial" w:hAnsi="Arial" w:cs="Arial"/>
        </w:rPr>
        <w:t>favour</w:t>
      </w:r>
      <w:proofErr w:type="spellEnd"/>
      <w:r w:rsidRPr="00A227DB">
        <w:rPr>
          <w:rFonts w:ascii="Arial" w:hAnsi="Arial" w:cs="Arial"/>
        </w:rPr>
        <w:t xml:space="preserve"> of croplands and fallows. Bare soil and built-up areas increased slightly, while water bodies remained largely stable. These changes reflect increasing anthropogenic pressure and the ongoing conversion of natural and degraded landscapes into agricultural areas.</w:t>
      </w:r>
    </w:p>
    <w:p w14:paraId="08990A99" w14:textId="77777777" w:rsidR="00A227DB" w:rsidRPr="00A227DB" w:rsidRDefault="00A227DB" w:rsidP="00A227DB">
      <w:pPr>
        <w:pStyle w:val="Body"/>
        <w:spacing w:after="0"/>
        <w:rPr>
          <w:rFonts w:ascii="Arial" w:hAnsi="Arial" w:cs="Arial"/>
        </w:rPr>
      </w:pPr>
      <w:r w:rsidRPr="00A227DB">
        <w:rPr>
          <w:rFonts w:ascii="Arial" w:hAnsi="Arial" w:cs="Arial"/>
        </w:rPr>
        <w:t>The results fully meet the study objectives:</w:t>
      </w:r>
    </w:p>
    <w:p w14:paraId="72384D3F" w14:textId="77777777" w:rsidR="00A227DB" w:rsidRPr="00A227DB" w:rsidRDefault="00A227DB" w:rsidP="00A227DB">
      <w:pPr>
        <w:pStyle w:val="Body"/>
        <w:spacing w:after="0"/>
        <w:rPr>
          <w:rFonts w:ascii="Arial" w:hAnsi="Arial" w:cs="Arial"/>
        </w:rPr>
      </w:pPr>
      <w:r w:rsidRPr="00A227DB">
        <w:rPr>
          <w:rFonts w:ascii="Arial" w:hAnsi="Arial" w:cs="Arial"/>
        </w:rPr>
        <w:t>(</w:t>
      </w:r>
      <w:proofErr w:type="spellStart"/>
      <w:r w:rsidRPr="00A227DB">
        <w:rPr>
          <w:rFonts w:ascii="Arial" w:hAnsi="Arial" w:cs="Arial"/>
        </w:rPr>
        <w:t>i</w:t>
      </w:r>
      <w:proofErr w:type="spellEnd"/>
      <w:r w:rsidRPr="00A227DB">
        <w:rPr>
          <w:rFonts w:ascii="Arial" w:hAnsi="Arial" w:cs="Arial"/>
        </w:rPr>
        <w:t xml:space="preserve">) they characterize the </w:t>
      </w:r>
      <w:proofErr w:type="spellStart"/>
      <w:r w:rsidRPr="00A227DB">
        <w:rPr>
          <w:rFonts w:ascii="Arial" w:hAnsi="Arial" w:cs="Arial"/>
        </w:rPr>
        <w:t>spatio</w:t>
      </w:r>
      <w:proofErr w:type="spellEnd"/>
      <w:r w:rsidRPr="00A227DB">
        <w:rPr>
          <w:rFonts w:ascii="Arial" w:hAnsi="Arial" w:cs="Arial"/>
        </w:rPr>
        <w:t>-temporal dynamics of land use, highlighting deforestation, fragmentation, and agricultural expansion;</w:t>
      </w:r>
    </w:p>
    <w:p w14:paraId="74F85688" w14:textId="77777777" w:rsidR="00A227DB" w:rsidRPr="00A227DB" w:rsidRDefault="00A227DB" w:rsidP="00A227DB">
      <w:pPr>
        <w:pStyle w:val="Body"/>
        <w:spacing w:after="0"/>
        <w:rPr>
          <w:rFonts w:ascii="Arial" w:hAnsi="Arial" w:cs="Arial"/>
        </w:rPr>
      </w:pPr>
      <w:r w:rsidRPr="00A227DB">
        <w:rPr>
          <w:rFonts w:ascii="Arial" w:hAnsi="Arial" w:cs="Arial"/>
        </w:rPr>
        <w:t>(ii) they provide a preliminary assessment of cultivable land vulnerability, which is highly exposed to erosion, soil degradation, and long-term productivity loss.</w:t>
      </w:r>
    </w:p>
    <w:p w14:paraId="1EA4FA6F" w14:textId="77777777" w:rsidR="00A227DB" w:rsidRDefault="00A227DB" w:rsidP="00A227DB">
      <w:pPr>
        <w:pStyle w:val="Body"/>
        <w:spacing w:after="0"/>
        <w:rPr>
          <w:rFonts w:ascii="Arial" w:hAnsi="Arial" w:cs="Arial"/>
        </w:rPr>
      </w:pPr>
      <w:r w:rsidRPr="00A227DB">
        <w:rPr>
          <w:rFonts w:ascii="Arial" w:hAnsi="Arial" w:cs="Arial"/>
        </w:rPr>
        <w:t>These findings call for the implementation of sustainable land-management strategies, including the restoration of remaining forest cover, the rational intensification of agriculture, the protection of sensitive zones (headwaters and lowlands), and the integration of sustainable land-use principles into local and national policies.</w:t>
      </w:r>
    </w:p>
    <w:p w14:paraId="3393FDBD" w14:textId="77777777" w:rsidR="00A227DB" w:rsidRDefault="00A227DB" w:rsidP="00A227DB">
      <w:pPr>
        <w:pStyle w:val="Body"/>
        <w:spacing w:after="0"/>
        <w:rPr>
          <w:rFonts w:ascii="Arial" w:hAnsi="Arial" w:cs="Arial"/>
        </w:rPr>
      </w:pPr>
    </w:p>
    <w:p w14:paraId="16F9DF4F" w14:textId="77777777" w:rsidR="00A227DB" w:rsidRDefault="00A227DB" w:rsidP="00A227DB">
      <w:pPr>
        <w:pStyle w:val="Body"/>
        <w:spacing w:after="0"/>
        <w:rPr>
          <w:rFonts w:ascii="Arial" w:hAnsi="Arial" w:cs="Arial"/>
        </w:rPr>
      </w:pPr>
    </w:p>
    <w:p w14:paraId="1615D927" w14:textId="4F7A040A" w:rsidR="0032612A" w:rsidRDefault="0032612A" w:rsidP="00A227DB">
      <w:pPr>
        <w:pStyle w:val="Body"/>
        <w:spacing w:after="0"/>
        <w:rPr>
          <w:rFonts w:ascii="Arial" w:hAnsi="Arial" w:cs="Arial"/>
          <w:b/>
          <w:bCs/>
        </w:rPr>
      </w:pPr>
      <w:r w:rsidRPr="0032612A">
        <w:rPr>
          <w:rFonts w:ascii="Arial" w:hAnsi="Arial" w:cs="Arial"/>
          <w:b/>
          <w:bCs/>
        </w:rPr>
        <w:t>Perspectives and Limitations</w:t>
      </w:r>
      <w:r>
        <w:rPr>
          <w:rFonts w:ascii="Arial" w:hAnsi="Arial" w:cs="Arial"/>
          <w:b/>
          <w:bCs/>
        </w:rPr>
        <w:t>*</w:t>
      </w:r>
    </w:p>
    <w:p w14:paraId="2085EAAE" w14:textId="77777777" w:rsidR="0032612A" w:rsidRPr="0032612A" w:rsidRDefault="0032612A" w:rsidP="0032612A">
      <w:pPr>
        <w:pStyle w:val="Body"/>
        <w:spacing w:after="0"/>
        <w:rPr>
          <w:rFonts w:ascii="Arial" w:hAnsi="Arial" w:cs="Arial"/>
        </w:rPr>
      </w:pPr>
    </w:p>
    <w:p w14:paraId="5F386344" w14:textId="77777777" w:rsidR="0032612A" w:rsidRPr="0032612A" w:rsidRDefault="0032612A" w:rsidP="0032612A">
      <w:pPr>
        <w:pStyle w:val="Body"/>
        <w:spacing w:after="0"/>
        <w:rPr>
          <w:rFonts w:ascii="Arial" w:hAnsi="Arial" w:cs="Arial"/>
        </w:rPr>
      </w:pPr>
      <w:r w:rsidRPr="0032612A">
        <w:rPr>
          <w:rFonts w:ascii="Arial" w:hAnsi="Arial" w:cs="Arial"/>
        </w:rPr>
        <w:t>This study provides key insights into land use dynamics and the vulnerability of cultivable lands in the N’Zi watershed, useful for agricultural planning and soil conservation.</w:t>
      </w:r>
    </w:p>
    <w:p w14:paraId="11450717" w14:textId="77777777" w:rsidR="0032612A" w:rsidRPr="0032612A" w:rsidRDefault="0032612A" w:rsidP="0032612A">
      <w:pPr>
        <w:pStyle w:val="Body"/>
        <w:spacing w:after="0"/>
        <w:rPr>
          <w:rFonts w:ascii="Arial" w:hAnsi="Arial" w:cs="Arial"/>
        </w:rPr>
      </w:pPr>
      <w:r w:rsidRPr="0032612A">
        <w:rPr>
          <w:rFonts w:ascii="Arial" w:hAnsi="Arial" w:cs="Arial"/>
        </w:rPr>
        <w:t>However, certain limitations exist: reliance on satellite imagery may introduce classification uncertainties, and local socio-economic factors were only partially considered. The study period (2015–2024) also does not capture some long-term trends.</w:t>
      </w:r>
    </w:p>
    <w:p w14:paraId="202DB99A" w14:textId="77777777" w:rsidR="0032612A" w:rsidRPr="0032612A" w:rsidRDefault="0032612A" w:rsidP="0032612A">
      <w:pPr>
        <w:pStyle w:val="Body"/>
        <w:spacing w:after="0"/>
        <w:rPr>
          <w:rFonts w:ascii="Arial" w:hAnsi="Arial" w:cs="Arial"/>
        </w:rPr>
      </w:pPr>
      <w:r w:rsidRPr="0032612A">
        <w:rPr>
          <w:rFonts w:ascii="Arial" w:hAnsi="Arial" w:cs="Arial"/>
        </w:rPr>
        <w:t>Future research should integrate predictive models, such as Markov chains, CA-Markov, Land Change Modeler, or machine learning approaches (Random Forest, Gradient Boosting), to anticipate land use changes and assess land vulnerability under different scenarios. Combining these models with field surveys and socio-economic data would provide a more integrated and precise framework for sustainable watershed management.</w:t>
      </w:r>
    </w:p>
    <w:p w14:paraId="6972979D" w14:textId="77777777" w:rsidR="00146D37" w:rsidRPr="0032612A" w:rsidRDefault="00146D37" w:rsidP="00146D37">
      <w:pPr>
        <w:pStyle w:val="Body"/>
        <w:spacing w:after="0"/>
        <w:rPr>
          <w:rFonts w:ascii="Arial" w:hAnsi="Arial" w:cs="Arial"/>
        </w:rPr>
      </w:pPr>
    </w:p>
    <w:p w14:paraId="5EECB78A" w14:textId="77777777" w:rsidR="005C784C" w:rsidRDefault="005C784C" w:rsidP="00441B6F">
      <w:pPr>
        <w:pStyle w:val="ReferHead"/>
        <w:spacing w:after="0"/>
        <w:jc w:val="both"/>
        <w:rPr>
          <w:rFonts w:ascii="Arial" w:hAnsi="Arial" w:cs="Arial"/>
          <w:b w:val="0"/>
          <w:caps w:val="0"/>
          <w:sz w:val="20"/>
        </w:rPr>
      </w:pPr>
    </w:p>
    <w:p w14:paraId="3A4A04FF" w14:textId="2CF05A7B" w:rsidR="005C784C" w:rsidRDefault="005C784C" w:rsidP="00BD36FB">
      <w:pPr>
        <w:pStyle w:val="ReferHead"/>
        <w:spacing w:after="120"/>
        <w:jc w:val="both"/>
        <w:rPr>
          <w:rFonts w:ascii="Arial" w:hAnsi="Arial" w:cs="Arial"/>
          <w:bCs/>
        </w:rPr>
      </w:pPr>
      <w:r>
        <w:rPr>
          <w:rFonts w:ascii="Arial" w:hAnsi="Arial" w:cs="Arial"/>
          <w:bCs/>
        </w:rPr>
        <w:t>Ethical approval</w:t>
      </w:r>
    </w:p>
    <w:p w14:paraId="44AE78A3" w14:textId="139A483D" w:rsidR="005C784C" w:rsidRDefault="00BD36FB" w:rsidP="00441B6F">
      <w:pPr>
        <w:pStyle w:val="ReferHead"/>
        <w:spacing w:after="0"/>
        <w:jc w:val="both"/>
        <w:rPr>
          <w:rFonts w:ascii="Arial" w:hAnsi="Arial" w:cs="Arial"/>
          <w:b w:val="0"/>
          <w:caps w:val="0"/>
          <w:sz w:val="20"/>
          <w:szCs w:val="18"/>
        </w:rPr>
      </w:pPr>
      <w:r w:rsidRPr="00BD36FB">
        <w:rPr>
          <w:rFonts w:ascii="Arial" w:hAnsi="Arial" w:cs="Arial"/>
          <w:b w:val="0"/>
        </w:rPr>
        <w:t>N</w:t>
      </w:r>
      <w:r w:rsidRPr="00BD36FB">
        <w:rPr>
          <w:rFonts w:ascii="Arial" w:hAnsi="Arial" w:cs="Arial"/>
          <w:b w:val="0"/>
          <w:caps w:val="0"/>
          <w:sz w:val="20"/>
          <w:szCs w:val="18"/>
        </w:rPr>
        <w:t>one</w:t>
      </w:r>
    </w:p>
    <w:p w14:paraId="7530065D" w14:textId="4E710749" w:rsidR="003E0929" w:rsidRDefault="003E0929" w:rsidP="00441B6F">
      <w:pPr>
        <w:pStyle w:val="ReferHead"/>
        <w:spacing w:after="0"/>
        <w:jc w:val="both"/>
        <w:rPr>
          <w:rFonts w:ascii="Arial" w:hAnsi="Arial" w:cs="Arial"/>
          <w:b w:val="0"/>
        </w:rPr>
      </w:pPr>
    </w:p>
    <w:p w14:paraId="3B348CA6" w14:textId="1D0E7541" w:rsidR="003E0929" w:rsidRPr="00B70B20" w:rsidRDefault="00B70B20" w:rsidP="00B70B20">
      <w:pPr>
        <w:spacing w:after="120"/>
        <w:rPr>
          <w:rFonts w:ascii="Arial" w:eastAsia="Calibri" w:hAnsi="Arial" w:cs="Arial"/>
          <w:b/>
          <w:bCs/>
          <w:kern w:val="2"/>
          <w:sz w:val="22"/>
          <w:szCs w:val="22"/>
          <w:highlight w:val="yellow"/>
        </w:rPr>
      </w:pPr>
      <w:bookmarkStart w:id="9" w:name="_Hlk197682619"/>
      <w:bookmarkStart w:id="10" w:name="_Hlk180402183"/>
      <w:bookmarkStart w:id="11" w:name="_Hlk183680988"/>
      <w:bookmarkStart w:id="12" w:name="_Hlk197351200"/>
      <w:r w:rsidRPr="00B70B20">
        <w:rPr>
          <w:rFonts w:ascii="Arial" w:eastAsia="Calibri" w:hAnsi="Arial" w:cs="Arial"/>
          <w:b/>
          <w:bCs/>
          <w:kern w:val="2"/>
          <w:sz w:val="22"/>
          <w:szCs w:val="22"/>
          <w:highlight w:val="yellow"/>
        </w:rPr>
        <w:t>DISCLAIMER (ARTIFICIAL INTELLIGENCE)</w:t>
      </w:r>
    </w:p>
    <w:p w14:paraId="4B7FAC71" w14:textId="77777777" w:rsidR="003E0929" w:rsidRPr="00B70B20" w:rsidRDefault="003E0929" w:rsidP="00B70B20">
      <w:pPr>
        <w:jc w:val="both"/>
        <w:rPr>
          <w:rFonts w:ascii="Arial" w:eastAsia="Calibri" w:hAnsi="Arial" w:cs="Arial"/>
          <w:kern w:val="2"/>
          <w:highlight w:val="yellow"/>
        </w:rPr>
      </w:pPr>
      <w:r w:rsidRPr="00B70B20">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9"/>
    <w:bookmarkEnd w:id="10"/>
    <w:bookmarkEnd w:id="11"/>
    <w:bookmarkEnd w:id="12"/>
    <w:p w14:paraId="3AC56536" w14:textId="77777777" w:rsidR="006D6222" w:rsidRDefault="006D6222" w:rsidP="00441B6F">
      <w:pPr>
        <w:pStyle w:val="ReferHead"/>
        <w:spacing w:after="0"/>
        <w:jc w:val="both"/>
        <w:rPr>
          <w:rFonts w:ascii="Arial" w:hAnsi="Arial" w:cs="Arial"/>
          <w:b w:val="0"/>
        </w:rPr>
      </w:pPr>
    </w:p>
    <w:p w14:paraId="1C8715D5" w14:textId="77777777" w:rsidR="00D276F3" w:rsidRDefault="00D276F3" w:rsidP="00441B6F">
      <w:pPr>
        <w:pStyle w:val="ReferHead"/>
        <w:spacing w:after="0"/>
        <w:jc w:val="both"/>
        <w:rPr>
          <w:rFonts w:ascii="Arial" w:hAnsi="Arial" w:cs="Arial"/>
          <w:b w:val="0"/>
        </w:rPr>
      </w:pPr>
    </w:p>
    <w:p w14:paraId="78B57C85" w14:textId="3DC146C9" w:rsidR="00B01FCD" w:rsidRDefault="00B01FCD" w:rsidP="00441B6F">
      <w:pPr>
        <w:pStyle w:val="ReferHead"/>
        <w:spacing w:after="0"/>
        <w:jc w:val="both"/>
        <w:rPr>
          <w:rFonts w:ascii="Arial" w:hAnsi="Arial" w:cs="Arial"/>
        </w:rPr>
      </w:pPr>
      <w:r w:rsidRPr="00FB3A86">
        <w:rPr>
          <w:rFonts w:ascii="Arial" w:hAnsi="Arial" w:cs="Arial"/>
        </w:rPr>
        <w:t>References</w:t>
      </w:r>
    </w:p>
    <w:p w14:paraId="37623F1F" w14:textId="77777777" w:rsidR="00790ADA" w:rsidRPr="002C57D2" w:rsidRDefault="00790ADA" w:rsidP="00441B6F">
      <w:pPr>
        <w:pStyle w:val="Body"/>
        <w:spacing w:after="0"/>
        <w:rPr>
          <w:rFonts w:ascii="Arial" w:hAnsi="Arial" w:cs="Arial"/>
        </w:rPr>
      </w:pPr>
    </w:p>
    <w:p w14:paraId="4BE55660" w14:textId="3EC5EA37" w:rsidR="00094B1E" w:rsidRPr="00094B1E" w:rsidRDefault="00094B1E" w:rsidP="00BE0B5A">
      <w:pPr>
        <w:pStyle w:val="Body"/>
        <w:ind w:left="567" w:hanging="567"/>
        <w:rPr>
          <w:rFonts w:ascii="Arial" w:hAnsi="Arial" w:cs="Arial"/>
        </w:rPr>
      </w:pPr>
      <w:proofErr w:type="spellStart"/>
      <w:r w:rsidRPr="00094B1E">
        <w:rPr>
          <w:rFonts w:ascii="Arial" w:hAnsi="Arial" w:cs="Arial"/>
          <w:b/>
          <w:bCs/>
        </w:rPr>
        <w:t>Abindaw</w:t>
      </w:r>
      <w:proofErr w:type="spellEnd"/>
      <w:r w:rsidRPr="00094B1E">
        <w:rPr>
          <w:rFonts w:ascii="Arial" w:hAnsi="Arial" w:cs="Arial"/>
          <w:b/>
          <w:bCs/>
        </w:rPr>
        <w:t xml:space="preserve">, T., </w:t>
      </w:r>
      <w:proofErr w:type="spellStart"/>
      <w:r w:rsidRPr="00094B1E">
        <w:rPr>
          <w:rFonts w:ascii="Arial" w:hAnsi="Arial" w:cs="Arial"/>
          <w:b/>
          <w:bCs/>
        </w:rPr>
        <w:t>Hanyabui</w:t>
      </w:r>
      <w:proofErr w:type="spellEnd"/>
      <w:r w:rsidRPr="00094B1E">
        <w:rPr>
          <w:rFonts w:ascii="Arial" w:hAnsi="Arial" w:cs="Arial"/>
          <w:b/>
          <w:bCs/>
        </w:rPr>
        <w:t xml:space="preserve">, E., Atiah, K., Akwasi, E. A., &amp; </w:t>
      </w:r>
      <w:proofErr w:type="spellStart"/>
      <w:r w:rsidRPr="00094B1E">
        <w:rPr>
          <w:rFonts w:ascii="Arial" w:hAnsi="Arial" w:cs="Arial"/>
          <w:b/>
          <w:bCs/>
        </w:rPr>
        <w:t>Ziblim</w:t>
      </w:r>
      <w:proofErr w:type="spellEnd"/>
      <w:r w:rsidRPr="00094B1E">
        <w:rPr>
          <w:rFonts w:ascii="Arial" w:hAnsi="Arial" w:cs="Arial"/>
          <w:b/>
          <w:bCs/>
        </w:rPr>
        <w:t xml:space="preserve">, I. A. (2023). Influence of </w:t>
      </w:r>
      <w:r w:rsidRPr="00094B1E">
        <w:rPr>
          <w:rFonts w:ascii="Arial" w:hAnsi="Arial" w:cs="Arial"/>
        </w:rPr>
        <w:t xml:space="preserve">land use types on the distribution of selected soil properties in tropical soils of the Coastal Savanna zone. </w:t>
      </w:r>
      <w:proofErr w:type="spellStart"/>
      <w:r w:rsidRPr="00094B1E">
        <w:rPr>
          <w:rFonts w:ascii="Arial" w:hAnsi="Arial" w:cs="Arial"/>
        </w:rPr>
        <w:t>Heliyon</w:t>
      </w:r>
      <w:proofErr w:type="spellEnd"/>
      <w:r w:rsidRPr="00094B1E">
        <w:rPr>
          <w:rFonts w:ascii="Arial" w:hAnsi="Arial" w:cs="Arial"/>
        </w:rPr>
        <w:t>, 9(3), e14002. https://doi.org/10.1016/j.heliyon.2023.e14002</w:t>
      </w:r>
    </w:p>
    <w:p w14:paraId="478CC88C" w14:textId="1E4EB0E7" w:rsidR="00BE0B5A" w:rsidRPr="0003134F" w:rsidRDefault="00BE0B5A" w:rsidP="00BE0B5A">
      <w:pPr>
        <w:pStyle w:val="Body"/>
        <w:ind w:left="567" w:hanging="567"/>
        <w:rPr>
          <w:rFonts w:ascii="Arial" w:hAnsi="Arial" w:cs="Arial"/>
        </w:rPr>
      </w:pPr>
      <w:r w:rsidRPr="00BE0B5A">
        <w:rPr>
          <w:rFonts w:ascii="Arial" w:hAnsi="Arial" w:cs="Arial"/>
          <w:b/>
          <w:bCs/>
        </w:rPr>
        <w:t xml:space="preserve">Abreu, R. C. R., </w:t>
      </w:r>
      <w:proofErr w:type="spellStart"/>
      <w:r w:rsidRPr="00BE0B5A">
        <w:rPr>
          <w:rFonts w:ascii="Arial" w:hAnsi="Arial" w:cs="Arial"/>
          <w:b/>
          <w:bCs/>
        </w:rPr>
        <w:t>Durigan</w:t>
      </w:r>
      <w:proofErr w:type="spellEnd"/>
      <w:r w:rsidRPr="00BE0B5A">
        <w:rPr>
          <w:rFonts w:ascii="Arial" w:hAnsi="Arial" w:cs="Arial"/>
          <w:b/>
          <w:bCs/>
        </w:rPr>
        <w:t>, G., Melo, A. C. G., Pilon, N. A. L., &amp; Hoffmann, W. A. (2021).</w:t>
      </w:r>
      <w:r w:rsidRPr="00BE0B5A">
        <w:rPr>
          <w:rFonts w:ascii="Arial" w:hAnsi="Arial" w:cs="Arial"/>
        </w:rPr>
        <w:t xml:space="preserve"> Facilitation by isolated trees triggers woody encroachment and a biome shift at the savanna–forest transition. </w:t>
      </w:r>
      <w:r w:rsidRPr="0003134F">
        <w:rPr>
          <w:rFonts w:ascii="Arial" w:hAnsi="Arial" w:cs="Arial"/>
        </w:rPr>
        <w:t xml:space="preserve">Journal of Ecology, 109(8), 2984–2998. </w:t>
      </w:r>
      <w:hyperlink r:id="rId12" w:history="1">
        <w:r w:rsidRPr="0003134F">
          <w:rPr>
            <w:rStyle w:val="Hyperlink"/>
            <w:rFonts w:ascii="Arial" w:hAnsi="Arial" w:cs="Arial"/>
          </w:rPr>
          <w:t>https://doi.org/10.1111/1365-2664.13994</w:t>
        </w:r>
      </w:hyperlink>
    </w:p>
    <w:p w14:paraId="1D212AEE" w14:textId="6D89868A" w:rsidR="00094B1E" w:rsidRPr="00094B1E" w:rsidRDefault="00094B1E" w:rsidP="00BE0B5A">
      <w:pPr>
        <w:pStyle w:val="Body"/>
        <w:ind w:left="567" w:hanging="567"/>
        <w:rPr>
          <w:rFonts w:ascii="Arial" w:hAnsi="Arial" w:cs="Arial"/>
          <w:lang w:val="fr-CI"/>
        </w:rPr>
      </w:pPr>
      <w:proofErr w:type="spellStart"/>
      <w:r w:rsidRPr="00094B1E">
        <w:rPr>
          <w:rFonts w:ascii="Arial" w:hAnsi="Arial" w:cs="Arial"/>
          <w:b/>
          <w:bCs/>
        </w:rPr>
        <w:t>Angaman</w:t>
      </w:r>
      <w:proofErr w:type="spellEnd"/>
      <w:r w:rsidRPr="00094B1E">
        <w:rPr>
          <w:rFonts w:ascii="Arial" w:hAnsi="Arial" w:cs="Arial"/>
          <w:b/>
          <w:bCs/>
        </w:rPr>
        <w:t xml:space="preserve">, </w:t>
      </w:r>
      <w:proofErr w:type="spellStart"/>
      <w:r w:rsidRPr="00094B1E">
        <w:rPr>
          <w:rFonts w:ascii="Arial" w:hAnsi="Arial" w:cs="Arial"/>
          <w:b/>
          <w:bCs/>
        </w:rPr>
        <w:t>Kadio</w:t>
      </w:r>
      <w:proofErr w:type="spellEnd"/>
      <w:r w:rsidRPr="00094B1E">
        <w:rPr>
          <w:rFonts w:ascii="Arial" w:hAnsi="Arial" w:cs="Arial"/>
          <w:b/>
          <w:bCs/>
        </w:rPr>
        <w:t xml:space="preserve"> </w:t>
      </w:r>
      <w:proofErr w:type="spellStart"/>
      <w:r w:rsidRPr="00094B1E">
        <w:rPr>
          <w:rFonts w:ascii="Arial" w:hAnsi="Arial" w:cs="Arial"/>
          <w:b/>
          <w:bCs/>
        </w:rPr>
        <w:t>Valère</w:t>
      </w:r>
      <w:proofErr w:type="spellEnd"/>
      <w:r w:rsidRPr="00094B1E">
        <w:rPr>
          <w:rFonts w:ascii="Arial" w:hAnsi="Arial" w:cs="Arial"/>
          <w:b/>
          <w:bCs/>
        </w:rPr>
        <w:t xml:space="preserve">, </w:t>
      </w:r>
      <w:proofErr w:type="spellStart"/>
      <w:r w:rsidRPr="00094B1E">
        <w:rPr>
          <w:rFonts w:ascii="Arial" w:hAnsi="Arial" w:cs="Arial"/>
          <w:b/>
          <w:bCs/>
        </w:rPr>
        <w:t>Mirzabaev</w:t>
      </w:r>
      <w:proofErr w:type="spellEnd"/>
      <w:r w:rsidRPr="00094B1E">
        <w:rPr>
          <w:rFonts w:ascii="Arial" w:hAnsi="Arial" w:cs="Arial"/>
          <w:b/>
          <w:bCs/>
        </w:rPr>
        <w:t xml:space="preserve">, Alisher &amp; </w:t>
      </w:r>
      <w:proofErr w:type="spellStart"/>
      <w:r w:rsidRPr="00094B1E">
        <w:rPr>
          <w:rFonts w:ascii="Arial" w:hAnsi="Arial" w:cs="Arial"/>
          <w:b/>
          <w:bCs/>
        </w:rPr>
        <w:t>Niang</w:t>
      </w:r>
      <w:proofErr w:type="spellEnd"/>
      <w:r w:rsidRPr="00094B1E">
        <w:rPr>
          <w:rFonts w:ascii="Arial" w:hAnsi="Arial" w:cs="Arial"/>
          <w:b/>
          <w:bCs/>
        </w:rPr>
        <w:t xml:space="preserve">, </w:t>
      </w:r>
      <w:proofErr w:type="spellStart"/>
      <w:r w:rsidRPr="00094B1E">
        <w:rPr>
          <w:rFonts w:ascii="Arial" w:hAnsi="Arial" w:cs="Arial"/>
          <w:b/>
          <w:bCs/>
        </w:rPr>
        <w:t>Birahim</w:t>
      </w:r>
      <w:proofErr w:type="spellEnd"/>
      <w:r w:rsidRPr="00094B1E">
        <w:rPr>
          <w:rFonts w:ascii="Arial" w:hAnsi="Arial" w:cs="Arial"/>
          <w:b/>
          <w:bCs/>
        </w:rPr>
        <w:t xml:space="preserve"> </w:t>
      </w:r>
      <w:proofErr w:type="spellStart"/>
      <w:r w:rsidRPr="00094B1E">
        <w:rPr>
          <w:rFonts w:ascii="Arial" w:hAnsi="Arial" w:cs="Arial"/>
          <w:b/>
          <w:bCs/>
        </w:rPr>
        <w:t>Bouna</w:t>
      </w:r>
      <w:proofErr w:type="spellEnd"/>
      <w:r w:rsidRPr="00094B1E">
        <w:rPr>
          <w:rFonts w:ascii="Arial" w:hAnsi="Arial" w:cs="Arial"/>
          <w:b/>
          <w:bCs/>
        </w:rPr>
        <w:t>. (2024).</w:t>
      </w:r>
      <w:r w:rsidRPr="00094B1E">
        <w:rPr>
          <w:rFonts w:ascii="Arial" w:hAnsi="Arial" w:cs="Arial"/>
        </w:rPr>
        <w:t xml:space="preserve"> Economic impacts of land degradation: Evidence from Côte d'Ivoire. Land Degradation &amp; Development, 35(4), 1541–1552. </w:t>
      </w:r>
      <w:hyperlink r:id="rId13" w:history="1">
        <w:r w:rsidRPr="00094B1E">
          <w:rPr>
            <w:rStyle w:val="Hyperlink"/>
            <w:rFonts w:ascii="Arial" w:hAnsi="Arial" w:cs="Arial"/>
            <w:lang w:val="fr-CI"/>
          </w:rPr>
          <w:t>https://doi.org/10.1002/ldr.5004</w:t>
        </w:r>
      </w:hyperlink>
    </w:p>
    <w:p w14:paraId="72296357" w14:textId="3E65310E" w:rsidR="00BE0B5A" w:rsidRPr="00BE0B5A" w:rsidRDefault="00BE0B5A" w:rsidP="00BE0B5A">
      <w:pPr>
        <w:pStyle w:val="Body"/>
        <w:ind w:left="567" w:hanging="567"/>
        <w:rPr>
          <w:rFonts w:ascii="Arial" w:hAnsi="Arial" w:cs="Arial"/>
        </w:rPr>
      </w:pPr>
      <w:r w:rsidRPr="00BE0B5A">
        <w:rPr>
          <w:rFonts w:ascii="Arial" w:hAnsi="Arial" w:cs="Arial"/>
          <w:b/>
          <w:bCs/>
          <w:lang w:val="fr-CI"/>
        </w:rPr>
        <w:t xml:space="preserve">Aka, K. S. R., Kouakou, K., Kouassi, A., et al. </w:t>
      </w:r>
      <w:r w:rsidRPr="00BE0B5A">
        <w:rPr>
          <w:rFonts w:ascii="Arial" w:hAnsi="Arial" w:cs="Arial"/>
          <w:b/>
          <w:bCs/>
        </w:rPr>
        <w:t>(2023).</w:t>
      </w:r>
      <w:r w:rsidRPr="00BE0B5A">
        <w:rPr>
          <w:rFonts w:ascii="Arial" w:hAnsi="Arial" w:cs="Arial"/>
        </w:rPr>
        <w:t xml:space="preserve"> Toward understanding land use/land cover changes and their effects on surface temperature in the </w:t>
      </w:r>
      <w:proofErr w:type="spellStart"/>
      <w:r w:rsidRPr="00BE0B5A">
        <w:rPr>
          <w:rFonts w:ascii="Arial" w:hAnsi="Arial" w:cs="Arial"/>
        </w:rPr>
        <w:t>Gontougo</w:t>
      </w:r>
      <w:proofErr w:type="spellEnd"/>
      <w:r w:rsidRPr="00BE0B5A">
        <w:rPr>
          <w:rFonts w:ascii="Arial" w:hAnsi="Arial" w:cs="Arial"/>
        </w:rPr>
        <w:t xml:space="preserve"> Region, Côte d’Ivoire. Frontiers in Remote Sensing, 4, 1221757. </w:t>
      </w:r>
      <w:hyperlink r:id="rId14" w:history="1">
        <w:r w:rsidRPr="004C0E2B">
          <w:rPr>
            <w:rStyle w:val="Hyperlink"/>
            <w:rFonts w:ascii="Arial" w:hAnsi="Arial" w:cs="Arial"/>
          </w:rPr>
          <w:t>https://doi.org/10.3389/frsen.2023.1221757</w:t>
        </w:r>
      </w:hyperlink>
    </w:p>
    <w:p w14:paraId="58903260" w14:textId="120A25D4" w:rsidR="005B7E23" w:rsidRDefault="005B7E23" w:rsidP="005B7E23">
      <w:pPr>
        <w:pStyle w:val="Body"/>
        <w:ind w:left="567" w:hanging="567"/>
      </w:pPr>
      <w:r w:rsidRPr="005B7E23">
        <w:rPr>
          <w:rFonts w:ascii="Arial" w:hAnsi="Arial" w:cs="Arial"/>
          <w:b/>
          <w:bCs/>
        </w:rPr>
        <w:t>Akpa You, L., Dibi, N. H., </w:t>
      </w:r>
      <w:proofErr w:type="spellStart"/>
      <w:r w:rsidRPr="005B7E23">
        <w:rPr>
          <w:rFonts w:ascii="Arial" w:hAnsi="Arial" w:cs="Arial"/>
          <w:b/>
          <w:bCs/>
        </w:rPr>
        <w:t>Kyereh</w:t>
      </w:r>
      <w:proofErr w:type="spellEnd"/>
      <w:r w:rsidRPr="005B7E23">
        <w:rPr>
          <w:rFonts w:ascii="Arial" w:hAnsi="Arial" w:cs="Arial"/>
          <w:b/>
          <w:bCs/>
        </w:rPr>
        <w:t xml:space="preserve">, B., &amp; Kouassi, B. K. (2019). </w:t>
      </w:r>
      <w:r w:rsidRPr="005B7E23">
        <w:rPr>
          <w:rFonts w:ascii="Arial" w:hAnsi="Arial" w:cs="Arial"/>
        </w:rPr>
        <w:t>Impact of cashew plantation on carbon stock in the forest</w:t>
      </w:r>
      <w:r w:rsidRPr="005B7E23">
        <w:rPr>
          <w:rFonts w:ascii="Cambria Math" w:hAnsi="Cambria Math" w:cs="Cambria Math"/>
        </w:rPr>
        <w:t>‑</w:t>
      </w:r>
      <w:r w:rsidRPr="005B7E23">
        <w:rPr>
          <w:rFonts w:ascii="Arial" w:hAnsi="Arial" w:cs="Arial"/>
        </w:rPr>
        <w:t>savanna transition zone (north</w:t>
      </w:r>
      <w:r w:rsidRPr="005B7E23">
        <w:rPr>
          <w:rFonts w:ascii="Cambria Math" w:hAnsi="Cambria Math" w:cs="Cambria Math"/>
        </w:rPr>
        <w:t>‑</w:t>
      </w:r>
      <w:r w:rsidRPr="005B7E23">
        <w:rPr>
          <w:rFonts w:ascii="Arial" w:hAnsi="Arial" w:cs="Arial"/>
        </w:rPr>
        <w:t xml:space="preserve">east Côte d’Ivoire). International Journal of Innovation and Applied Studies, 27(2), 591–598. </w:t>
      </w:r>
      <w:hyperlink r:id="rId15" w:history="1">
        <w:r w:rsidRPr="004C0E2B">
          <w:rPr>
            <w:rStyle w:val="Hyperlink"/>
            <w:rFonts w:ascii="Arial" w:hAnsi="Arial" w:cs="Arial"/>
          </w:rPr>
          <w:t>https://doi.org/10.1016/j.heliyon.2023.e14002</w:t>
        </w:r>
      </w:hyperlink>
    </w:p>
    <w:p w14:paraId="5879776C" w14:textId="44E52DC3" w:rsidR="00F23F7F" w:rsidRDefault="00F23F7F" w:rsidP="005B7E23">
      <w:pPr>
        <w:pStyle w:val="Body"/>
        <w:ind w:left="567" w:hanging="567"/>
        <w:rPr>
          <w:rFonts w:ascii="Arial" w:hAnsi="Arial" w:cs="Arial"/>
        </w:rPr>
      </w:pPr>
      <w:bookmarkStart w:id="13" w:name="_Hlk214884270"/>
      <w:r w:rsidRPr="00F23F7F">
        <w:rPr>
          <w:rFonts w:ascii="Arial" w:hAnsi="Arial" w:cs="Arial"/>
          <w:b/>
          <w:bCs/>
        </w:rPr>
        <w:t>Al-</w:t>
      </w:r>
      <w:proofErr w:type="spellStart"/>
      <w:r w:rsidRPr="00F23F7F">
        <w:rPr>
          <w:rFonts w:ascii="Arial" w:hAnsi="Arial" w:cs="Arial"/>
          <w:b/>
          <w:bCs/>
        </w:rPr>
        <w:t>Akad</w:t>
      </w:r>
      <w:bookmarkEnd w:id="13"/>
      <w:proofErr w:type="spellEnd"/>
      <w:r w:rsidRPr="00F23F7F">
        <w:rPr>
          <w:rFonts w:ascii="Arial" w:hAnsi="Arial" w:cs="Arial"/>
          <w:b/>
          <w:bCs/>
        </w:rPr>
        <w:t xml:space="preserve">, S., </w:t>
      </w:r>
      <w:proofErr w:type="spellStart"/>
      <w:r w:rsidRPr="00F23F7F">
        <w:rPr>
          <w:rFonts w:ascii="Arial" w:hAnsi="Arial" w:cs="Arial"/>
          <w:b/>
          <w:bCs/>
        </w:rPr>
        <w:t>Akensous</w:t>
      </w:r>
      <w:proofErr w:type="spellEnd"/>
      <w:r w:rsidRPr="00F23F7F">
        <w:rPr>
          <w:rFonts w:ascii="Arial" w:hAnsi="Arial" w:cs="Arial"/>
          <w:b/>
          <w:bCs/>
        </w:rPr>
        <w:t xml:space="preserve">, Y., Mustapha, H., </w:t>
      </w:r>
      <w:proofErr w:type="spellStart"/>
      <w:r w:rsidRPr="00F23F7F">
        <w:rPr>
          <w:rFonts w:ascii="Arial" w:hAnsi="Arial" w:cs="Arial"/>
          <w:b/>
          <w:bCs/>
        </w:rPr>
        <w:t>Alnahmi</w:t>
      </w:r>
      <w:proofErr w:type="spellEnd"/>
      <w:r w:rsidRPr="00F23F7F">
        <w:rPr>
          <w:rFonts w:ascii="Arial" w:hAnsi="Arial" w:cs="Arial"/>
          <w:b/>
          <w:bCs/>
        </w:rPr>
        <w:t xml:space="preserve">, F., Mahyoub, S., </w:t>
      </w:r>
      <w:proofErr w:type="spellStart"/>
      <w:r w:rsidRPr="00F23F7F">
        <w:rPr>
          <w:rFonts w:ascii="Arial" w:hAnsi="Arial" w:cs="Arial"/>
          <w:b/>
          <w:bCs/>
        </w:rPr>
        <w:t>Khanbari</w:t>
      </w:r>
      <w:proofErr w:type="spellEnd"/>
      <w:r w:rsidRPr="00F23F7F">
        <w:rPr>
          <w:rFonts w:ascii="Arial" w:hAnsi="Arial" w:cs="Arial"/>
          <w:b/>
          <w:bCs/>
        </w:rPr>
        <w:t xml:space="preserve">, K., &amp; </w:t>
      </w:r>
      <w:proofErr w:type="spellStart"/>
      <w:r w:rsidRPr="00F23F7F">
        <w:rPr>
          <w:rFonts w:ascii="Arial" w:hAnsi="Arial" w:cs="Arial"/>
          <w:b/>
          <w:bCs/>
        </w:rPr>
        <w:t>Swadi</w:t>
      </w:r>
      <w:proofErr w:type="spellEnd"/>
      <w:r w:rsidRPr="00F23F7F">
        <w:rPr>
          <w:rFonts w:ascii="Arial" w:hAnsi="Arial" w:cs="Arial"/>
          <w:b/>
          <w:bCs/>
        </w:rPr>
        <w:t>, H. (2019)</w:t>
      </w:r>
      <w:r w:rsidRPr="00F23F7F">
        <w:rPr>
          <w:rFonts w:ascii="Arial" w:hAnsi="Arial" w:cs="Arial"/>
        </w:rPr>
        <w:t xml:space="preserve">. Mapping of land-cover change analysis in </w:t>
      </w:r>
      <w:proofErr w:type="spellStart"/>
      <w:r w:rsidRPr="00F23F7F">
        <w:rPr>
          <w:rFonts w:ascii="Arial" w:hAnsi="Arial" w:cs="Arial"/>
        </w:rPr>
        <w:t>Ma’rib</w:t>
      </w:r>
      <w:proofErr w:type="spellEnd"/>
      <w:r w:rsidRPr="00F23F7F">
        <w:rPr>
          <w:rFonts w:ascii="Arial" w:hAnsi="Arial" w:cs="Arial"/>
        </w:rPr>
        <w:t>, Yemen using remote sensing and GIS techniques. The International Archives of the Photogrammetry, Remote Sensing and Spatial Information Sciences, XLII-4/W12, 1–10. https://doi.org/10.5194/isprs-archives-XLII-4-W12-1-2019</w:t>
      </w:r>
    </w:p>
    <w:p w14:paraId="50E1C88F" w14:textId="088AAF09" w:rsidR="00E440FE" w:rsidRDefault="00E440FE" w:rsidP="00E440FE">
      <w:pPr>
        <w:pStyle w:val="Body"/>
        <w:ind w:left="567" w:hanging="567"/>
      </w:pPr>
      <w:r w:rsidRPr="00E440FE">
        <w:rPr>
          <w:rFonts w:ascii="Arial" w:hAnsi="Arial" w:cs="Arial"/>
          <w:b/>
          <w:bCs/>
        </w:rPr>
        <w:t>Beckett, H., Staver, A. C., Charles</w:t>
      </w:r>
      <w:r w:rsidRPr="00E440FE">
        <w:rPr>
          <w:rFonts w:ascii="Cambria Math" w:hAnsi="Cambria Math" w:cs="Cambria Math"/>
          <w:b/>
          <w:bCs/>
        </w:rPr>
        <w:t>‑</w:t>
      </w:r>
      <w:r w:rsidRPr="00E440FE">
        <w:rPr>
          <w:rFonts w:ascii="Arial" w:hAnsi="Arial" w:cs="Arial"/>
          <w:b/>
          <w:bCs/>
        </w:rPr>
        <w:t xml:space="preserve">Dominique, T., &amp; Bond, W. J. (2022). </w:t>
      </w:r>
      <w:r w:rsidRPr="00E440FE">
        <w:rPr>
          <w:rFonts w:ascii="Arial" w:hAnsi="Arial" w:cs="Arial"/>
        </w:rPr>
        <w:t xml:space="preserve">Pathways of </w:t>
      </w:r>
      <w:proofErr w:type="spellStart"/>
      <w:r w:rsidRPr="00E440FE">
        <w:rPr>
          <w:rFonts w:ascii="Arial" w:hAnsi="Arial" w:cs="Arial"/>
        </w:rPr>
        <w:t>savannization</w:t>
      </w:r>
      <w:proofErr w:type="spellEnd"/>
      <w:r w:rsidRPr="00E440FE">
        <w:rPr>
          <w:rFonts w:ascii="Arial" w:hAnsi="Arial" w:cs="Arial"/>
        </w:rPr>
        <w:t xml:space="preserve"> in a mesic African savanna–forest mosaic following an extreme fire. Journal of Ecology, 110(4), 902–915. </w:t>
      </w:r>
      <w:hyperlink r:id="rId16" w:history="1">
        <w:r w:rsidRPr="00E440FE">
          <w:rPr>
            <w:rStyle w:val="Hyperlink"/>
            <w:rFonts w:ascii="Arial" w:hAnsi="Arial" w:cs="Arial"/>
          </w:rPr>
          <w:t>https://doi.org/10.1111/1365-2745.13851</w:t>
        </w:r>
      </w:hyperlink>
    </w:p>
    <w:p w14:paraId="34E03A1C" w14:textId="6AE696B4" w:rsidR="001D324E" w:rsidRDefault="001D324E" w:rsidP="00E440FE">
      <w:pPr>
        <w:pStyle w:val="Body"/>
        <w:ind w:left="567" w:hanging="567"/>
        <w:rPr>
          <w:rFonts w:ascii="Arial" w:hAnsi="Arial" w:cs="Arial"/>
        </w:rPr>
      </w:pPr>
      <w:r w:rsidRPr="001D324E">
        <w:rPr>
          <w:rFonts w:ascii="Arial" w:hAnsi="Arial" w:cs="Arial"/>
          <w:b/>
          <w:bCs/>
          <w:lang w:val="fr-CI"/>
        </w:rPr>
        <w:t xml:space="preserve">Chatelain, C., Gautier, L., &amp; </w:t>
      </w:r>
      <w:proofErr w:type="spellStart"/>
      <w:r w:rsidRPr="001D324E">
        <w:rPr>
          <w:rFonts w:ascii="Arial" w:hAnsi="Arial" w:cs="Arial"/>
          <w:b/>
          <w:bCs/>
          <w:lang w:val="fr-CI"/>
        </w:rPr>
        <w:t>Spichiger</w:t>
      </w:r>
      <w:proofErr w:type="spellEnd"/>
      <w:r w:rsidRPr="001D324E">
        <w:rPr>
          <w:rFonts w:ascii="Arial" w:hAnsi="Arial" w:cs="Arial"/>
          <w:b/>
          <w:bCs/>
          <w:lang w:val="fr-CI"/>
        </w:rPr>
        <w:t>, R.</w:t>
      </w:r>
      <w:r w:rsidRPr="001D324E">
        <w:rPr>
          <w:rFonts w:ascii="Cambria Math" w:hAnsi="Cambria Math" w:cs="Cambria Math"/>
          <w:b/>
          <w:bCs/>
          <w:lang w:val="fr-CI"/>
        </w:rPr>
        <w:t>‑</w:t>
      </w:r>
      <w:r w:rsidRPr="001D324E">
        <w:rPr>
          <w:rFonts w:ascii="Arial" w:hAnsi="Arial" w:cs="Arial"/>
          <w:b/>
          <w:bCs/>
          <w:lang w:val="fr-CI"/>
        </w:rPr>
        <w:t>E. (2004).</w:t>
      </w:r>
      <w:r w:rsidRPr="001D324E">
        <w:rPr>
          <w:rFonts w:ascii="Arial" w:hAnsi="Arial" w:cs="Arial"/>
          <w:lang w:val="fr-CI"/>
        </w:rPr>
        <w:t xml:space="preserve"> </w:t>
      </w:r>
      <w:r w:rsidRPr="001D324E">
        <w:rPr>
          <w:rFonts w:ascii="Arial" w:hAnsi="Arial" w:cs="Arial"/>
        </w:rPr>
        <w:t>Forest cover changes in Côte d’Ivoire and Upper Guinea. In L. </w:t>
      </w:r>
      <w:proofErr w:type="spellStart"/>
      <w:r w:rsidRPr="001D324E">
        <w:rPr>
          <w:rFonts w:ascii="Arial" w:hAnsi="Arial" w:cs="Arial"/>
        </w:rPr>
        <w:t>Poorter</w:t>
      </w:r>
      <w:proofErr w:type="spellEnd"/>
      <w:r w:rsidRPr="001D324E">
        <w:rPr>
          <w:rFonts w:ascii="Arial" w:hAnsi="Arial" w:cs="Arial"/>
        </w:rPr>
        <w:t xml:space="preserve">, F. Bongers, F. N. </w:t>
      </w:r>
      <w:proofErr w:type="spellStart"/>
      <w:r w:rsidRPr="001D324E">
        <w:rPr>
          <w:rFonts w:ascii="Arial" w:hAnsi="Arial" w:cs="Arial"/>
        </w:rPr>
        <w:t>Kouamé</w:t>
      </w:r>
      <w:proofErr w:type="spellEnd"/>
      <w:r w:rsidRPr="001D324E">
        <w:rPr>
          <w:rFonts w:ascii="Arial" w:hAnsi="Arial" w:cs="Arial"/>
        </w:rPr>
        <w:t xml:space="preserve"> &amp; W. D. Hawthorne (Eds.), Biodiversity of West African Forests: An Ecological Atlas of Woody Plant Species (pp. 45</w:t>
      </w:r>
      <w:r w:rsidRPr="001D324E">
        <w:rPr>
          <w:rFonts w:ascii="Cambria Math" w:hAnsi="Cambria Math" w:cs="Cambria Math"/>
        </w:rPr>
        <w:t>‑</w:t>
      </w:r>
      <w:r w:rsidRPr="001D324E">
        <w:rPr>
          <w:rFonts w:ascii="Arial" w:hAnsi="Arial" w:cs="Arial"/>
        </w:rPr>
        <w:t>82). CABI Publishing. https://doi.org/10.1079/9780851997346.0015</w:t>
      </w:r>
    </w:p>
    <w:p w14:paraId="77761C7B" w14:textId="73723E26" w:rsidR="00410A08" w:rsidRDefault="00410A08" w:rsidP="00E440FE">
      <w:pPr>
        <w:pStyle w:val="Body"/>
        <w:ind w:left="567" w:hanging="567"/>
        <w:rPr>
          <w:rFonts w:ascii="Arial" w:hAnsi="Arial" w:cs="Arial"/>
        </w:rPr>
      </w:pPr>
      <w:r w:rsidRPr="0003134F">
        <w:rPr>
          <w:rFonts w:ascii="Arial" w:hAnsi="Arial" w:cs="Arial"/>
          <w:b/>
          <w:bCs/>
        </w:rPr>
        <w:t xml:space="preserve">Dao, A., Koffi, E. S., </w:t>
      </w:r>
      <w:proofErr w:type="spellStart"/>
      <w:r w:rsidRPr="0003134F">
        <w:rPr>
          <w:rFonts w:ascii="Arial" w:hAnsi="Arial" w:cs="Arial"/>
          <w:b/>
          <w:bCs/>
        </w:rPr>
        <w:t>Noufé</w:t>
      </w:r>
      <w:proofErr w:type="spellEnd"/>
      <w:r w:rsidRPr="0003134F">
        <w:rPr>
          <w:rFonts w:ascii="Arial" w:hAnsi="Arial" w:cs="Arial"/>
          <w:b/>
          <w:bCs/>
        </w:rPr>
        <w:t xml:space="preserve">, D. D., </w:t>
      </w:r>
      <w:proofErr w:type="spellStart"/>
      <w:r w:rsidRPr="0003134F">
        <w:rPr>
          <w:rFonts w:ascii="Arial" w:hAnsi="Arial" w:cs="Arial"/>
          <w:b/>
          <w:bCs/>
        </w:rPr>
        <w:t>Kamagaté</w:t>
      </w:r>
      <w:proofErr w:type="spellEnd"/>
      <w:r w:rsidRPr="0003134F">
        <w:rPr>
          <w:rFonts w:ascii="Arial" w:hAnsi="Arial" w:cs="Arial"/>
          <w:b/>
          <w:bCs/>
        </w:rPr>
        <w:t xml:space="preserve">, B., </w:t>
      </w:r>
      <w:proofErr w:type="spellStart"/>
      <w:r w:rsidRPr="0003134F">
        <w:rPr>
          <w:rFonts w:ascii="Arial" w:hAnsi="Arial" w:cs="Arial"/>
          <w:b/>
          <w:bCs/>
        </w:rPr>
        <w:t>Goné</w:t>
      </w:r>
      <w:proofErr w:type="spellEnd"/>
      <w:r w:rsidRPr="0003134F">
        <w:rPr>
          <w:rFonts w:ascii="Arial" w:hAnsi="Arial" w:cs="Arial"/>
          <w:b/>
          <w:bCs/>
        </w:rPr>
        <w:t xml:space="preserve">, L. D., </w:t>
      </w:r>
      <w:proofErr w:type="spellStart"/>
      <w:r w:rsidRPr="0003134F">
        <w:rPr>
          <w:rFonts w:ascii="Arial" w:hAnsi="Arial" w:cs="Arial"/>
          <w:b/>
          <w:bCs/>
        </w:rPr>
        <w:t>Séguis</w:t>
      </w:r>
      <w:proofErr w:type="spellEnd"/>
      <w:r w:rsidRPr="0003134F">
        <w:rPr>
          <w:rFonts w:ascii="Arial" w:hAnsi="Arial" w:cs="Arial"/>
          <w:b/>
          <w:bCs/>
        </w:rPr>
        <w:t xml:space="preserve">, L., and Perrin, J </w:t>
      </w:r>
      <w:r w:rsidRPr="0003134F">
        <w:rPr>
          <w:rFonts w:ascii="Arial" w:hAnsi="Arial" w:cs="Arial"/>
        </w:rPr>
        <w:t>(2021).</w:t>
      </w:r>
      <w:r w:rsidRPr="0003134F">
        <w:rPr>
          <w:rFonts w:ascii="Arial" w:hAnsi="Arial" w:cs="Arial"/>
          <w:b/>
          <w:bCs/>
        </w:rPr>
        <w:t xml:space="preserve"> </w:t>
      </w:r>
      <w:r w:rsidRPr="00410A08">
        <w:rPr>
          <w:rFonts w:ascii="Arial" w:hAnsi="Arial" w:cs="Arial"/>
          <w:b/>
          <w:bCs/>
        </w:rPr>
        <w:t>L</w:t>
      </w:r>
      <w:r w:rsidRPr="00410A08">
        <w:rPr>
          <w:rFonts w:ascii="Arial" w:hAnsi="Arial" w:cs="Arial"/>
        </w:rPr>
        <w:t xml:space="preserve">.: Soil loss vulnerability: the case study of </w:t>
      </w:r>
      <w:proofErr w:type="spellStart"/>
      <w:r w:rsidRPr="00410A08">
        <w:rPr>
          <w:rFonts w:ascii="Arial" w:hAnsi="Arial" w:cs="Arial"/>
        </w:rPr>
        <w:t>Aghien</w:t>
      </w:r>
      <w:proofErr w:type="spellEnd"/>
      <w:r w:rsidRPr="00410A08">
        <w:rPr>
          <w:rFonts w:ascii="Arial" w:hAnsi="Arial" w:cs="Arial"/>
        </w:rPr>
        <w:t xml:space="preserve"> lagoon watershed outskirts Abidjan city (Côte d'Ivoire), Proc. IAHS, 384, 121–126, </w:t>
      </w:r>
      <w:hyperlink r:id="rId17" w:history="1">
        <w:r w:rsidRPr="004C0E2B">
          <w:rPr>
            <w:rStyle w:val="Hyperlink"/>
            <w:rFonts w:ascii="Arial" w:hAnsi="Arial" w:cs="Arial"/>
          </w:rPr>
          <w:t>https://doi.org/10.5194/piahs-384-121-2021</w:t>
        </w:r>
      </w:hyperlink>
    </w:p>
    <w:p w14:paraId="4816E7B9" w14:textId="5057430B" w:rsidR="00410A08" w:rsidRDefault="00410A08" w:rsidP="00410A08">
      <w:pPr>
        <w:pStyle w:val="Body"/>
        <w:spacing w:after="0"/>
        <w:ind w:left="567" w:hanging="567"/>
        <w:rPr>
          <w:rFonts w:ascii="Arial" w:hAnsi="Arial" w:cs="Arial"/>
        </w:rPr>
      </w:pPr>
      <w:r w:rsidRPr="00410A08">
        <w:rPr>
          <w:rFonts w:ascii="Arial" w:hAnsi="Arial" w:cs="Arial"/>
          <w:b/>
          <w:bCs/>
        </w:rPr>
        <w:t>FAO. (2023).</w:t>
      </w:r>
      <w:r w:rsidRPr="00BE0B5A">
        <w:rPr>
          <w:rFonts w:ascii="Arial" w:hAnsi="Arial" w:cs="Arial"/>
        </w:rPr>
        <w:t xml:space="preserve"> Adaptation and vulnerability context for Côte d’Ivoire – SCALA Program Report. Food and Agriculture Organization of the United Nations. </w:t>
      </w:r>
      <w:hyperlink r:id="rId18" w:history="1">
        <w:r w:rsidRPr="004C0E2B">
          <w:rPr>
            <w:rStyle w:val="Hyperlink"/>
            <w:rFonts w:ascii="Arial" w:hAnsi="Arial" w:cs="Arial"/>
          </w:rPr>
          <w:t>https://www.fao.org/scala</w:t>
        </w:r>
      </w:hyperlink>
    </w:p>
    <w:p w14:paraId="30CAF38F" w14:textId="77777777" w:rsidR="00410A08" w:rsidRPr="00BE0B5A" w:rsidRDefault="00410A08" w:rsidP="00410A08">
      <w:pPr>
        <w:pStyle w:val="Body"/>
        <w:spacing w:after="0"/>
        <w:ind w:left="567" w:hanging="567"/>
      </w:pPr>
    </w:p>
    <w:p w14:paraId="38720A9C" w14:textId="05F7196C" w:rsidR="00410A08" w:rsidRDefault="00410A08" w:rsidP="00410A08">
      <w:pPr>
        <w:pStyle w:val="Body"/>
        <w:ind w:left="567" w:hanging="567"/>
        <w:rPr>
          <w:rFonts w:ascii="Arial" w:hAnsi="Arial" w:cs="Arial"/>
        </w:rPr>
      </w:pPr>
      <w:r w:rsidRPr="00E440FE">
        <w:rPr>
          <w:rFonts w:ascii="Arial" w:hAnsi="Arial" w:cs="Arial"/>
          <w:b/>
          <w:bCs/>
        </w:rPr>
        <w:t xml:space="preserve">Hansen, M. C., Potapov, P. V., Moore, R., Hancher, M., Turubanova, S. A., </w:t>
      </w:r>
      <w:proofErr w:type="spellStart"/>
      <w:r w:rsidRPr="00E440FE">
        <w:rPr>
          <w:rFonts w:ascii="Arial" w:hAnsi="Arial" w:cs="Arial"/>
          <w:b/>
          <w:bCs/>
        </w:rPr>
        <w:t>Tyukavina</w:t>
      </w:r>
      <w:proofErr w:type="spellEnd"/>
      <w:r w:rsidRPr="00E440FE">
        <w:rPr>
          <w:rFonts w:ascii="Arial" w:hAnsi="Arial" w:cs="Arial"/>
          <w:b/>
          <w:bCs/>
        </w:rPr>
        <w:t xml:space="preserve">, A., Thau, D., Stehman, S. V., Goetz, S. J., Loveland, T. R., Kommareddy, I., Egorov, A., </w:t>
      </w:r>
      <w:r w:rsidRPr="00E440FE">
        <w:rPr>
          <w:rFonts w:ascii="Arial" w:hAnsi="Arial" w:cs="Arial"/>
          <w:b/>
          <w:bCs/>
        </w:rPr>
        <w:lastRenderedPageBreak/>
        <w:t>Chini, L., Justice, C. O., &amp; Townshend, J. R. G. (2013).</w:t>
      </w:r>
      <w:r w:rsidRPr="00E440FE">
        <w:rPr>
          <w:rFonts w:ascii="Arial" w:hAnsi="Arial" w:cs="Arial"/>
        </w:rPr>
        <w:t xml:space="preserve"> High</w:t>
      </w:r>
      <w:r w:rsidRPr="00E440FE">
        <w:rPr>
          <w:rFonts w:ascii="Cambria Math" w:hAnsi="Cambria Math" w:cs="Cambria Math"/>
        </w:rPr>
        <w:t>‑</w:t>
      </w:r>
      <w:r w:rsidRPr="00E440FE">
        <w:rPr>
          <w:rFonts w:ascii="Arial" w:hAnsi="Arial" w:cs="Arial"/>
        </w:rPr>
        <w:t>Resolution Global Maps of 21st</w:t>
      </w:r>
      <w:r w:rsidRPr="00E440FE">
        <w:rPr>
          <w:rFonts w:ascii="Cambria Math" w:hAnsi="Cambria Math" w:cs="Cambria Math"/>
        </w:rPr>
        <w:t>‑</w:t>
      </w:r>
      <w:r w:rsidRPr="00E440FE">
        <w:rPr>
          <w:rFonts w:ascii="Arial" w:hAnsi="Arial" w:cs="Arial"/>
        </w:rPr>
        <w:t xml:space="preserve">Century Forest Cover Change. Science, 342(6160), 850–853. </w:t>
      </w:r>
      <w:hyperlink r:id="rId19" w:history="1">
        <w:r w:rsidR="005B7E23" w:rsidRPr="004C0E2B">
          <w:rPr>
            <w:rStyle w:val="Hyperlink"/>
            <w:rFonts w:ascii="Arial" w:hAnsi="Arial" w:cs="Arial"/>
          </w:rPr>
          <w:t>https://doi.org/10.1126/science.1244693</w:t>
        </w:r>
      </w:hyperlink>
    </w:p>
    <w:p w14:paraId="2722CB99" w14:textId="2BD9E46C" w:rsidR="009215F2" w:rsidRPr="009215F2" w:rsidRDefault="00C521CB" w:rsidP="009215F2">
      <w:pPr>
        <w:pStyle w:val="Body"/>
        <w:ind w:left="567" w:hanging="567"/>
        <w:rPr>
          <w:rFonts w:ascii="Arial" w:hAnsi="Arial" w:cs="Arial"/>
        </w:rPr>
      </w:pPr>
      <w:proofErr w:type="spellStart"/>
      <w:r w:rsidRPr="00C521CB">
        <w:rPr>
          <w:rFonts w:ascii="Arial" w:hAnsi="Arial" w:cs="Arial"/>
          <w:b/>
          <w:bCs/>
        </w:rPr>
        <w:t>Kalischek</w:t>
      </w:r>
      <w:proofErr w:type="spellEnd"/>
      <w:r w:rsidRPr="00C521CB">
        <w:rPr>
          <w:rFonts w:ascii="Arial" w:hAnsi="Arial" w:cs="Arial"/>
          <w:b/>
          <w:bCs/>
        </w:rPr>
        <w:t xml:space="preserve">, N., Lang, N., Renier, C., Daudt, R. C., </w:t>
      </w:r>
      <w:proofErr w:type="spellStart"/>
      <w:r w:rsidRPr="00C521CB">
        <w:rPr>
          <w:rFonts w:ascii="Arial" w:hAnsi="Arial" w:cs="Arial"/>
          <w:b/>
          <w:bCs/>
        </w:rPr>
        <w:t>Addoah</w:t>
      </w:r>
      <w:proofErr w:type="spellEnd"/>
      <w:r w:rsidRPr="00C521CB">
        <w:rPr>
          <w:rFonts w:ascii="Arial" w:hAnsi="Arial" w:cs="Arial"/>
          <w:b/>
          <w:bCs/>
        </w:rPr>
        <w:t xml:space="preserve">, T., Thompson, W.&amp; Wegner, J. D. (2023). </w:t>
      </w:r>
      <w:r w:rsidRPr="009215F2">
        <w:rPr>
          <w:rFonts w:ascii="Arial" w:hAnsi="Arial" w:cs="Arial"/>
        </w:rPr>
        <w:t>Cocoa plantations are associated with deforestation in Côte d’Ivoire and Ghana. Nature Food, 4, 384</w:t>
      </w:r>
      <w:r w:rsidRPr="009215F2">
        <w:rPr>
          <w:rFonts w:ascii="Cambria Math" w:hAnsi="Cambria Math" w:cs="Cambria Math"/>
        </w:rPr>
        <w:t>‑</w:t>
      </w:r>
      <w:r w:rsidRPr="009215F2">
        <w:rPr>
          <w:rFonts w:ascii="Arial" w:hAnsi="Arial" w:cs="Arial"/>
        </w:rPr>
        <w:t xml:space="preserve">393. </w:t>
      </w:r>
      <w:hyperlink r:id="rId20" w:history="1">
        <w:r w:rsidR="009215F2" w:rsidRPr="004C0E2B">
          <w:rPr>
            <w:rStyle w:val="Hyperlink"/>
            <w:rFonts w:ascii="Arial" w:hAnsi="Arial" w:cs="Arial"/>
          </w:rPr>
          <w:t>https://doi.org/10.1038/s43016-023-00751-8</w:t>
        </w:r>
      </w:hyperlink>
    </w:p>
    <w:p w14:paraId="27FEAE7D" w14:textId="5D2EDA73" w:rsidR="00410A08" w:rsidRPr="00410A08" w:rsidRDefault="00410A08" w:rsidP="009215F2">
      <w:pPr>
        <w:pStyle w:val="Body"/>
        <w:ind w:left="567" w:hanging="567"/>
        <w:rPr>
          <w:rFonts w:ascii="Arial" w:hAnsi="Arial" w:cs="Arial"/>
        </w:rPr>
      </w:pPr>
      <w:r w:rsidRPr="009215F2">
        <w:rPr>
          <w:rFonts w:ascii="Arial" w:hAnsi="Arial" w:cs="Arial"/>
          <w:b/>
          <w:bCs/>
        </w:rPr>
        <w:t xml:space="preserve">Koffi, B., Brou, A. L., Kouadio, K. J. O., </w:t>
      </w:r>
      <w:proofErr w:type="spellStart"/>
      <w:r w:rsidRPr="009215F2">
        <w:rPr>
          <w:rFonts w:ascii="Arial" w:hAnsi="Arial" w:cs="Arial"/>
          <w:b/>
          <w:bCs/>
        </w:rPr>
        <w:t>Ebodé</w:t>
      </w:r>
      <w:proofErr w:type="spellEnd"/>
      <w:r w:rsidRPr="009215F2">
        <w:rPr>
          <w:rFonts w:ascii="Arial" w:hAnsi="Arial" w:cs="Arial"/>
          <w:b/>
          <w:bCs/>
        </w:rPr>
        <w:t xml:space="preserve">, V. B., N’Guessan, K. J.-Y., </w:t>
      </w:r>
      <w:proofErr w:type="spellStart"/>
      <w:r w:rsidRPr="009215F2">
        <w:rPr>
          <w:rFonts w:ascii="Arial" w:hAnsi="Arial" w:cs="Arial"/>
          <w:b/>
          <w:bCs/>
        </w:rPr>
        <w:t>Yangouliba</w:t>
      </w:r>
      <w:proofErr w:type="spellEnd"/>
      <w:r w:rsidRPr="009215F2">
        <w:rPr>
          <w:rFonts w:ascii="Arial" w:hAnsi="Arial" w:cs="Arial"/>
          <w:b/>
          <w:bCs/>
        </w:rPr>
        <w:t xml:space="preserve">, G. I. &amp; Kouassi, K. L. (2023). </w:t>
      </w:r>
      <w:r w:rsidRPr="00410A08">
        <w:rPr>
          <w:rFonts w:ascii="Arial" w:hAnsi="Arial" w:cs="Arial"/>
        </w:rPr>
        <w:t>Impact of climate and land use/land cover change on Lobo reservoir inflow, West</w:t>
      </w:r>
      <w:r w:rsidRPr="00410A08">
        <w:rPr>
          <w:rFonts w:ascii="Cambria Math" w:hAnsi="Cambria Math" w:cs="Cambria Math"/>
        </w:rPr>
        <w:t>‑</w:t>
      </w:r>
      <w:r w:rsidRPr="00410A08">
        <w:rPr>
          <w:rFonts w:ascii="Arial" w:hAnsi="Arial" w:cs="Arial"/>
        </w:rPr>
        <w:t xml:space="preserve">Central of Côte d’Ivoire. Journal of Hydrology: Regional Studies, 47, </w:t>
      </w:r>
      <w:hyperlink r:id="rId21" w:history="1">
        <w:r w:rsidRPr="004C0E2B">
          <w:rPr>
            <w:rStyle w:val="Hyperlink"/>
            <w:rFonts w:ascii="Arial" w:hAnsi="Arial" w:cs="Arial"/>
          </w:rPr>
          <w:t>https://doi.org/10.1016/j.ejrh.2023.101417</w:t>
        </w:r>
      </w:hyperlink>
    </w:p>
    <w:p w14:paraId="56B90C65" w14:textId="18485BD0" w:rsidR="00410A08" w:rsidRPr="00263A52" w:rsidRDefault="00410A08" w:rsidP="005B7E23">
      <w:pPr>
        <w:pStyle w:val="Body"/>
        <w:ind w:left="567" w:hanging="567"/>
        <w:rPr>
          <w:lang w:val="nl-BE"/>
        </w:rPr>
      </w:pPr>
      <w:r w:rsidRPr="00E440FE">
        <w:rPr>
          <w:rFonts w:ascii="Arial" w:hAnsi="Arial" w:cs="Arial"/>
          <w:b/>
          <w:bCs/>
        </w:rPr>
        <w:t xml:space="preserve">Koffi, E. S., Dao, A., Noufe, D. D., Ouedraogo, M., Yeo, N. B., </w:t>
      </w:r>
      <w:proofErr w:type="spellStart"/>
      <w:r w:rsidRPr="00E440FE">
        <w:rPr>
          <w:rFonts w:ascii="Arial" w:hAnsi="Arial" w:cs="Arial"/>
          <w:b/>
          <w:bCs/>
        </w:rPr>
        <w:t>Seguis</w:t>
      </w:r>
      <w:proofErr w:type="spellEnd"/>
      <w:r w:rsidRPr="00E440FE">
        <w:rPr>
          <w:rFonts w:ascii="Arial" w:hAnsi="Arial" w:cs="Arial"/>
          <w:b/>
          <w:bCs/>
        </w:rPr>
        <w:t>, L., Perrin, J. L., Kamagate, B., &amp; Gone, L. D. (2024)</w:t>
      </w:r>
      <w:r w:rsidRPr="00E440FE">
        <w:rPr>
          <w:rFonts w:ascii="Arial" w:hAnsi="Arial" w:cs="Arial"/>
        </w:rPr>
        <w:t xml:space="preserve">. Dynamics of Water Erosion in the </w:t>
      </w:r>
      <w:proofErr w:type="spellStart"/>
      <w:r w:rsidRPr="00E440FE">
        <w:rPr>
          <w:rFonts w:ascii="Arial" w:hAnsi="Arial" w:cs="Arial"/>
        </w:rPr>
        <w:t>Aghien</w:t>
      </w:r>
      <w:proofErr w:type="spellEnd"/>
      <w:r w:rsidRPr="00E440FE">
        <w:rPr>
          <w:rFonts w:ascii="Arial" w:hAnsi="Arial" w:cs="Arial"/>
        </w:rPr>
        <w:t xml:space="preserve"> Lagoon Catchment. </w:t>
      </w:r>
      <w:r w:rsidRPr="00E440FE">
        <w:rPr>
          <w:rFonts w:ascii="Arial" w:hAnsi="Arial" w:cs="Arial"/>
          <w:i/>
          <w:iCs/>
        </w:rPr>
        <w:t>European Scientific Journal, ESJ</w:t>
      </w:r>
      <w:r w:rsidRPr="00E440FE">
        <w:rPr>
          <w:rFonts w:ascii="Arial" w:hAnsi="Arial" w:cs="Arial"/>
        </w:rPr>
        <w:t>, </w:t>
      </w:r>
      <w:r w:rsidRPr="00E440FE">
        <w:rPr>
          <w:rFonts w:ascii="Arial" w:hAnsi="Arial" w:cs="Arial"/>
          <w:i/>
          <w:iCs/>
        </w:rPr>
        <w:t>20</w:t>
      </w:r>
      <w:r w:rsidRPr="00E440FE">
        <w:rPr>
          <w:rFonts w:ascii="Arial" w:hAnsi="Arial" w:cs="Arial"/>
        </w:rPr>
        <w:t>(33), 187.</w:t>
      </w:r>
      <w:r w:rsidR="005B7E23">
        <w:rPr>
          <w:rFonts w:ascii="Arial" w:hAnsi="Arial" w:cs="Arial"/>
        </w:rPr>
        <w:t xml:space="preserve"> </w:t>
      </w:r>
      <w:hyperlink r:id="rId22" w:history="1">
        <w:r w:rsidR="005B7E23" w:rsidRPr="005B7E23">
          <w:rPr>
            <w:rStyle w:val="Hyperlink"/>
            <w:rFonts w:ascii="Arial" w:hAnsi="Arial" w:cs="Arial"/>
            <w:lang w:val="fr-CI"/>
          </w:rPr>
          <w:t>https://doi.org/10.19044/esj.2024.v20n33p187</w:t>
        </w:r>
      </w:hyperlink>
    </w:p>
    <w:p w14:paraId="5EE7D3B7" w14:textId="6A8A2889" w:rsidR="007B17AD" w:rsidRDefault="007B17AD" w:rsidP="005B7E23">
      <w:pPr>
        <w:pStyle w:val="Body"/>
        <w:ind w:left="567" w:hanging="567"/>
        <w:rPr>
          <w:rFonts w:ascii="Arial" w:hAnsi="Arial" w:cs="Arial"/>
          <w:lang w:val="fr-CI"/>
        </w:rPr>
      </w:pPr>
      <w:r w:rsidRPr="00263A52">
        <w:rPr>
          <w:rFonts w:ascii="Arial" w:hAnsi="Arial" w:cs="Arial"/>
          <w:b/>
          <w:bCs/>
          <w:lang w:val="nl-BE"/>
        </w:rPr>
        <w:t>Konan-Waidhet, A. B., Kouassi, H. K., &amp; Kanga, K. E. (2022).</w:t>
      </w:r>
      <w:r w:rsidRPr="00263A52">
        <w:rPr>
          <w:rFonts w:ascii="Arial" w:hAnsi="Arial" w:cs="Arial"/>
          <w:lang w:val="nl-BE"/>
        </w:rPr>
        <w:t xml:space="preserve"> </w:t>
      </w:r>
      <w:r w:rsidRPr="007B17AD">
        <w:rPr>
          <w:rFonts w:ascii="Arial" w:hAnsi="Arial" w:cs="Arial"/>
        </w:rPr>
        <w:t xml:space="preserve">Land Use Dynamics in the Department of </w:t>
      </w:r>
      <w:proofErr w:type="spellStart"/>
      <w:r w:rsidRPr="007B17AD">
        <w:rPr>
          <w:rFonts w:ascii="Arial" w:hAnsi="Arial" w:cs="Arial"/>
        </w:rPr>
        <w:t>Séguéla</w:t>
      </w:r>
      <w:proofErr w:type="spellEnd"/>
      <w:r w:rsidRPr="007B17AD">
        <w:rPr>
          <w:rFonts w:ascii="Arial" w:hAnsi="Arial" w:cs="Arial"/>
        </w:rPr>
        <w:t xml:space="preserve">, Northwestern Côte D’Ivoire. </w:t>
      </w:r>
      <w:proofErr w:type="spellStart"/>
      <w:r w:rsidRPr="007B17AD">
        <w:rPr>
          <w:rFonts w:ascii="Arial" w:hAnsi="Arial" w:cs="Arial"/>
          <w:lang w:val="fr-CI"/>
        </w:rPr>
        <w:t>Advances</w:t>
      </w:r>
      <w:proofErr w:type="spellEnd"/>
      <w:r w:rsidRPr="007B17AD">
        <w:rPr>
          <w:rFonts w:ascii="Arial" w:hAnsi="Arial" w:cs="Arial"/>
          <w:lang w:val="fr-CI"/>
        </w:rPr>
        <w:t xml:space="preserve"> in </w:t>
      </w:r>
      <w:proofErr w:type="spellStart"/>
      <w:r w:rsidRPr="007B17AD">
        <w:rPr>
          <w:rFonts w:ascii="Arial" w:hAnsi="Arial" w:cs="Arial"/>
          <w:lang w:val="fr-CI"/>
        </w:rPr>
        <w:t>Remote</w:t>
      </w:r>
      <w:proofErr w:type="spellEnd"/>
      <w:r w:rsidRPr="007B17AD">
        <w:rPr>
          <w:rFonts w:ascii="Arial" w:hAnsi="Arial" w:cs="Arial"/>
          <w:lang w:val="fr-CI"/>
        </w:rPr>
        <w:t xml:space="preserve"> </w:t>
      </w:r>
      <w:proofErr w:type="spellStart"/>
      <w:r w:rsidRPr="007B17AD">
        <w:rPr>
          <w:rFonts w:ascii="Arial" w:hAnsi="Arial" w:cs="Arial"/>
          <w:lang w:val="fr-CI"/>
        </w:rPr>
        <w:t>Sensing</w:t>
      </w:r>
      <w:proofErr w:type="spellEnd"/>
      <w:r w:rsidRPr="007B17AD">
        <w:rPr>
          <w:rFonts w:ascii="Arial" w:hAnsi="Arial" w:cs="Arial"/>
          <w:lang w:val="fr-CI"/>
        </w:rPr>
        <w:t xml:space="preserve">, 11(3), 63-79. </w:t>
      </w:r>
      <w:hyperlink r:id="rId23" w:history="1">
        <w:r w:rsidR="00FF5E5E" w:rsidRPr="00487B94">
          <w:rPr>
            <w:rStyle w:val="Hyperlink"/>
            <w:rFonts w:ascii="Arial" w:hAnsi="Arial" w:cs="Arial"/>
            <w:lang w:val="fr-CI"/>
          </w:rPr>
          <w:t>https://doi.org/10.4236/ars.2022.113005</w:t>
        </w:r>
      </w:hyperlink>
    </w:p>
    <w:p w14:paraId="4918BA31" w14:textId="77777777" w:rsidR="00410A08" w:rsidRDefault="00410A08" w:rsidP="00BE0B5A">
      <w:pPr>
        <w:pStyle w:val="Body"/>
        <w:ind w:left="567" w:hanging="567"/>
        <w:rPr>
          <w:rFonts w:ascii="Arial" w:hAnsi="Arial" w:cs="Arial"/>
          <w:lang w:val="fr-CI"/>
        </w:rPr>
      </w:pPr>
      <w:r w:rsidRPr="00BE0B5A">
        <w:rPr>
          <w:rFonts w:ascii="Arial" w:hAnsi="Arial" w:cs="Arial"/>
          <w:b/>
          <w:bCs/>
          <w:lang w:val="fr-CI"/>
        </w:rPr>
        <w:t xml:space="preserve">Kouassi, A. M., </w:t>
      </w:r>
      <w:proofErr w:type="spellStart"/>
      <w:r w:rsidRPr="00BE0B5A">
        <w:rPr>
          <w:rFonts w:ascii="Arial" w:hAnsi="Arial" w:cs="Arial"/>
          <w:b/>
          <w:bCs/>
          <w:lang w:val="fr-CI"/>
        </w:rPr>
        <w:t>Assoko</w:t>
      </w:r>
      <w:proofErr w:type="spellEnd"/>
      <w:r w:rsidRPr="00BE0B5A">
        <w:rPr>
          <w:rFonts w:ascii="Arial" w:hAnsi="Arial" w:cs="Arial"/>
          <w:b/>
          <w:bCs/>
          <w:lang w:val="fr-CI"/>
        </w:rPr>
        <w:t xml:space="preserve">, A. V. S., Kouakou, K. E., &amp; </w:t>
      </w:r>
      <w:proofErr w:type="spellStart"/>
      <w:r w:rsidRPr="00BE0B5A">
        <w:rPr>
          <w:rFonts w:ascii="Arial" w:hAnsi="Arial" w:cs="Arial"/>
          <w:b/>
          <w:bCs/>
          <w:lang w:val="fr-CI"/>
        </w:rPr>
        <w:t>Biémi</w:t>
      </w:r>
      <w:proofErr w:type="spellEnd"/>
      <w:r w:rsidRPr="00BE0B5A">
        <w:rPr>
          <w:rFonts w:ascii="Arial" w:hAnsi="Arial" w:cs="Arial"/>
          <w:b/>
          <w:bCs/>
          <w:lang w:val="fr-CI"/>
        </w:rPr>
        <w:t>, J. (2019).</w:t>
      </w:r>
      <w:r w:rsidRPr="00BE0B5A">
        <w:rPr>
          <w:rFonts w:ascii="Arial" w:hAnsi="Arial" w:cs="Arial"/>
          <w:lang w:val="fr-CI"/>
        </w:rPr>
        <w:t xml:space="preserve"> Analyse des impacts des changements climatiques sur les normes hydrologiques en Afrique de l’Ouest : cas du district d’Abidjan (sud de la Côte d’Ivoire). Revue des Sciences de l’Eau / Journal of Water Science, 32(3), 257–272. </w:t>
      </w:r>
      <w:hyperlink r:id="rId24" w:history="1">
        <w:r w:rsidRPr="004C0E2B">
          <w:rPr>
            <w:rStyle w:val="Hyperlink"/>
            <w:rFonts w:ascii="Arial" w:hAnsi="Arial" w:cs="Arial"/>
            <w:lang w:val="fr-CI"/>
          </w:rPr>
          <w:t>https://www.erudit.org/fr/revues/rseau/2019-v32-n3-rseau05058/1067305ar/</w:t>
        </w:r>
      </w:hyperlink>
    </w:p>
    <w:p w14:paraId="54ABD253" w14:textId="7A7F4BFB" w:rsidR="00410A08" w:rsidRDefault="00410A08" w:rsidP="00410A08">
      <w:pPr>
        <w:pStyle w:val="Body"/>
        <w:ind w:left="567" w:hanging="567"/>
        <w:rPr>
          <w:rFonts w:ascii="Arial" w:hAnsi="Arial" w:cs="Arial"/>
        </w:rPr>
      </w:pPr>
      <w:r w:rsidRPr="00FF5E5E">
        <w:rPr>
          <w:rFonts w:ascii="Arial" w:hAnsi="Arial" w:cs="Arial"/>
          <w:b/>
          <w:bCs/>
          <w:lang w:val="fr-CI"/>
        </w:rPr>
        <w:t xml:space="preserve">Kouassi, A. M., </w:t>
      </w:r>
      <w:proofErr w:type="spellStart"/>
      <w:r w:rsidRPr="00FF5E5E">
        <w:rPr>
          <w:rFonts w:ascii="Arial" w:hAnsi="Arial" w:cs="Arial"/>
          <w:b/>
          <w:bCs/>
          <w:lang w:val="fr-CI"/>
        </w:rPr>
        <w:t>Gnangouin</w:t>
      </w:r>
      <w:proofErr w:type="spellEnd"/>
      <w:r w:rsidRPr="00FF5E5E">
        <w:rPr>
          <w:rFonts w:ascii="Arial" w:hAnsi="Arial" w:cs="Arial"/>
          <w:b/>
          <w:bCs/>
          <w:lang w:val="fr-CI"/>
        </w:rPr>
        <w:t xml:space="preserve">, A. Y. J., &amp; </w:t>
      </w:r>
      <w:proofErr w:type="spellStart"/>
      <w:r w:rsidRPr="00FF5E5E">
        <w:rPr>
          <w:rFonts w:ascii="Arial" w:hAnsi="Arial" w:cs="Arial"/>
          <w:b/>
          <w:bCs/>
          <w:lang w:val="fr-CI"/>
        </w:rPr>
        <w:t>Relwindé</w:t>
      </w:r>
      <w:proofErr w:type="spellEnd"/>
      <w:r w:rsidRPr="00FF5E5E">
        <w:rPr>
          <w:rFonts w:ascii="Arial" w:hAnsi="Arial" w:cs="Arial"/>
          <w:b/>
          <w:bCs/>
          <w:lang w:val="fr-CI"/>
        </w:rPr>
        <w:t>, N. A.-K. (2022</w:t>
      </w:r>
      <w:r w:rsidR="001D324E" w:rsidRPr="00FF5E5E">
        <w:rPr>
          <w:rFonts w:ascii="Arial" w:hAnsi="Arial" w:cs="Arial"/>
          <w:b/>
          <w:bCs/>
          <w:lang w:val="fr-CI"/>
        </w:rPr>
        <w:t>a</w:t>
      </w:r>
      <w:r w:rsidRPr="00FF5E5E">
        <w:rPr>
          <w:rFonts w:ascii="Arial" w:hAnsi="Arial" w:cs="Arial"/>
          <w:b/>
          <w:bCs/>
          <w:lang w:val="fr-CI"/>
        </w:rPr>
        <w:t>).</w:t>
      </w:r>
      <w:r w:rsidRPr="00FF5E5E">
        <w:rPr>
          <w:rFonts w:ascii="Arial" w:hAnsi="Arial" w:cs="Arial"/>
          <w:lang w:val="fr-CI"/>
        </w:rPr>
        <w:t xml:space="preserve"> </w:t>
      </w:r>
      <w:r w:rsidRPr="00FF5E5E">
        <w:rPr>
          <w:rFonts w:ascii="Arial" w:hAnsi="Arial" w:cs="Arial"/>
        </w:rPr>
        <w:t xml:space="preserve">Impacts of climate change on agroclimatic indicators in West Africa: Case study of the </w:t>
      </w:r>
      <w:proofErr w:type="spellStart"/>
      <w:r w:rsidRPr="00FF5E5E">
        <w:rPr>
          <w:rFonts w:ascii="Arial" w:hAnsi="Arial" w:cs="Arial"/>
        </w:rPr>
        <w:t>N’Zi</w:t>
      </w:r>
      <w:proofErr w:type="spellEnd"/>
      <w:r w:rsidRPr="00FF5E5E">
        <w:rPr>
          <w:rFonts w:ascii="Arial" w:hAnsi="Arial" w:cs="Arial"/>
        </w:rPr>
        <w:t xml:space="preserve"> (</w:t>
      </w:r>
      <w:proofErr w:type="spellStart"/>
      <w:r w:rsidRPr="00FF5E5E">
        <w:rPr>
          <w:rFonts w:ascii="Arial" w:hAnsi="Arial" w:cs="Arial"/>
        </w:rPr>
        <w:t>Bandama</w:t>
      </w:r>
      <w:proofErr w:type="spellEnd"/>
      <w:r w:rsidRPr="00FF5E5E">
        <w:rPr>
          <w:rFonts w:ascii="Arial" w:hAnsi="Arial" w:cs="Arial"/>
        </w:rPr>
        <w:t xml:space="preserve">) watershed in Côte d’Ivoire. Current Journal of Applied Science and Technology, 41(43), 35–48. </w:t>
      </w:r>
      <w:hyperlink r:id="rId25" w:history="1">
        <w:r w:rsidRPr="00FF5E5E">
          <w:rPr>
            <w:rStyle w:val="Hyperlink"/>
            <w:rFonts w:ascii="Arial" w:hAnsi="Arial" w:cs="Arial"/>
          </w:rPr>
          <w:t>https://doi.org/10.9734/cjast/2022/v41i434006</w:t>
        </w:r>
      </w:hyperlink>
    </w:p>
    <w:p w14:paraId="5EB0A2E7" w14:textId="6B640A41" w:rsidR="00410A08" w:rsidRPr="00FF5E5E" w:rsidRDefault="00410A08" w:rsidP="00A6546F">
      <w:pPr>
        <w:pStyle w:val="Body"/>
        <w:ind w:left="567" w:hanging="567"/>
        <w:rPr>
          <w:rFonts w:ascii="Arial" w:hAnsi="Arial" w:cs="Arial"/>
        </w:rPr>
      </w:pPr>
      <w:r w:rsidRPr="00A6546F">
        <w:rPr>
          <w:rFonts w:ascii="Arial" w:hAnsi="Arial" w:cs="Arial"/>
          <w:b/>
          <w:bCs/>
        </w:rPr>
        <w:t>Kouassi, C. J. A., Qian, C., Khan, D., Achille, L. S., Kebin, Z., Omifolaji, J. K., Ya, T., &amp; Yang, X. (2024).</w:t>
      </w:r>
      <w:r w:rsidRPr="00BE0B5A">
        <w:rPr>
          <w:rFonts w:ascii="Arial" w:hAnsi="Arial" w:cs="Arial"/>
        </w:rPr>
        <w:t xml:space="preserve"> Land use/land cover change mapping from Sentinel-1B &amp; 2A imagery using random forest algorithm in Côte d’Ivoire. Geodesy and Cartography, 50(1), 43–</w:t>
      </w:r>
      <w:r w:rsidRPr="00FF5E5E">
        <w:rPr>
          <w:rFonts w:ascii="Arial" w:hAnsi="Arial" w:cs="Arial"/>
        </w:rPr>
        <w:t xml:space="preserve">59. </w:t>
      </w:r>
      <w:hyperlink r:id="rId26" w:history="1">
        <w:r w:rsidR="00A6546F" w:rsidRPr="00FF5E5E">
          <w:rPr>
            <w:rStyle w:val="Hyperlink"/>
            <w:rFonts w:ascii="Arial" w:hAnsi="Arial" w:cs="Arial"/>
          </w:rPr>
          <w:t>https://doi.org/10.3846/gac.2024.18724</w:t>
        </w:r>
      </w:hyperlink>
    </w:p>
    <w:p w14:paraId="39664F36" w14:textId="111B7055" w:rsidR="00410A08" w:rsidRPr="00263A52" w:rsidRDefault="00410A08" w:rsidP="00A6546F">
      <w:pPr>
        <w:pStyle w:val="Body"/>
        <w:ind w:left="567" w:hanging="567"/>
        <w:rPr>
          <w:rFonts w:ascii="Arial" w:hAnsi="Arial" w:cs="Arial"/>
          <w:lang w:val="nl-BE"/>
        </w:rPr>
      </w:pPr>
      <w:r w:rsidRPr="00FF5E5E">
        <w:rPr>
          <w:rFonts w:ascii="Arial" w:hAnsi="Arial" w:cs="Arial"/>
          <w:b/>
          <w:bCs/>
        </w:rPr>
        <w:t xml:space="preserve">Kouassi, J.-L., </w:t>
      </w:r>
      <w:proofErr w:type="spellStart"/>
      <w:r w:rsidRPr="00FF5E5E">
        <w:rPr>
          <w:rFonts w:ascii="Arial" w:hAnsi="Arial" w:cs="Arial"/>
          <w:b/>
          <w:bCs/>
        </w:rPr>
        <w:t>Gyau</w:t>
      </w:r>
      <w:proofErr w:type="spellEnd"/>
      <w:r w:rsidRPr="00FF5E5E">
        <w:rPr>
          <w:rFonts w:ascii="Arial" w:hAnsi="Arial" w:cs="Arial"/>
          <w:b/>
          <w:bCs/>
        </w:rPr>
        <w:t xml:space="preserve">, A., Diby, L., Bene, Y., &amp; </w:t>
      </w:r>
      <w:proofErr w:type="spellStart"/>
      <w:r w:rsidRPr="00FF5E5E">
        <w:rPr>
          <w:rFonts w:ascii="Arial" w:hAnsi="Arial" w:cs="Arial"/>
          <w:b/>
          <w:bCs/>
        </w:rPr>
        <w:t>Kouamé</w:t>
      </w:r>
      <w:proofErr w:type="spellEnd"/>
      <w:r w:rsidRPr="00FF5E5E">
        <w:rPr>
          <w:rFonts w:ascii="Arial" w:hAnsi="Arial" w:cs="Arial"/>
          <w:b/>
          <w:bCs/>
        </w:rPr>
        <w:t>, C. (2021).</w:t>
      </w:r>
      <w:r w:rsidRPr="00FF5E5E">
        <w:rPr>
          <w:rFonts w:ascii="Arial" w:hAnsi="Arial" w:cs="Arial"/>
        </w:rPr>
        <w:t xml:space="preserve"> Assessing land use and land cover change and farmers’ perceptions of deforestation and land degradation in south-west Côte d’Ivoire, West Africa. </w:t>
      </w:r>
      <w:r w:rsidRPr="00263A52">
        <w:rPr>
          <w:rFonts w:ascii="Arial" w:hAnsi="Arial" w:cs="Arial"/>
          <w:lang w:val="nl-BE"/>
        </w:rPr>
        <w:t xml:space="preserve">Land, 10(4), 429. </w:t>
      </w:r>
      <w:hyperlink r:id="rId27" w:history="1">
        <w:r w:rsidR="00A6546F" w:rsidRPr="00263A52">
          <w:rPr>
            <w:rStyle w:val="Hyperlink"/>
            <w:rFonts w:ascii="Arial" w:hAnsi="Arial" w:cs="Arial"/>
            <w:lang w:val="nl-BE"/>
          </w:rPr>
          <w:t>https://doi.org/10.3390/land10040429</w:t>
        </w:r>
      </w:hyperlink>
    </w:p>
    <w:p w14:paraId="16B2BB75" w14:textId="10D1A96A" w:rsidR="009215F2" w:rsidRDefault="00410A08" w:rsidP="000B0584">
      <w:pPr>
        <w:pStyle w:val="Body"/>
        <w:ind w:left="567" w:hanging="567"/>
      </w:pPr>
      <w:r w:rsidRPr="00263A52">
        <w:rPr>
          <w:rFonts w:ascii="Arial" w:hAnsi="Arial" w:cs="Arial"/>
          <w:b/>
          <w:bCs/>
          <w:lang w:val="nl-BE"/>
        </w:rPr>
        <w:t>Kouassi, J.-L., Wandan, N., &amp; Mbow, C. (2022</w:t>
      </w:r>
      <w:r w:rsidR="001D324E" w:rsidRPr="00263A52">
        <w:rPr>
          <w:rFonts w:ascii="Arial" w:hAnsi="Arial" w:cs="Arial"/>
          <w:b/>
          <w:bCs/>
          <w:lang w:val="nl-BE"/>
        </w:rPr>
        <w:t>b</w:t>
      </w:r>
      <w:r w:rsidRPr="00263A52">
        <w:rPr>
          <w:rFonts w:ascii="Arial" w:hAnsi="Arial" w:cs="Arial"/>
          <w:b/>
          <w:bCs/>
          <w:lang w:val="nl-BE"/>
        </w:rPr>
        <w:t>)</w:t>
      </w:r>
      <w:r w:rsidRPr="00263A52">
        <w:rPr>
          <w:rFonts w:ascii="Arial" w:hAnsi="Arial" w:cs="Arial"/>
          <w:lang w:val="nl-BE"/>
        </w:rPr>
        <w:t xml:space="preserve">. </w:t>
      </w:r>
      <w:r w:rsidRPr="00FF5E5E">
        <w:rPr>
          <w:rFonts w:ascii="Arial" w:hAnsi="Arial" w:cs="Arial"/>
        </w:rPr>
        <w:t xml:space="preserve">Observed climate trends, perceived impacts and community adaptation practices in Côte d’Ivoire. Environmental &amp; Socio-economic Studies, 10(3), 43–58. </w:t>
      </w:r>
      <w:hyperlink r:id="rId28" w:history="1">
        <w:r w:rsidRPr="00FF5E5E">
          <w:rPr>
            <w:rStyle w:val="Hyperlink"/>
            <w:rFonts w:ascii="Arial" w:hAnsi="Arial" w:cs="Arial"/>
          </w:rPr>
          <w:t>https://doi.org/10.2478/environ-2022-0016</w:t>
        </w:r>
      </w:hyperlink>
    </w:p>
    <w:p w14:paraId="175498FF" w14:textId="1171D097" w:rsidR="00F23F7F" w:rsidRDefault="00F23F7F" w:rsidP="00F23F7F">
      <w:pPr>
        <w:pStyle w:val="Body"/>
        <w:ind w:left="567" w:hanging="567"/>
      </w:pPr>
      <w:proofErr w:type="spellStart"/>
      <w:r w:rsidRPr="00F23F7F">
        <w:rPr>
          <w:b/>
          <w:bCs/>
        </w:rPr>
        <w:t>Kouassi</w:t>
      </w:r>
      <w:proofErr w:type="spellEnd"/>
      <w:r w:rsidRPr="00F23F7F">
        <w:rPr>
          <w:b/>
          <w:bCs/>
        </w:rPr>
        <w:t>, K.H., Konan-</w:t>
      </w:r>
      <w:proofErr w:type="spellStart"/>
      <w:r w:rsidRPr="00F23F7F">
        <w:rPr>
          <w:b/>
          <w:bCs/>
        </w:rPr>
        <w:t>Waidhet</w:t>
      </w:r>
      <w:proofErr w:type="spellEnd"/>
      <w:r w:rsidRPr="00F23F7F">
        <w:rPr>
          <w:b/>
          <w:bCs/>
        </w:rPr>
        <w:t>, A.B., Yao, A.B., Koffi, B. and Kadjo, E.D. (2020)</w:t>
      </w:r>
      <w:r>
        <w:t xml:space="preserve"> Simulation of the Dynamics of Land Cover and Land Use in the Lobo River Watershed Upstream of </w:t>
      </w:r>
      <w:proofErr w:type="spellStart"/>
      <w:r>
        <w:t>Nibéhibé</w:t>
      </w:r>
      <w:proofErr w:type="spellEnd"/>
      <w:r>
        <w:t xml:space="preserve"> (Center-West of Côte d’Ivoire). Journal of Geographic Information System, 12, 519-530. </w:t>
      </w:r>
      <w:hyperlink r:id="rId29" w:history="1">
        <w:r w:rsidRPr="00487B94">
          <w:rPr>
            <w:rStyle w:val="Hyperlink"/>
          </w:rPr>
          <w:t>https://doi.org/10.4236/jgis.2020.125030</w:t>
        </w:r>
      </w:hyperlink>
    </w:p>
    <w:p w14:paraId="38B5E10F" w14:textId="30B02C7A" w:rsidR="00FF5E5E" w:rsidRPr="00263A52" w:rsidRDefault="00FF5E5E" w:rsidP="00FF5E5E">
      <w:pPr>
        <w:ind w:left="567" w:hanging="567"/>
        <w:jc w:val="both"/>
        <w:rPr>
          <w:rFonts w:ascii="Arial" w:hAnsi="Arial" w:cs="Arial"/>
          <w:lang w:val="nl-BE"/>
        </w:rPr>
      </w:pPr>
      <w:r w:rsidRPr="00FF5E5E">
        <w:rPr>
          <w:rFonts w:ascii="Arial" w:hAnsi="Arial" w:cs="Arial"/>
          <w:b/>
          <w:bCs/>
        </w:rPr>
        <w:lastRenderedPageBreak/>
        <w:t>McHugh, M. L. (2012).</w:t>
      </w:r>
      <w:r w:rsidRPr="00FF5E5E">
        <w:rPr>
          <w:rFonts w:ascii="Arial" w:hAnsi="Arial" w:cs="Arial"/>
        </w:rPr>
        <w:t xml:space="preserve"> Interrater reliability: The kappa statistic. </w:t>
      </w:r>
      <w:r w:rsidRPr="00263A52">
        <w:rPr>
          <w:rFonts w:ascii="Arial" w:hAnsi="Arial" w:cs="Arial"/>
          <w:lang w:val="nl-BE"/>
        </w:rPr>
        <w:t xml:space="preserve">Biochemia Medica, 22(3), 276–282. </w:t>
      </w:r>
      <w:hyperlink r:id="rId30" w:history="1">
        <w:r w:rsidRPr="00263A52">
          <w:rPr>
            <w:rStyle w:val="Hyperlink"/>
            <w:rFonts w:ascii="Arial" w:hAnsi="Arial" w:cs="Arial"/>
            <w:lang w:val="nl-BE"/>
          </w:rPr>
          <w:t>https://doi.org/10.11613/BM.2012.031</w:t>
        </w:r>
      </w:hyperlink>
      <w:r w:rsidRPr="00263A52">
        <w:rPr>
          <w:rFonts w:ascii="Arial" w:hAnsi="Arial" w:cs="Arial"/>
          <w:lang w:val="nl-BE"/>
        </w:rPr>
        <w:t>.</w:t>
      </w:r>
    </w:p>
    <w:p w14:paraId="611048CC" w14:textId="77777777" w:rsidR="00FF5E5E" w:rsidRPr="00263A52" w:rsidRDefault="00FF5E5E" w:rsidP="00A6546F">
      <w:pPr>
        <w:ind w:left="567" w:hanging="709"/>
        <w:jc w:val="both"/>
        <w:rPr>
          <w:rFonts w:ascii="Arial" w:hAnsi="Arial" w:cs="Arial"/>
          <w:lang w:val="nl-BE"/>
        </w:rPr>
      </w:pPr>
    </w:p>
    <w:p w14:paraId="309869FE" w14:textId="701B4418" w:rsidR="00A6546F" w:rsidRPr="009215F2" w:rsidRDefault="009215F2" w:rsidP="00A6546F">
      <w:pPr>
        <w:ind w:left="567" w:hanging="709"/>
        <w:jc w:val="both"/>
        <w:rPr>
          <w:rFonts w:ascii="Arial" w:hAnsi="Arial" w:cs="Arial"/>
          <w:lang w:val="fr-CI"/>
        </w:rPr>
      </w:pPr>
      <w:r w:rsidRPr="00FF5E5E">
        <w:rPr>
          <w:rFonts w:ascii="Arial" w:hAnsi="Arial" w:cs="Arial"/>
          <w:b/>
          <w:bCs/>
          <w:lang w:val="fr-CI"/>
        </w:rPr>
        <w:t xml:space="preserve">Ouattara, T. A., Kouamé, K. F., </w:t>
      </w:r>
      <w:proofErr w:type="spellStart"/>
      <w:r w:rsidRPr="00FF5E5E">
        <w:rPr>
          <w:rFonts w:ascii="Arial" w:hAnsi="Arial" w:cs="Arial"/>
          <w:b/>
          <w:bCs/>
          <w:lang w:val="fr-CI"/>
        </w:rPr>
        <w:t>Zo</w:t>
      </w:r>
      <w:proofErr w:type="spellEnd"/>
      <w:r w:rsidRPr="00FF5E5E">
        <w:rPr>
          <w:rFonts w:ascii="Cambria Math" w:hAnsi="Cambria Math" w:cs="Cambria Math"/>
          <w:b/>
          <w:bCs/>
          <w:lang w:val="fr-CI"/>
        </w:rPr>
        <w:t>‑</w:t>
      </w:r>
      <w:r w:rsidRPr="00FF5E5E">
        <w:rPr>
          <w:rFonts w:ascii="Arial" w:hAnsi="Arial" w:cs="Arial"/>
          <w:b/>
          <w:bCs/>
          <w:lang w:val="fr-CI"/>
        </w:rPr>
        <w:t xml:space="preserve">Bi, I. C., Vaudry, R., &amp; </w:t>
      </w:r>
      <w:proofErr w:type="spellStart"/>
      <w:r w:rsidRPr="00FF5E5E">
        <w:rPr>
          <w:rFonts w:ascii="Arial" w:hAnsi="Arial" w:cs="Arial"/>
          <w:b/>
          <w:bCs/>
          <w:lang w:val="fr-CI"/>
        </w:rPr>
        <w:t>Grinand</w:t>
      </w:r>
      <w:proofErr w:type="spellEnd"/>
      <w:r w:rsidRPr="00FF5E5E">
        <w:rPr>
          <w:rFonts w:ascii="Arial" w:hAnsi="Arial" w:cs="Arial"/>
          <w:b/>
          <w:bCs/>
          <w:lang w:val="fr-CI"/>
        </w:rPr>
        <w:t>, C. (2021).</w:t>
      </w:r>
      <w:r w:rsidRPr="00FF5E5E">
        <w:rPr>
          <w:rFonts w:ascii="Arial" w:hAnsi="Arial" w:cs="Arial"/>
          <w:lang w:val="fr-CI"/>
        </w:rPr>
        <w:t xml:space="preserve"> </w:t>
      </w:r>
      <w:r w:rsidRPr="009215F2">
        <w:rPr>
          <w:rFonts w:ascii="Arial" w:hAnsi="Arial" w:cs="Arial"/>
          <w:lang w:val="fr-CI"/>
        </w:rPr>
        <w:t xml:space="preserve">Changements d’occupation et d’usage des terres entre 2016 et 2019 dans le Sud-Est de la Côte d’Ivoire : impact des cultures de rente sur la forêt. </w:t>
      </w:r>
      <w:r w:rsidRPr="0003134F">
        <w:rPr>
          <w:rFonts w:ascii="Arial" w:hAnsi="Arial" w:cs="Arial"/>
          <w:lang w:val="fr-CI"/>
        </w:rPr>
        <w:t>Bois et Forêts des Tropiques, 347, 89</w:t>
      </w:r>
      <w:r w:rsidRPr="0003134F">
        <w:rPr>
          <w:rFonts w:ascii="Cambria Math" w:hAnsi="Cambria Math" w:cs="Cambria Math"/>
          <w:lang w:val="fr-CI"/>
        </w:rPr>
        <w:t>‑</w:t>
      </w:r>
      <w:r w:rsidRPr="0003134F">
        <w:rPr>
          <w:rFonts w:ascii="Arial" w:hAnsi="Arial" w:cs="Arial"/>
          <w:lang w:val="fr-CI"/>
        </w:rPr>
        <w:t xml:space="preserve">104. </w:t>
      </w:r>
      <w:hyperlink r:id="rId31" w:history="1">
        <w:r w:rsidRPr="009215F2">
          <w:rPr>
            <w:rStyle w:val="Hyperlink"/>
            <w:rFonts w:ascii="Arial" w:hAnsi="Arial" w:cs="Arial"/>
            <w:lang w:val="fr-CI"/>
          </w:rPr>
          <w:t>https://doi.org/10.19182/bft2021.347.a31868</w:t>
        </w:r>
      </w:hyperlink>
    </w:p>
    <w:p w14:paraId="5B508208" w14:textId="77777777" w:rsidR="009215F2" w:rsidRPr="009215F2" w:rsidRDefault="009215F2" w:rsidP="00A6546F">
      <w:pPr>
        <w:ind w:left="567" w:hanging="709"/>
        <w:jc w:val="both"/>
        <w:rPr>
          <w:rFonts w:ascii="Arial" w:hAnsi="Arial" w:cs="Arial"/>
          <w:lang w:val="fr-CI"/>
        </w:rPr>
      </w:pPr>
    </w:p>
    <w:p w14:paraId="4FFA4F98" w14:textId="40078CE0" w:rsidR="009215F2" w:rsidRDefault="009215F2" w:rsidP="009215F2">
      <w:pPr>
        <w:pStyle w:val="Body"/>
        <w:ind w:left="567" w:hanging="567"/>
        <w:rPr>
          <w:rFonts w:ascii="Arial" w:hAnsi="Arial" w:cs="Arial"/>
          <w:lang w:val="fr-CI"/>
        </w:rPr>
      </w:pPr>
      <w:proofErr w:type="spellStart"/>
      <w:r w:rsidRPr="009215F2">
        <w:rPr>
          <w:rFonts w:ascii="Arial" w:hAnsi="Arial" w:cs="Arial"/>
          <w:b/>
          <w:bCs/>
          <w:lang w:val="fr-CI"/>
        </w:rPr>
        <w:t>Ruf</w:t>
      </w:r>
      <w:proofErr w:type="spellEnd"/>
      <w:r w:rsidRPr="009215F2">
        <w:rPr>
          <w:rFonts w:ascii="Arial" w:hAnsi="Arial" w:cs="Arial"/>
          <w:b/>
          <w:bCs/>
          <w:lang w:val="fr-CI"/>
        </w:rPr>
        <w:t xml:space="preserve">, F., Koné, S., &amp; </w:t>
      </w:r>
      <w:proofErr w:type="spellStart"/>
      <w:r w:rsidRPr="009215F2">
        <w:rPr>
          <w:rFonts w:ascii="Arial" w:hAnsi="Arial" w:cs="Arial"/>
          <w:b/>
          <w:bCs/>
          <w:lang w:val="fr-CI"/>
        </w:rPr>
        <w:t>Bebo</w:t>
      </w:r>
      <w:proofErr w:type="spellEnd"/>
      <w:r w:rsidRPr="009215F2">
        <w:rPr>
          <w:rFonts w:ascii="Arial" w:hAnsi="Arial" w:cs="Arial"/>
          <w:b/>
          <w:bCs/>
          <w:lang w:val="fr-CI"/>
        </w:rPr>
        <w:t>, B. (2019).</w:t>
      </w:r>
      <w:r w:rsidRPr="009215F2">
        <w:rPr>
          <w:rFonts w:ascii="Arial" w:hAnsi="Arial" w:cs="Arial"/>
          <w:lang w:val="fr-CI"/>
        </w:rPr>
        <w:t xml:space="preserve"> Le boom de l’anacarde en Côte d’Ivoire : transition écologique et sociale des systèmes à base de coton et de cacao. Cahiers Agricultures, 28, article 21. </w:t>
      </w:r>
      <w:hyperlink r:id="rId32" w:history="1">
        <w:r w:rsidRPr="004C0E2B">
          <w:rPr>
            <w:rStyle w:val="Hyperlink"/>
            <w:rFonts w:ascii="Arial" w:hAnsi="Arial" w:cs="Arial"/>
            <w:lang w:val="fr-CI"/>
          </w:rPr>
          <w:t>https://doi.org/10.1051/cagri/2019019</w:t>
        </w:r>
      </w:hyperlink>
    </w:p>
    <w:p w14:paraId="3202FDC6" w14:textId="7CE43878" w:rsidR="00094B1E" w:rsidRDefault="00094B1E" w:rsidP="00094B1E">
      <w:pPr>
        <w:pStyle w:val="Body"/>
        <w:ind w:left="567" w:hanging="567"/>
        <w:rPr>
          <w:rFonts w:ascii="Arial" w:hAnsi="Arial" w:cs="Arial"/>
        </w:rPr>
      </w:pPr>
      <w:proofErr w:type="spellStart"/>
      <w:r w:rsidRPr="00094B1E">
        <w:rPr>
          <w:rFonts w:ascii="Arial" w:hAnsi="Arial" w:cs="Arial"/>
          <w:b/>
          <w:bCs/>
          <w:lang w:val="fr-CI"/>
        </w:rPr>
        <w:t>Saravia</w:t>
      </w:r>
      <w:proofErr w:type="spellEnd"/>
      <w:r w:rsidRPr="00094B1E">
        <w:rPr>
          <w:rFonts w:ascii="Cambria Math" w:hAnsi="Cambria Math" w:cs="Cambria Math"/>
          <w:b/>
          <w:bCs/>
          <w:lang w:val="fr-CI"/>
        </w:rPr>
        <w:t>‑</w:t>
      </w:r>
      <w:r w:rsidRPr="00094B1E">
        <w:rPr>
          <w:rFonts w:ascii="Arial" w:hAnsi="Arial" w:cs="Arial"/>
          <w:b/>
          <w:bCs/>
          <w:lang w:val="fr-CI"/>
        </w:rPr>
        <w:t xml:space="preserve">Maldonado, S. A., </w:t>
      </w:r>
      <w:proofErr w:type="spellStart"/>
      <w:r w:rsidRPr="00094B1E">
        <w:rPr>
          <w:rFonts w:ascii="Arial" w:hAnsi="Arial" w:cs="Arial"/>
          <w:b/>
          <w:bCs/>
          <w:lang w:val="fr-CI"/>
        </w:rPr>
        <w:t>Rodríguez</w:t>
      </w:r>
      <w:proofErr w:type="spellEnd"/>
      <w:r w:rsidRPr="00094B1E">
        <w:rPr>
          <w:rFonts w:ascii="Cambria Math" w:hAnsi="Cambria Math" w:cs="Cambria Math"/>
          <w:b/>
          <w:bCs/>
          <w:lang w:val="fr-CI"/>
        </w:rPr>
        <w:t>‑</w:t>
      </w:r>
      <w:r w:rsidRPr="00094B1E">
        <w:rPr>
          <w:rFonts w:ascii="Arial" w:hAnsi="Arial" w:cs="Arial"/>
          <w:b/>
          <w:bCs/>
          <w:lang w:val="fr-CI"/>
        </w:rPr>
        <w:t xml:space="preserve">González, M. Á., </w:t>
      </w:r>
      <w:proofErr w:type="spellStart"/>
      <w:r w:rsidRPr="00094B1E">
        <w:rPr>
          <w:rFonts w:ascii="Arial" w:hAnsi="Arial" w:cs="Arial"/>
          <w:b/>
          <w:bCs/>
          <w:lang w:val="fr-CI"/>
        </w:rPr>
        <w:t>Ramírez</w:t>
      </w:r>
      <w:proofErr w:type="spellEnd"/>
      <w:r w:rsidRPr="00094B1E">
        <w:rPr>
          <w:rFonts w:ascii="Cambria Math" w:hAnsi="Cambria Math" w:cs="Cambria Math"/>
          <w:b/>
          <w:bCs/>
          <w:lang w:val="fr-CI"/>
        </w:rPr>
        <w:t>‑</w:t>
      </w:r>
      <w:r w:rsidRPr="00094B1E">
        <w:rPr>
          <w:rFonts w:ascii="Arial" w:hAnsi="Arial" w:cs="Arial"/>
          <w:b/>
          <w:bCs/>
          <w:lang w:val="fr-CI"/>
        </w:rPr>
        <w:t>Rosario, B., &amp; Fernández</w:t>
      </w:r>
      <w:r w:rsidRPr="00094B1E">
        <w:rPr>
          <w:rFonts w:ascii="Cambria Math" w:hAnsi="Cambria Math" w:cs="Cambria Math"/>
          <w:b/>
          <w:bCs/>
          <w:lang w:val="fr-CI"/>
        </w:rPr>
        <w:t>‑</w:t>
      </w:r>
      <w:proofErr w:type="spellStart"/>
      <w:r w:rsidRPr="00094B1E">
        <w:rPr>
          <w:rFonts w:ascii="Arial" w:hAnsi="Arial" w:cs="Arial"/>
          <w:b/>
          <w:bCs/>
          <w:lang w:val="fr-CI"/>
        </w:rPr>
        <w:t>Pozo</w:t>
      </w:r>
      <w:proofErr w:type="spellEnd"/>
      <w:r w:rsidRPr="00094B1E">
        <w:rPr>
          <w:rFonts w:ascii="Arial" w:hAnsi="Arial" w:cs="Arial"/>
          <w:b/>
          <w:bCs/>
          <w:lang w:val="fr-CI"/>
        </w:rPr>
        <w:t xml:space="preserve">, L. F. (2024). </w:t>
      </w:r>
      <w:r w:rsidRPr="00094B1E">
        <w:rPr>
          <w:rFonts w:ascii="Arial" w:hAnsi="Arial" w:cs="Arial"/>
        </w:rPr>
        <w:t xml:space="preserve">Change in land use affects soil organic carbon dynamics and distribution in tropical systems. Soil Systems, 8(3), 101. </w:t>
      </w:r>
      <w:hyperlink r:id="rId33" w:history="1">
        <w:r w:rsidRPr="004C0E2B">
          <w:rPr>
            <w:rStyle w:val="Hyperlink"/>
            <w:rFonts w:ascii="Arial" w:hAnsi="Arial" w:cs="Arial"/>
          </w:rPr>
          <w:t>https://doi.org/10.3390/soilsystems8030101</w:t>
        </w:r>
      </w:hyperlink>
    </w:p>
    <w:p w14:paraId="1C90AF57" w14:textId="18083558" w:rsidR="009215F2" w:rsidRPr="0003134F" w:rsidRDefault="009215F2" w:rsidP="00094B1E">
      <w:pPr>
        <w:pStyle w:val="Body"/>
        <w:ind w:left="567" w:hanging="567"/>
        <w:rPr>
          <w:rFonts w:ascii="Arial" w:hAnsi="Arial" w:cs="Arial"/>
        </w:rPr>
      </w:pPr>
      <w:r w:rsidRPr="009215F2">
        <w:rPr>
          <w:rFonts w:ascii="Arial" w:hAnsi="Arial" w:cs="Arial"/>
          <w:b/>
          <w:bCs/>
        </w:rPr>
        <w:t>Schwantes Marinho, M. A., Oliveira, R. S., Pinto, J. R., &amp; Fernandes, G. W. (2022).</w:t>
      </w:r>
      <w:r w:rsidRPr="009215F2">
        <w:rPr>
          <w:rFonts w:ascii="Arial" w:hAnsi="Arial" w:cs="Arial"/>
        </w:rPr>
        <w:t xml:space="preserve"> Long-term fire effects in tropical ecosystems. </w:t>
      </w:r>
      <w:r w:rsidRPr="0003134F">
        <w:rPr>
          <w:rFonts w:ascii="Arial" w:hAnsi="Arial" w:cs="Arial"/>
        </w:rPr>
        <w:t xml:space="preserve">Ecological Indicators, 144, 109470. </w:t>
      </w:r>
      <w:hyperlink r:id="rId34" w:history="1">
        <w:r w:rsidRPr="0003134F">
          <w:rPr>
            <w:rStyle w:val="Hyperlink"/>
            <w:rFonts w:ascii="Arial" w:hAnsi="Arial" w:cs="Arial"/>
          </w:rPr>
          <w:t>https://doi.org/10.1016/j.ecolind.2022.109470</w:t>
        </w:r>
      </w:hyperlink>
    </w:p>
    <w:p w14:paraId="7B4B9F9D" w14:textId="0A9BDE30" w:rsidR="009215F2" w:rsidRPr="0003134F" w:rsidRDefault="009215F2" w:rsidP="009215F2">
      <w:pPr>
        <w:pStyle w:val="Body"/>
        <w:spacing w:after="120"/>
        <w:ind w:left="567" w:hanging="567"/>
        <w:rPr>
          <w:rFonts w:ascii="Arial" w:hAnsi="Arial" w:cs="Arial"/>
        </w:rPr>
      </w:pPr>
      <w:r w:rsidRPr="009215F2">
        <w:rPr>
          <w:rFonts w:ascii="Arial" w:hAnsi="Arial" w:cs="Arial"/>
          <w:b/>
          <w:bCs/>
          <w:lang w:val="fr-CI"/>
        </w:rPr>
        <w:t>Soro, D., Kouamé, K., &amp; Yao, B. (2020).</w:t>
      </w:r>
      <w:r w:rsidRPr="009215F2">
        <w:rPr>
          <w:rFonts w:ascii="Arial" w:hAnsi="Arial" w:cs="Arial"/>
          <w:lang w:val="fr-CI"/>
        </w:rPr>
        <w:t xml:space="preserve"> </w:t>
      </w:r>
      <w:r w:rsidRPr="009215F2">
        <w:rPr>
          <w:rFonts w:ascii="Arial" w:hAnsi="Arial" w:cs="Arial"/>
        </w:rPr>
        <w:t xml:space="preserve">Cashew expansion and land degradation in Côte d’Ivoire. Journal of Arid Environments, 181, 104245. </w:t>
      </w:r>
      <w:hyperlink r:id="rId35" w:history="1">
        <w:r w:rsidRPr="0003134F">
          <w:rPr>
            <w:rStyle w:val="Hyperlink"/>
            <w:rFonts w:ascii="Arial" w:hAnsi="Arial" w:cs="Arial"/>
          </w:rPr>
          <w:t>https://doi.org/10.1016/j.jaridenv.2020.104245</w:t>
        </w:r>
      </w:hyperlink>
    </w:p>
    <w:p w14:paraId="3CABDFBF" w14:textId="56346947" w:rsidR="009215F2" w:rsidRPr="0003134F" w:rsidRDefault="009215F2" w:rsidP="009215F2">
      <w:pPr>
        <w:pStyle w:val="Body"/>
        <w:ind w:left="567" w:hanging="567"/>
        <w:rPr>
          <w:rFonts w:ascii="Arial" w:hAnsi="Arial" w:cs="Arial"/>
        </w:rPr>
      </w:pPr>
      <w:r w:rsidRPr="009215F2">
        <w:rPr>
          <w:rFonts w:ascii="Arial" w:hAnsi="Arial" w:cs="Arial"/>
          <w:b/>
          <w:bCs/>
        </w:rPr>
        <w:t>Staver, A. C., Archibald, S., &amp; Levin, S. A. (2020).</w:t>
      </w:r>
      <w:r w:rsidRPr="009215F2">
        <w:rPr>
          <w:rFonts w:ascii="Arial" w:hAnsi="Arial" w:cs="Arial"/>
        </w:rPr>
        <w:t xml:space="preserve"> Fire–vegetation feedbacks and biome shifts. </w:t>
      </w:r>
      <w:r w:rsidRPr="0003134F">
        <w:rPr>
          <w:rFonts w:ascii="Arial" w:hAnsi="Arial" w:cs="Arial"/>
        </w:rPr>
        <w:t xml:space="preserve">Nature Ecology &amp; Evolution, 4, 1173–1180. </w:t>
      </w:r>
      <w:hyperlink r:id="rId36" w:history="1">
        <w:r w:rsidRPr="0003134F">
          <w:rPr>
            <w:rStyle w:val="Hyperlink"/>
            <w:rFonts w:ascii="Arial" w:hAnsi="Arial" w:cs="Arial"/>
          </w:rPr>
          <w:t>https://doi.org/10.1038/s41559-020-1250-0</w:t>
        </w:r>
      </w:hyperlink>
    </w:p>
    <w:p w14:paraId="119390C7" w14:textId="160764B8" w:rsidR="00C07EE0" w:rsidRPr="00667DEB" w:rsidRDefault="00C07EE0" w:rsidP="00894B33">
      <w:pPr>
        <w:pStyle w:val="Body"/>
        <w:ind w:left="567" w:hanging="567"/>
        <w:rPr>
          <w:lang w:val="fr-CI"/>
        </w:rPr>
      </w:pPr>
      <w:r w:rsidRPr="00C07EE0">
        <w:rPr>
          <w:rFonts w:ascii="Arial" w:hAnsi="Arial" w:cs="Arial"/>
          <w:b/>
          <w:bCs/>
        </w:rPr>
        <w:t xml:space="preserve">Tellen, V.A., Yerima, B.P.K (2019). </w:t>
      </w:r>
      <w:r w:rsidRPr="00C07EE0">
        <w:rPr>
          <w:rFonts w:ascii="Arial" w:hAnsi="Arial" w:cs="Arial"/>
        </w:rPr>
        <w:t xml:space="preserve">Effects of land use change on soil physicochemical properties in selected areas in the North West region of Cameroon. </w:t>
      </w:r>
      <w:r w:rsidRPr="00094B1E">
        <w:rPr>
          <w:rFonts w:ascii="Arial" w:hAnsi="Arial" w:cs="Arial"/>
          <w:lang w:val="fr-CI"/>
        </w:rPr>
        <w:t xml:space="preserve">Environ </w:t>
      </w:r>
      <w:proofErr w:type="spellStart"/>
      <w:r w:rsidRPr="00094B1E">
        <w:rPr>
          <w:rFonts w:ascii="Arial" w:hAnsi="Arial" w:cs="Arial"/>
          <w:lang w:val="fr-CI"/>
        </w:rPr>
        <w:t>Syst</w:t>
      </w:r>
      <w:proofErr w:type="spellEnd"/>
      <w:r w:rsidRPr="00094B1E">
        <w:rPr>
          <w:rFonts w:ascii="Arial" w:hAnsi="Arial" w:cs="Arial"/>
          <w:lang w:val="fr-CI"/>
        </w:rPr>
        <w:t xml:space="preserve"> </w:t>
      </w:r>
      <w:proofErr w:type="spellStart"/>
      <w:r w:rsidRPr="00094B1E">
        <w:rPr>
          <w:rFonts w:ascii="Arial" w:hAnsi="Arial" w:cs="Arial"/>
          <w:lang w:val="fr-CI"/>
        </w:rPr>
        <w:t>Res</w:t>
      </w:r>
      <w:proofErr w:type="spellEnd"/>
      <w:r w:rsidRPr="00094B1E">
        <w:rPr>
          <w:rFonts w:ascii="Arial" w:hAnsi="Arial" w:cs="Arial"/>
          <w:lang w:val="fr-CI"/>
        </w:rPr>
        <w:t xml:space="preserve"> 7, 3. </w:t>
      </w:r>
      <w:hyperlink r:id="rId37" w:history="1">
        <w:r w:rsidRPr="00094B1E">
          <w:rPr>
            <w:rStyle w:val="Hyperlink"/>
            <w:rFonts w:ascii="Arial" w:hAnsi="Arial" w:cs="Arial"/>
            <w:lang w:val="fr-CI"/>
          </w:rPr>
          <w:t>https://doi.org/10.1186/s40068-018-0106-0</w:t>
        </w:r>
      </w:hyperlink>
    </w:p>
    <w:p w14:paraId="15564AC7" w14:textId="63A77409" w:rsidR="001446BA" w:rsidRPr="00667DEB" w:rsidRDefault="001446BA" w:rsidP="00894B33">
      <w:pPr>
        <w:pStyle w:val="Body"/>
        <w:ind w:left="567" w:hanging="567"/>
        <w:rPr>
          <w:rFonts w:ascii="Arial" w:hAnsi="Arial" w:cs="Arial"/>
        </w:rPr>
      </w:pPr>
      <w:proofErr w:type="spellStart"/>
      <w:r w:rsidRPr="001446BA">
        <w:rPr>
          <w:rFonts w:ascii="Arial" w:hAnsi="Arial" w:cs="Arial"/>
          <w:b/>
          <w:bCs/>
          <w:lang w:val="fr-CI"/>
        </w:rPr>
        <w:t>Timité</w:t>
      </w:r>
      <w:proofErr w:type="spellEnd"/>
      <w:r w:rsidRPr="001446BA">
        <w:rPr>
          <w:rFonts w:ascii="Arial" w:hAnsi="Arial" w:cs="Arial"/>
          <w:b/>
          <w:bCs/>
          <w:lang w:val="fr-CI"/>
        </w:rPr>
        <w:t xml:space="preserve">, N., Kouakou, A. T. M., Bamba, I., </w:t>
      </w:r>
      <w:proofErr w:type="spellStart"/>
      <w:r w:rsidRPr="001446BA">
        <w:rPr>
          <w:rFonts w:ascii="Arial" w:hAnsi="Arial" w:cs="Arial"/>
          <w:b/>
          <w:bCs/>
          <w:lang w:val="fr-CI"/>
        </w:rPr>
        <w:t>Barima</w:t>
      </w:r>
      <w:proofErr w:type="spellEnd"/>
      <w:r w:rsidRPr="001446BA">
        <w:rPr>
          <w:rFonts w:ascii="Arial" w:hAnsi="Arial" w:cs="Arial"/>
          <w:b/>
          <w:bCs/>
          <w:lang w:val="fr-CI"/>
        </w:rPr>
        <w:t>, Y. S. S., &amp; Bogaert, J. (2022)</w:t>
      </w:r>
      <w:r w:rsidRPr="001446BA">
        <w:rPr>
          <w:rFonts w:ascii="Arial" w:hAnsi="Arial" w:cs="Arial"/>
          <w:lang w:val="fr-CI"/>
        </w:rPr>
        <w:t xml:space="preserve">. </w:t>
      </w:r>
      <w:r w:rsidRPr="001446BA">
        <w:rPr>
          <w:rFonts w:ascii="Arial" w:hAnsi="Arial" w:cs="Arial"/>
        </w:rPr>
        <w:t xml:space="preserve">Climate Variability in the </w:t>
      </w:r>
      <w:proofErr w:type="spellStart"/>
      <w:r w:rsidRPr="001446BA">
        <w:rPr>
          <w:rFonts w:ascii="Arial" w:hAnsi="Arial" w:cs="Arial"/>
        </w:rPr>
        <w:t>Sudanian</w:t>
      </w:r>
      <w:proofErr w:type="spellEnd"/>
      <w:r w:rsidRPr="001446BA">
        <w:rPr>
          <w:rFonts w:ascii="Arial" w:hAnsi="Arial" w:cs="Arial"/>
        </w:rPr>
        <w:t xml:space="preserve"> Zone of Côte d’Ivoire: Weather Observations, Perceptions, and Adaptation Strategies of Farmers. </w:t>
      </w:r>
      <w:r w:rsidRPr="00667DEB">
        <w:rPr>
          <w:rFonts w:ascii="Arial" w:hAnsi="Arial" w:cs="Arial"/>
        </w:rPr>
        <w:t xml:space="preserve">Sustainability, 14(16), 10410. </w:t>
      </w:r>
      <w:hyperlink r:id="rId38" w:history="1">
        <w:r w:rsidRPr="00667DEB">
          <w:rPr>
            <w:rStyle w:val="Hyperlink"/>
            <w:rFonts w:ascii="Arial" w:hAnsi="Arial" w:cs="Arial"/>
          </w:rPr>
          <w:t>https://doi.org/10.3390/su141610410</w:t>
        </w:r>
      </w:hyperlink>
    </w:p>
    <w:p w14:paraId="4D682E5C" w14:textId="49F0E1BD" w:rsidR="005B7E23" w:rsidRPr="0003134F" w:rsidRDefault="005B7E23" w:rsidP="005B7E23">
      <w:pPr>
        <w:pStyle w:val="Body"/>
        <w:ind w:left="567" w:hanging="567"/>
        <w:rPr>
          <w:rFonts w:ascii="Arial" w:hAnsi="Arial" w:cs="Arial"/>
        </w:rPr>
      </w:pPr>
      <w:r w:rsidRPr="00667DEB">
        <w:rPr>
          <w:rFonts w:ascii="Arial" w:hAnsi="Arial" w:cs="Arial"/>
          <w:b/>
          <w:bCs/>
        </w:rPr>
        <w:t xml:space="preserve">Traoré, S., Zo Bi, I. C., </w:t>
      </w:r>
      <w:proofErr w:type="spellStart"/>
      <w:r w:rsidRPr="00667DEB">
        <w:rPr>
          <w:rFonts w:ascii="Arial" w:hAnsi="Arial" w:cs="Arial"/>
          <w:b/>
          <w:bCs/>
        </w:rPr>
        <w:t>Piponiot</w:t>
      </w:r>
      <w:proofErr w:type="spellEnd"/>
      <w:r w:rsidRPr="00667DEB">
        <w:rPr>
          <w:rFonts w:ascii="Arial" w:hAnsi="Arial" w:cs="Arial"/>
          <w:b/>
          <w:bCs/>
        </w:rPr>
        <w:t xml:space="preserve">, C., </w:t>
      </w:r>
      <w:proofErr w:type="spellStart"/>
      <w:r w:rsidRPr="00667DEB">
        <w:rPr>
          <w:rFonts w:ascii="Arial" w:hAnsi="Arial" w:cs="Arial"/>
          <w:b/>
          <w:bCs/>
        </w:rPr>
        <w:t>Aussenac</w:t>
      </w:r>
      <w:proofErr w:type="spellEnd"/>
      <w:r w:rsidRPr="00667DEB">
        <w:rPr>
          <w:rFonts w:ascii="Arial" w:hAnsi="Arial" w:cs="Arial"/>
          <w:b/>
          <w:bCs/>
        </w:rPr>
        <w:t>, R., &amp; Henry, H. F. (2024</w:t>
      </w:r>
      <w:r w:rsidRPr="00667DEB">
        <w:rPr>
          <w:rFonts w:ascii="Arial" w:hAnsi="Arial" w:cs="Arial"/>
        </w:rPr>
        <w:t xml:space="preserve">). </w:t>
      </w:r>
      <w:r w:rsidRPr="005B7E23">
        <w:rPr>
          <w:rFonts w:ascii="Arial" w:hAnsi="Arial" w:cs="Arial"/>
        </w:rPr>
        <w:t xml:space="preserve">Fragmentation is the main driver of residual forest aboveground biomass in West African low forest–high deforestation landscapes. *Trees, Forests and People, 15, 100477. </w:t>
      </w:r>
      <w:hyperlink r:id="rId39" w:history="1">
        <w:r w:rsidRPr="0003134F">
          <w:rPr>
            <w:rStyle w:val="Hyperlink"/>
            <w:rFonts w:ascii="Arial" w:hAnsi="Arial" w:cs="Arial"/>
          </w:rPr>
          <w:t>https://doi.org/10.1016/j.tfp.2023.100477</w:t>
        </w:r>
      </w:hyperlink>
    </w:p>
    <w:p w14:paraId="1FFB4723" w14:textId="554B280A" w:rsidR="00790ADA" w:rsidRPr="00FB3A86" w:rsidRDefault="00410A08" w:rsidP="005B7E23">
      <w:pPr>
        <w:pStyle w:val="Body"/>
        <w:ind w:left="567" w:hanging="567"/>
        <w:rPr>
          <w:rFonts w:ascii="Arial" w:hAnsi="Arial" w:cs="Arial"/>
        </w:rPr>
      </w:pPr>
      <w:r w:rsidRPr="0003134F">
        <w:rPr>
          <w:rFonts w:ascii="Arial" w:hAnsi="Arial" w:cs="Arial"/>
          <w:b/>
          <w:bCs/>
        </w:rPr>
        <w:t>Yao, K. L., Kouakou, K. E., Kouassi, A. M., Deguy, A. J.-P., &amp; Camara, M. (2023).</w:t>
      </w:r>
      <w:r w:rsidRPr="0003134F">
        <w:rPr>
          <w:rFonts w:ascii="Arial" w:hAnsi="Arial" w:cs="Arial"/>
        </w:rPr>
        <w:t xml:space="preserve"> </w:t>
      </w:r>
      <w:r w:rsidRPr="00BE0B5A">
        <w:rPr>
          <w:rFonts w:ascii="Arial" w:hAnsi="Arial" w:cs="Arial"/>
        </w:rPr>
        <w:t xml:space="preserve">Analysis of land use change in the N’Zi watershed of Côte d’Ivoire using Landsat satellite images. </w:t>
      </w:r>
      <w:r w:rsidRPr="00410A08">
        <w:rPr>
          <w:rFonts w:ascii="Arial" w:hAnsi="Arial" w:cs="Arial"/>
        </w:rPr>
        <w:t xml:space="preserve">Earth and Space Science, 10, e2022EA002744. </w:t>
      </w:r>
      <w:hyperlink r:id="rId40" w:history="1">
        <w:r w:rsidR="00894B33" w:rsidRPr="004C0E2B">
          <w:rPr>
            <w:rStyle w:val="Hyperlink"/>
            <w:rFonts w:ascii="Arial" w:hAnsi="Arial" w:cs="Arial"/>
          </w:rPr>
          <w:t>https://doi.org/10.1029/2022EA002744</w:t>
        </w:r>
      </w:hyperlink>
    </w:p>
    <w:p w14:paraId="05E4D014" w14:textId="54E45737" w:rsidR="004D4277" w:rsidRPr="00FB3A86" w:rsidRDefault="004D4277" w:rsidP="00441B6F">
      <w:pPr>
        <w:pStyle w:val="Appendix"/>
        <w:spacing w:after="0"/>
        <w:jc w:val="both"/>
        <w:rPr>
          <w:rFonts w:ascii="Arial" w:hAnsi="Arial" w:cs="Arial"/>
          <w:b w:val="0"/>
        </w:rPr>
        <w:sectPr w:rsidR="004D4277" w:rsidRPr="00FB3A86" w:rsidSect="00EB7952">
          <w:headerReference w:type="even" r:id="rId41"/>
          <w:headerReference w:type="default" r:id="rId42"/>
          <w:footerReference w:type="even" r:id="rId43"/>
          <w:footerReference w:type="default" r:id="rId44"/>
          <w:headerReference w:type="first" r:id="rId45"/>
          <w:footerReference w:type="first" r:id="rId46"/>
          <w:type w:val="continuous"/>
          <w:pgSz w:w="12240" w:h="15840"/>
          <w:pgMar w:top="1440" w:right="2016" w:bottom="2016" w:left="2016" w:header="720" w:footer="1123" w:gutter="0"/>
          <w:cols w:space="720"/>
          <w:docGrid w:linePitch="272"/>
        </w:sectPr>
      </w:pPr>
    </w:p>
    <w:p w14:paraId="46E2914C" w14:textId="77777777" w:rsidR="00520DB1" w:rsidRPr="00FB3A86" w:rsidRDefault="00520DB1" w:rsidP="00441B6F">
      <w:pPr>
        <w:pStyle w:val="Appendix"/>
        <w:spacing w:after="0"/>
        <w:jc w:val="both"/>
        <w:rPr>
          <w:rFonts w:ascii="Arial" w:hAnsi="Arial" w:cs="Arial"/>
          <w:b w:val="0"/>
        </w:rPr>
      </w:pPr>
    </w:p>
    <w:sectPr w:rsidR="00520DB1" w:rsidRPr="00FB3A86" w:rsidSect="00EB79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94585" w14:textId="77777777" w:rsidR="00E87771" w:rsidRDefault="00E87771" w:rsidP="00C37E61">
      <w:r>
        <w:separator/>
      </w:r>
    </w:p>
  </w:endnote>
  <w:endnote w:type="continuationSeparator" w:id="0">
    <w:p w14:paraId="2DA5E797" w14:textId="77777777" w:rsidR="00E87771" w:rsidRDefault="00E8777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4361E" w14:textId="77777777" w:rsidR="006C7635" w:rsidRDefault="006C7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D08C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DEB7" w14:textId="77777777" w:rsidR="006C7635" w:rsidRDefault="006C7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96DE9" w14:textId="77777777" w:rsidR="00E87771" w:rsidRDefault="00E87771" w:rsidP="00C37E61">
      <w:r>
        <w:separator/>
      </w:r>
    </w:p>
  </w:footnote>
  <w:footnote w:type="continuationSeparator" w:id="0">
    <w:p w14:paraId="4C699357" w14:textId="77777777" w:rsidR="00E87771" w:rsidRDefault="00E8777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E52E1" w14:textId="68EDB53B" w:rsidR="006C7635" w:rsidRDefault="00914DB7">
    <w:pPr>
      <w:pStyle w:val="Header"/>
    </w:pPr>
    <w:r>
      <w:rPr>
        <w:noProof/>
      </w:rPr>
      <w:pict w14:anchorId="07191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2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7D93" w14:textId="785749BF" w:rsidR="006C7635" w:rsidRDefault="00914DB7">
    <w:pPr>
      <w:pStyle w:val="Header"/>
    </w:pPr>
    <w:r>
      <w:rPr>
        <w:noProof/>
      </w:rPr>
      <w:pict w14:anchorId="52B80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3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6294D" w14:textId="4B9808BB" w:rsidR="006C7635" w:rsidRDefault="00914DB7">
    <w:pPr>
      <w:pStyle w:val="Header"/>
    </w:pPr>
    <w:r>
      <w:rPr>
        <w:noProof/>
      </w:rPr>
      <w:pict w14:anchorId="0C163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28"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516E2C"/>
    <w:multiLevelType w:val="hybridMultilevel"/>
    <w:tmpl w:val="C9F2E7E0"/>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DF5B22"/>
    <w:multiLevelType w:val="multilevel"/>
    <w:tmpl w:val="E934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2714498"/>
    <w:multiLevelType w:val="multilevel"/>
    <w:tmpl w:val="9ABA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95382A"/>
    <w:multiLevelType w:val="multilevel"/>
    <w:tmpl w:val="E65A9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DE7DFA"/>
    <w:multiLevelType w:val="multilevel"/>
    <w:tmpl w:val="5DE2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636845"/>
    <w:multiLevelType w:val="multilevel"/>
    <w:tmpl w:val="C49C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AF3937"/>
    <w:multiLevelType w:val="multilevel"/>
    <w:tmpl w:val="44A8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8F0915"/>
    <w:multiLevelType w:val="hybridMultilevel"/>
    <w:tmpl w:val="41000CB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5A01A2"/>
    <w:multiLevelType w:val="multilevel"/>
    <w:tmpl w:val="867C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8C05002"/>
    <w:multiLevelType w:val="hybridMultilevel"/>
    <w:tmpl w:val="42D8AF1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8" w15:restartNumberingAfterBreak="0">
    <w:nsid w:val="68FF4724"/>
    <w:multiLevelType w:val="multilevel"/>
    <w:tmpl w:val="D7600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36980"/>
    <w:multiLevelType w:val="multilevel"/>
    <w:tmpl w:val="3D5A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6"/>
  </w:num>
  <w:num w:numId="10">
    <w:abstractNumId w:val="2"/>
  </w:num>
  <w:num w:numId="11">
    <w:abstractNumId w:val="29"/>
  </w:num>
  <w:num w:numId="12">
    <w:abstractNumId w:val="3"/>
  </w:num>
  <w:num w:numId="13">
    <w:abstractNumId w:val="26"/>
  </w:num>
  <w:num w:numId="14">
    <w:abstractNumId w:val="8"/>
  </w:num>
  <w:num w:numId="15">
    <w:abstractNumId w:val="32"/>
  </w:num>
  <w:num w:numId="16">
    <w:abstractNumId w:val="5"/>
  </w:num>
  <w:num w:numId="17">
    <w:abstractNumId w:val="33"/>
  </w:num>
  <w:num w:numId="18">
    <w:abstractNumId w:val="16"/>
  </w:num>
  <w:num w:numId="19">
    <w:abstractNumId w:val="40"/>
  </w:num>
  <w:num w:numId="20">
    <w:abstractNumId w:val="13"/>
  </w:num>
  <w:num w:numId="21">
    <w:abstractNumId w:val="10"/>
  </w:num>
  <w:num w:numId="22">
    <w:abstractNumId w:val="15"/>
  </w:num>
  <w:num w:numId="23">
    <w:abstractNumId w:val="30"/>
  </w:num>
  <w:num w:numId="24">
    <w:abstractNumId w:val="38"/>
  </w:num>
  <w:num w:numId="25">
    <w:abstractNumId w:val="4"/>
  </w:num>
  <w:num w:numId="26">
    <w:abstractNumId w:val="24"/>
  </w:num>
  <w:num w:numId="27">
    <w:abstractNumId w:val="31"/>
  </w:num>
  <w:num w:numId="28">
    <w:abstractNumId w:val="39"/>
  </w:num>
  <w:num w:numId="29">
    <w:abstractNumId w:val="35"/>
  </w:num>
  <w:num w:numId="30">
    <w:abstractNumId w:val="11"/>
  </w:num>
  <w:num w:numId="31">
    <w:abstractNumId w:val="9"/>
  </w:num>
  <w:num w:numId="32">
    <w:abstractNumId w:val="25"/>
  </w:num>
  <w:num w:numId="33">
    <w:abstractNumId w:val="19"/>
  </w:num>
  <w:num w:numId="34">
    <w:abstractNumId w:val="27"/>
  </w:num>
  <w:num w:numId="35">
    <w:abstractNumId w:val="20"/>
  </w:num>
  <w:num w:numId="36">
    <w:abstractNumId w:val="21"/>
  </w:num>
  <w:num w:numId="37">
    <w:abstractNumId w:val="37"/>
  </w:num>
  <w:num w:numId="38">
    <w:abstractNumId w:val="17"/>
  </w:num>
  <w:num w:numId="39">
    <w:abstractNumId w:val="23"/>
  </w:num>
  <w:num w:numId="40">
    <w:abstractNumId w:val="12"/>
  </w:num>
  <w:num w:numId="41">
    <w:abstractNumId w:val="28"/>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zMjUxtrA0M7YwNjRS0lEKTi0uzszPAykwqgUAuyIiViwAAAA="/>
  </w:docVars>
  <w:rsids>
    <w:rsidRoot w:val="00AA6219"/>
    <w:rsid w:val="00000F8F"/>
    <w:rsid w:val="00030174"/>
    <w:rsid w:val="0003134F"/>
    <w:rsid w:val="00041BDA"/>
    <w:rsid w:val="0004579C"/>
    <w:rsid w:val="00094B1E"/>
    <w:rsid w:val="000A254C"/>
    <w:rsid w:val="000A47FA"/>
    <w:rsid w:val="000A65D3"/>
    <w:rsid w:val="000B0584"/>
    <w:rsid w:val="000B1E33"/>
    <w:rsid w:val="000B368D"/>
    <w:rsid w:val="000D19BE"/>
    <w:rsid w:val="000D689F"/>
    <w:rsid w:val="000E7B7B"/>
    <w:rsid w:val="000E7D62"/>
    <w:rsid w:val="00100DD0"/>
    <w:rsid w:val="00103357"/>
    <w:rsid w:val="00123C9F"/>
    <w:rsid w:val="00126190"/>
    <w:rsid w:val="00130F17"/>
    <w:rsid w:val="001320BF"/>
    <w:rsid w:val="001446BA"/>
    <w:rsid w:val="00146D37"/>
    <w:rsid w:val="00163BC4"/>
    <w:rsid w:val="0018209A"/>
    <w:rsid w:val="00191062"/>
    <w:rsid w:val="00192B72"/>
    <w:rsid w:val="001A29D8"/>
    <w:rsid w:val="001A5CAA"/>
    <w:rsid w:val="001B0427"/>
    <w:rsid w:val="001B15A7"/>
    <w:rsid w:val="001B6337"/>
    <w:rsid w:val="001C75F1"/>
    <w:rsid w:val="001D324E"/>
    <w:rsid w:val="001D3A51"/>
    <w:rsid w:val="001E10D2"/>
    <w:rsid w:val="001E25B4"/>
    <w:rsid w:val="001E44FE"/>
    <w:rsid w:val="00200595"/>
    <w:rsid w:val="00204835"/>
    <w:rsid w:val="00231920"/>
    <w:rsid w:val="0023195C"/>
    <w:rsid w:val="00241478"/>
    <w:rsid w:val="0024282C"/>
    <w:rsid w:val="002460DC"/>
    <w:rsid w:val="00250985"/>
    <w:rsid w:val="002556F6"/>
    <w:rsid w:val="00255836"/>
    <w:rsid w:val="00263A52"/>
    <w:rsid w:val="00283105"/>
    <w:rsid w:val="00284C4C"/>
    <w:rsid w:val="00287E68"/>
    <w:rsid w:val="00296529"/>
    <w:rsid w:val="00296873"/>
    <w:rsid w:val="002B27FB"/>
    <w:rsid w:val="002B685A"/>
    <w:rsid w:val="002C57D2"/>
    <w:rsid w:val="002D03DF"/>
    <w:rsid w:val="002D3A7D"/>
    <w:rsid w:val="002E0D56"/>
    <w:rsid w:val="002F4EF3"/>
    <w:rsid w:val="00306E17"/>
    <w:rsid w:val="00315186"/>
    <w:rsid w:val="003259FB"/>
    <w:rsid w:val="0032612A"/>
    <w:rsid w:val="0033343E"/>
    <w:rsid w:val="003512C2"/>
    <w:rsid w:val="00371FB6"/>
    <w:rsid w:val="003763C1"/>
    <w:rsid w:val="00376BBE"/>
    <w:rsid w:val="00382E0A"/>
    <w:rsid w:val="0039224F"/>
    <w:rsid w:val="003A43A4"/>
    <w:rsid w:val="003A7BAF"/>
    <w:rsid w:val="003A7E18"/>
    <w:rsid w:val="003C4C86"/>
    <w:rsid w:val="003C6258"/>
    <w:rsid w:val="003D01CF"/>
    <w:rsid w:val="003D2A0A"/>
    <w:rsid w:val="003E0929"/>
    <w:rsid w:val="003E2904"/>
    <w:rsid w:val="003F4F0E"/>
    <w:rsid w:val="00401927"/>
    <w:rsid w:val="0040386D"/>
    <w:rsid w:val="0041027F"/>
    <w:rsid w:val="00410A08"/>
    <w:rsid w:val="00412475"/>
    <w:rsid w:val="00415DD4"/>
    <w:rsid w:val="00423789"/>
    <w:rsid w:val="00440F43"/>
    <w:rsid w:val="00441B6F"/>
    <w:rsid w:val="00446221"/>
    <w:rsid w:val="00450E62"/>
    <w:rsid w:val="004539DB"/>
    <w:rsid w:val="0045671A"/>
    <w:rsid w:val="00471A80"/>
    <w:rsid w:val="00482311"/>
    <w:rsid w:val="004D102C"/>
    <w:rsid w:val="004D192F"/>
    <w:rsid w:val="004D305E"/>
    <w:rsid w:val="004D4277"/>
    <w:rsid w:val="00502516"/>
    <w:rsid w:val="00505F06"/>
    <w:rsid w:val="00506828"/>
    <w:rsid w:val="00520DB1"/>
    <w:rsid w:val="0053056E"/>
    <w:rsid w:val="00554FDA"/>
    <w:rsid w:val="0058234A"/>
    <w:rsid w:val="005917E5"/>
    <w:rsid w:val="005B7E23"/>
    <w:rsid w:val="005C784C"/>
    <w:rsid w:val="005D17F6"/>
    <w:rsid w:val="005E5539"/>
    <w:rsid w:val="00602BF5"/>
    <w:rsid w:val="00617FDD"/>
    <w:rsid w:val="00633614"/>
    <w:rsid w:val="00633F68"/>
    <w:rsid w:val="00636EB2"/>
    <w:rsid w:val="006375B8"/>
    <w:rsid w:val="0066510A"/>
    <w:rsid w:val="00667DEB"/>
    <w:rsid w:val="00673F9F"/>
    <w:rsid w:val="006813D3"/>
    <w:rsid w:val="00686953"/>
    <w:rsid w:val="00687DEA"/>
    <w:rsid w:val="00687E67"/>
    <w:rsid w:val="006967F7"/>
    <w:rsid w:val="006A250C"/>
    <w:rsid w:val="006B21D3"/>
    <w:rsid w:val="006B57D0"/>
    <w:rsid w:val="006C3C0E"/>
    <w:rsid w:val="006C7635"/>
    <w:rsid w:val="006D30FF"/>
    <w:rsid w:val="006D61F3"/>
    <w:rsid w:val="006D6222"/>
    <w:rsid w:val="006D6940"/>
    <w:rsid w:val="006F11EC"/>
    <w:rsid w:val="0070082C"/>
    <w:rsid w:val="00710B52"/>
    <w:rsid w:val="0071549D"/>
    <w:rsid w:val="007369E6"/>
    <w:rsid w:val="00746E59"/>
    <w:rsid w:val="00754C9A"/>
    <w:rsid w:val="0075599A"/>
    <w:rsid w:val="00761D52"/>
    <w:rsid w:val="007708BA"/>
    <w:rsid w:val="00776266"/>
    <w:rsid w:val="0077749E"/>
    <w:rsid w:val="00790ADA"/>
    <w:rsid w:val="007A4164"/>
    <w:rsid w:val="007B17AD"/>
    <w:rsid w:val="007D2288"/>
    <w:rsid w:val="007E088F"/>
    <w:rsid w:val="007F6EBA"/>
    <w:rsid w:val="007F7B32"/>
    <w:rsid w:val="00804BC2"/>
    <w:rsid w:val="0081431A"/>
    <w:rsid w:val="0083216F"/>
    <w:rsid w:val="00836D4B"/>
    <w:rsid w:val="0085021E"/>
    <w:rsid w:val="00860000"/>
    <w:rsid w:val="00863BD3"/>
    <w:rsid w:val="008641ED"/>
    <w:rsid w:val="00866D66"/>
    <w:rsid w:val="008671C6"/>
    <w:rsid w:val="00875803"/>
    <w:rsid w:val="00894B33"/>
    <w:rsid w:val="008B2861"/>
    <w:rsid w:val="008B459E"/>
    <w:rsid w:val="008D2377"/>
    <w:rsid w:val="008E0976"/>
    <w:rsid w:val="008E13AE"/>
    <w:rsid w:val="008E1506"/>
    <w:rsid w:val="008E710C"/>
    <w:rsid w:val="008F69D6"/>
    <w:rsid w:val="00901D48"/>
    <w:rsid w:val="00902823"/>
    <w:rsid w:val="00914DB7"/>
    <w:rsid w:val="00915CA6"/>
    <w:rsid w:val="00921374"/>
    <w:rsid w:val="009215F2"/>
    <w:rsid w:val="00927834"/>
    <w:rsid w:val="009500A6"/>
    <w:rsid w:val="00957C18"/>
    <w:rsid w:val="009659BA"/>
    <w:rsid w:val="00983040"/>
    <w:rsid w:val="00983C2F"/>
    <w:rsid w:val="009A1C56"/>
    <w:rsid w:val="009B3FB9"/>
    <w:rsid w:val="009C2465"/>
    <w:rsid w:val="009D35A0"/>
    <w:rsid w:val="009D7EB7"/>
    <w:rsid w:val="009E048A"/>
    <w:rsid w:val="009E08E9"/>
    <w:rsid w:val="009E3DB9"/>
    <w:rsid w:val="009E6E35"/>
    <w:rsid w:val="009F0EDA"/>
    <w:rsid w:val="00A03B96"/>
    <w:rsid w:val="00A05B19"/>
    <w:rsid w:val="00A1134E"/>
    <w:rsid w:val="00A227DB"/>
    <w:rsid w:val="00A24E7E"/>
    <w:rsid w:val="00A258C3"/>
    <w:rsid w:val="00A347C0"/>
    <w:rsid w:val="00A51431"/>
    <w:rsid w:val="00A539AD"/>
    <w:rsid w:val="00A6546F"/>
    <w:rsid w:val="00A752C4"/>
    <w:rsid w:val="00A94063"/>
    <w:rsid w:val="00A95332"/>
    <w:rsid w:val="00AA6219"/>
    <w:rsid w:val="00AA74E0"/>
    <w:rsid w:val="00AB703F"/>
    <w:rsid w:val="00AC6BB8"/>
    <w:rsid w:val="00AE008F"/>
    <w:rsid w:val="00B01FCD"/>
    <w:rsid w:val="00B1776C"/>
    <w:rsid w:val="00B52583"/>
    <w:rsid w:val="00B52896"/>
    <w:rsid w:val="00B70B20"/>
    <w:rsid w:val="00B94BC6"/>
    <w:rsid w:val="00B95236"/>
    <w:rsid w:val="00B96BD9"/>
    <w:rsid w:val="00BA1B01"/>
    <w:rsid w:val="00BA2641"/>
    <w:rsid w:val="00BB37AA"/>
    <w:rsid w:val="00BC53A0"/>
    <w:rsid w:val="00BC703F"/>
    <w:rsid w:val="00BD36FB"/>
    <w:rsid w:val="00BE0B5A"/>
    <w:rsid w:val="00BE62AD"/>
    <w:rsid w:val="00BF0DF1"/>
    <w:rsid w:val="00BF121F"/>
    <w:rsid w:val="00BF1F80"/>
    <w:rsid w:val="00C07EE0"/>
    <w:rsid w:val="00C166EF"/>
    <w:rsid w:val="00C17EB0"/>
    <w:rsid w:val="00C27F5F"/>
    <w:rsid w:val="00C30A0F"/>
    <w:rsid w:val="00C37E61"/>
    <w:rsid w:val="00C42287"/>
    <w:rsid w:val="00C521CB"/>
    <w:rsid w:val="00C66197"/>
    <w:rsid w:val="00C66BB5"/>
    <w:rsid w:val="00C70F1B"/>
    <w:rsid w:val="00C71A47"/>
    <w:rsid w:val="00C7464C"/>
    <w:rsid w:val="00C85588"/>
    <w:rsid w:val="00C902BE"/>
    <w:rsid w:val="00C95314"/>
    <w:rsid w:val="00CC7BDD"/>
    <w:rsid w:val="00CD02E9"/>
    <w:rsid w:val="00CD6755"/>
    <w:rsid w:val="00CD6856"/>
    <w:rsid w:val="00CE0089"/>
    <w:rsid w:val="00CE793C"/>
    <w:rsid w:val="00CF193C"/>
    <w:rsid w:val="00D173F1"/>
    <w:rsid w:val="00D23052"/>
    <w:rsid w:val="00D276F3"/>
    <w:rsid w:val="00D341F4"/>
    <w:rsid w:val="00D441B2"/>
    <w:rsid w:val="00D74CB0"/>
    <w:rsid w:val="00D8295D"/>
    <w:rsid w:val="00D958DB"/>
    <w:rsid w:val="00DA0715"/>
    <w:rsid w:val="00DA7E71"/>
    <w:rsid w:val="00DB65A4"/>
    <w:rsid w:val="00DC2A65"/>
    <w:rsid w:val="00DE15F0"/>
    <w:rsid w:val="00DE5663"/>
    <w:rsid w:val="00DE78AA"/>
    <w:rsid w:val="00E0005F"/>
    <w:rsid w:val="00E053D0"/>
    <w:rsid w:val="00E15994"/>
    <w:rsid w:val="00E25A5B"/>
    <w:rsid w:val="00E3114E"/>
    <w:rsid w:val="00E31A70"/>
    <w:rsid w:val="00E35B02"/>
    <w:rsid w:val="00E41119"/>
    <w:rsid w:val="00E421D1"/>
    <w:rsid w:val="00E440FE"/>
    <w:rsid w:val="00E50074"/>
    <w:rsid w:val="00E61AAC"/>
    <w:rsid w:val="00E66496"/>
    <w:rsid w:val="00E66B35"/>
    <w:rsid w:val="00E66E10"/>
    <w:rsid w:val="00E769F6"/>
    <w:rsid w:val="00E80AB3"/>
    <w:rsid w:val="00E8407C"/>
    <w:rsid w:val="00E84F3C"/>
    <w:rsid w:val="00E87771"/>
    <w:rsid w:val="00E91DAF"/>
    <w:rsid w:val="00EA012C"/>
    <w:rsid w:val="00EA1D64"/>
    <w:rsid w:val="00EA26F2"/>
    <w:rsid w:val="00EA5B20"/>
    <w:rsid w:val="00EB7952"/>
    <w:rsid w:val="00EC6A55"/>
    <w:rsid w:val="00ED0288"/>
    <w:rsid w:val="00ED6227"/>
    <w:rsid w:val="00EE52CB"/>
    <w:rsid w:val="00EF5303"/>
    <w:rsid w:val="00EF581D"/>
    <w:rsid w:val="00EF7FD8"/>
    <w:rsid w:val="00F06F59"/>
    <w:rsid w:val="00F17988"/>
    <w:rsid w:val="00F23F7F"/>
    <w:rsid w:val="00F33833"/>
    <w:rsid w:val="00F469F0"/>
    <w:rsid w:val="00F53273"/>
    <w:rsid w:val="00F755E4"/>
    <w:rsid w:val="00F77D02"/>
    <w:rsid w:val="00F84B68"/>
    <w:rsid w:val="00FA244D"/>
    <w:rsid w:val="00FA2D09"/>
    <w:rsid w:val="00FB3A86"/>
    <w:rsid w:val="00FC5AB8"/>
    <w:rsid w:val="00FD36C8"/>
    <w:rsid w:val="00FF5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854A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D19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Grilledutableau1">
    <w:name w:val="Grille du tableau1"/>
    <w:basedOn w:val="TableNormal"/>
    <w:next w:val="TableGrid"/>
    <w:uiPriority w:val="39"/>
    <w:rsid w:val="00B94BC6"/>
    <w:rPr>
      <w:rFonts w:ascii="Calibri" w:eastAsia="DengXian" w:hAnsi="Calibri"/>
      <w:kern w:val="2"/>
      <w:sz w:val="24"/>
      <w:szCs w:val="24"/>
      <w:lang w:val="fr-FR"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94BC6"/>
    <w:rPr>
      <w:b/>
      <w:bCs/>
    </w:rPr>
  </w:style>
  <w:style w:type="paragraph" w:styleId="NormalWeb">
    <w:name w:val="Normal (Web)"/>
    <w:basedOn w:val="Normal"/>
    <w:uiPriority w:val="99"/>
    <w:unhideWhenUsed/>
    <w:rsid w:val="005917E5"/>
    <w:pPr>
      <w:spacing w:before="100" w:beforeAutospacing="1" w:after="100" w:afterAutospacing="1"/>
    </w:pPr>
    <w:rPr>
      <w:rFonts w:ascii="Times New Roman" w:hAnsi="Times New Roman"/>
      <w:sz w:val="24"/>
      <w:szCs w:val="24"/>
      <w:lang w:val="fr-CI" w:eastAsia="fr-CI"/>
    </w:rPr>
  </w:style>
  <w:style w:type="paragraph" w:styleId="ListParagraph">
    <w:name w:val="List Paragraph"/>
    <w:basedOn w:val="Normal"/>
    <w:uiPriority w:val="34"/>
    <w:qFormat/>
    <w:rsid w:val="00CD02E9"/>
    <w:pPr>
      <w:ind w:left="720"/>
      <w:contextualSpacing/>
    </w:pPr>
  </w:style>
  <w:style w:type="character" w:customStyle="1" w:styleId="Heading3Char">
    <w:name w:val="Heading 3 Char"/>
    <w:basedOn w:val="DefaultParagraphFont"/>
    <w:link w:val="Heading3"/>
    <w:semiHidden/>
    <w:rsid w:val="004D192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ldr.5004" TargetMode="External"/><Relationship Id="rId18" Type="http://schemas.openxmlformats.org/officeDocument/2006/relationships/hyperlink" Target="https://www.fao.org/scala" TargetMode="External"/><Relationship Id="rId26" Type="http://schemas.openxmlformats.org/officeDocument/2006/relationships/hyperlink" Target="https://doi.org/10.3846/gac.2024.18724" TargetMode="External"/><Relationship Id="rId39" Type="http://schemas.openxmlformats.org/officeDocument/2006/relationships/hyperlink" Target="https://doi.org/10.1016/j.tfp.2023.100477" TargetMode="External"/><Relationship Id="rId21" Type="http://schemas.openxmlformats.org/officeDocument/2006/relationships/hyperlink" Target="https://doi.org/10.1016/j.ejrh.2023.101417" TargetMode="External"/><Relationship Id="rId34" Type="http://schemas.openxmlformats.org/officeDocument/2006/relationships/hyperlink" Target="https://doi.org/10.1016/j.ecolind.2022.109470"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11/1365-2745.13851" TargetMode="External"/><Relationship Id="rId29" Type="http://schemas.openxmlformats.org/officeDocument/2006/relationships/hyperlink" Target="https://doi.org/10.4236/jgis.2020.125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rudit.org/fr/revues/rseau/2019-v32-n3-rseau05058/1067305ar/" TargetMode="External"/><Relationship Id="rId32" Type="http://schemas.openxmlformats.org/officeDocument/2006/relationships/hyperlink" Target="https://doi.org/10.1051/cagri/2019019" TargetMode="External"/><Relationship Id="rId37" Type="http://schemas.openxmlformats.org/officeDocument/2006/relationships/hyperlink" Target="https://doi.org/10.1186/s40068-018-0106-0" TargetMode="External"/><Relationship Id="rId40" Type="http://schemas.openxmlformats.org/officeDocument/2006/relationships/hyperlink" Target="https://doi.org/10.1029/2022EA002744"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16/j.heliyon.2023.e14002" TargetMode="External"/><Relationship Id="rId23" Type="http://schemas.openxmlformats.org/officeDocument/2006/relationships/hyperlink" Target="https://doi.org/10.4236/ars.2022.113005" TargetMode="External"/><Relationship Id="rId28" Type="http://schemas.openxmlformats.org/officeDocument/2006/relationships/hyperlink" Target="https://doi.org/10.2478/environ-2022-0016" TargetMode="External"/><Relationship Id="rId36" Type="http://schemas.openxmlformats.org/officeDocument/2006/relationships/hyperlink" Target="https://doi.org/10.1038/s41559-020-1250-0" TargetMode="External"/><Relationship Id="rId10" Type="http://schemas.openxmlformats.org/officeDocument/2006/relationships/image" Target="media/image3.png"/><Relationship Id="rId19" Type="http://schemas.openxmlformats.org/officeDocument/2006/relationships/hyperlink" Target="https://doi.org/10.1126/science.1244693" TargetMode="External"/><Relationship Id="rId31" Type="http://schemas.openxmlformats.org/officeDocument/2006/relationships/hyperlink" Target="https://doi.org/10.19182/bft2021.347.a31868"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89/frsen.2023.1221757" TargetMode="External"/><Relationship Id="rId22" Type="http://schemas.openxmlformats.org/officeDocument/2006/relationships/hyperlink" Target="https://doi.org/10.19044/esj.2024.v20n33p187" TargetMode="External"/><Relationship Id="rId27" Type="http://schemas.openxmlformats.org/officeDocument/2006/relationships/hyperlink" Target="https://doi.org/10.3390/land10040429" TargetMode="External"/><Relationship Id="rId30" Type="http://schemas.openxmlformats.org/officeDocument/2006/relationships/hyperlink" Target="https://doi.org/10.11613/BM.2012.031" TargetMode="External"/><Relationship Id="rId35" Type="http://schemas.openxmlformats.org/officeDocument/2006/relationships/hyperlink" Target="https://doi.org/10.1016/j.jaridenv.2020.104245"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111/1365-2664.13994" TargetMode="External"/><Relationship Id="rId17" Type="http://schemas.openxmlformats.org/officeDocument/2006/relationships/hyperlink" Target="https://doi.org/10.5194/piahs-384-121-2021" TargetMode="External"/><Relationship Id="rId25" Type="http://schemas.openxmlformats.org/officeDocument/2006/relationships/hyperlink" Target="https://doi.org/10.9734/cjast/2022/v41i434006" TargetMode="External"/><Relationship Id="rId33" Type="http://schemas.openxmlformats.org/officeDocument/2006/relationships/hyperlink" Target="https://doi.org/10.3390/soilsystems8030101" TargetMode="External"/><Relationship Id="rId38" Type="http://schemas.openxmlformats.org/officeDocument/2006/relationships/hyperlink" Target="https://doi.org/10.3390/su141610410" TargetMode="External"/><Relationship Id="rId46" Type="http://schemas.openxmlformats.org/officeDocument/2006/relationships/footer" Target="footer3.xml"/><Relationship Id="rId20" Type="http://schemas.openxmlformats.org/officeDocument/2006/relationships/hyperlink" Target="https://doi.org/10.1038/s43016-023-00751-8" TargetMode="External"/><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B4B23-8872-40AD-84B5-455825663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14</Pages>
  <Words>5171</Words>
  <Characters>32984</Characters>
  <Application>Microsoft Office Word</Application>
  <DocSecurity>0</DocSecurity>
  <Lines>274</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38079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8</cp:revision>
  <cp:lastPrinted>1999-07-06T11:00:00Z</cp:lastPrinted>
  <dcterms:created xsi:type="dcterms:W3CDTF">2025-11-24T14:17:00Z</dcterms:created>
  <dcterms:modified xsi:type="dcterms:W3CDTF">2025-11-26T12:14:00Z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34830d8a-7d43-4690-967e-a775743ffc93</vt:lpwstr>
  </property>
</Properties>
</file>