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FE41" w14:textId="3C2CFBED" w:rsidR="00085AB7" w:rsidRDefault="00085AB7" w:rsidP="0059376E">
      <w:pPr>
        <w:spacing w:after="0" w:line="240" w:lineRule="auto"/>
        <w:jc w:val="center"/>
        <w:rPr>
          <w:rFonts w:ascii="Arial" w:hAnsi="Arial" w:cs="Arial"/>
          <w:b/>
          <w:bCs/>
          <w:sz w:val="36"/>
          <w:szCs w:val="36"/>
        </w:rPr>
      </w:pPr>
      <w:r w:rsidRPr="00085AB7">
        <w:rPr>
          <w:rFonts w:ascii="Arial" w:hAnsi="Arial" w:cs="Arial"/>
          <w:b/>
          <w:bCs/>
          <w:sz w:val="36"/>
          <w:szCs w:val="36"/>
        </w:rPr>
        <w:t>Original Research Article</w:t>
      </w:r>
    </w:p>
    <w:p w14:paraId="024E0076" w14:textId="40E5D396" w:rsidR="0059376E" w:rsidRPr="00F556C1" w:rsidRDefault="0059376E" w:rsidP="0059376E">
      <w:pPr>
        <w:spacing w:after="0" w:line="240" w:lineRule="auto"/>
        <w:jc w:val="center"/>
        <w:rPr>
          <w:rFonts w:ascii="Arial" w:hAnsi="Arial" w:cs="Arial"/>
          <w:b/>
          <w:bCs/>
          <w:sz w:val="36"/>
          <w:szCs w:val="36"/>
        </w:rPr>
      </w:pPr>
      <w:bookmarkStart w:id="0" w:name="_Hlk220409848"/>
      <w:r w:rsidRPr="00F556C1">
        <w:rPr>
          <w:rFonts w:ascii="Arial" w:hAnsi="Arial" w:cs="Arial"/>
          <w:b/>
          <w:bCs/>
          <w:sz w:val="36"/>
          <w:szCs w:val="36"/>
        </w:rPr>
        <w:t xml:space="preserve">Ultrasonic </w:t>
      </w:r>
      <w:r w:rsidR="00E212B0" w:rsidRPr="00F556C1">
        <w:rPr>
          <w:rFonts w:ascii="Arial" w:hAnsi="Arial" w:cs="Arial"/>
          <w:b/>
          <w:bCs/>
          <w:sz w:val="36"/>
          <w:szCs w:val="36"/>
        </w:rPr>
        <w:t>P</w:t>
      </w:r>
      <w:r w:rsidRPr="00F556C1">
        <w:rPr>
          <w:rFonts w:ascii="Arial" w:hAnsi="Arial" w:cs="Arial"/>
          <w:b/>
          <w:bCs/>
          <w:sz w:val="36"/>
          <w:szCs w:val="36"/>
        </w:rPr>
        <w:t xml:space="preserve">retreatment </w:t>
      </w:r>
      <w:r w:rsidR="00E212B0" w:rsidRPr="00F556C1">
        <w:rPr>
          <w:rFonts w:ascii="Arial" w:hAnsi="Arial" w:cs="Arial"/>
          <w:b/>
          <w:bCs/>
          <w:sz w:val="36"/>
          <w:szCs w:val="36"/>
        </w:rPr>
        <w:t>O</w:t>
      </w:r>
      <w:r w:rsidRPr="00F556C1">
        <w:rPr>
          <w:rFonts w:ascii="Arial" w:hAnsi="Arial" w:cs="Arial"/>
          <w:b/>
          <w:bCs/>
          <w:sz w:val="36"/>
          <w:szCs w:val="36"/>
        </w:rPr>
        <w:t xml:space="preserve">ptimization of </w:t>
      </w:r>
      <w:r w:rsidR="00E212B0" w:rsidRPr="00F556C1">
        <w:rPr>
          <w:rFonts w:ascii="Arial" w:hAnsi="Arial" w:cs="Arial"/>
          <w:b/>
          <w:bCs/>
          <w:sz w:val="36"/>
          <w:szCs w:val="36"/>
        </w:rPr>
        <w:t>M</w:t>
      </w:r>
      <w:r w:rsidRPr="00F556C1">
        <w:rPr>
          <w:rFonts w:ascii="Arial" w:hAnsi="Arial" w:cs="Arial"/>
          <w:b/>
          <w:bCs/>
          <w:sz w:val="36"/>
          <w:szCs w:val="36"/>
        </w:rPr>
        <w:t xml:space="preserve">unicipal </w:t>
      </w:r>
      <w:r w:rsidR="00E212B0" w:rsidRPr="00F556C1">
        <w:rPr>
          <w:rFonts w:ascii="Arial" w:hAnsi="Arial" w:cs="Arial"/>
          <w:b/>
          <w:bCs/>
          <w:sz w:val="36"/>
          <w:szCs w:val="36"/>
        </w:rPr>
        <w:t>W</w:t>
      </w:r>
      <w:r w:rsidRPr="00F556C1">
        <w:rPr>
          <w:rFonts w:ascii="Arial" w:hAnsi="Arial" w:cs="Arial"/>
          <w:b/>
          <w:bCs/>
          <w:sz w:val="36"/>
          <w:szCs w:val="36"/>
        </w:rPr>
        <w:t xml:space="preserve">astewater for </w:t>
      </w:r>
      <w:r w:rsidRPr="00F556C1">
        <w:rPr>
          <w:rFonts w:ascii="Arial" w:hAnsi="Arial" w:cs="Arial"/>
          <w:b/>
          <w:bCs/>
          <w:i/>
          <w:iCs/>
          <w:sz w:val="36"/>
          <w:szCs w:val="36"/>
        </w:rPr>
        <w:t>Chlorococcum humicola</w:t>
      </w:r>
      <w:r w:rsidRPr="00F556C1">
        <w:rPr>
          <w:rFonts w:ascii="Arial" w:hAnsi="Arial" w:cs="Arial"/>
          <w:b/>
          <w:bCs/>
          <w:sz w:val="36"/>
          <w:szCs w:val="36"/>
        </w:rPr>
        <w:t xml:space="preserve"> </w:t>
      </w:r>
      <w:r w:rsidR="00E212B0" w:rsidRPr="00F556C1">
        <w:rPr>
          <w:rFonts w:ascii="Arial" w:hAnsi="Arial" w:cs="Arial"/>
          <w:b/>
          <w:bCs/>
          <w:sz w:val="36"/>
          <w:szCs w:val="36"/>
        </w:rPr>
        <w:t>B</w:t>
      </w:r>
      <w:r w:rsidRPr="00F556C1">
        <w:rPr>
          <w:rFonts w:ascii="Arial" w:hAnsi="Arial" w:cs="Arial"/>
          <w:b/>
          <w:bCs/>
          <w:sz w:val="36"/>
          <w:szCs w:val="36"/>
        </w:rPr>
        <w:t xml:space="preserve">iomass </w:t>
      </w:r>
      <w:r w:rsidR="00E212B0" w:rsidRPr="00F556C1">
        <w:rPr>
          <w:rFonts w:ascii="Arial" w:hAnsi="Arial" w:cs="Arial"/>
          <w:b/>
          <w:bCs/>
          <w:sz w:val="36"/>
          <w:szCs w:val="36"/>
        </w:rPr>
        <w:t>P</w:t>
      </w:r>
      <w:r w:rsidRPr="00F556C1">
        <w:rPr>
          <w:rFonts w:ascii="Arial" w:hAnsi="Arial" w:cs="Arial"/>
          <w:b/>
          <w:bCs/>
          <w:sz w:val="36"/>
          <w:szCs w:val="36"/>
        </w:rPr>
        <w:t xml:space="preserve">roduction and FTIR </w:t>
      </w:r>
      <w:r w:rsidR="00E212B0" w:rsidRPr="00F556C1">
        <w:rPr>
          <w:rFonts w:ascii="Arial" w:hAnsi="Arial" w:cs="Arial"/>
          <w:b/>
          <w:bCs/>
          <w:sz w:val="36"/>
          <w:szCs w:val="36"/>
        </w:rPr>
        <w:t>C</w:t>
      </w:r>
      <w:r w:rsidRPr="00F556C1">
        <w:rPr>
          <w:rFonts w:ascii="Arial" w:hAnsi="Arial" w:cs="Arial"/>
          <w:b/>
          <w:bCs/>
          <w:sz w:val="36"/>
          <w:szCs w:val="36"/>
        </w:rPr>
        <w:t>haracterization</w:t>
      </w:r>
    </w:p>
    <w:bookmarkEnd w:id="0"/>
    <w:p w14:paraId="5EB6A714" w14:textId="77777777" w:rsidR="0059376E" w:rsidRDefault="0059376E" w:rsidP="00A57EF5">
      <w:pPr>
        <w:spacing w:after="0" w:line="240" w:lineRule="auto"/>
        <w:jc w:val="right"/>
        <w:rPr>
          <w:rFonts w:ascii="Arial" w:hAnsi="Arial" w:cs="Arial"/>
          <w:b/>
          <w:bCs/>
          <w:sz w:val="22"/>
          <w:szCs w:val="22"/>
        </w:rPr>
      </w:pPr>
    </w:p>
    <w:p w14:paraId="2C705A0E" w14:textId="292F11FC" w:rsidR="00A57EF5" w:rsidRDefault="00A57EF5" w:rsidP="00A57EF5">
      <w:pPr>
        <w:spacing w:after="0" w:line="240" w:lineRule="auto"/>
        <w:jc w:val="right"/>
        <w:rPr>
          <w:rFonts w:ascii="Arial" w:hAnsi="Arial" w:cs="Arial"/>
          <w:b/>
          <w:bCs/>
          <w:sz w:val="22"/>
          <w:szCs w:val="22"/>
        </w:rPr>
      </w:pPr>
    </w:p>
    <w:p w14:paraId="0DD1B4F6" w14:textId="77777777" w:rsidR="00837128" w:rsidRPr="00A57EF5" w:rsidRDefault="00837128" w:rsidP="00A57EF5">
      <w:pPr>
        <w:spacing w:after="0" w:line="240" w:lineRule="auto"/>
        <w:jc w:val="right"/>
        <w:rPr>
          <w:rFonts w:ascii="Arial" w:hAnsi="Arial" w:cs="Arial"/>
          <w:b/>
          <w:bCs/>
          <w:sz w:val="22"/>
          <w:szCs w:val="22"/>
        </w:rPr>
      </w:pPr>
    </w:p>
    <w:p w14:paraId="705F3BF6" w14:textId="592E7401" w:rsidR="00A210DA" w:rsidRPr="00A210DA" w:rsidRDefault="00F556C1" w:rsidP="00A210DA">
      <w:pPr>
        <w:spacing w:after="0" w:line="240" w:lineRule="auto"/>
        <w:rPr>
          <w:rFonts w:ascii="Arial" w:hAnsi="Arial" w:cs="Arial"/>
          <w:b/>
          <w:bCs/>
          <w:sz w:val="22"/>
          <w:szCs w:val="22"/>
        </w:rPr>
      </w:pPr>
      <w:r w:rsidRPr="00A210DA">
        <w:rPr>
          <w:rFonts w:ascii="Arial" w:hAnsi="Arial" w:cs="Arial"/>
          <w:b/>
          <w:bCs/>
          <w:sz w:val="22"/>
          <w:szCs w:val="22"/>
        </w:rPr>
        <w:t>ABSTRACT</w:t>
      </w:r>
    </w:p>
    <w:p w14:paraId="108C51E5" w14:textId="02406BCD" w:rsidR="00A210DA" w:rsidRPr="00A56123" w:rsidRDefault="00A210DA" w:rsidP="00A210DA">
      <w:pPr>
        <w:spacing w:after="0" w:line="240" w:lineRule="auto"/>
        <w:jc w:val="both"/>
        <w:rPr>
          <w:rFonts w:ascii="Arial" w:hAnsi="Arial" w:cs="Arial"/>
          <w:sz w:val="20"/>
          <w:szCs w:val="20"/>
        </w:rPr>
      </w:pPr>
      <w:r w:rsidRPr="00A56123">
        <w:rPr>
          <w:rFonts w:ascii="Arial" w:hAnsi="Arial" w:cs="Arial"/>
          <w:sz w:val="20"/>
          <w:szCs w:val="20"/>
        </w:rPr>
        <w:t xml:space="preserve">The rising demand for sustainable bioresources has prompted interest in wastewater-based microalgal cultivation for bioactive compound production. In this study, municipal wastewater (MWW) was evaluated as a sole culture medium for biomass production by the double mutant </w:t>
      </w:r>
      <w:r w:rsidRPr="00A56123">
        <w:rPr>
          <w:rFonts w:ascii="Arial" w:hAnsi="Arial" w:cs="Arial"/>
          <w:i/>
          <w:iCs/>
          <w:sz w:val="20"/>
          <w:szCs w:val="20"/>
        </w:rPr>
        <w:t>Chlorococcum humicola</w:t>
      </w:r>
      <w:r w:rsidRPr="00A56123">
        <w:rPr>
          <w:rFonts w:ascii="Arial" w:hAnsi="Arial" w:cs="Arial"/>
          <w:sz w:val="20"/>
          <w:szCs w:val="20"/>
        </w:rPr>
        <w:t xml:space="preserve"> MCH4 following ultrasonic pretreatment. Response Surface Methodology (RSM) based on a Central Composite Design (CCD) was employed to optimize ultrasonic intensity (0.2</w:t>
      </w:r>
      <w:r w:rsidR="00BA07DA" w:rsidRPr="00A56123">
        <w:rPr>
          <w:rFonts w:ascii="Arial" w:hAnsi="Arial" w:cs="Arial"/>
          <w:sz w:val="20"/>
          <w:szCs w:val="20"/>
        </w:rPr>
        <w:t>-</w:t>
      </w:r>
      <w:r w:rsidRPr="00A56123">
        <w:rPr>
          <w:rFonts w:ascii="Arial" w:hAnsi="Arial" w:cs="Arial"/>
          <w:sz w:val="20"/>
          <w:szCs w:val="20"/>
        </w:rPr>
        <w:t>0.5 W/mL) and exposure time (10–30 min). The model was statistically significant (</w:t>
      </w:r>
      <w:r w:rsidRPr="00A56123">
        <w:rPr>
          <w:rFonts w:ascii="Arial" w:hAnsi="Arial" w:cs="Arial"/>
          <w:i/>
          <w:iCs/>
          <w:sz w:val="20"/>
          <w:szCs w:val="20"/>
        </w:rPr>
        <w:t>p</w:t>
      </w:r>
      <w:r w:rsidRPr="00A56123">
        <w:rPr>
          <w:rFonts w:ascii="Arial" w:hAnsi="Arial" w:cs="Arial"/>
          <w:sz w:val="20"/>
          <w:szCs w:val="20"/>
        </w:rPr>
        <w:t xml:space="preserve"> = 0.05), with high determination coefficients (R</w:t>
      </w:r>
      <w:r w:rsidRPr="00A56123">
        <w:rPr>
          <w:rFonts w:ascii="Arial" w:hAnsi="Arial" w:cs="Arial"/>
          <w:sz w:val="20"/>
          <w:szCs w:val="20"/>
          <w:vertAlign w:val="superscript"/>
        </w:rPr>
        <w:t>2</w:t>
      </w:r>
      <w:r w:rsidRPr="00A56123">
        <w:rPr>
          <w:rFonts w:ascii="Arial" w:hAnsi="Arial" w:cs="Arial"/>
          <w:sz w:val="20"/>
          <w:szCs w:val="20"/>
        </w:rPr>
        <w:t xml:space="preserve"> = 99.1%, R</w:t>
      </w:r>
      <w:r w:rsidRPr="00A56123">
        <w:rPr>
          <w:rFonts w:ascii="Arial" w:hAnsi="Arial" w:cs="Arial"/>
          <w:sz w:val="20"/>
          <w:szCs w:val="20"/>
          <w:vertAlign w:val="superscript"/>
        </w:rPr>
        <w:t>2</w:t>
      </w:r>
      <w:r w:rsidRPr="00A56123">
        <w:rPr>
          <w:rFonts w:ascii="Arial" w:hAnsi="Arial" w:cs="Arial"/>
          <w:sz w:val="20"/>
          <w:szCs w:val="20"/>
        </w:rPr>
        <w:t>adj = 98.4%). Optimal pretreatment conditions were identified at 0.35 W/mL for 20 min, resulting in maximal biomass yield of 3.98 g/L, compared to 1.76 g/ in untreated 50% MWW and 1.32 g L</w:t>
      </w:r>
      <w:r w:rsidRPr="00A56123">
        <w:rPr>
          <w:rFonts w:ascii="Cambria Math" w:hAnsi="Cambria Math" w:cs="Cambria Math"/>
          <w:sz w:val="20"/>
          <w:szCs w:val="20"/>
        </w:rPr>
        <w:t>⁻</w:t>
      </w:r>
      <w:r w:rsidRPr="00A56123">
        <w:rPr>
          <w:rFonts w:ascii="Arial" w:hAnsi="Arial" w:cs="Arial"/>
          <w:sz w:val="20"/>
          <w:szCs w:val="20"/>
        </w:rPr>
        <w:t>¹ in BBM control. Ultrasonic pretreatment increased dissolved organic matter from 12.41 ± 0.11 to 35.12 ± 0.14 mg/L, while eliminating bacterial colonies (reduced from 272 CFU to 0 CFU), demonstrating its dual role in nutrient solubilization and disinfection. Biomass production using varying UPMWW strengths showed the highest yield at 75% UPMWW (4.29 g/L), significantly higher (</w:t>
      </w:r>
      <w:r w:rsidRPr="00A56123">
        <w:rPr>
          <w:rFonts w:ascii="Arial" w:hAnsi="Arial" w:cs="Arial"/>
          <w:i/>
          <w:iCs/>
          <w:sz w:val="20"/>
          <w:szCs w:val="20"/>
        </w:rPr>
        <w:t>p</w:t>
      </w:r>
      <w:r w:rsidRPr="00A56123">
        <w:rPr>
          <w:rFonts w:ascii="Arial" w:hAnsi="Arial" w:cs="Arial"/>
          <w:sz w:val="20"/>
          <w:szCs w:val="20"/>
        </w:rPr>
        <w:t xml:space="preserve"> = 0.05) than other concentrations. FTIR analysis confirmed the presence of proteins, polysaccharides, lipids, pigments, and astaxanthin in the biomass, suggesting suitability for value-added bioproducts. To the best of our knowledge, this is the first report characterizing UPMWW</w:t>
      </w:r>
      <w:r w:rsidR="00BA07DA" w:rsidRPr="00A56123">
        <w:rPr>
          <w:rFonts w:ascii="Arial" w:hAnsi="Arial" w:cs="Arial"/>
          <w:sz w:val="20"/>
          <w:szCs w:val="20"/>
        </w:rPr>
        <w:t>-</w:t>
      </w:r>
      <w:r w:rsidRPr="00A56123">
        <w:rPr>
          <w:rFonts w:ascii="Arial" w:hAnsi="Arial" w:cs="Arial"/>
          <w:sz w:val="20"/>
          <w:szCs w:val="20"/>
        </w:rPr>
        <w:t xml:space="preserve">grown double mutant </w:t>
      </w:r>
      <w:r w:rsidRPr="00A56123">
        <w:rPr>
          <w:rFonts w:ascii="Arial" w:hAnsi="Arial" w:cs="Arial"/>
          <w:i/>
          <w:iCs/>
          <w:sz w:val="20"/>
          <w:szCs w:val="20"/>
        </w:rPr>
        <w:t>C. humicola</w:t>
      </w:r>
      <w:r w:rsidRPr="00A56123">
        <w:rPr>
          <w:rFonts w:ascii="Arial" w:hAnsi="Arial" w:cs="Arial"/>
          <w:sz w:val="20"/>
          <w:szCs w:val="20"/>
        </w:rPr>
        <w:t xml:space="preserve"> MCH4 for sustainable bioactive feedstock production. Overall, UPMWW presents a promising low-cost substrate for circular bioeconomy-driven microalgal bioprocessing.</w:t>
      </w:r>
    </w:p>
    <w:p w14:paraId="59332BFB" w14:textId="1FFD613D" w:rsidR="00A210DA" w:rsidRPr="00A56123" w:rsidRDefault="00A210DA" w:rsidP="00A210DA">
      <w:pPr>
        <w:spacing w:after="0" w:line="240" w:lineRule="auto"/>
        <w:rPr>
          <w:rFonts w:ascii="Arial" w:hAnsi="Arial" w:cs="Arial"/>
          <w:sz w:val="20"/>
          <w:szCs w:val="20"/>
        </w:rPr>
      </w:pPr>
      <w:r w:rsidRPr="00A56123">
        <w:rPr>
          <w:rFonts w:ascii="Arial" w:hAnsi="Arial" w:cs="Arial"/>
          <w:b/>
          <w:bCs/>
          <w:sz w:val="20"/>
          <w:szCs w:val="20"/>
        </w:rPr>
        <w:t>Keywords:</w:t>
      </w:r>
      <w:r w:rsidRPr="00A56123">
        <w:rPr>
          <w:rFonts w:ascii="Arial" w:hAnsi="Arial" w:cs="Arial"/>
          <w:sz w:val="20"/>
          <w:szCs w:val="20"/>
        </w:rPr>
        <w:t xml:space="preserve"> Ultrasonic pretreatment, Municipal wastewater, </w:t>
      </w:r>
      <w:r w:rsidRPr="00A56123">
        <w:rPr>
          <w:rFonts w:ascii="Arial" w:hAnsi="Arial" w:cs="Arial"/>
          <w:i/>
          <w:iCs/>
          <w:sz w:val="20"/>
          <w:szCs w:val="20"/>
        </w:rPr>
        <w:t>Chlorococcum humicola</w:t>
      </w:r>
      <w:r w:rsidRPr="00A56123">
        <w:rPr>
          <w:rFonts w:ascii="Arial" w:hAnsi="Arial" w:cs="Arial"/>
          <w:sz w:val="20"/>
          <w:szCs w:val="20"/>
        </w:rPr>
        <w:t>, Biomass production, Bioactive compounds</w:t>
      </w:r>
    </w:p>
    <w:p w14:paraId="60DFB62A" w14:textId="1B2B253C" w:rsidR="00A57EF5" w:rsidRPr="00A56123" w:rsidRDefault="00A57EF5" w:rsidP="00A66C89">
      <w:pPr>
        <w:spacing w:after="0" w:line="240" w:lineRule="auto"/>
        <w:rPr>
          <w:rFonts w:ascii="Arial" w:hAnsi="Arial" w:cs="Arial"/>
          <w:b/>
          <w:bCs/>
          <w:sz w:val="20"/>
          <w:szCs w:val="20"/>
        </w:rPr>
      </w:pPr>
    </w:p>
    <w:p w14:paraId="3E4482D6" w14:textId="159A70A2" w:rsidR="00686480" w:rsidRPr="00A66C89" w:rsidRDefault="00A66C89" w:rsidP="00A66C89">
      <w:pPr>
        <w:spacing w:after="0" w:line="240" w:lineRule="auto"/>
        <w:rPr>
          <w:rFonts w:ascii="Arial" w:hAnsi="Arial" w:cs="Arial"/>
          <w:b/>
          <w:bCs/>
          <w:sz w:val="22"/>
          <w:szCs w:val="22"/>
        </w:rPr>
      </w:pPr>
      <w:r>
        <w:rPr>
          <w:rFonts w:ascii="Arial" w:hAnsi="Arial" w:cs="Arial"/>
          <w:b/>
          <w:bCs/>
          <w:sz w:val="22"/>
          <w:szCs w:val="22"/>
        </w:rPr>
        <w:t xml:space="preserve">1. </w:t>
      </w:r>
      <w:r w:rsidR="00792E8A" w:rsidRPr="00A66C89">
        <w:rPr>
          <w:rFonts w:ascii="Arial" w:hAnsi="Arial" w:cs="Arial"/>
          <w:b/>
          <w:bCs/>
          <w:sz w:val="22"/>
          <w:szCs w:val="22"/>
        </w:rPr>
        <w:t xml:space="preserve">INTRODUCTION </w:t>
      </w:r>
    </w:p>
    <w:p w14:paraId="11CF9F0B" w14:textId="059BA689" w:rsidR="00302364" w:rsidRPr="00A56123" w:rsidRDefault="00302364" w:rsidP="00A66C89">
      <w:pPr>
        <w:spacing w:after="0" w:line="240" w:lineRule="auto"/>
        <w:jc w:val="both"/>
        <w:rPr>
          <w:rFonts w:ascii="Arial" w:hAnsi="Arial" w:cs="Arial"/>
          <w:sz w:val="20"/>
          <w:szCs w:val="20"/>
        </w:rPr>
      </w:pPr>
      <w:r w:rsidRPr="00A56123">
        <w:rPr>
          <w:rFonts w:ascii="Arial" w:hAnsi="Arial" w:cs="Arial"/>
          <w:sz w:val="20"/>
          <w:szCs w:val="20"/>
        </w:rPr>
        <w:t>As the global population continues to rise and climate change intensifies, there will be an unprecedented need for sustainable food sources that offer more than just basic nutrition. This situation calls for alternative resources</w:t>
      </w:r>
      <w:r w:rsidR="00BA07DA" w:rsidRPr="00A56123">
        <w:rPr>
          <w:rFonts w:ascii="Arial" w:hAnsi="Arial" w:cs="Arial"/>
          <w:sz w:val="20"/>
          <w:szCs w:val="20"/>
        </w:rPr>
        <w:t>-</w:t>
      </w:r>
      <w:r w:rsidRPr="00A56123">
        <w:rPr>
          <w:rFonts w:ascii="Arial" w:hAnsi="Arial" w:cs="Arial"/>
          <w:sz w:val="20"/>
          <w:szCs w:val="20"/>
        </w:rPr>
        <w:t>such as microalgae</w:t>
      </w:r>
      <w:r w:rsidR="00BA07DA" w:rsidRPr="00A56123">
        <w:rPr>
          <w:rFonts w:ascii="Arial" w:hAnsi="Arial" w:cs="Arial"/>
          <w:sz w:val="20"/>
          <w:szCs w:val="20"/>
        </w:rPr>
        <w:t>-</w:t>
      </w:r>
      <w:r w:rsidRPr="00A56123">
        <w:rPr>
          <w:rFonts w:ascii="Arial" w:hAnsi="Arial" w:cs="Arial"/>
          <w:sz w:val="20"/>
          <w:szCs w:val="20"/>
        </w:rPr>
        <w:t>that can support the functional food sector while meeting the expanding health demands of future generations. Interest in natural health-promoting molecules has risen alongside the expanding market for functional foods and nutraceuticals. Microalgae are now recognized as sustainable and versatile producers of valuable bioactive metabolites, including proteins, lipids, pigments, and polysaccharides with diverse functionalities. These metabolites exhibit notable biological activities, such as antioxidant, anti-inflammatory, antimicrobial, anticancer, and neuroprotective effects. Because of this broad biochemical profile, microalgae serve as excellent natural sources of functional ingredients and natural colorants for food, nutraceutical, and pharmaceutical industries. In addition, evidence from human studies increasingly highlights the positive effects of microalgal supplementation on disease prevention and general health improvement</w:t>
      </w:r>
      <w:r w:rsidR="00243F14" w:rsidRPr="00A56123">
        <w:rPr>
          <w:rFonts w:ascii="Arial" w:hAnsi="Arial" w:cs="Arial"/>
          <w:sz w:val="20"/>
          <w:szCs w:val="20"/>
        </w:rPr>
        <w:t xml:space="preserve"> (Oslan et al., 2025)</w:t>
      </w:r>
      <w:r w:rsidRPr="00A56123">
        <w:rPr>
          <w:rFonts w:ascii="Arial" w:hAnsi="Arial" w:cs="Arial"/>
          <w:sz w:val="20"/>
          <w:szCs w:val="20"/>
        </w:rPr>
        <w:t>.</w:t>
      </w:r>
    </w:p>
    <w:p w14:paraId="4347366E" w14:textId="77777777" w:rsidR="00A66C89" w:rsidRPr="00A56123" w:rsidRDefault="00A66C89" w:rsidP="00A66C89">
      <w:pPr>
        <w:spacing w:after="0" w:line="240" w:lineRule="auto"/>
        <w:jc w:val="both"/>
        <w:rPr>
          <w:rFonts w:ascii="Arial" w:hAnsi="Arial" w:cs="Arial"/>
          <w:sz w:val="20"/>
          <w:szCs w:val="20"/>
        </w:rPr>
      </w:pPr>
    </w:p>
    <w:p w14:paraId="349674B2" w14:textId="10EA3956" w:rsidR="00302364" w:rsidRPr="00A56123" w:rsidRDefault="00302364" w:rsidP="00A66C89">
      <w:pPr>
        <w:spacing w:after="0" w:line="240" w:lineRule="auto"/>
        <w:jc w:val="both"/>
        <w:rPr>
          <w:rFonts w:ascii="Arial" w:hAnsi="Arial" w:cs="Arial"/>
          <w:sz w:val="20"/>
          <w:szCs w:val="20"/>
        </w:rPr>
      </w:pPr>
      <w:r w:rsidRPr="00A56123">
        <w:rPr>
          <w:rFonts w:ascii="Arial" w:hAnsi="Arial" w:cs="Arial"/>
          <w:sz w:val="20"/>
          <w:szCs w:val="20"/>
        </w:rPr>
        <w:t>Microalgae exhibit significantly faster growth rates compared to land plants and are capable of thriving in various aquatic environments, including freshwater, marine habitats, and even wastewater. Despite these advantages, the major barrier to commercializing microalgae-derived products and biofuels remains the high production cost (Lu et al., 2020). Using synthetic nutrient media for large</w:t>
      </w:r>
      <w:r w:rsidR="00BA07DA" w:rsidRPr="00A56123">
        <w:rPr>
          <w:rFonts w:ascii="Arial" w:hAnsi="Arial" w:cs="Arial"/>
          <w:sz w:val="20"/>
          <w:szCs w:val="20"/>
        </w:rPr>
        <w:t>-</w:t>
      </w:r>
      <w:r w:rsidRPr="00A56123">
        <w:rPr>
          <w:rFonts w:ascii="Arial" w:hAnsi="Arial" w:cs="Arial"/>
          <w:sz w:val="20"/>
          <w:szCs w:val="20"/>
        </w:rPr>
        <w:t>scale cultivation is not economically feasible, making wastewater a promising low-cost alternative for biomass production. In addition to providing nutrients, wastewater cultivation enables microalgae to remove pollutants through phycoremediation while simultaneously fixing atmospheric CO</w:t>
      </w:r>
      <w:r w:rsidR="00243F14" w:rsidRPr="00A56123">
        <w:rPr>
          <w:rFonts w:ascii="Arial" w:hAnsi="Arial" w:cs="Arial"/>
          <w:sz w:val="20"/>
          <w:szCs w:val="20"/>
          <w:vertAlign w:val="subscript"/>
        </w:rPr>
        <w:t>2</w:t>
      </w:r>
      <w:r w:rsidRPr="00A56123">
        <w:rPr>
          <w:rFonts w:ascii="Arial" w:hAnsi="Arial" w:cs="Arial"/>
          <w:sz w:val="20"/>
          <w:szCs w:val="20"/>
        </w:rPr>
        <w:t xml:space="preserve"> during growth. Nonetheless, the success of nutrient removal and biomass generation is highly dependent on both the characteristics of the wastewater and the microalgal strain used. Wastewater often contains a mixture of organic and inorganic </w:t>
      </w:r>
      <w:r w:rsidRPr="00A56123">
        <w:rPr>
          <w:rFonts w:ascii="Arial" w:hAnsi="Arial" w:cs="Arial"/>
          <w:sz w:val="20"/>
          <w:szCs w:val="20"/>
        </w:rPr>
        <w:lastRenderedPageBreak/>
        <w:t>compounds, particularly nitrogen and phosphorus, and excessive levels of these nutrients can hinder microalgal growth rather than support it (Xie and Liu, 2010).</w:t>
      </w:r>
    </w:p>
    <w:p w14:paraId="7CE2EC0A" w14:textId="77777777" w:rsidR="00A66C89" w:rsidRPr="00A56123" w:rsidRDefault="00A66C89" w:rsidP="00A66C89">
      <w:pPr>
        <w:spacing w:after="0" w:line="240" w:lineRule="auto"/>
        <w:jc w:val="both"/>
        <w:rPr>
          <w:rFonts w:ascii="Arial" w:hAnsi="Arial" w:cs="Arial"/>
          <w:sz w:val="20"/>
          <w:szCs w:val="20"/>
        </w:rPr>
      </w:pPr>
    </w:p>
    <w:p w14:paraId="639429E8" w14:textId="699B5384" w:rsidR="00D45003" w:rsidRPr="00A56123" w:rsidRDefault="00D45003" w:rsidP="00A66C89">
      <w:pPr>
        <w:spacing w:after="0" w:line="240" w:lineRule="auto"/>
        <w:jc w:val="both"/>
        <w:rPr>
          <w:rFonts w:ascii="Arial" w:hAnsi="Arial" w:cs="Arial"/>
          <w:sz w:val="20"/>
          <w:szCs w:val="20"/>
        </w:rPr>
      </w:pPr>
      <w:r w:rsidRPr="00A56123">
        <w:rPr>
          <w:rFonts w:ascii="Arial" w:hAnsi="Arial" w:cs="Arial"/>
          <w:sz w:val="20"/>
          <w:szCs w:val="20"/>
        </w:rPr>
        <w:t>Wastewater is generated from various domestic, agricultural, and industrial activities, and contains a mixture of anthropogenic pollutants along with organic and inorganic substances that enter the environment (</w:t>
      </w:r>
      <w:r w:rsidR="00AD42BB" w:rsidRPr="00A56123">
        <w:rPr>
          <w:rFonts w:ascii="Arial" w:hAnsi="Arial" w:cs="Arial"/>
          <w:sz w:val="20"/>
          <w:szCs w:val="20"/>
        </w:rPr>
        <w:t xml:space="preserve">Le et al., 2021; </w:t>
      </w:r>
      <w:r w:rsidRPr="00A56123">
        <w:rPr>
          <w:rFonts w:ascii="Arial" w:hAnsi="Arial" w:cs="Arial"/>
          <w:sz w:val="20"/>
          <w:szCs w:val="20"/>
        </w:rPr>
        <w:t>Mofijur et al., 2021). If left untreated, these contaminants can lead to severe ecological damage and pose significant health hazards to humans. Consequently, effective wastewater management has become a major priority in many regions to safeguard water quality and ensure sustainable water availability (Abdel-Raouf et al., 2012; Ahmed et al., 2022). Wastewater typically carries a broad spectrum of organic compounds</w:t>
      </w:r>
      <w:r w:rsidR="00BA07DA" w:rsidRPr="00A56123">
        <w:rPr>
          <w:rFonts w:ascii="Arial" w:hAnsi="Arial" w:cs="Arial"/>
          <w:sz w:val="20"/>
          <w:szCs w:val="20"/>
        </w:rPr>
        <w:t>-</w:t>
      </w:r>
      <w:r w:rsidRPr="00A56123">
        <w:rPr>
          <w:rFonts w:ascii="Arial" w:hAnsi="Arial" w:cs="Arial"/>
          <w:sz w:val="20"/>
          <w:szCs w:val="20"/>
        </w:rPr>
        <w:t>including carbohydrates, proteins, lipids, and amino acids</w:t>
      </w:r>
      <w:r w:rsidR="00BA07DA" w:rsidRPr="00A56123">
        <w:rPr>
          <w:rFonts w:ascii="Arial" w:hAnsi="Arial" w:cs="Arial"/>
          <w:sz w:val="20"/>
          <w:szCs w:val="20"/>
        </w:rPr>
        <w:t>-</w:t>
      </w:r>
      <w:r w:rsidRPr="00A56123">
        <w:rPr>
          <w:rFonts w:ascii="Arial" w:hAnsi="Arial" w:cs="Arial"/>
          <w:sz w:val="20"/>
          <w:szCs w:val="20"/>
        </w:rPr>
        <w:t xml:space="preserve">along with high levels of inorganic nutrients and diverse microbial populations (Wen et al., 2020; Goswami et al., 2021). For microalgal cultivation, wastewater often requires appropriate pre-treatment to break down complex organic molecules into simpler forms that can be readily assimilated. Moreover, large-scale implementation of such approaches must be both economically feasible and environmentally sustainable (Ahmed et al., 2022). To achieve effective degradation of organic matter, several </w:t>
      </w:r>
      <w:r w:rsidR="00383286" w:rsidRPr="00A56123">
        <w:rPr>
          <w:rFonts w:ascii="Arial" w:hAnsi="Arial" w:cs="Arial"/>
          <w:sz w:val="20"/>
          <w:szCs w:val="20"/>
        </w:rPr>
        <w:t>disintegrations</w:t>
      </w:r>
      <w:r w:rsidRPr="00A56123">
        <w:rPr>
          <w:rFonts w:ascii="Arial" w:hAnsi="Arial" w:cs="Arial"/>
          <w:sz w:val="20"/>
          <w:szCs w:val="20"/>
        </w:rPr>
        <w:t xml:space="preserve"> strategies</w:t>
      </w:r>
      <w:r w:rsidR="00BA07DA" w:rsidRPr="00A56123">
        <w:rPr>
          <w:rFonts w:ascii="Arial" w:hAnsi="Arial" w:cs="Arial"/>
          <w:sz w:val="20"/>
          <w:szCs w:val="20"/>
        </w:rPr>
        <w:t>-</w:t>
      </w:r>
      <w:r w:rsidRPr="00A56123">
        <w:rPr>
          <w:rFonts w:ascii="Arial" w:hAnsi="Arial" w:cs="Arial"/>
          <w:sz w:val="20"/>
          <w:szCs w:val="20"/>
        </w:rPr>
        <w:t>used either individually or in combination</w:t>
      </w:r>
      <w:r w:rsidR="00764558">
        <w:rPr>
          <w:rFonts w:ascii="Arial" w:hAnsi="Arial" w:cs="Arial"/>
          <w:sz w:val="20"/>
          <w:szCs w:val="20"/>
        </w:rPr>
        <w:t>-</w:t>
      </w:r>
      <w:r w:rsidRPr="00A56123">
        <w:rPr>
          <w:rFonts w:ascii="Arial" w:hAnsi="Arial" w:cs="Arial"/>
          <w:sz w:val="20"/>
          <w:szCs w:val="20"/>
        </w:rPr>
        <w:t>have been explored, including ultrasonic, thermochemical, and thermo-chemo-sonic treatments, which generally demand high energy inputs. These methods have been shown to successfully decompose various organic pollutants present in wastewater (</w:t>
      </w:r>
      <w:r w:rsidR="00E23327" w:rsidRPr="00A56123">
        <w:rPr>
          <w:rFonts w:ascii="Arial" w:hAnsi="Arial" w:cs="Arial"/>
          <w:sz w:val="20"/>
          <w:szCs w:val="20"/>
        </w:rPr>
        <w:t>Guo</w:t>
      </w:r>
      <w:r w:rsidR="004B65AB" w:rsidRPr="00A56123">
        <w:rPr>
          <w:rFonts w:ascii="Arial" w:hAnsi="Arial" w:cs="Arial"/>
          <w:sz w:val="20"/>
          <w:szCs w:val="20"/>
        </w:rPr>
        <w:t xml:space="preserve"> et al., 20</w:t>
      </w:r>
      <w:r w:rsidR="00E23327" w:rsidRPr="00A56123">
        <w:rPr>
          <w:rFonts w:ascii="Arial" w:hAnsi="Arial" w:cs="Arial"/>
          <w:sz w:val="20"/>
          <w:szCs w:val="20"/>
        </w:rPr>
        <w:t>16</w:t>
      </w:r>
      <w:r w:rsidRPr="00A56123">
        <w:rPr>
          <w:rFonts w:ascii="Arial" w:hAnsi="Arial" w:cs="Arial"/>
          <w:sz w:val="20"/>
          <w:szCs w:val="20"/>
        </w:rPr>
        <w:t>).</w:t>
      </w:r>
    </w:p>
    <w:p w14:paraId="429AFC81" w14:textId="77777777" w:rsidR="00A66C89" w:rsidRPr="00A56123" w:rsidRDefault="00A66C89" w:rsidP="00A66C89">
      <w:pPr>
        <w:spacing w:after="0" w:line="240" w:lineRule="auto"/>
        <w:jc w:val="both"/>
        <w:rPr>
          <w:rFonts w:ascii="Arial" w:hAnsi="Arial" w:cs="Arial"/>
          <w:sz w:val="20"/>
          <w:szCs w:val="20"/>
        </w:rPr>
      </w:pPr>
    </w:p>
    <w:p w14:paraId="50321731" w14:textId="28864893" w:rsidR="00D45003" w:rsidRPr="00A56123" w:rsidRDefault="00D45003" w:rsidP="00A66C89">
      <w:pPr>
        <w:spacing w:after="0" w:line="240" w:lineRule="auto"/>
        <w:jc w:val="both"/>
        <w:rPr>
          <w:rFonts w:ascii="Arial" w:hAnsi="Arial" w:cs="Arial"/>
          <w:sz w:val="20"/>
          <w:szCs w:val="20"/>
        </w:rPr>
      </w:pPr>
      <w:r w:rsidRPr="00A56123">
        <w:rPr>
          <w:rFonts w:ascii="Arial" w:hAnsi="Arial" w:cs="Arial"/>
          <w:sz w:val="20"/>
          <w:szCs w:val="20"/>
        </w:rPr>
        <w:t>Ultrasonic (US) pre-treatment is a physical method widely employed to enhance the breakdown of organic pollutants, typically using ultrasound frequencies ranging from 20 to 100 kHz (Mischopoulou et al., 2016). When ultrasound waves pass through water, they generate cavitation bubbles that rapidly collapse, producing strong shear forces and reactive radicals (Ciggin et al., 2021). These effects contribute to the disruption of organic matter and destruction of microbial cells (Pilli et al., 2011; Zhao et al., 2020). US pretreatment can be applied before using wastewater as a cultivation medium for microalgae intended for biodiesel production, as it offers lower operational costs compared to many alternative pre-treatment methods. It is also favored due to its simple operation, modest energy requirements, and minimal need for complex equipment or technical modifications (Naveena et al., 2015). Several studies have shown that low-intensity ultrasound can enhance biological nutrient removal, particularly nitrogen and phosphorus, and boost the overall metabolic activity of activated sludge (Xie et al., 2008; Xie and Liu, 2010). However, if the ultrasonic power is set too low or excessively high, it may negatively affect biological activity and slow down degradation processes (Schlafer et al., 2002).</w:t>
      </w:r>
    </w:p>
    <w:p w14:paraId="77E14323" w14:textId="77777777" w:rsidR="00A66C89" w:rsidRPr="00A56123" w:rsidRDefault="00A66C89" w:rsidP="00A66C89">
      <w:pPr>
        <w:spacing w:after="0" w:line="240" w:lineRule="auto"/>
        <w:jc w:val="both"/>
        <w:rPr>
          <w:rFonts w:ascii="Arial" w:hAnsi="Arial" w:cs="Arial"/>
          <w:sz w:val="20"/>
          <w:szCs w:val="20"/>
        </w:rPr>
      </w:pPr>
    </w:p>
    <w:p w14:paraId="6B7EC89E" w14:textId="346F726C" w:rsidR="00D45003" w:rsidRPr="00A56123" w:rsidRDefault="00062FC6" w:rsidP="00A66C89">
      <w:pPr>
        <w:spacing w:after="0" w:line="240" w:lineRule="auto"/>
        <w:jc w:val="both"/>
        <w:rPr>
          <w:rFonts w:ascii="Arial" w:hAnsi="Arial" w:cs="Arial"/>
          <w:sz w:val="20"/>
          <w:szCs w:val="20"/>
        </w:rPr>
      </w:pPr>
      <w:r w:rsidRPr="00A56123">
        <w:rPr>
          <w:rFonts w:ascii="Arial" w:hAnsi="Arial" w:cs="Arial"/>
          <w:sz w:val="20"/>
          <w:szCs w:val="20"/>
        </w:rPr>
        <w:t>In this study, Response Surface Methodology (RSM) based on a Central Composite Design (CCD) was used to evaluate the effects of ultrasonic parameters</w:t>
      </w:r>
      <w:r w:rsidR="00BA07DA" w:rsidRPr="00A56123">
        <w:rPr>
          <w:rFonts w:ascii="Arial" w:hAnsi="Arial" w:cs="Arial"/>
          <w:sz w:val="20"/>
          <w:szCs w:val="20"/>
        </w:rPr>
        <w:t>-</w:t>
      </w:r>
      <w:r w:rsidRPr="00A56123">
        <w:rPr>
          <w:rFonts w:ascii="Arial" w:hAnsi="Arial" w:cs="Arial"/>
          <w:sz w:val="20"/>
          <w:szCs w:val="20"/>
        </w:rPr>
        <w:t xml:space="preserve">specifically ultrasonic intensity and exposure duration—during the pretreatment of municipal wastewater used as the sole cultivation medium for biomass production by the double mutant </w:t>
      </w:r>
      <w:r w:rsidRPr="00A56123">
        <w:rPr>
          <w:rFonts w:ascii="Arial" w:hAnsi="Arial" w:cs="Arial"/>
          <w:i/>
          <w:iCs/>
          <w:sz w:val="20"/>
          <w:szCs w:val="20"/>
        </w:rPr>
        <w:t>Chlorococcum humicola</w:t>
      </w:r>
      <w:r w:rsidR="00AD42BB" w:rsidRPr="00A56123">
        <w:rPr>
          <w:rFonts w:ascii="Arial" w:hAnsi="Arial" w:cs="Arial"/>
          <w:i/>
          <w:iCs/>
          <w:sz w:val="20"/>
          <w:szCs w:val="20"/>
        </w:rPr>
        <w:t xml:space="preserve"> </w:t>
      </w:r>
      <w:r w:rsidR="00AD42BB" w:rsidRPr="00A56123">
        <w:rPr>
          <w:rFonts w:ascii="Arial" w:hAnsi="Arial" w:cs="Arial"/>
          <w:sz w:val="20"/>
          <w:szCs w:val="20"/>
        </w:rPr>
        <w:t>MCH4</w:t>
      </w:r>
      <w:r w:rsidRPr="00A56123">
        <w:rPr>
          <w:rFonts w:ascii="Arial" w:hAnsi="Arial" w:cs="Arial"/>
          <w:sz w:val="20"/>
          <w:szCs w:val="20"/>
        </w:rPr>
        <w:t>. In addition, the biomass obtained from ultrasonically pretreated municipal wastewater</w:t>
      </w:r>
      <w:r w:rsidR="00BA07DA" w:rsidRPr="00A56123">
        <w:rPr>
          <w:rFonts w:ascii="Arial" w:hAnsi="Arial" w:cs="Arial"/>
          <w:sz w:val="20"/>
          <w:szCs w:val="20"/>
        </w:rPr>
        <w:t xml:space="preserve"> (UPMWW)</w:t>
      </w:r>
      <w:r w:rsidRPr="00A56123">
        <w:rPr>
          <w:rFonts w:ascii="Arial" w:hAnsi="Arial" w:cs="Arial"/>
          <w:sz w:val="20"/>
          <w:szCs w:val="20"/>
        </w:rPr>
        <w:t xml:space="preserve"> was characterized using Fourier Transform Infrared (FTIR) analysis.</w:t>
      </w:r>
    </w:p>
    <w:p w14:paraId="3BCB6AF8" w14:textId="77777777" w:rsidR="00A66C89" w:rsidRPr="00A56123" w:rsidRDefault="00A66C89" w:rsidP="00CF6CCC">
      <w:pPr>
        <w:spacing w:after="0" w:line="240" w:lineRule="auto"/>
        <w:jc w:val="both"/>
        <w:rPr>
          <w:rFonts w:ascii="Arial" w:hAnsi="Arial" w:cs="Arial"/>
          <w:b/>
          <w:bCs/>
          <w:sz w:val="20"/>
          <w:szCs w:val="20"/>
        </w:rPr>
      </w:pPr>
    </w:p>
    <w:p w14:paraId="56B7E80D" w14:textId="559B2446" w:rsidR="003F0BA8" w:rsidRPr="00CF6CCC" w:rsidRDefault="00CF6CCC" w:rsidP="00CF6CCC">
      <w:pPr>
        <w:spacing w:after="0" w:line="240" w:lineRule="auto"/>
        <w:jc w:val="both"/>
        <w:rPr>
          <w:rFonts w:ascii="Arial" w:hAnsi="Arial" w:cs="Arial"/>
          <w:b/>
          <w:bCs/>
          <w:sz w:val="22"/>
          <w:szCs w:val="22"/>
        </w:rPr>
      </w:pPr>
      <w:r>
        <w:rPr>
          <w:rFonts w:ascii="Arial" w:hAnsi="Arial" w:cs="Arial"/>
          <w:b/>
          <w:bCs/>
          <w:sz w:val="22"/>
          <w:szCs w:val="22"/>
        </w:rPr>
        <w:t xml:space="preserve">2. </w:t>
      </w:r>
      <w:r w:rsidRPr="00CF6CCC">
        <w:rPr>
          <w:rFonts w:ascii="Arial" w:hAnsi="Arial" w:cs="Arial"/>
          <w:b/>
          <w:bCs/>
          <w:sz w:val="22"/>
          <w:szCs w:val="22"/>
        </w:rPr>
        <w:t>MATERIALS AND METHODS</w:t>
      </w:r>
    </w:p>
    <w:p w14:paraId="3531E140" w14:textId="77777777" w:rsidR="00A66C89" w:rsidRDefault="00A66C89" w:rsidP="00CF6CCC">
      <w:pPr>
        <w:spacing w:after="0" w:line="240" w:lineRule="auto"/>
        <w:jc w:val="both"/>
        <w:rPr>
          <w:rFonts w:ascii="Arial" w:hAnsi="Arial" w:cs="Arial"/>
          <w:b/>
          <w:bCs/>
          <w:sz w:val="22"/>
          <w:szCs w:val="22"/>
        </w:rPr>
      </w:pPr>
    </w:p>
    <w:p w14:paraId="3A2D0B86" w14:textId="058407F4" w:rsidR="003F0BA8"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2.1 </w:t>
      </w:r>
      <w:r w:rsidR="003F0BA8" w:rsidRPr="00A56123">
        <w:rPr>
          <w:rFonts w:ascii="Arial" w:hAnsi="Arial" w:cs="Arial"/>
          <w:b/>
          <w:bCs/>
          <w:sz w:val="20"/>
          <w:szCs w:val="20"/>
        </w:rPr>
        <w:t xml:space="preserve">Double </w:t>
      </w:r>
      <w:r w:rsidR="00E23432" w:rsidRPr="00A56123">
        <w:rPr>
          <w:rFonts w:ascii="Arial" w:hAnsi="Arial" w:cs="Arial"/>
          <w:b/>
          <w:bCs/>
          <w:sz w:val="20"/>
          <w:szCs w:val="20"/>
        </w:rPr>
        <w:t>M</w:t>
      </w:r>
      <w:r w:rsidR="003F0BA8" w:rsidRPr="00A56123">
        <w:rPr>
          <w:rFonts w:ascii="Arial" w:hAnsi="Arial" w:cs="Arial"/>
          <w:b/>
          <w:bCs/>
          <w:sz w:val="20"/>
          <w:szCs w:val="20"/>
        </w:rPr>
        <w:t xml:space="preserve">utant </w:t>
      </w:r>
      <w:r w:rsidR="00E23432" w:rsidRPr="00A56123">
        <w:rPr>
          <w:rFonts w:ascii="Arial" w:hAnsi="Arial" w:cs="Arial"/>
          <w:b/>
          <w:bCs/>
          <w:sz w:val="20"/>
          <w:szCs w:val="20"/>
        </w:rPr>
        <w:t>S</w:t>
      </w:r>
      <w:r w:rsidR="003F0BA8" w:rsidRPr="00A56123">
        <w:rPr>
          <w:rFonts w:ascii="Arial" w:hAnsi="Arial" w:cs="Arial"/>
          <w:b/>
          <w:bCs/>
          <w:sz w:val="20"/>
          <w:szCs w:val="20"/>
        </w:rPr>
        <w:t xml:space="preserve">train </w:t>
      </w:r>
    </w:p>
    <w:p w14:paraId="04E87CBE" w14:textId="3109E575" w:rsidR="003F0BA8" w:rsidRPr="00A56123" w:rsidRDefault="003F0BA8" w:rsidP="00CF6CCC">
      <w:pPr>
        <w:spacing w:after="0" w:line="240" w:lineRule="auto"/>
        <w:jc w:val="both"/>
        <w:rPr>
          <w:rFonts w:ascii="Arial" w:hAnsi="Arial" w:cs="Arial"/>
          <w:sz w:val="20"/>
          <w:szCs w:val="20"/>
        </w:rPr>
      </w:pPr>
      <w:r w:rsidRPr="00A56123">
        <w:rPr>
          <w:rFonts w:ascii="Arial" w:hAnsi="Arial" w:cs="Arial"/>
          <w:sz w:val="20"/>
          <w:szCs w:val="20"/>
        </w:rPr>
        <w:t xml:space="preserve">The green microalga used in this work was a double mutant derived from </w:t>
      </w:r>
      <w:r w:rsidRPr="00A56123">
        <w:rPr>
          <w:rFonts w:ascii="Arial" w:hAnsi="Arial" w:cs="Arial"/>
          <w:i/>
          <w:iCs/>
          <w:sz w:val="20"/>
          <w:szCs w:val="20"/>
        </w:rPr>
        <w:t>Chlorococcum humicola</w:t>
      </w:r>
      <w:r w:rsidRPr="00A56123">
        <w:rPr>
          <w:rFonts w:ascii="Arial" w:hAnsi="Arial" w:cs="Arial"/>
          <w:sz w:val="20"/>
          <w:szCs w:val="20"/>
        </w:rPr>
        <w:t xml:space="preserve">. The wild-type strain, </w:t>
      </w:r>
      <w:r w:rsidRPr="00A56123">
        <w:rPr>
          <w:rFonts w:ascii="Arial" w:hAnsi="Arial" w:cs="Arial"/>
          <w:i/>
          <w:iCs/>
          <w:sz w:val="20"/>
          <w:szCs w:val="20"/>
        </w:rPr>
        <w:t>C. humicola</w:t>
      </w:r>
      <w:r w:rsidRPr="00A56123">
        <w:rPr>
          <w:rFonts w:ascii="Arial" w:hAnsi="Arial" w:cs="Arial"/>
          <w:sz w:val="20"/>
          <w:szCs w:val="20"/>
        </w:rPr>
        <w:t xml:space="preserve"> KMS2 (GenBank Accession No.: PQ650940), was originally isolated as a pure culture from an ancient freshwater lake in Mamandur (12.75°N, 79.99°E), Cheyyar Taluk, Tiruvannamalai District, Tamil Nadu, India</w:t>
      </w:r>
      <w:r w:rsidR="006B2843">
        <w:rPr>
          <w:rFonts w:ascii="Arial" w:hAnsi="Arial" w:cs="Arial"/>
          <w:sz w:val="20"/>
          <w:szCs w:val="20"/>
        </w:rPr>
        <w:t xml:space="preserve"> (Figure 1)</w:t>
      </w:r>
      <w:r w:rsidRPr="00A56123">
        <w:rPr>
          <w:rFonts w:ascii="Arial" w:hAnsi="Arial" w:cs="Arial"/>
          <w:sz w:val="20"/>
          <w:szCs w:val="20"/>
        </w:rPr>
        <w:t xml:space="preserve">. To obtain a double mutant, the wild strain was first exposed to UV-C radiation for 10 min, followed by treatment with 1.5 M ethyl methanesulfonate (EMS). This step-wise mutagenesis produced the double mutant, designated </w:t>
      </w:r>
      <w:r w:rsidRPr="00A56123">
        <w:rPr>
          <w:rFonts w:ascii="Arial" w:hAnsi="Arial" w:cs="Arial"/>
          <w:i/>
          <w:iCs/>
          <w:sz w:val="20"/>
          <w:szCs w:val="20"/>
        </w:rPr>
        <w:t>C. humicola</w:t>
      </w:r>
      <w:r w:rsidRPr="00A56123">
        <w:rPr>
          <w:rFonts w:ascii="Arial" w:hAnsi="Arial" w:cs="Arial"/>
          <w:sz w:val="20"/>
          <w:szCs w:val="20"/>
        </w:rPr>
        <w:t xml:space="preserve"> MCH4. The mutant culture was routinely maintained in Chu-13 medium</w:t>
      </w:r>
      <w:r w:rsidR="004374EC" w:rsidRPr="00A56123">
        <w:rPr>
          <w:rFonts w:ascii="Arial" w:hAnsi="Arial" w:cs="Arial"/>
          <w:sz w:val="20"/>
          <w:szCs w:val="20"/>
        </w:rPr>
        <w:t xml:space="preserve"> (Chu, 1942)</w:t>
      </w:r>
      <w:r w:rsidRPr="00A56123">
        <w:rPr>
          <w:rFonts w:ascii="Arial" w:hAnsi="Arial" w:cs="Arial"/>
          <w:sz w:val="20"/>
          <w:szCs w:val="20"/>
        </w:rPr>
        <w:t xml:space="preserve"> and served for all subsequent experiments. The stock culture was grown under continuous white fluorescent illumination (30 µE m</w:t>
      </w:r>
      <w:r w:rsidRPr="00A56123">
        <w:rPr>
          <w:rFonts w:ascii="Arial" w:hAnsi="Arial" w:cs="Arial"/>
          <w:sz w:val="20"/>
          <w:szCs w:val="20"/>
          <w:vertAlign w:val="superscript"/>
        </w:rPr>
        <w:t>-2</w:t>
      </w:r>
      <w:r w:rsidRPr="00A56123">
        <w:rPr>
          <w:rFonts w:ascii="Arial" w:hAnsi="Arial" w:cs="Arial"/>
          <w:sz w:val="20"/>
          <w:szCs w:val="20"/>
        </w:rPr>
        <w:t xml:space="preserve"> s</w:t>
      </w:r>
      <w:r w:rsidRPr="00A56123">
        <w:rPr>
          <w:rFonts w:ascii="Arial" w:hAnsi="Arial" w:cs="Arial"/>
          <w:sz w:val="20"/>
          <w:szCs w:val="20"/>
          <w:vertAlign w:val="superscript"/>
        </w:rPr>
        <w:t>-1</w:t>
      </w:r>
      <w:r w:rsidRPr="00A56123">
        <w:rPr>
          <w:rFonts w:ascii="Arial" w:hAnsi="Arial" w:cs="Arial"/>
          <w:sz w:val="20"/>
          <w:szCs w:val="20"/>
        </w:rPr>
        <w:t>) with a 12:12 h light–dark cycle at a temperature of 25 ± 2 °C.</w:t>
      </w:r>
    </w:p>
    <w:p w14:paraId="17FAA476" w14:textId="792432D7" w:rsidR="00A66C89" w:rsidRPr="00A56123" w:rsidRDefault="006B2843" w:rsidP="006B2843">
      <w:pPr>
        <w:spacing w:after="0" w:line="240" w:lineRule="auto"/>
        <w:jc w:val="center"/>
        <w:rPr>
          <w:rFonts w:ascii="Arial" w:hAnsi="Arial" w:cs="Arial"/>
          <w:b/>
          <w:bCs/>
          <w:sz w:val="20"/>
          <w:szCs w:val="20"/>
        </w:rPr>
      </w:pPr>
      <w:r>
        <w:rPr>
          <w:rFonts w:ascii="Arial" w:hAnsi="Arial" w:cs="Arial"/>
          <w:b/>
          <w:bCs/>
          <w:noProof/>
          <w:sz w:val="20"/>
          <w:szCs w:val="20"/>
        </w:rPr>
        <w:lastRenderedPageBreak/>
        <w:drawing>
          <wp:inline distT="0" distB="0" distL="0" distR="0" wp14:anchorId="680F4384" wp14:editId="27D3F4B9">
            <wp:extent cx="3704601" cy="3108960"/>
            <wp:effectExtent l="0" t="0" r="0" b="0"/>
            <wp:docPr id="158118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4601" cy="3108960"/>
                    </a:xfrm>
                    <a:prstGeom prst="rect">
                      <a:avLst/>
                    </a:prstGeom>
                    <a:noFill/>
                    <a:ln>
                      <a:noFill/>
                    </a:ln>
                  </pic:spPr>
                </pic:pic>
              </a:graphicData>
            </a:graphic>
          </wp:inline>
        </w:drawing>
      </w:r>
    </w:p>
    <w:p w14:paraId="63B474EC" w14:textId="0991E182" w:rsidR="006B2843" w:rsidRDefault="006B2843" w:rsidP="006B2843">
      <w:pPr>
        <w:spacing w:after="0" w:line="240" w:lineRule="auto"/>
        <w:jc w:val="center"/>
        <w:rPr>
          <w:rFonts w:ascii="Arial" w:hAnsi="Arial" w:cs="Arial"/>
          <w:b/>
          <w:bCs/>
          <w:sz w:val="22"/>
          <w:szCs w:val="22"/>
        </w:rPr>
      </w:pPr>
      <w:r>
        <w:rPr>
          <w:rFonts w:ascii="Arial" w:hAnsi="Arial" w:cs="Arial"/>
          <w:b/>
          <w:bCs/>
          <w:sz w:val="22"/>
          <w:szCs w:val="22"/>
        </w:rPr>
        <w:t>Figure 1. Geographical map of study area</w:t>
      </w:r>
      <w:r w:rsidR="00116D90">
        <w:rPr>
          <w:rFonts w:ascii="Arial" w:hAnsi="Arial" w:cs="Arial"/>
          <w:b/>
          <w:bCs/>
          <w:sz w:val="22"/>
          <w:szCs w:val="22"/>
        </w:rPr>
        <w:t xml:space="preserve"> Mamandur lake</w:t>
      </w:r>
      <w:r w:rsidR="003C67BE">
        <w:rPr>
          <w:rFonts w:ascii="Arial" w:hAnsi="Arial" w:cs="Arial"/>
          <w:b/>
          <w:bCs/>
          <w:sz w:val="22"/>
          <w:szCs w:val="22"/>
        </w:rPr>
        <w:t xml:space="preserve"> located in Cheyyar Taluk, Tiruvannamalai District</w:t>
      </w:r>
      <w:r w:rsidR="00116D90">
        <w:rPr>
          <w:rFonts w:ascii="Arial" w:hAnsi="Arial" w:cs="Arial"/>
          <w:b/>
          <w:bCs/>
          <w:sz w:val="22"/>
          <w:szCs w:val="22"/>
        </w:rPr>
        <w:t xml:space="preserve"> </w:t>
      </w:r>
    </w:p>
    <w:p w14:paraId="1AA70966" w14:textId="77777777" w:rsidR="006B2843" w:rsidRDefault="006B2843" w:rsidP="00CF6CCC">
      <w:pPr>
        <w:spacing w:after="0" w:line="240" w:lineRule="auto"/>
        <w:jc w:val="both"/>
        <w:rPr>
          <w:rFonts w:ascii="Arial" w:hAnsi="Arial" w:cs="Arial"/>
          <w:b/>
          <w:bCs/>
          <w:sz w:val="20"/>
          <w:szCs w:val="20"/>
        </w:rPr>
      </w:pPr>
    </w:p>
    <w:p w14:paraId="5D47D88A" w14:textId="5F249CFA" w:rsidR="001A08A7"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2.2 </w:t>
      </w:r>
      <w:r w:rsidR="001A08A7" w:rsidRPr="00A56123">
        <w:rPr>
          <w:rFonts w:ascii="Arial" w:hAnsi="Arial" w:cs="Arial"/>
          <w:b/>
          <w:bCs/>
          <w:sz w:val="20"/>
          <w:szCs w:val="20"/>
        </w:rPr>
        <w:t xml:space="preserve">Collection and </w:t>
      </w:r>
      <w:r w:rsidR="00E23432" w:rsidRPr="00A56123">
        <w:rPr>
          <w:rFonts w:ascii="Arial" w:hAnsi="Arial" w:cs="Arial"/>
          <w:b/>
          <w:bCs/>
          <w:sz w:val="20"/>
          <w:szCs w:val="20"/>
        </w:rPr>
        <w:t>D</w:t>
      </w:r>
      <w:r w:rsidR="001A08A7" w:rsidRPr="00A56123">
        <w:rPr>
          <w:rFonts w:ascii="Arial" w:hAnsi="Arial" w:cs="Arial"/>
          <w:b/>
          <w:bCs/>
          <w:sz w:val="20"/>
          <w:szCs w:val="20"/>
        </w:rPr>
        <w:t xml:space="preserve">issolved </w:t>
      </w:r>
      <w:r w:rsidR="00E23432" w:rsidRPr="00A56123">
        <w:rPr>
          <w:rFonts w:ascii="Arial" w:hAnsi="Arial" w:cs="Arial"/>
          <w:b/>
          <w:bCs/>
          <w:sz w:val="20"/>
          <w:szCs w:val="20"/>
        </w:rPr>
        <w:t>O</w:t>
      </w:r>
      <w:r w:rsidR="001A08A7" w:rsidRPr="00A56123">
        <w:rPr>
          <w:rFonts w:ascii="Arial" w:hAnsi="Arial" w:cs="Arial"/>
          <w:b/>
          <w:bCs/>
          <w:sz w:val="20"/>
          <w:szCs w:val="20"/>
        </w:rPr>
        <w:t xml:space="preserve">rganic </w:t>
      </w:r>
      <w:r w:rsidR="00E23432" w:rsidRPr="00A56123">
        <w:rPr>
          <w:rFonts w:ascii="Arial" w:hAnsi="Arial" w:cs="Arial"/>
          <w:b/>
          <w:bCs/>
          <w:sz w:val="20"/>
          <w:szCs w:val="20"/>
        </w:rPr>
        <w:t>M</w:t>
      </w:r>
      <w:r w:rsidR="001A08A7" w:rsidRPr="00A56123">
        <w:rPr>
          <w:rFonts w:ascii="Arial" w:hAnsi="Arial" w:cs="Arial"/>
          <w:b/>
          <w:bCs/>
          <w:sz w:val="20"/>
          <w:szCs w:val="20"/>
        </w:rPr>
        <w:t xml:space="preserve">atter </w:t>
      </w:r>
      <w:r w:rsidR="00E23432" w:rsidRPr="00A56123">
        <w:rPr>
          <w:rFonts w:ascii="Arial" w:hAnsi="Arial" w:cs="Arial"/>
          <w:b/>
          <w:bCs/>
          <w:sz w:val="20"/>
          <w:szCs w:val="20"/>
        </w:rPr>
        <w:t>E</w:t>
      </w:r>
      <w:r w:rsidR="001A08A7" w:rsidRPr="00A56123">
        <w:rPr>
          <w:rFonts w:ascii="Arial" w:hAnsi="Arial" w:cs="Arial"/>
          <w:b/>
          <w:bCs/>
          <w:sz w:val="20"/>
          <w:szCs w:val="20"/>
        </w:rPr>
        <w:t xml:space="preserve">stimation of </w:t>
      </w:r>
      <w:r w:rsidR="00E23432" w:rsidRPr="00A56123">
        <w:rPr>
          <w:rFonts w:ascii="Arial" w:hAnsi="Arial" w:cs="Arial"/>
          <w:b/>
          <w:bCs/>
          <w:sz w:val="20"/>
          <w:szCs w:val="20"/>
        </w:rPr>
        <w:t>M</w:t>
      </w:r>
      <w:r w:rsidR="001A08A7" w:rsidRPr="00A56123">
        <w:rPr>
          <w:rFonts w:ascii="Arial" w:hAnsi="Arial" w:cs="Arial"/>
          <w:b/>
          <w:bCs/>
          <w:sz w:val="20"/>
          <w:szCs w:val="20"/>
        </w:rPr>
        <w:t xml:space="preserve">unicipal </w:t>
      </w:r>
      <w:r w:rsidR="00E23432" w:rsidRPr="00A56123">
        <w:rPr>
          <w:rFonts w:ascii="Arial" w:hAnsi="Arial" w:cs="Arial"/>
          <w:b/>
          <w:bCs/>
          <w:sz w:val="20"/>
          <w:szCs w:val="20"/>
        </w:rPr>
        <w:t>W</w:t>
      </w:r>
      <w:r w:rsidR="001A08A7" w:rsidRPr="00A56123">
        <w:rPr>
          <w:rFonts w:ascii="Arial" w:hAnsi="Arial" w:cs="Arial"/>
          <w:b/>
          <w:bCs/>
          <w:sz w:val="20"/>
          <w:szCs w:val="20"/>
        </w:rPr>
        <w:t>astewater</w:t>
      </w:r>
    </w:p>
    <w:p w14:paraId="284B07FE" w14:textId="3B39D093" w:rsidR="001A08A7" w:rsidRPr="00A56123" w:rsidRDefault="001A08A7" w:rsidP="00CF6CCC">
      <w:pPr>
        <w:spacing w:after="0" w:line="240" w:lineRule="auto"/>
        <w:jc w:val="both"/>
        <w:rPr>
          <w:rFonts w:ascii="Arial" w:hAnsi="Arial" w:cs="Arial"/>
          <w:sz w:val="20"/>
          <w:szCs w:val="20"/>
        </w:rPr>
      </w:pPr>
      <w:r w:rsidRPr="00A56123">
        <w:rPr>
          <w:rFonts w:ascii="Arial" w:hAnsi="Arial" w:cs="Arial"/>
          <w:sz w:val="20"/>
          <w:szCs w:val="20"/>
        </w:rPr>
        <w:t xml:space="preserve">The untreated Municipal wastewater (MWW) was </w:t>
      </w:r>
      <w:r w:rsidR="00BA07DA" w:rsidRPr="00A56123">
        <w:rPr>
          <w:rFonts w:ascii="Arial" w:hAnsi="Arial" w:cs="Arial"/>
          <w:sz w:val="20"/>
          <w:szCs w:val="20"/>
        </w:rPr>
        <w:t>collected</w:t>
      </w:r>
      <w:r w:rsidRPr="00A56123">
        <w:rPr>
          <w:rFonts w:ascii="Arial" w:hAnsi="Arial" w:cs="Arial"/>
          <w:sz w:val="20"/>
          <w:szCs w:val="20"/>
        </w:rPr>
        <w:t xml:space="preserve"> from Kanchipuram, Tamil Nadu, India. At the collection site, the raw </w:t>
      </w:r>
      <w:r w:rsidR="00BA07DA" w:rsidRPr="00A56123">
        <w:rPr>
          <w:rFonts w:ascii="Arial" w:hAnsi="Arial" w:cs="Arial"/>
          <w:sz w:val="20"/>
          <w:szCs w:val="20"/>
        </w:rPr>
        <w:t>MWW</w:t>
      </w:r>
      <w:r w:rsidRPr="00A56123">
        <w:rPr>
          <w:rFonts w:ascii="Arial" w:hAnsi="Arial" w:cs="Arial"/>
          <w:sz w:val="20"/>
          <w:szCs w:val="20"/>
        </w:rPr>
        <w:t xml:space="preserve"> was initially passed through a 20-mesh sieve to remove coarse particles and large debris. The filtered MWW was then transported to the laboratory and stored at 28 ±2 °C (room temperature) until further use. The dissolved organic matter (DOM) content of the wastewater, both before and after US pre-treatment, was quantified following the procedure described by Khan et al. (2014).</w:t>
      </w:r>
    </w:p>
    <w:p w14:paraId="1F1F0F7D" w14:textId="77777777" w:rsidR="00A66C89" w:rsidRPr="00A56123" w:rsidRDefault="00A66C89" w:rsidP="00CF6CCC">
      <w:pPr>
        <w:spacing w:after="0" w:line="240" w:lineRule="auto"/>
        <w:jc w:val="both"/>
        <w:rPr>
          <w:rFonts w:ascii="Arial" w:hAnsi="Arial" w:cs="Arial"/>
          <w:b/>
          <w:bCs/>
          <w:sz w:val="20"/>
          <w:szCs w:val="20"/>
        </w:rPr>
      </w:pPr>
    </w:p>
    <w:p w14:paraId="0418D50A" w14:textId="05D38842" w:rsidR="001A08A7"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2.3 </w:t>
      </w:r>
      <w:r w:rsidR="001A08A7" w:rsidRPr="00A56123">
        <w:rPr>
          <w:rFonts w:ascii="Arial" w:hAnsi="Arial" w:cs="Arial"/>
          <w:b/>
          <w:bCs/>
          <w:sz w:val="20"/>
          <w:szCs w:val="20"/>
        </w:rPr>
        <w:t xml:space="preserve">Optimizing </w:t>
      </w:r>
      <w:r w:rsidR="00E23432" w:rsidRPr="00A56123">
        <w:rPr>
          <w:rFonts w:ascii="Arial" w:hAnsi="Arial" w:cs="Arial"/>
          <w:b/>
          <w:bCs/>
          <w:sz w:val="20"/>
          <w:szCs w:val="20"/>
        </w:rPr>
        <w:t>U</w:t>
      </w:r>
      <w:r w:rsidR="001A08A7" w:rsidRPr="00A56123">
        <w:rPr>
          <w:rFonts w:ascii="Arial" w:hAnsi="Arial" w:cs="Arial"/>
          <w:b/>
          <w:bCs/>
          <w:sz w:val="20"/>
          <w:szCs w:val="20"/>
        </w:rPr>
        <w:t xml:space="preserve">ltrasonic </w:t>
      </w:r>
      <w:r w:rsidR="00E23432" w:rsidRPr="00A56123">
        <w:rPr>
          <w:rFonts w:ascii="Arial" w:hAnsi="Arial" w:cs="Arial"/>
          <w:b/>
          <w:bCs/>
          <w:sz w:val="20"/>
          <w:szCs w:val="20"/>
        </w:rPr>
        <w:t>Pre</w:t>
      </w:r>
      <w:r w:rsidR="001A08A7" w:rsidRPr="00A56123">
        <w:rPr>
          <w:rFonts w:ascii="Arial" w:hAnsi="Arial" w:cs="Arial"/>
          <w:b/>
          <w:bCs/>
          <w:sz w:val="20"/>
          <w:szCs w:val="20"/>
        </w:rPr>
        <w:t>treatment of MWW</w:t>
      </w:r>
    </w:p>
    <w:p w14:paraId="1601333A" w14:textId="60FCBB7E" w:rsidR="001A08A7" w:rsidRPr="00A56123" w:rsidRDefault="001A08A7" w:rsidP="00CF6CCC">
      <w:pPr>
        <w:spacing w:after="0" w:line="240" w:lineRule="auto"/>
        <w:jc w:val="both"/>
        <w:rPr>
          <w:rFonts w:ascii="Arial" w:hAnsi="Arial" w:cs="Arial"/>
          <w:sz w:val="20"/>
          <w:szCs w:val="20"/>
        </w:rPr>
      </w:pPr>
      <w:r w:rsidRPr="00A56123">
        <w:rPr>
          <w:rFonts w:ascii="Arial" w:hAnsi="Arial" w:cs="Arial"/>
          <w:sz w:val="20"/>
          <w:szCs w:val="20"/>
        </w:rPr>
        <w:t>US pre-treatment of MWW was carried out by the method of Dhandayuthapani et al. (20</w:t>
      </w:r>
      <w:r w:rsidR="00D85774" w:rsidRPr="00A56123">
        <w:rPr>
          <w:rFonts w:ascii="Arial" w:hAnsi="Arial" w:cs="Arial"/>
          <w:sz w:val="20"/>
          <w:szCs w:val="20"/>
        </w:rPr>
        <w:t>22</w:t>
      </w:r>
      <w:r w:rsidRPr="00A56123">
        <w:rPr>
          <w:rFonts w:ascii="Arial" w:hAnsi="Arial" w:cs="Arial"/>
          <w:sz w:val="20"/>
          <w:szCs w:val="20"/>
        </w:rPr>
        <w:t>) using a probe-type sonicator (Lark Innovative Fine Teknowledge, Chennai, India) equipped with a transducer and a 1.2 cm diameter metallic probe. For each experiment, 150 mL of 50% diluted MWW was placed in a 250 mL stainless steel beaker, and the probe was immersed approximately 1 cm into the liquid. Two ultrasonic parameters</w:t>
      </w:r>
      <w:r w:rsidR="00BA07DA" w:rsidRPr="00A56123">
        <w:rPr>
          <w:rFonts w:ascii="Arial" w:hAnsi="Arial" w:cs="Arial"/>
          <w:sz w:val="20"/>
          <w:szCs w:val="20"/>
        </w:rPr>
        <w:t>-</w:t>
      </w:r>
      <w:r w:rsidRPr="00A56123">
        <w:rPr>
          <w:rFonts w:ascii="Arial" w:hAnsi="Arial" w:cs="Arial"/>
          <w:sz w:val="20"/>
          <w:szCs w:val="20"/>
        </w:rPr>
        <w:t>power intensity (0.2</w:t>
      </w:r>
      <w:r w:rsidR="00BA07DA" w:rsidRPr="00A56123">
        <w:rPr>
          <w:rFonts w:ascii="Arial" w:hAnsi="Arial" w:cs="Arial"/>
          <w:sz w:val="20"/>
          <w:szCs w:val="20"/>
        </w:rPr>
        <w:t>-</w:t>
      </w:r>
      <w:r w:rsidRPr="00A56123">
        <w:rPr>
          <w:rFonts w:ascii="Arial" w:hAnsi="Arial" w:cs="Arial"/>
          <w:sz w:val="20"/>
          <w:szCs w:val="20"/>
        </w:rPr>
        <w:t>0.5 W/mL) and exposure time (10</w:t>
      </w:r>
      <w:r w:rsidR="00BA07DA" w:rsidRPr="00A56123">
        <w:rPr>
          <w:rFonts w:ascii="Arial" w:hAnsi="Arial" w:cs="Arial"/>
          <w:sz w:val="20"/>
          <w:szCs w:val="20"/>
        </w:rPr>
        <w:t>-</w:t>
      </w:r>
      <w:r w:rsidRPr="00A56123">
        <w:rPr>
          <w:rFonts w:ascii="Arial" w:hAnsi="Arial" w:cs="Arial"/>
          <w:sz w:val="20"/>
          <w:szCs w:val="20"/>
        </w:rPr>
        <w:t>20 min)</w:t>
      </w:r>
      <w:r w:rsidR="00BA07DA" w:rsidRPr="00A56123">
        <w:rPr>
          <w:rFonts w:ascii="Arial" w:hAnsi="Arial" w:cs="Arial"/>
          <w:sz w:val="20"/>
          <w:szCs w:val="20"/>
        </w:rPr>
        <w:t xml:space="preserve"> </w:t>
      </w:r>
      <w:r w:rsidRPr="00A56123">
        <w:rPr>
          <w:rFonts w:ascii="Arial" w:hAnsi="Arial" w:cs="Arial"/>
          <w:sz w:val="20"/>
          <w:szCs w:val="20"/>
        </w:rPr>
        <w:t xml:space="preserve">were optimized statistically using RSM based on a CCD. The software MINITAB </w:t>
      </w:r>
      <w:r w:rsidR="00D85774" w:rsidRPr="00A56123">
        <w:rPr>
          <w:rFonts w:ascii="Arial" w:hAnsi="Arial" w:cs="Arial"/>
          <w:sz w:val="20"/>
          <w:szCs w:val="20"/>
        </w:rPr>
        <w:t xml:space="preserve">12 </w:t>
      </w:r>
      <w:r w:rsidRPr="00A56123">
        <w:rPr>
          <w:rFonts w:ascii="Arial" w:hAnsi="Arial" w:cs="Arial"/>
          <w:sz w:val="20"/>
          <w:szCs w:val="20"/>
        </w:rPr>
        <w:t xml:space="preserve">was used to construct the experimental matrix consisting of 13 runs. As presented in Table 1, each independent variable was assessed at </w:t>
      </w:r>
      <w:r w:rsidR="00D85774" w:rsidRPr="00A56123">
        <w:rPr>
          <w:rFonts w:ascii="Arial" w:hAnsi="Arial" w:cs="Arial"/>
          <w:sz w:val="20"/>
          <w:szCs w:val="20"/>
        </w:rPr>
        <w:t>two</w:t>
      </w:r>
      <w:r w:rsidRPr="00A56123">
        <w:rPr>
          <w:rFonts w:ascii="Arial" w:hAnsi="Arial" w:cs="Arial"/>
          <w:sz w:val="20"/>
          <w:szCs w:val="20"/>
        </w:rPr>
        <w:t xml:space="preserve"> coded levels (low,</w:t>
      </w:r>
      <w:r w:rsidR="00D85774" w:rsidRPr="00A56123">
        <w:rPr>
          <w:rFonts w:ascii="Arial" w:hAnsi="Arial" w:cs="Arial"/>
          <w:sz w:val="20"/>
          <w:szCs w:val="20"/>
        </w:rPr>
        <w:t xml:space="preserve"> </w:t>
      </w:r>
      <w:r w:rsidRPr="00A56123">
        <w:rPr>
          <w:rFonts w:ascii="Arial" w:hAnsi="Arial" w:cs="Arial"/>
          <w:sz w:val="20"/>
          <w:szCs w:val="20"/>
        </w:rPr>
        <w:t>and high). During US pre-treatment, the temperature of the MWW was controlled by placing the beaker in a water bath to avoid overheating.</w:t>
      </w:r>
      <w:r w:rsidR="00C4113A" w:rsidRPr="00A56123">
        <w:rPr>
          <w:rFonts w:ascii="Arial" w:hAnsi="Arial" w:cs="Arial"/>
          <w:sz w:val="20"/>
          <w:szCs w:val="20"/>
        </w:rPr>
        <w:t xml:space="preserve"> The </w:t>
      </w:r>
      <w:r w:rsidR="00E23432" w:rsidRPr="00A56123">
        <w:rPr>
          <w:rFonts w:ascii="Arial" w:hAnsi="Arial" w:cs="Arial"/>
          <w:sz w:val="20"/>
          <w:szCs w:val="20"/>
        </w:rPr>
        <w:t xml:space="preserve">UPMWW </w:t>
      </w:r>
      <w:r w:rsidR="00C4113A" w:rsidRPr="00A56123">
        <w:rPr>
          <w:rFonts w:ascii="Arial" w:hAnsi="Arial" w:cs="Arial"/>
          <w:sz w:val="20"/>
          <w:szCs w:val="20"/>
        </w:rPr>
        <w:t xml:space="preserve">used as sole medium for biomass production. Each </w:t>
      </w:r>
      <w:r w:rsidRPr="00A56123">
        <w:rPr>
          <w:rFonts w:ascii="Arial" w:hAnsi="Arial" w:cs="Arial"/>
          <w:sz w:val="20"/>
          <w:szCs w:val="20"/>
        </w:rPr>
        <w:t xml:space="preserve">experimental run </w:t>
      </w:r>
      <w:r w:rsidR="00C4113A" w:rsidRPr="00A56123">
        <w:rPr>
          <w:rFonts w:ascii="Arial" w:hAnsi="Arial" w:cs="Arial"/>
          <w:sz w:val="20"/>
          <w:szCs w:val="20"/>
        </w:rPr>
        <w:t>was</w:t>
      </w:r>
      <w:r w:rsidRPr="00A56123">
        <w:rPr>
          <w:rFonts w:ascii="Arial" w:hAnsi="Arial" w:cs="Arial"/>
          <w:sz w:val="20"/>
          <w:szCs w:val="20"/>
        </w:rPr>
        <w:t xml:space="preserve"> performed in </w:t>
      </w:r>
      <w:r w:rsidR="00550E8E" w:rsidRPr="00A56123">
        <w:rPr>
          <w:rFonts w:ascii="Arial" w:hAnsi="Arial" w:cs="Arial"/>
          <w:sz w:val="20"/>
          <w:szCs w:val="20"/>
        </w:rPr>
        <w:t>tri</w:t>
      </w:r>
      <w:r w:rsidRPr="00A56123">
        <w:rPr>
          <w:rFonts w:ascii="Arial" w:hAnsi="Arial" w:cs="Arial"/>
          <w:sz w:val="20"/>
          <w:szCs w:val="20"/>
        </w:rPr>
        <w:t>plicates</w:t>
      </w:r>
      <w:r w:rsidR="00550E8E" w:rsidRPr="00A56123">
        <w:rPr>
          <w:rFonts w:ascii="Arial" w:hAnsi="Arial" w:cs="Arial"/>
          <w:sz w:val="20"/>
          <w:szCs w:val="20"/>
        </w:rPr>
        <w:t xml:space="preserve"> as described in the section </w:t>
      </w:r>
      <w:r w:rsidR="00CF6CCC" w:rsidRPr="00A56123">
        <w:rPr>
          <w:rFonts w:ascii="Arial" w:hAnsi="Arial" w:cs="Arial"/>
          <w:sz w:val="20"/>
          <w:szCs w:val="20"/>
        </w:rPr>
        <w:t>2.4</w:t>
      </w:r>
      <w:r w:rsidRPr="00A56123">
        <w:rPr>
          <w:rFonts w:ascii="Arial" w:hAnsi="Arial" w:cs="Arial"/>
          <w:sz w:val="20"/>
          <w:szCs w:val="20"/>
        </w:rPr>
        <w:t xml:space="preserve">, and biomass concentration was considered as the response variable. </w:t>
      </w:r>
      <w:r w:rsidR="00C4113A" w:rsidRPr="00A56123">
        <w:rPr>
          <w:rFonts w:ascii="Arial" w:hAnsi="Arial" w:cs="Arial"/>
          <w:sz w:val="20"/>
          <w:szCs w:val="20"/>
        </w:rPr>
        <w:t xml:space="preserve">BBM and untreated MWW served as the control. </w:t>
      </w:r>
      <w:r w:rsidRPr="00A56123">
        <w:rPr>
          <w:rFonts w:ascii="Arial" w:hAnsi="Arial" w:cs="Arial"/>
          <w:sz w:val="20"/>
          <w:szCs w:val="20"/>
        </w:rPr>
        <w:t xml:space="preserve">Regression analysis and analysis of variance (ANOVA) were applied to the resulting data to determine the statistical significance of the model. Three-dimensional (3D) response surface plots were generated to visualize the interactions between variables. Optimal conditions and predicted biomass yields were obtained by solving the fitted model using MINITAB </w:t>
      </w:r>
      <w:r w:rsidR="00A66C89" w:rsidRPr="00A56123">
        <w:rPr>
          <w:rFonts w:ascii="Arial" w:hAnsi="Arial" w:cs="Arial"/>
          <w:sz w:val="20"/>
          <w:szCs w:val="20"/>
        </w:rPr>
        <w:t>12 software</w:t>
      </w:r>
      <w:r w:rsidRPr="00A56123">
        <w:rPr>
          <w:rFonts w:ascii="Arial" w:hAnsi="Arial" w:cs="Arial"/>
          <w:sz w:val="20"/>
          <w:szCs w:val="20"/>
        </w:rPr>
        <w:t>. The optimally sonicated MWW</w:t>
      </w:r>
      <w:r w:rsidR="00BA07DA" w:rsidRPr="00A56123">
        <w:rPr>
          <w:rFonts w:ascii="Arial" w:hAnsi="Arial" w:cs="Arial"/>
          <w:sz w:val="20"/>
          <w:szCs w:val="20"/>
        </w:rPr>
        <w:t xml:space="preserve"> </w:t>
      </w:r>
      <w:r w:rsidRPr="00A56123">
        <w:rPr>
          <w:rFonts w:ascii="Arial" w:hAnsi="Arial" w:cs="Arial"/>
          <w:sz w:val="20"/>
          <w:szCs w:val="20"/>
        </w:rPr>
        <w:t xml:space="preserve">was subsequently used for biomass production by double mutant </w:t>
      </w:r>
      <w:r w:rsidRPr="00A56123">
        <w:rPr>
          <w:rFonts w:ascii="Arial" w:hAnsi="Arial" w:cs="Arial"/>
          <w:i/>
          <w:iCs/>
          <w:sz w:val="20"/>
          <w:szCs w:val="20"/>
        </w:rPr>
        <w:t>C. humicola</w:t>
      </w:r>
      <w:r w:rsidRPr="00A56123">
        <w:rPr>
          <w:rFonts w:ascii="Arial" w:hAnsi="Arial" w:cs="Arial"/>
          <w:sz w:val="20"/>
          <w:szCs w:val="20"/>
        </w:rPr>
        <w:t xml:space="preserve"> MCH4.</w:t>
      </w:r>
    </w:p>
    <w:p w14:paraId="40BA188F" w14:textId="7780F507" w:rsidR="00D85774" w:rsidRPr="00D85774" w:rsidRDefault="00D85774" w:rsidP="00D85774">
      <w:pPr>
        <w:spacing w:after="0" w:line="276" w:lineRule="auto"/>
        <w:rPr>
          <w:rFonts w:ascii="Arial" w:hAnsi="Arial" w:cs="Arial"/>
          <w:b/>
          <w:sz w:val="22"/>
          <w:szCs w:val="22"/>
        </w:rPr>
      </w:pPr>
      <w:r w:rsidRPr="00D85774">
        <w:rPr>
          <w:rFonts w:ascii="Arial" w:hAnsi="Arial" w:cs="Arial"/>
          <w:b/>
          <w:sz w:val="22"/>
          <w:szCs w:val="22"/>
        </w:rPr>
        <w:t xml:space="preserve">Table 1 Independent variables levels of CCD for </w:t>
      </w:r>
      <w:r w:rsidR="004B32AB">
        <w:rPr>
          <w:rFonts w:ascii="Arial" w:hAnsi="Arial" w:cs="Arial"/>
          <w:b/>
          <w:sz w:val="22"/>
          <w:szCs w:val="22"/>
        </w:rPr>
        <w:t>US</w:t>
      </w:r>
      <w:r w:rsidRPr="00D85774">
        <w:rPr>
          <w:rFonts w:ascii="Arial" w:hAnsi="Arial" w:cs="Arial"/>
          <w:b/>
          <w:sz w:val="22"/>
          <w:szCs w:val="22"/>
        </w:rPr>
        <w:t xml:space="preserve"> pretreatment of MWW </w:t>
      </w:r>
    </w:p>
    <w:tbl>
      <w:tblPr>
        <w:tblW w:w="0" w:type="auto"/>
        <w:jc w:val="center"/>
        <w:tblLook w:val="04A0" w:firstRow="1" w:lastRow="0" w:firstColumn="1" w:lastColumn="0" w:noHBand="0" w:noVBand="1"/>
      </w:tblPr>
      <w:tblGrid>
        <w:gridCol w:w="3168"/>
        <w:gridCol w:w="679"/>
        <w:gridCol w:w="934"/>
        <w:gridCol w:w="206"/>
        <w:gridCol w:w="1029"/>
      </w:tblGrid>
      <w:tr w:rsidR="00D85774" w:rsidRPr="00A56123" w14:paraId="3C8AE6DC" w14:textId="77777777" w:rsidTr="00A56123">
        <w:trPr>
          <w:trHeight w:val="196"/>
          <w:jc w:val="center"/>
        </w:trPr>
        <w:tc>
          <w:tcPr>
            <w:tcW w:w="0" w:type="auto"/>
            <w:vMerge w:val="restart"/>
            <w:tcBorders>
              <w:top w:val="single" w:sz="4" w:space="0" w:color="auto"/>
              <w:bottom w:val="single" w:sz="4" w:space="0" w:color="auto"/>
            </w:tcBorders>
            <w:tcMar>
              <w:top w:w="100" w:type="dxa"/>
              <w:left w:w="100" w:type="dxa"/>
              <w:bottom w:w="100" w:type="dxa"/>
              <w:right w:w="100" w:type="dxa"/>
            </w:tcMar>
            <w:hideMark/>
          </w:tcPr>
          <w:p w14:paraId="3E4CF29A" w14:textId="77777777"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Independent Variables</w:t>
            </w:r>
          </w:p>
        </w:tc>
        <w:tc>
          <w:tcPr>
            <w:tcW w:w="0" w:type="auto"/>
            <w:vMerge w:val="restart"/>
            <w:tcBorders>
              <w:top w:val="single" w:sz="4" w:space="0" w:color="auto"/>
              <w:bottom w:val="single" w:sz="4" w:space="0" w:color="auto"/>
            </w:tcBorders>
            <w:tcMar>
              <w:top w:w="100" w:type="dxa"/>
              <w:left w:w="100" w:type="dxa"/>
              <w:bottom w:w="100" w:type="dxa"/>
              <w:right w:w="100" w:type="dxa"/>
            </w:tcMar>
            <w:hideMark/>
          </w:tcPr>
          <w:p w14:paraId="2903D0D1"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Code</w:t>
            </w:r>
          </w:p>
        </w:tc>
        <w:tc>
          <w:tcPr>
            <w:tcW w:w="0" w:type="auto"/>
            <w:gridSpan w:val="3"/>
            <w:tcBorders>
              <w:top w:val="single" w:sz="4" w:space="0" w:color="auto"/>
              <w:bottom w:val="single" w:sz="4" w:space="0" w:color="auto"/>
            </w:tcBorders>
            <w:tcMar>
              <w:top w:w="100" w:type="dxa"/>
              <w:left w:w="100" w:type="dxa"/>
              <w:bottom w:w="100" w:type="dxa"/>
              <w:right w:w="100" w:type="dxa"/>
            </w:tcMar>
            <w:hideMark/>
          </w:tcPr>
          <w:p w14:paraId="126EB7B9"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Levels</w:t>
            </w:r>
          </w:p>
        </w:tc>
      </w:tr>
      <w:tr w:rsidR="00D85774" w:rsidRPr="00A56123" w14:paraId="67EF0086" w14:textId="77777777" w:rsidTr="00A56123">
        <w:trPr>
          <w:trHeight w:val="268"/>
          <w:jc w:val="center"/>
        </w:trPr>
        <w:tc>
          <w:tcPr>
            <w:tcW w:w="0" w:type="auto"/>
            <w:vMerge/>
            <w:tcBorders>
              <w:top w:val="single" w:sz="4" w:space="0" w:color="auto"/>
              <w:bottom w:val="single" w:sz="4" w:space="0" w:color="auto"/>
            </w:tcBorders>
            <w:vAlign w:val="center"/>
            <w:hideMark/>
          </w:tcPr>
          <w:p w14:paraId="37C757AB" w14:textId="77777777" w:rsidR="00D85774" w:rsidRPr="00A56123" w:rsidRDefault="00D85774" w:rsidP="00BA07DA">
            <w:pPr>
              <w:spacing w:after="0" w:line="240"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14:paraId="757B1B7A" w14:textId="77777777" w:rsidR="00D85774" w:rsidRPr="00A56123" w:rsidRDefault="00D85774" w:rsidP="00BA07DA">
            <w:pPr>
              <w:spacing w:after="0" w:line="240" w:lineRule="auto"/>
              <w:jc w:val="center"/>
              <w:rPr>
                <w:rFonts w:ascii="Arial" w:hAnsi="Arial" w:cs="Arial"/>
                <w:sz w:val="20"/>
                <w:szCs w:val="20"/>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0EDA07CA"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Low (-1)</w:t>
            </w:r>
          </w:p>
        </w:tc>
        <w:tc>
          <w:tcPr>
            <w:tcW w:w="0" w:type="auto"/>
            <w:tcBorders>
              <w:top w:val="single" w:sz="4" w:space="0" w:color="auto"/>
              <w:bottom w:val="single" w:sz="4" w:space="0" w:color="auto"/>
            </w:tcBorders>
            <w:tcMar>
              <w:top w:w="100" w:type="dxa"/>
              <w:left w:w="100" w:type="dxa"/>
              <w:bottom w:w="100" w:type="dxa"/>
              <w:right w:w="100" w:type="dxa"/>
            </w:tcMar>
          </w:tcPr>
          <w:p w14:paraId="5D699C95" w14:textId="4080F62C" w:rsidR="00D85774" w:rsidRPr="00A56123" w:rsidRDefault="00D85774" w:rsidP="00BA07DA">
            <w:pPr>
              <w:spacing w:after="0" w:line="240" w:lineRule="auto"/>
              <w:jc w:val="center"/>
              <w:rPr>
                <w:rFonts w:ascii="Arial" w:hAnsi="Arial" w:cs="Arial"/>
                <w:sz w:val="20"/>
                <w:szCs w:val="20"/>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37A8F5EB"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High (+1)</w:t>
            </w:r>
          </w:p>
        </w:tc>
      </w:tr>
      <w:tr w:rsidR="00D85774" w:rsidRPr="00A56123" w14:paraId="17E48B12" w14:textId="77777777" w:rsidTr="00A56123">
        <w:trPr>
          <w:trHeight w:val="341"/>
          <w:jc w:val="center"/>
        </w:trPr>
        <w:tc>
          <w:tcPr>
            <w:tcW w:w="0" w:type="auto"/>
            <w:tcMar>
              <w:top w:w="100" w:type="dxa"/>
              <w:left w:w="100" w:type="dxa"/>
              <w:bottom w:w="100" w:type="dxa"/>
              <w:right w:w="100" w:type="dxa"/>
            </w:tcMar>
            <w:hideMark/>
          </w:tcPr>
          <w:p w14:paraId="56F411CF" w14:textId="387FE3B6"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Ultrasound power density (W/mL)</w:t>
            </w:r>
          </w:p>
        </w:tc>
        <w:tc>
          <w:tcPr>
            <w:tcW w:w="0" w:type="auto"/>
            <w:tcMar>
              <w:top w:w="100" w:type="dxa"/>
              <w:left w:w="100" w:type="dxa"/>
              <w:bottom w:w="100" w:type="dxa"/>
              <w:right w:w="100" w:type="dxa"/>
            </w:tcMar>
            <w:hideMark/>
          </w:tcPr>
          <w:p w14:paraId="6C5C1913" w14:textId="6F2D8191" w:rsidR="00D85774" w:rsidRPr="00A56123" w:rsidRDefault="00AD42BB" w:rsidP="00BA07DA">
            <w:pPr>
              <w:spacing w:after="0" w:line="240" w:lineRule="auto"/>
              <w:jc w:val="center"/>
              <w:rPr>
                <w:rFonts w:ascii="Arial" w:hAnsi="Arial" w:cs="Arial"/>
                <w:sz w:val="20"/>
                <w:szCs w:val="20"/>
              </w:rPr>
            </w:pPr>
            <w:r w:rsidRPr="00A56123">
              <w:rPr>
                <w:rFonts w:ascii="Arial" w:hAnsi="Arial" w:cs="Arial"/>
                <w:sz w:val="20"/>
                <w:szCs w:val="20"/>
              </w:rPr>
              <w:t>A</w:t>
            </w:r>
          </w:p>
        </w:tc>
        <w:tc>
          <w:tcPr>
            <w:tcW w:w="0" w:type="auto"/>
            <w:tcMar>
              <w:top w:w="100" w:type="dxa"/>
              <w:left w:w="100" w:type="dxa"/>
              <w:bottom w:w="100" w:type="dxa"/>
              <w:right w:w="100" w:type="dxa"/>
            </w:tcMar>
            <w:hideMark/>
          </w:tcPr>
          <w:p w14:paraId="243AD6CE"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0.2</w:t>
            </w:r>
          </w:p>
        </w:tc>
        <w:tc>
          <w:tcPr>
            <w:tcW w:w="0" w:type="auto"/>
            <w:tcMar>
              <w:top w:w="100" w:type="dxa"/>
              <w:left w:w="100" w:type="dxa"/>
              <w:bottom w:w="100" w:type="dxa"/>
              <w:right w:w="100" w:type="dxa"/>
            </w:tcMar>
          </w:tcPr>
          <w:p w14:paraId="004F5BB4" w14:textId="2E70D3A5" w:rsidR="00D85774" w:rsidRPr="00A56123" w:rsidRDefault="00D85774" w:rsidP="00BA07DA">
            <w:pPr>
              <w:spacing w:after="0" w:line="240" w:lineRule="auto"/>
              <w:jc w:val="center"/>
              <w:rPr>
                <w:rFonts w:ascii="Arial" w:hAnsi="Arial" w:cs="Arial"/>
                <w:sz w:val="20"/>
                <w:szCs w:val="20"/>
              </w:rPr>
            </w:pPr>
          </w:p>
        </w:tc>
        <w:tc>
          <w:tcPr>
            <w:tcW w:w="0" w:type="auto"/>
            <w:tcMar>
              <w:top w:w="100" w:type="dxa"/>
              <w:left w:w="100" w:type="dxa"/>
              <w:bottom w:w="100" w:type="dxa"/>
              <w:right w:w="100" w:type="dxa"/>
            </w:tcMar>
            <w:hideMark/>
          </w:tcPr>
          <w:p w14:paraId="7F7DCB13"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0.5</w:t>
            </w:r>
          </w:p>
        </w:tc>
      </w:tr>
      <w:tr w:rsidR="00D85774" w:rsidRPr="00A56123" w14:paraId="2209F2B7" w14:textId="77777777" w:rsidTr="00A56123">
        <w:trPr>
          <w:trHeight w:val="161"/>
          <w:jc w:val="center"/>
        </w:trPr>
        <w:tc>
          <w:tcPr>
            <w:tcW w:w="0" w:type="auto"/>
            <w:tcBorders>
              <w:bottom w:val="single" w:sz="4" w:space="0" w:color="auto"/>
            </w:tcBorders>
            <w:tcMar>
              <w:top w:w="100" w:type="dxa"/>
              <w:left w:w="100" w:type="dxa"/>
              <w:bottom w:w="100" w:type="dxa"/>
              <w:right w:w="100" w:type="dxa"/>
            </w:tcMar>
            <w:hideMark/>
          </w:tcPr>
          <w:p w14:paraId="35B7FA72" w14:textId="77777777"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lastRenderedPageBreak/>
              <w:t>Exposure time (min)</w:t>
            </w:r>
          </w:p>
        </w:tc>
        <w:tc>
          <w:tcPr>
            <w:tcW w:w="0" w:type="auto"/>
            <w:tcBorders>
              <w:bottom w:val="single" w:sz="4" w:space="0" w:color="auto"/>
            </w:tcBorders>
            <w:tcMar>
              <w:top w:w="100" w:type="dxa"/>
              <w:left w:w="100" w:type="dxa"/>
              <w:bottom w:w="100" w:type="dxa"/>
              <w:right w:w="100" w:type="dxa"/>
            </w:tcMar>
            <w:hideMark/>
          </w:tcPr>
          <w:p w14:paraId="6E0FB723" w14:textId="3C8E1075" w:rsidR="00D85774" w:rsidRPr="00A56123" w:rsidRDefault="00AD42BB" w:rsidP="00BA07DA">
            <w:pPr>
              <w:spacing w:after="0" w:line="240" w:lineRule="auto"/>
              <w:jc w:val="center"/>
              <w:rPr>
                <w:rFonts w:ascii="Arial" w:hAnsi="Arial" w:cs="Arial"/>
                <w:sz w:val="20"/>
                <w:szCs w:val="20"/>
              </w:rPr>
            </w:pPr>
            <w:r w:rsidRPr="00A56123">
              <w:rPr>
                <w:rFonts w:ascii="Arial" w:hAnsi="Arial" w:cs="Arial"/>
                <w:sz w:val="20"/>
                <w:szCs w:val="20"/>
              </w:rPr>
              <w:t>B</w:t>
            </w:r>
          </w:p>
        </w:tc>
        <w:tc>
          <w:tcPr>
            <w:tcW w:w="0" w:type="auto"/>
            <w:tcBorders>
              <w:bottom w:val="single" w:sz="4" w:space="0" w:color="auto"/>
            </w:tcBorders>
            <w:tcMar>
              <w:top w:w="100" w:type="dxa"/>
              <w:left w:w="100" w:type="dxa"/>
              <w:bottom w:w="100" w:type="dxa"/>
              <w:right w:w="100" w:type="dxa"/>
            </w:tcMar>
            <w:hideMark/>
          </w:tcPr>
          <w:p w14:paraId="6BF19DBE"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10</w:t>
            </w:r>
          </w:p>
        </w:tc>
        <w:tc>
          <w:tcPr>
            <w:tcW w:w="0" w:type="auto"/>
            <w:tcBorders>
              <w:bottom w:val="single" w:sz="4" w:space="0" w:color="auto"/>
            </w:tcBorders>
            <w:tcMar>
              <w:top w:w="100" w:type="dxa"/>
              <w:left w:w="100" w:type="dxa"/>
              <w:bottom w:w="100" w:type="dxa"/>
              <w:right w:w="100" w:type="dxa"/>
            </w:tcMar>
          </w:tcPr>
          <w:p w14:paraId="2F3D6EBF" w14:textId="39743CBB" w:rsidR="00D85774" w:rsidRPr="00A56123" w:rsidRDefault="00D85774" w:rsidP="00BA07DA">
            <w:pPr>
              <w:spacing w:after="0" w:line="240" w:lineRule="auto"/>
              <w:jc w:val="center"/>
              <w:rPr>
                <w:rFonts w:ascii="Arial" w:hAnsi="Arial" w:cs="Arial"/>
                <w:sz w:val="20"/>
                <w:szCs w:val="20"/>
              </w:rPr>
            </w:pPr>
          </w:p>
        </w:tc>
        <w:tc>
          <w:tcPr>
            <w:tcW w:w="0" w:type="auto"/>
            <w:tcBorders>
              <w:bottom w:val="single" w:sz="4" w:space="0" w:color="auto"/>
            </w:tcBorders>
            <w:tcMar>
              <w:top w:w="100" w:type="dxa"/>
              <w:left w:w="100" w:type="dxa"/>
              <w:bottom w:w="100" w:type="dxa"/>
              <w:right w:w="100" w:type="dxa"/>
            </w:tcMar>
            <w:hideMark/>
          </w:tcPr>
          <w:p w14:paraId="62CE5E71"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30</w:t>
            </w:r>
          </w:p>
        </w:tc>
      </w:tr>
    </w:tbl>
    <w:p w14:paraId="6B5BEDAE" w14:textId="77777777" w:rsidR="00D85774" w:rsidRPr="00D85774" w:rsidRDefault="00D85774" w:rsidP="00CF6CCC">
      <w:pPr>
        <w:spacing w:after="0" w:line="240" w:lineRule="auto"/>
        <w:jc w:val="both"/>
        <w:rPr>
          <w:rFonts w:ascii="Arial" w:hAnsi="Arial" w:cs="Arial"/>
          <w:sz w:val="22"/>
          <w:szCs w:val="22"/>
        </w:rPr>
      </w:pPr>
    </w:p>
    <w:p w14:paraId="191E3F33" w14:textId="123E20C3" w:rsidR="00550E8E"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2.4 </w:t>
      </w:r>
      <w:r w:rsidR="00550E8E" w:rsidRPr="00A56123">
        <w:rPr>
          <w:rFonts w:ascii="Arial" w:hAnsi="Arial" w:cs="Arial"/>
          <w:b/>
          <w:bCs/>
          <w:sz w:val="20"/>
          <w:szCs w:val="20"/>
        </w:rPr>
        <w:t xml:space="preserve">Biomass production </w:t>
      </w:r>
    </w:p>
    <w:p w14:paraId="28B2A432" w14:textId="04290343" w:rsidR="00550E8E" w:rsidRPr="00A56123" w:rsidRDefault="00550E8E" w:rsidP="00CF6CCC">
      <w:pPr>
        <w:spacing w:after="0" w:line="240" w:lineRule="auto"/>
        <w:jc w:val="both"/>
        <w:rPr>
          <w:rFonts w:ascii="Arial" w:hAnsi="Arial" w:cs="Arial"/>
          <w:sz w:val="20"/>
          <w:szCs w:val="20"/>
        </w:rPr>
      </w:pPr>
      <w:r w:rsidRPr="00A56123">
        <w:rPr>
          <w:rFonts w:ascii="Arial" w:hAnsi="Arial" w:cs="Arial"/>
          <w:sz w:val="20"/>
          <w:szCs w:val="20"/>
        </w:rPr>
        <w:t xml:space="preserve">Batch cultivation was carried out in 1000 mL Erlenmeyer flasks containing 500 mL of UPMWW. Before inoculation, the medium pH was adjusted to 7.0 using 1 N HCl or NaOH. Each flask was then inoculated with 8% (v/v) of actively growing </w:t>
      </w:r>
      <w:r w:rsidRPr="00A56123">
        <w:rPr>
          <w:rFonts w:ascii="Arial" w:hAnsi="Arial" w:cs="Arial"/>
          <w:i/>
          <w:iCs/>
          <w:sz w:val="20"/>
          <w:szCs w:val="20"/>
        </w:rPr>
        <w:t>C. humicola</w:t>
      </w:r>
      <w:r w:rsidRPr="00A56123">
        <w:rPr>
          <w:rFonts w:ascii="Arial" w:hAnsi="Arial" w:cs="Arial"/>
          <w:sz w:val="20"/>
          <w:szCs w:val="20"/>
        </w:rPr>
        <w:t xml:space="preserve"> MCH4 and incubated at 30 </w:t>
      </w:r>
      <w:r w:rsidR="00AD42BB" w:rsidRPr="00A56123">
        <w:rPr>
          <w:rFonts w:ascii="Arial" w:hAnsi="Arial" w:cs="Arial"/>
          <w:sz w:val="20"/>
          <w:szCs w:val="20"/>
        </w:rPr>
        <w:t>±</w:t>
      </w:r>
      <w:r w:rsidRPr="00A56123">
        <w:rPr>
          <w:rFonts w:ascii="Arial" w:hAnsi="Arial" w:cs="Arial"/>
          <w:sz w:val="20"/>
          <w:szCs w:val="20"/>
        </w:rPr>
        <w:t xml:space="preserve"> 1 </w:t>
      </w:r>
      <w:r w:rsidR="00AD42BB" w:rsidRPr="00A56123">
        <w:rPr>
          <w:rFonts w:ascii="Arial" w:hAnsi="Arial" w:cs="Arial"/>
          <w:sz w:val="20"/>
          <w:szCs w:val="20"/>
          <w:vertAlign w:val="superscript"/>
        </w:rPr>
        <w:t>o</w:t>
      </w:r>
      <w:r w:rsidRPr="00A56123">
        <w:rPr>
          <w:rFonts w:ascii="Arial" w:hAnsi="Arial" w:cs="Arial"/>
          <w:sz w:val="20"/>
          <w:szCs w:val="20"/>
        </w:rPr>
        <w:t>C on a rotary shaker at 150 rpm. Illumination was supplied at 90 μE m</w:t>
      </w:r>
      <w:r w:rsidR="00AD42BB" w:rsidRPr="00A56123">
        <w:rPr>
          <w:rFonts w:ascii="Arial" w:hAnsi="Arial" w:cs="Arial"/>
          <w:sz w:val="20"/>
          <w:szCs w:val="20"/>
          <w:vertAlign w:val="superscript"/>
        </w:rPr>
        <w:t>-2</w:t>
      </w:r>
      <w:r w:rsidRPr="00A56123">
        <w:rPr>
          <w:rFonts w:ascii="Arial" w:hAnsi="Arial" w:cs="Arial"/>
          <w:sz w:val="20"/>
          <w:szCs w:val="20"/>
        </w:rPr>
        <w:t xml:space="preserve"> s</w:t>
      </w:r>
      <w:r w:rsidR="00AD42BB" w:rsidRPr="00A56123">
        <w:rPr>
          <w:rFonts w:ascii="Arial" w:hAnsi="Arial" w:cs="Arial"/>
          <w:sz w:val="20"/>
          <w:szCs w:val="20"/>
          <w:vertAlign w:val="superscript"/>
        </w:rPr>
        <w:t>-1</w:t>
      </w:r>
      <w:r w:rsidRPr="00A56123">
        <w:rPr>
          <w:rFonts w:ascii="Arial" w:hAnsi="Arial" w:cs="Arial"/>
          <w:sz w:val="20"/>
          <w:szCs w:val="20"/>
        </w:rPr>
        <w:t xml:space="preserve"> following a 10:14 h light–dark cycle for a period of 10 days. At the end of the cultivation, the biomass was harvested from 10 mL of culture by centrifuging the culture at 14,000 rpm for 15 min using a benchtop centrifuge (Remi Model R-8C BL, Mumbai, Maharashtra, India). The resulting cell pellet was rinsed twice with deionized water and centrifuged again to remove any remaining impurities. The cleaned biomass was then used for estimation</w:t>
      </w:r>
      <w:r w:rsidR="00EF02BB" w:rsidRPr="00A56123">
        <w:rPr>
          <w:rFonts w:ascii="Arial" w:hAnsi="Arial" w:cs="Arial"/>
          <w:sz w:val="20"/>
          <w:szCs w:val="20"/>
        </w:rPr>
        <w:t xml:space="preserve"> of biomass, specific growth rate and biomass productivity</w:t>
      </w:r>
      <w:r w:rsidRPr="00A56123">
        <w:rPr>
          <w:rFonts w:ascii="Arial" w:hAnsi="Arial" w:cs="Arial"/>
          <w:sz w:val="20"/>
          <w:szCs w:val="20"/>
        </w:rPr>
        <w:t>.</w:t>
      </w:r>
    </w:p>
    <w:p w14:paraId="6C1778B8" w14:textId="77777777" w:rsidR="00A66C89" w:rsidRPr="00A56123" w:rsidRDefault="00A66C89" w:rsidP="00CF6CCC">
      <w:pPr>
        <w:spacing w:after="0" w:line="240" w:lineRule="auto"/>
        <w:jc w:val="both"/>
        <w:rPr>
          <w:rFonts w:ascii="Arial" w:hAnsi="Arial" w:cs="Arial"/>
          <w:b/>
          <w:bCs/>
          <w:sz w:val="20"/>
          <w:szCs w:val="20"/>
        </w:rPr>
      </w:pPr>
    </w:p>
    <w:p w14:paraId="5FB27CE4" w14:textId="43DF644B" w:rsidR="00550E8E" w:rsidRPr="00A56123" w:rsidRDefault="00CF6CCC" w:rsidP="00CF6CCC">
      <w:pPr>
        <w:spacing w:after="0" w:line="240" w:lineRule="auto"/>
        <w:jc w:val="both"/>
        <w:rPr>
          <w:rFonts w:ascii="Arial" w:hAnsi="Arial" w:cs="Arial"/>
          <w:sz w:val="20"/>
          <w:szCs w:val="20"/>
        </w:rPr>
      </w:pPr>
      <w:r w:rsidRPr="00A56123">
        <w:rPr>
          <w:rFonts w:ascii="Arial" w:hAnsi="Arial" w:cs="Arial"/>
          <w:b/>
          <w:bCs/>
          <w:sz w:val="20"/>
          <w:szCs w:val="20"/>
        </w:rPr>
        <w:t xml:space="preserve">2.4 </w:t>
      </w:r>
      <w:r w:rsidR="00550E8E" w:rsidRPr="00A56123">
        <w:rPr>
          <w:rFonts w:ascii="Arial" w:hAnsi="Arial" w:cs="Arial"/>
          <w:b/>
          <w:bCs/>
          <w:sz w:val="20"/>
          <w:szCs w:val="20"/>
        </w:rPr>
        <w:t xml:space="preserve">Estimation of </w:t>
      </w:r>
      <w:r w:rsidR="00E23432" w:rsidRPr="00A56123">
        <w:rPr>
          <w:rFonts w:ascii="Arial" w:hAnsi="Arial" w:cs="Arial"/>
          <w:b/>
          <w:bCs/>
          <w:sz w:val="20"/>
          <w:szCs w:val="20"/>
        </w:rPr>
        <w:t>B</w:t>
      </w:r>
      <w:r w:rsidR="00550E8E" w:rsidRPr="00A56123">
        <w:rPr>
          <w:rFonts w:ascii="Arial" w:hAnsi="Arial" w:cs="Arial"/>
          <w:b/>
          <w:bCs/>
          <w:sz w:val="20"/>
          <w:szCs w:val="20"/>
        </w:rPr>
        <w:t>iomass</w:t>
      </w:r>
    </w:p>
    <w:p w14:paraId="5D6E31DC" w14:textId="0EF7E17D" w:rsidR="00550E8E" w:rsidRPr="00A56123" w:rsidRDefault="00550E8E" w:rsidP="00E23432">
      <w:pPr>
        <w:spacing w:after="0" w:line="240" w:lineRule="auto"/>
        <w:jc w:val="both"/>
        <w:rPr>
          <w:rFonts w:ascii="Arial" w:hAnsi="Arial" w:cs="Arial"/>
          <w:sz w:val="20"/>
          <w:szCs w:val="20"/>
        </w:rPr>
      </w:pPr>
      <w:r w:rsidRPr="00A56123">
        <w:rPr>
          <w:rFonts w:ascii="Arial" w:hAnsi="Arial" w:cs="Arial"/>
          <w:sz w:val="20"/>
          <w:szCs w:val="20"/>
        </w:rPr>
        <w:t xml:space="preserve">The cleaned cell pellet was carefully transferred onto a pre-weighed watch glass. The sample was dried in a hot air oven at 40 </w:t>
      </w:r>
      <w:r w:rsidR="00AD42BB" w:rsidRPr="00A56123">
        <w:rPr>
          <w:rFonts w:ascii="Arial" w:hAnsi="Arial" w:cs="Arial"/>
          <w:sz w:val="20"/>
          <w:szCs w:val="20"/>
          <w:vertAlign w:val="superscript"/>
        </w:rPr>
        <w:t>o</w:t>
      </w:r>
      <w:r w:rsidRPr="00A56123">
        <w:rPr>
          <w:rFonts w:ascii="Arial" w:hAnsi="Arial" w:cs="Arial"/>
          <w:sz w:val="20"/>
          <w:szCs w:val="20"/>
        </w:rPr>
        <w:t>C until a constant weight was achieved. After drying, the watch glass was cooled in a desiccator and weighed again. The dry weight (DW) was calculated using the following equation</w:t>
      </w:r>
      <w:r w:rsidR="008C1D97" w:rsidRPr="00A56123">
        <w:rPr>
          <w:rFonts w:ascii="Arial" w:hAnsi="Arial" w:cs="Arial"/>
          <w:sz w:val="20"/>
          <w:szCs w:val="20"/>
        </w:rPr>
        <w:t xml:space="preserve"> 1</w:t>
      </w:r>
      <w:r w:rsidRPr="00A56123">
        <w:rPr>
          <w:rFonts w:ascii="Arial" w:hAnsi="Arial" w:cs="Arial"/>
          <w:sz w:val="20"/>
          <w:szCs w:val="20"/>
        </w:rPr>
        <w:t>:</w:t>
      </w:r>
    </w:p>
    <w:p w14:paraId="4B5E5857" w14:textId="55480EE0" w:rsidR="00EF02BB" w:rsidRPr="00A56123" w:rsidRDefault="00EF02BB" w:rsidP="00CF6CCC">
      <w:pPr>
        <w:spacing w:after="0" w:line="240" w:lineRule="auto"/>
        <w:ind w:firstLine="720"/>
        <w:jc w:val="both"/>
        <w:rPr>
          <w:rFonts w:ascii="Arial" w:hAnsi="Arial" w:cs="Arial"/>
          <w:sz w:val="20"/>
          <w:szCs w:val="20"/>
        </w:rPr>
      </w:pPr>
      <m:oMathPara>
        <m:oMath>
          <m:r>
            <m:rPr>
              <m:nor/>
            </m:rPr>
            <w:rPr>
              <w:rFonts w:ascii="Arial" w:hAnsi="Arial" w:cs="Arial"/>
              <w:sz w:val="20"/>
              <w:szCs w:val="20"/>
            </w:rPr>
            <m:t>DW (g/L)=</m:t>
          </m:r>
          <m:f>
            <m:fPr>
              <m:ctrlPr>
                <w:rPr>
                  <w:rFonts w:ascii="Cambria Math" w:hAnsi="Cambria Math" w:cs="Arial"/>
                  <w:sz w:val="20"/>
                  <w:szCs w:val="20"/>
                </w:rPr>
              </m:ctrlPr>
            </m:fPr>
            <m:num>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r>
                <w:rPr>
                  <w:rFonts w:ascii="Cambria Math" w:hAnsi="Cambria Math" w:cs="Arial"/>
                  <w:sz w:val="20"/>
                  <w:szCs w:val="20"/>
                </w:rPr>
                <m:t>]</m:t>
              </m:r>
            </m:num>
            <m:den>
              <m:r>
                <m:rPr>
                  <m:nor/>
                </m:rPr>
                <w:rPr>
                  <w:rFonts w:ascii="Arial" w:hAnsi="Arial" w:cs="Arial"/>
                  <w:sz w:val="20"/>
                  <w:szCs w:val="20"/>
                </w:rPr>
                <m:t>Volume of sample (L)</m:t>
              </m:r>
            </m:den>
          </m:f>
          <m:r>
            <m:rPr>
              <m:sty m:val="p"/>
            </m:rPr>
            <w:rPr>
              <w:rFonts w:ascii="Cambria Math" w:hAnsi="Cambria Math" w:cs="Arial"/>
              <w:sz w:val="20"/>
              <w:szCs w:val="20"/>
            </w:rPr>
            <m:t>-------(Eq.1)</m:t>
          </m:r>
        </m:oMath>
      </m:oMathPara>
    </w:p>
    <w:p w14:paraId="5C9B91D1" w14:textId="556088F4" w:rsidR="008C1D97" w:rsidRPr="00A56123" w:rsidRDefault="008C1D97" w:rsidP="00CF6CCC">
      <w:pPr>
        <w:spacing w:after="0" w:line="240" w:lineRule="auto"/>
        <w:jc w:val="both"/>
        <w:rPr>
          <w:rFonts w:ascii="Arial" w:hAnsi="Arial" w:cs="Arial"/>
          <w:sz w:val="20"/>
          <w:szCs w:val="20"/>
        </w:rPr>
      </w:pPr>
      <w:r w:rsidRPr="00A56123">
        <w:rPr>
          <w:rFonts w:ascii="Arial" w:hAnsi="Arial" w:cs="Arial"/>
          <w:sz w:val="20"/>
          <w:szCs w:val="20"/>
        </w:rPr>
        <w:t>Where, X</w:t>
      </w:r>
      <w:r w:rsidRPr="00A56123">
        <w:rPr>
          <w:rFonts w:ascii="Arial" w:hAnsi="Arial" w:cs="Arial"/>
          <w:sz w:val="20"/>
          <w:szCs w:val="20"/>
          <w:vertAlign w:val="subscript"/>
        </w:rPr>
        <w:t>f</w:t>
      </w:r>
      <w:r w:rsidRPr="00A56123">
        <w:rPr>
          <w:rFonts w:ascii="Arial" w:hAnsi="Arial" w:cs="Arial"/>
          <w:sz w:val="20"/>
          <w:szCs w:val="20"/>
        </w:rPr>
        <w:t xml:space="preserve"> is weight of watch glass with dried biomass (g), X</w:t>
      </w:r>
      <w:r w:rsidRPr="00A56123">
        <w:rPr>
          <w:rFonts w:ascii="Arial" w:hAnsi="Arial" w:cs="Arial"/>
          <w:sz w:val="20"/>
          <w:szCs w:val="20"/>
          <w:vertAlign w:val="subscript"/>
        </w:rPr>
        <w:t>0</w:t>
      </w:r>
      <w:r w:rsidRPr="00A56123">
        <w:rPr>
          <w:rFonts w:ascii="Arial" w:hAnsi="Arial" w:cs="Arial"/>
          <w:sz w:val="20"/>
          <w:szCs w:val="20"/>
        </w:rPr>
        <w:t xml:space="preserve"> is the weight of empty watch glass (g) </w:t>
      </w:r>
    </w:p>
    <w:p w14:paraId="677BA880" w14:textId="7AA30FA1" w:rsidR="00550E8E"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2.5 </w:t>
      </w:r>
      <w:r w:rsidR="00550E8E" w:rsidRPr="00A56123">
        <w:rPr>
          <w:rFonts w:ascii="Arial" w:hAnsi="Arial" w:cs="Arial"/>
          <w:b/>
          <w:bCs/>
          <w:sz w:val="20"/>
          <w:szCs w:val="20"/>
        </w:rPr>
        <w:t xml:space="preserve">Estimation of </w:t>
      </w:r>
      <w:r w:rsidR="00E23432" w:rsidRPr="00A56123">
        <w:rPr>
          <w:rFonts w:ascii="Arial" w:hAnsi="Arial" w:cs="Arial"/>
          <w:b/>
          <w:bCs/>
          <w:sz w:val="20"/>
          <w:szCs w:val="20"/>
        </w:rPr>
        <w:t>S</w:t>
      </w:r>
      <w:r w:rsidR="00550E8E" w:rsidRPr="00A56123">
        <w:rPr>
          <w:rFonts w:ascii="Arial" w:hAnsi="Arial" w:cs="Arial"/>
          <w:b/>
          <w:bCs/>
          <w:sz w:val="20"/>
          <w:szCs w:val="20"/>
        </w:rPr>
        <w:t xml:space="preserve">pecific </w:t>
      </w:r>
      <w:r w:rsidR="00E23432" w:rsidRPr="00A56123">
        <w:rPr>
          <w:rFonts w:ascii="Arial" w:hAnsi="Arial" w:cs="Arial"/>
          <w:b/>
          <w:bCs/>
          <w:sz w:val="20"/>
          <w:szCs w:val="20"/>
        </w:rPr>
        <w:t>G</w:t>
      </w:r>
      <w:r w:rsidR="00550E8E" w:rsidRPr="00A56123">
        <w:rPr>
          <w:rFonts w:ascii="Arial" w:hAnsi="Arial" w:cs="Arial"/>
          <w:b/>
          <w:bCs/>
          <w:sz w:val="20"/>
          <w:szCs w:val="20"/>
        </w:rPr>
        <w:t xml:space="preserve">rowth </w:t>
      </w:r>
      <w:r w:rsidR="00E23432" w:rsidRPr="00A56123">
        <w:rPr>
          <w:rFonts w:ascii="Arial" w:hAnsi="Arial" w:cs="Arial"/>
          <w:b/>
          <w:bCs/>
          <w:sz w:val="20"/>
          <w:szCs w:val="20"/>
        </w:rPr>
        <w:t>R</w:t>
      </w:r>
      <w:r w:rsidR="00550E8E" w:rsidRPr="00A56123">
        <w:rPr>
          <w:rFonts w:ascii="Arial" w:hAnsi="Arial" w:cs="Arial"/>
          <w:b/>
          <w:bCs/>
          <w:sz w:val="20"/>
          <w:szCs w:val="20"/>
        </w:rPr>
        <w:t xml:space="preserve">ate </w:t>
      </w:r>
      <w:r w:rsidR="003967FE" w:rsidRPr="00A56123">
        <w:rPr>
          <w:rFonts w:ascii="Arial" w:hAnsi="Arial" w:cs="Arial"/>
          <w:b/>
          <w:bCs/>
          <w:sz w:val="20"/>
          <w:szCs w:val="20"/>
        </w:rPr>
        <w:t>and Biomass Productivity</w:t>
      </w:r>
    </w:p>
    <w:p w14:paraId="0DFC1FB4" w14:textId="728295A5" w:rsidR="00550E8E" w:rsidRPr="00A56123" w:rsidRDefault="00550E8E" w:rsidP="00E23432">
      <w:pPr>
        <w:spacing w:after="0" w:line="240" w:lineRule="auto"/>
        <w:jc w:val="both"/>
        <w:rPr>
          <w:rFonts w:ascii="Arial" w:hAnsi="Arial" w:cs="Arial"/>
          <w:sz w:val="20"/>
          <w:szCs w:val="20"/>
        </w:rPr>
      </w:pPr>
      <w:r w:rsidRPr="00A56123">
        <w:rPr>
          <w:rFonts w:ascii="Arial" w:hAnsi="Arial" w:cs="Arial"/>
          <w:sz w:val="20"/>
          <w:szCs w:val="20"/>
        </w:rPr>
        <w:t xml:space="preserve">The specific growth rate (SGR) </w:t>
      </w:r>
      <w:r w:rsidR="002923FB" w:rsidRPr="00A56123">
        <w:rPr>
          <w:rFonts w:ascii="Arial" w:hAnsi="Arial" w:cs="Arial"/>
          <w:sz w:val="20"/>
          <w:szCs w:val="20"/>
        </w:rPr>
        <w:t xml:space="preserve">and biomass </w:t>
      </w:r>
      <w:r w:rsidR="003967FE" w:rsidRPr="00A56123">
        <w:rPr>
          <w:rFonts w:ascii="Arial" w:hAnsi="Arial" w:cs="Arial"/>
          <w:sz w:val="20"/>
          <w:szCs w:val="20"/>
        </w:rPr>
        <w:t xml:space="preserve">productivity (BP) </w:t>
      </w:r>
      <w:r w:rsidRPr="00A56123">
        <w:rPr>
          <w:rFonts w:ascii="Arial" w:hAnsi="Arial" w:cs="Arial"/>
          <w:sz w:val="20"/>
          <w:szCs w:val="20"/>
        </w:rPr>
        <w:t xml:space="preserve">of the microalgal culture was calculated using the following </w:t>
      </w:r>
      <w:r w:rsidR="003967FE" w:rsidRPr="00A56123">
        <w:rPr>
          <w:rFonts w:ascii="Arial" w:hAnsi="Arial" w:cs="Arial"/>
          <w:sz w:val="20"/>
          <w:szCs w:val="20"/>
        </w:rPr>
        <w:t xml:space="preserve">equations </w:t>
      </w:r>
      <w:r w:rsidR="008C1D97" w:rsidRPr="00A56123">
        <w:rPr>
          <w:rFonts w:ascii="Arial" w:hAnsi="Arial" w:cs="Arial"/>
          <w:sz w:val="20"/>
          <w:szCs w:val="20"/>
        </w:rPr>
        <w:t>2</w:t>
      </w:r>
      <w:r w:rsidR="003967FE" w:rsidRPr="00A56123">
        <w:rPr>
          <w:rFonts w:ascii="Arial" w:hAnsi="Arial" w:cs="Arial"/>
          <w:sz w:val="20"/>
          <w:szCs w:val="20"/>
        </w:rPr>
        <w:t xml:space="preserve"> and </w:t>
      </w:r>
      <w:r w:rsidR="008C1D97" w:rsidRPr="00A56123">
        <w:rPr>
          <w:rFonts w:ascii="Arial" w:hAnsi="Arial" w:cs="Arial"/>
          <w:sz w:val="20"/>
          <w:szCs w:val="20"/>
        </w:rPr>
        <w:t>3</w:t>
      </w:r>
      <w:r w:rsidR="003967FE" w:rsidRPr="00A56123">
        <w:rPr>
          <w:rFonts w:ascii="Arial" w:hAnsi="Arial" w:cs="Arial"/>
          <w:sz w:val="20"/>
          <w:szCs w:val="20"/>
        </w:rPr>
        <w:t xml:space="preserve"> respectively</w:t>
      </w:r>
      <w:r w:rsidRPr="00A56123">
        <w:rPr>
          <w:rFonts w:ascii="Arial" w:hAnsi="Arial" w:cs="Arial"/>
          <w:sz w:val="20"/>
          <w:szCs w:val="20"/>
        </w:rPr>
        <w:t>:</w:t>
      </w:r>
    </w:p>
    <w:p w14:paraId="2A78BD7D" w14:textId="77777777" w:rsidR="003967FE" w:rsidRPr="00A56123" w:rsidRDefault="003967FE" w:rsidP="00E23432">
      <w:pPr>
        <w:spacing w:after="0" w:line="240" w:lineRule="auto"/>
        <w:jc w:val="both"/>
        <w:rPr>
          <w:rFonts w:ascii="Arial" w:hAnsi="Arial" w:cs="Arial"/>
          <w:sz w:val="20"/>
          <w:szCs w:val="20"/>
        </w:rPr>
      </w:pPr>
    </w:p>
    <w:p w14:paraId="1C58F0C5" w14:textId="602628AF" w:rsidR="00550E8E" w:rsidRPr="00A56123" w:rsidRDefault="00550E8E" w:rsidP="00CF6CCC">
      <w:pPr>
        <w:spacing w:after="0" w:line="240" w:lineRule="auto"/>
        <w:jc w:val="both"/>
        <w:rPr>
          <w:rFonts w:ascii="Arial" w:hAnsi="Arial" w:cs="Arial"/>
          <w:sz w:val="20"/>
          <w:szCs w:val="20"/>
        </w:rPr>
      </w:pPr>
      <m:oMathPara>
        <m:oMath>
          <m:r>
            <m:rPr>
              <m:nor/>
            </m:rPr>
            <w:rPr>
              <w:rFonts w:ascii="Arial" w:hAnsi="Arial" w:cs="Arial"/>
              <w:sz w:val="20"/>
              <w:szCs w:val="20"/>
            </w:rPr>
            <m:t>SGR (µ/day)</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r>
                <m:rPr>
                  <m:sty m:val="p"/>
                </m:rPr>
                <w:rPr>
                  <w:rFonts w:ascii="Cambria Math" w:hAnsi="Cambria Math" w:cs="Arial"/>
                  <w:sz w:val="20"/>
                  <w:szCs w:val="20"/>
                </w:rPr>
                <m:t>)</m:t>
              </m:r>
            </m:num>
            <m:den>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1</m:t>
                  </m:r>
                </m:sub>
              </m:sSub>
            </m:den>
          </m:f>
          <m:r>
            <m:rPr>
              <m:sty m:val="p"/>
            </m:rPr>
            <w:rPr>
              <w:rFonts w:ascii="Cambria Math" w:hAnsi="Cambria Math" w:cs="Arial"/>
              <w:sz w:val="20"/>
              <w:szCs w:val="20"/>
            </w:rPr>
            <m:t>-------------(Eq.2)</m:t>
          </m:r>
          <m:r>
            <m:rPr>
              <m:sty m:val="p"/>
            </m:rPr>
            <w:rPr>
              <w:rFonts w:ascii="Cambria Math" w:hAnsi="Cambria Math" w:cs="Arial"/>
              <w:sz w:val="20"/>
              <w:szCs w:val="20"/>
            </w:rPr>
            <w:br/>
          </m:r>
        </m:oMath>
      </m:oMathPara>
    </w:p>
    <w:p w14:paraId="22DD1D5F" w14:textId="47DD14D3" w:rsidR="00550E8E" w:rsidRPr="00A56123" w:rsidRDefault="003967FE" w:rsidP="002923FB">
      <w:pPr>
        <w:spacing w:after="0" w:line="240" w:lineRule="auto"/>
        <w:jc w:val="both"/>
        <w:rPr>
          <w:rFonts w:ascii="Arial" w:hAnsi="Arial" w:cs="Arial"/>
          <w:sz w:val="20"/>
          <w:szCs w:val="20"/>
        </w:rPr>
      </w:pPr>
      <m:oMathPara>
        <m:oMath>
          <m:r>
            <m:rPr>
              <m:sty m:val="p"/>
            </m:rPr>
            <w:rPr>
              <w:rFonts w:ascii="Cambria Math" w:hAnsi="Cambria Math" w:cs="Arial"/>
              <w:sz w:val="20"/>
              <w:szCs w:val="20"/>
            </w:rPr>
            <m:t>BP (g/L/day)=</m:t>
          </m:r>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num>
            <m:den>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1</m:t>
                  </m:r>
                </m:sub>
              </m:sSub>
            </m:den>
          </m:f>
          <m:r>
            <m:rPr>
              <m:sty m:val="p"/>
            </m:rPr>
            <w:rPr>
              <w:rFonts w:ascii="Cambria Math" w:hAnsi="Cambria Math" w:cs="Arial"/>
              <w:sz w:val="20"/>
              <w:szCs w:val="20"/>
            </w:rPr>
            <m:t>-----------------(Eq.3)</m:t>
          </m:r>
          <m:r>
            <m:rPr>
              <m:sty m:val="p"/>
            </m:rPr>
            <w:rPr>
              <w:rFonts w:ascii="Cambria Math" w:hAnsi="Cambria Math" w:cs="Arial"/>
              <w:sz w:val="20"/>
              <w:szCs w:val="20"/>
            </w:rPr>
            <w:br/>
          </m:r>
        </m:oMath>
      </m:oMathPara>
    </w:p>
    <w:p w14:paraId="7DB81395" w14:textId="56AFA64E" w:rsidR="00A66C89" w:rsidRPr="00A56123" w:rsidRDefault="003967FE" w:rsidP="00CF6CCC">
      <w:pPr>
        <w:spacing w:after="0" w:line="240" w:lineRule="auto"/>
        <w:jc w:val="both"/>
        <w:rPr>
          <w:rFonts w:ascii="Arial" w:hAnsi="Arial" w:cs="Arial"/>
          <w:b/>
          <w:bCs/>
          <w:sz w:val="20"/>
          <w:szCs w:val="20"/>
        </w:rPr>
      </w:pPr>
      <w:r w:rsidRPr="00A56123">
        <w:rPr>
          <w:rFonts w:ascii="Arial" w:hAnsi="Arial" w:cs="Arial"/>
          <w:sz w:val="20"/>
          <w:szCs w:val="20"/>
        </w:rPr>
        <w:t>where X</w:t>
      </w:r>
      <w:r w:rsidRPr="00A56123">
        <w:rPr>
          <w:rFonts w:ascii="Arial" w:hAnsi="Arial" w:cs="Arial"/>
          <w:sz w:val="20"/>
          <w:szCs w:val="20"/>
          <w:vertAlign w:val="subscript"/>
        </w:rPr>
        <w:t>f</w:t>
      </w:r>
      <w:r w:rsidRPr="00A56123">
        <w:rPr>
          <w:rFonts w:ascii="Arial" w:hAnsi="Arial" w:cs="Arial"/>
          <w:sz w:val="20"/>
          <w:szCs w:val="20"/>
        </w:rPr>
        <w:t xml:space="preserve"> </w:t>
      </w:r>
      <w:r w:rsidR="008C1D97" w:rsidRPr="00A56123">
        <w:rPr>
          <w:rFonts w:ascii="Arial" w:hAnsi="Arial" w:cs="Arial"/>
          <w:sz w:val="20"/>
          <w:szCs w:val="20"/>
        </w:rPr>
        <w:t>is</w:t>
      </w:r>
      <w:r w:rsidRPr="00A56123">
        <w:rPr>
          <w:rFonts w:ascii="Arial" w:hAnsi="Arial" w:cs="Arial"/>
          <w:sz w:val="20"/>
          <w:szCs w:val="20"/>
        </w:rPr>
        <w:t xml:space="preserve"> biomass concentration (g/L) at the end of the selected time interval, X</w:t>
      </w:r>
      <w:r w:rsidRPr="00A56123">
        <w:rPr>
          <w:rFonts w:ascii="Arial" w:hAnsi="Arial" w:cs="Arial"/>
          <w:sz w:val="20"/>
          <w:szCs w:val="20"/>
          <w:vertAlign w:val="subscript"/>
        </w:rPr>
        <w:t>0</w:t>
      </w:r>
      <w:r w:rsidRPr="00A56123">
        <w:rPr>
          <w:rFonts w:ascii="Arial" w:hAnsi="Arial" w:cs="Arial"/>
          <w:sz w:val="20"/>
          <w:szCs w:val="20"/>
        </w:rPr>
        <w:t xml:space="preserve"> is biomass concentration at the beginning of the interval, and (t</w:t>
      </w:r>
      <w:r w:rsidRPr="00A56123">
        <w:rPr>
          <w:rFonts w:ascii="Arial" w:hAnsi="Arial" w:cs="Arial"/>
          <w:sz w:val="20"/>
          <w:szCs w:val="20"/>
          <w:vertAlign w:val="subscript"/>
        </w:rPr>
        <w:t>2</w:t>
      </w:r>
      <w:r w:rsidRPr="00A56123">
        <w:rPr>
          <w:rFonts w:ascii="Arial" w:hAnsi="Arial" w:cs="Arial"/>
          <w:sz w:val="20"/>
          <w:szCs w:val="20"/>
        </w:rPr>
        <w:t xml:space="preserve"> – t</w:t>
      </w:r>
      <w:r w:rsidRPr="00A56123">
        <w:rPr>
          <w:rFonts w:ascii="Arial" w:hAnsi="Arial" w:cs="Arial"/>
          <w:sz w:val="20"/>
          <w:szCs w:val="20"/>
          <w:vertAlign w:val="subscript"/>
        </w:rPr>
        <w:t>1</w:t>
      </w:r>
      <w:r w:rsidRPr="00A56123">
        <w:rPr>
          <w:rFonts w:ascii="Arial" w:hAnsi="Arial" w:cs="Arial"/>
          <w:sz w:val="20"/>
          <w:szCs w:val="20"/>
        </w:rPr>
        <w:t>) denotes the duration of the time interval (in days).</w:t>
      </w:r>
    </w:p>
    <w:p w14:paraId="72A69163" w14:textId="2C8998CF" w:rsidR="00F16EDE"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6</w:t>
      </w:r>
      <w:r w:rsidRPr="00A56123">
        <w:rPr>
          <w:rFonts w:ascii="Arial" w:hAnsi="Arial" w:cs="Arial"/>
          <w:b/>
          <w:bCs/>
          <w:sz w:val="20"/>
          <w:szCs w:val="20"/>
        </w:rPr>
        <w:t xml:space="preserve"> </w:t>
      </w:r>
      <w:r w:rsidR="00F16EDE" w:rsidRPr="00A56123">
        <w:rPr>
          <w:rFonts w:ascii="Arial" w:hAnsi="Arial" w:cs="Arial"/>
          <w:b/>
          <w:bCs/>
          <w:sz w:val="20"/>
          <w:szCs w:val="20"/>
        </w:rPr>
        <w:t>Ultrasonic Pretreatment of MWW at Varying Concentrations for Biomass Production</w:t>
      </w:r>
    </w:p>
    <w:p w14:paraId="7B248304" w14:textId="409E69FE" w:rsidR="00F16EDE" w:rsidRPr="00A56123" w:rsidRDefault="00F16EDE" w:rsidP="00E23432">
      <w:pPr>
        <w:spacing w:after="0" w:line="240" w:lineRule="auto"/>
        <w:jc w:val="both"/>
        <w:rPr>
          <w:rFonts w:ascii="Arial" w:hAnsi="Arial" w:cs="Arial"/>
          <w:sz w:val="20"/>
          <w:szCs w:val="20"/>
        </w:rPr>
      </w:pPr>
      <w:r w:rsidRPr="00A56123">
        <w:rPr>
          <w:rFonts w:ascii="Arial" w:hAnsi="Arial" w:cs="Arial"/>
          <w:sz w:val="20"/>
          <w:szCs w:val="20"/>
        </w:rPr>
        <w:t xml:space="preserve">MWW was diluted to different concentrations ranging from 10% to 100% (v/v) using distilled water. Each diluted sample was subjected to </w:t>
      </w:r>
      <w:r w:rsidR="000116EA" w:rsidRPr="00A56123">
        <w:rPr>
          <w:rFonts w:ascii="Arial" w:hAnsi="Arial" w:cs="Arial"/>
          <w:sz w:val="20"/>
          <w:szCs w:val="20"/>
        </w:rPr>
        <w:t>US</w:t>
      </w:r>
      <w:r w:rsidRPr="00A56123">
        <w:rPr>
          <w:rFonts w:ascii="Arial" w:hAnsi="Arial" w:cs="Arial"/>
          <w:sz w:val="20"/>
          <w:szCs w:val="20"/>
        </w:rPr>
        <w:t xml:space="preserve"> pre-treatment under the predetermined optimal conditions of ultrasonic intensity and exposure time. For each treatment, 150 mL of diluted MWW was placed in a 250 mL stainless steel beaker, and the sonicator probe was immersed approximately 1 cm depth to ensure uniform cavitation. After completion of the </w:t>
      </w:r>
      <w:r w:rsidR="00EC253B" w:rsidRPr="00A56123">
        <w:rPr>
          <w:rFonts w:ascii="Arial" w:hAnsi="Arial" w:cs="Arial"/>
          <w:sz w:val="20"/>
          <w:szCs w:val="20"/>
        </w:rPr>
        <w:t>US</w:t>
      </w:r>
      <w:r w:rsidRPr="00A56123">
        <w:rPr>
          <w:rFonts w:ascii="Arial" w:hAnsi="Arial" w:cs="Arial"/>
          <w:sz w:val="20"/>
          <w:szCs w:val="20"/>
        </w:rPr>
        <w:t xml:space="preserve"> treatment, the pre-treated samples were allowed to cool to room temperature and were subsequently used as culture media for the batch cultivation</w:t>
      </w:r>
      <w:r w:rsidR="000116EA" w:rsidRPr="00A56123">
        <w:rPr>
          <w:rFonts w:ascii="Arial" w:hAnsi="Arial" w:cs="Arial"/>
          <w:sz w:val="20"/>
          <w:szCs w:val="20"/>
        </w:rPr>
        <w:t xml:space="preserve"> (Section 2.4)</w:t>
      </w:r>
      <w:r w:rsidRPr="00A56123">
        <w:rPr>
          <w:rFonts w:ascii="Arial" w:hAnsi="Arial" w:cs="Arial"/>
          <w:sz w:val="20"/>
          <w:szCs w:val="20"/>
        </w:rPr>
        <w:t xml:space="preserve"> of double mutant </w:t>
      </w:r>
      <w:r w:rsidRPr="00A56123">
        <w:rPr>
          <w:rFonts w:ascii="Arial" w:hAnsi="Arial" w:cs="Arial"/>
          <w:i/>
          <w:iCs/>
          <w:sz w:val="20"/>
          <w:szCs w:val="20"/>
        </w:rPr>
        <w:t>C. humicola</w:t>
      </w:r>
      <w:r w:rsidRPr="00A56123">
        <w:rPr>
          <w:rFonts w:ascii="Arial" w:hAnsi="Arial" w:cs="Arial"/>
          <w:sz w:val="20"/>
          <w:szCs w:val="20"/>
        </w:rPr>
        <w:t xml:space="preserve"> MCH4. Biomass production was then monitored to evaluate the impact of different MWW concentrations on microalgal growth under standardized cultivation conditions.</w:t>
      </w:r>
    </w:p>
    <w:p w14:paraId="0E201C5E" w14:textId="77777777" w:rsidR="00A66C89" w:rsidRPr="00A56123" w:rsidRDefault="00A66C89" w:rsidP="00CF6CCC">
      <w:pPr>
        <w:spacing w:after="0" w:line="240" w:lineRule="auto"/>
        <w:jc w:val="both"/>
        <w:rPr>
          <w:rFonts w:ascii="Arial" w:hAnsi="Arial" w:cs="Arial"/>
          <w:b/>
          <w:bCs/>
          <w:sz w:val="20"/>
          <w:szCs w:val="20"/>
        </w:rPr>
      </w:pPr>
    </w:p>
    <w:p w14:paraId="122036FB" w14:textId="6F2E10C6" w:rsidR="00170CA2"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7</w:t>
      </w:r>
      <w:r w:rsidRPr="00A56123">
        <w:rPr>
          <w:rFonts w:ascii="Arial" w:hAnsi="Arial" w:cs="Arial"/>
          <w:b/>
          <w:bCs/>
          <w:sz w:val="20"/>
          <w:szCs w:val="20"/>
        </w:rPr>
        <w:t xml:space="preserve"> </w:t>
      </w:r>
      <w:r w:rsidR="00170CA2" w:rsidRPr="00A56123">
        <w:rPr>
          <w:rFonts w:ascii="Arial" w:hAnsi="Arial" w:cs="Arial"/>
          <w:b/>
          <w:bCs/>
          <w:sz w:val="20"/>
          <w:szCs w:val="20"/>
        </w:rPr>
        <w:t>Estimation of Bacterial Population</w:t>
      </w:r>
    </w:p>
    <w:p w14:paraId="78EA0177" w14:textId="6CF70792" w:rsidR="00170CA2" w:rsidRPr="00A56123" w:rsidRDefault="00170CA2" w:rsidP="00E23432">
      <w:pPr>
        <w:spacing w:after="0" w:line="240" w:lineRule="auto"/>
        <w:jc w:val="both"/>
        <w:rPr>
          <w:rFonts w:ascii="Arial" w:hAnsi="Arial" w:cs="Arial"/>
          <w:sz w:val="20"/>
          <w:szCs w:val="20"/>
        </w:rPr>
      </w:pPr>
      <w:r w:rsidRPr="00A56123">
        <w:rPr>
          <w:rFonts w:ascii="Arial" w:hAnsi="Arial" w:cs="Arial"/>
          <w:sz w:val="20"/>
          <w:szCs w:val="20"/>
        </w:rPr>
        <w:t xml:space="preserve">The bacterial load in the MWW was quantified before and after </w:t>
      </w:r>
      <w:r w:rsidR="00EC253B" w:rsidRPr="00A56123">
        <w:rPr>
          <w:rFonts w:ascii="Arial" w:hAnsi="Arial" w:cs="Arial"/>
          <w:sz w:val="20"/>
          <w:szCs w:val="20"/>
        </w:rPr>
        <w:t>US</w:t>
      </w:r>
      <w:r w:rsidRPr="00A56123">
        <w:rPr>
          <w:rFonts w:ascii="Arial" w:hAnsi="Arial" w:cs="Arial"/>
          <w:sz w:val="20"/>
          <w:szCs w:val="20"/>
        </w:rPr>
        <w:t xml:space="preserve"> pre-treatment using the plate count method. For this, 1 mL of appropriately diluted MWW was spread onto nutrient agar plates and incubated at 35 </w:t>
      </w:r>
      <w:r w:rsidR="00AD42BB" w:rsidRPr="00A56123">
        <w:rPr>
          <w:rFonts w:ascii="Arial" w:hAnsi="Arial" w:cs="Arial"/>
          <w:sz w:val="20"/>
          <w:szCs w:val="20"/>
          <w:vertAlign w:val="superscript"/>
        </w:rPr>
        <w:t>o</w:t>
      </w:r>
      <w:r w:rsidRPr="00A56123">
        <w:rPr>
          <w:rFonts w:ascii="Arial" w:hAnsi="Arial" w:cs="Arial"/>
          <w:sz w:val="20"/>
          <w:szCs w:val="20"/>
        </w:rPr>
        <w:t xml:space="preserve">C for 24 hours. After incubation, the developed bacterial colonies on each plate were enumerated using a digital colony counter. The bacterial population was expressed as colony-forming units (CFU) and calculated using the following </w:t>
      </w:r>
      <w:r w:rsidR="00D405E9" w:rsidRPr="00A56123">
        <w:rPr>
          <w:rFonts w:ascii="Arial" w:hAnsi="Arial" w:cs="Arial"/>
          <w:sz w:val="20"/>
          <w:szCs w:val="20"/>
        </w:rPr>
        <w:t xml:space="preserve">equation </w:t>
      </w:r>
      <w:r w:rsidR="00EC253B" w:rsidRPr="00A56123">
        <w:rPr>
          <w:rFonts w:ascii="Arial" w:hAnsi="Arial" w:cs="Arial"/>
          <w:sz w:val="20"/>
          <w:szCs w:val="20"/>
        </w:rPr>
        <w:t>4</w:t>
      </w:r>
      <w:r w:rsidRPr="00A56123">
        <w:rPr>
          <w:rFonts w:ascii="Arial" w:hAnsi="Arial" w:cs="Arial"/>
          <w:sz w:val="20"/>
          <w:szCs w:val="20"/>
        </w:rPr>
        <w:t>:</w:t>
      </w:r>
    </w:p>
    <w:p w14:paraId="71ED049A" w14:textId="4BB1B369" w:rsidR="00170CA2" w:rsidRPr="00A56123" w:rsidRDefault="001B7E5A" w:rsidP="00CF6CCC">
      <w:pPr>
        <w:spacing w:after="0" w:line="240" w:lineRule="auto"/>
        <w:ind w:firstLine="720"/>
        <w:jc w:val="both"/>
        <w:rPr>
          <w:rFonts w:ascii="Arial" w:hAnsi="Arial" w:cs="Arial"/>
          <w:bCs/>
          <w:sz w:val="20"/>
          <w:szCs w:val="20"/>
        </w:rPr>
      </w:pPr>
      <m:oMathPara>
        <m:oMath>
          <m:r>
            <m:rPr>
              <m:sty m:val="p"/>
            </m:rPr>
            <w:rPr>
              <w:rFonts w:ascii="Cambria Math" w:hAnsi="Cambria Math" w:cs="Arial"/>
              <w:color w:val="111111"/>
              <w:sz w:val="20"/>
              <w:szCs w:val="20"/>
              <w:shd w:val="clear" w:color="auto" w:fill="FFFFFF"/>
            </w:rPr>
            <m:t xml:space="preserve">CFU/mL </m:t>
          </m:r>
          <m:r>
            <w:rPr>
              <w:rFonts w:ascii="Cambria Math" w:hAnsi="Cambria Math" w:cs="Arial"/>
              <w:sz w:val="20"/>
              <w:szCs w:val="20"/>
            </w:rPr>
            <m:t>=</m:t>
          </m:r>
          <m:f>
            <m:fPr>
              <m:ctrlPr>
                <w:rPr>
                  <w:rFonts w:ascii="Cambria Math" w:eastAsia="Calibri" w:hAnsi="Cambria Math" w:cs="Arial"/>
                  <w:bCs/>
                  <w:sz w:val="20"/>
                  <w:szCs w:val="20"/>
                </w:rPr>
              </m:ctrlPr>
            </m:fPr>
            <m:num>
              <m:r>
                <m:rPr>
                  <m:sty m:val="p"/>
                </m:rPr>
                <w:rPr>
                  <w:rFonts w:ascii="Cambria Math" w:hAnsi="Cambria Math" w:cs="Arial"/>
                  <w:color w:val="111111"/>
                  <w:sz w:val="20"/>
                  <w:szCs w:val="20"/>
                  <w:shd w:val="clear" w:color="auto" w:fill="FFFFFF"/>
                </w:rPr>
                <m:t>No. of colonies x dilution factor</m:t>
              </m:r>
            </m:num>
            <m:den>
              <m:r>
                <m:rPr>
                  <m:sty m:val="p"/>
                </m:rPr>
                <w:rPr>
                  <w:rFonts w:ascii="Cambria Math" w:hAnsi="Cambria Math" w:cs="Arial"/>
                  <w:color w:val="111111"/>
                  <w:sz w:val="20"/>
                  <w:szCs w:val="20"/>
                  <w:shd w:val="clear" w:color="auto" w:fill="FFFFFF"/>
                </w:rPr>
                <m:t>volume of culture plate</m:t>
              </m:r>
            </m:den>
          </m:f>
          <m:r>
            <w:rPr>
              <w:rFonts w:ascii="Cambria Math" w:eastAsia="Calibri" w:hAnsi="Cambria Math" w:cs="Arial"/>
              <w:sz w:val="20"/>
              <w:szCs w:val="20"/>
            </w:rPr>
            <m:t>--------</m:t>
          </m:r>
          <m:r>
            <m:rPr>
              <m:sty m:val="p"/>
            </m:rPr>
            <w:rPr>
              <w:rFonts w:ascii="Cambria Math" w:eastAsia="Calibri" w:hAnsi="Cambria Math" w:cs="Arial"/>
              <w:sz w:val="20"/>
              <w:szCs w:val="20"/>
            </w:rPr>
            <m:t>(Eq.4)</m:t>
          </m:r>
        </m:oMath>
      </m:oMathPara>
    </w:p>
    <w:p w14:paraId="14621021" w14:textId="77777777" w:rsidR="00170CA2" w:rsidRPr="00A56123" w:rsidRDefault="00170CA2" w:rsidP="00CF6CCC">
      <w:pPr>
        <w:spacing w:after="0" w:line="240" w:lineRule="auto"/>
        <w:jc w:val="both"/>
        <w:rPr>
          <w:rFonts w:ascii="Arial" w:hAnsi="Arial" w:cs="Arial"/>
          <w:b/>
          <w:bCs/>
          <w:sz w:val="20"/>
          <w:szCs w:val="20"/>
        </w:rPr>
      </w:pPr>
    </w:p>
    <w:p w14:paraId="651A9F2E" w14:textId="07F325B2" w:rsidR="00960245"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8</w:t>
      </w:r>
      <w:r w:rsidRPr="00A56123">
        <w:rPr>
          <w:rFonts w:ascii="Arial" w:hAnsi="Arial" w:cs="Arial"/>
          <w:b/>
          <w:bCs/>
          <w:sz w:val="20"/>
          <w:szCs w:val="20"/>
        </w:rPr>
        <w:t xml:space="preserve"> </w:t>
      </w:r>
      <w:r w:rsidR="00960245" w:rsidRPr="00A56123">
        <w:rPr>
          <w:rFonts w:ascii="Arial" w:hAnsi="Arial" w:cs="Arial"/>
          <w:b/>
          <w:bCs/>
          <w:sz w:val="20"/>
          <w:szCs w:val="20"/>
        </w:rPr>
        <w:t xml:space="preserve">Fourier Transform </w:t>
      </w:r>
      <w:r w:rsidR="00CF6CCC" w:rsidRPr="00A56123">
        <w:rPr>
          <w:rFonts w:ascii="Arial" w:hAnsi="Arial" w:cs="Arial"/>
          <w:b/>
          <w:bCs/>
          <w:sz w:val="20"/>
          <w:szCs w:val="20"/>
        </w:rPr>
        <w:t>Infrared Analysis</w:t>
      </w:r>
      <w:r w:rsidR="00960245" w:rsidRPr="00A56123">
        <w:rPr>
          <w:rFonts w:ascii="Arial" w:hAnsi="Arial" w:cs="Arial"/>
          <w:b/>
          <w:bCs/>
          <w:sz w:val="20"/>
          <w:szCs w:val="20"/>
        </w:rPr>
        <w:t xml:space="preserve"> of Biomass</w:t>
      </w:r>
    </w:p>
    <w:p w14:paraId="49598585" w14:textId="39E47D9D" w:rsidR="00960245" w:rsidRPr="00A56123" w:rsidRDefault="00960245" w:rsidP="00CF6CCC">
      <w:pPr>
        <w:spacing w:after="0" w:line="240" w:lineRule="auto"/>
        <w:jc w:val="both"/>
        <w:rPr>
          <w:rFonts w:ascii="Arial" w:hAnsi="Arial" w:cs="Arial"/>
          <w:sz w:val="20"/>
          <w:szCs w:val="20"/>
        </w:rPr>
      </w:pPr>
      <w:r w:rsidRPr="00A56123">
        <w:rPr>
          <w:rFonts w:ascii="Arial" w:hAnsi="Arial" w:cs="Arial"/>
          <w:sz w:val="20"/>
          <w:szCs w:val="20"/>
        </w:rPr>
        <w:t xml:space="preserve">FTIR spectroscopy was employed to determine the major functional groups present in the dried biomass of </w:t>
      </w:r>
      <w:r w:rsidRPr="00A56123">
        <w:rPr>
          <w:rFonts w:ascii="Arial" w:hAnsi="Arial" w:cs="Arial"/>
          <w:i/>
          <w:iCs/>
          <w:sz w:val="20"/>
          <w:szCs w:val="20"/>
        </w:rPr>
        <w:t>C. humicola</w:t>
      </w:r>
      <w:r w:rsidRPr="00A56123">
        <w:rPr>
          <w:rFonts w:ascii="Arial" w:hAnsi="Arial" w:cs="Arial"/>
          <w:sz w:val="20"/>
          <w:szCs w:val="20"/>
        </w:rPr>
        <w:t xml:space="preserve"> MCH4</w:t>
      </w:r>
      <w:r w:rsidR="00EC253B" w:rsidRPr="00A56123">
        <w:rPr>
          <w:rFonts w:ascii="Arial" w:hAnsi="Arial" w:cs="Arial"/>
          <w:sz w:val="20"/>
          <w:szCs w:val="20"/>
        </w:rPr>
        <w:t xml:space="preserve"> by the method of Sudhakar and Premalatha (2015)</w:t>
      </w:r>
      <w:r w:rsidRPr="00A56123">
        <w:rPr>
          <w:rFonts w:ascii="Arial" w:hAnsi="Arial" w:cs="Arial"/>
          <w:sz w:val="20"/>
          <w:szCs w:val="20"/>
        </w:rPr>
        <w:t xml:space="preserve">. For sample preparation, </w:t>
      </w:r>
      <w:r w:rsidRPr="00A56123">
        <w:rPr>
          <w:rFonts w:ascii="Arial" w:hAnsi="Arial" w:cs="Arial"/>
          <w:sz w:val="20"/>
          <w:szCs w:val="20"/>
        </w:rPr>
        <w:lastRenderedPageBreak/>
        <w:t>approximately 1.5 mg of dried algal biomass was finely mixed with 100 mg of spectroscopic-grade potassium bromide (KBr) and pressed under vacuum to form a clear pellet. The FTIR spectra were then recorded using an FT/IR-4700 type A spectrometer (JASCO, Tokyo, Japan) over a wavenumber range of 4000–500 cm</w:t>
      </w:r>
      <w:r w:rsidR="00A66C89" w:rsidRPr="00A56123">
        <w:rPr>
          <w:rFonts w:ascii="Arial" w:hAnsi="Arial" w:cs="Arial"/>
          <w:sz w:val="20"/>
          <w:szCs w:val="20"/>
          <w:vertAlign w:val="superscript"/>
        </w:rPr>
        <w:t>-1</w:t>
      </w:r>
      <w:r w:rsidRPr="00A56123">
        <w:rPr>
          <w:rFonts w:ascii="Arial" w:hAnsi="Arial" w:cs="Arial"/>
          <w:sz w:val="20"/>
          <w:szCs w:val="20"/>
        </w:rPr>
        <w:t xml:space="preserve"> with a resolution of 4 cm</w:t>
      </w:r>
      <w:r w:rsidRPr="00A56123">
        <w:rPr>
          <w:rFonts w:ascii="Arial" w:hAnsi="Arial" w:cs="Arial"/>
          <w:sz w:val="20"/>
          <w:szCs w:val="20"/>
          <w:vertAlign w:val="superscript"/>
        </w:rPr>
        <w:t>-1</w:t>
      </w:r>
      <w:r w:rsidRPr="00A56123">
        <w:rPr>
          <w:rFonts w:ascii="Arial" w:hAnsi="Arial" w:cs="Arial"/>
          <w:sz w:val="20"/>
          <w:szCs w:val="20"/>
        </w:rPr>
        <w:t>, with a clean background serving as the reference. Multiple spectra were collected to verify consistency, and the resulting peaks were compared with standard references to determine the corresponding functional groups.</w:t>
      </w:r>
    </w:p>
    <w:p w14:paraId="6C51B4DD" w14:textId="5C280CDE" w:rsidR="00170CA2"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 xml:space="preserve">9 </w:t>
      </w:r>
      <w:r w:rsidR="00170CA2" w:rsidRPr="00A56123">
        <w:rPr>
          <w:rFonts w:ascii="Arial" w:hAnsi="Arial" w:cs="Arial"/>
          <w:b/>
          <w:bCs/>
          <w:sz w:val="20"/>
          <w:szCs w:val="20"/>
        </w:rPr>
        <w:t>Statistical Analysis</w:t>
      </w:r>
    </w:p>
    <w:p w14:paraId="15947694" w14:textId="255FF5F4" w:rsidR="00170CA2" w:rsidRPr="00A56123" w:rsidRDefault="00170CA2" w:rsidP="00E23432">
      <w:pPr>
        <w:spacing w:after="0" w:line="240" w:lineRule="auto"/>
        <w:jc w:val="both"/>
        <w:rPr>
          <w:rFonts w:ascii="Arial" w:hAnsi="Arial" w:cs="Arial"/>
          <w:sz w:val="20"/>
          <w:szCs w:val="20"/>
        </w:rPr>
      </w:pPr>
      <w:r w:rsidRPr="00A56123">
        <w:rPr>
          <w:rFonts w:ascii="Arial" w:hAnsi="Arial" w:cs="Arial"/>
          <w:sz w:val="20"/>
          <w:szCs w:val="20"/>
        </w:rPr>
        <w:t>All experiments were performed in triplicate, and the results are reported as mean ±</w:t>
      </w:r>
      <w:r w:rsidR="00A14E5C" w:rsidRPr="00A56123">
        <w:rPr>
          <w:rFonts w:ascii="Arial" w:hAnsi="Arial" w:cs="Arial"/>
          <w:sz w:val="20"/>
          <w:szCs w:val="20"/>
        </w:rPr>
        <w:t xml:space="preserve"> </w:t>
      </w:r>
      <w:r w:rsidRPr="00A56123">
        <w:rPr>
          <w:rFonts w:ascii="Arial" w:hAnsi="Arial" w:cs="Arial"/>
          <w:sz w:val="20"/>
          <w:szCs w:val="20"/>
        </w:rPr>
        <w:t>standard deviation (SD) based on three independent measurements. The data were subjected to one-way analysis of variance (ANOVA)</w:t>
      </w:r>
      <w:r w:rsidR="0087445E" w:rsidRPr="00A56123">
        <w:rPr>
          <w:rFonts w:ascii="Arial" w:hAnsi="Arial" w:cs="Arial"/>
          <w:sz w:val="20"/>
          <w:szCs w:val="20"/>
        </w:rPr>
        <w:t xml:space="preserve"> and Tukey’s HSD Post-hoc test</w:t>
      </w:r>
      <w:r w:rsidRPr="00A56123">
        <w:rPr>
          <w:rFonts w:ascii="Arial" w:hAnsi="Arial" w:cs="Arial"/>
          <w:sz w:val="20"/>
          <w:szCs w:val="20"/>
        </w:rPr>
        <w:t xml:space="preserve"> using MINITAB 12 software to determine statistical significance. Differences were considered statistically significant at </w:t>
      </w:r>
      <w:r w:rsidRPr="00A56123">
        <w:rPr>
          <w:rFonts w:ascii="Arial" w:hAnsi="Arial" w:cs="Arial"/>
          <w:i/>
          <w:iCs/>
          <w:sz w:val="20"/>
          <w:szCs w:val="20"/>
        </w:rPr>
        <w:t>p</w:t>
      </w:r>
      <w:r w:rsidRPr="00A56123">
        <w:rPr>
          <w:rFonts w:ascii="Arial" w:hAnsi="Arial" w:cs="Arial"/>
          <w:sz w:val="20"/>
          <w:szCs w:val="20"/>
        </w:rPr>
        <w:t xml:space="preserve"> </w:t>
      </w:r>
      <w:r w:rsidR="00E23432" w:rsidRPr="00A56123">
        <w:rPr>
          <w:rFonts w:ascii="Arial" w:hAnsi="Arial" w:cs="Arial"/>
          <w:sz w:val="20"/>
          <w:szCs w:val="20"/>
        </w:rPr>
        <w:t>=</w:t>
      </w:r>
      <w:r w:rsidRPr="00A56123">
        <w:rPr>
          <w:rFonts w:ascii="Arial" w:hAnsi="Arial" w:cs="Arial"/>
          <w:sz w:val="20"/>
          <w:szCs w:val="20"/>
        </w:rPr>
        <w:t>.05.</w:t>
      </w:r>
    </w:p>
    <w:p w14:paraId="3021A20E" w14:textId="6A72C827" w:rsidR="00F16EDE" w:rsidRDefault="00A57EF5" w:rsidP="00A57EF5">
      <w:pPr>
        <w:spacing w:after="0" w:line="240" w:lineRule="auto"/>
        <w:jc w:val="both"/>
        <w:rPr>
          <w:rFonts w:ascii="Arial" w:hAnsi="Arial" w:cs="Arial"/>
          <w:b/>
          <w:bCs/>
          <w:sz w:val="22"/>
          <w:szCs w:val="22"/>
        </w:rPr>
      </w:pPr>
      <w:r w:rsidRPr="00DA2E39">
        <w:rPr>
          <w:rFonts w:ascii="Arial" w:hAnsi="Arial" w:cs="Arial"/>
          <w:b/>
          <w:bCs/>
          <w:sz w:val="22"/>
          <w:szCs w:val="22"/>
        </w:rPr>
        <w:t>3. RESULTS AND DISCUSSION</w:t>
      </w:r>
    </w:p>
    <w:p w14:paraId="30DDF0E6" w14:textId="6405CEF4" w:rsidR="00232C91" w:rsidRPr="001C512B" w:rsidRDefault="00AF4FD4" w:rsidP="00232C91">
      <w:pPr>
        <w:spacing w:after="0" w:line="240" w:lineRule="auto"/>
        <w:jc w:val="both"/>
        <w:rPr>
          <w:rFonts w:ascii="Arial" w:hAnsi="Arial" w:cs="Arial"/>
          <w:b/>
          <w:bCs/>
          <w:sz w:val="22"/>
          <w:szCs w:val="22"/>
        </w:rPr>
      </w:pPr>
      <w:r>
        <w:rPr>
          <w:rFonts w:ascii="Arial" w:hAnsi="Arial" w:cs="Arial"/>
          <w:b/>
          <w:bCs/>
          <w:sz w:val="22"/>
          <w:szCs w:val="22"/>
        </w:rPr>
        <w:t>3.1</w:t>
      </w:r>
      <w:r w:rsidR="00232C91" w:rsidRPr="00232C91">
        <w:rPr>
          <w:rFonts w:ascii="Arial" w:hAnsi="Arial" w:cs="Arial"/>
          <w:b/>
          <w:bCs/>
          <w:sz w:val="22"/>
          <w:szCs w:val="22"/>
        </w:rPr>
        <w:t xml:space="preserve"> </w:t>
      </w:r>
      <w:r w:rsidR="00232C91" w:rsidRPr="001C512B">
        <w:rPr>
          <w:rFonts w:ascii="Arial" w:hAnsi="Arial" w:cs="Arial"/>
          <w:b/>
          <w:bCs/>
          <w:sz w:val="22"/>
          <w:szCs w:val="22"/>
        </w:rPr>
        <w:t>Ultrasonic Pretreatment Optimization by RSM</w:t>
      </w:r>
    </w:p>
    <w:p w14:paraId="4D6F6DD6" w14:textId="76DAE1CD"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The CCD experimental design with 13 runs was used to evaluate the influence of ultrasonic intensity</w:t>
      </w:r>
      <w:r w:rsidR="0092650B" w:rsidRPr="00A56123">
        <w:rPr>
          <w:rFonts w:ascii="Arial" w:hAnsi="Arial" w:cs="Arial"/>
          <w:sz w:val="20"/>
          <w:szCs w:val="20"/>
        </w:rPr>
        <w:t xml:space="preserve"> (A)</w:t>
      </w:r>
      <w:r w:rsidR="001B7E5A" w:rsidRPr="00A56123">
        <w:rPr>
          <w:rFonts w:ascii="Arial" w:hAnsi="Arial" w:cs="Arial"/>
          <w:sz w:val="20"/>
          <w:szCs w:val="20"/>
        </w:rPr>
        <w:t xml:space="preserve"> </w:t>
      </w:r>
      <w:r w:rsidRPr="00A56123">
        <w:rPr>
          <w:rFonts w:ascii="Arial" w:hAnsi="Arial" w:cs="Arial"/>
          <w:sz w:val="20"/>
          <w:szCs w:val="20"/>
        </w:rPr>
        <w:t>and exposure time</w:t>
      </w:r>
      <w:r w:rsidR="0092650B" w:rsidRPr="00A56123">
        <w:rPr>
          <w:rFonts w:ascii="Arial" w:hAnsi="Arial" w:cs="Arial"/>
          <w:sz w:val="20"/>
          <w:szCs w:val="20"/>
        </w:rPr>
        <w:t xml:space="preserve"> (B)</w:t>
      </w:r>
      <w:r w:rsidR="001B7E5A" w:rsidRPr="00A56123">
        <w:rPr>
          <w:rFonts w:ascii="Arial" w:hAnsi="Arial" w:cs="Arial"/>
          <w:sz w:val="20"/>
          <w:szCs w:val="20"/>
        </w:rPr>
        <w:t xml:space="preserve"> </w:t>
      </w:r>
      <w:r w:rsidRPr="00A56123">
        <w:rPr>
          <w:rFonts w:ascii="Arial" w:hAnsi="Arial" w:cs="Arial"/>
          <w:sz w:val="20"/>
          <w:szCs w:val="20"/>
        </w:rPr>
        <w:t xml:space="preserve">on the pretreatment of MWW for enhanced biomass production by </w:t>
      </w:r>
      <w:r w:rsidR="00AF11DC" w:rsidRPr="00A56123">
        <w:rPr>
          <w:rFonts w:ascii="Arial" w:hAnsi="Arial" w:cs="Arial"/>
          <w:sz w:val="20"/>
          <w:szCs w:val="20"/>
        </w:rPr>
        <w:t xml:space="preserve">double mutant </w:t>
      </w:r>
      <w:r w:rsidRPr="00A56123">
        <w:rPr>
          <w:rFonts w:ascii="Arial" w:hAnsi="Arial" w:cs="Arial"/>
          <w:i/>
          <w:iCs/>
          <w:sz w:val="20"/>
          <w:szCs w:val="20"/>
        </w:rPr>
        <w:t>C</w:t>
      </w:r>
      <w:r w:rsidR="001B7E5A" w:rsidRPr="00A56123">
        <w:rPr>
          <w:rFonts w:ascii="Arial" w:hAnsi="Arial" w:cs="Arial"/>
          <w:i/>
          <w:iCs/>
          <w:sz w:val="20"/>
          <w:szCs w:val="20"/>
        </w:rPr>
        <w:t xml:space="preserve">. </w:t>
      </w:r>
      <w:r w:rsidRPr="00A56123">
        <w:rPr>
          <w:rFonts w:ascii="Arial" w:hAnsi="Arial" w:cs="Arial"/>
          <w:i/>
          <w:iCs/>
          <w:sz w:val="20"/>
          <w:szCs w:val="20"/>
        </w:rPr>
        <w:t>humicola</w:t>
      </w:r>
      <w:r w:rsidRPr="00A56123">
        <w:rPr>
          <w:rFonts w:ascii="Arial" w:hAnsi="Arial" w:cs="Arial"/>
          <w:sz w:val="20"/>
          <w:szCs w:val="20"/>
        </w:rPr>
        <w:t xml:space="preserve"> MCH4. Biomass concentration was taken as the response variable for each experimental run.</w:t>
      </w:r>
      <w:r w:rsidR="001B7E5A" w:rsidRPr="00A56123">
        <w:rPr>
          <w:rFonts w:ascii="Arial" w:hAnsi="Arial" w:cs="Arial"/>
          <w:sz w:val="20"/>
          <w:szCs w:val="20"/>
        </w:rPr>
        <w:t xml:space="preserve"> </w:t>
      </w:r>
      <w:r w:rsidR="00AF11DC" w:rsidRPr="00A56123">
        <w:rPr>
          <w:rFonts w:ascii="Arial" w:hAnsi="Arial" w:cs="Arial"/>
          <w:sz w:val="20"/>
          <w:szCs w:val="20"/>
        </w:rPr>
        <w:t xml:space="preserve">The design matrix Table 2, shows the two independent variables of </w:t>
      </w:r>
      <w:r w:rsidR="0092650B" w:rsidRPr="00A56123">
        <w:rPr>
          <w:rFonts w:ascii="Arial" w:hAnsi="Arial" w:cs="Arial"/>
          <w:sz w:val="20"/>
          <w:szCs w:val="20"/>
        </w:rPr>
        <w:t>A</w:t>
      </w:r>
      <w:r w:rsidR="001B7E5A" w:rsidRPr="00A56123">
        <w:rPr>
          <w:rFonts w:ascii="Arial" w:hAnsi="Arial" w:cs="Arial"/>
          <w:sz w:val="20"/>
          <w:szCs w:val="20"/>
        </w:rPr>
        <w:t xml:space="preserve"> and </w:t>
      </w:r>
      <w:r w:rsidR="0092650B" w:rsidRPr="00A56123">
        <w:rPr>
          <w:rFonts w:ascii="Arial" w:hAnsi="Arial" w:cs="Arial"/>
          <w:sz w:val="20"/>
          <w:szCs w:val="20"/>
        </w:rPr>
        <w:t>B</w:t>
      </w:r>
      <w:r w:rsidR="001B7E5A" w:rsidRPr="00A56123">
        <w:rPr>
          <w:rFonts w:ascii="Arial" w:hAnsi="Arial" w:cs="Arial"/>
          <w:sz w:val="20"/>
          <w:szCs w:val="20"/>
        </w:rPr>
        <w:t xml:space="preserve"> </w:t>
      </w:r>
      <w:r w:rsidR="00AF11DC" w:rsidRPr="00A56123">
        <w:rPr>
          <w:rFonts w:ascii="Arial" w:hAnsi="Arial" w:cs="Arial"/>
          <w:sz w:val="20"/>
          <w:szCs w:val="20"/>
        </w:rPr>
        <w:t xml:space="preserve">with the </w:t>
      </w:r>
      <w:r w:rsidRPr="00A56123">
        <w:rPr>
          <w:rFonts w:ascii="Arial" w:hAnsi="Arial" w:cs="Arial"/>
          <w:sz w:val="20"/>
          <w:szCs w:val="20"/>
        </w:rPr>
        <w:t>observed biomass yields and their corresponding predicted values based on the response surface model. Overall, there was close agreement between experimental and predicted biomass concentrations, indicating that the statistical model reliably captured the effects of the chosen ultrasonic parameters.</w:t>
      </w:r>
    </w:p>
    <w:p w14:paraId="01164965" w14:textId="77777777" w:rsidR="00AF11DC" w:rsidRPr="00A56123" w:rsidRDefault="00AF11DC" w:rsidP="00232C91">
      <w:pPr>
        <w:spacing w:after="0" w:line="240" w:lineRule="auto"/>
        <w:jc w:val="both"/>
        <w:rPr>
          <w:rFonts w:ascii="Arial" w:hAnsi="Arial" w:cs="Arial"/>
          <w:sz w:val="20"/>
          <w:szCs w:val="20"/>
        </w:rPr>
      </w:pPr>
    </w:p>
    <w:p w14:paraId="46D5931E" w14:textId="29091568"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 xml:space="preserve">Biomass production ranged from approximately 1.98 to 3.98 g/L across the experimental runs. Lower ultrasonic intensity (0.20 W/mL) combined with shorter exposure (10 min) produced minimal biomass </w:t>
      </w:r>
      <w:r w:rsidR="001B7E5A" w:rsidRPr="00A56123">
        <w:rPr>
          <w:rFonts w:ascii="Arial" w:hAnsi="Arial" w:cs="Arial"/>
          <w:sz w:val="20"/>
          <w:szCs w:val="20"/>
        </w:rPr>
        <w:t xml:space="preserve">of </w:t>
      </w:r>
      <w:r w:rsidRPr="00A56123">
        <w:rPr>
          <w:rFonts w:ascii="Arial" w:hAnsi="Arial" w:cs="Arial"/>
          <w:sz w:val="20"/>
          <w:szCs w:val="20"/>
        </w:rPr>
        <w:t>2.0 g/L, whereas the runs at mid-range intensity and exposure time (e.g., Runs 9</w:t>
      </w:r>
      <w:r w:rsidR="00443A39" w:rsidRPr="00A56123">
        <w:rPr>
          <w:rFonts w:ascii="Arial" w:hAnsi="Arial" w:cs="Arial"/>
          <w:sz w:val="20"/>
          <w:szCs w:val="20"/>
        </w:rPr>
        <w:t>-</w:t>
      </w:r>
      <w:r w:rsidRPr="00A56123">
        <w:rPr>
          <w:rFonts w:ascii="Arial" w:hAnsi="Arial" w:cs="Arial"/>
          <w:sz w:val="20"/>
          <w:szCs w:val="20"/>
        </w:rPr>
        <w:t xml:space="preserve">13: 0.35 W/mL, 20 min) produced the highest biomass concentrations overall (3.78–3.98 g/L). The consistency across these replicates and the close fit between experimental and predicted responses demonstrate that the model’s central points were well optimized. Such a plateau in response is common in RSM optimization when approaching the true optimum region, as the interaction effects between intensity and time reach a synergistic balance. These results indicate that moderate ultrasonic intensity applied over </w:t>
      </w:r>
      <w:r w:rsidR="001B7E5A" w:rsidRPr="00A56123">
        <w:rPr>
          <w:rFonts w:ascii="Arial" w:hAnsi="Arial" w:cs="Arial"/>
          <w:sz w:val="20"/>
          <w:szCs w:val="20"/>
        </w:rPr>
        <w:t>average</w:t>
      </w:r>
      <w:r w:rsidRPr="00A56123">
        <w:rPr>
          <w:rFonts w:ascii="Arial" w:hAnsi="Arial" w:cs="Arial"/>
          <w:sz w:val="20"/>
          <w:szCs w:val="20"/>
        </w:rPr>
        <w:t xml:space="preserve"> durations can improve wastewater quality for </w:t>
      </w:r>
      <w:r w:rsidR="001B7E5A" w:rsidRPr="00A56123">
        <w:rPr>
          <w:rFonts w:ascii="Arial" w:hAnsi="Arial" w:cs="Arial"/>
          <w:sz w:val="20"/>
          <w:szCs w:val="20"/>
        </w:rPr>
        <w:t>micro</w:t>
      </w:r>
      <w:r w:rsidRPr="00A56123">
        <w:rPr>
          <w:rFonts w:ascii="Arial" w:hAnsi="Arial" w:cs="Arial"/>
          <w:sz w:val="20"/>
          <w:szCs w:val="20"/>
        </w:rPr>
        <w:t xml:space="preserve">algal growth, likely by increasing </w:t>
      </w:r>
      <w:r w:rsidR="001B7E5A" w:rsidRPr="00A56123">
        <w:rPr>
          <w:rFonts w:ascii="Arial" w:hAnsi="Arial" w:cs="Arial"/>
          <w:sz w:val="20"/>
          <w:szCs w:val="20"/>
        </w:rPr>
        <w:t>DOM</w:t>
      </w:r>
      <w:r w:rsidRPr="00A56123">
        <w:rPr>
          <w:rFonts w:ascii="Arial" w:hAnsi="Arial" w:cs="Arial"/>
          <w:sz w:val="20"/>
          <w:szCs w:val="20"/>
        </w:rPr>
        <w:t xml:space="preserve"> availability and enhancing nutrient accessibility.</w:t>
      </w:r>
    </w:p>
    <w:p w14:paraId="12151CB8" w14:textId="77777777" w:rsidR="00E00BFF" w:rsidRPr="00A56123" w:rsidRDefault="00E00BFF" w:rsidP="00232C91">
      <w:pPr>
        <w:spacing w:after="0" w:line="240" w:lineRule="auto"/>
        <w:jc w:val="both"/>
        <w:rPr>
          <w:rFonts w:ascii="Arial" w:hAnsi="Arial" w:cs="Arial"/>
          <w:sz w:val="20"/>
          <w:szCs w:val="20"/>
        </w:rPr>
      </w:pPr>
    </w:p>
    <w:p w14:paraId="0A79C0B7" w14:textId="7BAD5526" w:rsidR="00232C91" w:rsidRPr="00A56123" w:rsidRDefault="00E00BFF" w:rsidP="00232C91">
      <w:pPr>
        <w:spacing w:after="0" w:line="240" w:lineRule="auto"/>
        <w:jc w:val="both"/>
        <w:rPr>
          <w:rFonts w:ascii="Arial" w:hAnsi="Arial" w:cs="Arial"/>
          <w:sz w:val="20"/>
          <w:szCs w:val="20"/>
        </w:rPr>
      </w:pPr>
      <w:r w:rsidRPr="00A56123">
        <w:rPr>
          <w:rFonts w:ascii="Arial" w:hAnsi="Arial" w:cs="Arial"/>
          <w:sz w:val="20"/>
          <w:szCs w:val="20"/>
        </w:rPr>
        <w:t xml:space="preserve">The control medium (BBM) produced 1.32 g/L of biomass, while untreated 50% MWW supported slightly higher </w:t>
      </w:r>
      <w:r w:rsidR="00F3737F" w:rsidRPr="00A56123">
        <w:rPr>
          <w:rFonts w:ascii="Arial" w:hAnsi="Arial" w:cs="Arial"/>
          <w:sz w:val="20"/>
          <w:szCs w:val="20"/>
        </w:rPr>
        <w:t xml:space="preserve">biomass production of </w:t>
      </w:r>
      <w:r w:rsidRPr="00A56123">
        <w:rPr>
          <w:rFonts w:ascii="Arial" w:hAnsi="Arial" w:cs="Arial"/>
          <w:sz w:val="20"/>
          <w:szCs w:val="20"/>
        </w:rPr>
        <w:t xml:space="preserve">1.76 g/L, indicating the presence of utilizable nutrients in </w:t>
      </w:r>
      <w:r w:rsidR="00F3737F" w:rsidRPr="00A56123">
        <w:rPr>
          <w:rFonts w:ascii="Arial" w:hAnsi="Arial" w:cs="Arial"/>
          <w:sz w:val="20"/>
          <w:szCs w:val="20"/>
        </w:rPr>
        <w:t>MWW</w:t>
      </w:r>
      <w:r w:rsidRPr="00A56123">
        <w:rPr>
          <w:rFonts w:ascii="Arial" w:hAnsi="Arial" w:cs="Arial"/>
          <w:sz w:val="20"/>
          <w:szCs w:val="20"/>
        </w:rPr>
        <w:t xml:space="preserve">. However, biomass production increased markedly after </w:t>
      </w:r>
      <w:r w:rsidR="00443A39" w:rsidRPr="00A56123">
        <w:rPr>
          <w:rFonts w:ascii="Arial" w:hAnsi="Arial" w:cs="Arial"/>
          <w:sz w:val="20"/>
          <w:szCs w:val="20"/>
        </w:rPr>
        <w:t>US</w:t>
      </w:r>
      <w:r w:rsidRPr="00A56123">
        <w:rPr>
          <w:rFonts w:ascii="Arial" w:hAnsi="Arial" w:cs="Arial"/>
          <w:sz w:val="20"/>
          <w:szCs w:val="20"/>
        </w:rPr>
        <w:t xml:space="preserve"> pretreatment, reaching 3.98 g/L at 0.35 W/mL for 20 min (Run 12), demonstrating that optimized sonication enhanced nutrient availability and improved </w:t>
      </w:r>
      <w:r w:rsidR="00745823" w:rsidRPr="00A56123">
        <w:rPr>
          <w:rFonts w:ascii="Arial" w:hAnsi="Arial" w:cs="Arial"/>
          <w:sz w:val="20"/>
          <w:szCs w:val="20"/>
        </w:rPr>
        <w:t xml:space="preserve">double mutant </w:t>
      </w:r>
      <w:r w:rsidR="00745823" w:rsidRPr="00A56123">
        <w:rPr>
          <w:rFonts w:ascii="Arial" w:hAnsi="Arial" w:cs="Arial"/>
          <w:i/>
          <w:iCs/>
          <w:sz w:val="20"/>
          <w:szCs w:val="20"/>
        </w:rPr>
        <w:t>C. humicola</w:t>
      </w:r>
      <w:r w:rsidR="00745823" w:rsidRPr="00A56123">
        <w:rPr>
          <w:rFonts w:ascii="Arial" w:hAnsi="Arial" w:cs="Arial"/>
          <w:sz w:val="20"/>
          <w:szCs w:val="20"/>
        </w:rPr>
        <w:t xml:space="preserve"> MCH4</w:t>
      </w:r>
      <w:r w:rsidRPr="00A56123">
        <w:rPr>
          <w:rFonts w:ascii="Arial" w:hAnsi="Arial" w:cs="Arial"/>
          <w:sz w:val="20"/>
          <w:szCs w:val="20"/>
        </w:rPr>
        <w:t xml:space="preserve"> growth performance. </w:t>
      </w:r>
      <w:r w:rsidR="00745823" w:rsidRPr="00A56123">
        <w:rPr>
          <w:rFonts w:ascii="Arial" w:hAnsi="Arial" w:cs="Arial"/>
          <w:sz w:val="20"/>
          <w:szCs w:val="20"/>
        </w:rPr>
        <w:t xml:space="preserve">Under these conditions, </w:t>
      </w:r>
      <w:r w:rsidR="00F3737F" w:rsidRPr="00A56123">
        <w:rPr>
          <w:rFonts w:ascii="Arial" w:hAnsi="Arial" w:cs="Arial"/>
          <w:sz w:val="20"/>
          <w:szCs w:val="20"/>
        </w:rPr>
        <w:t xml:space="preserve">the maximum specific growth rate and biomass productivity </w:t>
      </w:r>
      <w:r w:rsidR="00745823" w:rsidRPr="00A56123">
        <w:rPr>
          <w:rFonts w:ascii="Arial" w:hAnsi="Arial" w:cs="Arial"/>
          <w:sz w:val="20"/>
          <w:szCs w:val="20"/>
        </w:rPr>
        <w:t xml:space="preserve">were </w:t>
      </w:r>
      <w:r w:rsidR="000A7C02" w:rsidRPr="00A56123">
        <w:rPr>
          <w:rFonts w:ascii="Arial" w:hAnsi="Arial" w:cs="Arial"/>
          <w:sz w:val="20"/>
          <w:szCs w:val="20"/>
        </w:rPr>
        <w:t>0.205 day</w:t>
      </w:r>
      <w:r w:rsidR="00745823" w:rsidRPr="00A56123">
        <w:rPr>
          <w:rFonts w:ascii="Arial" w:hAnsi="Arial" w:cs="Arial"/>
          <w:sz w:val="20"/>
          <w:szCs w:val="20"/>
          <w:vertAlign w:val="superscript"/>
        </w:rPr>
        <w:t>-1</w:t>
      </w:r>
      <w:r w:rsidR="000A7C02" w:rsidRPr="00A56123">
        <w:rPr>
          <w:rFonts w:ascii="Arial" w:hAnsi="Arial" w:cs="Arial"/>
          <w:sz w:val="20"/>
          <w:szCs w:val="20"/>
        </w:rPr>
        <w:t xml:space="preserve"> and 0.347 </w:t>
      </w:r>
      <w:r w:rsidR="0092650B" w:rsidRPr="00A56123">
        <w:rPr>
          <w:rFonts w:ascii="Arial" w:hAnsi="Arial" w:cs="Arial"/>
          <w:sz w:val="20"/>
          <w:szCs w:val="20"/>
        </w:rPr>
        <w:t>g/L/day</w:t>
      </w:r>
      <w:r w:rsidR="00745823" w:rsidRPr="00A56123">
        <w:rPr>
          <w:rFonts w:ascii="Arial" w:hAnsi="Arial" w:cs="Arial"/>
          <w:sz w:val="20"/>
          <w:szCs w:val="20"/>
        </w:rPr>
        <w:t xml:space="preserve">, </w:t>
      </w:r>
      <w:r w:rsidR="000A7C02" w:rsidRPr="00A56123">
        <w:rPr>
          <w:rFonts w:ascii="Arial" w:hAnsi="Arial" w:cs="Arial"/>
          <w:sz w:val="20"/>
          <w:szCs w:val="20"/>
        </w:rPr>
        <w:t xml:space="preserve">respectively, </w:t>
      </w:r>
      <w:r w:rsidR="00745823" w:rsidRPr="00A56123">
        <w:rPr>
          <w:rFonts w:ascii="Arial" w:hAnsi="Arial" w:cs="Arial"/>
          <w:sz w:val="20"/>
          <w:szCs w:val="20"/>
        </w:rPr>
        <w:t xml:space="preserve">which were higher than the </w:t>
      </w:r>
      <w:r w:rsidR="000A7C02" w:rsidRPr="00A56123">
        <w:rPr>
          <w:rFonts w:ascii="Arial" w:hAnsi="Arial" w:cs="Arial"/>
          <w:sz w:val="20"/>
          <w:szCs w:val="20"/>
        </w:rPr>
        <w:t>control (0.0951</w:t>
      </w:r>
      <w:r w:rsidR="00745823" w:rsidRPr="00A56123">
        <w:rPr>
          <w:rFonts w:ascii="Arial" w:hAnsi="Arial" w:cs="Arial"/>
          <w:sz w:val="20"/>
          <w:szCs w:val="20"/>
        </w:rPr>
        <w:t xml:space="preserve"> day</w:t>
      </w:r>
      <w:r w:rsidR="00745823" w:rsidRPr="00A56123">
        <w:rPr>
          <w:rFonts w:ascii="Arial" w:hAnsi="Arial" w:cs="Arial"/>
          <w:sz w:val="20"/>
          <w:szCs w:val="20"/>
          <w:vertAlign w:val="superscript"/>
        </w:rPr>
        <w:t>-1</w:t>
      </w:r>
      <w:r w:rsidR="0092650B" w:rsidRPr="00A56123">
        <w:rPr>
          <w:rFonts w:ascii="Arial" w:hAnsi="Arial" w:cs="Arial"/>
          <w:sz w:val="20"/>
          <w:szCs w:val="20"/>
        </w:rPr>
        <w:t>;</w:t>
      </w:r>
      <w:r w:rsidR="000A7C02" w:rsidRPr="00A56123">
        <w:rPr>
          <w:rFonts w:ascii="Arial" w:hAnsi="Arial" w:cs="Arial"/>
          <w:sz w:val="20"/>
          <w:szCs w:val="20"/>
        </w:rPr>
        <w:t xml:space="preserve"> 0.081 </w:t>
      </w:r>
      <w:r w:rsidR="0092650B" w:rsidRPr="00A56123">
        <w:rPr>
          <w:rFonts w:ascii="Arial" w:hAnsi="Arial" w:cs="Arial"/>
          <w:sz w:val="20"/>
          <w:szCs w:val="20"/>
        </w:rPr>
        <w:t>g/L/day</w:t>
      </w:r>
      <w:r w:rsidR="000A7C02" w:rsidRPr="00A56123">
        <w:rPr>
          <w:rFonts w:ascii="Arial" w:hAnsi="Arial" w:cs="Arial"/>
          <w:sz w:val="20"/>
          <w:szCs w:val="20"/>
        </w:rPr>
        <w:t>) and untreated 50% MWW (0.123 µg/L</w:t>
      </w:r>
      <w:r w:rsidR="0092650B" w:rsidRPr="00A56123">
        <w:rPr>
          <w:rFonts w:ascii="Arial" w:hAnsi="Arial" w:cs="Arial"/>
          <w:sz w:val="20"/>
          <w:szCs w:val="20"/>
        </w:rPr>
        <w:t>;</w:t>
      </w:r>
      <w:r w:rsidR="000A7C02" w:rsidRPr="00A56123">
        <w:rPr>
          <w:rFonts w:ascii="Arial" w:hAnsi="Arial" w:cs="Arial"/>
          <w:sz w:val="20"/>
          <w:szCs w:val="20"/>
        </w:rPr>
        <w:t xml:space="preserve"> 0.125 g</w:t>
      </w:r>
      <w:r w:rsidR="0092650B" w:rsidRPr="00A56123">
        <w:rPr>
          <w:rFonts w:ascii="Arial" w:hAnsi="Arial" w:cs="Arial"/>
          <w:sz w:val="20"/>
          <w:szCs w:val="20"/>
        </w:rPr>
        <w:t>/</w:t>
      </w:r>
      <w:r w:rsidR="000A7C02" w:rsidRPr="00A56123">
        <w:rPr>
          <w:rFonts w:ascii="Arial" w:hAnsi="Arial" w:cs="Arial"/>
          <w:sz w:val="20"/>
          <w:szCs w:val="20"/>
        </w:rPr>
        <w:t>L</w:t>
      </w:r>
      <w:r w:rsidR="0092650B" w:rsidRPr="00A56123">
        <w:rPr>
          <w:rFonts w:ascii="Arial" w:hAnsi="Arial" w:cs="Arial"/>
          <w:sz w:val="20"/>
          <w:szCs w:val="20"/>
        </w:rPr>
        <w:t>/</w:t>
      </w:r>
      <w:r w:rsidR="000A7C02" w:rsidRPr="00A56123">
        <w:rPr>
          <w:rFonts w:ascii="Arial" w:hAnsi="Arial" w:cs="Arial"/>
          <w:sz w:val="20"/>
          <w:szCs w:val="20"/>
        </w:rPr>
        <w:t>d</w:t>
      </w:r>
      <w:r w:rsidR="0092650B" w:rsidRPr="00A56123">
        <w:rPr>
          <w:rFonts w:ascii="Arial" w:hAnsi="Arial" w:cs="Arial"/>
          <w:sz w:val="20"/>
          <w:szCs w:val="20"/>
        </w:rPr>
        <w:t>ay</w:t>
      </w:r>
      <w:r w:rsidR="000A7C02" w:rsidRPr="00A56123">
        <w:rPr>
          <w:rFonts w:ascii="Arial" w:hAnsi="Arial" w:cs="Arial"/>
          <w:sz w:val="20"/>
          <w:szCs w:val="20"/>
        </w:rPr>
        <w:t xml:space="preserve">). </w:t>
      </w:r>
      <w:r w:rsidR="00232C91" w:rsidRPr="00A56123">
        <w:rPr>
          <w:rFonts w:ascii="Arial" w:hAnsi="Arial" w:cs="Arial"/>
          <w:sz w:val="20"/>
          <w:szCs w:val="20"/>
        </w:rPr>
        <w:t>From a mechanistic perspective, ultrasonic pretreatment can disrupt complex organic molecules, enhance solubilization of nutrients, and reduce inhibitory factors in wastewater (Zhao et al., 2020; Malathy et al., 2023). These effects collectively improve the growth environment for microalgae, contributing to increased biomass accumulation. However, excessively high ultrasonic intensity or prolonged exposure could lead to thermal or oxidative stress, potentially damaging algal cells or degrading nutrients (Schlafer et al., 2002). In this study, the selected ranges avoided those negative extremes, as evidenced by the lack of dramatic declines in biomass even at the highest tested intensity/time combinations.</w:t>
      </w:r>
    </w:p>
    <w:p w14:paraId="4C9EA118" w14:textId="33257C08" w:rsidR="00AF11DC" w:rsidRPr="00A56123" w:rsidRDefault="00AF11DC" w:rsidP="00BD605A">
      <w:pPr>
        <w:autoSpaceDE w:val="0"/>
        <w:autoSpaceDN w:val="0"/>
        <w:adjustRightInd w:val="0"/>
        <w:spacing w:after="0" w:line="240" w:lineRule="auto"/>
        <w:jc w:val="both"/>
        <w:rPr>
          <w:rFonts w:ascii="Arial" w:hAnsi="Arial" w:cs="Arial"/>
          <w:sz w:val="20"/>
          <w:szCs w:val="20"/>
        </w:rPr>
      </w:pPr>
      <w:r w:rsidRPr="00A56123">
        <w:rPr>
          <w:rFonts w:ascii="Arial" w:hAnsi="Arial" w:cs="Arial"/>
          <w:sz w:val="20"/>
          <w:szCs w:val="20"/>
        </w:rPr>
        <w:t>The e</w:t>
      </w:r>
      <w:r w:rsidRPr="00A56123">
        <w:rPr>
          <w:rFonts w:ascii="Arial" w:hAnsi="Arial" w:cs="Arial"/>
          <w:bCs/>
          <w:sz w:val="20"/>
          <w:szCs w:val="20"/>
        </w:rPr>
        <w:t>stimated regression coefficients values of biomass produced from UPMWW using</w:t>
      </w:r>
      <w:r w:rsidRPr="00A56123">
        <w:rPr>
          <w:rFonts w:ascii="Arial" w:hAnsi="Arial" w:cs="Arial"/>
          <w:i/>
          <w:color w:val="000000"/>
          <w:sz w:val="20"/>
          <w:szCs w:val="20"/>
        </w:rPr>
        <w:t xml:space="preserve"> </w:t>
      </w:r>
      <w:r w:rsidRPr="00A56123">
        <w:rPr>
          <w:rFonts w:ascii="Arial" w:hAnsi="Arial" w:cs="Arial"/>
          <w:sz w:val="20"/>
          <w:szCs w:val="20"/>
        </w:rPr>
        <w:t xml:space="preserve">double mutant </w:t>
      </w:r>
      <w:r w:rsidRPr="00A56123">
        <w:rPr>
          <w:rFonts w:ascii="Arial" w:hAnsi="Arial" w:cs="Arial"/>
          <w:i/>
          <w:iCs/>
          <w:sz w:val="20"/>
          <w:szCs w:val="20"/>
        </w:rPr>
        <w:t>C</w:t>
      </w:r>
      <w:r w:rsidR="00BD605A" w:rsidRPr="00A56123">
        <w:rPr>
          <w:rFonts w:ascii="Arial" w:hAnsi="Arial" w:cs="Arial"/>
          <w:i/>
          <w:iCs/>
          <w:sz w:val="20"/>
          <w:szCs w:val="20"/>
        </w:rPr>
        <w:t xml:space="preserve">. </w:t>
      </w:r>
      <w:r w:rsidRPr="00A56123">
        <w:rPr>
          <w:rFonts w:ascii="Arial" w:hAnsi="Arial" w:cs="Arial"/>
          <w:i/>
          <w:iCs/>
          <w:sz w:val="20"/>
          <w:szCs w:val="20"/>
        </w:rPr>
        <w:t>humicola</w:t>
      </w:r>
      <w:r w:rsidRPr="00A56123">
        <w:rPr>
          <w:rFonts w:ascii="Arial" w:hAnsi="Arial" w:cs="Arial"/>
          <w:sz w:val="20"/>
          <w:szCs w:val="20"/>
        </w:rPr>
        <w:t xml:space="preserve"> MCH4</w:t>
      </w:r>
      <w:r w:rsidRPr="00A56123">
        <w:rPr>
          <w:rFonts w:ascii="Arial" w:hAnsi="Arial" w:cs="Arial"/>
          <w:color w:val="000000"/>
          <w:sz w:val="20"/>
          <w:szCs w:val="20"/>
        </w:rPr>
        <w:t xml:space="preserve"> are given in the Table 3. </w:t>
      </w:r>
      <w:r w:rsidRPr="00A56123">
        <w:rPr>
          <w:rFonts w:ascii="Arial" w:hAnsi="Arial" w:cs="Arial"/>
          <w:sz w:val="20"/>
          <w:szCs w:val="20"/>
        </w:rPr>
        <w:t>The model articulated through the following regression equations (</w:t>
      </w:r>
      <w:r w:rsidR="00443A39" w:rsidRPr="00A56123">
        <w:rPr>
          <w:rFonts w:ascii="Arial" w:hAnsi="Arial" w:cs="Arial"/>
          <w:sz w:val="20"/>
          <w:szCs w:val="20"/>
        </w:rPr>
        <w:t>5</w:t>
      </w:r>
      <w:r w:rsidRPr="00A56123">
        <w:rPr>
          <w:rFonts w:ascii="Arial" w:hAnsi="Arial" w:cs="Arial"/>
          <w:sz w:val="20"/>
          <w:szCs w:val="20"/>
        </w:rPr>
        <w:t>), which represent biomass production as a function of A and B.</w:t>
      </w:r>
    </w:p>
    <w:p w14:paraId="7C9702D0" w14:textId="5CCCD727" w:rsidR="00AF11DC" w:rsidRPr="00A56123" w:rsidRDefault="00AF11DC" w:rsidP="00BD605A">
      <w:pPr>
        <w:autoSpaceDE w:val="0"/>
        <w:autoSpaceDN w:val="0"/>
        <w:adjustRightInd w:val="0"/>
        <w:spacing w:after="0" w:line="240" w:lineRule="auto"/>
        <w:ind w:left="3510" w:hanging="3420"/>
        <w:jc w:val="both"/>
        <w:rPr>
          <w:rFonts w:ascii="Arial" w:hAnsi="Arial" w:cs="Arial"/>
          <w:sz w:val="20"/>
          <w:szCs w:val="20"/>
        </w:rPr>
      </w:pPr>
      <w:r w:rsidRPr="00A56123">
        <w:rPr>
          <w:rFonts w:ascii="Arial" w:hAnsi="Arial" w:cs="Arial"/>
          <w:sz w:val="20"/>
          <w:szCs w:val="20"/>
        </w:rPr>
        <w:t>Y</w:t>
      </w:r>
      <w:r w:rsidRPr="00A56123">
        <w:rPr>
          <w:rFonts w:ascii="Arial" w:hAnsi="Arial" w:cs="Arial"/>
          <w:i/>
          <w:sz w:val="20"/>
          <w:szCs w:val="20"/>
          <w:vertAlign w:val="subscript"/>
        </w:rPr>
        <w:t>CODED</w:t>
      </w:r>
      <w:r w:rsidRPr="00A56123">
        <w:rPr>
          <w:rFonts w:ascii="Arial" w:hAnsi="Arial" w:cs="Arial"/>
          <w:sz w:val="20"/>
          <w:szCs w:val="20"/>
        </w:rPr>
        <w:t xml:space="preserve"> = 3.8521 + 0.1050A</w:t>
      </w:r>
      <w:r w:rsidRPr="00A56123">
        <w:rPr>
          <w:rFonts w:ascii="Arial" w:hAnsi="Arial" w:cs="Arial"/>
          <w:sz w:val="20"/>
          <w:szCs w:val="20"/>
          <w:vertAlign w:val="subscript"/>
        </w:rPr>
        <w:t xml:space="preserve"> </w:t>
      </w:r>
      <w:r w:rsidRPr="00A56123">
        <w:rPr>
          <w:rFonts w:ascii="Arial" w:hAnsi="Arial" w:cs="Arial"/>
          <w:sz w:val="20"/>
          <w:szCs w:val="20"/>
        </w:rPr>
        <w:t>+ 0.74950B - 0.8722A</w:t>
      </w:r>
      <w:r w:rsidRPr="00A56123">
        <w:rPr>
          <w:rFonts w:ascii="Arial" w:hAnsi="Arial" w:cs="Arial"/>
          <w:sz w:val="20"/>
          <w:szCs w:val="20"/>
          <w:vertAlign w:val="superscript"/>
        </w:rPr>
        <w:t>2</w:t>
      </w:r>
      <w:r w:rsidRPr="00A56123">
        <w:rPr>
          <w:rFonts w:ascii="Arial" w:hAnsi="Arial" w:cs="Arial"/>
          <w:sz w:val="20"/>
          <w:szCs w:val="20"/>
          <w:vertAlign w:val="subscript"/>
        </w:rPr>
        <w:t xml:space="preserve"> </w:t>
      </w:r>
      <w:r w:rsidRPr="00A56123">
        <w:rPr>
          <w:rFonts w:ascii="Arial" w:hAnsi="Arial" w:cs="Arial"/>
          <w:sz w:val="20"/>
          <w:szCs w:val="20"/>
        </w:rPr>
        <w:t>- 0.4722B</w:t>
      </w:r>
      <w:r w:rsidRPr="00A56123">
        <w:rPr>
          <w:rFonts w:ascii="Arial" w:hAnsi="Arial" w:cs="Arial"/>
          <w:sz w:val="20"/>
          <w:szCs w:val="20"/>
          <w:vertAlign w:val="superscript"/>
        </w:rPr>
        <w:t>2</w:t>
      </w:r>
      <w:r w:rsidRPr="00A56123">
        <w:rPr>
          <w:rFonts w:ascii="Arial" w:hAnsi="Arial" w:cs="Arial"/>
          <w:sz w:val="20"/>
          <w:szCs w:val="20"/>
          <w:vertAlign w:val="subscript"/>
        </w:rPr>
        <w:t xml:space="preserve"> </w:t>
      </w:r>
      <w:r w:rsidRPr="00A56123">
        <w:rPr>
          <w:rFonts w:ascii="Arial" w:hAnsi="Arial" w:cs="Arial"/>
          <w:sz w:val="20"/>
          <w:szCs w:val="20"/>
        </w:rPr>
        <w:t>+ 0.1425AB ---------------(</w:t>
      </w:r>
      <w:r w:rsidR="000151D1" w:rsidRPr="00A56123">
        <w:rPr>
          <w:rFonts w:ascii="Arial" w:hAnsi="Arial" w:cs="Arial"/>
          <w:sz w:val="20"/>
          <w:szCs w:val="20"/>
        </w:rPr>
        <w:t>Eq.</w:t>
      </w:r>
      <w:r w:rsidR="00443A39" w:rsidRPr="00A56123">
        <w:rPr>
          <w:rFonts w:ascii="Arial" w:hAnsi="Arial" w:cs="Arial"/>
          <w:sz w:val="20"/>
          <w:szCs w:val="20"/>
        </w:rPr>
        <w:t>5</w:t>
      </w:r>
      <w:r w:rsidRPr="00A56123">
        <w:rPr>
          <w:rFonts w:ascii="Arial" w:hAnsi="Arial" w:cs="Arial"/>
          <w:sz w:val="20"/>
          <w:szCs w:val="20"/>
        </w:rPr>
        <w:t xml:space="preserve">) </w:t>
      </w:r>
    </w:p>
    <w:p w14:paraId="4853D162" w14:textId="77777777" w:rsidR="00AF11DC" w:rsidRPr="00A56123" w:rsidRDefault="00AF11DC" w:rsidP="00BD605A">
      <w:pPr>
        <w:autoSpaceDE w:val="0"/>
        <w:autoSpaceDN w:val="0"/>
        <w:adjustRightInd w:val="0"/>
        <w:spacing w:after="0" w:line="240" w:lineRule="auto"/>
        <w:ind w:left="90"/>
        <w:jc w:val="both"/>
        <w:rPr>
          <w:rFonts w:ascii="Arial" w:hAnsi="Arial" w:cs="Arial"/>
          <w:sz w:val="20"/>
          <w:szCs w:val="20"/>
        </w:rPr>
      </w:pPr>
      <w:r w:rsidRPr="00A56123">
        <w:rPr>
          <w:rFonts w:ascii="Arial" w:hAnsi="Arial" w:cs="Arial"/>
          <w:sz w:val="20"/>
          <w:szCs w:val="20"/>
        </w:rPr>
        <w:t>where, Y is the biomass production (g/L), A</w:t>
      </w:r>
      <w:r w:rsidRPr="00A56123">
        <w:rPr>
          <w:rFonts w:ascii="Arial" w:hAnsi="Arial" w:cs="Arial"/>
          <w:sz w:val="20"/>
          <w:szCs w:val="20"/>
          <w:vertAlign w:val="subscript"/>
        </w:rPr>
        <w:t xml:space="preserve"> </w:t>
      </w:r>
      <w:r w:rsidRPr="00A56123">
        <w:rPr>
          <w:rFonts w:ascii="Arial" w:hAnsi="Arial" w:cs="Arial"/>
          <w:sz w:val="20"/>
          <w:szCs w:val="20"/>
        </w:rPr>
        <w:t>and B</w:t>
      </w:r>
      <w:r w:rsidRPr="00A56123">
        <w:rPr>
          <w:rFonts w:ascii="Arial" w:hAnsi="Arial" w:cs="Arial"/>
          <w:sz w:val="20"/>
          <w:szCs w:val="20"/>
          <w:vertAlign w:val="subscript"/>
        </w:rPr>
        <w:t xml:space="preserve"> </w:t>
      </w:r>
      <w:r w:rsidRPr="00A56123">
        <w:rPr>
          <w:rFonts w:ascii="Arial" w:hAnsi="Arial" w:cs="Arial"/>
          <w:sz w:val="20"/>
          <w:szCs w:val="20"/>
        </w:rPr>
        <w:t>are the coded values of ultrasonic intensity and exposure time respectively.</w:t>
      </w:r>
    </w:p>
    <w:p w14:paraId="7BE2E5A6" w14:textId="2FB243C6" w:rsidR="00232C91" w:rsidRPr="00A56123" w:rsidRDefault="00232C91" w:rsidP="00BD605A">
      <w:pPr>
        <w:spacing w:after="0" w:line="240" w:lineRule="auto"/>
        <w:jc w:val="both"/>
        <w:rPr>
          <w:rFonts w:ascii="Arial" w:hAnsi="Arial" w:cs="Arial"/>
          <w:sz w:val="20"/>
          <w:szCs w:val="20"/>
        </w:rPr>
      </w:pPr>
      <w:r w:rsidRPr="00A56123">
        <w:rPr>
          <w:rFonts w:ascii="Arial" w:hAnsi="Arial" w:cs="Arial"/>
          <w:sz w:val="20"/>
          <w:szCs w:val="20"/>
        </w:rPr>
        <w:t>Regression analysis showed that the quadratic model was highly significant for predicting biomass production from UPMWW, with R</w:t>
      </w:r>
      <w:r w:rsidRPr="00A56123">
        <w:rPr>
          <w:rFonts w:ascii="Arial" w:hAnsi="Arial" w:cs="Arial"/>
          <w:sz w:val="20"/>
          <w:szCs w:val="20"/>
          <w:vertAlign w:val="superscript"/>
        </w:rPr>
        <w:t>2</w:t>
      </w:r>
      <w:r w:rsidRPr="00A56123">
        <w:rPr>
          <w:rFonts w:ascii="Arial" w:hAnsi="Arial" w:cs="Arial"/>
          <w:sz w:val="20"/>
          <w:szCs w:val="20"/>
        </w:rPr>
        <w:t xml:space="preserve"> = 99.1% and adjusted R</w:t>
      </w:r>
      <w:r w:rsidRPr="00A56123">
        <w:rPr>
          <w:rFonts w:ascii="Arial" w:hAnsi="Arial" w:cs="Arial"/>
          <w:sz w:val="20"/>
          <w:szCs w:val="20"/>
          <w:vertAlign w:val="superscript"/>
        </w:rPr>
        <w:t>2</w:t>
      </w:r>
      <w:r w:rsidRPr="00A56123">
        <w:rPr>
          <w:rFonts w:ascii="Arial" w:hAnsi="Arial" w:cs="Arial"/>
          <w:sz w:val="20"/>
          <w:szCs w:val="20"/>
        </w:rPr>
        <w:t>= 98.4%, indicating excellent model fit. Both ultrasonic intensity (A) and exposure time (B) had significant positive linear effects (</w:t>
      </w:r>
      <w:r w:rsidRPr="00A56123">
        <w:rPr>
          <w:rFonts w:ascii="Arial" w:hAnsi="Arial" w:cs="Arial"/>
          <w:i/>
          <w:iCs/>
          <w:sz w:val="20"/>
          <w:szCs w:val="20"/>
        </w:rPr>
        <w:t>p</w:t>
      </w:r>
      <w:r w:rsidRPr="00A56123">
        <w:rPr>
          <w:rFonts w:ascii="Arial" w:hAnsi="Arial" w:cs="Arial"/>
          <w:sz w:val="20"/>
          <w:szCs w:val="20"/>
        </w:rPr>
        <w:t xml:space="preserve"> </w:t>
      </w:r>
      <w:r w:rsidR="00352283" w:rsidRPr="00A56123">
        <w:rPr>
          <w:rFonts w:ascii="Arial" w:hAnsi="Arial" w:cs="Arial"/>
          <w:sz w:val="20"/>
          <w:szCs w:val="20"/>
        </w:rPr>
        <w:t>=</w:t>
      </w:r>
      <w:r w:rsidRPr="00A56123">
        <w:rPr>
          <w:rFonts w:ascii="Arial" w:hAnsi="Arial" w:cs="Arial"/>
          <w:sz w:val="20"/>
          <w:szCs w:val="20"/>
        </w:rPr>
        <w:t xml:space="preserve"> 0.05), while the quadratic terms (A</w:t>
      </w:r>
      <w:r w:rsidR="0092650B" w:rsidRPr="00A56123">
        <w:rPr>
          <w:rFonts w:ascii="Arial" w:hAnsi="Arial" w:cs="Arial"/>
          <w:sz w:val="20"/>
          <w:szCs w:val="20"/>
          <w:vertAlign w:val="superscript"/>
        </w:rPr>
        <w:t>2</w:t>
      </w:r>
      <w:r w:rsidRPr="00A56123">
        <w:rPr>
          <w:rFonts w:ascii="Arial" w:hAnsi="Arial" w:cs="Arial"/>
          <w:sz w:val="20"/>
          <w:szCs w:val="20"/>
        </w:rPr>
        <w:t xml:space="preserve"> and B</w:t>
      </w:r>
      <w:r w:rsidR="0092650B" w:rsidRPr="00A56123">
        <w:rPr>
          <w:rFonts w:ascii="Arial" w:hAnsi="Arial" w:cs="Arial"/>
          <w:sz w:val="20"/>
          <w:szCs w:val="20"/>
          <w:vertAlign w:val="superscript"/>
        </w:rPr>
        <w:t>2</w:t>
      </w:r>
      <w:r w:rsidRPr="00A56123">
        <w:rPr>
          <w:rFonts w:ascii="Arial" w:hAnsi="Arial" w:cs="Arial"/>
          <w:sz w:val="20"/>
          <w:szCs w:val="20"/>
        </w:rPr>
        <w:t xml:space="preserve">) were significantly negative, showing that very high values of A or B reduced </w:t>
      </w:r>
      <w:r w:rsidRPr="00A56123">
        <w:rPr>
          <w:rFonts w:ascii="Arial" w:hAnsi="Arial" w:cs="Arial"/>
          <w:sz w:val="20"/>
          <w:szCs w:val="20"/>
        </w:rPr>
        <w:lastRenderedPageBreak/>
        <w:t>biomass yield. The interaction term (A</w:t>
      </w:r>
      <w:r w:rsidR="00352283" w:rsidRPr="00A56123">
        <w:rPr>
          <w:rFonts w:ascii="Arial" w:hAnsi="Arial" w:cs="Arial"/>
          <w:sz w:val="20"/>
          <w:szCs w:val="20"/>
        </w:rPr>
        <w:t>×</w:t>
      </w:r>
      <w:r w:rsidRPr="00A56123">
        <w:rPr>
          <w:rFonts w:ascii="Arial" w:hAnsi="Arial" w:cs="Arial"/>
          <w:sz w:val="20"/>
          <w:szCs w:val="20"/>
        </w:rPr>
        <w:t xml:space="preserve">B) was also significant, indicating synergistic effects between intensity and time. </w:t>
      </w:r>
      <w:r w:rsidR="00D13C5D" w:rsidRPr="00A56123">
        <w:rPr>
          <w:rFonts w:ascii="Arial" w:hAnsi="Arial" w:cs="Arial"/>
          <w:sz w:val="20"/>
          <w:szCs w:val="20"/>
        </w:rPr>
        <w:t>T</w:t>
      </w:r>
      <w:r w:rsidRPr="00A56123">
        <w:rPr>
          <w:rFonts w:ascii="Arial" w:hAnsi="Arial" w:cs="Arial"/>
          <w:sz w:val="20"/>
          <w:szCs w:val="20"/>
        </w:rPr>
        <w:t xml:space="preserve">hese results suggest that controlled </w:t>
      </w:r>
      <w:r w:rsidR="00443A39" w:rsidRPr="00A56123">
        <w:rPr>
          <w:rFonts w:ascii="Arial" w:hAnsi="Arial" w:cs="Arial"/>
          <w:sz w:val="20"/>
          <w:szCs w:val="20"/>
        </w:rPr>
        <w:t>US</w:t>
      </w:r>
      <w:r w:rsidRPr="00A56123">
        <w:rPr>
          <w:rFonts w:ascii="Arial" w:hAnsi="Arial" w:cs="Arial"/>
          <w:sz w:val="20"/>
          <w:szCs w:val="20"/>
        </w:rPr>
        <w:t xml:space="preserve"> pretreatment enhances nutrient availability and promotes </w:t>
      </w:r>
      <w:r w:rsidR="00443A39" w:rsidRPr="00A56123">
        <w:rPr>
          <w:rFonts w:ascii="Arial" w:hAnsi="Arial" w:cs="Arial"/>
          <w:sz w:val="20"/>
          <w:szCs w:val="20"/>
        </w:rPr>
        <w:t>micro</w:t>
      </w:r>
      <w:r w:rsidRPr="00A56123">
        <w:rPr>
          <w:rFonts w:ascii="Arial" w:hAnsi="Arial" w:cs="Arial"/>
          <w:sz w:val="20"/>
          <w:szCs w:val="20"/>
        </w:rPr>
        <w:t xml:space="preserve">algal growth, whereas excessive sonication may have inhibitory effects (Dhandayuthapani </w:t>
      </w:r>
      <w:r w:rsidRPr="00A56123">
        <w:rPr>
          <w:rFonts w:ascii="Arial" w:hAnsi="Arial" w:cs="Arial"/>
          <w:i/>
          <w:sz w:val="20"/>
          <w:szCs w:val="20"/>
        </w:rPr>
        <w:t>et al.,</w:t>
      </w:r>
      <w:r w:rsidRPr="00A56123">
        <w:rPr>
          <w:rFonts w:ascii="Arial" w:hAnsi="Arial" w:cs="Arial"/>
          <w:sz w:val="20"/>
          <w:szCs w:val="20"/>
        </w:rPr>
        <w:t xml:space="preserve"> 2022).</w:t>
      </w:r>
    </w:p>
    <w:p w14:paraId="4A9101D9" w14:textId="487EC21E"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 xml:space="preserve">The ANOVA results (Table 4) revealed that the regression model for biomass production from UPMWW was highly significant (F = 150.54, p = 0.001), indicating a strong relationship between the </w:t>
      </w:r>
      <w:r w:rsidR="00443A39" w:rsidRPr="00A56123">
        <w:rPr>
          <w:rFonts w:ascii="Arial" w:hAnsi="Arial" w:cs="Arial"/>
          <w:sz w:val="20"/>
          <w:szCs w:val="20"/>
        </w:rPr>
        <w:t>US</w:t>
      </w:r>
      <w:r w:rsidRPr="00A56123">
        <w:rPr>
          <w:rFonts w:ascii="Arial" w:hAnsi="Arial" w:cs="Arial"/>
          <w:sz w:val="20"/>
          <w:szCs w:val="20"/>
        </w:rPr>
        <w:t xml:space="preserve"> variables and biomass yield. Both the linear (</w:t>
      </w:r>
      <w:r w:rsidRPr="00A56123">
        <w:rPr>
          <w:rFonts w:ascii="Arial" w:hAnsi="Arial" w:cs="Arial"/>
          <w:i/>
          <w:iCs/>
          <w:sz w:val="20"/>
          <w:szCs w:val="20"/>
        </w:rPr>
        <w:t>p</w:t>
      </w:r>
      <w:r w:rsidRPr="00A56123">
        <w:rPr>
          <w:rFonts w:ascii="Arial" w:hAnsi="Arial" w:cs="Arial"/>
          <w:sz w:val="20"/>
          <w:szCs w:val="20"/>
        </w:rPr>
        <w:t xml:space="preserve"> = 0.001) and quadratic (</w:t>
      </w:r>
      <w:r w:rsidRPr="00A56123">
        <w:rPr>
          <w:rFonts w:ascii="Arial" w:hAnsi="Arial" w:cs="Arial"/>
          <w:i/>
          <w:iCs/>
          <w:sz w:val="20"/>
          <w:szCs w:val="20"/>
        </w:rPr>
        <w:t>p</w:t>
      </w:r>
      <w:r w:rsidRPr="00A56123">
        <w:rPr>
          <w:rFonts w:ascii="Arial" w:hAnsi="Arial" w:cs="Arial"/>
          <w:sz w:val="20"/>
          <w:szCs w:val="20"/>
        </w:rPr>
        <w:t xml:space="preserve"> = 0.001) components had significant effects, while the interaction term was also significant (</w:t>
      </w:r>
      <w:r w:rsidRPr="00A56123">
        <w:rPr>
          <w:rFonts w:ascii="Arial" w:hAnsi="Arial" w:cs="Arial"/>
          <w:i/>
          <w:iCs/>
          <w:sz w:val="20"/>
          <w:szCs w:val="20"/>
        </w:rPr>
        <w:t>p</w:t>
      </w:r>
      <w:r w:rsidRPr="00A56123">
        <w:rPr>
          <w:rFonts w:ascii="Arial" w:hAnsi="Arial" w:cs="Arial"/>
          <w:sz w:val="20"/>
          <w:szCs w:val="20"/>
        </w:rPr>
        <w:t xml:space="preserve"> = 0.014), confirming combined influence of intensity and exposure time. The lack-of-fit was not significant (</w:t>
      </w:r>
      <w:r w:rsidRPr="00A56123">
        <w:rPr>
          <w:rFonts w:ascii="Arial" w:hAnsi="Arial" w:cs="Arial"/>
          <w:i/>
          <w:iCs/>
          <w:sz w:val="20"/>
          <w:szCs w:val="20"/>
        </w:rPr>
        <w:t>p</w:t>
      </w:r>
      <w:r w:rsidRPr="00A56123">
        <w:rPr>
          <w:rFonts w:ascii="Arial" w:hAnsi="Arial" w:cs="Arial"/>
          <w:sz w:val="20"/>
          <w:szCs w:val="20"/>
        </w:rPr>
        <w:t xml:space="preserve"> = 0.262), demonstrating that the model adequately fits the experimental data. Overall, the ANOVA confirms that </w:t>
      </w:r>
      <w:r w:rsidR="00443A39" w:rsidRPr="00A56123">
        <w:rPr>
          <w:rFonts w:ascii="Arial" w:hAnsi="Arial" w:cs="Arial"/>
          <w:sz w:val="20"/>
          <w:szCs w:val="20"/>
        </w:rPr>
        <w:t>US</w:t>
      </w:r>
      <w:r w:rsidRPr="00A56123">
        <w:rPr>
          <w:rFonts w:ascii="Arial" w:hAnsi="Arial" w:cs="Arial"/>
          <w:sz w:val="20"/>
          <w:szCs w:val="20"/>
        </w:rPr>
        <w:t xml:space="preserve"> pretreatment parameters significantly affect biomass production.</w:t>
      </w:r>
    </w:p>
    <w:p w14:paraId="76F2BFC6" w14:textId="23EBDA5B" w:rsidR="00232C91" w:rsidRPr="00A56123" w:rsidRDefault="00B83D2D" w:rsidP="00A57EF5">
      <w:pPr>
        <w:spacing w:after="0" w:line="240" w:lineRule="auto"/>
        <w:jc w:val="both"/>
        <w:rPr>
          <w:rFonts w:ascii="Arial" w:hAnsi="Arial" w:cs="Arial"/>
          <w:sz w:val="20"/>
          <w:szCs w:val="20"/>
        </w:rPr>
      </w:pPr>
      <w:r w:rsidRPr="00A56123">
        <w:rPr>
          <w:rFonts w:ascii="Arial" w:hAnsi="Arial" w:cs="Arial"/>
          <w:sz w:val="20"/>
          <w:szCs w:val="20"/>
        </w:rPr>
        <w:t xml:space="preserve">The 3D response surface plot (Figure </w:t>
      </w:r>
      <w:r w:rsidR="006B2843">
        <w:rPr>
          <w:rFonts w:ascii="Arial" w:hAnsi="Arial" w:cs="Arial"/>
          <w:sz w:val="20"/>
          <w:szCs w:val="20"/>
        </w:rPr>
        <w:t>2</w:t>
      </w:r>
      <w:r w:rsidRPr="00A56123">
        <w:rPr>
          <w:rFonts w:ascii="Arial" w:hAnsi="Arial" w:cs="Arial"/>
          <w:sz w:val="20"/>
          <w:szCs w:val="20"/>
        </w:rPr>
        <w:t xml:space="preserve">) shows that biomass production increased with rising </w:t>
      </w:r>
      <w:r w:rsidR="00443A39" w:rsidRPr="00A56123">
        <w:rPr>
          <w:rFonts w:ascii="Arial" w:hAnsi="Arial" w:cs="Arial"/>
          <w:sz w:val="20"/>
          <w:szCs w:val="20"/>
        </w:rPr>
        <w:t>US</w:t>
      </w:r>
      <w:r w:rsidRPr="00A56123">
        <w:rPr>
          <w:rFonts w:ascii="Arial" w:hAnsi="Arial" w:cs="Arial"/>
          <w:sz w:val="20"/>
          <w:szCs w:val="20"/>
        </w:rPr>
        <w:t xml:space="preserve"> intensity and exposure time up to an optimum region. Maximum biomass was observed around moderate intensity (~0.35 W/mL) and exposure</w:t>
      </w:r>
      <w:r w:rsidR="0092650B" w:rsidRPr="00A56123">
        <w:rPr>
          <w:rFonts w:ascii="Arial" w:hAnsi="Arial" w:cs="Arial"/>
          <w:sz w:val="20"/>
          <w:szCs w:val="20"/>
        </w:rPr>
        <w:t xml:space="preserve"> time</w:t>
      </w:r>
      <w:r w:rsidRPr="00A56123">
        <w:rPr>
          <w:rFonts w:ascii="Arial" w:hAnsi="Arial" w:cs="Arial"/>
          <w:sz w:val="20"/>
          <w:szCs w:val="20"/>
        </w:rPr>
        <w:t xml:space="preserve"> (~20 min). Beyond this range, biomass declined, indicating that excessive sonication may negatively affect growth. The curvature of the surface confirms the significant quadratic effects of both factors and supports the optimized conditions identified through the RSM model.</w:t>
      </w:r>
    </w:p>
    <w:p w14:paraId="0D74CA0A" w14:textId="618F9128" w:rsidR="00B83D2D" w:rsidRPr="00A56123" w:rsidRDefault="00B83D2D" w:rsidP="002E262D">
      <w:pPr>
        <w:autoSpaceDE w:val="0"/>
        <w:autoSpaceDN w:val="0"/>
        <w:adjustRightInd w:val="0"/>
        <w:spacing w:after="0" w:line="240" w:lineRule="auto"/>
        <w:jc w:val="both"/>
        <w:rPr>
          <w:rFonts w:ascii="Arial" w:eastAsia="Calibri" w:hAnsi="Arial" w:cs="Arial"/>
          <w:b/>
          <w:bCs/>
          <w:kern w:val="0"/>
          <w:sz w:val="20"/>
          <w:szCs w:val="20"/>
          <w14:ligatures w14:val="none"/>
        </w:rPr>
      </w:pPr>
      <w:r w:rsidRPr="001B7E5A">
        <w:rPr>
          <w:rFonts w:ascii="Arial" w:eastAsia="Calibri" w:hAnsi="Arial" w:cs="Arial"/>
          <w:b/>
          <w:bCs/>
          <w:kern w:val="0"/>
          <w:sz w:val="22"/>
          <w:szCs w:val="22"/>
          <w14:ligatures w14:val="none"/>
        </w:rPr>
        <w:t xml:space="preserve">Table 2. CCD design matrix of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 by </w:t>
      </w:r>
      <w:r w:rsidRPr="001B7E5A">
        <w:rPr>
          <w:rFonts w:ascii="Arial" w:eastAsia="Calibri" w:hAnsi="Arial" w:cs="Arial"/>
          <w:b/>
          <w:bCs/>
          <w:i/>
          <w:iCs/>
          <w:kern w:val="0"/>
          <w:sz w:val="22"/>
          <w:szCs w:val="22"/>
          <w14:ligatures w14:val="none"/>
        </w:rPr>
        <w:t>C. humicola</w:t>
      </w:r>
      <w:r w:rsidRPr="001B7E5A">
        <w:rPr>
          <w:rFonts w:ascii="Arial" w:eastAsia="Calibri" w:hAnsi="Arial" w:cs="Arial"/>
          <w:b/>
          <w:bCs/>
          <w:kern w:val="0"/>
          <w:sz w:val="22"/>
          <w:szCs w:val="22"/>
          <w14:ligatures w14:val="none"/>
        </w:rPr>
        <w:t xml:space="preserve"> MCH4</w:t>
      </w:r>
    </w:p>
    <w:p w14:paraId="54779362" w14:textId="77777777" w:rsidR="00B83D2D" w:rsidRPr="00A56123" w:rsidRDefault="00B83D2D" w:rsidP="002E262D">
      <w:pPr>
        <w:autoSpaceDE w:val="0"/>
        <w:autoSpaceDN w:val="0"/>
        <w:adjustRightInd w:val="0"/>
        <w:spacing w:after="0" w:line="240" w:lineRule="auto"/>
        <w:jc w:val="both"/>
        <w:rPr>
          <w:rFonts w:ascii="Arial" w:eastAsia="Calibri" w:hAnsi="Arial" w:cs="Arial"/>
          <w:b/>
          <w:bCs/>
          <w:kern w:val="0"/>
          <w:sz w:val="20"/>
          <w:szCs w:val="20"/>
          <w14:ligatures w14:val="none"/>
        </w:rPr>
      </w:pPr>
    </w:p>
    <w:tbl>
      <w:tblPr>
        <w:tblW w:w="7478" w:type="dxa"/>
        <w:jc w:val="center"/>
        <w:tblLook w:val="04A0" w:firstRow="1" w:lastRow="0" w:firstColumn="1" w:lastColumn="0" w:noHBand="0" w:noVBand="1"/>
      </w:tblPr>
      <w:tblGrid>
        <w:gridCol w:w="1203"/>
        <w:gridCol w:w="1696"/>
        <w:gridCol w:w="1696"/>
        <w:gridCol w:w="1616"/>
        <w:gridCol w:w="1267"/>
      </w:tblGrid>
      <w:tr w:rsidR="00B83D2D" w:rsidRPr="00A56123" w14:paraId="55698D14" w14:textId="77777777" w:rsidTr="00A56123">
        <w:trPr>
          <w:trHeight w:val="300"/>
          <w:jc w:val="center"/>
        </w:trPr>
        <w:tc>
          <w:tcPr>
            <w:tcW w:w="1203" w:type="dxa"/>
            <w:vMerge w:val="restart"/>
            <w:tcBorders>
              <w:top w:val="single" w:sz="4" w:space="0" w:color="auto"/>
              <w:bottom w:val="single" w:sz="4" w:space="0" w:color="auto"/>
            </w:tcBorders>
            <w:noWrap/>
            <w:vAlign w:val="bottom"/>
            <w:hideMark/>
          </w:tcPr>
          <w:p w14:paraId="0A5E07D2" w14:textId="77777777" w:rsidR="00B83D2D" w:rsidRPr="00A56123" w:rsidRDefault="00B83D2D" w:rsidP="002E262D">
            <w:pPr>
              <w:spacing w:after="0" w:line="240" w:lineRule="auto"/>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Run Order</w:t>
            </w:r>
          </w:p>
        </w:tc>
        <w:tc>
          <w:tcPr>
            <w:tcW w:w="1696" w:type="dxa"/>
            <w:vMerge w:val="restart"/>
            <w:tcBorders>
              <w:top w:val="single" w:sz="4" w:space="0" w:color="auto"/>
              <w:bottom w:val="single" w:sz="4" w:space="0" w:color="auto"/>
            </w:tcBorders>
            <w:noWrap/>
            <w:vAlign w:val="bottom"/>
            <w:hideMark/>
          </w:tcPr>
          <w:p w14:paraId="545EC85F" w14:textId="70842D69" w:rsidR="00B83D2D" w:rsidRPr="00A56123" w:rsidRDefault="00443A39"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hAnsi="Arial" w:cs="Arial"/>
                <w:b/>
                <w:bCs/>
                <w:sz w:val="20"/>
                <w:szCs w:val="20"/>
              </w:rPr>
              <w:t>US</w:t>
            </w:r>
            <w:r w:rsidRPr="00A56123">
              <w:rPr>
                <w:rFonts w:ascii="Arial" w:eastAsia="Times New Roman" w:hAnsi="Arial" w:cs="Arial"/>
                <w:b/>
                <w:bCs/>
                <w:color w:val="000000"/>
                <w:kern w:val="0"/>
                <w:sz w:val="20"/>
                <w:szCs w:val="20"/>
                <w:lang w:eastAsia="en-IN"/>
                <w14:ligatures w14:val="none"/>
              </w:rPr>
              <w:t xml:space="preserve"> </w:t>
            </w:r>
            <w:r w:rsidR="00B83D2D" w:rsidRPr="00A56123">
              <w:rPr>
                <w:rFonts w:ascii="Arial" w:eastAsia="Times New Roman" w:hAnsi="Arial" w:cs="Arial"/>
                <w:b/>
                <w:color w:val="000000"/>
                <w:kern w:val="0"/>
                <w:sz w:val="20"/>
                <w:szCs w:val="20"/>
                <w:lang w:eastAsia="en-IN"/>
                <w14:ligatures w14:val="none"/>
              </w:rPr>
              <w:t>intensity (W/mL)</w:t>
            </w:r>
          </w:p>
        </w:tc>
        <w:tc>
          <w:tcPr>
            <w:tcW w:w="1696" w:type="dxa"/>
            <w:vMerge w:val="restart"/>
            <w:tcBorders>
              <w:top w:val="single" w:sz="4" w:space="0" w:color="auto"/>
              <w:bottom w:val="single" w:sz="4" w:space="0" w:color="auto"/>
            </w:tcBorders>
            <w:noWrap/>
            <w:vAlign w:val="bottom"/>
            <w:hideMark/>
          </w:tcPr>
          <w:p w14:paraId="5339D07C"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Exposure time (min)</w:t>
            </w:r>
          </w:p>
        </w:tc>
        <w:tc>
          <w:tcPr>
            <w:tcW w:w="2883" w:type="dxa"/>
            <w:gridSpan w:val="2"/>
            <w:tcBorders>
              <w:top w:val="single" w:sz="4" w:space="0" w:color="auto"/>
              <w:bottom w:val="single" w:sz="4" w:space="0" w:color="auto"/>
            </w:tcBorders>
            <w:noWrap/>
            <w:vAlign w:val="bottom"/>
            <w:hideMark/>
          </w:tcPr>
          <w:p w14:paraId="6BFFF511"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Biomass (g/L)</w:t>
            </w:r>
          </w:p>
        </w:tc>
      </w:tr>
      <w:tr w:rsidR="00B83D2D" w:rsidRPr="00A56123" w14:paraId="4FC232C4" w14:textId="77777777" w:rsidTr="00A56123">
        <w:trPr>
          <w:trHeight w:val="300"/>
          <w:jc w:val="center"/>
        </w:trPr>
        <w:tc>
          <w:tcPr>
            <w:tcW w:w="1203" w:type="dxa"/>
            <w:vMerge/>
            <w:tcBorders>
              <w:bottom w:val="single" w:sz="4" w:space="0" w:color="auto"/>
            </w:tcBorders>
            <w:noWrap/>
            <w:vAlign w:val="bottom"/>
            <w:hideMark/>
          </w:tcPr>
          <w:p w14:paraId="4D561480"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96" w:type="dxa"/>
            <w:vMerge/>
            <w:tcBorders>
              <w:bottom w:val="single" w:sz="4" w:space="0" w:color="auto"/>
            </w:tcBorders>
            <w:noWrap/>
            <w:vAlign w:val="bottom"/>
            <w:hideMark/>
          </w:tcPr>
          <w:p w14:paraId="7A5D6357"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96" w:type="dxa"/>
            <w:vMerge/>
            <w:tcBorders>
              <w:bottom w:val="single" w:sz="4" w:space="0" w:color="auto"/>
            </w:tcBorders>
            <w:noWrap/>
            <w:vAlign w:val="bottom"/>
            <w:hideMark/>
          </w:tcPr>
          <w:p w14:paraId="6BB8EF92"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16" w:type="dxa"/>
            <w:tcBorders>
              <w:top w:val="single" w:sz="4" w:space="0" w:color="auto"/>
              <w:bottom w:val="single" w:sz="4" w:space="0" w:color="auto"/>
            </w:tcBorders>
            <w:noWrap/>
            <w:vAlign w:val="bottom"/>
            <w:hideMark/>
          </w:tcPr>
          <w:p w14:paraId="30CBB4B1"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Experimental</w:t>
            </w:r>
          </w:p>
        </w:tc>
        <w:tc>
          <w:tcPr>
            <w:tcW w:w="1267" w:type="dxa"/>
            <w:tcBorders>
              <w:top w:val="single" w:sz="4" w:space="0" w:color="auto"/>
              <w:bottom w:val="single" w:sz="4" w:space="0" w:color="auto"/>
            </w:tcBorders>
            <w:vAlign w:val="bottom"/>
          </w:tcPr>
          <w:p w14:paraId="11DFBF7F" w14:textId="77777777" w:rsidR="00B83D2D" w:rsidRPr="00A56123" w:rsidRDefault="00B83D2D" w:rsidP="002E262D">
            <w:pPr>
              <w:spacing w:after="0" w:line="240" w:lineRule="auto"/>
              <w:jc w:val="right"/>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Predicted</w:t>
            </w:r>
          </w:p>
        </w:tc>
      </w:tr>
      <w:tr w:rsidR="00B83D2D" w:rsidRPr="00A56123" w14:paraId="07067F21" w14:textId="77777777" w:rsidTr="00A56123">
        <w:trPr>
          <w:trHeight w:val="300"/>
          <w:jc w:val="center"/>
        </w:trPr>
        <w:tc>
          <w:tcPr>
            <w:tcW w:w="1203" w:type="dxa"/>
            <w:tcBorders>
              <w:top w:val="single" w:sz="4" w:space="0" w:color="auto"/>
            </w:tcBorders>
            <w:noWrap/>
            <w:vAlign w:val="bottom"/>
            <w:hideMark/>
          </w:tcPr>
          <w:p w14:paraId="68227BE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w:t>
            </w:r>
          </w:p>
        </w:tc>
        <w:tc>
          <w:tcPr>
            <w:tcW w:w="1696" w:type="dxa"/>
            <w:tcBorders>
              <w:top w:val="single" w:sz="4" w:space="0" w:color="auto"/>
            </w:tcBorders>
            <w:noWrap/>
            <w:hideMark/>
          </w:tcPr>
          <w:p w14:paraId="0DF8C3BC"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tcBorders>
              <w:top w:val="single" w:sz="4" w:space="0" w:color="auto"/>
            </w:tcBorders>
            <w:noWrap/>
            <w:hideMark/>
          </w:tcPr>
          <w:p w14:paraId="1B79C33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tcBorders>
              <w:top w:val="single" w:sz="4" w:space="0" w:color="auto"/>
            </w:tcBorders>
            <w:noWrap/>
          </w:tcPr>
          <w:p w14:paraId="2942C623"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2.01±0.07</w:t>
            </w:r>
          </w:p>
        </w:tc>
        <w:tc>
          <w:tcPr>
            <w:tcW w:w="1267" w:type="dxa"/>
            <w:tcBorders>
              <w:top w:val="single" w:sz="4" w:space="0" w:color="auto"/>
            </w:tcBorders>
          </w:tcPr>
          <w:p w14:paraId="01B7E630"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2.05</w:t>
            </w:r>
          </w:p>
        </w:tc>
      </w:tr>
      <w:tr w:rsidR="00B83D2D" w:rsidRPr="00A56123" w14:paraId="0510FFBA" w14:textId="77777777" w:rsidTr="00A56123">
        <w:trPr>
          <w:trHeight w:val="300"/>
          <w:jc w:val="center"/>
        </w:trPr>
        <w:tc>
          <w:tcPr>
            <w:tcW w:w="1203" w:type="dxa"/>
            <w:noWrap/>
            <w:vAlign w:val="bottom"/>
            <w:hideMark/>
          </w:tcPr>
          <w:p w14:paraId="1F47D79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w:t>
            </w:r>
          </w:p>
        </w:tc>
        <w:tc>
          <w:tcPr>
            <w:tcW w:w="1696" w:type="dxa"/>
            <w:noWrap/>
            <w:hideMark/>
          </w:tcPr>
          <w:p w14:paraId="22270BC6"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4EFB77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noWrap/>
          </w:tcPr>
          <w:p w14:paraId="2025F21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1.98±0.05</w:t>
            </w:r>
          </w:p>
        </w:tc>
        <w:tc>
          <w:tcPr>
            <w:tcW w:w="1267" w:type="dxa"/>
          </w:tcPr>
          <w:p w14:paraId="6AC43AC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1.98</w:t>
            </w:r>
          </w:p>
        </w:tc>
      </w:tr>
      <w:tr w:rsidR="00B83D2D" w:rsidRPr="00A56123" w14:paraId="2B66B3CF" w14:textId="77777777" w:rsidTr="00A56123">
        <w:trPr>
          <w:trHeight w:val="300"/>
          <w:jc w:val="center"/>
        </w:trPr>
        <w:tc>
          <w:tcPr>
            <w:tcW w:w="1203" w:type="dxa"/>
            <w:noWrap/>
            <w:vAlign w:val="bottom"/>
            <w:hideMark/>
          </w:tcPr>
          <w:p w14:paraId="782F4507"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w:t>
            </w:r>
          </w:p>
        </w:tc>
        <w:tc>
          <w:tcPr>
            <w:tcW w:w="1696" w:type="dxa"/>
            <w:noWrap/>
            <w:hideMark/>
          </w:tcPr>
          <w:p w14:paraId="4878222A"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noWrap/>
            <w:hideMark/>
          </w:tcPr>
          <w:p w14:paraId="43C3929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40DB122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2.79±0.03</w:t>
            </w:r>
          </w:p>
        </w:tc>
        <w:tc>
          <w:tcPr>
            <w:tcW w:w="1267" w:type="dxa"/>
          </w:tcPr>
          <w:p w14:paraId="2F535814"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2.76</w:t>
            </w:r>
          </w:p>
        </w:tc>
      </w:tr>
      <w:tr w:rsidR="00B83D2D" w:rsidRPr="00A56123" w14:paraId="0B5F5162" w14:textId="77777777" w:rsidTr="00A56123">
        <w:trPr>
          <w:trHeight w:val="300"/>
          <w:jc w:val="center"/>
        </w:trPr>
        <w:tc>
          <w:tcPr>
            <w:tcW w:w="1203" w:type="dxa"/>
            <w:noWrap/>
            <w:vAlign w:val="bottom"/>
            <w:hideMark/>
          </w:tcPr>
          <w:p w14:paraId="1E0CDD0D"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4</w:t>
            </w:r>
          </w:p>
        </w:tc>
        <w:tc>
          <w:tcPr>
            <w:tcW w:w="1696" w:type="dxa"/>
            <w:noWrap/>
            <w:hideMark/>
          </w:tcPr>
          <w:p w14:paraId="6E88EED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163EE9D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069DF1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3.33±0.08</w:t>
            </w:r>
          </w:p>
        </w:tc>
        <w:tc>
          <w:tcPr>
            <w:tcW w:w="1267" w:type="dxa"/>
          </w:tcPr>
          <w:p w14:paraId="74480E73"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3.25</w:t>
            </w:r>
          </w:p>
        </w:tc>
      </w:tr>
      <w:tr w:rsidR="00B83D2D" w:rsidRPr="00A56123" w14:paraId="45E53B6E" w14:textId="77777777" w:rsidTr="00A56123">
        <w:trPr>
          <w:trHeight w:val="300"/>
          <w:jc w:val="center"/>
        </w:trPr>
        <w:tc>
          <w:tcPr>
            <w:tcW w:w="1203" w:type="dxa"/>
            <w:noWrap/>
            <w:vAlign w:val="bottom"/>
            <w:hideMark/>
          </w:tcPr>
          <w:p w14:paraId="62C1DCF7"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5</w:t>
            </w:r>
          </w:p>
        </w:tc>
        <w:tc>
          <w:tcPr>
            <w:tcW w:w="1696" w:type="dxa"/>
            <w:noWrap/>
            <w:hideMark/>
          </w:tcPr>
          <w:p w14:paraId="4246CAB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noWrap/>
            <w:hideMark/>
          </w:tcPr>
          <w:p w14:paraId="30DAD5C6"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5647CEDE"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2.88±0.02</w:t>
            </w:r>
          </w:p>
        </w:tc>
        <w:tc>
          <w:tcPr>
            <w:tcW w:w="1267" w:type="dxa"/>
          </w:tcPr>
          <w:p w14:paraId="1BD7EE7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2.87</w:t>
            </w:r>
          </w:p>
        </w:tc>
      </w:tr>
      <w:tr w:rsidR="00B83D2D" w:rsidRPr="00A56123" w14:paraId="03FA2EB5" w14:textId="77777777" w:rsidTr="00A56123">
        <w:trPr>
          <w:trHeight w:val="300"/>
          <w:jc w:val="center"/>
        </w:trPr>
        <w:tc>
          <w:tcPr>
            <w:tcW w:w="1203" w:type="dxa"/>
            <w:noWrap/>
            <w:vAlign w:val="bottom"/>
            <w:hideMark/>
          </w:tcPr>
          <w:p w14:paraId="0625B4C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6</w:t>
            </w:r>
          </w:p>
        </w:tc>
        <w:tc>
          <w:tcPr>
            <w:tcW w:w="1696" w:type="dxa"/>
            <w:noWrap/>
            <w:hideMark/>
          </w:tcPr>
          <w:p w14:paraId="6F9499D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32DDE63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05D6304A"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3.00±0.04</w:t>
            </w:r>
          </w:p>
        </w:tc>
        <w:tc>
          <w:tcPr>
            <w:tcW w:w="1267" w:type="dxa"/>
          </w:tcPr>
          <w:p w14:paraId="05074BF8"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3.08</w:t>
            </w:r>
          </w:p>
        </w:tc>
      </w:tr>
      <w:tr w:rsidR="00B83D2D" w:rsidRPr="00A56123" w14:paraId="4FEE17E2" w14:textId="77777777" w:rsidTr="00A56123">
        <w:trPr>
          <w:trHeight w:val="300"/>
          <w:jc w:val="center"/>
        </w:trPr>
        <w:tc>
          <w:tcPr>
            <w:tcW w:w="1203" w:type="dxa"/>
            <w:noWrap/>
            <w:vAlign w:val="bottom"/>
            <w:hideMark/>
          </w:tcPr>
          <w:p w14:paraId="2FDE7F6A"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7</w:t>
            </w:r>
          </w:p>
        </w:tc>
        <w:tc>
          <w:tcPr>
            <w:tcW w:w="1696" w:type="dxa"/>
            <w:noWrap/>
            <w:hideMark/>
          </w:tcPr>
          <w:p w14:paraId="05CADF0D"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52DBAB85"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noWrap/>
          </w:tcPr>
          <w:p w14:paraId="504FF730"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2.92±0.06</w:t>
            </w:r>
          </w:p>
        </w:tc>
        <w:tc>
          <w:tcPr>
            <w:tcW w:w="1267" w:type="dxa"/>
          </w:tcPr>
          <w:p w14:paraId="26CADF87"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2.88</w:t>
            </w:r>
          </w:p>
        </w:tc>
      </w:tr>
      <w:tr w:rsidR="00B83D2D" w:rsidRPr="00A56123" w14:paraId="71314D84" w14:textId="77777777" w:rsidTr="00A56123">
        <w:trPr>
          <w:trHeight w:val="300"/>
          <w:jc w:val="center"/>
        </w:trPr>
        <w:tc>
          <w:tcPr>
            <w:tcW w:w="1203" w:type="dxa"/>
            <w:noWrap/>
            <w:vAlign w:val="bottom"/>
            <w:hideMark/>
          </w:tcPr>
          <w:p w14:paraId="7C170AC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8</w:t>
            </w:r>
          </w:p>
        </w:tc>
        <w:tc>
          <w:tcPr>
            <w:tcW w:w="1696" w:type="dxa"/>
            <w:noWrap/>
            <w:hideMark/>
          </w:tcPr>
          <w:p w14:paraId="1B05275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2FC2431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4A949C13"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3.76±0.07</w:t>
            </w:r>
          </w:p>
        </w:tc>
        <w:tc>
          <w:tcPr>
            <w:tcW w:w="1267" w:type="dxa"/>
          </w:tcPr>
          <w:p w14:paraId="4234731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3.87</w:t>
            </w:r>
          </w:p>
        </w:tc>
      </w:tr>
      <w:tr w:rsidR="00B83D2D" w:rsidRPr="00A56123" w14:paraId="05C12773" w14:textId="77777777" w:rsidTr="00A56123">
        <w:trPr>
          <w:trHeight w:val="300"/>
          <w:jc w:val="center"/>
        </w:trPr>
        <w:tc>
          <w:tcPr>
            <w:tcW w:w="1203" w:type="dxa"/>
            <w:noWrap/>
            <w:vAlign w:val="bottom"/>
            <w:hideMark/>
          </w:tcPr>
          <w:p w14:paraId="0B77B851"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9</w:t>
            </w:r>
          </w:p>
        </w:tc>
        <w:tc>
          <w:tcPr>
            <w:tcW w:w="1696" w:type="dxa"/>
            <w:noWrap/>
            <w:hideMark/>
          </w:tcPr>
          <w:p w14:paraId="0AE6BC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50DBCE0D"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1B7CB35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3.83±0.09</w:t>
            </w:r>
          </w:p>
        </w:tc>
        <w:tc>
          <w:tcPr>
            <w:tcW w:w="1267" w:type="dxa"/>
          </w:tcPr>
          <w:p w14:paraId="19F92305"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25EF93B4" w14:textId="77777777" w:rsidTr="00A56123">
        <w:trPr>
          <w:trHeight w:val="300"/>
          <w:jc w:val="center"/>
        </w:trPr>
        <w:tc>
          <w:tcPr>
            <w:tcW w:w="1203" w:type="dxa"/>
            <w:noWrap/>
            <w:vAlign w:val="bottom"/>
            <w:hideMark/>
          </w:tcPr>
          <w:p w14:paraId="5E1315D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96" w:type="dxa"/>
            <w:noWrap/>
            <w:hideMark/>
          </w:tcPr>
          <w:p w14:paraId="1D3968E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3E7ABF5C"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060C0AE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3.78±0.07</w:t>
            </w:r>
          </w:p>
        </w:tc>
        <w:tc>
          <w:tcPr>
            <w:tcW w:w="1267" w:type="dxa"/>
          </w:tcPr>
          <w:p w14:paraId="170B41F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14FA344F" w14:textId="77777777" w:rsidTr="00A56123">
        <w:trPr>
          <w:trHeight w:val="300"/>
          <w:jc w:val="center"/>
        </w:trPr>
        <w:tc>
          <w:tcPr>
            <w:tcW w:w="1203" w:type="dxa"/>
            <w:noWrap/>
            <w:vAlign w:val="bottom"/>
            <w:hideMark/>
          </w:tcPr>
          <w:p w14:paraId="73021F7A"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11</w:t>
            </w:r>
          </w:p>
        </w:tc>
        <w:tc>
          <w:tcPr>
            <w:tcW w:w="1696" w:type="dxa"/>
            <w:noWrap/>
            <w:hideMark/>
          </w:tcPr>
          <w:p w14:paraId="337E894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1865294F"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7BEE7E3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3.88±0.06</w:t>
            </w:r>
          </w:p>
        </w:tc>
        <w:tc>
          <w:tcPr>
            <w:tcW w:w="1267" w:type="dxa"/>
          </w:tcPr>
          <w:p w14:paraId="076DA907"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4276D53E" w14:textId="77777777" w:rsidTr="00A56123">
        <w:trPr>
          <w:trHeight w:val="300"/>
          <w:jc w:val="center"/>
        </w:trPr>
        <w:tc>
          <w:tcPr>
            <w:tcW w:w="1203" w:type="dxa"/>
            <w:noWrap/>
            <w:vAlign w:val="bottom"/>
            <w:hideMark/>
          </w:tcPr>
          <w:p w14:paraId="5DB5681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12</w:t>
            </w:r>
          </w:p>
        </w:tc>
        <w:tc>
          <w:tcPr>
            <w:tcW w:w="1696" w:type="dxa"/>
            <w:noWrap/>
            <w:hideMark/>
          </w:tcPr>
          <w:p w14:paraId="1367B07F"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0BEAC61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48BD2A0E"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3.98±0.07</w:t>
            </w:r>
          </w:p>
        </w:tc>
        <w:tc>
          <w:tcPr>
            <w:tcW w:w="1267" w:type="dxa"/>
          </w:tcPr>
          <w:p w14:paraId="1C03378D"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52302C07" w14:textId="77777777" w:rsidTr="00A56123">
        <w:trPr>
          <w:trHeight w:val="300"/>
          <w:jc w:val="center"/>
        </w:trPr>
        <w:tc>
          <w:tcPr>
            <w:tcW w:w="1203" w:type="dxa"/>
            <w:tcBorders>
              <w:bottom w:val="single" w:sz="4" w:space="0" w:color="auto"/>
            </w:tcBorders>
            <w:noWrap/>
            <w:vAlign w:val="bottom"/>
            <w:hideMark/>
          </w:tcPr>
          <w:p w14:paraId="63DF8E21"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13</w:t>
            </w:r>
          </w:p>
        </w:tc>
        <w:tc>
          <w:tcPr>
            <w:tcW w:w="1696" w:type="dxa"/>
            <w:tcBorders>
              <w:bottom w:val="single" w:sz="4" w:space="0" w:color="auto"/>
            </w:tcBorders>
            <w:noWrap/>
            <w:hideMark/>
          </w:tcPr>
          <w:p w14:paraId="125C635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tcBorders>
              <w:bottom w:val="single" w:sz="4" w:space="0" w:color="auto"/>
            </w:tcBorders>
            <w:noWrap/>
            <w:hideMark/>
          </w:tcPr>
          <w:p w14:paraId="7D5B511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tcBorders>
              <w:bottom w:val="single" w:sz="4" w:space="0" w:color="auto"/>
            </w:tcBorders>
            <w:noWrap/>
          </w:tcPr>
          <w:p w14:paraId="3343262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3.87±0.08</w:t>
            </w:r>
          </w:p>
        </w:tc>
        <w:tc>
          <w:tcPr>
            <w:tcW w:w="1267" w:type="dxa"/>
            <w:tcBorders>
              <w:bottom w:val="single" w:sz="4" w:space="0" w:color="auto"/>
            </w:tcBorders>
          </w:tcPr>
          <w:p w14:paraId="321B08D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bl>
    <w:p w14:paraId="1D15DA4B" w14:textId="77777777" w:rsidR="00B83D2D" w:rsidRPr="00A56123" w:rsidRDefault="00B83D2D" w:rsidP="002E262D">
      <w:pPr>
        <w:spacing w:after="0" w:line="240" w:lineRule="auto"/>
        <w:jc w:val="both"/>
        <w:rPr>
          <w:rFonts w:ascii="Arial" w:hAnsi="Arial" w:cs="Arial"/>
          <w:sz w:val="20"/>
          <w:szCs w:val="20"/>
        </w:rPr>
      </w:pPr>
    </w:p>
    <w:p w14:paraId="1BCCBD2A" w14:textId="19BA618F" w:rsidR="00B83D2D" w:rsidRPr="001B7E5A" w:rsidRDefault="00B83D2D" w:rsidP="002E262D">
      <w:pPr>
        <w:autoSpaceDE w:val="0"/>
        <w:autoSpaceDN w:val="0"/>
        <w:adjustRightInd w:val="0"/>
        <w:spacing w:after="0" w:line="240" w:lineRule="auto"/>
        <w:ind w:left="709" w:hanging="283"/>
        <w:jc w:val="both"/>
        <w:rPr>
          <w:rFonts w:ascii="Arial" w:hAnsi="Arial" w:cs="Arial"/>
          <w:b/>
          <w:sz w:val="22"/>
          <w:szCs w:val="22"/>
        </w:rPr>
      </w:pPr>
      <w:r w:rsidRPr="001B7E5A">
        <w:rPr>
          <w:rFonts w:ascii="Arial" w:hAnsi="Arial" w:cs="Arial"/>
          <w:b/>
          <w:bCs/>
          <w:sz w:val="22"/>
          <w:szCs w:val="22"/>
        </w:rPr>
        <w:t xml:space="preserve">Table 3 Estimated regression coefficients for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w:t>
      </w:r>
      <w:r w:rsidRPr="001B7E5A">
        <w:rPr>
          <w:rFonts w:ascii="Arial" w:hAnsi="Arial" w:cs="Arial"/>
          <w:b/>
          <w:bCs/>
          <w:sz w:val="22"/>
          <w:szCs w:val="22"/>
        </w:rPr>
        <w:t xml:space="preserve"> </w:t>
      </w:r>
      <w:r w:rsidRPr="001B7E5A">
        <w:rPr>
          <w:rFonts w:ascii="Arial" w:hAnsi="Arial" w:cs="Arial"/>
          <w:b/>
          <w:sz w:val="22"/>
          <w:szCs w:val="22"/>
        </w:rPr>
        <w:t xml:space="preserve"> </w:t>
      </w:r>
    </w:p>
    <w:tbl>
      <w:tblPr>
        <w:tblW w:w="0" w:type="auto"/>
        <w:jc w:val="center"/>
        <w:tblLook w:val="04A0" w:firstRow="1" w:lastRow="0" w:firstColumn="1" w:lastColumn="0" w:noHBand="0" w:noVBand="1"/>
      </w:tblPr>
      <w:tblGrid>
        <w:gridCol w:w="1338"/>
        <w:gridCol w:w="1848"/>
        <w:gridCol w:w="1129"/>
        <w:gridCol w:w="1170"/>
      </w:tblGrid>
      <w:tr w:rsidR="00B83D2D" w:rsidRPr="00A56123" w14:paraId="00C4104D" w14:textId="77777777" w:rsidTr="00A56123">
        <w:trPr>
          <w:jc w:val="center"/>
        </w:trPr>
        <w:tc>
          <w:tcPr>
            <w:tcW w:w="1338" w:type="dxa"/>
            <w:tcBorders>
              <w:top w:val="single" w:sz="4" w:space="0" w:color="auto"/>
              <w:bottom w:val="single" w:sz="4" w:space="0" w:color="auto"/>
            </w:tcBorders>
          </w:tcPr>
          <w:p w14:paraId="1881AFAE" w14:textId="77777777" w:rsidR="00B83D2D" w:rsidRPr="00A56123" w:rsidRDefault="00B83D2D" w:rsidP="002E262D">
            <w:pPr>
              <w:spacing w:after="0" w:line="240" w:lineRule="auto"/>
              <w:jc w:val="both"/>
              <w:rPr>
                <w:rFonts w:ascii="Arial" w:hAnsi="Arial" w:cs="Arial"/>
                <w:b/>
                <w:sz w:val="20"/>
                <w:szCs w:val="20"/>
              </w:rPr>
            </w:pPr>
            <w:r w:rsidRPr="00A56123">
              <w:rPr>
                <w:rFonts w:ascii="Arial" w:hAnsi="Arial" w:cs="Arial"/>
                <w:b/>
                <w:sz w:val="20"/>
                <w:szCs w:val="20"/>
              </w:rPr>
              <w:t>Variables</w:t>
            </w:r>
          </w:p>
        </w:tc>
        <w:tc>
          <w:tcPr>
            <w:tcW w:w="1848" w:type="dxa"/>
            <w:tcBorders>
              <w:top w:val="single" w:sz="4" w:space="0" w:color="auto"/>
              <w:bottom w:val="single" w:sz="4" w:space="0" w:color="auto"/>
            </w:tcBorders>
          </w:tcPr>
          <w:p w14:paraId="423D5B43" w14:textId="77777777" w:rsidR="00B83D2D" w:rsidRPr="00A56123" w:rsidRDefault="00B83D2D" w:rsidP="002E262D">
            <w:pPr>
              <w:autoSpaceDE w:val="0"/>
              <w:autoSpaceDN w:val="0"/>
              <w:adjustRightInd w:val="0"/>
              <w:spacing w:after="0" w:line="240" w:lineRule="auto"/>
              <w:jc w:val="both"/>
              <w:rPr>
                <w:rFonts w:ascii="Arial" w:hAnsi="Arial" w:cs="Arial"/>
                <w:b/>
                <w:bCs/>
                <w:sz w:val="20"/>
                <w:szCs w:val="20"/>
              </w:rPr>
            </w:pPr>
            <w:r w:rsidRPr="00A56123">
              <w:rPr>
                <w:rFonts w:ascii="Arial" w:hAnsi="Arial" w:cs="Arial"/>
                <w:b/>
                <w:bCs/>
                <w:sz w:val="20"/>
                <w:szCs w:val="20"/>
              </w:rPr>
              <w:t>Estimated Coefficients</w:t>
            </w:r>
          </w:p>
        </w:tc>
        <w:tc>
          <w:tcPr>
            <w:tcW w:w="1129" w:type="dxa"/>
            <w:tcBorders>
              <w:top w:val="single" w:sz="4" w:space="0" w:color="auto"/>
              <w:bottom w:val="single" w:sz="4" w:space="0" w:color="auto"/>
            </w:tcBorders>
          </w:tcPr>
          <w:p w14:paraId="46E2E3E5" w14:textId="77777777" w:rsidR="00B83D2D" w:rsidRPr="00A56123" w:rsidRDefault="00B83D2D" w:rsidP="002E262D">
            <w:pPr>
              <w:autoSpaceDE w:val="0"/>
              <w:autoSpaceDN w:val="0"/>
              <w:adjustRightInd w:val="0"/>
              <w:spacing w:after="0" w:line="240" w:lineRule="auto"/>
              <w:jc w:val="both"/>
              <w:rPr>
                <w:rFonts w:ascii="Arial" w:hAnsi="Arial" w:cs="Arial"/>
                <w:b/>
                <w:bCs/>
                <w:sz w:val="20"/>
                <w:szCs w:val="20"/>
              </w:rPr>
            </w:pPr>
            <w:r w:rsidRPr="00A56123">
              <w:rPr>
                <w:rFonts w:ascii="Arial" w:hAnsi="Arial" w:cs="Arial"/>
                <w:b/>
                <w:bCs/>
                <w:sz w:val="20"/>
                <w:szCs w:val="20"/>
              </w:rPr>
              <w:t>t-value</w:t>
            </w:r>
          </w:p>
        </w:tc>
        <w:tc>
          <w:tcPr>
            <w:tcW w:w="1170" w:type="dxa"/>
            <w:tcBorders>
              <w:top w:val="single" w:sz="4" w:space="0" w:color="auto"/>
              <w:bottom w:val="single" w:sz="4" w:space="0" w:color="auto"/>
            </w:tcBorders>
          </w:tcPr>
          <w:p w14:paraId="094D97C5" w14:textId="77777777" w:rsidR="00B83D2D" w:rsidRPr="00A56123" w:rsidRDefault="00B83D2D" w:rsidP="002E262D">
            <w:pPr>
              <w:spacing w:after="0" w:line="240" w:lineRule="auto"/>
              <w:jc w:val="both"/>
              <w:rPr>
                <w:rFonts w:ascii="Arial" w:hAnsi="Arial" w:cs="Arial"/>
                <w:sz w:val="20"/>
                <w:szCs w:val="20"/>
              </w:rPr>
            </w:pPr>
            <w:r w:rsidRPr="00A56123">
              <w:rPr>
                <w:rFonts w:ascii="Arial" w:hAnsi="Arial" w:cs="Arial"/>
                <w:b/>
                <w:bCs/>
                <w:i/>
                <w:iCs/>
                <w:sz w:val="20"/>
                <w:szCs w:val="20"/>
              </w:rPr>
              <w:t>p-</w:t>
            </w:r>
            <w:r w:rsidRPr="00A56123">
              <w:rPr>
                <w:rFonts w:ascii="Arial" w:hAnsi="Arial" w:cs="Arial"/>
                <w:b/>
                <w:bCs/>
                <w:sz w:val="20"/>
                <w:szCs w:val="20"/>
              </w:rPr>
              <w:t>value</w:t>
            </w:r>
          </w:p>
        </w:tc>
      </w:tr>
      <w:tr w:rsidR="00B83D2D" w:rsidRPr="00A56123" w14:paraId="1CBDA2EC" w14:textId="77777777" w:rsidTr="00A56123">
        <w:trPr>
          <w:jc w:val="center"/>
        </w:trPr>
        <w:tc>
          <w:tcPr>
            <w:tcW w:w="1338" w:type="dxa"/>
            <w:tcBorders>
              <w:top w:val="single" w:sz="4" w:space="0" w:color="auto"/>
            </w:tcBorders>
          </w:tcPr>
          <w:p w14:paraId="7CB20221"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Model</w:t>
            </w:r>
          </w:p>
        </w:tc>
        <w:tc>
          <w:tcPr>
            <w:tcW w:w="1848" w:type="dxa"/>
            <w:tcBorders>
              <w:top w:val="single" w:sz="4" w:space="0" w:color="auto"/>
            </w:tcBorders>
          </w:tcPr>
          <w:p w14:paraId="5408B9F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3.8521</w:t>
            </w:r>
          </w:p>
        </w:tc>
        <w:tc>
          <w:tcPr>
            <w:tcW w:w="1129" w:type="dxa"/>
            <w:tcBorders>
              <w:top w:val="single" w:sz="4" w:space="0" w:color="auto"/>
            </w:tcBorders>
          </w:tcPr>
          <w:p w14:paraId="6DD3994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105.594</w:t>
            </w:r>
          </w:p>
        </w:tc>
        <w:tc>
          <w:tcPr>
            <w:tcW w:w="1170" w:type="dxa"/>
            <w:tcBorders>
              <w:top w:val="single" w:sz="4" w:space="0" w:color="auto"/>
            </w:tcBorders>
          </w:tcPr>
          <w:p w14:paraId="69AC942E"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A14451F" w14:textId="77777777" w:rsidTr="00A56123">
        <w:trPr>
          <w:jc w:val="center"/>
        </w:trPr>
        <w:tc>
          <w:tcPr>
            <w:tcW w:w="1338" w:type="dxa"/>
          </w:tcPr>
          <w:p w14:paraId="321FF507"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A</w:t>
            </w:r>
          </w:p>
        </w:tc>
        <w:tc>
          <w:tcPr>
            <w:tcW w:w="1848" w:type="dxa"/>
          </w:tcPr>
          <w:p w14:paraId="0F07D75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0.1050</w:t>
            </w:r>
          </w:p>
        </w:tc>
        <w:tc>
          <w:tcPr>
            <w:tcW w:w="1129" w:type="dxa"/>
          </w:tcPr>
          <w:p w14:paraId="3ADD47F3"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2.927</w:t>
            </w:r>
          </w:p>
        </w:tc>
        <w:tc>
          <w:tcPr>
            <w:tcW w:w="1170" w:type="dxa"/>
          </w:tcPr>
          <w:p w14:paraId="561E0E3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0.022*</w:t>
            </w:r>
          </w:p>
        </w:tc>
      </w:tr>
      <w:tr w:rsidR="00B83D2D" w:rsidRPr="00A56123" w14:paraId="7EA7E078" w14:textId="77777777" w:rsidTr="00A56123">
        <w:trPr>
          <w:jc w:val="center"/>
        </w:trPr>
        <w:tc>
          <w:tcPr>
            <w:tcW w:w="1338" w:type="dxa"/>
          </w:tcPr>
          <w:p w14:paraId="56AC9ABD"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 xml:space="preserve">B   </w:t>
            </w:r>
          </w:p>
        </w:tc>
        <w:tc>
          <w:tcPr>
            <w:tcW w:w="1848" w:type="dxa"/>
          </w:tcPr>
          <w:p w14:paraId="36B934C1"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0.4950</w:t>
            </w:r>
          </w:p>
        </w:tc>
        <w:tc>
          <w:tcPr>
            <w:tcW w:w="1129" w:type="dxa"/>
          </w:tcPr>
          <w:p w14:paraId="7A299FC2"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13.801</w:t>
            </w:r>
          </w:p>
        </w:tc>
        <w:tc>
          <w:tcPr>
            <w:tcW w:w="1170" w:type="dxa"/>
          </w:tcPr>
          <w:p w14:paraId="29E2D8E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7FDEB318" w14:textId="77777777" w:rsidTr="00A56123">
        <w:trPr>
          <w:jc w:val="center"/>
        </w:trPr>
        <w:tc>
          <w:tcPr>
            <w:tcW w:w="1338" w:type="dxa"/>
          </w:tcPr>
          <w:p w14:paraId="095B5189"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A</w:t>
            </w:r>
            <w:r w:rsidRPr="00A56123">
              <w:rPr>
                <w:rFonts w:ascii="Arial" w:hAnsi="Arial" w:cs="Arial"/>
                <w:sz w:val="20"/>
                <w:szCs w:val="20"/>
                <w:vertAlign w:val="superscript"/>
              </w:rPr>
              <w:t>2</w:t>
            </w:r>
            <w:r w:rsidRPr="00A56123">
              <w:rPr>
                <w:rFonts w:ascii="Arial" w:hAnsi="Arial" w:cs="Arial"/>
                <w:sz w:val="20"/>
                <w:szCs w:val="20"/>
              </w:rPr>
              <w:t xml:space="preserve">       </w:t>
            </w:r>
          </w:p>
        </w:tc>
        <w:tc>
          <w:tcPr>
            <w:tcW w:w="1848" w:type="dxa"/>
          </w:tcPr>
          <w:p w14:paraId="0F53A4A7"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-0.8722</w:t>
            </w:r>
          </w:p>
        </w:tc>
        <w:tc>
          <w:tcPr>
            <w:tcW w:w="1129" w:type="dxa"/>
          </w:tcPr>
          <w:p w14:paraId="16E050C5"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-16.500</w:t>
            </w:r>
          </w:p>
        </w:tc>
        <w:tc>
          <w:tcPr>
            <w:tcW w:w="1170" w:type="dxa"/>
          </w:tcPr>
          <w:p w14:paraId="36874E96"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3864F5F4" w14:textId="77777777" w:rsidTr="00A56123">
        <w:trPr>
          <w:jc w:val="center"/>
        </w:trPr>
        <w:tc>
          <w:tcPr>
            <w:tcW w:w="1338" w:type="dxa"/>
          </w:tcPr>
          <w:p w14:paraId="1D89A16C"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B</w:t>
            </w:r>
            <w:r w:rsidRPr="00A56123">
              <w:rPr>
                <w:rFonts w:ascii="Arial" w:hAnsi="Arial" w:cs="Arial"/>
                <w:sz w:val="20"/>
                <w:szCs w:val="20"/>
                <w:vertAlign w:val="superscript"/>
              </w:rPr>
              <w:t>2</w:t>
            </w:r>
            <w:r w:rsidRPr="00A56123">
              <w:rPr>
                <w:rFonts w:ascii="Arial" w:hAnsi="Arial" w:cs="Arial"/>
                <w:sz w:val="20"/>
                <w:szCs w:val="20"/>
              </w:rPr>
              <w:t xml:space="preserve">       </w:t>
            </w:r>
          </w:p>
        </w:tc>
        <w:tc>
          <w:tcPr>
            <w:tcW w:w="1848" w:type="dxa"/>
          </w:tcPr>
          <w:p w14:paraId="44026FE5"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-0.4722</w:t>
            </w:r>
          </w:p>
        </w:tc>
        <w:tc>
          <w:tcPr>
            <w:tcW w:w="1129" w:type="dxa"/>
          </w:tcPr>
          <w:p w14:paraId="2C8B7EDB"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-8.933</w:t>
            </w:r>
          </w:p>
        </w:tc>
        <w:tc>
          <w:tcPr>
            <w:tcW w:w="1170" w:type="dxa"/>
          </w:tcPr>
          <w:p w14:paraId="7E8E692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12F54A17" w14:textId="77777777" w:rsidTr="00A56123">
        <w:trPr>
          <w:jc w:val="center"/>
        </w:trPr>
        <w:tc>
          <w:tcPr>
            <w:tcW w:w="1338" w:type="dxa"/>
            <w:tcBorders>
              <w:bottom w:val="single" w:sz="4" w:space="0" w:color="auto"/>
            </w:tcBorders>
          </w:tcPr>
          <w:p w14:paraId="143C63FD"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 xml:space="preserve">A× B        </w:t>
            </w:r>
          </w:p>
        </w:tc>
        <w:tc>
          <w:tcPr>
            <w:tcW w:w="1848" w:type="dxa"/>
            <w:tcBorders>
              <w:bottom w:val="single" w:sz="4" w:space="0" w:color="auto"/>
            </w:tcBorders>
          </w:tcPr>
          <w:p w14:paraId="6BD4AC49"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0.1425</w:t>
            </w:r>
          </w:p>
        </w:tc>
        <w:tc>
          <w:tcPr>
            <w:tcW w:w="1129" w:type="dxa"/>
            <w:tcBorders>
              <w:bottom w:val="single" w:sz="4" w:space="0" w:color="auto"/>
            </w:tcBorders>
          </w:tcPr>
          <w:p w14:paraId="58E26261"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3.244</w:t>
            </w:r>
          </w:p>
        </w:tc>
        <w:tc>
          <w:tcPr>
            <w:tcW w:w="1170" w:type="dxa"/>
            <w:tcBorders>
              <w:bottom w:val="single" w:sz="4" w:space="0" w:color="auto"/>
            </w:tcBorders>
          </w:tcPr>
          <w:p w14:paraId="7FE518CC"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0.014*</w:t>
            </w:r>
          </w:p>
        </w:tc>
      </w:tr>
    </w:tbl>
    <w:p w14:paraId="6728111F" w14:textId="50EB176A"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 xml:space="preserve">R-Sq = 99.1%     R-Sq(adj) = 98.4%      * Significant at </w:t>
      </w:r>
      <w:r w:rsidRPr="00A56123">
        <w:rPr>
          <w:rFonts w:ascii="Arial" w:hAnsi="Arial" w:cs="Arial"/>
          <w:i/>
          <w:iCs/>
          <w:sz w:val="20"/>
          <w:szCs w:val="20"/>
        </w:rPr>
        <w:t xml:space="preserve">p </w:t>
      </w:r>
      <w:r w:rsidR="0092650B" w:rsidRPr="00A56123">
        <w:rPr>
          <w:rFonts w:ascii="Arial" w:hAnsi="Arial" w:cs="Arial"/>
          <w:sz w:val="20"/>
          <w:szCs w:val="20"/>
        </w:rPr>
        <w:t>=</w:t>
      </w:r>
      <w:r w:rsidRPr="00A56123">
        <w:rPr>
          <w:rFonts w:ascii="Arial" w:hAnsi="Arial" w:cs="Arial"/>
          <w:sz w:val="20"/>
          <w:szCs w:val="20"/>
        </w:rPr>
        <w:t xml:space="preserve"> 0.05</w:t>
      </w:r>
    </w:p>
    <w:p w14:paraId="6A64293D" w14:textId="77777777" w:rsidR="00B83D2D" w:rsidRPr="001B7E5A" w:rsidRDefault="00B83D2D" w:rsidP="002E262D">
      <w:pPr>
        <w:spacing w:after="0" w:line="240" w:lineRule="auto"/>
        <w:jc w:val="both"/>
        <w:rPr>
          <w:rFonts w:ascii="Arial" w:hAnsi="Arial" w:cs="Arial"/>
          <w:sz w:val="22"/>
          <w:szCs w:val="22"/>
        </w:rPr>
      </w:pPr>
    </w:p>
    <w:p w14:paraId="21AF6F44" w14:textId="2FE896CE" w:rsidR="00B83D2D" w:rsidRPr="001B7E5A" w:rsidRDefault="00B83D2D" w:rsidP="002E262D">
      <w:pPr>
        <w:autoSpaceDE w:val="0"/>
        <w:autoSpaceDN w:val="0"/>
        <w:adjustRightInd w:val="0"/>
        <w:spacing w:after="0" w:line="240" w:lineRule="auto"/>
        <w:ind w:left="709" w:hanging="283"/>
        <w:jc w:val="both"/>
        <w:rPr>
          <w:rFonts w:ascii="Arial" w:hAnsi="Arial" w:cs="Arial"/>
          <w:i/>
          <w:sz w:val="22"/>
          <w:szCs w:val="22"/>
        </w:rPr>
      </w:pPr>
      <w:r w:rsidRPr="001B7E5A">
        <w:rPr>
          <w:rFonts w:ascii="Arial" w:hAnsi="Arial" w:cs="Arial"/>
          <w:b/>
          <w:bCs/>
          <w:sz w:val="22"/>
          <w:szCs w:val="22"/>
        </w:rPr>
        <w:t xml:space="preserve">Table 4 Analysis of variance for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w:t>
      </w:r>
      <w:r w:rsidRPr="001B7E5A">
        <w:rPr>
          <w:rFonts w:ascii="Arial" w:hAnsi="Arial" w:cs="Arial"/>
          <w:b/>
          <w:bCs/>
          <w:sz w:val="22"/>
          <w:szCs w:val="22"/>
        </w:rPr>
        <w:t xml:space="preserve"> </w:t>
      </w:r>
    </w:p>
    <w:tbl>
      <w:tblPr>
        <w:tblW w:w="0" w:type="auto"/>
        <w:jc w:val="center"/>
        <w:tblLook w:val="04A0" w:firstRow="1" w:lastRow="0" w:firstColumn="1" w:lastColumn="0" w:noHBand="0" w:noVBand="1"/>
      </w:tblPr>
      <w:tblGrid>
        <w:gridCol w:w="1705"/>
        <w:gridCol w:w="1203"/>
        <w:gridCol w:w="1423"/>
        <w:gridCol w:w="1275"/>
        <w:gridCol w:w="993"/>
        <w:gridCol w:w="1136"/>
      </w:tblGrid>
      <w:tr w:rsidR="00B83D2D" w:rsidRPr="00A56123" w14:paraId="52DAFA5D" w14:textId="77777777" w:rsidTr="00A56123">
        <w:trPr>
          <w:trHeight w:val="737"/>
          <w:jc w:val="center"/>
        </w:trPr>
        <w:tc>
          <w:tcPr>
            <w:tcW w:w="1705" w:type="dxa"/>
            <w:tcBorders>
              <w:top w:val="single" w:sz="4" w:space="0" w:color="auto"/>
              <w:bottom w:val="single" w:sz="4" w:space="0" w:color="auto"/>
            </w:tcBorders>
            <w:vAlign w:val="center"/>
          </w:tcPr>
          <w:p w14:paraId="624C48B6" w14:textId="77777777" w:rsidR="00B83D2D" w:rsidRPr="00A56123" w:rsidRDefault="00B83D2D" w:rsidP="002E262D">
            <w:pPr>
              <w:autoSpaceDE w:val="0"/>
              <w:autoSpaceDN w:val="0"/>
              <w:adjustRightInd w:val="0"/>
              <w:spacing w:after="0" w:line="240" w:lineRule="auto"/>
              <w:jc w:val="both"/>
              <w:rPr>
                <w:rFonts w:ascii="Arial" w:hAnsi="Arial" w:cs="Arial"/>
                <w:b/>
                <w:sz w:val="20"/>
                <w:szCs w:val="20"/>
              </w:rPr>
            </w:pPr>
            <w:r w:rsidRPr="00A56123">
              <w:rPr>
                <w:rFonts w:ascii="Arial" w:hAnsi="Arial" w:cs="Arial"/>
                <w:b/>
                <w:sz w:val="20"/>
                <w:szCs w:val="20"/>
              </w:rPr>
              <w:lastRenderedPageBreak/>
              <w:t>Source</w:t>
            </w:r>
          </w:p>
        </w:tc>
        <w:tc>
          <w:tcPr>
            <w:tcW w:w="1203" w:type="dxa"/>
            <w:tcBorders>
              <w:top w:val="single" w:sz="4" w:space="0" w:color="auto"/>
              <w:bottom w:val="single" w:sz="4" w:space="0" w:color="auto"/>
            </w:tcBorders>
            <w:vAlign w:val="center"/>
          </w:tcPr>
          <w:p w14:paraId="238E531F"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Degree of</w:t>
            </w:r>
          </w:p>
          <w:p w14:paraId="73718EF1" w14:textId="51FBD30F"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freedom</w:t>
            </w:r>
          </w:p>
        </w:tc>
        <w:tc>
          <w:tcPr>
            <w:tcW w:w="1423" w:type="dxa"/>
            <w:tcBorders>
              <w:top w:val="single" w:sz="4" w:space="0" w:color="auto"/>
              <w:bottom w:val="single" w:sz="4" w:space="0" w:color="auto"/>
            </w:tcBorders>
            <w:vAlign w:val="center"/>
          </w:tcPr>
          <w:p w14:paraId="6685B998"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Sum of</w:t>
            </w:r>
          </w:p>
          <w:p w14:paraId="05FA4FC1" w14:textId="44DCCA2E"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Squares</w:t>
            </w:r>
          </w:p>
        </w:tc>
        <w:tc>
          <w:tcPr>
            <w:tcW w:w="1275" w:type="dxa"/>
            <w:tcBorders>
              <w:top w:val="single" w:sz="4" w:space="0" w:color="auto"/>
              <w:bottom w:val="single" w:sz="4" w:space="0" w:color="auto"/>
            </w:tcBorders>
            <w:vAlign w:val="center"/>
          </w:tcPr>
          <w:p w14:paraId="6ED26013"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Mean</w:t>
            </w:r>
          </w:p>
          <w:p w14:paraId="3B1C54E7" w14:textId="6545177B"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Square</w:t>
            </w:r>
          </w:p>
        </w:tc>
        <w:tc>
          <w:tcPr>
            <w:tcW w:w="993" w:type="dxa"/>
            <w:tcBorders>
              <w:top w:val="single" w:sz="4" w:space="0" w:color="auto"/>
              <w:bottom w:val="single" w:sz="4" w:space="0" w:color="auto"/>
            </w:tcBorders>
            <w:vAlign w:val="center"/>
          </w:tcPr>
          <w:p w14:paraId="48F1F4CA" w14:textId="77777777"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F-value</w:t>
            </w:r>
          </w:p>
        </w:tc>
        <w:tc>
          <w:tcPr>
            <w:tcW w:w="1136" w:type="dxa"/>
            <w:tcBorders>
              <w:top w:val="single" w:sz="4" w:space="0" w:color="auto"/>
              <w:bottom w:val="single" w:sz="4" w:space="0" w:color="auto"/>
            </w:tcBorders>
            <w:vAlign w:val="center"/>
          </w:tcPr>
          <w:p w14:paraId="0548BF2E" w14:textId="77777777" w:rsidR="00B83D2D" w:rsidRPr="00A56123" w:rsidRDefault="00B83D2D" w:rsidP="002E262D">
            <w:pPr>
              <w:autoSpaceDE w:val="0"/>
              <w:autoSpaceDN w:val="0"/>
              <w:adjustRightInd w:val="0"/>
              <w:spacing w:after="0" w:line="240" w:lineRule="auto"/>
              <w:jc w:val="right"/>
              <w:rPr>
                <w:rFonts w:ascii="Arial" w:hAnsi="Arial" w:cs="Arial"/>
                <w:b/>
                <w:sz w:val="20"/>
                <w:szCs w:val="20"/>
              </w:rPr>
            </w:pPr>
            <w:r w:rsidRPr="00A56123">
              <w:rPr>
                <w:rFonts w:ascii="Arial" w:hAnsi="Arial" w:cs="Arial"/>
                <w:b/>
                <w:bCs/>
                <w:i/>
                <w:iCs/>
                <w:sz w:val="20"/>
                <w:szCs w:val="20"/>
              </w:rPr>
              <w:t>p</w:t>
            </w:r>
            <w:r w:rsidRPr="00A56123">
              <w:rPr>
                <w:rFonts w:ascii="Arial" w:hAnsi="Arial" w:cs="Arial"/>
                <w:b/>
                <w:bCs/>
                <w:sz w:val="20"/>
                <w:szCs w:val="20"/>
              </w:rPr>
              <w:t>-value</w:t>
            </w:r>
          </w:p>
        </w:tc>
      </w:tr>
      <w:tr w:rsidR="00B83D2D" w:rsidRPr="00A56123" w14:paraId="47BE2A30" w14:textId="77777777" w:rsidTr="00A56123">
        <w:trPr>
          <w:jc w:val="center"/>
        </w:trPr>
        <w:tc>
          <w:tcPr>
            <w:tcW w:w="1705" w:type="dxa"/>
            <w:tcBorders>
              <w:top w:val="single" w:sz="4" w:space="0" w:color="auto"/>
            </w:tcBorders>
          </w:tcPr>
          <w:p w14:paraId="35C39388" w14:textId="77777777" w:rsidR="00B83D2D" w:rsidRPr="00A56123" w:rsidRDefault="00B83D2D" w:rsidP="002E262D">
            <w:pPr>
              <w:autoSpaceDE w:val="0"/>
              <w:autoSpaceDN w:val="0"/>
              <w:adjustRightInd w:val="0"/>
              <w:spacing w:after="0" w:line="240" w:lineRule="auto"/>
              <w:rPr>
                <w:rFonts w:ascii="Arial" w:hAnsi="Arial" w:cs="Arial"/>
                <w:sz w:val="20"/>
                <w:szCs w:val="20"/>
              </w:rPr>
            </w:pPr>
            <w:r w:rsidRPr="00A56123">
              <w:rPr>
                <w:rFonts w:ascii="Arial" w:hAnsi="Arial" w:cs="Arial"/>
                <w:sz w:val="20"/>
                <w:szCs w:val="20"/>
              </w:rPr>
              <w:t>Regression</w:t>
            </w:r>
          </w:p>
        </w:tc>
        <w:tc>
          <w:tcPr>
            <w:tcW w:w="1203" w:type="dxa"/>
            <w:tcBorders>
              <w:top w:val="single" w:sz="4" w:space="0" w:color="auto"/>
            </w:tcBorders>
          </w:tcPr>
          <w:p w14:paraId="2AFFA8C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w:t>
            </w:r>
          </w:p>
        </w:tc>
        <w:tc>
          <w:tcPr>
            <w:tcW w:w="1423" w:type="dxa"/>
            <w:tcBorders>
              <w:top w:val="single" w:sz="4" w:space="0" w:color="auto"/>
            </w:tcBorders>
          </w:tcPr>
          <w:p w14:paraId="2CFA314F"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5.809</w:t>
            </w:r>
          </w:p>
        </w:tc>
        <w:tc>
          <w:tcPr>
            <w:tcW w:w="1275" w:type="dxa"/>
            <w:tcBorders>
              <w:top w:val="single" w:sz="4" w:space="0" w:color="auto"/>
            </w:tcBorders>
          </w:tcPr>
          <w:p w14:paraId="15426FD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1.161</w:t>
            </w:r>
          </w:p>
        </w:tc>
        <w:tc>
          <w:tcPr>
            <w:tcW w:w="993" w:type="dxa"/>
            <w:tcBorders>
              <w:top w:val="single" w:sz="4" w:space="0" w:color="auto"/>
            </w:tcBorders>
          </w:tcPr>
          <w:p w14:paraId="30C8E079"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150.54</w:t>
            </w:r>
          </w:p>
        </w:tc>
        <w:tc>
          <w:tcPr>
            <w:tcW w:w="1136" w:type="dxa"/>
            <w:tcBorders>
              <w:top w:val="single" w:sz="4" w:space="0" w:color="auto"/>
            </w:tcBorders>
          </w:tcPr>
          <w:p w14:paraId="25584E3C"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12D309C" w14:textId="77777777" w:rsidTr="00A56123">
        <w:trPr>
          <w:jc w:val="center"/>
        </w:trPr>
        <w:tc>
          <w:tcPr>
            <w:tcW w:w="1705" w:type="dxa"/>
          </w:tcPr>
          <w:p w14:paraId="65655DD5"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Linear</w:t>
            </w:r>
          </w:p>
        </w:tc>
        <w:tc>
          <w:tcPr>
            <w:tcW w:w="1203" w:type="dxa"/>
          </w:tcPr>
          <w:p w14:paraId="7CCDB1E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w:t>
            </w:r>
          </w:p>
        </w:tc>
        <w:tc>
          <w:tcPr>
            <w:tcW w:w="1423" w:type="dxa"/>
          </w:tcPr>
          <w:p w14:paraId="7A2E0E7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1.536</w:t>
            </w:r>
          </w:p>
        </w:tc>
        <w:tc>
          <w:tcPr>
            <w:tcW w:w="1275" w:type="dxa"/>
          </w:tcPr>
          <w:p w14:paraId="53ED72F2"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0.768</w:t>
            </w:r>
          </w:p>
        </w:tc>
        <w:tc>
          <w:tcPr>
            <w:tcW w:w="993" w:type="dxa"/>
          </w:tcPr>
          <w:p w14:paraId="575FA30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99.52</w:t>
            </w:r>
          </w:p>
        </w:tc>
        <w:tc>
          <w:tcPr>
            <w:tcW w:w="1136" w:type="dxa"/>
          </w:tcPr>
          <w:p w14:paraId="0AFE19B7"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2BEFF2F7" w14:textId="77777777" w:rsidTr="00A56123">
        <w:trPr>
          <w:jc w:val="center"/>
        </w:trPr>
        <w:tc>
          <w:tcPr>
            <w:tcW w:w="1705" w:type="dxa"/>
          </w:tcPr>
          <w:p w14:paraId="4DAEB42D"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Square</w:t>
            </w:r>
          </w:p>
        </w:tc>
        <w:tc>
          <w:tcPr>
            <w:tcW w:w="1203" w:type="dxa"/>
          </w:tcPr>
          <w:p w14:paraId="4243049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w:t>
            </w:r>
          </w:p>
        </w:tc>
        <w:tc>
          <w:tcPr>
            <w:tcW w:w="1423" w:type="dxa"/>
          </w:tcPr>
          <w:p w14:paraId="201380A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4.192</w:t>
            </w:r>
          </w:p>
        </w:tc>
        <w:tc>
          <w:tcPr>
            <w:tcW w:w="1275" w:type="dxa"/>
          </w:tcPr>
          <w:p w14:paraId="273A525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2.096</w:t>
            </w:r>
          </w:p>
        </w:tc>
        <w:tc>
          <w:tcPr>
            <w:tcW w:w="993" w:type="dxa"/>
          </w:tcPr>
          <w:p w14:paraId="0374BF40"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271.58</w:t>
            </w:r>
          </w:p>
        </w:tc>
        <w:tc>
          <w:tcPr>
            <w:tcW w:w="1136" w:type="dxa"/>
          </w:tcPr>
          <w:p w14:paraId="30D9BB37"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E818A02" w14:textId="77777777" w:rsidTr="00A56123">
        <w:trPr>
          <w:jc w:val="center"/>
        </w:trPr>
        <w:tc>
          <w:tcPr>
            <w:tcW w:w="1705" w:type="dxa"/>
          </w:tcPr>
          <w:p w14:paraId="2F48BA3C"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Interaction</w:t>
            </w:r>
          </w:p>
        </w:tc>
        <w:tc>
          <w:tcPr>
            <w:tcW w:w="1203" w:type="dxa"/>
          </w:tcPr>
          <w:p w14:paraId="141D54B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w:t>
            </w:r>
          </w:p>
        </w:tc>
        <w:tc>
          <w:tcPr>
            <w:tcW w:w="1423" w:type="dxa"/>
          </w:tcPr>
          <w:p w14:paraId="444867F8"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0.081</w:t>
            </w:r>
          </w:p>
        </w:tc>
        <w:tc>
          <w:tcPr>
            <w:tcW w:w="1275" w:type="dxa"/>
          </w:tcPr>
          <w:p w14:paraId="28C96D5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0.081</w:t>
            </w:r>
          </w:p>
        </w:tc>
        <w:tc>
          <w:tcPr>
            <w:tcW w:w="993" w:type="dxa"/>
          </w:tcPr>
          <w:p w14:paraId="52753B36"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10.52</w:t>
            </w:r>
          </w:p>
        </w:tc>
        <w:tc>
          <w:tcPr>
            <w:tcW w:w="1136" w:type="dxa"/>
          </w:tcPr>
          <w:p w14:paraId="766D69D2"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0.014*</w:t>
            </w:r>
          </w:p>
        </w:tc>
      </w:tr>
      <w:tr w:rsidR="00B83D2D" w:rsidRPr="00A56123" w14:paraId="4657FAC3" w14:textId="77777777" w:rsidTr="00A56123">
        <w:trPr>
          <w:jc w:val="center"/>
        </w:trPr>
        <w:tc>
          <w:tcPr>
            <w:tcW w:w="1705" w:type="dxa"/>
          </w:tcPr>
          <w:p w14:paraId="2A985E26" w14:textId="77777777" w:rsidR="00B83D2D" w:rsidRPr="00A56123" w:rsidRDefault="00B83D2D" w:rsidP="002E262D">
            <w:pPr>
              <w:autoSpaceDE w:val="0"/>
              <w:autoSpaceDN w:val="0"/>
              <w:adjustRightInd w:val="0"/>
              <w:spacing w:after="0" w:line="240" w:lineRule="auto"/>
              <w:jc w:val="both"/>
              <w:rPr>
                <w:rFonts w:ascii="Arial" w:hAnsi="Arial" w:cs="Arial"/>
                <w:sz w:val="20"/>
                <w:szCs w:val="20"/>
              </w:rPr>
            </w:pPr>
            <w:r w:rsidRPr="00A56123">
              <w:rPr>
                <w:rFonts w:ascii="Arial" w:hAnsi="Arial" w:cs="Arial"/>
                <w:sz w:val="20"/>
                <w:szCs w:val="20"/>
              </w:rPr>
              <w:t>Residual Error</w:t>
            </w:r>
          </w:p>
        </w:tc>
        <w:tc>
          <w:tcPr>
            <w:tcW w:w="1203" w:type="dxa"/>
          </w:tcPr>
          <w:p w14:paraId="32608F1A"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7</w:t>
            </w:r>
          </w:p>
        </w:tc>
        <w:tc>
          <w:tcPr>
            <w:tcW w:w="1423" w:type="dxa"/>
          </w:tcPr>
          <w:p w14:paraId="3D5EB43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0.05</w:t>
            </w:r>
          </w:p>
        </w:tc>
        <w:tc>
          <w:tcPr>
            <w:tcW w:w="1275" w:type="dxa"/>
          </w:tcPr>
          <w:p w14:paraId="753528D3"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0.0077</w:t>
            </w:r>
          </w:p>
        </w:tc>
        <w:tc>
          <w:tcPr>
            <w:tcW w:w="993" w:type="dxa"/>
          </w:tcPr>
          <w:p w14:paraId="136C2E5A"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Pr>
          <w:p w14:paraId="383AE460"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r w:rsidR="00B83D2D" w:rsidRPr="00A56123" w14:paraId="0DE12674" w14:textId="77777777" w:rsidTr="00A56123">
        <w:trPr>
          <w:jc w:val="center"/>
        </w:trPr>
        <w:tc>
          <w:tcPr>
            <w:tcW w:w="1705" w:type="dxa"/>
          </w:tcPr>
          <w:p w14:paraId="383BD40C" w14:textId="77777777" w:rsidR="00B83D2D" w:rsidRPr="00A56123" w:rsidRDefault="00B83D2D" w:rsidP="002E262D">
            <w:pPr>
              <w:autoSpaceDE w:val="0"/>
              <w:autoSpaceDN w:val="0"/>
              <w:adjustRightInd w:val="0"/>
              <w:spacing w:after="0" w:line="240" w:lineRule="auto"/>
              <w:ind w:firstLine="243"/>
              <w:jc w:val="both"/>
              <w:rPr>
                <w:rFonts w:ascii="Arial" w:hAnsi="Arial" w:cs="Arial"/>
                <w:sz w:val="20"/>
                <w:szCs w:val="20"/>
              </w:rPr>
            </w:pPr>
            <w:r w:rsidRPr="00A56123">
              <w:rPr>
                <w:rFonts w:ascii="Arial" w:hAnsi="Arial" w:cs="Arial"/>
                <w:sz w:val="20"/>
                <w:szCs w:val="20"/>
              </w:rPr>
              <w:t>Lack of fit</w:t>
            </w:r>
          </w:p>
        </w:tc>
        <w:tc>
          <w:tcPr>
            <w:tcW w:w="1203" w:type="dxa"/>
          </w:tcPr>
          <w:p w14:paraId="6A42959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3</w:t>
            </w:r>
          </w:p>
        </w:tc>
        <w:tc>
          <w:tcPr>
            <w:tcW w:w="1423" w:type="dxa"/>
          </w:tcPr>
          <w:p w14:paraId="1771BBC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0.032</w:t>
            </w:r>
          </w:p>
        </w:tc>
        <w:tc>
          <w:tcPr>
            <w:tcW w:w="1275" w:type="dxa"/>
          </w:tcPr>
          <w:p w14:paraId="013D15FD"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0.010</w:t>
            </w:r>
          </w:p>
        </w:tc>
        <w:tc>
          <w:tcPr>
            <w:tcW w:w="993" w:type="dxa"/>
          </w:tcPr>
          <w:p w14:paraId="1F813ED6"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1.96</w:t>
            </w:r>
          </w:p>
        </w:tc>
        <w:tc>
          <w:tcPr>
            <w:tcW w:w="1136" w:type="dxa"/>
          </w:tcPr>
          <w:p w14:paraId="3C546CDD"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0.262</w:t>
            </w:r>
          </w:p>
        </w:tc>
      </w:tr>
      <w:tr w:rsidR="00B83D2D" w:rsidRPr="00A56123" w14:paraId="275CEDA5" w14:textId="77777777" w:rsidTr="00A56123">
        <w:trPr>
          <w:jc w:val="center"/>
        </w:trPr>
        <w:tc>
          <w:tcPr>
            <w:tcW w:w="1705" w:type="dxa"/>
          </w:tcPr>
          <w:p w14:paraId="118CE8F0" w14:textId="77777777" w:rsidR="00B83D2D" w:rsidRPr="00A56123" w:rsidRDefault="00B83D2D" w:rsidP="002E262D">
            <w:pPr>
              <w:autoSpaceDE w:val="0"/>
              <w:autoSpaceDN w:val="0"/>
              <w:adjustRightInd w:val="0"/>
              <w:spacing w:after="0" w:line="240" w:lineRule="auto"/>
              <w:ind w:firstLine="243"/>
              <w:jc w:val="both"/>
              <w:rPr>
                <w:rFonts w:ascii="Arial" w:hAnsi="Arial" w:cs="Arial"/>
                <w:sz w:val="20"/>
                <w:szCs w:val="20"/>
              </w:rPr>
            </w:pPr>
            <w:r w:rsidRPr="00A56123">
              <w:rPr>
                <w:rFonts w:ascii="Arial" w:hAnsi="Arial" w:cs="Arial"/>
                <w:sz w:val="20"/>
                <w:szCs w:val="20"/>
              </w:rPr>
              <w:t>Pure Error</w:t>
            </w:r>
          </w:p>
        </w:tc>
        <w:tc>
          <w:tcPr>
            <w:tcW w:w="1203" w:type="dxa"/>
          </w:tcPr>
          <w:p w14:paraId="65D10CE3"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4</w:t>
            </w:r>
          </w:p>
        </w:tc>
        <w:tc>
          <w:tcPr>
            <w:tcW w:w="1423" w:type="dxa"/>
          </w:tcPr>
          <w:p w14:paraId="1FE8482B"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0.021</w:t>
            </w:r>
          </w:p>
        </w:tc>
        <w:tc>
          <w:tcPr>
            <w:tcW w:w="1275" w:type="dxa"/>
          </w:tcPr>
          <w:p w14:paraId="2D255C15"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0.005</w:t>
            </w:r>
          </w:p>
        </w:tc>
        <w:tc>
          <w:tcPr>
            <w:tcW w:w="993" w:type="dxa"/>
          </w:tcPr>
          <w:p w14:paraId="0D4A6FE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Pr>
          <w:p w14:paraId="7BB344A2"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r w:rsidR="00B83D2D" w:rsidRPr="00A56123" w14:paraId="0F142E52" w14:textId="77777777" w:rsidTr="00A56123">
        <w:trPr>
          <w:jc w:val="center"/>
        </w:trPr>
        <w:tc>
          <w:tcPr>
            <w:tcW w:w="1705" w:type="dxa"/>
            <w:tcBorders>
              <w:bottom w:val="single" w:sz="4" w:space="0" w:color="auto"/>
            </w:tcBorders>
          </w:tcPr>
          <w:p w14:paraId="331590E9" w14:textId="77777777" w:rsidR="00B83D2D" w:rsidRPr="00A56123" w:rsidRDefault="00B83D2D" w:rsidP="002E262D">
            <w:pPr>
              <w:autoSpaceDE w:val="0"/>
              <w:autoSpaceDN w:val="0"/>
              <w:adjustRightInd w:val="0"/>
              <w:spacing w:after="0" w:line="240" w:lineRule="auto"/>
              <w:rPr>
                <w:rFonts w:ascii="Arial" w:hAnsi="Arial" w:cs="Arial"/>
                <w:sz w:val="20"/>
                <w:szCs w:val="20"/>
              </w:rPr>
            </w:pPr>
            <w:r w:rsidRPr="00A56123">
              <w:rPr>
                <w:rFonts w:ascii="Arial" w:hAnsi="Arial" w:cs="Arial"/>
                <w:sz w:val="20"/>
                <w:szCs w:val="20"/>
              </w:rPr>
              <w:t>Total</w:t>
            </w:r>
          </w:p>
        </w:tc>
        <w:tc>
          <w:tcPr>
            <w:tcW w:w="1203" w:type="dxa"/>
            <w:tcBorders>
              <w:bottom w:val="single" w:sz="4" w:space="0" w:color="auto"/>
            </w:tcBorders>
          </w:tcPr>
          <w:p w14:paraId="5D64F670"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12</w:t>
            </w:r>
          </w:p>
        </w:tc>
        <w:tc>
          <w:tcPr>
            <w:tcW w:w="1423" w:type="dxa"/>
            <w:tcBorders>
              <w:bottom w:val="single" w:sz="4" w:space="0" w:color="auto"/>
            </w:tcBorders>
          </w:tcPr>
          <w:p w14:paraId="054EFE95"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5.863</w:t>
            </w:r>
          </w:p>
        </w:tc>
        <w:tc>
          <w:tcPr>
            <w:tcW w:w="1275" w:type="dxa"/>
            <w:tcBorders>
              <w:bottom w:val="single" w:sz="4" w:space="0" w:color="auto"/>
            </w:tcBorders>
          </w:tcPr>
          <w:p w14:paraId="4289501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993" w:type="dxa"/>
            <w:tcBorders>
              <w:bottom w:val="single" w:sz="4" w:space="0" w:color="auto"/>
            </w:tcBorders>
          </w:tcPr>
          <w:p w14:paraId="28D1E0B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Borders>
              <w:bottom w:val="single" w:sz="4" w:space="0" w:color="auto"/>
            </w:tcBorders>
          </w:tcPr>
          <w:p w14:paraId="16A690F8"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bl>
    <w:p w14:paraId="3AFF416A" w14:textId="02636528" w:rsidR="00B83D2D" w:rsidRPr="00A56123" w:rsidRDefault="00B83D2D" w:rsidP="002E262D">
      <w:pPr>
        <w:spacing w:after="0" w:line="240" w:lineRule="auto"/>
        <w:jc w:val="both"/>
        <w:rPr>
          <w:rFonts w:ascii="Arial" w:hAnsi="Arial" w:cs="Arial"/>
          <w:sz w:val="20"/>
          <w:szCs w:val="20"/>
        </w:rPr>
      </w:pPr>
      <w:r w:rsidRPr="00A56123">
        <w:rPr>
          <w:rFonts w:ascii="Arial" w:hAnsi="Arial" w:cs="Arial"/>
          <w:sz w:val="20"/>
          <w:szCs w:val="20"/>
        </w:rPr>
        <w:t xml:space="preserve">* Significant at </w:t>
      </w:r>
      <w:r w:rsidRPr="00A56123">
        <w:rPr>
          <w:rFonts w:ascii="Arial" w:hAnsi="Arial" w:cs="Arial"/>
          <w:i/>
          <w:iCs/>
          <w:sz w:val="20"/>
          <w:szCs w:val="20"/>
        </w:rPr>
        <w:t xml:space="preserve">p </w:t>
      </w:r>
      <w:r w:rsidR="0092650B" w:rsidRPr="00A56123">
        <w:rPr>
          <w:rFonts w:ascii="Arial" w:hAnsi="Arial" w:cs="Arial"/>
          <w:sz w:val="20"/>
          <w:szCs w:val="20"/>
        </w:rPr>
        <w:t>=</w:t>
      </w:r>
      <w:r w:rsidRPr="00A56123">
        <w:rPr>
          <w:rFonts w:ascii="Arial" w:hAnsi="Arial" w:cs="Arial"/>
          <w:sz w:val="20"/>
          <w:szCs w:val="20"/>
        </w:rPr>
        <w:t xml:space="preserve"> 0.05</w:t>
      </w:r>
    </w:p>
    <w:p w14:paraId="6D7D517A" w14:textId="77777777" w:rsidR="00B83D2D" w:rsidRPr="001B7E5A" w:rsidRDefault="00B83D2D" w:rsidP="002E262D">
      <w:pPr>
        <w:spacing w:after="0" w:line="240" w:lineRule="auto"/>
        <w:jc w:val="both"/>
        <w:rPr>
          <w:rFonts w:ascii="Arial" w:hAnsi="Arial" w:cs="Arial"/>
          <w:sz w:val="22"/>
          <w:szCs w:val="22"/>
        </w:rPr>
      </w:pPr>
    </w:p>
    <w:p w14:paraId="3C117C6B" w14:textId="77777777" w:rsidR="00B83D2D" w:rsidRDefault="00B83D2D" w:rsidP="00B83D2D">
      <w:pPr>
        <w:jc w:val="center"/>
      </w:pPr>
      <w:r>
        <w:rPr>
          <w:noProof/>
        </w:rPr>
        <w:drawing>
          <wp:inline distT="0" distB="0" distL="0" distR="0" wp14:anchorId="05DEE02E" wp14:editId="524AE6E1">
            <wp:extent cx="4574481" cy="2834640"/>
            <wp:effectExtent l="0" t="0" r="0" b="3810"/>
            <wp:docPr id="632175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481" cy="2834640"/>
                    </a:xfrm>
                    <a:prstGeom prst="rect">
                      <a:avLst/>
                    </a:prstGeom>
                    <a:noFill/>
                    <a:ln>
                      <a:noFill/>
                    </a:ln>
                  </pic:spPr>
                </pic:pic>
              </a:graphicData>
            </a:graphic>
          </wp:inline>
        </w:drawing>
      </w:r>
    </w:p>
    <w:p w14:paraId="2874736A" w14:textId="6346678E" w:rsidR="00927B58" w:rsidRPr="002E262D" w:rsidRDefault="00927B58" w:rsidP="00B47E28">
      <w:pPr>
        <w:spacing w:after="0" w:line="240" w:lineRule="auto"/>
        <w:jc w:val="center"/>
        <w:rPr>
          <w:rFonts w:ascii="Arial" w:hAnsi="Arial" w:cs="Arial"/>
          <w:noProof/>
          <w:sz w:val="22"/>
          <w:szCs w:val="22"/>
        </w:rPr>
      </w:pPr>
      <w:r w:rsidRPr="002E262D">
        <w:rPr>
          <w:rFonts w:ascii="Arial" w:hAnsi="Arial" w:cs="Arial"/>
          <w:b/>
          <w:sz w:val="22"/>
          <w:szCs w:val="22"/>
        </w:rPr>
        <w:t xml:space="preserve">Figure </w:t>
      </w:r>
      <w:r w:rsidR="006B2843">
        <w:rPr>
          <w:rFonts w:ascii="Arial" w:hAnsi="Arial" w:cs="Arial"/>
          <w:b/>
          <w:sz w:val="22"/>
          <w:szCs w:val="22"/>
        </w:rPr>
        <w:t>2</w:t>
      </w:r>
      <w:r w:rsidRPr="002E262D">
        <w:rPr>
          <w:rFonts w:ascii="Arial" w:hAnsi="Arial" w:cs="Arial"/>
          <w:b/>
          <w:sz w:val="22"/>
          <w:szCs w:val="22"/>
        </w:rPr>
        <w:t>.  3D response surface plot showing the effects of ultrasound intensity and exposure time on pretreatment of MWW for biomass production</w:t>
      </w:r>
    </w:p>
    <w:p w14:paraId="69093BE0" w14:textId="77777777" w:rsidR="00232C91" w:rsidRPr="00DA2E39" w:rsidRDefault="00232C91" w:rsidP="00B47E28">
      <w:pPr>
        <w:spacing w:after="0" w:line="240" w:lineRule="auto"/>
        <w:jc w:val="center"/>
        <w:rPr>
          <w:rFonts w:ascii="Arial" w:hAnsi="Arial" w:cs="Arial"/>
          <w:b/>
          <w:bCs/>
          <w:sz w:val="22"/>
          <w:szCs w:val="22"/>
        </w:rPr>
      </w:pPr>
    </w:p>
    <w:p w14:paraId="21CB975D" w14:textId="77777777" w:rsidR="00AF4FD4" w:rsidRDefault="00AF4FD4" w:rsidP="00A57EF5">
      <w:pPr>
        <w:spacing w:after="0" w:line="240" w:lineRule="auto"/>
        <w:jc w:val="both"/>
        <w:rPr>
          <w:rFonts w:ascii="Arial" w:hAnsi="Arial" w:cs="Arial"/>
          <w:b/>
          <w:bCs/>
          <w:sz w:val="22"/>
          <w:szCs w:val="22"/>
        </w:rPr>
      </w:pPr>
    </w:p>
    <w:p w14:paraId="6C94B09B" w14:textId="154CE263" w:rsidR="00AF4FD4" w:rsidRPr="000A4E91" w:rsidRDefault="00AF4FD4" w:rsidP="00A57EF5">
      <w:pPr>
        <w:spacing w:after="0" w:line="240" w:lineRule="auto"/>
        <w:jc w:val="both"/>
        <w:rPr>
          <w:rFonts w:ascii="Arial" w:hAnsi="Arial" w:cs="Arial"/>
          <w:b/>
          <w:bCs/>
          <w:sz w:val="20"/>
          <w:szCs w:val="20"/>
        </w:rPr>
      </w:pPr>
      <w:r w:rsidRPr="000A4E91">
        <w:rPr>
          <w:rFonts w:ascii="Arial" w:hAnsi="Arial" w:cs="Arial"/>
          <w:b/>
          <w:bCs/>
          <w:sz w:val="20"/>
          <w:szCs w:val="20"/>
        </w:rPr>
        <w:t>3.2 Influence of difference concentration of UPMWW on biomass production</w:t>
      </w:r>
    </w:p>
    <w:p w14:paraId="47F8A35F" w14:textId="7D37D2B5" w:rsidR="00AF4FD4" w:rsidRPr="000A4E91" w:rsidRDefault="00AF4FD4" w:rsidP="00AF4FD4">
      <w:pPr>
        <w:spacing w:after="0" w:line="240" w:lineRule="auto"/>
        <w:jc w:val="both"/>
        <w:rPr>
          <w:rFonts w:ascii="Arial" w:hAnsi="Arial" w:cs="Arial"/>
          <w:sz w:val="20"/>
          <w:szCs w:val="20"/>
        </w:rPr>
      </w:pPr>
      <w:r w:rsidRPr="000A4E91">
        <w:rPr>
          <w:rFonts w:ascii="Arial" w:hAnsi="Arial" w:cs="Arial"/>
          <w:sz w:val="20"/>
          <w:szCs w:val="20"/>
        </w:rPr>
        <w:t xml:space="preserve">The effect of different concentrations of UPMWW on biomass production by </w:t>
      </w:r>
      <w:r w:rsidR="00A12616" w:rsidRPr="000A4E91">
        <w:rPr>
          <w:rFonts w:ascii="Arial" w:hAnsi="Arial" w:cs="Arial"/>
          <w:i/>
          <w:iCs/>
          <w:sz w:val="20"/>
          <w:szCs w:val="20"/>
        </w:rPr>
        <w:t>C. humicola</w:t>
      </w:r>
      <w:r w:rsidR="00A12616" w:rsidRPr="000A4E91">
        <w:rPr>
          <w:rFonts w:ascii="Arial" w:hAnsi="Arial" w:cs="Arial"/>
          <w:sz w:val="20"/>
          <w:szCs w:val="20"/>
        </w:rPr>
        <w:t xml:space="preserve"> MCH4 </w:t>
      </w:r>
      <w:r w:rsidRPr="000A4E91">
        <w:rPr>
          <w:rFonts w:ascii="Arial" w:hAnsi="Arial" w:cs="Arial"/>
          <w:sz w:val="20"/>
          <w:szCs w:val="20"/>
        </w:rPr>
        <w:t xml:space="preserve">was evaluated, and the yields obtained are shown in the Figure </w:t>
      </w:r>
      <w:r w:rsidR="006B2843">
        <w:rPr>
          <w:rFonts w:ascii="Arial" w:hAnsi="Arial" w:cs="Arial"/>
          <w:sz w:val="20"/>
          <w:szCs w:val="20"/>
        </w:rPr>
        <w:t>3</w:t>
      </w:r>
      <w:r w:rsidRPr="000A4E91">
        <w:rPr>
          <w:rFonts w:ascii="Arial" w:hAnsi="Arial" w:cs="Arial"/>
          <w:sz w:val="20"/>
          <w:szCs w:val="20"/>
        </w:rPr>
        <w:t xml:space="preserve">. Biomass concentration increased progressively from 10% to 75% UPMWW, with the maximum biomass recorded at 75% (4.29±0.05 g/L). A further increase to 100% UPMWW resulted in a significant decline (2.57±0.07 g/L), indicating that excessive nutrient and organic load can inhibit algal growth. One-way ANOVA revealed a highly significant effect of UPMWW concentration on biomass yield (F = 578.04, </w:t>
      </w:r>
      <w:r w:rsidRPr="000A4E91">
        <w:rPr>
          <w:rFonts w:ascii="Arial" w:hAnsi="Arial" w:cs="Arial"/>
          <w:i/>
          <w:iCs/>
          <w:sz w:val="20"/>
          <w:szCs w:val="20"/>
        </w:rPr>
        <w:t>p</w:t>
      </w:r>
      <w:r w:rsidRPr="000A4E91">
        <w:rPr>
          <w:rFonts w:ascii="Arial" w:hAnsi="Arial" w:cs="Arial"/>
          <w:sz w:val="20"/>
          <w:szCs w:val="20"/>
        </w:rPr>
        <w:t xml:space="preserve"> &lt; 0.001). Tukey HSD showed that 75% UPMWW produced significantly higher biomass than all other concentrations (p= 0.05), indicating that moderate dilution offers optimal conditions, while 100% wastewater imposes inhibitory effects. Similar trends have been documented in previous studies (Malathy et al., 2023), where moderate dilution of wastewater enhanced biomass accumulation by improving light penetration, reducing ammonia toxicity, and balancing nutrient availability, whereas undiluted wastewater suppressed growth due to excessive nutrient stress. These findings support the concept that optimized pretreatment combined with suitable dilution enhances nutrient bioavailability and overall cultivation performance. Overall, the results indicate that 75% UPMWW provides the most favorable conditions for biomass production, while both low-strength and undiluted wastewater are suboptimal for microalgal growth.</w:t>
      </w:r>
    </w:p>
    <w:p w14:paraId="26B16072" w14:textId="77777777" w:rsidR="00AF4FD4" w:rsidRPr="000A4E91" w:rsidRDefault="00AF4FD4" w:rsidP="00A57EF5">
      <w:pPr>
        <w:spacing w:after="0" w:line="240" w:lineRule="auto"/>
        <w:jc w:val="both"/>
        <w:rPr>
          <w:rFonts w:ascii="Arial" w:hAnsi="Arial" w:cs="Arial"/>
          <w:b/>
          <w:bCs/>
          <w:sz w:val="20"/>
          <w:szCs w:val="20"/>
        </w:rPr>
      </w:pPr>
    </w:p>
    <w:p w14:paraId="2E4EB871" w14:textId="3D05BCAA" w:rsidR="00AF4FD4" w:rsidRDefault="00AF4FD4" w:rsidP="00F86D49">
      <w:pPr>
        <w:spacing w:after="0" w:line="240" w:lineRule="auto"/>
        <w:jc w:val="center"/>
        <w:rPr>
          <w:rFonts w:ascii="Arial" w:hAnsi="Arial" w:cs="Arial"/>
          <w:b/>
          <w:bCs/>
          <w:sz w:val="22"/>
          <w:szCs w:val="22"/>
        </w:rPr>
      </w:pPr>
      <w:r>
        <w:rPr>
          <w:noProof/>
        </w:rPr>
        <w:lastRenderedPageBreak/>
        <w:drawing>
          <wp:inline distT="0" distB="0" distL="0" distR="0" wp14:anchorId="20238EAA" wp14:editId="0F24DF7C">
            <wp:extent cx="4572000" cy="2806700"/>
            <wp:effectExtent l="0" t="0" r="0" b="0"/>
            <wp:docPr id="297702401" name="Chart 1">
              <a:extLst xmlns:a="http://schemas.openxmlformats.org/drawingml/2006/main">
                <a:ext uri="{FF2B5EF4-FFF2-40B4-BE49-F238E27FC236}">
                  <a16:creationId xmlns:a16="http://schemas.microsoft.com/office/drawing/2014/main" id="{2222DD47-8BCD-58C5-FE84-AD24958DB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E44D2F" w14:textId="4F83E332" w:rsidR="00AF4FD4" w:rsidRDefault="00AF4FD4" w:rsidP="00F86D49">
      <w:pPr>
        <w:spacing w:after="0" w:line="240" w:lineRule="auto"/>
        <w:jc w:val="center"/>
        <w:rPr>
          <w:rFonts w:ascii="Arial" w:hAnsi="Arial" w:cs="Arial"/>
          <w:b/>
          <w:bCs/>
          <w:sz w:val="22"/>
          <w:szCs w:val="22"/>
        </w:rPr>
      </w:pPr>
      <w:r>
        <w:rPr>
          <w:rFonts w:ascii="Arial" w:hAnsi="Arial" w:cs="Arial"/>
          <w:b/>
          <w:bCs/>
          <w:sz w:val="22"/>
          <w:szCs w:val="22"/>
        </w:rPr>
        <w:t xml:space="preserve">Figure </w:t>
      </w:r>
      <w:r w:rsidR="006B2843">
        <w:rPr>
          <w:rFonts w:ascii="Arial" w:hAnsi="Arial" w:cs="Arial"/>
          <w:b/>
          <w:bCs/>
          <w:sz w:val="22"/>
          <w:szCs w:val="22"/>
        </w:rPr>
        <w:t>3</w:t>
      </w:r>
      <w:r>
        <w:rPr>
          <w:rFonts w:ascii="Arial" w:hAnsi="Arial" w:cs="Arial"/>
          <w:b/>
          <w:bCs/>
          <w:sz w:val="22"/>
          <w:szCs w:val="22"/>
        </w:rPr>
        <w:t>. Influence of different concentration of UPMWW on biomass production by</w:t>
      </w:r>
    </w:p>
    <w:p w14:paraId="377815E6" w14:textId="77777777" w:rsidR="00AF4FD4" w:rsidRDefault="00AF4FD4" w:rsidP="00A57EF5">
      <w:pPr>
        <w:spacing w:after="0" w:line="240" w:lineRule="auto"/>
        <w:jc w:val="both"/>
        <w:rPr>
          <w:rFonts w:ascii="Arial" w:hAnsi="Arial" w:cs="Arial"/>
          <w:b/>
          <w:bCs/>
          <w:sz w:val="22"/>
          <w:szCs w:val="22"/>
        </w:rPr>
      </w:pPr>
    </w:p>
    <w:p w14:paraId="5D54797B" w14:textId="2907FE57" w:rsidR="0094610C" w:rsidRPr="000A4E91" w:rsidRDefault="00821D10" w:rsidP="0094610C">
      <w:pPr>
        <w:spacing w:after="0" w:line="240" w:lineRule="auto"/>
        <w:jc w:val="both"/>
        <w:rPr>
          <w:rFonts w:ascii="Arial" w:hAnsi="Arial" w:cs="Arial"/>
          <w:b/>
          <w:bCs/>
          <w:sz w:val="20"/>
          <w:szCs w:val="20"/>
        </w:rPr>
      </w:pPr>
      <w:r w:rsidRPr="000A4E91">
        <w:rPr>
          <w:rFonts w:ascii="Arial" w:hAnsi="Arial" w:cs="Arial"/>
          <w:b/>
          <w:bCs/>
          <w:sz w:val="20"/>
          <w:szCs w:val="20"/>
        </w:rPr>
        <w:t xml:space="preserve">3.3 </w:t>
      </w:r>
      <w:r w:rsidR="0094610C" w:rsidRPr="000A4E91">
        <w:rPr>
          <w:rFonts w:ascii="Arial" w:hAnsi="Arial" w:cs="Arial"/>
          <w:b/>
          <w:bCs/>
          <w:sz w:val="20"/>
          <w:szCs w:val="20"/>
        </w:rPr>
        <w:t xml:space="preserve">Bacterial Growth in </w:t>
      </w:r>
      <w:r w:rsidR="00640967" w:rsidRPr="000A4E91">
        <w:rPr>
          <w:rFonts w:ascii="Arial" w:hAnsi="Arial" w:cs="Arial"/>
          <w:b/>
          <w:bCs/>
          <w:sz w:val="20"/>
          <w:szCs w:val="20"/>
        </w:rPr>
        <w:t>untreated</w:t>
      </w:r>
      <w:r w:rsidR="0094610C" w:rsidRPr="000A4E91">
        <w:rPr>
          <w:rFonts w:ascii="Arial" w:hAnsi="Arial" w:cs="Arial"/>
          <w:b/>
          <w:bCs/>
          <w:sz w:val="20"/>
          <w:szCs w:val="20"/>
        </w:rPr>
        <w:t xml:space="preserve"> MWW and UPMWW</w:t>
      </w:r>
    </w:p>
    <w:p w14:paraId="0CC53AD4" w14:textId="4CA22F9A" w:rsidR="0094610C" w:rsidRPr="000A4E91" w:rsidRDefault="00443A39" w:rsidP="0094610C">
      <w:pPr>
        <w:spacing w:after="0" w:line="240" w:lineRule="auto"/>
        <w:jc w:val="both"/>
        <w:rPr>
          <w:rFonts w:ascii="Arial" w:hAnsi="Arial" w:cs="Arial"/>
          <w:sz w:val="20"/>
          <w:szCs w:val="20"/>
        </w:rPr>
      </w:pPr>
      <w:r w:rsidRPr="000A4E91">
        <w:rPr>
          <w:rFonts w:ascii="Arial" w:hAnsi="Arial" w:cs="Arial"/>
          <w:sz w:val="20"/>
          <w:szCs w:val="20"/>
        </w:rPr>
        <w:t>MWW</w:t>
      </w:r>
      <w:r w:rsidR="0094610C" w:rsidRPr="000A4E91">
        <w:rPr>
          <w:rFonts w:ascii="Arial" w:hAnsi="Arial" w:cs="Arial"/>
          <w:sz w:val="20"/>
          <w:szCs w:val="20"/>
        </w:rPr>
        <w:t xml:space="preserve"> was subjected to </w:t>
      </w:r>
      <w:r w:rsidRPr="000A4E91">
        <w:rPr>
          <w:rFonts w:ascii="Arial" w:hAnsi="Arial" w:cs="Arial"/>
          <w:sz w:val="20"/>
          <w:szCs w:val="20"/>
        </w:rPr>
        <w:t>US</w:t>
      </w:r>
      <w:r w:rsidR="0094610C" w:rsidRPr="000A4E91">
        <w:rPr>
          <w:rFonts w:ascii="Arial" w:hAnsi="Arial" w:cs="Arial"/>
          <w:sz w:val="20"/>
          <w:szCs w:val="20"/>
        </w:rPr>
        <w:t xml:space="preserve"> pretreatment at 0.35 W/mL for 20 min, and untreated wastewater served as the control. After treatment, 1 mL of each sample was spread onto LB agar plates under aseptic conditions and incubated at 35 </w:t>
      </w:r>
      <w:r w:rsidR="0094610C" w:rsidRPr="000A4E91">
        <w:rPr>
          <w:rFonts w:ascii="Arial" w:hAnsi="Arial" w:cs="Arial"/>
          <w:sz w:val="20"/>
          <w:szCs w:val="20"/>
          <w:vertAlign w:val="superscript"/>
        </w:rPr>
        <w:t>o</w:t>
      </w:r>
      <w:r w:rsidR="0094610C" w:rsidRPr="000A4E91">
        <w:rPr>
          <w:rFonts w:ascii="Arial" w:hAnsi="Arial" w:cs="Arial"/>
          <w:sz w:val="20"/>
          <w:szCs w:val="20"/>
        </w:rPr>
        <w:t>C for 24 h. The untreated sample showed heavy bacterial growth, with 272 colonies counted, whereas the UPMWW showed no visible bacterial colonies. These findings demonstrate that ultrasound can effectively act as a disinfecting step in wastewater and aquaculture systems. The cavitation forces generated during sonication disrupt and lyse microbial cells, thereby reducing viable bacterial populations (Broekman et al., 2010</w:t>
      </w:r>
      <w:r w:rsidR="0021561E" w:rsidRPr="000A4E91">
        <w:rPr>
          <w:rFonts w:ascii="Arial" w:hAnsi="Arial" w:cs="Arial"/>
          <w:sz w:val="20"/>
          <w:szCs w:val="20"/>
        </w:rPr>
        <w:t>; Malathy et al., 2023</w:t>
      </w:r>
      <w:r w:rsidR="0094610C" w:rsidRPr="000A4E91">
        <w:rPr>
          <w:rFonts w:ascii="Arial" w:hAnsi="Arial" w:cs="Arial"/>
          <w:sz w:val="20"/>
          <w:szCs w:val="20"/>
        </w:rPr>
        <w:t>).</w:t>
      </w:r>
    </w:p>
    <w:p w14:paraId="276A35F8" w14:textId="2D011044" w:rsidR="00640967" w:rsidRPr="000A4E91" w:rsidRDefault="00821D10" w:rsidP="00640967">
      <w:pPr>
        <w:spacing w:after="0" w:line="240" w:lineRule="auto"/>
        <w:jc w:val="both"/>
        <w:rPr>
          <w:rFonts w:ascii="Arial" w:hAnsi="Arial" w:cs="Arial"/>
          <w:b/>
          <w:bCs/>
          <w:sz w:val="20"/>
          <w:szCs w:val="20"/>
        </w:rPr>
      </w:pPr>
      <w:r w:rsidRPr="000A4E91">
        <w:rPr>
          <w:rFonts w:ascii="Arial" w:hAnsi="Arial" w:cs="Arial"/>
          <w:b/>
          <w:bCs/>
          <w:sz w:val="20"/>
          <w:szCs w:val="20"/>
        </w:rPr>
        <w:t xml:space="preserve">3.4 </w:t>
      </w:r>
      <w:r w:rsidR="00640967" w:rsidRPr="000A4E91">
        <w:rPr>
          <w:rFonts w:ascii="Arial" w:hAnsi="Arial" w:cs="Arial"/>
          <w:b/>
          <w:bCs/>
          <w:sz w:val="20"/>
          <w:szCs w:val="20"/>
        </w:rPr>
        <w:t>DOM of untreated MWW and UPMWW</w:t>
      </w:r>
    </w:p>
    <w:p w14:paraId="30A52371" w14:textId="3931325D" w:rsidR="00640967" w:rsidRPr="000A4E91" w:rsidRDefault="00640967" w:rsidP="00640967">
      <w:pPr>
        <w:spacing w:after="0" w:line="240" w:lineRule="auto"/>
        <w:jc w:val="both"/>
        <w:rPr>
          <w:rFonts w:ascii="Arial" w:hAnsi="Arial" w:cs="Arial"/>
          <w:sz w:val="20"/>
          <w:szCs w:val="20"/>
        </w:rPr>
      </w:pPr>
      <w:r w:rsidRPr="000A4E91">
        <w:rPr>
          <w:rFonts w:ascii="Arial" w:hAnsi="Arial" w:cs="Arial"/>
          <w:sz w:val="20"/>
          <w:szCs w:val="20"/>
        </w:rPr>
        <w:t xml:space="preserve">A significantly higher DOM level (37.04 </w:t>
      </w:r>
      <w:r w:rsidR="00A211BF" w:rsidRPr="000A4E91">
        <w:rPr>
          <w:rFonts w:ascii="Arial" w:hAnsi="Arial" w:cs="Arial"/>
          <w:sz w:val="20"/>
          <w:szCs w:val="20"/>
        </w:rPr>
        <w:t>±</w:t>
      </w:r>
      <w:r w:rsidRPr="000A4E91">
        <w:rPr>
          <w:rFonts w:ascii="Arial" w:hAnsi="Arial" w:cs="Arial"/>
          <w:sz w:val="20"/>
          <w:szCs w:val="20"/>
        </w:rPr>
        <w:t xml:space="preserve"> 0.08 mg/L) was recorded in 75% MWW treated at 0.35 W/mL for 20 min compared to untreated MWW (13.98 </w:t>
      </w:r>
      <w:r w:rsidR="00A211BF" w:rsidRPr="000A4E91">
        <w:rPr>
          <w:rFonts w:ascii="Arial" w:hAnsi="Arial" w:cs="Arial"/>
          <w:sz w:val="20"/>
          <w:szCs w:val="20"/>
        </w:rPr>
        <w:t>±</w:t>
      </w:r>
      <w:r w:rsidRPr="000A4E91">
        <w:rPr>
          <w:rFonts w:ascii="Arial" w:hAnsi="Arial" w:cs="Arial"/>
          <w:sz w:val="20"/>
          <w:szCs w:val="20"/>
        </w:rPr>
        <w:t xml:space="preserve"> 0.04 mg/L). This increase indicates that </w:t>
      </w:r>
      <w:r w:rsidR="004376C0" w:rsidRPr="000A4E91">
        <w:rPr>
          <w:rFonts w:ascii="Arial" w:hAnsi="Arial" w:cs="Arial"/>
          <w:sz w:val="20"/>
          <w:szCs w:val="20"/>
        </w:rPr>
        <w:t>US</w:t>
      </w:r>
      <w:r w:rsidRPr="000A4E91">
        <w:rPr>
          <w:rFonts w:ascii="Arial" w:hAnsi="Arial" w:cs="Arial"/>
          <w:sz w:val="20"/>
          <w:szCs w:val="20"/>
        </w:rPr>
        <w:t xml:space="preserve"> pretreatment enhances DOM release in wastewater. The </w:t>
      </w:r>
      <w:r w:rsidR="004376C0" w:rsidRPr="000A4E91">
        <w:rPr>
          <w:rFonts w:ascii="Arial" w:hAnsi="Arial" w:cs="Arial"/>
          <w:sz w:val="20"/>
          <w:szCs w:val="20"/>
        </w:rPr>
        <w:t>US</w:t>
      </w:r>
      <w:r w:rsidRPr="000A4E91">
        <w:rPr>
          <w:rFonts w:ascii="Arial" w:hAnsi="Arial" w:cs="Arial"/>
          <w:sz w:val="20"/>
          <w:szCs w:val="20"/>
        </w:rPr>
        <w:t xml:space="preserve"> process disrupts microbial cell walls and releases intracellular compounds through cavitation, thereby elevating soluble organic content in the medium. The presence of higher soluble organic fractions can support enhanced utilization of organic carbon and improve biomass or metabolite production, as previously reported (Guo et al., 2016; Malathy et al., 2023).</w:t>
      </w:r>
    </w:p>
    <w:p w14:paraId="58D33DFA" w14:textId="09AA3D6E" w:rsidR="00A82D18" w:rsidRPr="000A4E91" w:rsidRDefault="00A82D18" w:rsidP="00640967">
      <w:pPr>
        <w:spacing w:after="0" w:line="240" w:lineRule="auto"/>
        <w:jc w:val="both"/>
        <w:rPr>
          <w:rFonts w:ascii="Arial" w:hAnsi="Arial" w:cs="Arial"/>
          <w:b/>
          <w:bCs/>
          <w:sz w:val="20"/>
          <w:szCs w:val="20"/>
        </w:rPr>
      </w:pPr>
      <w:r w:rsidRPr="000A4E91">
        <w:rPr>
          <w:rFonts w:ascii="Arial" w:hAnsi="Arial" w:cs="Arial"/>
          <w:b/>
          <w:bCs/>
          <w:sz w:val="20"/>
          <w:szCs w:val="20"/>
        </w:rPr>
        <w:t xml:space="preserve">3.5 FTIR analysis of biomass of </w:t>
      </w:r>
      <w:r w:rsidRPr="000A4E91">
        <w:rPr>
          <w:rFonts w:ascii="Arial" w:hAnsi="Arial" w:cs="Arial"/>
          <w:b/>
          <w:bCs/>
          <w:i/>
          <w:iCs/>
          <w:sz w:val="20"/>
          <w:szCs w:val="20"/>
        </w:rPr>
        <w:t>C. humicola</w:t>
      </w:r>
      <w:r w:rsidRPr="000A4E91">
        <w:rPr>
          <w:rFonts w:ascii="Arial" w:hAnsi="Arial" w:cs="Arial"/>
          <w:b/>
          <w:bCs/>
          <w:sz w:val="20"/>
          <w:szCs w:val="20"/>
        </w:rPr>
        <w:t xml:space="preserve"> MCH4</w:t>
      </w:r>
    </w:p>
    <w:p w14:paraId="5F8990A9" w14:textId="0915E3E1" w:rsidR="00A82D18" w:rsidRPr="000A4E91" w:rsidRDefault="00A82D18" w:rsidP="00A82D18">
      <w:pPr>
        <w:spacing w:after="0" w:line="240" w:lineRule="auto"/>
        <w:jc w:val="both"/>
        <w:rPr>
          <w:rFonts w:ascii="Arial" w:hAnsi="Arial" w:cs="Arial"/>
          <w:sz w:val="20"/>
          <w:szCs w:val="20"/>
        </w:rPr>
      </w:pPr>
      <w:r w:rsidRPr="000A4E91">
        <w:rPr>
          <w:rFonts w:ascii="Arial" w:hAnsi="Arial" w:cs="Arial"/>
          <w:sz w:val="20"/>
          <w:szCs w:val="20"/>
        </w:rPr>
        <w:t xml:space="preserve">The FTIR spectrum (Figure </w:t>
      </w:r>
      <w:r w:rsidR="00530A16">
        <w:rPr>
          <w:rFonts w:ascii="Arial" w:hAnsi="Arial" w:cs="Arial"/>
          <w:sz w:val="20"/>
          <w:szCs w:val="20"/>
        </w:rPr>
        <w:t>4</w:t>
      </w:r>
      <w:r w:rsidRPr="000A4E91">
        <w:rPr>
          <w:rFonts w:ascii="Arial" w:hAnsi="Arial" w:cs="Arial"/>
          <w:sz w:val="20"/>
          <w:szCs w:val="20"/>
        </w:rPr>
        <w:t xml:space="preserve">) of </w:t>
      </w:r>
      <w:r w:rsidRPr="000A4E91">
        <w:rPr>
          <w:rFonts w:ascii="Arial" w:hAnsi="Arial" w:cs="Arial"/>
          <w:i/>
          <w:iCs/>
          <w:sz w:val="20"/>
          <w:szCs w:val="20"/>
        </w:rPr>
        <w:t>C. humicola</w:t>
      </w:r>
      <w:r w:rsidRPr="000A4E91">
        <w:rPr>
          <w:rFonts w:ascii="Arial" w:hAnsi="Arial" w:cs="Arial"/>
          <w:sz w:val="20"/>
          <w:szCs w:val="20"/>
        </w:rPr>
        <w:t xml:space="preserve"> MCH4 biomass cultivated in 75% UPMWW exhibited several characteristic absorption bands corresponding to major biochemical constituents including proteins, carbohydrates, lipids, astaxanthin, and accessory pigments. A broad absorption peak detected at 3450.18 cm</w:t>
      </w:r>
      <w:r w:rsidRPr="000A4E91">
        <w:rPr>
          <w:rFonts w:ascii="Arial" w:hAnsi="Arial" w:cs="Arial"/>
          <w:sz w:val="20"/>
          <w:szCs w:val="20"/>
          <w:vertAlign w:val="superscript"/>
        </w:rPr>
        <w:t>-1</w:t>
      </w:r>
      <w:r w:rsidRPr="000A4E91">
        <w:rPr>
          <w:rFonts w:ascii="Arial" w:hAnsi="Arial" w:cs="Arial"/>
          <w:sz w:val="20"/>
          <w:szCs w:val="20"/>
        </w:rPr>
        <w:t xml:space="preserve"> indicates O–H stretching vibrations, commonly associated with hydroxyl groups present in polysaccharides, proteins, and carotenoids. Such broad hydrogen-bonded O–H signals are typical in microalgal spectra due to the presence of carbohydrates and carotenoids (Liu et al., 2019; Azman et al., 2021). The peak at 1605.02 cm</w:t>
      </w:r>
      <w:r w:rsidRPr="000A4E91">
        <w:rPr>
          <w:rFonts w:ascii="Arial" w:hAnsi="Arial" w:cs="Arial"/>
          <w:sz w:val="20"/>
          <w:szCs w:val="20"/>
          <w:vertAlign w:val="superscript"/>
        </w:rPr>
        <w:t>-1</w:t>
      </w:r>
      <w:r w:rsidRPr="000A4E91">
        <w:rPr>
          <w:rFonts w:ascii="Arial" w:hAnsi="Arial" w:cs="Arial"/>
          <w:sz w:val="20"/>
          <w:szCs w:val="20"/>
        </w:rPr>
        <w:t xml:space="preserve"> corresponds to amide I (C</w:t>
      </w:r>
      <w:r w:rsidR="0092650B" w:rsidRPr="000A4E91">
        <w:rPr>
          <w:rFonts w:ascii="Arial" w:hAnsi="Arial" w:cs="Arial"/>
          <w:sz w:val="20"/>
          <w:szCs w:val="20"/>
        </w:rPr>
        <w:t>=</w:t>
      </w:r>
      <w:r w:rsidRPr="000A4E91">
        <w:rPr>
          <w:rFonts w:ascii="Arial" w:hAnsi="Arial" w:cs="Arial"/>
          <w:sz w:val="20"/>
          <w:szCs w:val="20"/>
        </w:rPr>
        <w:t>O stretching), while the band around 1411.11 cm</w:t>
      </w:r>
      <w:r w:rsidRPr="000A4E91">
        <w:rPr>
          <w:rFonts w:ascii="Arial" w:hAnsi="Arial" w:cs="Arial"/>
          <w:sz w:val="20"/>
          <w:szCs w:val="20"/>
          <w:vertAlign w:val="superscript"/>
        </w:rPr>
        <w:t>-1</w:t>
      </w:r>
      <w:r w:rsidRPr="000A4E91">
        <w:rPr>
          <w:rFonts w:ascii="Arial" w:hAnsi="Arial" w:cs="Arial"/>
          <w:sz w:val="20"/>
          <w:szCs w:val="20"/>
        </w:rPr>
        <w:t xml:space="preserve"> is related to amide III and C</w:t>
      </w:r>
      <w:r w:rsidR="0092650B" w:rsidRPr="000A4E91">
        <w:rPr>
          <w:rFonts w:ascii="Arial" w:hAnsi="Arial" w:cs="Arial"/>
          <w:sz w:val="20"/>
          <w:szCs w:val="20"/>
        </w:rPr>
        <w:t>-</w:t>
      </w:r>
      <w:r w:rsidRPr="000A4E91">
        <w:rPr>
          <w:rFonts w:ascii="Arial" w:hAnsi="Arial" w:cs="Arial"/>
          <w:sz w:val="20"/>
          <w:szCs w:val="20"/>
        </w:rPr>
        <w:t>N stretching, confirming the presence of structural and enzymatic proteins in the biomass. Similar protein-associated peaks have been widely reported in green microalgae FTIR profiles (Grace et al., 2020).</w:t>
      </w:r>
    </w:p>
    <w:p w14:paraId="3B7F8B9F" w14:textId="77777777" w:rsidR="00A82D18" w:rsidRPr="000A4E91" w:rsidRDefault="00A82D18" w:rsidP="00A82D18">
      <w:pPr>
        <w:spacing w:after="0" w:line="240" w:lineRule="auto"/>
        <w:jc w:val="both"/>
        <w:rPr>
          <w:rFonts w:ascii="Arial" w:hAnsi="Arial" w:cs="Arial"/>
          <w:sz w:val="20"/>
          <w:szCs w:val="20"/>
        </w:rPr>
      </w:pPr>
      <w:r w:rsidRPr="000A4E91">
        <w:rPr>
          <w:rFonts w:ascii="Arial" w:hAnsi="Arial" w:cs="Arial"/>
          <w:sz w:val="20"/>
          <w:szCs w:val="20"/>
        </w:rPr>
        <w:t>A notable absorption band at 1023.91 cm</w:t>
      </w:r>
      <w:r w:rsidRPr="000A4E91">
        <w:rPr>
          <w:rFonts w:ascii="Arial" w:hAnsi="Arial" w:cs="Arial"/>
          <w:sz w:val="20"/>
          <w:szCs w:val="20"/>
          <w:vertAlign w:val="superscript"/>
        </w:rPr>
        <w:t>-1</w:t>
      </w:r>
      <w:r w:rsidRPr="000A4E91">
        <w:rPr>
          <w:rFonts w:ascii="Arial" w:hAnsi="Arial" w:cs="Arial"/>
          <w:sz w:val="20"/>
          <w:szCs w:val="20"/>
        </w:rPr>
        <w:t xml:space="preserve"> corresponds to C–O–C and C–O stretching vibrations typical of polysaccharides, reflecting the carbohydrate-rich nature of the cell wall and metabolic reserves. Polysaccharide signals in this region are consistently reported for microalgae and are indicative of extracellular polymeric substances (Liu et al., 2019). Together, these results indicate that </w:t>
      </w:r>
      <w:r w:rsidRPr="000A4E91">
        <w:rPr>
          <w:rFonts w:ascii="Arial" w:hAnsi="Arial" w:cs="Arial"/>
          <w:i/>
          <w:iCs/>
          <w:sz w:val="20"/>
          <w:szCs w:val="20"/>
        </w:rPr>
        <w:t>C. humicola</w:t>
      </w:r>
      <w:r w:rsidRPr="000A4E91">
        <w:rPr>
          <w:rFonts w:ascii="Arial" w:hAnsi="Arial" w:cs="Arial"/>
          <w:sz w:val="20"/>
          <w:szCs w:val="20"/>
        </w:rPr>
        <w:t xml:space="preserve"> MCH4 cultivated in 75% UPMWW retained normal biochemical integrity with substantial amounts of proteins, polysaccharides, lipids, and carotenoids. The presence of these biomolecules demonstrates that nutrient-rich UPMWW can support high-quality biomass production suitable for value-added applications such as nutraceuticals, and natural colorants. To the best of our knowledge, this is the first study to report FTIR </w:t>
      </w:r>
      <w:r w:rsidRPr="000A4E91">
        <w:rPr>
          <w:rFonts w:ascii="Arial" w:hAnsi="Arial" w:cs="Arial"/>
          <w:sz w:val="20"/>
          <w:szCs w:val="20"/>
        </w:rPr>
        <w:lastRenderedPageBreak/>
        <w:t xml:space="preserve">characterization of UPMWW-grown double mutant </w:t>
      </w:r>
      <w:r w:rsidRPr="000A4E91">
        <w:rPr>
          <w:rFonts w:ascii="Arial" w:hAnsi="Arial" w:cs="Arial"/>
          <w:i/>
          <w:iCs/>
          <w:sz w:val="20"/>
          <w:szCs w:val="20"/>
        </w:rPr>
        <w:t>C. humicola</w:t>
      </w:r>
      <w:r w:rsidRPr="000A4E91">
        <w:rPr>
          <w:rFonts w:ascii="Arial" w:hAnsi="Arial" w:cs="Arial"/>
          <w:sz w:val="20"/>
          <w:szCs w:val="20"/>
        </w:rPr>
        <w:t xml:space="preserve"> MCH4 for the sustainable production of bioactive compound feedstocks. </w:t>
      </w:r>
    </w:p>
    <w:p w14:paraId="521089F6" w14:textId="77777777" w:rsidR="00A82D18" w:rsidRPr="00640967" w:rsidRDefault="00A82D18" w:rsidP="00640967">
      <w:pPr>
        <w:spacing w:after="0" w:line="240" w:lineRule="auto"/>
        <w:jc w:val="both"/>
        <w:rPr>
          <w:rFonts w:ascii="Arial" w:hAnsi="Arial" w:cs="Arial"/>
          <w:sz w:val="22"/>
          <w:szCs w:val="22"/>
        </w:rPr>
      </w:pPr>
    </w:p>
    <w:p w14:paraId="018AC80B" w14:textId="5EBCDED6" w:rsidR="0094610C" w:rsidRPr="0094610C" w:rsidRDefault="00A12616" w:rsidP="00A12616">
      <w:pPr>
        <w:spacing w:after="0" w:line="240" w:lineRule="auto"/>
        <w:jc w:val="center"/>
        <w:rPr>
          <w:rFonts w:ascii="Arial" w:hAnsi="Arial" w:cs="Arial"/>
          <w:sz w:val="22"/>
          <w:szCs w:val="22"/>
        </w:rPr>
      </w:pPr>
      <w:r>
        <w:rPr>
          <w:rFonts w:ascii="Arial" w:hAnsi="Arial" w:cs="Arial"/>
          <w:noProof/>
          <w:sz w:val="22"/>
          <w:szCs w:val="22"/>
        </w:rPr>
        <w:drawing>
          <wp:inline distT="0" distB="0" distL="0" distR="0" wp14:anchorId="74F8EB22" wp14:editId="5DB408A7">
            <wp:extent cx="4578350" cy="1689100"/>
            <wp:effectExtent l="0" t="0" r="0" b="6350"/>
            <wp:docPr id="159792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1689100"/>
                    </a:xfrm>
                    <a:prstGeom prst="rect">
                      <a:avLst/>
                    </a:prstGeom>
                    <a:noFill/>
                    <a:ln>
                      <a:noFill/>
                    </a:ln>
                  </pic:spPr>
                </pic:pic>
              </a:graphicData>
            </a:graphic>
          </wp:inline>
        </w:drawing>
      </w:r>
    </w:p>
    <w:p w14:paraId="734CFA96" w14:textId="6D1E5414" w:rsidR="0094610C" w:rsidRDefault="00A12616" w:rsidP="00A57EF5">
      <w:pPr>
        <w:spacing w:after="0" w:line="240" w:lineRule="auto"/>
        <w:jc w:val="both"/>
        <w:rPr>
          <w:rFonts w:ascii="Arial" w:hAnsi="Arial" w:cs="Arial"/>
          <w:b/>
          <w:bCs/>
          <w:sz w:val="22"/>
          <w:szCs w:val="22"/>
        </w:rPr>
      </w:pPr>
      <w:r>
        <w:rPr>
          <w:rFonts w:ascii="Arial" w:hAnsi="Arial" w:cs="Arial"/>
          <w:b/>
          <w:bCs/>
          <w:sz w:val="22"/>
          <w:szCs w:val="22"/>
        </w:rPr>
        <w:t xml:space="preserve">Figure </w:t>
      </w:r>
      <w:r w:rsidR="00530A16">
        <w:rPr>
          <w:rFonts w:ascii="Arial" w:hAnsi="Arial" w:cs="Arial"/>
          <w:b/>
          <w:bCs/>
          <w:sz w:val="22"/>
          <w:szCs w:val="22"/>
        </w:rPr>
        <w:t>4</w:t>
      </w:r>
      <w:r>
        <w:rPr>
          <w:rFonts w:ascii="Arial" w:hAnsi="Arial" w:cs="Arial"/>
          <w:b/>
          <w:bCs/>
          <w:sz w:val="22"/>
          <w:szCs w:val="22"/>
        </w:rPr>
        <w:t xml:space="preserve"> FTIR spectrum of biomass of </w:t>
      </w:r>
      <w:r w:rsidRPr="00A12616">
        <w:rPr>
          <w:rFonts w:ascii="Arial" w:hAnsi="Arial" w:cs="Arial"/>
          <w:b/>
          <w:bCs/>
          <w:i/>
          <w:iCs/>
          <w:sz w:val="22"/>
          <w:szCs w:val="22"/>
        </w:rPr>
        <w:t>C. humicola</w:t>
      </w:r>
      <w:r w:rsidRPr="00A12616">
        <w:rPr>
          <w:rFonts w:ascii="Arial" w:hAnsi="Arial" w:cs="Arial"/>
          <w:b/>
          <w:bCs/>
          <w:sz w:val="22"/>
          <w:szCs w:val="22"/>
        </w:rPr>
        <w:t xml:space="preserve"> MCH4</w:t>
      </w:r>
    </w:p>
    <w:p w14:paraId="190D5F7F" w14:textId="4428FBB4" w:rsidR="00A57EF5" w:rsidRDefault="00A57EF5" w:rsidP="00A57EF5">
      <w:pPr>
        <w:spacing w:after="0" w:line="240" w:lineRule="auto"/>
        <w:jc w:val="both"/>
        <w:rPr>
          <w:rFonts w:ascii="Arial" w:hAnsi="Arial" w:cs="Arial"/>
          <w:b/>
          <w:bCs/>
          <w:sz w:val="22"/>
          <w:szCs w:val="22"/>
        </w:rPr>
      </w:pPr>
      <w:r w:rsidRPr="00DA2E39">
        <w:rPr>
          <w:rFonts w:ascii="Arial" w:hAnsi="Arial" w:cs="Arial"/>
          <w:b/>
          <w:bCs/>
          <w:sz w:val="22"/>
          <w:szCs w:val="22"/>
        </w:rPr>
        <w:t>4. CONCLUSION</w:t>
      </w:r>
    </w:p>
    <w:p w14:paraId="43522403" w14:textId="3ECA9F21" w:rsidR="00A210DA" w:rsidRPr="000A4E91" w:rsidRDefault="00A210DA" w:rsidP="00A57EF5">
      <w:pPr>
        <w:spacing w:after="0" w:line="240" w:lineRule="auto"/>
        <w:jc w:val="both"/>
        <w:rPr>
          <w:rFonts w:ascii="Arial" w:hAnsi="Arial" w:cs="Arial"/>
          <w:sz w:val="20"/>
          <w:szCs w:val="20"/>
        </w:rPr>
      </w:pPr>
      <w:r w:rsidRPr="000A4E91">
        <w:rPr>
          <w:rFonts w:ascii="Arial" w:hAnsi="Arial" w:cs="Arial"/>
          <w:sz w:val="20"/>
          <w:szCs w:val="20"/>
        </w:rPr>
        <w:t xml:space="preserve">This study demonstrated that UPMWW provides a cost-effective and environmentally sustainable medium for cultivating the double mutant </w:t>
      </w:r>
      <w:r w:rsidRPr="000A4E91">
        <w:rPr>
          <w:rFonts w:ascii="Arial" w:hAnsi="Arial" w:cs="Arial"/>
          <w:i/>
          <w:iCs/>
          <w:sz w:val="20"/>
          <w:szCs w:val="20"/>
        </w:rPr>
        <w:t>C. humicola</w:t>
      </w:r>
      <w:r w:rsidRPr="000A4E91">
        <w:rPr>
          <w:rFonts w:ascii="Arial" w:hAnsi="Arial" w:cs="Arial"/>
          <w:sz w:val="20"/>
          <w:szCs w:val="20"/>
        </w:rPr>
        <w:t xml:space="preserve"> MCH4. Optimization through CCD</w:t>
      </w:r>
      <w:r w:rsidR="004376C0" w:rsidRPr="000A4E91">
        <w:rPr>
          <w:rFonts w:ascii="Arial" w:hAnsi="Arial" w:cs="Arial"/>
          <w:sz w:val="20"/>
          <w:szCs w:val="20"/>
        </w:rPr>
        <w:t>-</w:t>
      </w:r>
      <w:r w:rsidRPr="000A4E91">
        <w:rPr>
          <w:rFonts w:ascii="Arial" w:hAnsi="Arial" w:cs="Arial"/>
          <w:sz w:val="20"/>
          <w:szCs w:val="20"/>
        </w:rPr>
        <w:t xml:space="preserve">RSM identified 0.35 W/mL and 20 min as the most favorable </w:t>
      </w:r>
      <w:r w:rsidR="004376C0" w:rsidRPr="000A4E91">
        <w:rPr>
          <w:rFonts w:ascii="Arial" w:hAnsi="Arial" w:cs="Arial"/>
          <w:sz w:val="20"/>
          <w:szCs w:val="20"/>
        </w:rPr>
        <w:t>US</w:t>
      </w:r>
      <w:r w:rsidRPr="000A4E91">
        <w:rPr>
          <w:rFonts w:ascii="Arial" w:hAnsi="Arial" w:cs="Arial"/>
          <w:sz w:val="20"/>
          <w:szCs w:val="20"/>
        </w:rPr>
        <w:t xml:space="preserve"> parameters, resulting in significantly enhanced biomass production compared to untreated wastewater and BBM controls. The pretreatment process effectively increased dissolved organic matter availability while simultaneously suppressing bacterial contamination, thereby improving algal growth performance. FTIR analysis confirmed the presence of key biochemical constituents such as carotenoids, proteins, and polysaccharides,</w:t>
      </w:r>
      <w:r w:rsidR="004376C0" w:rsidRPr="000A4E91">
        <w:rPr>
          <w:rFonts w:ascii="Arial" w:hAnsi="Arial" w:cs="Arial"/>
          <w:sz w:val="20"/>
          <w:szCs w:val="20"/>
        </w:rPr>
        <w:t xml:space="preserve"> </w:t>
      </w:r>
      <w:r w:rsidRPr="000A4E91">
        <w:rPr>
          <w:rFonts w:ascii="Arial" w:hAnsi="Arial" w:cs="Arial"/>
          <w:sz w:val="20"/>
          <w:szCs w:val="20"/>
        </w:rPr>
        <w:t>indicating the suitability of UPMWW</w:t>
      </w:r>
      <w:r w:rsidR="004376C0" w:rsidRPr="000A4E91">
        <w:rPr>
          <w:rFonts w:ascii="Arial" w:hAnsi="Arial" w:cs="Arial"/>
          <w:sz w:val="20"/>
          <w:szCs w:val="20"/>
        </w:rPr>
        <w:t>-</w:t>
      </w:r>
      <w:r w:rsidRPr="000A4E91">
        <w:rPr>
          <w:rFonts w:ascii="Arial" w:hAnsi="Arial" w:cs="Arial"/>
          <w:sz w:val="20"/>
          <w:szCs w:val="20"/>
        </w:rPr>
        <w:t xml:space="preserve">grown biomass for bioactive compound and feedstock applications. To the best of our knowledge, this is the first report on FTIR characterization of UPMWW-grown double mutant </w:t>
      </w:r>
      <w:r w:rsidRPr="000A4E91">
        <w:rPr>
          <w:rFonts w:ascii="Arial" w:hAnsi="Arial" w:cs="Arial"/>
          <w:i/>
          <w:iCs/>
          <w:sz w:val="20"/>
          <w:szCs w:val="20"/>
        </w:rPr>
        <w:t>C. humicola</w:t>
      </w:r>
      <w:r w:rsidRPr="000A4E91">
        <w:rPr>
          <w:rFonts w:ascii="Arial" w:hAnsi="Arial" w:cs="Arial"/>
          <w:sz w:val="20"/>
          <w:szCs w:val="20"/>
        </w:rPr>
        <w:t xml:space="preserve"> MCH4 for sustainable bioactive feedstock production. Overall, the findings highlight UPMWW as a promising low-cost substrate for microalgal bioprocessing, supporting circular bioeconomy strategies by integrating wastewater valorization with high-value biomass production.</w:t>
      </w:r>
    </w:p>
    <w:p w14:paraId="45BAED8B" w14:textId="77777777" w:rsidR="00837128" w:rsidRDefault="00837128" w:rsidP="00A57EF5">
      <w:pPr>
        <w:spacing w:after="0" w:line="240" w:lineRule="auto"/>
        <w:jc w:val="both"/>
        <w:rPr>
          <w:rFonts w:ascii="Arial" w:hAnsi="Arial" w:cs="Arial"/>
          <w:sz w:val="20"/>
          <w:szCs w:val="20"/>
        </w:rPr>
      </w:pPr>
    </w:p>
    <w:p w14:paraId="4538BE00" w14:textId="4E2A3EE0"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 xml:space="preserve">. </w:t>
      </w:r>
    </w:p>
    <w:p w14:paraId="2CDDD2A7" w14:textId="77777777" w:rsidR="00A57EF5" w:rsidRPr="000A4E91" w:rsidRDefault="00A57EF5" w:rsidP="00A57EF5">
      <w:pPr>
        <w:spacing w:after="0" w:line="240" w:lineRule="auto"/>
        <w:jc w:val="both"/>
        <w:rPr>
          <w:rFonts w:ascii="Arial" w:hAnsi="Arial" w:cs="Arial"/>
          <w:sz w:val="20"/>
          <w:szCs w:val="20"/>
        </w:rPr>
      </w:pPr>
      <w:r w:rsidRPr="000A4E91">
        <w:rPr>
          <w:rFonts w:ascii="Arial" w:hAnsi="Arial" w:cs="Arial"/>
          <w:b/>
          <w:bCs/>
          <w:sz w:val="20"/>
          <w:szCs w:val="20"/>
        </w:rPr>
        <w:t xml:space="preserve">DATA AVAILABILITY </w:t>
      </w:r>
    </w:p>
    <w:p w14:paraId="54E7238A" w14:textId="08D9FDFD"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 xml:space="preserve">All datasets produced or analyzed during this study are included in the manuscript. </w:t>
      </w:r>
    </w:p>
    <w:p w14:paraId="424B3AED" w14:textId="77777777" w:rsidR="00A57EF5" w:rsidRPr="000A4E91" w:rsidRDefault="00A57EF5" w:rsidP="00A57EF5">
      <w:pPr>
        <w:spacing w:after="0" w:line="240" w:lineRule="auto"/>
        <w:jc w:val="both"/>
        <w:rPr>
          <w:rFonts w:ascii="Arial" w:hAnsi="Arial" w:cs="Arial"/>
          <w:sz w:val="20"/>
          <w:szCs w:val="20"/>
        </w:rPr>
      </w:pPr>
      <w:r w:rsidRPr="000A4E91">
        <w:rPr>
          <w:rFonts w:ascii="Arial" w:hAnsi="Arial" w:cs="Arial"/>
          <w:b/>
          <w:bCs/>
          <w:sz w:val="20"/>
          <w:szCs w:val="20"/>
        </w:rPr>
        <w:t xml:space="preserve">ETHICS STATEMENT </w:t>
      </w:r>
    </w:p>
    <w:p w14:paraId="091DBCDE" w14:textId="1A8604D9" w:rsidR="00A57EF5" w:rsidRDefault="00A57EF5" w:rsidP="00A57EF5">
      <w:pPr>
        <w:spacing w:after="0" w:line="240" w:lineRule="auto"/>
        <w:jc w:val="both"/>
        <w:rPr>
          <w:rFonts w:ascii="Arial" w:hAnsi="Arial" w:cs="Arial"/>
          <w:sz w:val="20"/>
          <w:szCs w:val="20"/>
        </w:rPr>
      </w:pPr>
      <w:r w:rsidRPr="000A4E91">
        <w:rPr>
          <w:rFonts w:ascii="Arial" w:hAnsi="Arial" w:cs="Arial"/>
          <w:sz w:val="20"/>
          <w:szCs w:val="20"/>
        </w:rPr>
        <w:t>Not applicable.</w:t>
      </w:r>
    </w:p>
    <w:p w14:paraId="2274AE42" w14:textId="714DE102" w:rsidR="001F4F96" w:rsidRDefault="001F4F96" w:rsidP="00A57EF5">
      <w:pPr>
        <w:spacing w:after="0" w:line="240" w:lineRule="auto"/>
        <w:jc w:val="both"/>
        <w:rPr>
          <w:rFonts w:ascii="Arial" w:hAnsi="Arial" w:cs="Arial"/>
          <w:sz w:val="20"/>
          <w:szCs w:val="20"/>
        </w:rPr>
      </w:pPr>
    </w:p>
    <w:p w14:paraId="51AAE041" w14:textId="77777777" w:rsidR="001F4F96" w:rsidRPr="00651B67" w:rsidRDefault="001F4F96" w:rsidP="00651B67">
      <w:pPr>
        <w:spacing w:after="0" w:line="240" w:lineRule="auto"/>
        <w:jc w:val="both"/>
        <w:rPr>
          <w:rFonts w:ascii="Arial" w:hAnsi="Arial" w:cs="Arial"/>
          <w:b/>
          <w:bCs/>
          <w:sz w:val="20"/>
          <w:szCs w:val="20"/>
        </w:rPr>
      </w:pPr>
      <w:bookmarkStart w:id="1" w:name="_Hlk218868534"/>
      <w:r w:rsidRPr="00651B67">
        <w:rPr>
          <w:rFonts w:ascii="Arial" w:hAnsi="Arial" w:cs="Arial"/>
          <w:b/>
          <w:bCs/>
          <w:sz w:val="20"/>
          <w:szCs w:val="20"/>
        </w:rPr>
        <w:t>Disclaimer (Artificial intelligence)</w:t>
      </w:r>
    </w:p>
    <w:p w14:paraId="3360CDA6" w14:textId="6CF461C4" w:rsidR="001F4F96" w:rsidRPr="00651B67" w:rsidRDefault="001F4F96" w:rsidP="00651B67">
      <w:pPr>
        <w:spacing w:after="0" w:line="240" w:lineRule="auto"/>
        <w:jc w:val="both"/>
        <w:rPr>
          <w:rFonts w:ascii="Arial" w:hAnsi="Arial" w:cs="Arial"/>
          <w:sz w:val="20"/>
          <w:szCs w:val="20"/>
        </w:rPr>
      </w:pPr>
      <w:r w:rsidRPr="00651B67">
        <w:rPr>
          <w:rFonts w:ascii="Arial" w:hAnsi="Arial" w:cs="Arial"/>
          <w:sz w:val="20"/>
          <w:szCs w:val="20"/>
        </w:rPr>
        <w:t xml:space="preserve">Author(s) hereby </w:t>
      </w:r>
      <w:r w:rsidR="006A3237" w:rsidRPr="00651B67">
        <w:rPr>
          <w:rFonts w:ascii="Arial" w:hAnsi="Arial" w:cs="Arial"/>
          <w:sz w:val="20"/>
          <w:szCs w:val="20"/>
        </w:rPr>
        <w:t>declares</w:t>
      </w:r>
      <w:r w:rsidRPr="00651B67">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bookmarkEnd w:id="1"/>
    <w:p w14:paraId="23BE33F8" w14:textId="77777777" w:rsidR="001F4F96" w:rsidRDefault="001F4F96" w:rsidP="001F4F96">
      <w:pPr>
        <w:pStyle w:val="NoSpacing"/>
        <w:rPr>
          <w:rFonts w:ascii="Arial" w:hAnsi="Arial" w:cs="Arial"/>
          <w:highlight w:val="yellow"/>
        </w:rPr>
      </w:pPr>
    </w:p>
    <w:p w14:paraId="78A183A8" w14:textId="77777777" w:rsidR="001F4F96" w:rsidRPr="000A4E91" w:rsidRDefault="001F4F96" w:rsidP="00A57EF5">
      <w:pPr>
        <w:spacing w:after="0" w:line="240" w:lineRule="auto"/>
        <w:jc w:val="both"/>
        <w:rPr>
          <w:rFonts w:ascii="Arial" w:hAnsi="Arial" w:cs="Arial"/>
          <w:sz w:val="20"/>
          <w:szCs w:val="20"/>
        </w:rPr>
      </w:pPr>
    </w:p>
    <w:p w14:paraId="68D31F6E" w14:textId="05E5570D" w:rsidR="00A57EF5" w:rsidRPr="00DA2E39" w:rsidRDefault="00DA2E39" w:rsidP="00DA2E39">
      <w:pPr>
        <w:spacing w:after="0" w:line="240" w:lineRule="auto"/>
        <w:jc w:val="both"/>
        <w:rPr>
          <w:rFonts w:ascii="Arial" w:hAnsi="Arial" w:cs="Arial"/>
          <w:b/>
          <w:bCs/>
          <w:sz w:val="22"/>
          <w:szCs w:val="22"/>
        </w:rPr>
      </w:pPr>
      <w:r w:rsidRPr="00DA2E39">
        <w:rPr>
          <w:rFonts w:ascii="Arial" w:hAnsi="Arial" w:cs="Arial"/>
          <w:b/>
          <w:bCs/>
          <w:sz w:val="22"/>
          <w:szCs w:val="22"/>
        </w:rPr>
        <w:t>REFERENCES</w:t>
      </w:r>
    </w:p>
    <w:p w14:paraId="3CFD226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Abdel-Raouf, N., Al-Homaidan, A. A., &amp; Ibraheem, I. (2012). Microalgae and wastewater treatment. </w:t>
      </w:r>
      <w:r w:rsidRPr="00CC6B5F">
        <w:rPr>
          <w:rFonts w:ascii="Arial" w:hAnsi="Arial" w:cs="Arial"/>
          <w:i/>
          <w:iCs/>
          <w:sz w:val="22"/>
          <w:szCs w:val="22"/>
        </w:rPr>
        <w:t>Saudi Journal of Biological Sciences</w:t>
      </w:r>
      <w:r w:rsidRPr="00CC6B5F">
        <w:rPr>
          <w:rFonts w:ascii="Arial" w:hAnsi="Arial" w:cs="Arial"/>
          <w:sz w:val="22"/>
          <w:szCs w:val="22"/>
        </w:rPr>
        <w:t xml:space="preserve">, 19(3), 257–275. </w:t>
      </w:r>
      <w:hyperlink r:id="rId11" w:tgtFrame="_blank" w:tooltip="Persistent link using digital object identifier" w:history="1">
        <w:r w:rsidRPr="00CC6B5F">
          <w:rPr>
            <w:rStyle w:val="Hyperlink"/>
            <w:rFonts w:ascii="Arial" w:hAnsi="Arial" w:cs="Arial"/>
            <w:color w:val="auto"/>
            <w:sz w:val="22"/>
            <w:szCs w:val="22"/>
          </w:rPr>
          <w:t>https://doi.org/10.1016/j.sjbs.2012.04.005</w:t>
        </w:r>
      </w:hyperlink>
    </w:p>
    <w:p w14:paraId="561E668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Ahmed, S. F., Mofijur, M., Parisa, T. A., Islam, N., Kusumo, F., Inayat, A., Badruddin, I. A., Khan, T. Y., &amp; Ong, H. C. (2022). Progress and challenges of contaminant removal from wastewater using microalgae biomass. </w:t>
      </w:r>
      <w:r w:rsidRPr="00CC6B5F">
        <w:rPr>
          <w:rFonts w:ascii="Arial" w:hAnsi="Arial" w:cs="Arial"/>
          <w:i/>
          <w:iCs/>
          <w:sz w:val="22"/>
          <w:szCs w:val="22"/>
        </w:rPr>
        <w:t>Chemosphere</w:t>
      </w:r>
      <w:r w:rsidRPr="00CC6B5F">
        <w:rPr>
          <w:rFonts w:ascii="Arial" w:hAnsi="Arial" w:cs="Arial"/>
          <w:sz w:val="22"/>
          <w:szCs w:val="22"/>
        </w:rPr>
        <w:t xml:space="preserve">, 286, 131656. </w:t>
      </w:r>
      <w:hyperlink r:id="rId12" w:tgtFrame="_blank" w:tooltip="Persistent link using digital object identifier" w:history="1">
        <w:r w:rsidRPr="00CC6B5F">
          <w:rPr>
            <w:rStyle w:val="Hyperlink"/>
            <w:rFonts w:ascii="Arial" w:hAnsi="Arial" w:cs="Arial"/>
            <w:color w:val="auto"/>
            <w:sz w:val="22"/>
            <w:szCs w:val="22"/>
          </w:rPr>
          <w:t>https://doi.org/10.1016/j.chemosphere.2021.131656</w:t>
        </w:r>
      </w:hyperlink>
    </w:p>
    <w:p w14:paraId="674FDBA0"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Azman, K. A. K., Seong, F. C., Singh, G. K. S., &amp; Affandi, M. M. R. M. M. (2021). Physicochemical characterization of astaxanthin-loaded PLGA formulation via nanoprecipitation technique. </w:t>
      </w:r>
      <w:r w:rsidRPr="00CC6B5F">
        <w:rPr>
          <w:rFonts w:ascii="Arial" w:hAnsi="Arial" w:cs="Arial"/>
          <w:i/>
          <w:iCs/>
          <w:sz w:val="22"/>
          <w:szCs w:val="22"/>
        </w:rPr>
        <w:t>Journal of Applied Pharmaceutical Science</w:t>
      </w:r>
      <w:r w:rsidRPr="00CC6B5F">
        <w:rPr>
          <w:rFonts w:ascii="Arial" w:hAnsi="Arial" w:cs="Arial"/>
          <w:sz w:val="22"/>
          <w:szCs w:val="22"/>
        </w:rPr>
        <w:t>, 11(6), 056–061. DOI: 10.7324/JAPS.2021.110606</w:t>
      </w:r>
    </w:p>
    <w:p w14:paraId="7DA964C2"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lastRenderedPageBreak/>
        <w:t xml:space="preserve">Broekman, S., Pohlmann, O., Beardwood, E. S., &amp; de Meulenaer, E. C. (2010). Ultrasonic treatment for microbiological control of water systems. </w:t>
      </w:r>
      <w:r w:rsidRPr="00CC6B5F">
        <w:rPr>
          <w:rFonts w:ascii="Arial" w:hAnsi="Arial" w:cs="Arial"/>
          <w:i/>
          <w:iCs/>
          <w:sz w:val="22"/>
          <w:szCs w:val="22"/>
        </w:rPr>
        <w:t>Ultrasonics Sonochemistry</w:t>
      </w:r>
      <w:r w:rsidRPr="00CC6B5F">
        <w:rPr>
          <w:rFonts w:ascii="Arial" w:hAnsi="Arial" w:cs="Arial"/>
          <w:sz w:val="22"/>
          <w:szCs w:val="22"/>
        </w:rPr>
        <w:t xml:space="preserve">, 17(6), 1041–1048. </w:t>
      </w:r>
      <w:hyperlink r:id="rId13" w:tgtFrame="_blank" w:tooltip="Persistent link using digital object identifier" w:history="1">
        <w:r w:rsidRPr="00CC6B5F">
          <w:rPr>
            <w:rStyle w:val="Hyperlink"/>
            <w:rFonts w:ascii="Arial" w:hAnsi="Arial" w:cs="Arial"/>
            <w:color w:val="auto"/>
            <w:sz w:val="22"/>
            <w:szCs w:val="22"/>
          </w:rPr>
          <w:t>https://doi.org/10.1016/j.ultsonch.2009.11.011</w:t>
        </w:r>
      </w:hyperlink>
    </w:p>
    <w:p w14:paraId="668B6C4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Chu, S. P. (1942). The influence of the mineral composition of the medium on the growth of planktonic algae. Part I. Methods and culture media. </w:t>
      </w:r>
      <w:r w:rsidRPr="00CC6B5F">
        <w:rPr>
          <w:rFonts w:ascii="Arial" w:hAnsi="Arial" w:cs="Arial"/>
          <w:i/>
          <w:iCs/>
          <w:sz w:val="22"/>
          <w:szCs w:val="22"/>
        </w:rPr>
        <w:t>Journal of Ecology</w:t>
      </w:r>
      <w:r w:rsidRPr="00CC6B5F">
        <w:rPr>
          <w:rFonts w:ascii="Arial" w:hAnsi="Arial" w:cs="Arial"/>
          <w:sz w:val="22"/>
          <w:szCs w:val="22"/>
        </w:rPr>
        <w:t>, 30(2), 284–325. doi: 10.2307/2256574</w:t>
      </w:r>
    </w:p>
    <w:p w14:paraId="0DC68956"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Ciggin, A. S., Sarica, E. S., Dogruel, S., &amp; Orhon, D. (2021). Impact of ultrasonic pretreatment on Fenton-based oxidation of olive mill wastewater—towards a sustainable treatment scheme. </w:t>
      </w:r>
      <w:r w:rsidRPr="00CC6B5F">
        <w:rPr>
          <w:rFonts w:ascii="Arial" w:hAnsi="Arial" w:cs="Arial"/>
          <w:i/>
          <w:iCs/>
          <w:sz w:val="22"/>
          <w:szCs w:val="22"/>
        </w:rPr>
        <w:t>Journal of Cleaner Production</w:t>
      </w:r>
      <w:r w:rsidRPr="00CC6B5F">
        <w:rPr>
          <w:rFonts w:ascii="Arial" w:hAnsi="Arial" w:cs="Arial"/>
          <w:sz w:val="22"/>
          <w:szCs w:val="22"/>
        </w:rPr>
        <w:t xml:space="preserve">, 313, 127948. </w:t>
      </w:r>
      <w:hyperlink r:id="rId14" w:tgtFrame="_blank" w:tooltip="Persistent link using digital object identifier" w:history="1">
        <w:r w:rsidRPr="00CC6B5F">
          <w:rPr>
            <w:rStyle w:val="Hyperlink"/>
            <w:rFonts w:ascii="Arial" w:hAnsi="Arial" w:cs="Arial"/>
            <w:color w:val="auto"/>
            <w:sz w:val="22"/>
            <w:szCs w:val="22"/>
          </w:rPr>
          <w:t>https://doi.org/10.1016/j.jclepro.2021.127948</w:t>
        </w:r>
      </w:hyperlink>
    </w:p>
    <w:p w14:paraId="148F6709"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Dhandayuthapani, K., Kumar, P. S., Chia, W. Y., Chew, K. W., Karthik, V., Selvarangaraj, H., Selvakumar, P., Sivashanmugam, P., &amp; Show, P. L. (2022). Bioethanol from hydrolysate of ultrasonic processed robust microalgal biomass cultivated in dairy wastewater under optimal strategy. </w:t>
      </w:r>
      <w:r w:rsidRPr="00CC6B5F">
        <w:rPr>
          <w:rFonts w:ascii="Arial" w:hAnsi="Arial" w:cs="Arial"/>
          <w:i/>
          <w:iCs/>
          <w:sz w:val="22"/>
          <w:szCs w:val="22"/>
        </w:rPr>
        <w:t>Energy</w:t>
      </w:r>
      <w:r w:rsidRPr="00CC6B5F">
        <w:rPr>
          <w:rFonts w:ascii="Arial" w:hAnsi="Arial" w:cs="Arial"/>
          <w:sz w:val="22"/>
          <w:szCs w:val="22"/>
        </w:rPr>
        <w:t>, 244, 122604. doi: 10.1016/j.energy.2021.122604</w:t>
      </w:r>
    </w:p>
    <w:p w14:paraId="5C707FF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Goswami, R. K., Mehariya, S., Verma, P., Lavecchia, R., &amp; Zuorro, A. (2021). Microalgae-based biorefineries for sustainable resource recovery from wastewater. </w:t>
      </w:r>
      <w:r w:rsidRPr="00CC6B5F">
        <w:rPr>
          <w:rFonts w:ascii="Arial" w:hAnsi="Arial" w:cs="Arial"/>
          <w:i/>
          <w:iCs/>
          <w:sz w:val="22"/>
          <w:szCs w:val="22"/>
        </w:rPr>
        <w:t>Journal of Water Process Engineering</w:t>
      </w:r>
      <w:r w:rsidRPr="00CC6B5F">
        <w:rPr>
          <w:rFonts w:ascii="Arial" w:hAnsi="Arial" w:cs="Arial"/>
          <w:sz w:val="22"/>
          <w:szCs w:val="22"/>
        </w:rPr>
        <w:t xml:space="preserve">, 40, 101747. </w:t>
      </w:r>
      <w:hyperlink r:id="rId15" w:tgtFrame="_blank" w:tooltip="Persistent link using digital object identifier" w:history="1">
        <w:r w:rsidRPr="00CC6B5F">
          <w:rPr>
            <w:rStyle w:val="Hyperlink"/>
            <w:rFonts w:ascii="Arial" w:hAnsi="Arial" w:cs="Arial"/>
            <w:color w:val="auto"/>
            <w:sz w:val="22"/>
            <w:szCs w:val="22"/>
          </w:rPr>
          <w:t>https://doi.org/10.1016/j.jwpe.2020.101747</w:t>
        </w:r>
      </w:hyperlink>
    </w:p>
    <w:p w14:paraId="62EADDD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Grace, C. E. E., Lakshmi, P. K., Meenakshi, S., Vaidyanathan, S., Srisudha, S., &amp; Mary, M. B. (2020). Biomolecular transitions and lipid accumulation in green microalgae monitored by FTIR and Raman analysis. </w:t>
      </w:r>
      <w:r w:rsidRPr="00CC6B5F">
        <w:rPr>
          <w:rFonts w:ascii="Arial" w:hAnsi="Arial" w:cs="Arial"/>
          <w:i/>
          <w:iCs/>
          <w:sz w:val="22"/>
          <w:szCs w:val="22"/>
        </w:rPr>
        <w:t>Spectrochimica Acta Part A: Molecular and Biomolecular Spectroscopy</w:t>
      </w:r>
      <w:r w:rsidRPr="00CC6B5F">
        <w:rPr>
          <w:rFonts w:ascii="Arial" w:hAnsi="Arial" w:cs="Arial"/>
          <w:sz w:val="22"/>
          <w:szCs w:val="22"/>
        </w:rPr>
        <w:t xml:space="preserve">, 224, 117382. </w:t>
      </w:r>
      <w:hyperlink r:id="rId16" w:tgtFrame="_blank" w:tooltip="Persistent link using digital object identifier" w:history="1">
        <w:r w:rsidRPr="00CC6B5F">
          <w:rPr>
            <w:rStyle w:val="Hyperlink"/>
            <w:rFonts w:ascii="Arial" w:hAnsi="Arial" w:cs="Arial"/>
            <w:color w:val="auto"/>
            <w:sz w:val="22"/>
            <w:szCs w:val="22"/>
          </w:rPr>
          <w:t>https://doi.org/10.1016/j.saa.2019.117382</w:t>
        </w:r>
      </w:hyperlink>
    </w:p>
    <w:p w14:paraId="674D14CF"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Guo, W. Q., Zheng, H. S., Li, S., Ho, S. H., Yang, S. S., Feng, X. C., Chang, J. S., Wang, X. J., &amp; Ren, N. Q. (2016). Promotion effects of ultrasound on sludge biodegradation by thermophilic bacteria Geobacillus stearothermophilus TP-12. </w:t>
      </w:r>
      <w:r w:rsidRPr="00CC6B5F">
        <w:rPr>
          <w:rFonts w:ascii="Arial" w:hAnsi="Arial" w:cs="Arial"/>
          <w:i/>
          <w:iCs/>
          <w:sz w:val="22"/>
          <w:szCs w:val="22"/>
        </w:rPr>
        <w:t>Biochemical Engineering Journal</w:t>
      </w:r>
      <w:r w:rsidRPr="00CC6B5F">
        <w:rPr>
          <w:rFonts w:ascii="Arial" w:hAnsi="Arial" w:cs="Arial"/>
          <w:sz w:val="22"/>
          <w:szCs w:val="22"/>
        </w:rPr>
        <w:t xml:space="preserve">, 105, 281–287. </w:t>
      </w:r>
      <w:hyperlink r:id="rId17" w:tgtFrame="_blank" w:tooltip="Persistent link using digital object identifier" w:history="1">
        <w:r w:rsidRPr="00CC6B5F">
          <w:rPr>
            <w:rStyle w:val="Hyperlink"/>
            <w:rFonts w:ascii="Arial" w:hAnsi="Arial" w:cs="Arial"/>
            <w:color w:val="auto"/>
            <w:sz w:val="22"/>
            <w:szCs w:val="22"/>
          </w:rPr>
          <w:t>https://doi.org/10.1016/j.bej.2015.10.002</w:t>
        </w:r>
      </w:hyperlink>
    </w:p>
    <w:p w14:paraId="132440A3"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Khan, S., Yaoguo, W., Xiaoyan, Z., Youning, X., Jianghua, Z., &amp; Sihai, H. (2014). Estimation of concentration of dissolved organic matter from sediment by using UV–Visible spectrophotometer. </w:t>
      </w:r>
      <w:r w:rsidRPr="00CC6B5F">
        <w:rPr>
          <w:rFonts w:ascii="Arial" w:hAnsi="Arial" w:cs="Arial"/>
          <w:i/>
          <w:iCs/>
          <w:sz w:val="22"/>
          <w:szCs w:val="22"/>
        </w:rPr>
        <w:t>International Journal of Environmental Pollution and Remediation</w:t>
      </w:r>
      <w:r w:rsidRPr="00CC6B5F">
        <w:rPr>
          <w:rFonts w:ascii="Arial" w:hAnsi="Arial" w:cs="Arial"/>
          <w:sz w:val="22"/>
          <w:szCs w:val="22"/>
        </w:rPr>
        <w:t>, 2(1), 24–29. DOI: 10.11159/ijepr.2014.004</w:t>
      </w:r>
    </w:p>
    <w:p w14:paraId="70D07538"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Le, V. G., Vo, D. V., Tran, H. T., Duy Dat, N., Luu, S. D., Rahman, M. M., Huang, Y. H., &amp; Vu, C. T. (2021). Recovery of magnesium from industrial effluent and its implication on carbon capture and storage. </w:t>
      </w:r>
      <w:r w:rsidRPr="00CC6B5F">
        <w:rPr>
          <w:rFonts w:ascii="Arial" w:hAnsi="Arial" w:cs="Arial"/>
          <w:i/>
          <w:iCs/>
          <w:sz w:val="22"/>
          <w:szCs w:val="22"/>
        </w:rPr>
        <w:t>ACS Sustainable Chemistry &amp; Engineering</w:t>
      </w:r>
      <w:r w:rsidRPr="00CC6B5F">
        <w:rPr>
          <w:rFonts w:ascii="Arial" w:hAnsi="Arial" w:cs="Arial"/>
          <w:sz w:val="22"/>
          <w:szCs w:val="22"/>
        </w:rPr>
        <w:t xml:space="preserve">, 9(19), 6732–6740. </w:t>
      </w:r>
      <w:hyperlink r:id="rId18" w:tooltip="DOI URL" w:history="1">
        <w:r w:rsidRPr="00CC6B5F">
          <w:rPr>
            <w:rStyle w:val="Hyperlink"/>
            <w:rFonts w:ascii="Arial" w:hAnsi="Arial" w:cs="Arial"/>
            <w:color w:val="auto"/>
            <w:sz w:val="22"/>
            <w:szCs w:val="22"/>
          </w:rPr>
          <w:t>https://doi.org/10.1021/acssuschemeng.1c00754</w:t>
        </w:r>
      </w:hyperlink>
    </w:p>
    <w:p w14:paraId="082DD48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Liu, J., Chen, X., Yang, X., Chen, J., &amp; Qi, Z. (2019). Astaxanthin accumulation in Haematococcus pluvialis observed through Fourier-transform infrared microspectroscopy imaging. </w:t>
      </w:r>
      <w:r w:rsidRPr="00CC6B5F">
        <w:rPr>
          <w:rFonts w:ascii="Arial" w:hAnsi="Arial" w:cs="Arial"/>
          <w:i/>
          <w:iCs/>
          <w:sz w:val="22"/>
          <w:szCs w:val="22"/>
        </w:rPr>
        <w:t>Journal of Molecular Structure</w:t>
      </w:r>
      <w:r w:rsidRPr="00CC6B5F">
        <w:rPr>
          <w:rFonts w:ascii="Arial" w:hAnsi="Arial" w:cs="Arial"/>
          <w:sz w:val="22"/>
          <w:szCs w:val="22"/>
        </w:rPr>
        <w:t xml:space="preserve">, 1182, 119–122. </w:t>
      </w:r>
      <w:hyperlink r:id="rId19" w:tgtFrame="_blank" w:tooltip="Persistent link using digital object identifier" w:history="1">
        <w:r w:rsidRPr="00CC6B5F">
          <w:rPr>
            <w:rStyle w:val="Hyperlink"/>
            <w:rFonts w:ascii="Arial" w:hAnsi="Arial" w:cs="Arial"/>
            <w:color w:val="auto"/>
            <w:sz w:val="22"/>
            <w:szCs w:val="22"/>
          </w:rPr>
          <w:t>https://doi.org/10.1016/j.molstruc.2019.01.026</w:t>
        </w:r>
      </w:hyperlink>
    </w:p>
    <w:p w14:paraId="613F7AE3"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Lu, W., Alam, M. A., Liu, S., Xu, J., &amp; Saldivar, R. P. (2020). Critical processes and variables in microalgae biomass production coupled with bioremediation of nutrients and CO</w:t>
      </w:r>
      <w:r w:rsidRPr="00CC6B5F">
        <w:rPr>
          <w:rFonts w:ascii="Cambria Math" w:hAnsi="Cambria Math" w:cs="Cambria Math"/>
          <w:sz w:val="22"/>
          <w:szCs w:val="22"/>
        </w:rPr>
        <w:t>₂</w:t>
      </w:r>
      <w:r w:rsidRPr="00CC6B5F">
        <w:rPr>
          <w:rFonts w:ascii="Arial" w:hAnsi="Arial" w:cs="Arial"/>
          <w:sz w:val="22"/>
          <w:szCs w:val="22"/>
        </w:rPr>
        <w:t xml:space="preserve"> from livestock farms: A review. </w:t>
      </w:r>
      <w:r w:rsidRPr="00CC6B5F">
        <w:rPr>
          <w:rFonts w:ascii="Arial" w:hAnsi="Arial" w:cs="Arial"/>
          <w:i/>
          <w:iCs/>
          <w:sz w:val="22"/>
          <w:szCs w:val="22"/>
        </w:rPr>
        <w:t>Science of the Total Environment</w:t>
      </w:r>
      <w:r w:rsidRPr="00CC6B5F">
        <w:rPr>
          <w:rFonts w:ascii="Arial" w:hAnsi="Arial" w:cs="Arial"/>
          <w:sz w:val="22"/>
          <w:szCs w:val="22"/>
        </w:rPr>
        <w:t xml:space="preserve">, 716, 135247. </w:t>
      </w:r>
      <w:hyperlink r:id="rId20" w:tgtFrame="_blank" w:tooltip="Persistent link using digital object identifier" w:history="1">
        <w:r w:rsidRPr="00CC6B5F">
          <w:rPr>
            <w:rStyle w:val="Hyperlink"/>
            <w:rFonts w:ascii="Arial" w:hAnsi="Arial" w:cs="Arial"/>
            <w:color w:val="auto"/>
            <w:sz w:val="22"/>
            <w:szCs w:val="22"/>
          </w:rPr>
          <w:t>https://doi.org/10.1016/j.scitotenv.2019.135247</w:t>
        </w:r>
      </w:hyperlink>
    </w:p>
    <w:p w14:paraId="5B5A3E9D"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Malathy, S., Narmatha, R., Shanthi, K., &amp; Dhandayuthapani, K. (2023). Statistical optimization of ultrasonic pretreatment of municipal wastewater for biomass and lipids production using newly isolated Scenedesmus quadricauda Kütz. </w:t>
      </w:r>
      <w:r w:rsidRPr="00CC6B5F">
        <w:rPr>
          <w:rFonts w:ascii="Arial" w:hAnsi="Arial" w:cs="Arial"/>
          <w:i/>
          <w:iCs/>
          <w:sz w:val="22"/>
          <w:szCs w:val="22"/>
        </w:rPr>
        <w:t>Indian Journal of Natural Sciences</w:t>
      </w:r>
      <w:r w:rsidRPr="00CC6B5F">
        <w:rPr>
          <w:rFonts w:ascii="Arial" w:hAnsi="Arial" w:cs="Arial"/>
          <w:sz w:val="22"/>
          <w:szCs w:val="22"/>
        </w:rPr>
        <w:t>, 14(79), 58255–58263. https://tnsroindia.org.in/JOURNAL/issue79/ISSUE%2079%20AUGUST%202023%20-%20FRONT%20PAGE%2001.pdf</w:t>
      </w:r>
    </w:p>
    <w:p w14:paraId="3020F94F" w14:textId="77777777" w:rsidR="00B67CEA" w:rsidRPr="00CC6B5F" w:rsidRDefault="00B67CEA" w:rsidP="00B67CEA">
      <w:pPr>
        <w:spacing w:after="0" w:line="240" w:lineRule="auto"/>
        <w:ind w:left="720" w:hanging="720"/>
        <w:jc w:val="both"/>
        <w:rPr>
          <w:rFonts w:ascii="Arial" w:hAnsi="Arial" w:cs="Arial"/>
          <w:sz w:val="22"/>
          <w:szCs w:val="22"/>
        </w:rPr>
      </w:pPr>
      <w:r w:rsidRPr="00530A16">
        <w:rPr>
          <w:rFonts w:ascii="Arial" w:hAnsi="Arial" w:cs="Arial"/>
          <w:sz w:val="22"/>
          <w:szCs w:val="22"/>
          <w:lang w:val="nl-BE"/>
        </w:rPr>
        <w:t xml:space="preserve">Mischopoulou, M., Naidis, P., Kalamaras, S., Kotsopoulos, T. A., &amp; Samaras, P. (2016). </w:t>
      </w:r>
      <w:r w:rsidRPr="00CC6B5F">
        <w:rPr>
          <w:rFonts w:ascii="Arial" w:hAnsi="Arial" w:cs="Arial"/>
          <w:sz w:val="22"/>
          <w:szCs w:val="22"/>
        </w:rPr>
        <w:t xml:space="preserve">Effect of ultrasonic and ozonation pretreatment on methane production potential of raw molasses wastewater. </w:t>
      </w:r>
      <w:r w:rsidRPr="00CC6B5F">
        <w:rPr>
          <w:rFonts w:ascii="Arial" w:hAnsi="Arial" w:cs="Arial"/>
          <w:i/>
          <w:iCs/>
          <w:sz w:val="22"/>
          <w:szCs w:val="22"/>
        </w:rPr>
        <w:t>Renewable Energy</w:t>
      </w:r>
      <w:r w:rsidRPr="00CC6B5F">
        <w:rPr>
          <w:rFonts w:ascii="Arial" w:hAnsi="Arial" w:cs="Arial"/>
          <w:sz w:val="22"/>
          <w:szCs w:val="22"/>
        </w:rPr>
        <w:t>, 96, 1078–1085.</w:t>
      </w:r>
      <w:r w:rsidRPr="00CC6B5F">
        <w:rPr>
          <w:rFonts w:ascii="Arial" w:hAnsi="Arial" w:cs="Arial"/>
          <w:sz w:val="22"/>
          <w:szCs w:val="22"/>
          <w:shd w:val="clear" w:color="auto" w:fill="FFFFFF"/>
        </w:rPr>
        <w:t xml:space="preserve"> </w:t>
      </w:r>
      <w:r w:rsidRPr="00CC6B5F">
        <w:rPr>
          <w:rFonts w:ascii="Arial" w:hAnsi="Arial" w:cs="Arial"/>
          <w:sz w:val="22"/>
          <w:szCs w:val="22"/>
        </w:rPr>
        <w:t>DOI: 10.1016/j.renene.2015.11.060</w:t>
      </w:r>
    </w:p>
    <w:p w14:paraId="7C09113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Mofijur, M., Fattah, I. R., Kumar, P. S., Siddiki, S. Y., Rahman, S. A., Ahmed, S. F., Ong, H. C., Lam, S. S., Badruddin, I. A., Khan, T. Y., &amp; Mahlia, T. M. (2021). Bioenergy recovery </w:t>
      </w:r>
      <w:r w:rsidRPr="00CC6B5F">
        <w:rPr>
          <w:rFonts w:ascii="Arial" w:hAnsi="Arial" w:cs="Arial"/>
          <w:sz w:val="22"/>
          <w:szCs w:val="22"/>
        </w:rPr>
        <w:lastRenderedPageBreak/>
        <w:t xml:space="preserve">potential through the treatment of the meat processing industry waste in Australia. </w:t>
      </w:r>
      <w:r w:rsidRPr="00CC6B5F">
        <w:rPr>
          <w:rFonts w:ascii="Arial" w:hAnsi="Arial" w:cs="Arial"/>
          <w:i/>
          <w:iCs/>
          <w:sz w:val="22"/>
          <w:szCs w:val="22"/>
        </w:rPr>
        <w:t>Journal of Environmental Chemical Engineering</w:t>
      </w:r>
      <w:r w:rsidRPr="00CC6B5F">
        <w:rPr>
          <w:rFonts w:ascii="Arial" w:hAnsi="Arial" w:cs="Arial"/>
          <w:sz w:val="22"/>
          <w:szCs w:val="22"/>
        </w:rPr>
        <w:t xml:space="preserve">, 9(4), 105657. </w:t>
      </w:r>
      <w:hyperlink r:id="rId21" w:tgtFrame="_blank" w:tooltip="Persistent link using digital object identifier" w:history="1">
        <w:r w:rsidRPr="00CC6B5F">
          <w:rPr>
            <w:rStyle w:val="Hyperlink"/>
            <w:rFonts w:ascii="Arial" w:hAnsi="Arial" w:cs="Arial"/>
            <w:color w:val="auto"/>
            <w:sz w:val="22"/>
            <w:szCs w:val="22"/>
          </w:rPr>
          <w:t>https://doi.org/10.1016/j.jece.2021.105657</w:t>
        </w:r>
      </w:hyperlink>
    </w:p>
    <w:p w14:paraId="02E6F3D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Naveena, B., Armshaw, P., &amp; Pembroke, J. T. (2015). Ultrasonic intensification as a tool for enhanced microbial biofuel yields. </w:t>
      </w:r>
      <w:r w:rsidRPr="00CC6B5F">
        <w:rPr>
          <w:rFonts w:ascii="Arial" w:hAnsi="Arial" w:cs="Arial"/>
          <w:i/>
          <w:iCs/>
          <w:sz w:val="22"/>
          <w:szCs w:val="22"/>
        </w:rPr>
        <w:t>Biotechnology for Biofuels</w:t>
      </w:r>
      <w:r w:rsidRPr="00CC6B5F">
        <w:rPr>
          <w:rFonts w:ascii="Arial" w:hAnsi="Arial" w:cs="Arial"/>
          <w:sz w:val="22"/>
          <w:szCs w:val="22"/>
        </w:rPr>
        <w:t>, 8, 140.</w:t>
      </w:r>
      <w:r w:rsidRPr="00CC6B5F">
        <w:rPr>
          <w:rFonts w:ascii="Arial" w:hAnsi="Arial" w:cs="Arial"/>
          <w:sz w:val="22"/>
          <w:szCs w:val="22"/>
          <w:shd w:val="clear" w:color="auto" w:fill="FFFFFF"/>
        </w:rPr>
        <w:t xml:space="preserve"> </w:t>
      </w:r>
      <w:r w:rsidRPr="00CC6B5F">
        <w:rPr>
          <w:rFonts w:ascii="Arial" w:hAnsi="Arial" w:cs="Arial"/>
          <w:sz w:val="22"/>
          <w:szCs w:val="22"/>
        </w:rPr>
        <w:t>https://doi.org/10.1186/s13068-015-0321-0</w:t>
      </w:r>
    </w:p>
    <w:p w14:paraId="7125CFEE"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Oslan, S. N. H., Xuan, N. J., Khodzori, F. A., Hakim, B. N. A., Huda, N., Julmohamad, N., &amp; Barzkar, N. (2025). Comprehensive review of bioactive compounds from microalgae as promising source for industrial applications. </w:t>
      </w:r>
      <w:r w:rsidRPr="00CC6B5F">
        <w:rPr>
          <w:rFonts w:ascii="Arial" w:hAnsi="Arial" w:cs="Arial"/>
          <w:i/>
          <w:iCs/>
          <w:sz w:val="22"/>
          <w:szCs w:val="22"/>
        </w:rPr>
        <w:t>Algal Research</w:t>
      </w:r>
      <w:r w:rsidRPr="00CC6B5F">
        <w:rPr>
          <w:rFonts w:ascii="Arial" w:hAnsi="Arial" w:cs="Arial"/>
          <w:sz w:val="22"/>
          <w:szCs w:val="22"/>
        </w:rPr>
        <w:t xml:space="preserve">, 19, 104420. </w:t>
      </w:r>
      <w:hyperlink r:id="rId22" w:tgtFrame="_blank" w:tooltip="Persistent link using digital object identifier" w:history="1">
        <w:r w:rsidRPr="00CC6B5F">
          <w:rPr>
            <w:rStyle w:val="Hyperlink"/>
            <w:rFonts w:ascii="Arial" w:hAnsi="Arial" w:cs="Arial"/>
            <w:color w:val="auto"/>
            <w:sz w:val="22"/>
            <w:szCs w:val="22"/>
          </w:rPr>
          <w:t>DOI; 10.1016/j.algal.2025.104420</w:t>
        </w:r>
      </w:hyperlink>
    </w:p>
    <w:p w14:paraId="52A6C038" w14:textId="77777777" w:rsidR="00B67CEA" w:rsidRPr="00CC6B5F" w:rsidRDefault="00B67CEA" w:rsidP="00B67CEA">
      <w:pPr>
        <w:spacing w:after="0" w:line="240" w:lineRule="auto"/>
        <w:ind w:left="720" w:hanging="720"/>
        <w:jc w:val="both"/>
        <w:rPr>
          <w:rFonts w:ascii="Arial" w:hAnsi="Arial" w:cs="Arial"/>
          <w:sz w:val="22"/>
          <w:szCs w:val="22"/>
        </w:rPr>
      </w:pPr>
    </w:p>
    <w:p w14:paraId="6228FE5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Pilli, S., Bhunia, P., Yan, S., LeBlanc, R. J., Tyagi, R. D., &amp; Surampalli, R. Y. (2011). Ultrasonic pretreatment of sludge: A review. </w:t>
      </w:r>
      <w:r w:rsidRPr="00CC6B5F">
        <w:rPr>
          <w:rFonts w:ascii="Arial" w:hAnsi="Arial" w:cs="Arial"/>
          <w:i/>
          <w:iCs/>
          <w:sz w:val="22"/>
          <w:szCs w:val="22"/>
        </w:rPr>
        <w:t>Ultrasonics Sonochemistry</w:t>
      </w:r>
      <w:r w:rsidRPr="00CC6B5F">
        <w:rPr>
          <w:rFonts w:ascii="Arial" w:hAnsi="Arial" w:cs="Arial"/>
          <w:sz w:val="22"/>
          <w:szCs w:val="22"/>
        </w:rPr>
        <w:t xml:space="preserve">, 18(1), 1–8. </w:t>
      </w:r>
      <w:hyperlink r:id="rId23" w:tgtFrame="_blank" w:tooltip="Persistent link using digital object identifier" w:history="1">
        <w:r w:rsidRPr="00CC6B5F">
          <w:rPr>
            <w:rStyle w:val="Hyperlink"/>
            <w:rFonts w:ascii="Arial" w:hAnsi="Arial" w:cs="Arial"/>
            <w:color w:val="auto"/>
            <w:sz w:val="22"/>
            <w:szCs w:val="22"/>
          </w:rPr>
          <w:t>https://doi.org/10.1016/j.ultsonch.2010.02.014</w:t>
        </w:r>
      </w:hyperlink>
    </w:p>
    <w:p w14:paraId="1F0D0459" w14:textId="77777777" w:rsidR="00EC253B" w:rsidRDefault="00B67CEA" w:rsidP="00EC253B">
      <w:pPr>
        <w:spacing w:after="0" w:line="240" w:lineRule="auto"/>
        <w:ind w:left="720" w:hanging="720"/>
        <w:jc w:val="both"/>
      </w:pPr>
      <w:r w:rsidRPr="00530A16">
        <w:rPr>
          <w:rFonts w:ascii="Arial" w:hAnsi="Arial" w:cs="Arial"/>
          <w:sz w:val="22"/>
          <w:szCs w:val="22"/>
          <w:lang w:val="nl-BE"/>
        </w:rPr>
        <w:t xml:space="preserve">Schlafer, O., Onyeche, T., Bormann, H., Schröder, C., &amp; Sievers, M. (2002). </w:t>
      </w:r>
      <w:r w:rsidRPr="00CC6B5F">
        <w:rPr>
          <w:rFonts w:ascii="Arial" w:hAnsi="Arial" w:cs="Arial"/>
          <w:sz w:val="22"/>
          <w:szCs w:val="22"/>
        </w:rPr>
        <w:t xml:space="preserve">Ultrasound stimulation of microorganisms for enhanced biodegradation. </w:t>
      </w:r>
      <w:r w:rsidRPr="00CC6B5F">
        <w:rPr>
          <w:rFonts w:ascii="Arial" w:hAnsi="Arial" w:cs="Arial"/>
          <w:i/>
          <w:iCs/>
          <w:sz w:val="22"/>
          <w:szCs w:val="22"/>
        </w:rPr>
        <w:t>Ultrasonics</w:t>
      </w:r>
      <w:r w:rsidRPr="00CC6B5F">
        <w:rPr>
          <w:rFonts w:ascii="Arial" w:hAnsi="Arial" w:cs="Arial"/>
          <w:sz w:val="22"/>
          <w:szCs w:val="22"/>
        </w:rPr>
        <w:t xml:space="preserve">, 40(1–8), 25–29. </w:t>
      </w:r>
      <w:hyperlink r:id="rId24" w:tgtFrame="_blank" w:tooltip="Persistent link using digital object identifier" w:history="1">
        <w:r w:rsidRPr="00CC6B5F">
          <w:rPr>
            <w:rStyle w:val="Hyperlink"/>
            <w:rFonts w:ascii="Arial" w:hAnsi="Arial" w:cs="Arial"/>
            <w:color w:val="auto"/>
            <w:sz w:val="22"/>
            <w:szCs w:val="22"/>
          </w:rPr>
          <w:t>https://doi.org/10.1016/S0041-624X(02)00086-0</w:t>
        </w:r>
      </w:hyperlink>
    </w:p>
    <w:p w14:paraId="6552970C" w14:textId="1FA1D8F5" w:rsidR="00EC253B" w:rsidRPr="00EC253B" w:rsidRDefault="00EC253B" w:rsidP="00EC253B">
      <w:pPr>
        <w:spacing w:after="0" w:line="240" w:lineRule="auto"/>
        <w:ind w:left="720" w:hanging="720"/>
        <w:jc w:val="both"/>
      </w:pPr>
      <w:r w:rsidRPr="00EC253B">
        <w:rPr>
          <w:rFonts w:ascii="Arial" w:hAnsi="Arial" w:cs="Arial"/>
          <w:sz w:val="22"/>
          <w:szCs w:val="22"/>
        </w:rPr>
        <w:t>Sudhakar</w:t>
      </w:r>
      <w:r>
        <w:rPr>
          <w:rFonts w:ascii="Arial" w:hAnsi="Arial" w:cs="Arial"/>
          <w:sz w:val="22"/>
          <w:szCs w:val="22"/>
        </w:rPr>
        <w:t>,</w:t>
      </w:r>
      <w:r w:rsidRPr="00EC253B">
        <w:rPr>
          <w:rFonts w:ascii="Arial" w:hAnsi="Arial" w:cs="Arial"/>
          <w:sz w:val="22"/>
          <w:szCs w:val="22"/>
        </w:rPr>
        <w:t xml:space="preserve"> K</w:t>
      </w:r>
      <w:r>
        <w:rPr>
          <w:rFonts w:ascii="Arial" w:hAnsi="Arial" w:cs="Arial"/>
          <w:sz w:val="22"/>
          <w:szCs w:val="22"/>
        </w:rPr>
        <w:t>.</w:t>
      </w:r>
      <w:r w:rsidRPr="00EC253B">
        <w:rPr>
          <w:rFonts w:ascii="Arial" w:hAnsi="Arial" w:cs="Arial"/>
          <w:sz w:val="22"/>
          <w:szCs w:val="22"/>
        </w:rPr>
        <w:t>,</w:t>
      </w:r>
      <w:r>
        <w:rPr>
          <w:rFonts w:ascii="Arial" w:hAnsi="Arial" w:cs="Arial"/>
          <w:sz w:val="22"/>
          <w:szCs w:val="22"/>
        </w:rPr>
        <w:t xml:space="preserve"> &amp;</w:t>
      </w:r>
      <w:r w:rsidRPr="00EC253B">
        <w:rPr>
          <w:rFonts w:ascii="Arial" w:hAnsi="Arial" w:cs="Arial"/>
          <w:sz w:val="22"/>
          <w:szCs w:val="22"/>
        </w:rPr>
        <w:t xml:space="preserve"> Premalatha, M</w:t>
      </w:r>
      <w:r>
        <w:rPr>
          <w:rFonts w:ascii="Arial" w:hAnsi="Arial" w:cs="Arial"/>
          <w:sz w:val="22"/>
          <w:szCs w:val="22"/>
        </w:rPr>
        <w:t>. (</w:t>
      </w:r>
      <w:r w:rsidRPr="00EC253B">
        <w:rPr>
          <w:rFonts w:ascii="Arial" w:hAnsi="Arial" w:cs="Arial"/>
          <w:sz w:val="22"/>
          <w:szCs w:val="22"/>
        </w:rPr>
        <w:t>2015</w:t>
      </w:r>
      <w:r>
        <w:rPr>
          <w:rFonts w:ascii="Arial" w:hAnsi="Arial" w:cs="Arial"/>
          <w:sz w:val="22"/>
          <w:szCs w:val="22"/>
        </w:rPr>
        <w:t>)</w:t>
      </w:r>
      <w:r w:rsidRPr="00EC253B">
        <w:rPr>
          <w:rFonts w:ascii="Arial" w:hAnsi="Arial" w:cs="Arial"/>
          <w:sz w:val="22"/>
          <w:szCs w:val="22"/>
        </w:rPr>
        <w:t xml:space="preserve">. Characterization of micro algal biomass through FTIR/TGA/CHN analysis: application to </w:t>
      </w:r>
      <w:r w:rsidRPr="00EC253B">
        <w:rPr>
          <w:rFonts w:ascii="Arial" w:hAnsi="Arial" w:cs="Arial"/>
          <w:i/>
          <w:iCs/>
          <w:sz w:val="22"/>
          <w:szCs w:val="22"/>
        </w:rPr>
        <w:t>Scenedesmus</w:t>
      </w:r>
      <w:r w:rsidRPr="00EC253B">
        <w:rPr>
          <w:rFonts w:ascii="Arial" w:hAnsi="Arial" w:cs="Arial"/>
          <w:sz w:val="22"/>
          <w:szCs w:val="22"/>
        </w:rPr>
        <w:t xml:space="preserve"> sp. Ene Sou, Part A: Reco Utiliz and Enviro Eff. 2015; 37(21): 2330-2337. https://doi.org/10.1080/15567036.2013.825661</w:t>
      </w:r>
    </w:p>
    <w:p w14:paraId="184AA68F" w14:textId="7C9069F6" w:rsidR="00B67CEA" w:rsidRPr="00CC6B5F" w:rsidRDefault="00B67CEA" w:rsidP="00B67CEA">
      <w:pPr>
        <w:spacing w:after="0" w:line="240" w:lineRule="auto"/>
        <w:ind w:left="720" w:hanging="720"/>
        <w:jc w:val="both"/>
        <w:rPr>
          <w:rFonts w:ascii="Arial" w:hAnsi="Arial" w:cs="Arial"/>
          <w:sz w:val="22"/>
          <w:szCs w:val="22"/>
        </w:rPr>
      </w:pPr>
      <w:r w:rsidRPr="00530A16">
        <w:rPr>
          <w:rFonts w:ascii="Arial" w:hAnsi="Arial" w:cs="Arial"/>
          <w:sz w:val="22"/>
          <w:szCs w:val="22"/>
          <w:lang w:val="nl-BE"/>
        </w:rPr>
        <w:t xml:space="preserve">Wen, X., Chen, F., Lin, Y., Zhu, H., Yuan, F., Kuang, D., Jia, Z., &amp; Yuan, Z. (2020). </w:t>
      </w:r>
      <w:r w:rsidRPr="00CC6B5F">
        <w:rPr>
          <w:rFonts w:ascii="Arial" w:hAnsi="Arial" w:cs="Arial"/>
          <w:sz w:val="22"/>
          <w:szCs w:val="22"/>
        </w:rPr>
        <w:t>Microbial indicators and their use for monitoring drinking water quality</w:t>
      </w:r>
      <w:r w:rsidR="00EC253B">
        <w:rPr>
          <w:rFonts w:ascii="Arial" w:hAnsi="Arial" w:cs="Arial"/>
          <w:sz w:val="22"/>
          <w:szCs w:val="22"/>
        </w:rPr>
        <w:t>-</w:t>
      </w:r>
      <w:r w:rsidRPr="00CC6B5F">
        <w:rPr>
          <w:rFonts w:ascii="Arial" w:hAnsi="Arial" w:cs="Arial"/>
          <w:sz w:val="22"/>
          <w:szCs w:val="22"/>
        </w:rPr>
        <w:t xml:space="preserve">A review. </w:t>
      </w:r>
      <w:r w:rsidRPr="00CC6B5F">
        <w:rPr>
          <w:rFonts w:ascii="Arial" w:hAnsi="Arial" w:cs="Arial"/>
          <w:i/>
          <w:iCs/>
          <w:sz w:val="22"/>
          <w:szCs w:val="22"/>
        </w:rPr>
        <w:t>Sustainability</w:t>
      </w:r>
      <w:r w:rsidRPr="00CC6B5F">
        <w:rPr>
          <w:rFonts w:ascii="Arial" w:hAnsi="Arial" w:cs="Arial"/>
          <w:sz w:val="22"/>
          <w:szCs w:val="22"/>
        </w:rPr>
        <w:t xml:space="preserve">, 12(6), 2249. </w:t>
      </w:r>
      <w:hyperlink r:id="rId25" w:history="1">
        <w:r w:rsidRPr="00EC253B">
          <w:rPr>
            <w:rStyle w:val="Hyperlink"/>
            <w:rFonts w:ascii="Arial" w:hAnsi="Arial" w:cs="Arial"/>
            <w:color w:val="auto"/>
            <w:sz w:val="22"/>
            <w:szCs w:val="22"/>
          </w:rPr>
          <w:t>https://doi.org/10.3390/su12062249</w:t>
        </w:r>
      </w:hyperlink>
    </w:p>
    <w:p w14:paraId="02E48AED"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Xie, B., &amp; Liu, H. (2010). Enhancement of biological nitrogen removal from wastewater by low-intensity ultrasound. </w:t>
      </w:r>
      <w:r w:rsidRPr="00CC6B5F">
        <w:rPr>
          <w:rFonts w:ascii="Arial" w:hAnsi="Arial" w:cs="Arial"/>
          <w:i/>
          <w:iCs/>
          <w:sz w:val="22"/>
          <w:szCs w:val="22"/>
        </w:rPr>
        <w:t>Water, Air, &amp; Soil Pollution</w:t>
      </w:r>
      <w:r w:rsidRPr="00CC6B5F">
        <w:rPr>
          <w:rFonts w:ascii="Arial" w:hAnsi="Arial" w:cs="Arial"/>
          <w:sz w:val="22"/>
          <w:szCs w:val="22"/>
        </w:rPr>
        <w:t>, 211, 157–163.DOI: </w:t>
      </w:r>
      <w:hyperlink r:id="rId26" w:tgtFrame="_blank" w:history="1">
        <w:r w:rsidRPr="00CC6B5F">
          <w:rPr>
            <w:rStyle w:val="Hyperlink"/>
            <w:rFonts w:ascii="Arial" w:hAnsi="Arial" w:cs="Arial"/>
            <w:color w:val="auto"/>
            <w:sz w:val="22"/>
            <w:szCs w:val="22"/>
          </w:rPr>
          <w:t>10.1007/s11270-009-0289-0</w:t>
        </w:r>
      </w:hyperlink>
    </w:p>
    <w:p w14:paraId="14B26ACF"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Xie, B., Wang, L., &amp; Liu, H. (2008). Using low intensity ultrasound to improve the efficiency of biological phosphorus removal. </w:t>
      </w:r>
      <w:r w:rsidRPr="00CC6B5F">
        <w:rPr>
          <w:rFonts w:ascii="Arial" w:hAnsi="Arial" w:cs="Arial"/>
          <w:i/>
          <w:iCs/>
          <w:sz w:val="22"/>
          <w:szCs w:val="22"/>
        </w:rPr>
        <w:t>Ultrasonics Sonochemistry</w:t>
      </w:r>
      <w:r w:rsidRPr="00CC6B5F">
        <w:rPr>
          <w:rFonts w:ascii="Arial" w:hAnsi="Arial" w:cs="Arial"/>
          <w:sz w:val="22"/>
          <w:szCs w:val="22"/>
        </w:rPr>
        <w:t xml:space="preserve">, 15, 775–781. </w:t>
      </w:r>
      <w:hyperlink r:id="rId27" w:tgtFrame="_blank" w:tooltip="Persistent link using digital object identifier" w:history="1">
        <w:r w:rsidRPr="00CC6B5F">
          <w:rPr>
            <w:rStyle w:val="Hyperlink"/>
            <w:rFonts w:ascii="Arial" w:hAnsi="Arial" w:cs="Arial"/>
            <w:color w:val="auto"/>
            <w:sz w:val="22"/>
            <w:szCs w:val="22"/>
          </w:rPr>
          <w:t>https://doi.org/10.1016/j.ultsonch.2008.02.001</w:t>
        </w:r>
      </w:hyperlink>
    </w:p>
    <w:p w14:paraId="1BB85056"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Zhao, Q., Li, M., Zhang, K., Wang, N., Wang, K., Wang, H., Meng, S., &amp; Mu, R. (2020). Effect of ultrasound irradiation combined with ozone pretreatment on the anaerobic digestion for the biosludge exposed to trace-level levofloxacin: Degradation, microbial community and ARGs analysis. </w:t>
      </w:r>
      <w:r w:rsidRPr="00CC6B5F">
        <w:rPr>
          <w:rFonts w:ascii="Arial" w:hAnsi="Arial" w:cs="Arial"/>
          <w:i/>
          <w:iCs/>
          <w:sz w:val="22"/>
          <w:szCs w:val="22"/>
        </w:rPr>
        <w:t>Journal of Environmental Management</w:t>
      </w:r>
      <w:r w:rsidRPr="00CC6B5F">
        <w:rPr>
          <w:rFonts w:ascii="Arial" w:hAnsi="Arial" w:cs="Arial"/>
          <w:sz w:val="22"/>
          <w:szCs w:val="22"/>
        </w:rPr>
        <w:t>, 262, 11035. DOI: </w:t>
      </w:r>
      <w:hyperlink r:id="rId28" w:tgtFrame="_blank" w:history="1">
        <w:r w:rsidRPr="00CC6B5F">
          <w:rPr>
            <w:rStyle w:val="Hyperlink"/>
            <w:rFonts w:ascii="Arial" w:hAnsi="Arial" w:cs="Arial"/>
            <w:color w:val="auto"/>
            <w:sz w:val="22"/>
            <w:szCs w:val="22"/>
          </w:rPr>
          <w:t>10.1016/j.jenvman.2020.110356</w:t>
        </w:r>
      </w:hyperlink>
    </w:p>
    <w:p w14:paraId="530289F4" w14:textId="77777777" w:rsidR="00DA2E39" w:rsidRDefault="00DA2E39" w:rsidP="00DA2E39">
      <w:pPr>
        <w:spacing w:after="0" w:line="240" w:lineRule="auto"/>
        <w:jc w:val="both"/>
        <w:rPr>
          <w:rFonts w:ascii="Times New Roman" w:hAnsi="Times New Roman" w:cs="Times New Roman"/>
        </w:rPr>
      </w:pPr>
    </w:p>
    <w:p w14:paraId="1CE0F918" w14:textId="77777777" w:rsidR="00A57EF5" w:rsidRDefault="00A57EF5" w:rsidP="00CF6CCC">
      <w:pPr>
        <w:spacing w:after="0" w:line="240" w:lineRule="auto"/>
        <w:ind w:firstLine="720"/>
        <w:jc w:val="both"/>
        <w:rPr>
          <w:rFonts w:ascii="Times New Roman" w:hAnsi="Times New Roman" w:cs="Times New Roman"/>
        </w:rPr>
      </w:pPr>
    </w:p>
    <w:sectPr w:rsidR="00A57EF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64EE" w14:textId="77777777" w:rsidR="00EB1E51" w:rsidRDefault="00EB1E51" w:rsidP="00A57EF5">
      <w:pPr>
        <w:spacing w:after="0" w:line="240" w:lineRule="auto"/>
      </w:pPr>
      <w:r>
        <w:separator/>
      </w:r>
    </w:p>
  </w:endnote>
  <w:endnote w:type="continuationSeparator" w:id="0">
    <w:p w14:paraId="09AFCC59" w14:textId="77777777" w:rsidR="00EB1E51" w:rsidRDefault="00EB1E51" w:rsidP="00A5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960C" w14:textId="77777777" w:rsidR="00837128" w:rsidRDefault="00837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42556"/>
      <w:docPartObj>
        <w:docPartGallery w:val="Page Numbers (Bottom of Page)"/>
        <w:docPartUnique/>
      </w:docPartObj>
    </w:sdtPr>
    <w:sdtEndPr>
      <w:rPr>
        <w:noProof/>
      </w:rPr>
    </w:sdtEndPr>
    <w:sdtContent>
      <w:p w14:paraId="71756FCE" w14:textId="18A79821" w:rsidR="00A57EF5" w:rsidRDefault="00A57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3C1A2" w14:textId="77777777" w:rsidR="00A57EF5" w:rsidRDefault="00A57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8028" w14:textId="77777777" w:rsidR="00837128" w:rsidRDefault="0083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E257" w14:textId="77777777" w:rsidR="00EB1E51" w:rsidRDefault="00EB1E51" w:rsidP="00A57EF5">
      <w:pPr>
        <w:spacing w:after="0" w:line="240" w:lineRule="auto"/>
      </w:pPr>
      <w:r>
        <w:separator/>
      </w:r>
    </w:p>
  </w:footnote>
  <w:footnote w:type="continuationSeparator" w:id="0">
    <w:p w14:paraId="6A1421FD" w14:textId="77777777" w:rsidR="00EB1E51" w:rsidRDefault="00EB1E51" w:rsidP="00A5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476B" w14:textId="525BE552" w:rsidR="00837128" w:rsidRDefault="00000000">
    <w:pPr>
      <w:pStyle w:val="Header"/>
    </w:pPr>
    <w:r>
      <w:rPr>
        <w:noProof/>
      </w:rPr>
      <w:pict w14:anchorId="55EBC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2484" w14:textId="5619DBC6" w:rsidR="00837128" w:rsidRDefault="00000000">
    <w:pPr>
      <w:pStyle w:val="Header"/>
    </w:pPr>
    <w:r>
      <w:rPr>
        <w:noProof/>
      </w:rPr>
      <w:pict w14:anchorId="750B8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E082" w14:textId="274B942C" w:rsidR="00837128" w:rsidRDefault="00000000">
    <w:pPr>
      <w:pStyle w:val="Header"/>
    </w:pPr>
    <w:r>
      <w:rPr>
        <w:noProof/>
      </w:rPr>
      <w:pict w14:anchorId="126A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4D3C"/>
    <w:multiLevelType w:val="hybridMultilevel"/>
    <w:tmpl w:val="0B9CD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41776"/>
    <w:multiLevelType w:val="multilevel"/>
    <w:tmpl w:val="5BAA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E1CB1"/>
    <w:multiLevelType w:val="multilevel"/>
    <w:tmpl w:val="B36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4901">
    <w:abstractNumId w:val="0"/>
  </w:num>
  <w:num w:numId="2" w16cid:durableId="648286443">
    <w:abstractNumId w:val="1"/>
  </w:num>
  <w:num w:numId="3" w16cid:durableId="1706714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64"/>
    <w:rsid w:val="000018E3"/>
    <w:rsid w:val="000116EA"/>
    <w:rsid w:val="000151D1"/>
    <w:rsid w:val="00062FC6"/>
    <w:rsid w:val="00085AB7"/>
    <w:rsid w:val="000A4E91"/>
    <w:rsid w:val="000A7C02"/>
    <w:rsid w:val="000D125A"/>
    <w:rsid w:val="00116D90"/>
    <w:rsid w:val="00170CA2"/>
    <w:rsid w:val="00176687"/>
    <w:rsid w:val="001A08A7"/>
    <w:rsid w:val="001B7E5A"/>
    <w:rsid w:val="001F4F96"/>
    <w:rsid w:val="0021561E"/>
    <w:rsid w:val="00232C91"/>
    <w:rsid w:val="00243F14"/>
    <w:rsid w:val="002923FB"/>
    <w:rsid w:val="002E262D"/>
    <w:rsid w:val="002F2AF8"/>
    <w:rsid w:val="00302364"/>
    <w:rsid w:val="00352283"/>
    <w:rsid w:val="00383286"/>
    <w:rsid w:val="003967FE"/>
    <w:rsid w:val="003C67BE"/>
    <w:rsid w:val="003F0BA8"/>
    <w:rsid w:val="00431076"/>
    <w:rsid w:val="004374EC"/>
    <w:rsid w:val="004376C0"/>
    <w:rsid w:val="00443A39"/>
    <w:rsid w:val="00467607"/>
    <w:rsid w:val="00474A0C"/>
    <w:rsid w:val="004B32AB"/>
    <w:rsid w:val="004B65AB"/>
    <w:rsid w:val="005071F0"/>
    <w:rsid w:val="00524684"/>
    <w:rsid w:val="00530A16"/>
    <w:rsid w:val="00550E8E"/>
    <w:rsid w:val="00557E83"/>
    <w:rsid w:val="0059376E"/>
    <w:rsid w:val="00640967"/>
    <w:rsid w:val="00651B67"/>
    <w:rsid w:val="00686480"/>
    <w:rsid w:val="006A3237"/>
    <w:rsid w:val="006B2843"/>
    <w:rsid w:val="006E7077"/>
    <w:rsid w:val="00745823"/>
    <w:rsid w:val="00764558"/>
    <w:rsid w:val="00792E8A"/>
    <w:rsid w:val="007A2837"/>
    <w:rsid w:val="007D0184"/>
    <w:rsid w:val="007D1F99"/>
    <w:rsid w:val="0081388E"/>
    <w:rsid w:val="00821D10"/>
    <w:rsid w:val="00837128"/>
    <w:rsid w:val="00845902"/>
    <w:rsid w:val="00851984"/>
    <w:rsid w:val="0087445E"/>
    <w:rsid w:val="00895A0A"/>
    <w:rsid w:val="008C1D97"/>
    <w:rsid w:val="008D7956"/>
    <w:rsid w:val="008E0DC8"/>
    <w:rsid w:val="009023E7"/>
    <w:rsid w:val="0092650B"/>
    <w:rsid w:val="00927B58"/>
    <w:rsid w:val="0094610C"/>
    <w:rsid w:val="00960245"/>
    <w:rsid w:val="00A12616"/>
    <w:rsid w:val="00A14E5C"/>
    <w:rsid w:val="00A210DA"/>
    <w:rsid w:val="00A211BF"/>
    <w:rsid w:val="00A56123"/>
    <w:rsid w:val="00A57EF5"/>
    <w:rsid w:val="00A66C89"/>
    <w:rsid w:val="00A82D18"/>
    <w:rsid w:val="00AB4F78"/>
    <w:rsid w:val="00AC0A32"/>
    <w:rsid w:val="00AC0A34"/>
    <w:rsid w:val="00AD2233"/>
    <w:rsid w:val="00AD42BB"/>
    <w:rsid w:val="00AF11DC"/>
    <w:rsid w:val="00AF4FD4"/>
    <w:rsid w:val="00B47E28"/>
    <w:rsid w:val="00B67CEA"/>
    <w:rsid w:val="00B76557"/>
    <w:rsid w:val="00B83D2D"/>
    <w:rsid w:val="00BA07DA"/>
    <w:rsid w:val="00BD605A"/>
    <w:rsid w:val="00C4113A"/>
    <w:rsid w:val="00C96D8F"/>
    <w:rsid w:val="00CF6CCC"/>
    <w:rsid w:val="00D13C5D"/>
    <w:rsid w:val="00D405E9"/>
    <w:rsid w:val="00D45003"/>
    <w:rsid w:val="00D7696F"/>
    <w:rsid w:val="00D85774"/>
    <w:rsid w:val="00D91F1A"/>
    <w:rsid w:val="00DA2E39"/>
    <w:rsid w:val="00DF025E"/>
    <w:rsid w:val="00E00BFF"/>
    <w:rsid w:val="00E01D7B"/>
    <w:rsid w:val="00E212B0"/>
    <w:rsid w:val="00E23327"/>
    <w:rsid w:val="00E23432"/>
    <w:rsid w:val="00E61CFC"/>
    <w:rsid w:val="00E91297"/>
    <w:rsid w:val="00EB1E51"/>
    <w:rsid w:val="00EC253B"/>
    <w:rsid w:val="00EF02BB"/>
    <w:rsid w:val="00EF36B1"/>
    <w:rsid w:val="00F05EAC"/>
    <w:rsid w:val="00F16EDE"/>
    <w:rsid w:val="00F3737F"/>
    <w:rsid w:val="00F54607"/>
    <w:rsid w:val="00F556C1"/>
    <w:rsid w:val="00F86D49"/>
    <w:rsid w:val="00FD1153"/>
    <w:rsid w:val="00FF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90EE"/>
  <w15:chartTrackingRefBased/>
  <w15:docId w15:val="{F467D5B0-D4FC-4AE4-881E-E1885AA3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64"/>
    <w:rPr>
      <w:rFonts w:eastAsiaTheme="majorEastAsia" w:cstheme="majorBidi"/>
      <w:color w:val="272727" w:themeColor="text1" w:themeTint="D8"/>
    </w:rPr>
  </w:style>
  <w:style w:type="paragraph" w:styleId="Title">
    <w:name w:val="Title"/>
    <w:basedOn w:val="Normal"/>
    <w:next w:val="Normal"/>
    <w:link w:val="TitleChar"/>
    <w:uiPriority w:val="10"/>
    <w:qFormat/>
    <w:rsid w:val="0030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64"/>
    <w:pPr>
      <w:spacing w:before="160"/>
      <w:jc w:val="center"/>
    </w:pPr>
    <w:rPr>
      <w:i/>
      <w:iCs/>
      <w:color w:val="404040" w:themeColor="text1" w:themeTint="BF"/>
    </w:rPr>
  </w:style>
  <w:style w:type="character" w:customStyle="1" w:styleId="QuoteChar">
    <w:name w:val="Quote Char"/>
    <w:basedOn w:val="DefaultParagraphFont"/>
    <w:link w:val="Quote"/>
    <w:uiPriority w:val="29"/>
    <w:rsid w:val="00302364"/>
    <w:rPr>
      <w:i/>
      <w:iCs/>
      <w:color w:val="404040" w:themeColor="text1" w:themeTint="BF"/>
    </w:rPr>
  </w:style>
  <w:style w:type="paragraph" w:styleId="ListParagraph">
    <w:name w:val="List Paragraph"/>
    <w:basedOn w:val="Normal"/>
    <w:uiPriority w:val="34"/>
    <w:qFormat/>
    <w:rsid w:val="00302364"/>
    <w:pPr>
      <w:ind w:left="720"/>
      <w:contextualSpacing/>
    </w:pPr>
  </w:style>
  <w:style w:type="character" w:styleId="IntenseEmphasis">
    <w:name w:val="Intense Emphasis"/>
    <w:basedOn w:val="DefaultParagraphFont"/>
    <w:uiPriority w:val="21"/>
    <w:qFormat/>
    <w:rsid w:val="00302364"/>
    <w:rPr>
      <w:i/>
      <w:iCs/>
      <w:color w:val="2F5496" w:themeColor="accent1" w:themeShade="BF"/>
    </w:rPr>
  </w:style>
  <w:style w:type="paragraph" w:styleId="IntenseQuote">
    <w:name w:val="Intense Quote"/>
    <w:basedOn w:val="Normal"/>
    <w:next w:val="Normal"/>
    <w:link w:val="IntenseQuoteChar"/>
    <w:uiPriority w:val="30"/>
    <w:qFormat/>
    <w:rsid w:val="0030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364"/>
    <w:rPr>
      <w:i/>
      <w:iCs/>
      <w:color w:val="2F5496" w:themeColor="accent1" w:themeShade="BF"/>
    </w:rPr>
  </w:style>
  <w:style w:type="character" w:styleId="IntenseReference">
    <w:name w:val="Intense Reference"/>
    <w:basedOn w:val="DefaultParagraphFont"/>
    <w:uiPriority w:val="32"/>
    <w:qFormat/>
    <w:rsid w:val="00302364"/>
    <w:rPr>
      <w:b/>
      <w:bCs/>
      <w:smallCaps/>
      <w:color w:val="2F5496" w:themeColor="accent1" w:themeShade="BF"/>
      <w:spacing w:val="5"/>
    </w:rPr>
  </w:style>
  <w:style w:type="character" w:styleId="Hyperlink">
    <w:name w:val="Hyperlink"/>
    <w:basedOn w:val="DefaultParagraphFont"/>
    <w:uiPriority w:val="99"/>
    <w:unhideWhenUsed/>
    <w:rsid w:val="00243F14"/>
    <w:rPr>
      <w:color w:val="0563C1" w:themeColor="hyperlink"/>
      <w:u w:val="single"/>
    </w:rPr>
  </w:style>
  <w:style w:type="character" w:styleId="UnresolvedMention">
    <w:name w:val="Unresolved Mention"/>
    <w:basedOn w:val="DefaultParagraphFont"/>
    <w:uiPriority w:val="99"/>
    <w:semiHidden/>
    <w:unhideWhenUsed/>
    <w:rsid w:val="00243F14"/>
    <w:rPr>
      <w:color w:val="605E5C"/>
      <w:shd w:val="clear" w:color="auto" w:fill="E1DFDD"/>
    </w:rPr>
  </w:style>
  <w:style w:type="paragraph" w:styleId="Header">
    <w:name w:val="header"/>
    <w:basedOn w:val="Normal"/>
    <w:link w:val="HeaderChar"/>
    <w:uiPriority w:val="99"/>
    <w:unhideWhenUsed/>
    <w:rsid w:val="00A57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F5"/>
  </w:style>
  <w:style w:type="paragraph" w:styleId="Footer">
    <w:name w:val="footer"/>
    <w:basedOn w:val="Normal"/>
    <w:link w:val="FooterChar"/>
    <w:uiPriority w:val="99"/>
    <w:unhideWhenUsed/>
    <w:rsid w:val="00A57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F5"/>
  </w:style>
  <w:style w:type="paragraph" w:styleId="NormalWeb">
    <w:name w:val="Normal (Web)"/>
    <w:basedOn w:val="Normal"/>
    <w:uiPriority w:val="99"/>
    <w:semiHidden/>
    <w:unhideWhenUsed/>
    <w:rsid w:val="00A210DA"/>
    <w:rPr>
      <w:rFonts w:ascii="Times New Roman" w:hAnsi="Times New Roman" w:cs="Times New Roman"/>
    </w:rPr>
  </w:style>
  <w:style w:type="paragraph" w:styleId="NoSpacing">
    <w:name w:val="No Spacing"/>
    <w:uiPriority w:val="1"/>
    <w:qFormat/>
    <w:rsid w:val="001F4F96"/>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ultsonch.2009.11.011" TargetMode="External"/><Relationship Id="rId18" Type="http://schemas.openxmlformats.org/officeDocument/2006/relationships/hyperlink" Target="https://doi.org/10.1021/acssuschemeng.1c00754" TargetMode="External"/><Relationship Id="rId26" Type="http://schemas.openxmlformats.org/officeDocument/2006/relationships/hyperlink" Target="https://doi.org/10.1007/s11270-009-0289-0" TargetMode="External"/><Relationship Id="rId3" Type="http://schemas.openxmlformats.org/officeDocument/2006/relationships/settings" Target="settings.xml"/><Relationship Id="rId21" Type="http://schemas.openxmlformats.org/officeDocument/2006/relationships/hyperlink" Target="https://doi.org/10.1016/j.jece.2021.105657"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16/j.chemosphere.2021.131656" TargetMode="External"/><Relationship Id="rId17" Type="http://schemas.openxmlformats.org/officeDocument/2006/relationships/hyperlink" Target="https://doi.org/10.1016/j.bej.2015.10.002" TargetMode="External"/><Relationship Id="rId25" Type="http://schemas.openxmlformats.org/officeDocument/2006/relationships/hyperlink" Target="https://doi.org/10.3390/su1206224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saa.2019.117382" TargetMode="External"/><Relationship Id="rId20" Type="http://schemas.openxmlformats.org/officeDocument/2006/relationships/hyperlink" Target="https://doi.org/10.1016/j.scitotenv.2019.13524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jbs.2012.04.005" TargetMode="External"/><Relationship Id="rId24" Type="http://schemas.openxmlformats.org/officeDocument/2006/relationships/hyperlink" Target="https://doi.org/10.1016/S0041-624X(02)00086-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wpe.2020.101747" TargetMode="External"/><Relationship Id="rId23" Type="http://schemas.openxmlformats.org/officeDocument/2006/relationships/hyperlink" Target="https://doi.org/10.1016/j.ultsonch.2010.02.014" TargetMode="External"/><Relationship Id="rId28" Type="http://schemas.openxmlformats.org/officeDocument/2006/relationships/hyperlink" Target="https://doi.org/10.1016/j.jenvman.2020.110356"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molstruc.2019.01.02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jclepro.2021.127948" TargetMode="External"/><Relationship Id="rId22" Type="http://schemas.openxmlformats.org/officeDocument/2006/relationships/hyperlink" Target="https://doi.org/10.1016/j.algal.2025.104420" TargetMode="External"/><Relationship Id="rId27" Type="http://schemas.openxmlformats.org/officeDocument/2006/relationships/hyperlink" Target="https://doi.org/10.1016/j.ultsonch.2008.02.0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907261592301"/>
          <c:y val="6.4814814814814811E-2"/>
          <c:w val="0.84144203849518817"/>
          <c:h val="0.76024642752989213"/>
        </c:manualLayout>
      </c:layout>
      <c:barChart>
        <c:barDir val="col"/>
        <c:grouping val="clustered"/>
        <c:varyColors val="0"/>
        <c:ser>
          <c:idx val="0"/>
          <c:order val="0"/>
          <c:spPr>
            <a:pattFill prst="pct5">
              <a:fgClr>
                <a:schemeClr val="tx1"/>
              </a:fgClr>
              <a:bgClr>
                <a:schemeClr val="bg1"/>
              </a:bgClr>
            </a:pattFill>
            <a:ln w="6350">
              <a:solidFill>
                <a:schemeClr val="tx1"/>
              </a:solidFill>
            </a:ln>
            <a:effectLst>
              <a:innerShdw blurRad="114300">
                <a:schemeClr val="accent1"/>
              </a:innerShdw>
            </a:effectLst>
          </c:spPr>
          <c:invertIfNegative val="0"/>
          <c:errBars>
            <c:errBarType val="both"/>
            <c:errValType val="percentage"/>
            <c:noEndCap val="0"/>
            <c:val val="2"/>
            <c:spPr>
              <a:noFill/>
              <a:ln w="9525">
                <a:solidFill>
                  <a:schemeClr val="tx1"/>
                </a:solidFill>
                <a:round/>
              </a:ln>
              <a:effectLst/>
            </c:spPr>
          </c:errBars>
          <c:cat>
            <c:numRef>
              <c:f>Sheet1!$C$4:$C$8</c:f>
              <c:numCache>
                <c:formatCode>General</c:formatCode>
                <c:ptCount val="5"/>
                <c:pt idx="0">
                  <c:v>10</c:v>
                </c:pt>
                <c:pt idx="1">
                  <c:v>25</c:v>
                </c:pt>
                <c:pt idx="2">
                  <c:v>50</c:v>
                </c:pt>
                <c:pt idx="3">
                  <c:v>75</c:v>
                </c:pt>
                <c:pt idx="4">
                  <c:v>100</c:v>
                </c:pt>
              </c:numCache>
            </c:numRef>
          </c:cat>
          <c:val>
            <c:numRef>
              <c:f>Sheet1!$D$4:$D$8</c:f>
              <c:numCache>
                <c:formatCode>General</c:formatCode>
                <c:ptCount val="5"/>
                <c:pt idx="0">
                  <c:v>1.61</c:v>
                </c:pt>
                <c:pt idx="1">
                  <c:v>2.09</c:v>
                </c:pt>
                <c:pt idx="2">
                  <c:v>3.97</c:v>
                </c:pt>
                <c:pt idx="3">
                  <c:v>4.29</c:v>
                </c:pt>
                <c:pt idx="4">
                  <c:v>2.57</c:v>
                </c:pt>
              </c:numCache>
            </c:numRef>
          </c:val>
          <c:extLst>
            <c:ext xmlns:c16="http://schemas.microsoft.com/office/drawing/2014/chart" uri="{C3380CC4-5D6E-409C-BE32-E72D297353CC}">
              <c16:uniqueId val="{00000000-EA44-4407-8052-AB2DCE9035D0}"/>
            </c:ext>
          </c:extLst>
        </c:ser>
        <c:dLbls>
          <c:showLegendKey val="0"/>
          <c:showVal val="0"/>
          <c:showCatName val="0"/>
          <c:showSerName val="0"/>
          <c:showPercent val="0"/>
          <c:showBubbleSize val="0"/>
        </c:dLbls>
        <c:gapWidth val="164"/>
        <c:overlap val="-22"/>
        <c:axId val="467578680"/>
        <c:axId val="467571840"/>
      </c:barChart>
      <c:catAx>
        <c:axId val="46757868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a:solidFill>
                      <a:schemeClr val="tx1"/>
                    </a:solidFill>
                    <a:latin typeface="Arial" panose="020B0604020202020204" pitchFamily="34" charset="0"/>
                    <a:cs typeface="Arial" panose="020B0604020202020204" pitchFamily="34" charset="0"/>
                  </a:rPr>
                  <a:t>Concentration of UPMWW (%, v/v)</a:t>
                </a:r>
              </a:p>
            </c:rich>
          </c:tx>
          <c:layout>
            <c:manualLayout>
              <c:xMode val="edge"/>
              <c:yMode val="edge"/>
              <c:x val="0.30465398075240596"/>
              <c:y val="0.8978007436570428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7571840"/>
        <c:crosses val="autoZero"/>
        <c:auto val="1"/>
        <c:lblAlgn val="ctr"/>
        <c:lblOffset val="100"/>
        <c:noMultiLvlLbl val="0"/>
      </c:catAx>
      <c:valAx>
        <c:axId val="4675718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a:latin typeface="Arial" panose="020B0604020202020204" pitchFamily="34" charset="0"/>
                    <a:cs typeface="Arial" panose="020B0604020202020204" pitchFamily="34" charset="0"/>
                  </a:rPr>
                  <a:t>Biomass (g/L)</a:t>
                </a:r>
              </a:p>
            </c:rich>
          </c:tx>
          <c:layout>
            <c:manualLayout>
              <c:xMode val="edge"/>
              <c:yMode val="edge"/>
              <c:x val="2.7777777777777779E-3"/>
              <c:y val="0.2564658063575385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7578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0.66042</cdr:x>
      <cdr:y>0.08333</cdr:y>
    </cdr:from>
    <cdr:to>
      <cdr:x>0.94097</cdr:x>
      <cdr:y>0.08565</cdr:y>
    </cdr:to>
    <cdr:cxnSp macro="">
      <cdr:nvCxnSpPr>
        <cdr:cNvPr id="5" name="Straight Connector 4">
          <a:extLst xmlns:a="http://schemas.openxmlformats.org/drawingml/2006/main">
            <a:ext uri="{FF2B5EF4-FFF2-40B4-BE49-F238E27FC236}">
              <a16:creationId xmlns:a16="http://schemas.microsoft.com/office/drawing/2014/main" id="{6DD8FCD7-0959-A107-6905-FAE4E5818CA3}"/>
            </a:ext>
          </a:extLst>
        </cdr:cNvPr>
        <cdr:cNvCxnSpPr/>
      </cdr:nvCxnSpPr>
      <cdr:spPr>
        <a:xfrm xmlns:a="http://schemas.openxmlformats.org/drawingml/2006/main" flipV="1">
          <a:off x="3019425" y="228600"/>
          <a:ext cx="1282700" cy="6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0.94236</cdr:x>
      <cdr:y>0.08565</cdr:y>
    </cdr:from>
    <cdr:to>
      <cdr:x>0.94236</cdr:x>
      <cdr:y>0.10417</cdr:y>
    </cdr:to>
    <cdr:cxnSp macro="">
      <cdr:nvCxnSpPr>
        <cdr:cNvPr id="10" name="Straight Connector 9">
          <a:extLst xmlns:a="http://schemas.openxmlformats.org/drawingml/2006/main">
            <a:ext uri="{FF2B5EF4-FFF2-40B4-BE49-F238E27FC236}">
              <a16:creationId xmlns:a16="http://schemas.microsoft.com/office/drawing/2014/main" id="{2C04E464-E454-9FB6-A431-D410702701DF}"/>
            </a:ext>
          </a:extLst>
        </cdr:cNvPr>
        <cdr:cNvCxnSpPr/>
      </cdr:nvCxnSpPr>
      <cdr:spPr>
        <a:xfrm xmlns:a="http://schemas.openxmlformats.org/drawingml/2006/main">
          <a:off x="4308475" y="234950"/>
          <a:ext cx="0" cy="50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0.66181</cdr:x>
      <cdr:y>0.08565</cdr:y>
    </cdr:from>
    <cdr:to>
      <cdr:x>0.66181</cdr:x>
      <cdr:y>0.11111</cdr:y>
    </cdr:to>
    <cdr:cxnSp macro="">
      <cdr:nvCxnSpPr>
        <cdr:cNvPr id="12" name="Straight Connector 11">
          <a:extLst xmlns:a="http://schemas.openxmlformats.org/drawingml/2006/main">
            <a:ext uri="{FF2B5EF4-FFF2-40B4-BE49-F238E27FC236}">
              <a16:creationId xmlns:a16="http://schemas.microsoft.com/office/drawing/2014/main" id="{30346889-F754-1840-3BB7-00FB0276DD8E}"/>
            </a:ext>
          </a:extLst>
        </cdr:cNvPr>
        <cdr:cNvCxnSpPr/>
      </cdr:nvCxnSpPr>
      <cdr:spPr>
        <a:xfrm xmlns:a="http://schemas.openxmlformats.org/drawingml/2006/main">
          <a:off x="3025775" y="23495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0.15208</cdr:x>
      <cdr:y>0.05324</cdr:y>
    </cdr:from>
    <cdr:to>
      <cdr:x>0.76181</cdr:x>
      <cdr:y>0.05787</cdr:y>
    </cdr:to>
    <cdr:cxnSp macro="">
      <cdr:nvCxnSpPr>
        <cdr:cNvPr id="14" name="Straight Connector 13">
          <a:extLst xmlns:a="http://schemas.openxmlformats.org/drawingml/2006/main">
            <a:ext uri="{FF2B5EF4-FFF2-40B4-BE49-F238E27FC236}">
              <a16:creationId xmlns:a16="http://schemas.microsoft.com/office/drawing/2014/main" id="{38F78725-6BD3-9D6B-124B-0B74146C4D8D}"/>
            </a:ext>
          </a:extLst>
        </cdr:cNvPr>
        <cdr:cNvCxnSpPr/>
      </cdr:nvCxnSpPr>
      <cdr:spPr>
        <a:xfrm xmlns:a="http://schemas.openxmlformats.org/drawingml/2006/main">
          <a:off x="695325" y="146050"/>
          <a:ext cx="2787650" cy="127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0.14931</cdr:x>
      <cdr:y>0.05093</cdr:y>
    </cdr:from>
    <cdr:to>
      <cdr:x>0.15069</cdr:x>
      <cdr:y>0.09259</cdr:y>
    </cdr:to>
    <cdr:cxnSp macro="">
      <cdr:nvCxnSpPr>
        <cdr:cNvPr id="25" name="Straight Connector 24">
          <a:extLst xmlns:a="http://schemas.openxmlformats.org/drawingml/2006/main">
            <a:ext uri="{FF2B5EF4-FFF2-40B4-BE49-F238E27FC236}">
              <a16:creationId xmlns:a16="http://schemas.microsoft.com/office/drawing/2014/main" id="{6071807F-A6C2-E745-6B4E-ABB633067896}"/>
            </a:ext>
          </a:extLst>
        </cdr:cNvPr>
        <cdr:cNvCxnSpPr/>
      </cdr:nvCxnSpPr>
      <cdr:spPr>
        <a:xfrm xmlns:a="http://schemas.openxmlformats.org/drawingml/2006/main" flipH="1">
          <a:off x="682625" y="139700"/>
          <a:ext cx="6350" cy="114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0.76181</cdr:x>
      <cdr:y>0.05787</cdr:y>
    </cdr:from>
    <cdr:to>
      <cdr:x>0.76181</cdr:x>
      <cdr:y>0.07639</cdr:y>
    </cdr:to>
    <cdr:cxnSp macro="">
      <cdr:nvCxnSpPr>
        <cdr:cNvPr id="27" name="Straight Connector 26">
          <a:extLst xmlns:a="http://schemas.openxmlformats.org/drawingml/2006/main">
            <a:ext uri="{FF2B5EF4-FFF2-40B4-BE49-F238E27FC236}">
              <a16:creationId xmlns:a16="http://schemas.microsoft.com/office/drawing/2014/main" id="{4E52F848-E967-509D-9448-B0ED6F8B44E6}"/>
            </a:ext>
          </a:extLst>
        </cdr:cNvPr>
        <cdr:cNvCxnSpPr/>
      </cdr:nvCxnSpPr>
      <cdr:spPr>
        <a:xfrm xmlns:a="http://schemas.openxmlformats.org/drawingml/2006/main">
          <a:off x="3482975" y="158750"/>
          <a:ext cx="0" cy="50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0.47083</cdr:x>
      <cdr:y>0.13426</cdr:y>
    </cdr:from>
    <cdr:to>
      <cdr:x>0.75139</cdr:x>
      <cdr:y>0.13657</cdr:y>
    </cdr:to>
    <cdr:cxnSp macro="">
      <cdr:nvCxnSpPr>
        <cdr:cNvPr id="28" name="Straight Connector 27">
          <a:extLst xmlns:a="http://schemas.openxmlformats.org/drawingml/2006/main">
            <a:ext uri="{FF2B5EF4-FFF2-40B4-BE49-F238E27FC236}">
              <a16:creationId xmlns:a16="http://schemas.microsoft.com/office/drawing/2014/main" id="{D8BC3E70-B5D6-8B91-BEB3-E7D3ADCC218C}"/>
            </a:ext>
          </a:extLst>
        </cdr:cNvPr>
        <cdr:cNvCxnSpPr/>
      </cdr:nvCxnSpPr>
      <cdr:spPr>
        <a:xfrm xmlns:a="http://schemas.openxmlformats.org/drawingml/2006/main" flipV="1">
          <a:off x="2152650" y="368300"/>
          <a:ext cx="1282700" cy="6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0.47292</cdr:x>
      <cdr:y>0.13426</cdr:y>
    </cdr:from>
    <cdr:to>
      <cdr:x>0.47292</cdr:x>
      <cdr:y>0.15972</cdr:y>
    </cdr:to>
    <cdr:cxnSp macro="">
      <cdr:nvCxnSpPr>
        <cdr:cNvPr id="30" name="Straight Connector 29">
          <a:extLst xmlns:a="http://schemas.openxmlformats.org/drawingml/2006/main">
            <a:ext uri="{FF2B5EF4-FFF2-40B4-BE49-F238E27FC236}">
              <a16:creationId xmlns:a16="http://schemas.microsoft.com/office/drawing/2014/main" id="{20F141D2-40CC-C29E-05A0-43B56D0D5C17}"/>
            </a:ext>
          </a:extLst>
        </cdr:cNvPr>
        <cdr:cNvCxnSpPr/>
      </cdr:nvCxnSpPr>
      <cdr:spPr>
        <a:xfrm xmlns:a="http://schemas.openxmlformats.org/drawingml/2006/main">
          <a:off x="2162175" y="36830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0.75208</cdr:x>
      <cdr:y>0.13194</cdr:y>
    </cdr:from>
    <cdr:to>
      <cdr:x>0.75208</cdr:x>
      <cdr:y>0.15741</cdr:y>
    </cdr:to>
    <cdr:cxnSp macro="">
      <cdr:nvCxnSpPr>
        <cdr:cNvPr id="31" name="Straight Connector 30">
          <a:extLst xmlns:a="http://schemas.openxmlformats.org/drawingml/2006/main">
            <a:ext uri="{FF2B5EF4-FFF2-40B4-BE49-F238E27FC236}">
              <a16:creationId xmlns:a16="http://schemas.microsoft.com/office/drawing/2014/main" id="{20F141D2-40CC-C29E-05A0-43B56D0D5C17}"/>
            </a:ext>
          </a:extLst>
        </cdr:cNvPr>
        <cdr:cNvCxnSpPr/>
      </cdr:nvCxnSpPr>
      <cdr:spPr>
        <a:xfrm xmlns:a="http://schemas.openxmlformats.org/drawingml/2006/main">
          <a:off x="3438525" y="36195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0.26319</cdr:x>
      <cdr:y>0</cdr:y>
    </cdr:from>
    <cdr:to>
      <cdr:x>0.46319</cdr:x>
      <cdr:y>0.33333</cdr:y>
    </cdr:to>
    <cdr:sp macro="" textlink="">
      <cdr:nvSpPr>
        <cdr:cNvPr id="32" name="TextBox 31">
          <a:extLst xmlns:a="http://schemas.openxmlformats.org/drawingml/2006/main">
            <a:ext uri="{FF2B5EF4-FFF2-40B4-BE49-F238E27FC236}">
              <a16:creationId xmlns:a16="http://schemas.microsoft.com/office/drawing/2014/main" id="{7EF203F8-506D-DE6C-2A64-04686C656E79}"/>
            </a:ext>
          </a:extLst>
        </cdr:cNvPr>
        <cdr:cNvSpPr txBox="1"/>
      </cdr:nvSpPr>
      <cdr:spPr>
        <a:xfrm xmlns:a="http://schemas.openxmlformats.org/drawingml/2006/main">
          <a:off x="1203325"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0.31319</cdr:x>
      <cdr:y>0.03009</cdr:y>
    </cdr:from>
    <cdr:to>
      <cdr:x>0.51319</cdr:x>
      <cdr:y>0.36343</cdr:y>
    </cdr:to>
    <cdr:sp macro="" textlink="">
      <cdr:nvSpPr>
        <cdr:cNvPr id="33" name="TextBox 32">
          <a:extLst xmlns:a="http://schemas.openxmlformats.org/drawingml/2006/main">
            <a:ext uri="{FF2B5EF4-FFF2-40B4-BE49-F238E27FC236}">
              <a16:creationId xmlns:a16="http://schemas.microsoft.com/office/drawing/2014/main" id="{5237FE1F-51CA-CB70-9150-EB35D06F3127}"/>
            </a:ext>
          </a:extLst>
        </cdr:cNvPr>
        <cdr:cNvSpPr txBox="1"/>
      </cdr:nvSpPr>
      <cdr:spPr>
        <a:xfrm xmlns:a="http://schemas.openxmlformats.org/drawingml/2006/main">
          <a:off x="1431925" y="82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0.32292</cdr:x>
      <cdr:y>0</cdr:y>
    </cdr:from>
    <cdr:to>
      <cdr:x>0.52292</cdr:x>
      <cdr:y>0.13889</cdr:y>
    </cdr:to>
    <cdr:sp macro="" textlink="">
      <cdr:nvSpPr>
        <cdr:cNvPr id="34" name="TextBox 33">
          <a:extLst xmlns:a="http://schemas.openxmlformats.org/drawingml/2006/main">
            <a:ext uri="{FF2B5EF4-FFF2-40B4-BE49-F238E27FC236}">
              <a16:creationId xmlns:a16="http://schemas.microsoft.com/office/drawing/2014/main" id="{A27A51A3-2047-3748-581F-8C681908AB1D}"/>
            </a:ext>
          </a:extLst>
        </cdr:cNvPr>
        <cdr:cNvSpPr txBox="1"/>
      </cdr:nvSpPr>
      <cdr:spPr>
        <a:xfrm xmlns:a="http://schemas.openxmlformats.org/drawingml/2006/main">
          <a:off x="1476375" y="0"/>
          <a:ext cx="9144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&lt;0.001</a:t>
          </a:r>
          <a:endParaRPr lang="en-US" sz="800" i="1"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0.775</cdr:x>
      <cdr:y>0.02262</cdr:y>
    </cdr:from>
    <cdr:to>
      <cdr:x>0.975</cdr:x>
      <cdr:y>0.34842</cdr:y>
    </cdr:to>
    <cdr:sp macro="" textlink="">
      <cdr:nvSpPr>
        <cdr:cNvPr id="35" name="TextBox 34">
          <a:extLst xmlns:a="http://schemas.openxmlformats.org/drawingml/2006/main">
            <a:ext uri="{FF2B5EF4-FFF2-40B4-BE49-F238E27FC236}">
              <a16:creationId xmlns:a16="http://schemas.microsoft.com/office/drawing/2014/main" id="{6A3F43BD-6A84-0E60-3E1B-467F4AA5FF63}"/>
            </a:ext>
          </a:extLst>
        </cdr:cNvPr>
        <cdr:cNvSpPr txBox="1"/>
      </cdr:nvSpPr>
      <cdr:spPr>
        <a:xfrm xmlns:a="http://schemas.openxmlformats.org/drawingml/2006/main">
          <a:off x="3543300" y="63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0.79444</cdr:x>
      <cdr:y>0.02715</cdr:y>
    </cdr:from>
    <cdr:to>
      <cdr:x>0.99444</cdr:x>
      <cdr:y>0.35294</cdr:y>
    </cdr:to>
    <cdr:sp macro="" textlink="">
      <cdr:nvSpPr>
        <cdr:cNvPr id="36" name="TextBox 35">
          <a:extLst xmlns:a="http://schemas.openxmlformats.org/drawingml/2006/main">
            <a:ext uri="{FF2B5EF4-FFF2-40B4-BE49-F238E27FC236}">
              <a16:creationId xmlns:a16="http://schemas.microsoft.com/office/drawing/2014/main" id="{008109C1-1DB9-EDB3-82D5-83736D3B92A2}"/>
            </a:ext>
          </a:extLst>
        </cdr:cNvPr>
        <cdr:cNvSpPr txBox="1"/>
      </cdr:nvSpPr>
      <cdr:spPr>
        <a:xfrm xmlns:a="http://schemas.openxmlformats.org/drawingml/2006/main">
          <a:off x="3632200" y="76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&lt;0.01</a:t>
          </a:r>
        </a:p>
      </cdr:txBody>
    </cdr:sp>
  </cdr:relSizeAnchor>
  <cdr:relSizeAnchor xmlns:cdr="http://schemas.openxmlformats.org/drawingml/2006/chartDrawing">
    <cdr:from>
      <cdr:x>0.61319</cdr:x>
      <cdr:y>0.13348</cdr:y>
    </cdr:from>
    <cdr:to>
      <cdr:x>0.81319</cdr:x>
      <cdr:y>0.45928</cdr:y>
    </cdr:to>
    <cdr:sp macro="" textlink="">
      <cdr:nvSpPr>
        <cdr:cNvPr id="37" name="TextBox 36">
          <a:extLst xmlns:a="http://schemas.openxmlformats.org/drawingml/2006/main">
            <a:ext uri="{FF2B5EF4-FFF2-40B4-BE49-F238E27FC236}">
              <a16:creationId xmlns:a16="http://schemas.microsoft.com/office/drawing/2014/main" id="{26A47DDE-5E08-644B-C07F-0CAC4955D2F0}"/>
            </a:ext>
          </a:extLst>
        </cdr:cNvPr>
        <cdr:cNvSpPr txBox="1"/>
      </cdr:nvSpPr>
      <cdr:spPr>
        <a:xfrm xmlns:a="http://schemas.openxmlformats.org/drawingml/2006/main">
          <a:off x="2803525" y="374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0.55347</cdr:x>
      <cdr:y>0.07466</cdr:y>
    </cdr:from>
    <cdr:to>
      <cdr:x>0.75347</cdr:x>
      <cdr:y>0.40045</cdr:y>
    </cdr:to>
    <cdr:sp macro="" textlink="">
      <cdr:nvSpPr>
        <cdr:cNvPr id="38" name="TextBox 37">
          <a:extLst xmlns:a="http://schemas.openxmlformats.org/drawingml/2006/main">
            <a:ext uri="{FF2B5EF4-FFF2-40B4-BE49-F238E27FC236}">
              <a16:creationId xmlns:a16="http://schemas.microsoft.com/office/drawing/2014/main" id="{B91E550C-5794-77B0-BDA5-9E84F3A6C9DB}"/>
            </a:ext>
          </a:extLst>
        </cdr:cNvPr>
        <cdr:cNvSpPr txBox="1"/>
      </cdr:nvSpPr>
      <cdr:spPr>
        <a:xfrm xmlns:a="http://schemas.openxmlformats.org/drawingml/2006/main">
          <a:off x="2530475" y="209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=0.12</a:t>
          </a:r>
          <a:endParaRPr lang="en-US" sz="800" i="1" kern="12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11</Pages>
  <Words>5737</Words>
  <Characters>32705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70</cp:revision>
  <dcterms:created xsi:type="dcterms:W3CDTF">2026-01-16T02:56:00Z</dcterms:created>
  <dcterms:modified xsi:type="dcterms:W3CDTF">2026-02-02T06:02:00Z</dcterms:modified>
</cp:coreProperties>
</file>