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D0ED" w14:textId="77777777" w:rsidR="00E81992" w:rsidRPr="00E81992" w:rsidRDefault="00E81992" w:rsidP="00E81992">
      <w:pPr>
        <w:autoSpaceDE w:val="0"/>
        <w:autoSpaceDN w:val="0"/>
        <w:adjustRightInd w:val="0"/>
        <w:spacing w:after="0" w:line="240" w:lineRule="auto"/>
        <w:rPr>
          <w:rFonts w:ascii="Times New Roman" w:hAnsi="Times New Roman" w:cs="Times New Roman"/>
          <w:color w:val="000000"/>
          <w:sz w:val="24"/>
          <w:szCs w:val="24"/>
        </w:rPr>
      </w:pPr>
    </w:p>
    <w:p w14:paraId="0DC3DAC2" w14:textId="77777777" w:rsidR="00E81992" w:rsidRDefault="009109FB" w:rsidP="008A5D9C">
      <w:pPr>
        <w:autoSpaceDE w:val="0"/>
        <w:autoSpaceDN w:val="0"/>
        <w:adjustRightInd w:val="0"/>
        <w:spacing w:after="0" w:line="240" w:lineRule="auto"/>
        <w:jc w:val="center"/>
        <w:rPr>
          <w:rFonts w:ascii="Times New Roman" w:hAnsi="Times New Roman" w:cs="Times New Roman"/>
          <w:b/>
          <w:sz w:val="24"/>
          <w:szCs w:val="24"/>
        </w:rPr>
      </w:pPr>
      <w:r w:rsidRPr="009109FB">
        <w:rPr>
          <w:rFonts w:ascii="Times New Roman" w:hAnsi="Times New Roman" w:cs="Times New Roman"/>
          <w:b/>
          <w:sz w:val="24"/>
          <w:szCs w:val="24"/>
        </w:rPr>
        <w:t xml:space="preserve">HEALTH RISK ASSESSMENT OF HEAVY METAL EXPOSURE THROUGH CONSUMPTION OF SMOKED-DRIED FISH FROM AFOR-UGBOLU MARKET, DELTA STATE, </w:t>
      </w:r>
      <w:r w:rsidR="00A5474A">
        <w:rPr>
          <w:rFonts w:ascii="Times New Roman" w:hAnsi="Times New Roman" w:cs="Times New Roman"/>
          <w:b/>
          <w:sz w:val="24"/>
          <w:szCs w:val="24"/>
        </w:rPr>
        <w:t xml:space="preserve">SOUTHERN </w:t>
      </w:r>
      <w:r w:rsidRPr="009109FB">
        <w:rPr>
          <w:rFonts w:ascii="Times New Roman" w:hAnsi="Times New Roman" w:cs="Times New Roman"/>
          <w:b/>
          <w:sz w:val="24"/>
          <w:szCs w:val="24"/>
        </w:rPr>
        <w:t>NIGERIA</w:t>
      </w:r>
    </w:p>
    <w:p w14:paraId="67D1D49A" w14:textId="77777777" w:rsidR="00EC314B" w:rsidRDefault="00EC314B" w:rsidP="008A5D9C">
      <w:pPr>
        <w:autoSpaceDE w:val="0"/>
        <w:autoSpaceDN w:val="0"/>
        <w:adjustRightInd w:val="0"/>
        <w:spacing w:after="0" w:line="240" w:lineRule="auto"/>
        <w:jc w:val="center"/>
        <w:rPr>
          <w:rFonts w:ascii="Times New Roman" w:hAnsi="Times New Roman" w:cs="Times New Roman"/>
          <w:b/>
          <w:sz w:val="24"/>
          <w:szCs w:val="24"/>
        </w:rPr>
      </w:pPr>
    </w:p>
    <w:p w14:paraId="3D16E537" w14:textId="77777777" w:rsidR="004B786F" w:rsidRDefault="004B786F" w:rsidP="008A5D9C">
      <w:pPr>
        <w:autoSpaceDE w:val="0"/>
        <w:autoSpaceDN w:val="0"/>
        <w:adjustRightInd w:val="0"/>
        <w:spacing w:after="0" w:line="240" w:lineRule="auto"/>
        <w:rPr>
          <w:rFonts w:ascii="Times New Roman" w:hAnsi="Times New Roman" w:cs="Times New Roman"/>
          <w:b/>
          <w:sz w:val="24"/>
          <w:szCs w:val="24"/>
        </w:rPr>
      </w:pPr>
    </w:p>
    <w:p w14:paraId="3AFAAA4D" w14:textId="76DAA5C8" w:rsidR="008A5D9C" w:rsidRDefault="008A5D9C" w:rsidP="008A5D9C">
      <w:pPr>
        <w:autoSpaceDE w:val="0"/>
        <w:autoSpaceDN w:val="0"/>
        <w:adjustRightInd w:val="0"/>
        <w:spacing w:after="0" w:line="240" w:lineRule="auto"/>
        <w:rPr>
          <w:rFonts w:ascii="Times New Roman" w:hAnsi="Times New Roman" w:cs="Times New Roman"/>
          <w:b/>
          <w:sz w:val="24"/>
          <w:szCs w:val="24"/>
        </w:rPr>
      </w:pPr>
      <w:r w:rsidRPr="00600E83">
        <w:rPr>
          <w:rFonts w:ascii="Times New Roman" w:hAnsi="Times New Roman" w:cs="Times New Roman"/>
          <w:b/>
          <w:sz w:val="24"/>
          <w:szCs w:val="24"/>
        </w:rPr>
        <w:t>ABSTRACT</w:t>
      </w:r>
    </w:p>
    <w:p w14:paraId="7BD858F5" w14:textId="7968A9EA" w:rsidR="0063082B" w:rsidRPr="0063082B" w:rsidRDefault="0063082B" w:rsidP="0063082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3082B">
        <w:rPr>
          <w:rFonts w:ascii="Times New Roman" w:eastAsia="Times New Roman" w:hAnsi="Times New Roman" w:cs="Times New Roman"/>
          <w:sz w:val="24"/>
          <w:szCs w:val="24"/>
          <w:lang w:eastAsia="en-GB"/>
        </w:rPr>
        <w:t xml:space="preserve">Smoked-dried fish is an important source of affordable animal protein in Nigeria, but it may also represent a route of human exposure to toxic heavy metals. This study assessed the concentrations of arsenic (As), cadmium (Cd), copper (Cu), lead (Pb), and zinc (Zn) in commonly consumed smoked-dried fish sold at </w:t>
      </w:r>
      <w:proofErr w:type="spellStart"/>
      <w:r w:rsidRPr="0063082B">
        <w:rPr>
          <w:rFonts w:ascii="Times New Roman" w:eastAsia="Times New Roman" w:hAnsi="Times New Roman" w:cs="Times New Roman"/>
          <w:sz w:val="24"/>
          <w:szCs w:val="24"/>
          <w:lang w:eastAsia="en-GB"/>
        </w:rPr>
        <w:t>Afor-Ugbolu</w:t>
      </w:r>
      <w:proofErr w:type="spellEnd"/>
      <w:r w:rsidRPr="0063082B">
        <w:rPr>
          <w:rFonts w:ascii="Times New Roman" w:eastAsia="Times New Roman" w:hAnsi="Times New Roman" w:cs="Times New Roman"/>
          <w:sz w:val="24"/>
          <w:szCs w:val="24"/>
          <w:lang w:eastAsia="en-GB"/>
        </w:rPr>
        <w:t xml:space="preserve"> Market, Delta State, Southern Nigeria, and evaluated the associated health risks for both adult and child consumers. Fish samples were digested using standard wet-acid procedures and analysed using Atomic Absorption Spectrophotometry (AAS). Human health risks were evaluated using Estimated Daily Intake (EDI), Target Hazard Quotient (THQ), Hazard Index (HI), and Lifetime Cancer Risk (LCR) models based on USEPA guidelines.</w:t>
      </w:r>
      <w:r>
        <w:rPr>
          <w:rFonts w:ascii="Times New Roman" w:eastAsia="Times New Roman" w:hAnsi="Times New Roman" w:cs="Times New Roman"/>
          <w:sz w:val="24"/>
          <w:szCs w:val="24"/>
          <w:lang w:eastAsia="en-GB"/>
        </w:rPr>
        <w:t xml:space="preserve"> </w:t>
      </w:r>
      <w:r w:rsidRPr="0063082B">
        <w:rPr>
          <w:rFonts w:ascii="Times New Roman" w:eastAsia="Times New Roman" w:hAnsi="Times New Roman" w:cs="Times New Roman"/>
          <w:sz w:val="24"/>
          <w:szCs w:val="24"/>
          <w:lang w:eastAsia="en-GB"/>
        </w:rPr>
        <w:t xml:space="preserve">Zinc was the most abundant metal detected across all fish species, whereas cadmium and arsenic, though present at lower concentrations, contributed more substantially to health risk indices due to their higher toxicity. Recalculated THQ values for all metals were below unity for both adults and children. Similarly, cumulative Hazard Index values remained below the acceptable threshold (HI &lt; 1), indicating no significant non-carcinogenic health risk under the assumed consumption scenario, although children exhibited consistently higher risk indices than adults. However, lifetime cancer risk assessment revealed that cadmium exposure exceeded the USEPA acceptable risk range, suggesting a potential long-term carcinogenic concern. Overall, smoked-dried fish sold at </w:t>
      </w:r>
      <w:proofErr w:type="spellStart"/>
      <w:r w:rsidRPr="0063082B">
        <w:rPr>
          <w:rFonts w:ascii="Times New Roman" w:eastAsia="Times New Roman" w:hAnsi="Times New Roman" w:cs="Times New Roman"/>
          <w:sz w:val="24"/>
          <w:szCs w:val="24"/>
          <w:lang w:eastAsia="en-GB"/>
        </w:rPr>
        <w:t>Afor-Ugbolu</w:t>
      </w:r>
      <w:proofErr w:type="spellEnd"/>
      <w:r w:rsidRPr="0063082B">
        <w:rPr>
          <w:rFonts w:ascii="Times New Roman" w:eastAsia="Times New Roman" w:hAnsi="Times New Roman" w:cs="Times New Roman"/>
          <w:sz w:val="24"/>
          <w:szCs w:val="24"/>
          <w:lang w:eastAsia="en-GB"/>
        </w:rPr>
        <w:t xml:space="preserve"> Market is generally safe with respect to non-carcinogenic health effects, but continuous monitoring is recommended to minimise long-term carcinogenic risks associated with cadmium exposure.</w:t>
      </w:r>
    </w:p>
    <w:p w14:paraId="11275ED9" w14:textId="77777777" w:rsidR="003F326F" w:rsidRDefault="003F326F" w:rsidP="000B11B6">
      <w:pPr>
        <w:autoSpaceDE w:val="0"/>
        <w:autoSpaceDN w:val="0"/>
        <w:adjustRightInd w:val="0"/>
        <w:spacing w:after="0" w:line="240" w:lineRule="auto"/>
        <w:jc w:val="both"/>
      </w:pPr>
    </w:p>
    <w:p w14:paraId="472DC12C" w14:textId="39B27E7D" w:rsidR="00E81992" w:rsidRPr="00D105A6" w:rsidRDefault="00E81992" w:rsidP="000B11B6">
      <w:pPr>
        <w:autoSpaceDE w:val="0"/>
        <w:autoSpaceDN w:val="0"/>
        <w:adjustRightInd w:val="0"/>
        <w:spacing w:after="0" w:line="240" w:lineRule="auto"/>
        <w:jc w:val="both"/>
        <w:rPr>
          <w:rFonts w:ascii="Times New Roman" w:hAnsi="Times New Roman" w:cs="Times New Roman"/>
          <w:b/>
          <w:strike/>
          <w:sz w:val="24"/>
          <w:szCs w:val="24"/>
        </w:rPr>
      </w:pPr>
      <w:r w:rsidRPr="005E0DE4">
        <w:rPr>
          <w:rFonts w:ascii="Times New Roman" w:eastAsia="LibertinusSerif-Regular" w:hAnsi="Times New Roman" w:cs="Times New Roman"/>
          <w:b/>
          <w:sz w:val="24"/>
          <w:szCs w:val="24"/>
        </w:rPr>
        <w:t xml:space="preserve">Keywords: </w:t>
      </w:r>
      <w:r w:rsidRPr="00D105A6">
        <w:rPr>
          <w:rFonts w:ascii="Times New Roman" w:eastAsia="LibertinusSerif-Regular" w:hAnsi="Times New Roman" w:cs="Times New Roman"/>
          <w:sz w:val="24"/>
          <w:szCs w:val="24"/>
        </w:rPr>
        <w:t xml:space="preserve">Fish, Heavy metals, Cancer risk, </w:t>
      </w:r>
      <w:r w:rsidR="00D105A6" w:rsidRPr="00D105A6">
        <w:rPr>
          <w:rFonts w:ascii="Times New Roman" w:hAnsi="Times New Roman" w:cs="Times New Roman"/>
          <w:sz w:val="24"/>
          <w:szCs w:val="24"/>
        </w:rPr>
        <w:t>Atomic Absorption Spectrophotometry</w:t>
      </w:r>
      <w:r w:rsidR="00D105A6">
        <w:rPr>
          <w:rFonts w:ascii="Times New Roman" w:hAnsi="Times New Roman" w:cs="Times New Roman"/>
          <w:sz w:val="24"/>
          <w:szCs w:val="24"/>
        </w:rPr>
        <w:t xml:space="preserve">, </w:t>
      </w:r>
      <w:proofErr w:type="spellStart"/>
      <w:r w:rsidR="00D105A6">
        <w:rPr>
          <w:rFonts w:ascii="Times New Roman" w:hAnsi="Times New Roman" w:cs="Times New Roman"/>
          <w:sz w:val="24"/>
          <w:szCs w:val="24"/>
        </w:rPr>
        <w:t>Afor-Ugbolu</w:t>
      </w:r>
      <w:proofErr w:type="spellEnd"/>
      <w:r w:rsidR="00D105A6">
        <w:rPr>
          <w:rFonts w:ascii="Times New Roman" w:hAnsi="Times New Roman" w:cs="Times New Roman"/>
          <w:sz w:val="24"/>
          <w:szCs w:val="24"/>
        </w:rPr>
        <w:t xml:space="preserve"> market, Nigeria</w:t>
      </w:r>
    </w:p>
    <w:p w14:paraId="4F1CEF7C" w14:textId="0823D19B" w:rsidR="00174FFC" w:rsidRDefault="00E107E4" w:rsidP="00E107E4">
      <w:pPr>
        <w:pStyle w:val="Default"/>
        <w:spacing w:line="480" w:lineRule="auto"/>
        <w:rPr>
          <w:rFonts w:ascii="Times New Roman" w:hAnsi="Times New Roman" w:cs="Times New Roman"/>
          <w:b/>
        </w:rPr>
      </w:pPr>
      <w:r>
        <w:rPr>
          <w:rFonts w:ascii="Times New Roman" w:hAnsi="Times New Roman" w:cs="Times New Roman"/>
          <w:b/>
        </w:rPr>
        <w:t>1.</w:t>
      </w:r>
      <w:r w:rsidRPr="00600E83">
        <w:rPr>
          <w:rFonts w:ascii="Times New Roman" w:hAnsi="Times New Roman" w:cs="Times New Roman"/>
          <w:b/>
        </w:rPr>
        <w:t xml:space="preserve"> INTRODUCTION</w:t>
      </w:r>
    </w:p>
    <w:p w14:paraId="441C839A"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Fish is one of the most widely consumed sources of animal protein worldwide and plays a particularly important role in the diets of populations in developing countries, including Nigeria. Owing to its affordability, availability, and high nutritional value, fish contributes substantially to dietary protein intake and provides essential micronutrients for many households (</w:t>
      </w:r>
      <w:proofErr w:type="spellStart"/>
      <w:r w:rsidRPr="00DD0273">
        <w:rPr>
          <w:rFonts w:ascii="Times New Roman" w:eastAsia="Times New Roman" w:hAnsi="Times New Roman" w:cs="Times New Roman"/>
          <w:sz w:val="24"/>
          <w:szCs w:val="24"/>
          <w:lang w:eastAsia="en-GB"/>
        </w:rPr>
        <w:t>Akinrotimi</w:t>
      </w:r>
      <w:proofErr w:type="spellEnd"/>
      <w:r w:rsidRPr="00DD0273">
        <w:rPr>
          <w:rFonts w:ascii="Times New Roman" w:eastAsia="Times New Roman" w:hAnsi="Times New Roman" w:cs="Times New Roman"/>
          <w:sz w:val="24"/>
          <w:szCs w:val="24"/>
          <w:lang w:eastAsia="en-GB"/>
        </w:rPr>
        <w:t xml:space="preserve"> et al., 2019; </w:t>
      </w:r>
      <w:proofErr w:type="spellStart"/>
      <w:r w:rsidRPr="00DD0273">
        <w:rPr>
          <w:rFonts w:ascii="Times New Roman" w:eastAsia="Times New Roman" w:hAnsi="Times New Roman" w:cs="Times New Roman"/>
          <w:sz w:val="24"/>
          <w:szCs w:val="24"/>
          <w:lang w:eastAsia="en-GB"/>
        </w:rPr>
        <w:t>Elinge</w:t>
      </w:r>
      <w:proofErr w:type="spellEnd"/>
      <w:r w:rsidRPr="00DD0273">
        <w:rPr>
          <w:rFonts w:ascii="Times New Roman" w:eastAsia="Times New Roman" w:hAnsi="Times New Roman" w:cs="Times New Roman"/>
          <w:sz w:val="24"/>
          <w:szCs w:val="24"/>
          <w:lang w:eastAsia="en-GB"/>
        </w:rPr>
        <w:t xml:space="preserve"> et al., 2019). In Nigeria, smoked-dried fish is especially popular because smoking enhances flavour, prolongs shelf life, and facilitates transportation and storage in inland markets (</w:t>
      </w:r>
      <w:proofErr w:type="spellStart"/>
      <w:r w:rsidRPr="00DD0273">
        <w:rPr>
          <w:rFonts w:ascii="Times New Roman" w:eastAsia="Times New Roman" w:hAnsi="Times New Roman" w:cs="Times New Roman"/>
          <w:sz w:val="24"/>
          <w:szCs w:val="24"/>
          <w:lang w:eastAsia="en-GB"/>
        </w:rPr>
        <w:t>Akinhanmi</w:t>
      </w:r>
      <w:proofErr w:type="spellEnd"/>
      <w:r w:rsidRPr="00DD0273">
        <w:rPr>
          <w:rFonts w:ascii="Times New Roman" w:eastAsia="Times New Roman" w:hAnsi="Times New Roman" w:cs="Times New Roman"/>
          <w:sz w:val="24"/>
          <w:szCs w:val="24"/>
          <w:lang w:eastAsia="en-GB"/>
        </w:rPr>
        <w:t xml:space="preserve"> et al., 2021).</w:t>
      </w:r>
    </w:p>
    <w:p w14:paraId="14F1932C"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 xml:space="preserve">Despite these nutritional benefits, fish may also serve as a significant route of human exposure to environmental contaminants, particularly heavy metals. Aquatic environments </w:t>
      </w:r>
      <w:r w:rsidRPr="00DD0273">
        <w:rPr>
          <w:rFonts w:ascii="Times New Roman" w:eastAsia="Times New Roman" w:hAnsi="Times New Roman" w:cs="Times New Roman"/>
          <w:sz w:val="24"/>
          <w:szCs w:val="24"/>
          <w:lang w:eastAsia="en-GB"/>
        </w:rPr>
        <w:lastRenderedPageBreak/>
        <w:t>receive heavy metals from both natural sources and anthropogenic activities such as industrial effluents, agricultural runoff, urban wastewater discharge, and improper waste disposal (Ahmed et al., 2020; Zhong et al., 2018). These metals are persistent in aquatic systems and may accumulate in fish tissues through bioaccumulation and biomagnification, posing potential health risks to consumers (</w:t>
      </w:r>
      <w:proofErr w:type="spellStart"/>
      <w:r w:rsidRPr="00DD0273">
        <w:rPr>
          <w:rFonts w:ascii="Times New Roman" w:eastAsia="Times New Roman" w:hAnsi="Times New Roman" w:cs="Times New Roman"/>
          <w:sz w:val="24"/>
          <w:szCs w:val="24"/>
          <w:lang w:eastAsia="en-GB"/>
        </w:rPr>
        <w:t>Griboff</w:t>
      </w:r>
      <w:proofErr w:type="spellEnd"/>
      <w:r w:rsidRPr="00DD0273">
        <w:rPr>
          <w:rFonts w:ascii="Times New Roman" w:eastAsia="Times New Roman" w:hAnsi="Times New Roman" w:cs="Times New Roman"/>
          <w:sz w:val="24"/>
          <w:szCs w:val="24"/>
          <w:lang w:eastAsia="en-GB"/>
        </w:rPr>
        <w:t xml:space="preserve"> et al., 2017; Ozturk et al., 2021).</w:t>
      </w:r>
    </w:p>
    <w:p w14:paraId="12A7CBDD"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Traditional fish processing methods, especially smoking and drying, may further influence contaminant levels in fish products. During heat processing, fish may be exposed to combustion by-products, contaminated surfaces, and atmospheric deposition, while poor handling and open-market display can increase contamination during storage and sale (</w:t>
      </w:r>
      <w:proofErr w:type="spellStart"/>
      <w:r w:rsidRPr="00DD0273">
        <w:rPr>
          <w:rFonts w:ascii="Times New Roman" w:eastAsia="Times New Roman" w:hAnsi="Times New Roman" w:cs="Times New Roman"/>
          <w:sz w:val="24"/>
          <w:szCs w:val="24"/>
          <w:lang w:eastAsia="en-GB"/>
        </w:rPr>
        <w:t>Anarado</w:t>
      </w:r>
      <w:proofErr w:type="spellEnd"/>
      <w:r w:rsidRPr="00DD0273">
        <w:rPr>
          <w:rFonts w:ascii="Times New Roman" w:eastAsia="Times New Roman" w:hAnsi="Times New Roman" w:cs="Times New Roman"/>
          <w:sz w:val="24"/>
          <w:szCs w:val="24"/>
          <w:lang w:eastAsia="en-GB"/>
        </w:rPr>
        <w:t xml:space="preserve"> et al., 2023; Chukwurah et al., 2023). Recent studies have demonstrated that heat-processed fish and meat products may pose measurable health risks due to contaminant exposure, highlighting the importance of evaluating traditionally processed foods within a public health risk assessment framework (Iwu et al., 2024).</w:t>
      </w:r>
    </w:p>
    <w:p w14:paraId="4A449EB2"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Heavy metals such as arsenic, cadmium, lead, copper, and zinc are of particular concern due to their toxicity, persistence, and tendency to accumulate in biological tissues. Chronic dietary exposure to toxic metals has been linked to adverse health outcomes including neurological impairment, renal dysfunction, cardiovascular disorders, and increased cancer risk, particularly among vulnerable populations such as children (Chamoli &amp; Karn, 2024; Ozturk et al., 2021). Although some metals are essential at trace levels, excessive intake through contaminated food sources may pose serious public health concerns (USEPA, 2004).</w:t>
      </w:r>
    </w:p>
    <w:p w14:paraId="45890275"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 xml:space="preserve">Health risk assessment models are widely used to evaluate the potential adverse effects associated with dietary exposure to heavy metals. Approaches such as Estimated Daily Intake (EDI), Target Hazard Quotient (THQ), Hazard Index (HI), and Lifetime Cancer Risk (LCR) integrate contaminant concentrations with consumption patterns and toxicological reference </w:t>
      </w:r>
      <w:r w:rsidRPr="00DD0273">
        <w:rPr>
          <w:rFonts w:ascii="Times New Roman" w:eastAsia="Times New Roman" w:hAnsi="Times New Roman" w:cs="Times New Roman"/>
          <w:sz w:val="24"/>
          <w:szCs w:val="24"/>
          <w:lang w:eastAsia="en-GB"/>
        </w:rPr>
        <w:lastRenderedPageBreak/>
        <w:t>values to provide a structured evaluation of non-carcinogenic and carcinogenic risks (Ahmed et al., 2020; USEPA, 2005).</w:t>
      </w:r>
    </w:p>
    <w:p w14:paraId="34301CA5"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Although several studies have reported heavy metal contamination in fish and fish products sold in Nigerian markets (</w:t>
      </w:r>
      <w:proofErr w:type="spellStart"/>
      <w:r w:rsidRPr="00DD0273">
        <w:rPr>
          <w:rFonts w:ascii="Times New Roman" w:eastAsia="Times New Roman" w:hAnsi="Times New Roman" w:cs="Times New Roman"/>
          <w:sz w:val="24"/>
          <w:szCs w:val="24"/>
          <w:lang w:eastAsia="en-GB"/>
        </w:rPr>
        <w:t>Akinhanmi</w:t>
      </w:r>
      <w:proofErr w:type="spellEnd"/>
      <w:r w:rsidRPr="00DD0273">
        <w:rPr>
          <w:rFonts w:ascii="Times New Roman" w:eastAsia="Times New Roman" w:hAnsi="Times New Roman" w:cs="Times New Roman"/>
          <w:sz w:val="24"/>
          <w:szCs w:val="24"/>
          <w:lang w:eastAsia="en-GB"/>
        </w:rPr>
        <w:t xml:space="preserve"> et al., 2021; </w:t>
      </w:r>
      <w:proofErr w:type="spellStart"/>
      <w:r w:rsidRPr="00DD0273">
        <w:rPr>
          <w:rFonts w:ascii="Times New Roman" w:eastAsia="Times New Roman" w:hAnsi="Times New Roman" w:cs="Times New Roman"/>
          <w:sz w:val="24"/>
          <w:szCs w:val="24"/>
          <w:lang w:eastAsia="en-GB"/>
        </w:rPr>
        <w:t>Elinge</w:t>
      </w:r>
      <w:proofErr w:type="spellEnd"/>
      <w:r w:rsidRPr="00DD0273">
        <w:rPr>
          <w:rFonts w:ascii="Times New Roman" w:eastAsia="Times New Roman" w:hAnsi="Times New Roman" w:cs="Times New Roman"/>
          <w:sz w:val="24"/>
          <w:szCs w:val="24"/>
          <w:lang w:eastAsia="en-GB"/>
        </w:rPr>
        <w:t xml:space="preserve"> et al., 2019; </w:t>
      </w:r>
      <w:proofErr w:type="spellStart"/>
      <w:r w:rsidRPr="00DD0273">
        <w:rPr>
          <w:rFonts w:ascii="Times New Roman" w:eastAsia="Times New Roman" w:hAnsi="Times New Roman" w:cs="Times New Roman"/>
          <w:sz w:val="24"/>
          <w:szCs w:val="24"/>
          <w:lang w:eastAsia="en-GB"/>
        </w:rPr>
        <w:t>Iyorah</w:t>
      </w:r>
      <w:proofErr w:type="spellEnd"/>
      <w:r w:rsidRPr="00DD0273">
        <w:rPr>
          <w:rFonts w:ascii="Times New Roman" w:eastAsia="Times New Roman" w:hAnsi="Times New Roman" w:cs="Times New Roman"/>
          <w:sz w:val="24"/>
          <w:szCs w:val="24"/>
          <w:lang w:eastAsia="en-GB"/>
        </w:rPr>
        <w:t xml:space="preserve"> &amp; Uzoamaka, 2023), data on the health risks associated with consumption of smoked-dried fish—particularly considering both adult and child exposure—remain limited. </w:t>
      </w:r>
      <w:proofErr w:type="spellStart"/>
      <w:r w:rsidRPr="00DD0273">
        <w:rPr>
          <w:rFonts w:ascii="Times New Roman" w:eastAsia="Times New Roman" w:hAnsi="Times New Roman" w:cs="Times New Roman"/>
          <w:sz w:val="24"/>
          <w:szCs w:val="24"/>
          <w:lang w:eastAsia="en-GB"/>
        </w:rPr>
        <w:t>Afor-Ugbolu</w:t>
      </w:r>
      <w:proofErr w:type="spellEnd"/>
      <w:r w:rsidRPr="00DD0273">
        <w:rPr>
          <w:rFonts w:ascii="Times New Roman" w:eastAsia="Times New Roman" w:hAnsi="Times New Roman" w:cs="Times New Roman"/>
          <w:sz w:val="24"/>
          <w:szCs w:val="24"/>
          <w:lang w:eastAsia="en-GB"/>
        </w:rPr>
        <w:t xml:space="preserve"> Market in Delta State serves as a major distribution hub for smoked-dried fish sourced from surrounding coastal and riverine areas, yet information on metal exposure and associated health risks linked to fish sold in this market is scarce.</w:t>
      </w:r>
    </w:p>
    <w:p w14:paraId="34C7AD20"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 xml:space="preserve">This study therefore aimed to determine the concentrations of selected heavy metals in popular smoked-dried fish sold at </w:t>
      </w:r>
      <w:proofErr w:type="spellStart"/>
      <w:r w:rsidRPr="00DD0273">
        <w:rPr>
          <w:rFonts w:ascii="Times New Roman" w:eastAsia="Times New Roman" w:hAnsi="Times New Roman" w:cs="Times New Roman"/>
          <w:sz w:val="24"/>
          <w:szCs w:val="24"/>
          <w:lang w:eastAsia="en-GB"/>
        </w:rPr>
        <w:t>Afor-Ugbolu</w:t>
      </w:r>
      <w:proofErr w:type="spellEnd"/>
      <w:r w:rsidRPr="00DD0273">
        <w:rPr>
          <w:rFonts w:ascii="Times New Roman" w:eastAsia="Times New Roman" w:hAnsi="Times New Roman" w:cs="Times New Roman"/>
          <w:sz w:val="24"/>
          <w:szCs w:val="24"/>
          <w:lang w:eastAsia="en-GB"/>
        </w:rPr>
        <w:t xml:space="preserve"> Market and to evaluate the potential non-carcinogenic and carcinogenic health risks associated with their consumption by adults and children. The findings provide relevant data for food safety monitoring and contribute to informed public health decision-making regarding traditionally processed fish products in Nigeria.</w:t>
      </w:r>
    </w:p>
    <w:p w14:paraId="7BE4B5E4" w14:textId="16068C3B" w:rsidR="00A20D37" w:rsidRPr="00600E83" w:rsidRDefault="00A20D37" w:rsidP="00FF705B">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2. MATERIALS AND METHODS</w:t>
      </w:r>
    </w:p>
    <w:p w14:paraId="1022D721" w14:textId="77777777" w:rsidR="00F2783C" w:rsidRDefault="00A20D37" w:rsidP="00113E79">
      <w:pPr>
        <w:pStyle w:val="NormalWeb"/>
        <w:spacing w:line="480" w:lineRule="auto"/>
        <w:jc w:val="both"/>
      </w:pPr>
      <w:r w:rsidRPr="00600E83">
        <w:rPr>
          <w:rFonts w:eastAsia="LibertinusSerif-Regular"/>
          <w:b/>
        </w:rPr>
        <w:t xml:space="preserve">2.1. </w:t>
      </w:r>
      <w:r w:rsidRPr="00600E83">
        <w:rPr>
          <w:rFonts w:eastAsia="LibertinusSerif-Regular"/>
          <w:b/>
          <w:i/>
        </w:rPr>
        <w:t xml:space="preserve">Study Location: </w:t>
      </w:r>
      <w:r w:rsidR="00113E79">
        <w:t xml:space="preserve">The investigation was conducted at </w:t>
      </w:r>
      <w:proofErr w:type="spellStart"/>
      <w:r w:rsidR="00113E79">
        <w:t>Afor-Ugbolu</w:t>
      </w:r>
      <w:proofErr w:type="spellEnd"/>
      <w:r w:rsidR="00113E79">
        <w:t xml:space="preserve"> Market, located in </w:t>
      </w:r>
      <w:proofErr w:type="spellStart"/>
      <w:r w:rsidR="00113E79">
        <w:t>Ugbolu</w:t>
      </w:r>
      <w:proofErr w:type="spellEnd"/>
      <w:r w:rsidR="00113E79">
        <w:t xml:space="preserve"> town within </w:t>
      </w:r>
      <w:proofErr w:type="spellStart"/>
      <w:r w:rsidR="00113E79">
        <w:t>Oshimili</w:t>
      </w:r>
      <w:proofErr w:type="spellEnd"/>
      <w:r w:rsidR="00113E79">
        <w:t xml:space="preserve"> North Local Government Area of Delta State, Southern Nigeria. The community lies close to Asaba, the state capital, at approximately 6.30844° N latitude and 6.68886° E longitude. </w:t>
      </w:r>
      <w:proofErr w:type="spellStart"/>
      <w:r w:rsidR="00113E79">
        <w:t>Afor-Ugbolu</w:t>
      </w:r>
      <w:proofErr w:type="spellEnd"/>
      <w:r w:rsidR="00113E79">
        <w:t xml:space="preserve"> Market was selected due to its high commercial activity and its role as a major distribution point for smoked-dried fish in the region. The market’s strategic importance makes it suitable for assessing potential dietary </w:t>
      </w:r>
      <w:r w:rsidR="00113E79">
        <w:lastRenderedPageBreak/>
        <w:t>exposure to heavy metals among consumers.</w:t>
      </w:r>
      <w:r w:rsidR="000F0EBA">
        <w:rPr>
          <w:noProof/>
        </w:rPr>
        <w:drawing>
          <wp:inline distT="0" distB="0" distL="0" distR="0" wp14:anchorId="40E7BE7E" wp14:editId="1583CD61">
            <wp:extent cx="5731510" cy="580517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bolu map.jpg"/>
                    <pic:cNvPicPr/>
                  </pic:nvPicPr>
                  <pic:blipFill>
                    <a:blip r:embed="rId7">
                      <a:extLst>
                        <a:ext uri="{28A0092B-C50C-407E-A947-70E740481C1C}">
                          <a14:useLocalDpi xmlns:a14="http://schemas.microsoft.com/office/drawing/2010/main" val="0"/>
                        </a:ext>
                      </a:extLst>
                    </a:blip>
                    <a:stretch>
                      <a:fillRect/>
                    </a:stretch>
                  </pic:blipFill>
                  <pic:spPr>
                    <a:xfrm>
                      <a:off x="0" y="0"/>
                      <a:ext cx="5731510" cy="5805170"/>
                    </a:xfrm>
                    <a:prstGeom prst="rect">
                      <a:avLst/>
                    </a:prstGeom>
                  </pic:spPr>
                </pic:pic>
              </a:graphicData>
            </a:graphic>
          </wp:inline>
        </w:drawing>
      </w:r>
    </w:p>
    <w:p w14:paraId="23A3C4A9" w14:textId="77777777" w:rsidR="000F0EBA" w:rsidRDefault="000F0EBA" w:rsidP="000F0EBA">
      <w:pPr>
        <w:pStyle w:val="NormalWeb"/>
        <w:spacing w:before="240" w:beforeAutospacing="0" w:after="0" w:afterAutospacing="0"/>
        <w:jc w:val="center"/>
      </w:pPr>
      <w:r>
        <w:t xml:space="preserve">Figure 1: Map of </w:t>
      </w:r>
      <w:proofErr w:type="spellStart"/>
      <w:r>
        <w:t>Ugbolu</w:t>
      </w:r>
      <w:proofErr w:type="spellEnd"/>
      <w:r>
        <w:t xml:space="preserve"> community showing the study area</w:t>
      </w:r>
    </w:p>
    <w:p w14:paraId="5CBC5FA9" w14:textId="19E3458F" w:rsidR="00113E79" w:rsidRPr="00113E79" w:rsidRDefault="004818F0" w:rsidP="00113E79">
      <w:pPr>
        <w:pStyle w:val="NormalWeb"/>
        <w:spacing w:line="480" w:lineRule="auto"/>
        <w:jc w:val="both"/>
      </w:pPr>
      <w:r w:rsidRPr="00600E83">
        <w:rPr>
          <w:b/>
        </w:rPr>
        <w:t xml:space="preserve">2.2. </w:t>
      </w:r>
      <w:r w:rsidRPr="00600E83">
        <w:rPr>
          <w:b/>
          <w:i/>
        </w:rPr>
        <w:t>Sample Collection and Preparation:</w:t>
      </w:r>
      <w:r w:rsidRPr="00600E83">
        <w:rPr>
          <w:b/>
        </w:rPr>
        <w:t xml:space="preserve"> </w:t>
      </w:r>
      <w:r w:rsidR="00113E79" w:rsidRPr="00113E79">
        <w:t>Four commonly consumed smoked-dried fish species—</w:t>
      </w:r>
      <w:r w:rsidR="00113E79" w:rsidRPr="00113E79">
        <w:rPr>
          <w:i/>
          <w:iCs/>
        </w:rPr>
        <w:t xml:space="preserve">Clarias </w:t>
      </w:r>
      <w:proofErr w:type="spellStart"/>
      <w:r w:rsidR="00113E79" w:rsidRPr="00113E79">
        <w:rPr>
          <w:i/>
          <w:iCs/>
        </w:rPr>
        <w:t>gariepinus</w:t>
      </w:r>
      <w:proofErr w:type="spellEnd"/>
      <w:r w:rsidR="00113E79" w:rsidRPr="00113E79">
        <w:t xml:space="preserve">, </w:t>
      </w:r>
      <w:proofErr w:type="spellStart"/>
      <w:r w:rsidR="00113E79" w:rsidRPr="00113E79">
        <w:rPr>
          <w:i/>
          <w:iCs/>
        </w:rPr>
        <w:t>Scomber</w:t>
      </w:r>
      <w:proofErr w:type="spellEnd"/>
      <w:r w:rsidR="00113E79" w:rsidRPr="00113E79">
        <w:rPr>
          <w:i/>
          <w:iCs/>
        </w:rPr>
        <w:t xml:space="preserve"> </w:t>
      </w:r>
      <w:proofErr w:type="spellStart"/>
      <w:r w:rsidR="00113E79" w:rsidRPr="00113E79">
        <w:rPr>
          <w:i/>
          <w:iCs/>
        </w:rPr>
        <w:t>scombrus</w:t>
      </w:r>
      <w:proofErr w:type="spellEnd"/>
      <w:r w:rsidR="00113E79" w:rsidRPr="00113E79">
        <w:t xml:space="preserve">, </w:t>
      </w:r>
      <w:proofErr w:type="spellStart"/>
      <w:r w:rsidR="00113E79" w:rsidRPr="00113E79">
        <w:rPr>
          <w:i/>
          <w:iCs/>
        </w:rPr>
        <w:t>Ethmalosa</w:t>
      </w:r>
      <w:proofErr w:type="spellEnd"/>
      <w:r w:rsidR="00113E79" w:rsidRPr="00113E79">
        <w:rPr>
          <w:i/>
          <w:iCs/>
        </w:rPr>
        <w:t xml:space="preserve"> fimbriata</w:t>
      </w:r>
      <w:r w:rsidR="00113E79" w:rsidRPr="00113E79">
        <w:t xml:space="preserve">, and </w:t>
      </w:r>
      <w:proofErr w:type="spellStart"/>
      <w:r w:rsidR="00113E79" w:rsidRPr="00113E79">
        <w:rPr>
          <w:i/>
          <w:iCs/>
        </w:rPr>
        <w:t>Gymnarchus</w:t>
      </w:r>
      <w:proofErr w:type="spellEnd"/>
      <w:r w:rsidR="00113E79" w:rsidRPr="00113E79">
        <w:rPr>
          <w:i/>
          <w:iCs/>
        </w:rPr>
        <w:t xml:space="preserve"> niloticus</w:t>
      </w:r>
      <w:r w:rsidR="00113E79" w:rsidRPr="00113E79">
        <w:t xml:space="preserve">—were obtained directly from vendors at </w:t>
      </w:r>
      <w:proofErr w:type="spellStart"/>
      <w:r w:rsidR="00113E79" w:rsidRPr="00113E79">
        <w:t>Afor-Ugbolu</w:t>
      </w:r>
      <w:proofErr w:type="spellEnd"/>
      <w:r w:rsidR="00113E79" w:rsidRPr="00113E79">
        <w:t xml:space="preserve"> Market. </w:t>
      </w:r>
      <w:r w:rsidR="00570430">
        <w:t xml:space="preserve">Fish samples were collected between </w:t>
      </w:r>
      <w:r w:rsidR="00570430" w:rsidRPr="00570430">
        <w:rPr>
          <w:rStyle w:val="Strong"/>
          <w:b w:val="0"/>
        </w:rPr>
        <w:t>May and July 2025</w:t>
      </w:r>
      <w:r w:rsidR="00570430">
        <w:t xml:space="preserve">, corresponding to the </w:t>
      </w:r>
      <w:r w:rsidR="00570430" w:rsidRPr="00570430">
        <w:rPr>
          <w:rStyle w:val="Strong"/>
          <w:b w:val="0"/>
        </w:rPr>
        <w:t>wet season</w:t>
      </w:r>
      <w:r w:rsidR="00570430">
        <w:t xml:space="preserve"> in Southern Nigeria. All samples were obtained within this period to minimise temporal variability. While seasonal variation in metal concentrations was not assessed in this study, it is acknowledged that metal accumulation in fish may vary across seasons, and this limitation has been noted. </w:t>
      </w:r>
      <w:r w:rsidR="009C008E">
        <w:lastRenderedPageBreak/>
        <w:t>Ten samples</w:t>
      </w:r>
      <w:r w:rsidR="00113E79" w:rsidRPr="00113E79">
        <w:t xml:space="preserve"> of each species were purchased to ensure representativeness. Samples were placed in sterile polyethylene bags, properly labelled, and transported to the laboratory under hygienic conditions.</w:t>
      </w:r>
    </w:p>
    <w:p w14:paraId="41AEAF2F" w14:textId="77777777" w:rsidR="00113E79" w:rsidRPr="00113E79" w:rsidRDefault="00113E79" w:rsidP="00113E7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13E79">
        <w:rPr>
          <w:rFonts w:ascii="Times New Roman" w:eastAsia="Times New Roman" w:hAnsi="Times New Roman" w:cs="Times New Roman"/>
          <w:sz w:val="24"/>
          <w:szCs w:val="24"/>
          <w:lang w:eastAsia="en-GB"/>
        </w:rPr>
        <w:t xml:space="preserve">In the laboratory, muscle tissues were excised using stainless steel instruments to avoid contamination. The tissues were chopped into small portions, homogenised using a </w:t>
      </w:r>
      <w:r w:rsidRPr="00D51FF5">
        <w:rPr>
          <w:rFonts w:ascii="Times New Roman" w:eastAsia="Times New Roman" w:hAnsi="Times New Roman" w:cs="Times New Roman"/>
          <w:sz w:val="24"/>
          <w:szCs w:val="24"/>
          <w:lang w:eastAsia="en-GB"/>
        </w:rPr>
        <w:t>clean mortar and pestle, and sieved through a 2-mm mesh to obtain fine powder.</w:t>
      </w:r>
      <w:r w:rsidRPr="00113E79">
        <w:rPr>
          <w:rFonts w:ascii="Times New Roman" w:eastAsia="Times New Roman" w:hAnsi="Times New Roman" w:cs="Times New Roman"/>
          <w:sz w:val="24"/>
          <w:szCs w:val="24"/>
          <w:lang w:eastAsia="en-GB"/>
        </w:rPr>
        <w:t xml:space="preserve"> The processed samples were stored in airtight containers within a vacuum desiccator prior to chemical analysis.</w:t>
      </w:r>
    </w:p>
    <w:p w14:paraId="1A91FF5B" w14:textId="77777777" w:rsidR="000C0353" w:rsidRPr="00543522" w:rsidRDefault="00E60122" w:rsidP="000C0353">
      <w:pPr>
        <w:pStyle w:val="Heading3"/>
        <w:spacing w:line="480" w:lineRule="auto"/>
        <w:jc w:val="both"/>
        <w:rPr>
          <w:sz w:val="24"/>
          <w:szCs w:val="24"/>
        </w:rPr>
      </w:pPr>
      <w:r w:rsidRPr="00543522">
        <w:rPr>
          <w:sz w:val="24"/>
          <w:szCs w:val="24"/>
        </w:rPr>
        <w:t xml:space="preserve">2.3. </w:t>
      </w:r>
      <w:r w:rsidR="000C0353" w:rsidRPr="00543522">
        <w:rPr>
          <w:sz w:val="24"/>
          <w:szCs w:val="24"/>
        </w:rPr>
        <w:t>Wet-Acid Digestion of Fish Samples</w:t>
      </w:r>
    </w:p>
    <w:p w14:paraId="6DFDFDE1" w14:textId="77777777" w:rsidR="000C0353" w:rsidRPr="000C0353" w:rsidRDefault="000C0353" w:rsidP="000C035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C0353">
        <w:rPr>
          <w:rFonts w:ascii="Times New Roman" w:eastAsia="Times New Roman" w:hAnsi="Times New Roman" w:cs="Times New Roman"/>
          <w:sz w:val="24"/>
          <w:szCs w:val="24"/>
          <w:lang w:eastAsia="en-GB"/>
        </w:rPr>
        <w:t xml:space="preserve">Sample digestion was carried out using a wet-acid digestion method adapted from AOAC (2005). Approximately </w:t>
      </w:r>
      <w:r w:rsidRPr="000C0353">
        <w:rPr>
          <w:rFonts w:ascii="Times New Roman" w:eastAsia="Times New Roman" w:hAnsi="Times New Roman" w:cs="Times New Roman"/>
          <w:bCs/>
          <w:sz w:val="24"/>
          <w:szCs w:val="24"/>
          <w:lang w:eastAsia="en-GB"/>
        </w:rPr>
        <w:t>2.0 g</w:t>
      </w:r>
      <w:r w:rsidRPr="000C0353">
        <w:rPr>
          <w:rFonts w:ascii="Times New Roman" w:eastAsia="Times New Roman" w:hAnsi="Times New Roman" w:cs="Times New Roman"/>
          <w:sz w:val="24"/>
          <w:szCs w:val="24"/>
          <w:lang w:eastAsia="en-GB"/>
        </w:rPr>
        <w:t xml:space="preserve"> of homogenised fish tissue was weighed into digestion flasks, followed by the addition of a mixed acid solution consisting of </w:t>
      </w:r>
      <w:r w:rsidRPr="000C0353">
        <w:rPr>
          <w:rFonts w:ascii="Times New Roman" w:eastAsia="Times New Roman" w:hAnsi="Times New Roman" w:cs="Times New Roman"/>
          <w:bCs/>
          <w:sz w:val="24"/>
          <w:szCs w:val="24"/>
          <w:lang w:eastAsia="en-GB"/>
        </w:rPr>
        <w:t>concentrated nitric acid (HNO₃), perchloric acid (</w:t>
      </w:r>
      <w:proofErr w:type="spellStart"/>
      <w:r w:rsidRPr="000C0353">
        <w:rPr>
          <w:rFonts w:ascii="Times New Roman" w:eastAsia="Times New Roman" w:hAnsi="Times New Roman" w:cs="Times New Roman"/>
          <w:bCs/>
          <w:sz w:val="24"/>
          <w:szCs w:val="24"/>
          <w:lang w:eastAsia="en-GB"/>
        </w:rPr>
        <w:t>HClO</w:t>
      </w:r>
      <w:proofErr w:type="spellEnd"/>
      <w:r w:rsidRPr="000C0353">
        <w:rPr>
          <w:rFonts w:ascii="Times New Roman" w:eastAsia="Times New Roman" w:hAnsi="Times New Roman" w:cs="Times New Roman"/>
          <w:bCs/>
          <w:sz w:val="24"/>
          <w:szCs w:val="24"/>
          <w:lang w:eastAsia="en-GB"/>
        </w:rPr>
        <w:t>₄), and sulphuric acid (H₂SO₄) in a volumetric ratio of 5:1:1</w:t>
      </w:r>
      <w:r w:rsidRPr="000C0353">
        <w:rPr>
          <w:rFonts w:ascii="Times New Roman" w:eastAsia="Times New Roman" w:hAnsi="Times New Roman" w:cs="Times New Roman"/>
          <w:sz w:val="24"/>
          <w:szCs w:val="24"/>
          <w:lang w:eastAsia="en-GB"/>
        </w:rPr>
        <w:t>, respectively.</w:t>
      </w:r>
    </w:p>
    <w:p w14:paraId="440186F1" w14:textId="77777777" w:rsidR="000C0353" w:rsidRPr="000C0353" w:rsidRDefault="000C0353" w:rsidP="000C035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C0353">
        <w:rPr>
          <w:rFonts w:ascii="Times New Roman" w:eastAsia="Times New Roman" w:hAnsi="Times New Roman" w:cs="Times New Roman"/>
          <w:sz w:val="24"/>
          <w:szCs w:val="24"/>
          <w:lang w:eastAsia="en-GB"/>
        </w:rPr>
        <w:t xml:space="preserve">The digestion mixture was heated gradually on a hot plate at </w:t>
      </w:r>
      <w:r w:rsidRPr="000C0353">
        <w:rPr>
          <w:rFonts w:ascii="Times New Roman" w:eastAsia="Times New Roman" w:hAnsi="Times New Roman" w:cs="Times New Roman"/>
          <w:bCs/>
          <w:sz w:val="24"/>
          <w:szCs w:val="24"/>
          <w:lang w:eastAsia="en-GB"/>
        </w:rPr>
        <w:t>120–150 °C</w:t>
      </w:r>
      <w:r w:rsidRPr="000C0353">
        <w:rPr>
          <w:rFonts w:ascii="Times New Roman" w:eastAsia="Times New Roman" w:hAnsi="Times New Roman" w:cs="Times New Roman"/>
          <w:sz w:val="24"/>
          <w:szCs w:val="24"/>
          <w:lang w:eastAsia="en-GB"/>
        </w:rPr>
        <w:t xml:space="preserve"> until complete digestion was achieved, as indicated by the formation of a clear solution. The digests were allowed to cool to room temperature, diluted to a final volume of </w:t>
      </w:r>
      <w:r w:rsidRPr="000C0353">
        <w:rPr>
          <w:rFonts w:ascii="Times New Roman" w:eastAsia="Times New Roman" w:hAnsi="Times New Roman" w:cs="Times New Roman"/>
          <w:bCs/>
          <w:sz w:val="24"/>
          <w:szCs w:val="24"/>
          <w:lang w:eastAsia="en-GB"/>
        </w:rPr>
        <w:t>100 mL</w:t>
      </w:r>
      <w:r w:rsidRPr="000C0353">
        <w:rPr>
          <w:rFonts w:ascii="Times New Roman" w:eastAsia="Times New Roman" w:hAnsi="Times New Roman" w:cs="Times New Roman"/>
          <w:sz w:val="24"/>
          <w:szCs w:val="24"/>
          <w:lang w:eastAsia="en-GB"/>
        </w:rPr>
        <w:t xml:space="preserve"> with distilled water, and filtered through Whatman No. 45 filter paper. The resulting solutions were transferred into acid-washed polyethylene bottles and stored prior to metal analysis.</w:t>
      </w:r>
    </w:p>
    <w:p w14:paraId="2D88DFCB" w14:textId="51F02F2C" w:rsidR="00B52172" w:rsidRPr="00B52172" w:rsidRDefault="00E60122" w:rsidP="00B52172">
      <w:pPr>
        <w:pStyle w:val="NormalWeb"/>
        <w:spacing w:line="480" w:lineRule="auto"/>
        <w:jc w:val="both"/>
      </w:pPr>
      <w:r w:rsidRPr="00600E83">
        <w:rPr>
          <w:rFonts w:eastAsia="LibertinusSerif-Regular"/>
          <w:b/>
        </w:rPr>
        <w:t xml:space="preserve">2.4. </w:t>
      </w:r>
      <w:r w:rsidR="00113E79">
        <w:rPr>
          <w:rFonts w:eastAsia="LibertinusSerif-Regular"/>
          <w:b/>
          <w:i/>
        </w:rPr>
        <w:t>Heavy Metal Determination</w:t>
      </w:r>
      <w:r w:rsidR="009430F8" w:rsidRPr="00600E83">
        <w:rPr>
          <w:rFonts w:eastAsia="LibertinusSerif-Regular"/>
        </w:rPr>
        <w:t xml:space="preserve">: </w:t>
      </w:r>
      <w:r w:rsidR="00B52172" w:rsidRPr="00B52172">
        <w:t xml:space="preserve">Concentrations of </w:t>
      </w:r>
      <w:r w:rsidR="00B52172" w:rsidRPr="00B52172">
        <w:rPr>
          <w:bCs/>
        </w:rPr>
        <w:t>arsenic (As), cadmium (Cd), copper (Cu), lead (Pb), and zinc (Zn)</w:t>
      </w:r>
      <w:r w:rsidR="00B52172" w:rsidRPr="00B52172">
        <w:t xml:space="preserve"> were determined using </w:t>
      </w:r>
      <w:r w:rsidR="00B52172" w:rsidRPr="00B52172">
        <w:rPr>
          <w:bCs/>
        </w:rPr>
        <w:t>Atomic Absorption Spectrophotometry (Buck Scientific Model 200A)</w:t>
      </w:r>
      <w:r w:rsidR="00B52172" w:rsidRPr="00B52172">
        <w:t>. Instrument calibration was performed using certified standard solutions for each metal, and reagent blanks were analysed alongside samples to check for contamination.</w:t>
      </w:r>
      <w:r w:rsidR="00B52172">
        <w:t xml:space="preserve"> </w:t>
      </w:r>
      <w:r w:rsidR="00B52172" w:rsidRPr="00B52172">
        <w:t xml:space="preserve">Arsenic determination was conducted following wet-acid digestion using </w:t>
      </w:r>
      <w:r w:rsidR="00B52172" w:rsidRPr="00B52172">
        <w:lastRenderedPageBreak/>
        <w:t>flame AAS. Although flame AAS has lower sensitivity for arsenic compared with hydride generation techniques, the concentrations detected in this study were within the measurable range of the instrument. Appropriate calibration and quality control procedures were applied to ensure analytical reliability. The limitations of flame AAS for ultra-trace arsenic detection are acknowledged, and the use of hydride generation AAS or ICP-based techniques is recommended for future studies requiring higher sensitivity.</w:t>
      </w:r>
    </w:p>
    <w:p w14:paraId="76FE2FA2" w14:textId="77777777" w:rsidR="00B52172" w:rsidRPr="00B52172" w:rsidRDefault="00B52172" w:rsidP="00B5217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B52172">
        <w:rPr>
          <w:rFonts w:ascii="Times New Roman" w:eastAsia="Times New Roman" w:hAnsi="Times New Roman" w:cs="Times New Roman"/>
          <w:sz w:val="24"/>
          <w:szCs w:val="24"/>
          <w:lang w:eastAsia="en-GB"/>
        </w:rPr>
        <w:t>Metal concentrations were expressed on a dry-weight basis as milligrams per kilogram (mg kg⁻¹).</w:t>
      </w:r>
    </w:p>
    <w:p w14:paraId="718E8C84" w14:textId="545178DC" w:rsidR="00113E79" w:rsidRDefault="00E81385" w:rsidP="00113E79">
      <w:pPr>
        <w:pStyle w:val="NormalWeb"/>
        <w:spacing w:line="480" w:lineRule="auto"/>
        <w:jc w:val="both"/>
      </w:pPr>
      <w:r w:rsidRPr="00600E83">
        <w:rPr>
          <w:rFonts w:eastAsia="LibertinusSerif-Regular"/>
          <w:b/>
        </w:rPr>
        <w:t xml:space="preserve">2.5. </w:t>
      </w:r>
      <w:r w:rsidRPr="00600E83">
        <w:rPr>
          <w:b/>
          <w:bCs/>
          <w:i/>
        </w:rPr>
        <w:t xml:space="preserve">Health Risk Assessment: </w:t>
      </w:r>
      <w:r w:rsidR="00113E79">
        <w:t>Human health risks associated with consumption of the smoked-dried fish were evaluated using established noncarcinogenic and carcinogenic indices. Estimated Daily Intake (EDI), Target Hazard Quotient (THQ), Hazard Index (HI), and Lifetime Cancer Risk (LCR) were calculated following USEPA-based models, with exposure parameters adjusted for adult and child populations as described in previous studies (</w:t>
      </w:r>
      <w:proofErr w:type="spellStart"/>
      <w:r w:rsidR="00113E79">
        <w:t>Griboff</w:t>
      </w:r>
      <w:proofErr w:type="spellEnd"/>
      <w:r w:rsidR="00113E79">
        <w:t xml:space="preserve"> et al., 2017; USEPA, 2005).</w:t>
      </w:r>
    </w:p>
    <w:p w14:paraId="04B18F7B" w14:textId="77777777" w:rsidR="00E81385" w:rsidRPr="00600E83" w:rsidRDefault="00B66B1B" w:rsidP="00113E79">
      <w:pPr>
        <w:pStyle w:val="NormalWeb"/>
        <w:spacing w:line="480" w:lineRule="auto"/>
        <w:jc w:val="both"/>
        <w:rPr>
          <w:rFonts w:eastAsia="LibertinusSerif-Regular"/>
          <w:b/>
        </w:rPr>
      </w:pPr>
      <w:r w:rsidRPr="00600E83">
        <w:rPr>
          <w:rFonts w:eastAsia="LibertinusSerif-Regular"/>
          <w:b/>
        </w:rPr>
        <w:t>2.5.1</w:t>
      </w:r>
      <w:r w:rsidRPr="00600E83">
        <w:rPr>
          <w:rFonts w:eastAsia="LibertinusSerif-Regular"/>
        </w:rPr>
        <w:t xml:space="preserve">. </w:t>
      </w:r>
      <w:r w:rsidR="00E81385" w:rsidRPr="00600E83">
        <w:rPr>
          <w:rFonts w:eastAsia="LibertinusSerif-Regular"/>
          <w:b/>
          <w:i/>
        </w:rPr>
        <w:t>Estimated Daily Intake (EDI)</w:t>
      </w:r>
      <w:r w:rsidRPr="00600E83">
        <w:rPr>
          <w:rFonts w:eastAsia="LibertinusSerif-Regular"/>
        </w:rPr>
        <w:t>: The Estimated Daily Intake (EDI)</w:t>
      </w:r>
      <w:r w:rsidR="00E81385" w:rsidRPr="00600E83">
        <w:rPr>
          <w:rFonts w:eastAsia="LibertinusSerif-Regular"/>
        </w:rPr>
        <w:t xml:space="preserve"> of each metal was calculated using the equation</w:t>
      </w:r>
      <w:r w:rsidR="00696E65" w:rsidRPr="00600E83">
        <w:t xml:space="preserve"> (</w:t>
      </w:r>
      <w:proofErr w:type="spellStart"/>
      <w:r w:rsidR="00696E65" w:rsidRPr="00600E83">
        <w:t>Griboff</w:t>
      </w:r>
      <w:proofErr w:type="spellEnd"/>
      <w:r w:rsidR="00696E65" w:rsidRPr="00600E83">
        <w:t xml:space="preserve"> et al., 2017)</w:t>
      </w:r>
      <w:r w:rsidR="00E81385" w:rsidRPr="00600E83">
        <w:rPr>
          <w:rFonts w:eastAsia="LibertinusSerif-Regular"/>
        </w:rPr>
        <w:t>:</w:t>
      </w:r>
    </w:p>
    <w:p w14:paraId="2ADA07F9" w14:textId="77777777" w:rsidR="00A20D37" w:rsidRPr="00600E83" w:rsidRDefault="00A20D37" w:rsidP="00A20D37">
      <w:pPr>
        <w:autoSpaceDE w:val="0"/>
        <w:autoSpaceDN w:val="0"/>
        <w:adjustRightInd w:val="0"/>
        <w:spacing w:after="0" w:line="240" w:lineRule="auto"/>
        <w:rPr>
          <w:rFonts w:ascii="Times New Roman" w:eastAsia="LibertinusSerif-Regular" w:hAnsi="Times New Roman" w:cs="Times New Roman"/>
          <w:sz w:val="24"/>
          <w:szCs w:val="24"/>
        </w:rPr>
      </w:pPr>
    </w:p>
    <w:p w14:paraId="0970AE55" w14:textId="77777777" w:rsidR="00E81385" w:rsidRPr="00600E83" w:rsidRDefault="0020315B" w:rsidP="0020315B">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EDI= </w:t>
      </w:r>
      <m:oMath>
        <m:f>
          <m:fPr>
            <m:ctrlPr>
              <w:rPr>
                <w:rFonts w:ascii="Cambria Math" w:eastAsia="LibertinusSerif-Regular" w:hAnsi="Cambria Math" w:cs="Times New Roman"/>
                <w:i/>
                <w:sz w:val="24"/>
                <w:szCs w:val="24"/>
              </w:rPr>
            </m:ctrlPr>
          </m:fPr>
          <m:num>
            <m:r>
              <w:rPr>
                <w:rFonts w:ascii="Cambria Math" w:eastAsia="LibertinusSerif-Regular" w:hAnsi="Cambria Math" w:cs="Times New Roman"/>
                <w:sz w:val="24"/>
                <w:szCs w:val="24"/>
              </w:rPr>
              <m:t>(</m:t>
            </m:r>
            <m:r>
              <m:rPr>
                <m:sty m:val="p"/>
              </m:rPr>
              <w:rPr>
                <w:rFonts w:ascii="Cambria Math" w:eastAsia="LibertinusSerif-Regular" w:hAnsi="Cambria Math" w:cs="Times New Roman"/>
                <w:sz w:val="24"/>
                <w:szCs w:val="24"/>
              </w:rPr>
              <m:t>Cmetal X IR)</m:t>
            </m:r>
          </m:num>
          <m:den>
            <m:r>
              <m:rPr>
                <m:sty m:val="p"/>
              </m:rPr>
              <w:rPr>
                <w:rFonts w:ascii="Cambria Math" w:eastAsia="LibertinusSerif-Regular" w:hAnsi="Cambria Math" w:cs="Times New Roman"/>
                <w:sz w:val="24"/>
                <w:szCs w:val="24"/>
              </w:rPr>
              <m:t>BW</m:t>
            </m:r>
          </m:den>
        </m:f>
      </m:oMath>
    </w:p>
    <w:p w14:paraId="42DCA24F" w14:textId="77777777" w:rsidR="00E81385" w:rsidRPr="00600E83" w:rsidRDefault="00E81385" w:rsidP="00E81385">
      <w:pPr>
        <w:autoSpaceDE w:val="0"/>
        <w:autoSpaceDN w:val="0"/>
        <w:adjustRightInd w:val="0"/>
        <w:spacing w:after="0" w:line="24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254B89B7" w14:textId="77777777" w:rsidR="00E81385" w:rsidRPr="00600E83" w:rsidRDefault="00083E5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 =</w:t>
      </w:r>
      <w:r w:rsidR="00E81385" w:rsidRPr="00600E83">
        <w:rPr>
          <w:rFonts w:ascii="Times New Roman" w:eastAsia="LibertinusSerif-Regular" w:hAnsi="Times New Roman" w:cs="Times New Roman"/>
          <w:sz w:val="24"/>
          <w:szCs w:val="24"/>
        </w:rPr>
        <w:t xml:space="preserve"> concentration of the metal (mg/kg), </w:t>
      </w:r>
    </w:p>
    <w:p w14:paraId="5DEF033A" w14:textId="77777777" w:rsidR="00E81385" w:rsidRPr="00600E83" w:rsidRDefault="00083E5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IR = </w:t>
      </w:r>
      <w:r w:rsidR="00E81385" w:rsidRPr="00600E83">
        <w:rPr>
          <w:rFonts w:ascii="Times New Roman" w:eastAsia="LibertinusSerif-Regular" w:hAnsi="Times New Roman" w:cs="Times New Roman"/>
          <w:sz w:val="24"/>
          <w:szCs w:val="24"/>
        </w:rPr>
        <w:t xml:space="preserve">ingestion rate of fish (g/person/day), and </w:t>
      </w:r>
    </w:p>
    <w:p w14:paraId="355BA86E" w14:textId="77777777" w:rsidR="00E81385" w:rsidRPr="00600E83" w:rsidRDefault="00E8138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BW </w:t>
      </w:r>
      <w:r w:rsidR="00083E55" w:rsidRPr="00600E83">
        <w:rPr>
          <w:rFonts w:ascii="Times New Roman" w:eastAsia="LibertinusSerif-Regular" w:hAnsi="Times New Roman" w:cs="Times New Roman"/>
          <w:sz w:val="24"/>
          <w:szCs w:val="24"/>
        </w:rPr>
        <w:t>=</w:t>
      </w:r>
      <w:r w:rsidRPr="00600E83">
        <w:rPr>
          <w:rFonts w:ascii="Times New Roman" w:eastAsia="LibertinusSerif-Regular" w:hAnsi="Times New Roman" w:cs="Times New Roman"/>
          <w:sz w:val="24"/>
          <w:szCs w:val="24"/>
        </w:rPr>
        <w:t xml:space="preserve"> average body weight (70 kg for adults).</w:t>
      </w:r>
    </w:p>
    <w:p w14:paraId="18594E11" w14:textId="77777777" w:rsidR="0020315B" w:rsidRPr="00600E83" w:rsidRDefault="0020315B" w:rsidP="00E81385">
      <w:pPr>
        <w:autoSpaceDE w:val="0"/>
        <w:autoSpaceDN w:val="0"/>
        <w:adjustRightInd w:val="0"/>
        <w:spacing w:after="0" w:line="240" w:lineRule="auto"/>
        <w:rPr>
          <w:rFonts w:ascii="Times New Roman" w:eastAsia="LibertinusSerif-Regular" w:hAnsi="Times New Roman" w:cs="Times New Roman"/>
          <w:sz w:val="24"/>
          <w:szCs w:val="24"/>
        </w:rPr>
      </w:pPr>
    </w:p>
    <w:p w14:paraId="3514AE4E" w14:textId="77777777" w:rsidR="00E81385" w:rsidRPr="00600E83" w:rsidRDefault="00B66B1B"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2.5.2. </w:t>
      </w:r>
      <w:r w:rsidR="0012747D" w:rsidRPr="00600E83">
        <w:rPr>
          <w:rFonts w:ascii="Times New Roman" w:hAnsi="Times New Roman" w:cs="Times New Roman"/>
          <w:b/>
          <w:i/>
          <w:sz w:val="24"/>
          <w:szCs w:val="24"/>
        </w:rPr>
        <w:t>Noncarcinogenic risk assessment</w:t>
      </w:r>
      <w:r w:rsidRPr="00600E83">
        <w:rPr>
          <w:rFonts w:ascii="Times New Roman" w:eastAsia="LibertinusSerif-Regular" w:hAnsi="Times New Roman" w:cs="Times New Roman"/>
          <w:b/>
          <w:i/>
          <w:sz w:val="24"/>
          <w:szCs w:val="24"/>
        </w:rPr>
        <w:t xml:space="preserve">: </w:t>
      </w:r>
      <w:r w:rsidRPr="00600E83">
        <w:rPr>
          <w:rFonts w:ascii="Times New Roman" w:eastAsia="LibertinusSerif-Regular" w:hAnsi="Times New Roman" w:cs="Times New Roman"/>
          <w:sz w:val="24"/>
          <w:szCs w:val="24"/>
        </w:rPr>
        <w:t>Target Hazard Quotient (THQ) was used to evaluate the n</w:t>
      </w:r>
      <w:r w:rsidR="00E81385" w:rsidRPr="00600E83">
        <w:rPr>
          <w:rFonts w:ascii="Times New Roman" w:eastAsia="LibertinusSerif-Regular" w:hAnsi="Times New Roman" w:cs="Times New Roman"/>
          <w:sz w:val="24"/>
          <w:szCs w:val="24"/>
        </w:rPr>
        <w:t>oncarcinog</w:t>
      </w:r>
      <w:r w:rsidRPr="00600E83">
        <w:rPr>
          <w:rFonts w:ascii="Times New Roman" w:eastAsia="LibertinusSerif-Regular" w:hAnsi="Times New Roman" w:cs="Times New Roman"/>
          <w:sz w:val="24"/>
          <w:szCs w:val="24"/>
        </w:rPr>
        <w:t>enic risk</w:t>
      </w:r>
      <w:r w:rsidR="0020315B" w:rsidRPr="00600E83">
        <w:rPr>
          <w:rFonts w:ascii="Times New Roman" w:eastAsia="LibertinusSerif-Regular" w:hAnsi="Times New Roman" w:cs="Times New Roman"/>
          <w:sz w:val="24"/>
          <w:szCs w:val="24"/>
        </w:rPr>
        <w:t xml:space="preserve">. THQ was </w:t>
      </w:r>
      <w:r w:rsidR="00E81385" w:rsidRPr="00600E83">
        <w:rPr>
          <w:rFonts w:ascii="Times New Roman" w:eastAsia="LibertinusSerif-Regular" w:hAnsi="Times New Roman" w:cs="Times New Roman"/>
          <w:sz w:val="24"/>
          <w:szCs w:val="24"/>
        </w:rPr>
        <w:t>defined as: the</w:t>
      </w:r>
    </w:p>
    <w:p w14:paraId="756FAECA" w14:textId="77777777" w:rsidR="00A20D37" w:rsidRPr="00600E83" w:rsidRDefault="00A20D37" w:rsidP="00A20D37">
      <w:pPr>
        <w:autoSpaceDE w:val="0"/>
        <w:autoSpaceDN w:val="0"/>
        <w:adjustRightInd w:val="0"/>
        <w:spacing w:after="0" w:line="240" w:lineRule="auto"/>
        <w:rPr>
          <w:rFonts w:ascii="Times New Roman" w:eastAsia="LibertinusSerif-Regular" w:hAnsi="Times New Roman" w:cs="Times New Roman"/>
          <w:sz w:val="24"/>
          <w:szCs w:val="24"/>
        </w:rPr>
      </w:pPr>
    </w:p>
    <w:p w14:paraId="58916E06" w14:textId="77777777" w:rsidR="00F25388" w:rsidRPr="00600E83" w:rsidRDefault="00F25388" w:rsidP="00F25388">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THQ= </w:t>
      </w:r>
      <m:oMath>
        <m:f>
          <m:fPr>
            <m:ctrlPr>
              <w:rPr>
                <w:rFonts w:ascii="Cambria Math" w:eastAsia="LibertinusSerif-Regular" w:hAnsi="Cambria Math" w:cs="Times New Roman"/>
                <w:i/>
                <w:sz w:val="24"/>
                <w:szCs w:val="24"/>
              </w:rPr>
            </m:ctrlPr>
          </m:fPr>
          <m:num>
            <m:r>
              <m:rPr>
                <m:sty m:val="p"/>
              </m:rPr>
              <w:rPr>
                <w:rFonts w:ascii="Cambria Math" w:eastAsia="LibertinusSerif-Regular" w:hAnsi="Cambria Math" w:cs="Times New Roman"/>
                <w:sz w:val="24"/>
                <w:szCs w:val="24"/>
              </w:rPr>
              <m:t>EDI</m:t>
            </m:r>
          </m:num>
          <m:den>
            <m:r>
              <m:rPr>
                <m:sty m:val="p"/>
              </m:rPr>
              <w:rPr>
                <w:rFonts w:ascii="Cambria Math" w:eastAsia="LibertinusSerif-Regular" w:hAnsi="Cambria Math" w:cs="Times New Roman"/>
                <w:sz w:val="24"/>
                <w:szCs w:val="24"/>
              </w:rPr>
              <m:t>RfD</m:t>
            </m:r>
          </m:den>
        </m:f>
      </m:oMath>
      <w:r w:rsidR="00696E65" w:rsidRPr="00600E83">
        <w:rPr>
          <w:rFonts w:ascii="Times New Roman" w:eastAsia="LibertinusSerif-Regular" w:hAnsi="Times New Roman" w:cs="Times New Roman"/>
          <w:sz w:val="24"/>
          <w:szCs w:val="24"/>
        </w:rPr>
        <w:t xml:space="preserve">  (USEPA, 1989)</w:t>
      </w:r>
    </w:p>
    <w:p w14:paraId="5E36B2B8" w14:textId="77777777" w:rsidR="00F25388"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lastRenderedPageBreak/>
        <w:t>Where:</w:t>
      </w:r>
    </w:p>
    <w:p w14:paraId="7373352D" w14:textId="77777777" w:rsidR="00512424"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 </w:t>
      </w:r>
      <w:proofErr w:type="spellStart"/>
      <w:r w:rsidRPr="00600E83">
        <w:rPr>
          <w:rFonts w:ascii="Times New Roman" w:eastAsia="LibertinusSerif-Regular" w:hAnsi="Times New Roman" w:cs="Times New Roman"/>
          <w:sz w:val="24"/>
          <w:szCs w:val="24"/>
        </w:rPr>
        <w:t>RfD</w:t>
      </w:r>
      <w:proofErr w:type="spellEnd"/>
      <w:r w:rsidRPr="00600E83">
        <w:rPr>
          <w:rFonts w:ascii="Times New Roman" w:eastAsia="LibertinusSerif-Regular" w:hAnsi="Times New Roman" w:cs="Times New Roman"/>
          <w:sz w:val="24"/>
          <w:szCs w:val="24"/>
        </w:rPr>
        <w:t xml:space="preserve"> is the oral reference dose for each element (mg/kg/day). The reference doses applied </w:t>
      </w:r>
      <w:r w:rsidR="00512424" w:rsidRPr="00600E83">
        <w:rPr>
          <w:rFonts w:ascii="Times New Roman" w:eastAsia="LibertinusSerif-Regular" w:hAnsi="Times New Roman" w:cs="Times New Roman"/>
          <w:sz w:val="24"/>
          <w:szCs w:val="24"/>
        </w:rPr>
        <w:t xml:space="preserve">according to Varo et al., 2017 </w:t>
      </w:r>
      <w:r w:rsidRPr="00600E83">
        <w:rPr>
          <w:rFonts w:ascii="Times New Roman" w:eastAsia="LibertinusSerif-Regular" w:hAnsi="Times New Roman" w:cs="Times New Roman"/>
          <w:sz w:val="24"/>
          <w:szCs w:val="24"/>
        </w:rPr>
        <w:t>were: Zn (0.3), Cu (0.04), Pb (0.004</w:t>
      </w:r>
      <w:r w:rsidR="004A15D2" w:rsidRPr="00600E83">
        <w:rPr>
          <w:rFonts w:ascii="Times New Roman" w:eastAsia="LibertinusSerif-Regular" w:hAnsi="Times New Roman" w:cs="Times New Roman"/>
          <w:sz w:val="24"/>
          <w:szCs w:val="24"/>
        </w:rPr>
        <w:t xml:space="preserve">), Cd (0.001), and As (0.0003) </w:t>
      </w:r>
    </w:p>
    <w:p w14:paraId="25CBF49D" w14:textId="77777777" w:rsidR="00F25388" w:rsidRPr="00600E83" w:rsidRDefault="008E7ADD"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2.5.3. </w:t>
      </w:r>
      <w:r w:rsidRPr="00600E83">
        <w:rPr>
          <w:rFonts w:ascii="Times New Roman" w:eastAsia="LibertinusSerif-Regular" w:hAnsi="Times New Roman" w:cs="Times New Roman"/>
          <w:b/>
          <w:i/>
          <w:sz w:val="24"/>
          <w:szCs w:val="24"/>
        </w:rPr>
        <w:t>Hazard Index (HI):</w:t>
      </w:r>
      <w:r w:rsidRPr="00600E83">
        <w:rPr>
          <w:rFonts w:ascii="Times New Roman" w:eastAsia="LibertinusSerif-Regular" w:hAnsi="Times New Roman" w:cs="Times New Roman"/>
          <w:b/>
          <w:sz w:val="24"/>
          <w:szCs w:val="24"/>
        </w:rPr>
        <w:t xml:space="preserve"> </w:t>
      </w:r>
      <w:r w:rsidR="00F25388" w:rsidRPr="00600E83">
        <w:rPr>
          <w:rFonts w:ascii="Times New Roman" w:eastAsia="LibertinusSerif-Regular" w:hAnsi="Times New Roman" w:cs="Times New Roman"/>
          <w:sz w:val="24"/>
          <w:szCs w:val="24"/>
        </w:rPr>
        <w:t>The cumulative risk from simultaneous exposure to multiple metals was expressed as the</w:t>
      </w:r>
    </w:p>
    <w:p w14:paraId="1C73E8DA" w14:textId="77777777" w:rsidR="00F25388" w:rsidRPr="00600E83" w:rsidRDefault="00F25388" w:rsidP="00F25388">
      <w:pPr>
        <w:autoSpaceDE w:val="0"/>
        <w:autoSpaceDN w:val="0"/>
        <w:adjustRightInd w:val="0"/>
        <w:spacing w:after="0" w:line="48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Hazard Index HI = ΣTHQ</w:t>
      </w:r>
    </w:p>
    <w:p w14:paraId="25B8C76B" w14:textId="77777777" w:rsidR="00F25388" w:rsidRPr="00600E83" w:rsidRDefault="00F25388" w:rsidP="00F25388">
      <w:pPr>
        <w:autoSpaceDE w:val="0"/>
        <w:autoSpaceDN w:val="0"/>
        <w:adjustRightInd w:val="0"/>
        <w:spacing w:after="0" w:line="48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A THQ or HI greater than 1 indicates a potential noncarcinogenic </w:t>
      </w:r>
      <w:r w:rsidR="004A15D2" w:rsidRPr="00600E83">
        <w:rPr>
          <w:rFonts w:ascii="Times New Roman" w:eastAsia="LibertinusSerif-Regular" w:hAnsi="Times New Roman" w:cs="Times New Roman"/>
          <w:sz w:val="24"/>
          <w:szCs w:val="24"/>
        </w:rPr>
        <w:t>health concern (Faisal et al. 2024)</w:t>
      </w:r>
    </w:p>
    <w:p w14:paraId="3CC70DA4" w14:textId="77777777" w:rsidR="00A310B5" w:rsidRPr="00600E83" w:rsidRDefault="008E7ADD" w:rsidP="00A310B5">
      <w:pPr>
        <w:spacing w:after="0" w:line="480" w:lineRule="auto"/>
        <w:jc w:val="both"/>
        <w:rPr>
          <w:rFonts w:ascii="Times New Roman" w:eastAsia="Times New Roman" w:hAnsi="Times New Roman" w:cs="Times New Roman"/>
          <w:sz w:val="24"/>
          <w:szCs w:val="24"/>
          <w:lang w:eastAsia="en-GB"/>
        </w:rPr>
      </w:pPr>
      <w:r w:rsidRPr="00600E83">
        <w:rPr>
          <w:rFonts w:ascii="Times New Roman" w:eastAsia="LibertinusSerif-Regular" w:hAnsi="Times New Roman" w:cs="Times New Roman"/>
          <w:b/>
          <w:sz w:val="24"/>
          <w:szCs w:val="24"/>
        </w:rPr>
        <w:t>2.5.4.</w:t>
      </w:r>
      <w:r w:rsidRPr="00600E83">
        <w:rPr>
          <w:rFonts w:ascii="Times New Roman" w:eastAsia="LibertinusSerif-Regular" w:hAnsi="Times New Roman" w:cs="Times New Roman"/>
          <w:b/>
          <w:i/>
          <w:sz w:val="24"/>
          <w:szCs w:val="24"/>
        </w:rPr>
        <w:t xml:space="preserve"> Lifetime Cancer Risk (LCR)</w:t>
      </w:r>
      <w:r w:rsidRPr="00600E83">
        <w:rPr>
          <w:rFonts w:ascii="Times New Roman" w:eastAsia="LibertinusSerif-Regular" w:hAnsi="Times New Roman" w:cs="Times New Roman"/>
          <w:b/>
          <w:sz w:val="24"/>
          <w:szCs w:val="24"/>
        </w:rPr>
        <w:t xml:space="preserve">: </w:t>
      </w:r>
      <w:r w:rsidR="00A310B5" w:rsidRPr="00600E83">
        <w:rPr>
          <w:rFonts w:ascii="Times New Roman" w:eastAsia="Times New Roman" w:hAnsi="Times New Roman" w:cs="Times New Roman"/>
          <w:sz w:val="24"/>
          <w:szCs w:val="24"/>
          <w:lang w:eastAsia="en-GB"/>
        </w:rPr>
        <w:t>The Carcinogenic Risk (CR) is a measure of the likelihood that a potential carcinogen during life will raise the incidence of cancer. Given that the USEPA defines the cancer</w:t>
      </w:r>
      <w:r w:rsidR="00FA601C" w:rsidRPr="00600E83">
        <w:rPr>
          <w:rFonts w:ascii="Times New Roman" w:eastAsia="Times New Roman" w:hAnsi="Times New Roman" w:cs="Times New Roman"/>
          <w:sz w:val="24"/>
          <w:szCs w:val="24"/>
          <w:lang w:eastAsia="en-GB"/>
        </w:rPr>
        <w:t xml:space="preserve"> scope factor (CSF) for lead (USEPA 2004</w:t>
      </w:r>
      <w:r w:rsidR="00A310B5" w:rsidRPr="00600E83">
        <w:rPr>
          <w:rFonts w:ascii="Times New Roman" w:eastAsia="Times New Roman" w:hAnsi="Times New Roman" w:cs="Times New Roman"/>
          <w:sz w:val="24"/>
          <w:szCs w:val="24"/>
          <w:lang w:eastAsia="en-GB"/>
        </w:rPr>
        <w:t>), the carcinogenic risk of this metal is calculated using the formula:</w:t>
      </w:r>
    </w:p>
    <w:p w14:paraId="3B632824" w14:textId="77777777" w:rsidR="00F25388" w:rsidRPr="00600E83" w:rsidRDefault="00F25388" w:rsidP="00A310B5">
      <w:pPr>
        <w:autoSpaceDE w:val="0"/>
        <w:autoSpaceDN w:val="0"/>
        <w:adjustRightInd w:val="0"/>
        <w:spacing w:after="0" w:line="48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LCR=EDI×CSF</w:t>
      </w:r>
    </w:p>
    <w:p w14:paraId="6607C591" w14:textId="77777777" w:rsidR="00F25388"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5333395F" w14:textId="57239A65" w:rsidR="00F25388" w:rsidRPr="00A61AE4" w:rsidRDefault="00FA71D8" w:rsidP="00F25388">
      <w:pPr>
        <w:autoSpaceDE w:val="0"/>
        <w:autoSpaceDN w:val="0"/>
        <w:adjustRightInd w:val="0"/>
        <w:spacing w:after="0" w:line="48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CSF is the Cancer Slope F</w:t>
      </w:r>
      <w:r w:rsidR="00F25388" w:rsidRPr="00600E83">
        <w:rPr>
          <w:rFonts w:ascii="Times New Roman" w:eastAsia="LibertinusSerif-Regular" w:hAnsi="Times New Roman" w:cs="Times New Roman"/>
          <w:sz w:val="24"/>
          <w:szCs w:val="24"/>
        </w:rPr>
        <w:t>actor, with values of 6.1 (Cd), 1.5 (As), and 0.0085 (Pb) (mg/kg/day</w:t>
      </w:r>
      <w:r w:rsidR="008E7ADD" w:rsidRPr="00600E83">
        <w:rPr>
          <w:rFonts w:ascii="Times New Roman" w:eastAsia="LibertinusSerif-Regular" w:hAnsi="Times New Roman" w:cs="Times New Roman"/>
          <w:sz w:val="24"/>
          <w:szCs w:val="24"/>
        </w:rPr>
        <w:t>) ⁻</w:t>
      </w:r>
      <w:r w:rsidR="00F25388" w:rsidRPr="00600E83">
        <w:rPr>
          <w:rFonts w:ascii="Times New Roman" w:eastAsia="LibertinusSerif-Regular" w:hAnsi="Times New Roman" w:cs="Times New Roman"/>
          <w:sz w:val="24"/>
          <w:szCs w:val="24"/>
        </w:rPr>
        <w:t>1</w:t>
      </w:r>
      <w:r w:rsidR="00F740A6" w:rsidRPr="00600E83">
        <w:rPr>
          <w:rFonts w:ascii="Times New Roman" w:eastAsia="LibertinusSerif-Regular" w:hAnsi="Times New Roman" w:cs="Times New Roman"/>
          <w:sz w:val="24"/>
          <w:szCs w:val="24"/>
        </w:rPr>
        <w:t xml:space="preserve"> (USEPA, 2005)</w:t>
      </w:r>
      <w:r w:rsidR="00F25388" w:rsidRPr="00600E83">
        <w:rPr>
          <w:rFonts w:ascii="Times New Roman" w:eastAsia="LibertinusSerif-Regular" w:hAnsi="Times New Roman" w:cs="Times New Roman"/>
          <w:sz w:val="24"/>
          <w:szCs w:val="24"/>
        </w:rPr>
        <w:t>. Acceptable risk levels range from 10⁻⁶ to 10⁻⁴, with values above this threshold indicating an elevated potential cancer risk.</w:t>
      </w:r>
      <w:r w:rsidR="00A61AE4">
        <w:rPr>
          <w:rFonts w:ascii="Times New Roman" w:eastAsia="LibertinusSerif-Regular" w:hAnsi="Times New Roman" w:cs="Times New Roman"/>
          <w:sz w:val="24"/>
          <w:szCs w:val="24"/>
        </w:rPr>
        <w:t xml:space="preserve"> </w:t>
      </w:r>
      <w:r w:rsidR="00A61AE4" w:rsidRPr="00A61AE4">
        <w:rPr>
          <w:rFonts w:ascii="Times New Roman" w:hAnsi="Times New Roman" w:cs="Times New Roman"/>
          <w:sz w:val="24"/>
          <w:szCs w:val="24"/>
        </w:rPr>
        <w:t>For dietary exposure assessment, a fish ingestion rate (IR) of 0.02 kg person⁻¹ day⁻¹ was applied, consistent with values commonly used in fish-based health risk assessment studies. Average body weights of 70 kg for adults and 15 kg for children were assumed. Reference doses (</w:t>
      </w:r>
      <w:proofErr w:type="spellStart"/>
      <w:r w:rsidR="00A61AE4" w:rsidRPr="00A61AE4">
        <w:rPr>
          <w:rFonts w:ascii="Times New Roman" w:hAnsi="Times New Roman" w:cs="Times New Roman"/>
          <w:sz w:val="24"/>
          <w:szCs w:val="24"/>
        </w:rPr>
        <w:t>RfD</w:t>
      </w:r>
      <w:proofErr w:type="spellEnd"/>
      <w:r w:rsidR="00A61AE4" w:rsidRPr="00A61AE4">
        <w:rPr>
          <w:rFonts w:ascii="Times New Roman" w:hAnsi="Times New Roman" w:cs="Times New Roman"/>
          <w:sz w:val="24"/>
          <w:szCs w:val="24"/>
        </w:rPr>
        <w:t>) and cancer slope factors (CSF) we</w:t>
      </w:r>
      <w:r w:rsidR="00A61AE4">
        <w:rPr>
          <w:rFonts w:ascii="Times New Roman" w:hAnsi="Times New Roman" w:cs="Times New Roman"/>
          <w:sz w:val="24"/>
          <w:szCs w:val="24"/>
        </w:rPr>
        <w:t>re adopted from USEPA (2005)</w:t>
      </w:r>
      <w:r w:rsidR="00A61AE4" w:rsidRPr="00A61AE4">
        <w:rPr>
          <w:rFonts w:ascii="Times New Roman" w:hAnsi="Times New Roman" w:cs="Times New Roman"/>
          <w:sz w:val="24"/>
          <w:szCs w:val="24"/>
        </w:rPr>
        <w:t>. Metal concentrations used in the calculations were obtained from laboratory analysis conducted in this study, while Estimated Daily Intake (EDI), Target Hazard Quotient (THQ), Hazard Index (HI), and Lifetime Cancer Risk (LCR</w:t>
      </w:r>
      <w:r w:rsidR="00FF415F">
        <w:rPr>
          <w:rFonts w:ascii="Times New Roman" w:hAnsi="Times New Roman" w:cs="Times New Roman"/>
          <w:sz w:val="24"/>
          <w:szCs w:val="24"/>
        </w:rPr>
        <w:t>) were calculated by</w:t>
      </w:r>
      <w:r w:rsidR="00A61AE4" w:rsidRPr="00A61AE4">
        <w:rPr>
          <w:rFonts w:ascii="Times New Roman" w:hAnsi="Times New Roman" w:cs="Times New Roman"/>
          <w:sz w:val="24"/>
          <w:szCs w:val="24"/>
        </w:rPr>
        <w:t xml:space="preserve"> using standard USEPA equations.</w:t>
      </w:r>
    </w:p>
    <w:p w14:paraId="6F2CC85A" w14:textId="77777777" w:rsidR="00F25388" w:rsidRPr="00600E83" w:rsidRDefault="00F25388" w:rsidP="00F25388">
      <w:pPr>
        <w:autoSpaceDE w:val="0"/>
        <w:autoSpaceDN w:val="0"/>
        <w:adjustRightInd w:val="0"/>
        <w:spacing w:after="0" w:line="240" w:lineRule="auto"/>
        <w:rPr>
          <w:rFonts w:ascii="Times New Roman" w:hAnsi="Times New Roman" w:cs="Times New Roman"/>
          <w:color w:val="000000"/>
          <w:sz w:val="24"/>
          <w:szCs w:val="24"/>
        </w:rPr>
      </w:pPr>
      <w:r w:rsidRPr="00600E83">
        <w:rPr>
          <w:rFonts w:ascii="Times New Roman" w:hAnsi="Times New Roman" w:cs="Times New Roman"/>
          <w:b/>
          <w:bCs/>
          <w:color w:val="000000"/>
          <w:sz w:val="24"/>
          <w:szCs w:val="24"/>
        </w:rPr>
        <w:t>2.6</w:t>
      </w:r>
      <w:r w:rsidRPr="00600E83">
        <w:rPr>
          <w:rFonts w:ascii="Times New Roman" w:hAnsi="Times New Roman" w:cs="Times New Roman"/>
          <w:b/>
          <w:bCs/>
          <w:i/>
          <w:color w:val="000000"/>
          <w:sz w:val="24"/>
          <w:szCs w:val="24"/>
        </w:rPr>
        <w:t>. Statistical Analysis</w:t>
      </w:r>
      <w:r w:rsidRPr="00600E83">
        <w:rPr>
          <w:rFonts w:ascii="Times New Roman" w:hAnsi="Times New Roman" w:cs="Times New Roman"/>
          <w:b/>
          <w:bCs/>
          <w:color w:val="000000"/>
          <w:sz w:val="24"/>
          <w:szCs w:val="24"/>
        </w:rPr>
        <w:t xml:space="preserve"> </w:t>
      </w:r>
    </w:p>
    <w:p w14:paraId="240F128B" w14:textId="77777777" w:rsidR="00F25388" w:rsidRPr="00600E83" w:rsidRDefault="002652D4" w:rsidP="00A46095">
      <w:p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en-GB"/>
        </w:rPr>
        <w:lastRenderedPageBreak/>
        <w:t>Before</w:t>
      </w:r>
      <w:r w:rsidR="00A46095" w:rsidRPr="00600E83">
        <w:rPr>
          <w:rFonts w:ascii="Times New Roman" w:eastAsia="Times New Roman" w:hAnsi="Times New Roman" w:cs="Times New Roman"/>
          <w:sz w:val="24"/>
          <w:szCs w:val="24"/>
          <w:lang w:eastAsia="en-GB"/>
        </w:rPr>
        <w:t xml:space="preserve"> data analysis, the normality and homogeneity of variance were assessed using the Shapiro-Wilk and Levene's tests, respectively. </w:t>
      </w:r>
      <w:r w:rsidR="00B423C3" w:rsidRPr="00600E83">
        <w:rPr>
          <w:rFonts w:ascii="Times New Roman" w:eastAsia="Times New Roman" w:hAnsi="Times New Roman" w:cs="Times New Roman"/>
          <w:sz w:val="24"/>
          <w:szCs w:val="24"/>
          <w:lang w:eastAsia="en-GB"/>
        </w:rPr>
        <w:t xml:space="preserve">Furthermore, </w:t>
      </w:r>
      <w:r w:rsidR="00A46095" w:rsidRPr="00600E83">
        <w:rPr>
          <w:rFonts w:ascii="Times New Roman" w:eastAsia="Times New Roman" w:hAnsi="Times New Roman" w:cs="Times New Roman"/>
          <w:sz w:val="24"/>
          <w:szCs w:val="24"/>
          <w:lang w:eastAsia="en-GB"/>
        </w:rPr>
        <w:t>the significant variations in metal levels among the different species of the dried samples</w:t>
      </w:r>
      <w:r w:rsidR="00B423C3" w:rsidRPr="00600E83">
        <w:rPr>
          <w:rFonts w:ascii="Times New Roman" w:eastAsia="Times New Roman" w:hAnsi="Times New Roman" w:cs="Times New Roman"/>
          <w:sz w:val="24"/>
          <w:szCs w:val="24"/>
          <w:lang w:eastAsia="en-GB"/>
        </w:rPr>
        <w:t xml:space="preserve"> were evaluated using</w:t>
      </w:r>
      <w:r w:rsidR="00A46095" w:rsidRPr="00600E83">
        <w:rPr>
          <w:rFonts w:ascii="Times New Roman" w:eastAsia="Times New Roman" w:hAnsi="Times New Roman" w:cs="Times New Roman"/>
          <w:sz w:val="24"/>
          <w:szCs w:val="24"/>
          <w:lang w:eastAsia="en-GB"/>
        </w:rPr>
        <w:t xml:space="preserve"> one-way a</w:t>
      </w:r>
      <w:r w:rsidR="00B423C3" w:rsidRPr="00600E83">
        <w:rPr>
          <w:rFonts w:ascii="Times New Roman" w:eastAsia="Times New Roman" w:hAnsi="Times New Roman" w:cs="Times New Roman"/>
          <w:sz w:val="24"/>
          <w:szCs w:val="24"/>
          <w:lang w:eastAsia="en-GB"/>
        </w:rPr>
        <w:t>nalysis of variance (ANOVA)</w:t>
      </w:r>
      <w:r w:rsidR="00A46095" w:rsidRPr="00600E83">
        <w:rPr>
          <w:rFonts w:ascii="Times New Roman" w:eastAsia="Times New Roman" w:hAnsi="Times New Roman" w:cs="Times New Roman"/>
          <w:sz w:val="24"/>
          <w:szCs w:val="24"/>
          <w:lang w:eastAsia="en-GB"/>
        </w:rPr>
        <w:t xml:space="preserve">. </w:t>
      </w:r>
      <w:r w:rsidR="00724843" w:rsidRPr="00600E83">
        <w:rPr>
          <w:rFonts w:ascii="Times New Roman" w:hAnsi="Times New Roman" w:cs="Times New Roman"/>
          <w:color w:val="000000"/>
          <w:sz w:val="24"/>
          <w:szCs w:val="24"/>
        </w:rPr>
        <w:t xml:space="preserve">Differences between the means were identified using </w:t>
      </w:r>
      <w:r w:rsidR="00F25388" w:rsidRPr="00600E83">
        <w:rPr>
          <w:rFonts w:ascii="Times New Roman" w:hAnsi="Times New Roman" w:cs="Times New Roman"/>
          <w:color w:val="000000"/>
          <w:sz w:val="24"/>
          <w:szCs w:val="24"/>
        </w:rPr>
        <w:t>Turkey</w:t>
      </w:r>
      <w:r w:rsidR="003F3773">
        <w:rPr>
          <w:rFonts w:ascii="Times New Roman" w:hAnsi="Times New Roman" w:cs="Times New Roman"/>
          <w:color w:val="000000"/>
          <w:sz w:val="24"/>
          <w:szCs w:val="24"/>
        </w:rPr>
        <w:t>'</w:t>
      </w:r>
      <w:r w:rsidR="00F25388" w:rsidRPr="00600E83">
        <w:rPr>
          <w:rFonts w:ascii="Times New Roman" w:hAnsi="Times New Roman" w:cs="Times New Roman"/>
          <w:color w:val="000000"/>
          <w:sz w:val="24"/>
          <w:szCs w:val="24"/>
        </w:rPr>
        <w:t xml:space="preserve">s multiple comparison test </w:t>
      </w:r>
      <w:r w:rsidR="00724843" w:rsidRPr="00600E83">
        <w:rPr>
          <w:rFonts w:ascii="Times New Roman" w:hAnsi="Times New Roman" w:cs="Times New Roman"/>
          <w:color w:val="000000"/>
          <w:sz w:val="24"/>
          <w:szCs w:val="24"/>
        </w:rPr>
        <w:t>when a difference was detected (P &lt; 0.05).</w:t>
      </w:r>
    </w:p>
    <w:p w14:paraId="71471D0F" w14:textId="4F461DC9" w:rsidR="00083E55" w:rsidRPr="00600E83" w:rsidRDefault="005C4955" w:rsidP="00F2538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083E55" w:rsidRPr="00600E83">
        <w:rPr>
          <w:rFonts w:ascii="Times New Roman" w:hAnsi="Times New Roman" w:cs="Times New Roman"/>
          <w:b/>
          <w:color w:val="000000"/>
          <w:sz w:val="24"/>
          <w:szCs w:val="24"/>
        </w:rPr>
        <w:t>. RESULTS</w:t>
      </w:r>
    </w:p>
    <w:p w14:paraId="5032BBFD" w14:textId="77777777" w:rsidR="00F36CC7" w:rsidRPr="00600E83" w:rsidRDefault="00F36CC7" w:rsidP="00F25388">
      <w:pPr>
        <w:autoSpaceDE w:val="0"/>
        <w:autoSpaceDN w:val="0"/>
        <w:adjustRightInd w:val="0"/>
        <w:spacing w:after="0" w:line="480" w:lineRule="auto"/>
        <w:jc w:val="both"/>
        <w:rPr>
          <w:rFonts w:ascii="Times New Roman" w:hAnsi="Times New Roman" w:cs="Times New Roman"/>
          <w:b/>
          <w:color w:val="000000"/>
          <w:sz w:val="24"/>
          <w:szCs w:val="24"/>
        </w:rPr>
      </w:pPr>
      <w:r w:rsidRPr="00600E83">
        <w:rPr>
          <w:rFonts w:ascii="Times New Roman" w:hAnsi="Times New Roman" w:cs="Times New Roman"/>
          <w:b/>
          <w:color w:val="000000"/>
          <w:sz w:val="24"/>
          <w:szCs w:val="24"/>
        </w:rPr>
        <w:t xml:space="preserve">3.1. </w:t>
      </w:r>
      <w:r w:rsidRPr="00600E83">
        <w:rPr>
          <w:rFonts w:ascii="Times New Roman" w:hAnsi="Times New Roman" w:cs="Times New Roman"/>
          <w:b/>
          <w:i/>
          <w:color w:val="000000"/>
          <w:sz w:val="24"/>
          <w:szCs w:val="24"/>
        </w:rPr>
        <w:t>Heavy Metal Concentrations</w:t>
      </w:r>
    </w:p>
    <w:p w14:paraId="4562B659" w14:textId="77777777" w:rsidR="006B380F" w:rsidRPr="006B380F" w:rsidRDefault="006B380F" w:rsidP="006B380F">
      <w:pPr>
        <w:spacing w:before="100" w:beforeAutospacing="1" w:after="100" w:afterAutospacing="1" w:line="480" w:lineRule="auto"/>
        <w:jc w:val="both"/>
        <w:rPr>
          <w:rFonts w:ascii="Times New Roman" w:eastAsia="Times New Roman" w:hAnsi="Times New Roman" w:cs="Times New Roman"/>
          <w:sz w:val="24"/>
          <w:szCs w:val="24"/>
          <w:lang w:eastAsia="en-GB"/>
        </w:rPr>
      </w:pPr>
      <w:r w:rsidRPr="006B380F">
        <w:rPr>
          <w:rFonts w:ascii="Times New Roman" w:eastAsia="Times New Roman" w:hAnsi="Times New Roman" w:cs="Times New Roman"/>
          <w:sz w:val="24"/>
          <w:szCs w:val="24"/>
          <w:lang w:eastAsia="en-GB"/>
        </w:rPr>
        <w:t xml:space="preserve">Table 1 shows the heavy metal concentrations in smoked-dried fish species from the </w:t>
      </w:r>
      <w:proofErr w:type="spellStart"/>
      <w:r w:rsidRPr="006B380F">
        <w:rPr>
          <w:rFonts w:ascii="Times New Roman" w:eastAsia="Times New Roman" w:hAnsi="Times New Roman" w:cs="Times New Roman"/>
          <w:sz w:val="24"/>
          <w:szCs w:val="24"/>
          <w:lang w:eastAsia="en-GB"/>
        </w:rPr>
        <w:t>Afor-Ugbolu</w:t>
      </w:r>
      <w:proofErr w:type="spellEnd"/>
      <w:r w:rsidRPr="006B380F">
        <w:rPr>
          <w:rFonts w:ascii="Times New Roman" w:eastAsia="Times New Roman" w:hAnsi="Times New Roman" w:cs="Times New Roman"/>
          <w:sz w:val="24"/>
          <w:szCs w:val="24"/>
          <w:lang w:eastAsia="en-GB"/>
        </w:rPr>
        <w:t xml:space="preserve"> market compared with the permissible limits. The concentrations of arsenic, cadmium, copper, lead, and zinc in the smoked-dried fish species commonly sold at the </w:t>
      </w:r>
      <w:proofErr w:type="spellStart"/>
      <w:r w:rsidRPr="006B380F">
        <w:rPr>
          <w:rFonts w:ascii="Times New Roman" w:eastAsia="Times New Roman" w:hAnsi="Times New Roman" w:cs="Times New Roman"/>
          <w:sz w:val="24"/>
          <w:szCs w:val="24"/>
          <w:lang w:eastAsia="en-GB"/>
        </w:rPr>
        <w:t>Afor-Ugbolu</w:t>
      </w:r>
      <w:proofErr w:type="spellEnd"/>
      <w:r w:rsidRPr="006B380F">
        <w:rPr>
          <w:rFonts w:ascii="Times New Roman" w:eastAsia="Times New Roman" w:hAnsi="Times New Roman" w:cs="Times New Roman"/>
          <w:sz w:val="24"/>
          <w:szCs w:val="24"/>
          <w:lang w:eastAsia="en-GB"/>
        </w:rPr>
        <w:t xml:space="preserve"> market vary among species, indicating differences in habitat, feeding style, and bioaccumulation potential. All values were clearly below the permissible limits set by the World Health Organisation and the Federal Ministry of Environment. Arsenic concentrations ranged from 0.01 to 0.03 mg/kg. The highest value was observed in </w:t>
      </w:r>
      <w:r w:rsidRPr="006B380F">
        <w:rPr>
          <w:rFonts w:ascii="Times New Roman" w:eastAsia="Times New Roman" w:hAnsi="Times New Roman" w:cs="Times New Roman"/>
          <w:i/>
          <w:iCs/>
          <w:sz w:val="24"/>
          <w:szCs w:val="24"/>
          <w:lang w:eastAsia="en-GB"/>
        </w:rPr>
        <w:t>G. niloticus</w:t>
      </w:r>
      <w:r w:rsidRPr="006B380F">
        <w:rPr>
          <w:rFonts w:ascii="Times New Roman" w:eastAsia="Times New Roman" w:hAnsi="Times New Roman" w:cs="Times New Roman"/>
          <w:sz w:val="24"/>
          <w:szCs w:val="24"/>
          <w:lang w:eastAsia="en-GB"/>
        </w:rPr>
        <w:t xml:space="preserve">, whereas </w:t>
      </w:r>
      <w:r w:rsidRPr="006B380F">
        <w:rPr>
          <w:rFonts w:ascii="Times New Roman" w:eastAsia="Times New Roman" w:hAnsi="Times New Roman" w:cs="Times New Roman"/>
          <w:i/>
          <w:iCs/>
          <w:sz w:val="24"/>
          <w:szCs w:val="24"/>
          <w:lang w:eastAsia="en-GB"/>
        </w:rPr>
        <w:t xml:space="preserve">C. </w:t>
      </w:r>
      <w:proofErr w:type="spellStart"/>
      <w:r w:rsidRPr="006B380F">
        <w:rPr>
          <w:rFonts w:ascii="Times New Roman" w:eastAsia="Times New Roman" w:hAnsi="Times New Roman" w:cs="Times New Roman"/>
          <w:i/>
          <w:iCs/>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recorded the lowest. Cadmium concentrations were also highest in </w:t>
      </w:r>
      <w:r w:rsidRPr="006B380F">
        <w:rPr>
          <w:rFonts w:ascii="Times New Roman" w:eastAsia="Times New Roman" w:hAnsi="Times New Roman" w:cs="Times New Roman"/>
          <w:i/>
          <w:iCs/>
          <w:sz w:val="24"/>
          <w:szCs w:val="24"/>
          <w:lang w:eastAsia="en-GB"/>
        </w:rPr>
        <w:t xml:space="preserve">G. niloticus (0.21±0.13 mg/kg) and lowest in C. </w:t>
      </w:r>
      <w:proofErr w:type="spellStart"/>
      <w:r w:rsidRPr="006B380F">
        <w:rPr>
          <w:rFonts w:ascii="Times New Roman" w:eastAsia="Times New Roman" w:hAnsi="Times New Roman" w:cs="Times New Roman"/>
          <w:i/>
          <w:iCs/>
          <w:sz w:val="24"/>
          <w:szCs w:val="24"/>
          <w:lang w:eastAsia="en-GB"/>
        </w:rPr>
        <w:t>gariepinus</w:t>
      </w:r>
      <w:proofErr w:type="spellEnd"/>
      <w:r w:rsidRPr="006B380F">
        <w:rPr>
          <w:rFonts w:ascii="Times New Roman" w:eastAsia="Times New Roman" w:hAnsi="Times New Roman" w:cs="Times New Roman"/>
          <w:i/>
          <w:iCs/>
          <w:sz w:val="24"/>
          <w:szCs w:val="24"/>
          <w:lang w:eastAsia="en-GB"/>
        </w:rPr>
        <w:t xml:space="preserve"> (0.03±</w:t>
      </w:r>
      <w:r w:rsidRPr="006B380F">
        <w:rPr>
          <w:rFonts w:ascii="Times New Roman" w:eastAsia="Times New Roman" w:hAnsi="Times New Roman" w:cs="Times New Roman"/>
          <w:sz w:val="24"/>
          <w:szCs w:val="24"/>
          <w:lang w:eastAsia="en-GB"/>
        </w:rPr>
        <w:t xml:space="preserve">0.01 mg/kg), with intermediate values in the other species, indicating differences in the tendency of these fish to bioaccumulate the metal. The trend was quite different in copper, with </w:t>
      </w:r>
      <w:r w:rsidRPr="00C71345">
        <w:rPr>
          <w:rFonts w:ascii="Times New Roman" w:eastAsia="Times New Roman" w:hAnsi="Times New Roman" w:cs="Times New Roman"/>
          <w:i/>
          <w:sz w:val="24"/>
          <w:szCs w:val="24"/>
          <w:lang w:eastAsia="en-GB"/>
        </w:rPr>
        <w:t xml:space="preserve">C. </w:t>
      </w:r>
      <w:proofErr w:type="spellStart"/>
      <w:r w:rsidRPr="00C71345">
        <w:rPr>
          <w:rFonts w:ascii="Times New Roman" w:eastAsia="Times New Roman" w:hAnsi="Times New Roman" w:cs="Times New Roman"/>
          <w:i/>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recording the highest concentration (0.74±0.04 mg/kg) and </w:t>
      </w:r>
      <w:r w:rsidRPr="00C71345">
        <w:rPr>
          <w:rFonts w:ascii="Times New Roman" w:eastAsia="Times New Roman" w:hAnsi="Times New Roman" w:cs="Times New Roman"/>
          <w:i/>
          <w:sz w:val="24"/>
          <w:szCs w:val="24"/>
          <w:lang w:eastAsia="en-GB"/>
        </w:rPr>
        <w:t>G. niloticus</w:t>
      </w:r>
      <w:r w:rsidRPr="006B380F">
        <w:rPr>
          <w:rFonts w:ascii="Times New Roman" w:eastAsia="Times New Roman" w:hAnsi="Times New Roman" w:cs="Times New Roman"/>
          <w:sz w:val="24"/>
          <w:szCs w:val="24"/>
          <w:lang w:eastAsia="en-GB"/>
        </w:rPr>
        <w:t xml:space="preserve"> recording the lowest (0.12±0.02 mg/kg)</w:t>
      </w:r>
      <w:r w:rsidRPr="006B380F">
        <w:rPr>
          <w:rFonts w:ascii="Times New Roman" w:eastAsia="Times New Roman" w:hAnsi="Times New Roman" w:cs="Times New Roman"/>
          <w:i/>
          <w:iCs/>
          <w:sz w:val="24"/>
          <w:szCs w:val="24"/>
          <w:lang w:eastAsia="en-GB"/>
        </w:rPr>
        <w:t>.</w:t>
      </w:r>
      <w:r w:rsidRPr="006B380F">
        <w:rPr>
          <w:rFonts w:ascii="Times New Roman" w:eastAsia="Times New Roman" w:hAnsi="Times New Roman" w:cs="Times New Roman"/>
          <w:sz w:val="24"/>
          <w:szCs w:val="24"/>
          <w:lang w:eastAsia="en-GB"/>
        </w:rPr>
        <w:t xml:space="preserve"> Lead levels were relatively low across all species, with the highest at 0.15±0.01 mg/kg in </w:t>
      </w:r>
      <w:proofErr w:type="spellStart"/>
      <w:r w:rsidRPr="006B380F">
        <w:rPr>
          <w:rFonts w:ascii="Times New Roman" w:eastAsia="Times New Roman" w:hAnsi="Times New Roman" w:cs="Times New Roman"/>
          <w:i/>
          <w:iCs/>
          <w:sz w:val="24"/>
          <w:szCs w:val="24"/>
          <w:lang w:eastAsia="en-GB"/>
        </w:rPr>
        <w:t>Scomber</w:t>
      </w:r>
      <w:proofErr w:type="spellEnd"/>
      <w:r w:rsidRPr="006B380F">
        <w:rPr>
          <w:rFonts w:ascii="Times New Roman" w:eastAsia="Times New Roman" w:hAnsi="Times New Roman" w:cs="Times New Roman"/>
          <w:i/>
          <w:iCs/>
          <w:sz w:val="24"/>
          <w:szCs w:val="24"/>
          <w:lang w:eastAsia="en-GB"/>
        </w:rPr>
        <w:t xml:space="preserve"> </w:t>
      </w:r>
      <w:proofErr w:type="spellStart"/>
      <w:r w:rsidRPr="006B380F">
        <w:rPr>
          <w:rFonts w:ascii="Times New Roman" w:eastAsia="Times New Roman" w:hAnsi="Times New Roman" w:cs="Times New Roman"/>
          <w:i/>
          <w:iCs/>
          <w:sz w:val="24"/>
          <w:szCs w:val="24"/>
          <w:lang w:eastAsia="en-GB"/>
        </w:rPr>
        <w:t>scombrus</w:t>
      </w:r>
      <w:proofErr w:type="spellEnd"/>
      <w:r w:rsidRPr="006B380F">
        <w:rPr>
          <w:rFonts w:ascii="Times New Roman" w:eastAsia="Times New Roman" w:hAnsi="Times New Roman" w:cs="Times New Roman"/>
          <w:sz w:val="24"/>
          <w:szCs w:val="24"/>
          <w:lang w:eastAsia="en-GB"/>
        </w:rPr>
        <w:t xml:space="preserve">. The results also show that the heavy metal zinc was the most abundant in all species, with the highest levels in </w:t>
      </w:r>
      <w:proofErr w:type="spellStart"/>
      <w:r w:rsidRPr="00C71345">
        <w:rPr>
          <w:rFonts w:ascii="Times New Roman" w:eastAsia="Times New Roman" w:hAnsi="Times New Roman" w:cs="Times New Roman"/>
          <w:i/>
          <w:sz w:val="24"/>
          <w:szCs w:val="24"/>
          <w:lang w:eastAsia="en-GB"/>
        </w:rPr>
        <w:t>Gymnarchus</w:t>
      </w:r>
      <w:proofErr w:type="spellEnd"/>
      <w:r w:rsidRPr="00C71345">
        <w:rPr>
          <w:rFonts w:ascii="Times New Roman" w:eastAsia="Times New Roman" w:hAnsi="Times New Roman" w:cs="Times New Roman"/>
          <w:i/>
          <w:sz w:val="24"/>
          <w:szCs w:val="24"/>
          <w:lang w:eastAsia="en-GB"/>
        </w:rPr>
        <w:t xml:space="preserve"> niloticus</w:t>
      </w:r>
      <w:r w:rsidRPr="006B380F">
        <w:rPr>
          <w:rFonts w:ascii="Times New Roman" w:eastAsia="Times New Roman" w:hAnsi="Times New Roman" w:cs="Times New Roman"/>
          <w:sz w:val="24"/>
          <w:szCs w:val="24"/>
          <w:lang w:eastAsia="en-GB"/>
        </w:rPr>
        <w:t xml:space="preserve"> (8.01±0.61 mg/kg) and the lowest in </w:t>
      </w:r>
      <w:r w:rsidRPr="00F95C89">
        <w:rPr>
          <w:rFonts w:ascii="Times New Roman" w:eastAsia="Times New Roman" w:hAnsi="Times New Roman" w:cs="Times New Roman"/>
          <w:i/>
          <w:sz w:val="24"/>
          <w:szCs w:val="24"/>
          <w:lang w:eastAsia="en-GB"/>
        </w:rPr>
        <w:t xml:space="preserve">C. </w:t>
      </w:r>
      <w:proofErr w:type="spellStart"/>
      <w:r w:rsidRPr="00F95C89">
        <w:rPr>
          <w:rFonts w:ascii="Times New Roman" w:eastAsia="Times New Roman" w:hAnsi="Times New Roman" w:cs="Times New Roman"/>
          <w:i/>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(2.63±0.17 mg/kg).</w:t>
      </w:r>
    </w:p>
    <w:p w14:paraId="78BE805F" w14:textId="5D565773" w:rsidR="000F1E1C" w:rsidRPr="00C75D82" w:rsidRDefault="00A10807" w:rsidP="00AF2474">
      <w:pPr>
        <w:autoSpaceDE w:val="0"/>
        <w:autoSpaceDN w:val="0"/>
        <w:adjustRightInd w:val="0"/>
        <w:spacing w:after="0" w:line="240" w:lineRule="auto"/>
        <w:jc w:val="both"/>
        <w:rPr>
          <w:rFonts w:ascii="Times New Roman" w:hAnsi="Times New Roman" w:cs="Times New Roman"/>
          <w:b/>
          <w:strike/>
          <w:color w:val="000000"/>
          <w:sz w:val="24"/>
          <w:szCs w:val="24"/>
        </w:rPr>
      </w:pPr>
      <w:r w:rsidRPr="00600E83">
        <w:rPr>
          <w:rFonts w:ascii="Times New Roman" w:eastAsia="LibertinusSerif-Regular" w:hAnsi="Times New Roman" w:cs="Times New Roman"/>
          <w:sz w:val="24"/>
          <w:szCs w:val="24"/>
        </w:rPr>
        <w:t xml:space="preserve">Table 1: </w:t>
      </w:r>
      <w:r w:rsidR="000F1E1C" w:rsidRPr="00600E83">
        <w:rPr>
          <w:rFonts w:ascii="Times New Roman" w:eastAsia="LibertinusSerif-Regular" w:hAnsi="Times New Roman" w:cs="Times New Roman"/>
          <w:sz w:val="24"/>
          <w:szCs w:val="24"/>
        </w:rPr>
        <w:t xml:space="preserve">Heavy metal concentrations in smoked-dried fish species </w:t>
      </w:r>
      <w:r w:rsidR="000F1E1C" w:rsidRPr="00C75D82">
        <w:rPr>
          <w:rFonts w:ascii="Times New Roman" w:eastAsia="LibertinusSerif-Regular" w:hAnsi="Times New Roman" w:cs="Times New Roman"/>
          <w:sz w:val="24"/>
          <w:szCs w:val="24"/>
        </w:rPr>
        <w:t>with permissible limits</w:t>
      </w:r>
      <w:r w:rsidR="000F1E1C" w:rsidRPr="00C75D82">
        <w:rPr>
          <w:rFonts w:ascii="Times New Roman" w:eastAsia="LibertinusSerif-Regular" w:hAnsi="Times New Roman" w:cs="Times New Roman"/>
          <w:strike/>
          <w:sz w:val="24"/>
          <w:szCs w:val="24"/>
        </w:rPr>
        <w:t xml:space="preserve"> </w:t>
      </w:r>
    </w:p>
    <w:tbl>
      <w:tblPr>
        <w:tblStyle w:val="LightShading"/>
        <w:tblW w:w="9924" w:type="dxa"/>
        <w:tblInd w:w="-318" w:type="dxa"/>
        <w:tblLook w:val="04A0" w:firstRow="1" w:lastRow="0" w:firstColumn="1" w:lastColumn="0" w:noHBand="0" w:noVBand="1"/>
      </w:tblPr>
      <w:tblGrid>
        <w:gridCol w:w="1540"/>
        <w:gridCol w:w="1540"/>
        <w:gridCol w:w="1540"/>
        <w:gridCol w:w="1540"/>
        <w:gridCol w:w="1541"/>
        <w:gridCol w:w="2223"/>
      </w:tblGrid>
      <w:tr w:rsidR="00A4347B" w:rsidRPr="00600E83" w14:paraId="313D19E6" w14:textId="77777777" w:rsidTr="00A43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3F4FC329" w14:textId="77777777" w:rsidR="000F0020" w:rsidRPr="00600E83" w:rsidRDefault="000F0020"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 xml:space="preserve">Metals </w:t>
            </w:r>
          </w:p>
        </w:tc>
        <w:tc>
          <w:tcPr>
            <w:tcW w:w="1540" w:type="dxa"/>
          </w:tcPr>
          <w:p w14:paraId="71FEBF1A"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G.niloticus</w:t>
            </w:r>
            <w:proofErr w:type="spellEnd"/>
          </w:p>
          <w:p w14:paraId="54F64606"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(Asa fish)</w:t>
            </w:r>
          </w:p>
        </w:tc>
        <w:tc>
          <w:tcPr>
            <w:tcW w:w="1540" w:type="dxa"/>
          </w:tcPr>
          <w:p w14:paraId="06E93E82"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E.fimbriata</w:t>
            </w:r>
            <w:proofErr w:type="spellEnd"/>
          </w:p>
          <w:p w14:paraId="3D0FAB09"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(Bony fish)</w:t>
            </w:r>
          </w:p>
        </w:tc>
        <w:tc>
          <w:tcPr>
            <w:tcW w:w="1540" w:type="dxa"/>
          </w:tcPr>
          <w:p w14:paraId="1D215FBF"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S.scombrus</w:t>
            </w:r>
            <w:proofErr w:type="spellEnd"/>
          </w:p>
          <w:p w14:paraId="2462F64F"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(Mackerel fish)</w:t>
            </w:r>
          </w:p>
        </w:tc>
        <w:tc>
          <w:tcPr>
            <w:tcW w:w="1541" w:type="dxa"/>
          </w:tcPr>
          <w:p w14:paraId="038FF8F7"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C.gariepinus</w:t>
            </w:r>
            <w:proofErr w:type="spellEnd"/>
          </w:p>
          <w:p w14:paraId="454EBB0D"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(Catfish)</w:t>
            </w:r>
          </w:p>
        </w:tc>
        <w:tc>
          <w:tcPr>
            <w:tcW w:w="2223" w:type="dxa"/>
          </w:tcPr>
          <w:p w14:paraId="786AB8B6" w14:textId="76400E24" w:rsidR="000F0020" w:rsidRPr="00600E83" w:rsidRDefault="00A4347B"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FAO/WHO L</w:t>
            </w:r>
            <w:r w:rsidR="0077166B" w:rsidRPr="00600E83">
              <w:rPr>
                <w:rFonts w:ascii="Times New Roman" w:eastAsia="LibertinusSerif-Regular" w:hAnsi="Times New Roman" w:cs="Times New Roman"/>
                <w:b w:val="0"/>
                <w:sz w:val="24"/>
                <w:szCs w:val="24"/>
              </w:rPr>
              <w:t>imit</w:t>
            </w:r>
            <w:r w:rsidR="00C71345">
              <w:rPr>
                <w:rFonts w:ascii="Times New Roman" w:eastAsia="LibertinusSerif-Regular" w:hAnsi="Times New Roman" w:cs="Times New Roman"/>
                <w:b w:val="0"/>
                <w:sz w:val="24"/>
                <w:szCs w:val="24"/>
              </w:rPr>
              <w:t xml:space="preserve"> (mg/kg) </w:t>
            </w:r>
          </w:p>
        </w:tc>
      </w:tr>
      <w:tr w:rsidR="00A4347B" w:rsidRPr="00600E83" w14:paraId="41FE6DDF"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0176918"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1540" w:type="dxa"/>
          </w:tcPr>
          <w:p w14:paraId="6D277DB5" w14:textId="7C718E02" w:rsidR="000F0020" w:rsidRPr="00F95C89" w:rsidRDefault="00434FAB"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0.03±0.01</w:t>
            </w:r>
            <w:r w:rsidR="00F95C89">
              <w:rPr>
                <w:rFonts w:ascii="Times New Roman" w:eastAsia="LibertinusSerif-Regular" w:hAnsi="Times New Roman" w:cs="Times New Roman"/>
                <w:sz w:val="24"/>
                <w:szCs w:val="24"/>
                <w:vertAlign w:val="superscript"/>
              </w:rPr>
              <w:t>a</w:t>
            </w:r>
          </w:p>
        </w:tc>
        <w:tc>
          <w:tcPr>
            <w:tcW w:w="1540" w:type="dxa"/>
          </w:tcPr>
          <w:p w14:paraId="1F0E673E" w14:textId="363E2FB2"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0.02±0.01</w:t>
            </w:r>
            <w:r w:rsidR="00F95C89">
              <w:rPr>
                <w:rFonts w:ascii="Times New Roman" w:eastAsia="LibertinusSerif-Regular" w:hAnsi="Times New Roman" w:cs="Times New Roman"/>
                <w:sz w:val="24"/>
                <w:szCs w:val="24"/>
                <w:vertAlign w:val="superscript"/>
              </w:rPr>
              <w:t>ab</w:t>
            </w:r>
          </w:p>
        </w:tc>
        <w:tc>
          <w:tcPr>
            <w:tcW w:w="1540" w:type="dxa"/>
          </w:tcPr>
          <w:p w14:paraId="069B6AF3" w14:textId="360D5F62"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0.02±0.01</w:t>
            </w:r>
            <w:r w:rsidR="00F95C89">
              <w:rPr>
                <w:rFonts w:ascii="Times New Roman" w:eastAsia="LibertinusSerif-Regular" w:hAnsi="Times New Roman" w:cs="Times New Roman"/>
                <w:sz w:val="24"/>
                <w:szCs w:val="24"/>
                <w:vertAlign w:val="superscript"/>
              </w:rPr>
              <w:t>ab</w:t>
            </w:r>
          </w:p>
        </w:tc>
        <w:tc>
          <w:tcPr>
            <w:tcW w:w="1541" w:type="dxa"/>
          </w:tcPr>
          <w:p w14:paraId="1362B350" w14:textId="34852E51"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0.01±0.02</w:t>
            </w:r>
            <w:r w:rsidR="00F95C89">
              <w:rPr>
                <w:rFonts w:ascii="Times New Roman" w:eastAsia="LibertinusSerif-Regular" w:hAnsi="Times New Roman" w:cs="Times New Roman"/>
                <w:sz w:val="24"/>
                <w:szCs w:val="24"/>
                <w:vertAlign w:val="superscript"/>
              </w:rPr>
              <w:t>b</w:t>
            </w:r>
          </w:p>
        </w:tc>
        <w:tc>
          <w:tcPr>
            <w:tcW w:w="2223" w:type="dxa"/>
          </w:tcPr>
          <w:p w14:paraId="4C85BF08"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0.05</w:t>
            </w:r>
          </w:p>
        </w:tc>
      </w:tr>
      <w:tr w:rsidR="00A4347B" w:rsidRPr="00600E83" w14:paraId="6A4645DD" w14:textId="77777777" w:rsidTr="00A4347B">
        <w:tc>
          <w:tcPr>
            <w:cnfStyle w:val="001000000000" w:firstRow="0" w:lastRow="0" w:firstColumn="1" w:lastColumn="0" w:oddVBand="0" w:evenVBand="0" w:oddHBand="0" w:evenHBand="0" w:firstRowFirstColumn="0" w:firstRowLastColumn="0" w:lastRowFirstColumn="0" w:lastRowLastColumn="0"/>
            <w:tcW w:w="1540" w:type="dxa"/>
          </w:tcPr>
          <w:p w14:paraId="58C9E74A"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lastRenderedPageBreak/>
              <w:t>Cadmium (Cd)</w:t>
            </w:r>
          </w:p>
        </w:tc>
        <w:tc>
          <w:tcPr>
            <w:tcW w:w="1540" w:type="dxa"/>
          </w:tcPr>
          <w:p w14:paraId="54BAF592" w14:textId="2B61D36C" w:rsidR="000F0020" w:rsidRPr="00F95C89" w:rsidRDefault="00434FAB"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0.21±0.01</w:t>
            </w:r>
            <w:r w:rsidR="00F95C89">
              <w:rPr>
                <w:rFonts w:ascii="Times New Roman" w:eastAsia="LibertinusSerif-Regular" w:hAnsi="Times New Roman" w:cs="Times New Roman"/>
                <w:sz w:val="24"/>
                <w:szCs w:val="24"/>
                <w:vertAlign w:val="superscript"/>
              </w:rPr>
              <w:t>a</w:t>
            </w:r>
          </w:p>
        </w:tc>
        <w:tc>
          <w:tcPr>
            <w:tcW w:w="1540" w:type="dxa"/>
          </w:tcPr>
          <w:p w14:paraId="236BCD43" w14:textId="0AB89995" w:rsidR="000F0020" w:rsidRPr="00F95C89"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0.12±0.01</w:t>
            </w:r>
            <w:r w:rsidR="00F95C89">
              <w:rPr>
                <w:rFonts w:ascii="Times New Roman" w:eastAsia="LibertinusSerif-Regular" w:hAnsi="Times New Roman" w:cs="Times New Roman"/>
                <w:sz w:val="24"/>
                <w:szCs w:val="24"/>
                <w:vertAlign w:val="superscript"/>
              </w:rPr>
              <w:t>b</w:t>
            </w:r>
          </w:p>
        </w:tc>
        <w:tc>
          <w:tcPr>
            <w:tcW w:w="1540" w:type="dxa"/>
          </w:tcPr>
          <w:p w14:paraId="79AE5A67" w14:textId="3A111056" w:rsidR="000F0020" w:rsidRPr="00F95C89" w:rsidRDefault="002A441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0.05</w:t>
            </w:r>
            <w:r w:rsidR="00AF2474" w:rsidRPr="00600E83">
              <w:rPr>
                <w:rFonts w:ascii="Times New Roman" w:eastAsia="LibertinusSerif-Regular" w:hAnsi="Times New Roman" w:cs="Times New Roman"/>
                <w:sz w:val="24"/>
                <w:szCs w:val="24"/>
              </w:rPr>
              <w:t>±0.13</w:t>
            </w:r>
            <w:r w:rsidR="00F95C89">
              <w:rPr>
                <w:rFonts w:ascii="Times New Roman" w:eastAsia="LibertinusSerif-Regular" w:hAnsi="Times New Roman" w:cs="Times New Roman"/>
                <w:sz w:val="24"/>
                <w:szCs w:val="24"/>
                <w:vertAlign w:val="superscript"/>
              </w:rPr>
              <w:t>b</w:t>
            </w:r>
          </w:p>
        </w:tc>
        <w:tc>
          <w:tcPr>
            <w:tcW w:w="1541" w:type="dxa"/>
          </w:tcPr>
          <w:p w14:paraId="30CF242B" w14:textId="744EA9F9" w:rsidR="000F0020" w:rsidRPr="00F95C89"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0.03±0.01</w:t>
            </w:r>
            <w:r w:rsidR="00F95C89">
              <w:rPr>
                <w:rFonts w:ascii="Times New Roman" w:eastAsia="LibertinusSerif-Regular" w:hAnsi="Times New Roman" w:cs="Times New Roman"/>
                <w:sz w:val="24"/>
                <w:szCs w:val="24"/>
                <w:vertAlign w:val="superscript"/>
              </w:rPr>
              <w:t>c</w:t>
            </w:r>
          </w:p>
        </w:tc>
        <w:tc>
          <w:tcPr>
            <w:tcW w:w="2223" w:type="dxa"/>
          </w:tcPr>
          <w:p w14:paraId="15AB5E1D"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0.50</w:t>
            </w:r>
          </w:p>
        </w:tc>
      </w:tr>
      <w:tr w:rsidR="00A4347B" w:rsidRPr="00600E83" w14:paraId="6ADB356C"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4F32C7E"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1540" w:type="dxa"/>
          </w:tcPr>
          <w:p w14:paraId="1FFEA542" w14:textId="62F890E7" w:rsidR="000F0020" w:rsidRPr="00F95C89" w:rsidRDefault="00434FAB"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0.12±0.02</w:t>
            </w:r>
            <w:r w:rsidR="00F95C89">
              <w:rPr>
                <w:rFonts w:ascii="Times New Roman" w:eastAsia="LibertinusSerif-Regular" w:hAnsi="Times New Roman" w:cs="Times New Roman"/>
                <w:sz w:val="24"/>
                <w:szCs w:val="24"/>
                <w:vertAlign w:val="superscript"/>
              </w:rPr>
              <w:t>c</w:t>
            </w:r>
          </w:p>
        </w:tc>
        <w:tc>
          <w:tcPr>
            <w:tcW w:w="1540" w:type="dxa"/>
          </w:tcPr>
          <w:p w14:paraId="07169365" w14:textId="66E89B67"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0.25±0.03</w:t>
            </w:r>
            <w:r w:rsidR="00F95C89">
              <w:rPr>
                <w:rFonts w:ascii="Times New Roman" w:eastAsia="LibertinusSerif-Regular" w:hAnsi="Times New Roman" w:cs="Times New Roman"/>
                <w:sz w:val="24"/>
                <w:szCs w:val="24"/>
                <w:vertAlign w:val="superscript"/>
              </w:rPr>
              <w:t>b</w:t>
            </w:r>
          </w:p>
        </w:tc>
        <w:tc>
          <w:tcPr>
            <w:tcW w:w="1540" w:type="dxa"/>
          </w:tcPr>
          <w:p w14:paraId="082148EF" w14:textId="3BAC9600"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1.12±0.03</w:t>
            </w:r>
            <w:r w:rsidR="00F95C89">
              <w:rPr>
                <w:rFonts w:ascii="Times New Roman" w:eastAsia="LibertinusSerif-Regular" w:hAnsi="Times New Roman" w:cs="Times New Roman"/>
                <w:sz w:val="24"/>
                <w:szCs w:val="24"/>
                <w:vertAlign w:val="superscript"/>
              </w:rPr>
              <w:t>b</w:t>
            </w:r>
          </w:p>
        </w:tc>
        <w:tc>
          <w:tcPr>
            <w:tcW w:w="1541" w:type="dxa"/>
          </w:tcPr>
          <w:p w14:paraId="7FF7B7FC" w14:textId="6B9936D2"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0.71±0.04</w:t>
            </w:r>
            <w:r w:rsidR="00F95C89">
              <w:rPr>
                <w:rFonts w:ascii="Times New Roman" w:eastAsia="LibertinusSerif-Regular" w:hAnsi="Times New Roman" w:cs="Times New Roman"/>
                <w:sz w:val="24"/>
                <w:szCs w:val="24"/>
                <w:vertAlign w:val="superscript"/>
              </w:rPr>
              <w:t>ab</w:t>
            </w:r>
          </w:p>
        </w:tc>
        <w:tc>
          <w:tcPr>
            <w:tcW w:w="2223" w:type="dxa"/>
          </w:tcPr>
          <w:p w14:paraId="5D5A4378"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3.00</w:t>
            </w:r>
          </w:p>
        </w:tc>
      </w:tr>
      <w:tr w:rsidR="00A4347B" w:rsidRPr="00600E83" w14:paraId="05E77F78" w14:textId="77777777" w:rsidTr="00A4347B">
        <w:tc>
          <w:tcPr>
            <w:cnfStyle w:val="001000000000" w:firstRow="0" w:lastRow="0" w:firstColumn="1" w:lastColumn="0" w:oddVBand="0" w:evenVBand="0" w:oddHBand="0" w:evenHBand="0" w:firstRowFirstColumn="0" w:firstRowLastColumn="0" w:lastRowFirstColumn="0" w:lastRowLastColumn="0"/>
            <w:tcW w:w="1540" w:type="dxa"/>
          </w:tcPr>
          <w:p w14:paraId="769D6079"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1540" w:type="dxa"/>
          </w:tcPr>
          <w:p w14:paraId="0E8B060F" w14:textId="74DBD05F" w:rsidR="000F0020" w:rsidRPr="00F95C89" w:rsidRDefault="00434FAB"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0.02±0.11</w:t>
            </w:r>
            <w:r w:rsidR="00F95C89">
              <w:rPr>
                <w:rFonts w:ascii="Times New Roman" w:eastAsia="LibertinusSerif-Regular" w:hAnsi="Times New Roman" w:cs="Times New Roman"/>
                <w:sz w:val="24"/>
                <w:szCs w:val="24"/>
                <w:vertAlign w:val="superscript"/>
              </w:rPr>
              <w:t>b</w:t>
            </w:r>
          </w:p>
        </w:tc>
        <w:tc>
          <w:tcPr>
            <w:tcW w:w="1540" w:type="dxa"/>
          </w:tcPr>
          <w:p w14:paraId="067429EC" w14:textId="049EBA0E" w:rsidR="000F0020" w:rsidRPr="00F95C89"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0.04±0.11</w:t>
            </w:r>
            <w:r w:rsidR="00F95C89">
              <w:rPr>
                <w:rFonts w:ascii="Times New Roman" w:eastAsia="LibertinusSerif-Regular" w:hAnsi="Times New Roman" w:cs="Times New Roman"/>
                <w:sz w:val="24"/>
                <w:szCs w:val="24"/>
                <w:vertAlign w:val="superscript"/>
              </w:rPr>
              <w:t>b</w:t>
            </w:r>
          </w:p>
        </w:tc>
        <w:tc>
          <w:tcPr>
            <w:tcW w:w="1540" w:type="dxa"/>
          </w:tcPr>
          <w:p w14:paraId="3178E640" w14:textId="670340E9" w:rsidR="000F0020" w:rsidRPr="00F95C89"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0.15±0.01</w:t>
            </w:r>
            <w:r w:rsidR="00F95C89">
              <w:rPr>
                <w:rFonts w:ascii="Times New Roman" w:eastAsia="LibertinusSerif-Regular" w:hAnsi="Times New Roman" w:cs="Times New Roman"/>
                <w:sz w:val="24"/>
                <w:szCs w:val="24"/>
                <w:vertAlign w:val="superscript"/>
              </w:rPr>
              <w:t>b</w:t>
            </w:r>
          </w:p>
        </w:tc>
        <w:tc>
          <w:tcPr>
            <w:tcW w:w="1541" w:type="dxa"/>
          </w:tcPr>
          <w:p w14:paraId="062602D7" w14:textId="6FD902C8" w:rsidR="000F0020" w:rsidRPr="00F95C89" w:rsidRDefault="00BA06A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0.02±0.03</w:t>
            </w:r>
            <w:r w:rsidR="00F95C89">
              <w:rPr>
                <w:rFonts w:ascii="Times New Roman" w:eastAsia="LibertinusSerif-Regular" w:hAnsi="Times New Roman" w:cs="Times New Roman"/>
                <w:sz w:val="24"/>
                <w:szCs w:val="24"/>
                <w:vertAlign w:val="superscript"/>
              </w:rPr>
              <w:t>b</w:t>
            </w:r>
          </w:p>
        </w:tc>
        <w:tc>
          <w:tcPr>
            <w:tcW w:w="2223" w:type="dxa"/>
          </w:tcPr>
          <w:p w14:paraId="7B47A08F"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0.50</w:t>
            </w:r>
          </w:p>
        </w:tc>
      </w:tr>
      <w:tr w:rsidR="00A4347B" w:rsidRPr="00600E83" w14:paraId="20613AFC"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D11D944"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1540" w:type="dxa"/>
          </w:tcPr>
          <w:p w14:paraId="50C8C1CB" w14:textId="2FD5C047"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8</w:t>
            </w:r>
            <w:r w:rsidR="00434FAB" w:rsidRPr="00600E83">
              <w:rPr>
                <w:rFonts w:ascii="Times New Roman" w:eastAsia="LibertinusSerif-Regular" w:hAnsi="Times New Roman" w:cs="Times New Roman"/>
                <w:sz w:val="24"/>
                <w:szCs w:val="24"/>
              </w:rPr>
              <w:t>.01±0.61</w:t>
            </w:r>
            <w:r w:rsidR="00F95C89">
              <w:rPr>
                <w:rFonts w:ascii="Times New Roman" w:eastAsia="LibertinusSerif-Regular" w:hAnsi="Times New Roman" w:cs="Times New Roman"/>
                <w:sz w:val="24"/>
                <w:szCs w:val="24"/>
                <w:vertAlign w:val="superscript"/>
              </w:rPr>
              <w:t>a</w:t>
            </w:r>
          </w:p>
        </w:tc>
        <w:tc>
          <w:tcPr>
            <w:tcW w:w="1540" w:type="dxa"/>
          </w:tcPr>
          <w:p w14:paraId="40BF7C83" w14:textId="58545352"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6.26±0.12</w:t>
            </w:r>
            <w:r w:rsidR="00F95C89">
              <w:rPr>
                <w:rFonts w:ascii="Times New Roman" w:eastAsia="LibertinusSerif-Regular" w:hAnsi="Times New Roman" w:cs="Times New Roman"/>
                <w:sz w:val="24"/>
                <w:szCs w:val="24"/>
                <w:vertAlign w:val="superscript"/>
              </w:rPr>
              <w:t>b</w:t>
            </w:r>
          </w:p>
        </w:tc>
        <w:tc>
          <w:tcPr>
            <w:tcW w:w="1540" w:type="dxa"/>
          </w:tcPr>
          <w:p w14:paraId="0D18796C" w14:textId="7EDB0CC0"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4.05±0.31</w:t>
            </w:r>
            <w:r w:rsidR="00F95C89">
              <w:rPr>
                <w:rFonts w:ascii="Times New Roman" w:eastAsia="LibertinusSerif-Regular" w:hAnsi="Times New Roman" w:cs="Times New Roman"/>
                <w:sz w:val="24"/>
                <w:szCs w:val="24"/>
                <w:vertAlign w:val="superscript"/>
              </w:rPr>
              <w:t>b</w:t>
            </w:r>
          </w:p>
        </w:tc>
        <w:tc>
          <w:tcPr>
            <w:tcW w:w="1541" w:type="dxa"/>
          </w:tcPr>
          <w:p w14:paraId="7EF6D0D0" w14:textId="734CB375"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2.63±0.17</w:t>
            </w:r>
            <w:r w:rsidR="00F95C89">
              <w:rPr>
                <w:rFonts w:ascii="Times New Roman" w:eastAsia="LibertinusSerif-Regular" w:hAnsi="Times New Roman" w:cs="Times New Roman"/>
                <w:sz w:val="24"/>
                <w:szCs w:val="24"/>
                <w:vertAlign w:val="superscript"/>
              </w:rPr>
              <w:t>d</w:t>
            </w:r>
          </w:p>
        </w:tc>
        <w:tc>
          <w:tcPr>
            <w:tcW w:w="2223" w:type="dxa"/>
          </w:tcPr>
          <w:p w14:paraId="5DB5BEAF"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99.40</w:t>
            </w:r>
          </w:p>
        </w:tc>
      </w:tr>
    </w:tbl>
    <w:p w14:paraId="61778D45" w14:textId="77777777" w:rsidR="006B50B4" w:rsidRDefault="006B50B4" w:rsidP="006128E4">
      <w:pPr>
        <w:autoSpaceDE w:val="0"/>
        <w:autoSpaceDN w:val="0"/>
        <w:adjustRightInd w:val="0"/>
        <w:spacing w:after="0" w:line="240" w:lineRule="auto"/>
        <w:rPr>
          <w:rFonts w:ascii="Times New Roman" w:hAnsi="Times New Roman" w:cs="Times New Roman"/>
          <w:sz w:val="24"/>
          <w:szCs w:val="24"/>
        </w:rPr>
      </w:pPr>
      <w:r w:rsidRPr="006B50B4">
        <w:rPr>
          <w:rFonts w:ascii="Times New Roman" w:hAnsi="Times New Roman" w:cs="Times New Roman"/>
          <w:sz w:val="24"/>
          <w:szCs w:val="24"/>
        </w:rPr>
        <w:t xml:space="preserve">Values in the same row with different superscript letters differ significantly (one-way ANOVA, Tukey’s HSD, </w:t>
      </w:r>
      <w:r w:rsidRPr="006B50B4">
        <w:rPr>
          <w:rStyle w:val="Emphasis"/>
          <w:rFonts w:ascii="Times New Roman" w:hAnsi="Times New Roman" w:cs="Times New Roman"/>
          <w:sz w:val="24"/>
          <w:szCs w:val="24"/>
        </w:rPr>
        <w:t>p</w:t>
      </w:r>
      <w:r w:rsidRPr="006B50B4">
        <w:rPr>
          <w:rFonts w:ascii="Times New Roman" w:hAnsi="Times New Roman" w:cs="Times New Roman"/>
          <w:sz w:val="24"/>
          <w:szCs w:val="24"/>
        </w:rPr>
        <w:t xml:space="preserve"> &lt; 0.05).</w:t>
      </w:r>
    </w:p>
    <w:p w14:paraId="638CDA1A" w14:textId="77777777" w:rsidR="006B50B4" w:rsidRDefault="006B50B4" w:rsidP="006128E4">
      <w:pPr>
        <w:autoSpaceDE w:val="0"/>
        <w:autoSpaceDN w:val="0"/>
        <w:adjustRightInd w:val="0"/>
        <w:spacing w:after="0" w:line="240" w:lineRule="auto"/>
        <w:rPr>
          <w:rFonts w:ascii="Times New Roman" w:hAnsi="Times New Roman" w:cs="Times New Roman"/>
          <w:sz w:val="24"/>
          <w:szCs w:val="24"/>
        </w:rPr>
      </w:pPr>
    </w:p>
    <w:p w14:paraId="03D7E584" w14:textId="42737CF0" w:rsidR="00C81CEB" w:rsidRPr="00600E83" w:rsidRDefault="00590E7A" w:rsidP="006B50B4">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7C6AC166" wp14:editId="268A6AFB">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8C998D" w14:textId="77777777" w:rsidR="0054417A" w:rsidRPr="00600E83" w:rsidRDefault="0054417A" w:rsidP="000303BD">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1: </w:t>
      </w:r>
      <w:r w:rsidR="00590E7A" w:rsidRPr="00600E83">
        <w:rPr>
          <w:rFonts w:ascii="Times New Roman" w:eastAsia="LibertinusSerif-Regular" w:hAnsi="Times New Roman" w:cs="Times New Roman"/>
          <w:sz w:val="24"/>
          <w:szCs w:val="24"/>
        </w:rPr>
        <w:t>Level of Arsenic</w:t>
      </w:r>
      <w:r w:rsidRPr="00600E83">
        <w:rPr>
          <w:rFonts w:ascii="Times New Roman" w:eastAsia="LibertinusSerif-Regular" w:hAnsi="Times New Roman" w:cs="Times New Roman"/>
          <w:sz w:val="24"/>
          <w:szCs w:val="24"/>
        </w:rPr>
        <w:t xml:space="preserve">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08EB6A3A"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sz w:val="24"/>
          <w:szCs w:val="24"/>
        </w:rPr>
      </w:pPr>
    </w:p>
    <w:p w14:paraId="4A56E8CB"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sz w:val="24"/>
          <w:szCs w:val="24"/>
        </w:rPr>
      </w:pPr>
    </w:p>
    <w:p w14:paraId="032D96A8"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06F95585" w14:textId="77777777" w:rsidR="004B7D06" w:rsidRPr="00600E83" w:rsidRDefault="004B7D06" w:rsidP="004B7D06">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2736DBA7" wp14:editId="7E955F8B">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52826C" w14:textId="77777777" w:rsidR="009A7392" w:rsidRPr="00600E83" w:rsidRDefault="009A7392" w:rsidP="004B7D06">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2: </w:t>
      </w:r>
      <w:r w:rsidRPr="00600E83">
        <w:rPr>
          <w:rFonts w:ascii="Times New Roman" w:eastAsia="LibertinusSerif-Regular" w:hAnsi="Times New Roman" w:cs="Times New Roman"/>
          <w:sz w:val="24"/>
          <w:szCs w:val="24"/>
        </w:rPr>
        <w:t xml:space="preserve">Level of Cadmium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46622F0F" w14:textId="77777777" w:rsidR="004B7D06" w:rsidRPr="00600E83" w:rsidRDefault="004B7D06" w:rsidP="004B7D06">
      <w:pPr>
        <w:autoSpaceDE w:val="0"/>
        <w:autoSpaceDN w:val="0"/>
        <w:adjustRightInd w:val="0"/>
        <w:spacing w:after="0" w:line="240" w:lineRule="auto"/>
        <w:jc w:val="center"/>
        <w:rPr>
          <w:rFonts w:ascii="Times New Roman" w:eastAsia="LibertinusSerif-Regular" w:hAnsi="Times New Roman" w:cs="Times New Roman"/>
          <w:b/>
          <w:sz w:val="24"/>
          <w:szCs w:val="24"/>
        </w:rPr>
      </w:pPr>
    </w:p>
    <w:p w14:paraId="3FB42821" w14:textId="77777777" w:rsidR="009A7392" w:rsidRPr="00600E83" w:rsidRDefault="004E759A" w:rsidP="004E759A">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lastRenderedPageBreak/>
        <w:drawing>
          <wp:inline distT="0" distB="0" distL="0" distR="0" wp14:anchorId="437F5B72" wp14:editId="07E3F950">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745BB1" w14:textId="77777777" w:rsidR="004E759A" w:rsidRPr="00600E83" w:rsidRDefault="004E759A" w:rsidP="004E759A">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3: </w:t>
      </w:r>
      <w:r w:rsidR="00DC29CA" w:rsidRPr="00600E83">
        <w:rPr>
          <w:rFonts w:ascii="Times New Roman" w:eastAsia="LibertinusSerif-Regular" w:hAnsi="Times New Roman" w:cs="Times New Roman"/>
          <w:sz w:val="24"/>
          <w:szCs w:val="24"/>
        </w:rPr>
        <w:t>Level of Copper</w:t>
      </w:r>
      <w:r w:rsidRPr="00600E83">
        <w:rPr>
          <w:rFonts w:ascii="Times New Roman" w:eastAsia="LibertinusSerif-Regular" w:hAnsi="Times New Roman" w:cs="Times New Roman"/>
          <w:sz w:val="24"/>
          <w:szCs w:val="24"/>
        </w:rPr>
        <w:t xml:space="preserve">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73EE901B" w14:textId="77777777" w:rsidR="004E759A" w:rsidRPr="00600E83" w:rsidRDefault="004E759A"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221B50EC" w14:textId="77777777" w:rsidR="004B7D06" w:rsidRPr="00600E83" w:rsidRDefault="004B7D06" w:rsidP="001D497D">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4FE01DD2" wp14:editId="63E4DE20">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FC43FB" w14:textId="77777777" w:rsidR="004B7D06" w:rsidRPr="00600E83" w:rsidRDefault="004B7D06" w:rsidP="001D497D">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4: </w:t>
      </w:r>
      <w:r w:rsidRPr="00600E83">
        <w:rPr>
          <w:rFonts w:ascii="Times New Roman" w:eastAsia="LibertinusSerif-Regular" w:hAnsi="Times New Roman" w:cs="Times New Roman"/>
          <w:sz w:val="24"/>
          <w:szCs w:val="24"/>
        </w:rPr>
        <w:t xml:space="preserve">Level of Lead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44C8AA48" w14:textId="77777777" w:rsidR="004B7D06" w:rsidRPr="00600E83" w:rsidRDefault="004B7D06"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61396B8A" w14:textId="77777777" w:rsidR="0099415C" w:rsidRPr="00600E83" w:rsidRDefault="0099415C" w:rsidP="0099415C">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5E2A4D7C" wp14:editId="17EB826A">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DF6FBC" w14:textId="77777777" w:rsidR="0099415C" w:rsidRPr="00600E83" w:rsidRDefault="0099415C" w:rsidP="0099415C">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lastRenderedPageBreak/>
        <w:t xml:space="preserve">Figure 5: </w:t>
      </w:r>
      <w:r w:rsidRPr="00600E83">
        <w:rPr>
          <w:rFonts w:ascii="Times New Roman" w:eastAsia="LibertinusSerif-Regular" w:hAnsi="Times New Roman" w:cs="Times New Roman"/>
          <w:sz w:val="24"/>
          <w:szCs w:val="24"/>
        </w:rPr>
        <w:t xml:space="preserve">Level of Zinc (Zn)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00CE8100" w14:textId="77777777" w:rsidR="000739C1" w:rsidRPr="00600E83" w:rsidRDefault="000739C1" w:rsidP="00C81CEB">
      <w:pPr>
        <w:autoSpaceDE w:val="0"/>
        <w:autoSpaceDN w:val="0"/>
        <w:adjustRightInd w:val="0"/>
        <w:spacing w:after="0" w:line="240" w:lineRule="auto"/>
        <w:jc w:val="both"/>
        <w:rPr>
          <w:rFonts w:ascii="Times New Roman" w:eastAsia="LibertinusSerif-Regular" w:hAnsi="Times New Roman" w:cs="Times New Roman"/>
          <w:b/>
          <w:sz w:val="24"/>
          <w:szCs w:val="24"/>
        </w:rPr>
      </w:pPr>
    </w:p>
    <w:p w14:paraId="0D37A0AA" w14:textId="77777777" w:rsidR="00F36CC7" w:rsidRPr="00600E83" w:rsidRDefault="00F36CC7" w:rsidP="00C81CEB">
      <w:pPr>
        <w:autoSpaceDE w:val="0"/>
        <w:autoSpaceDN w:val="0"/>
        <w:adjustRightInd w:val="0"/>
        <w:spacing w:after="0" w:line="240" w:lineRule="auto"/>
        <w:jc w:val="both"/>
        <w:rPr>
          <w:rFonts w:ascii="Times New Roman" w:hAnsi="Times New Roman" w:cs="Times New Roman"/>
          <w:b/>
          <w:bCs/>
          <w:i/>
          <w:sz w:val="24"/>
          <w:szCs w:val="24"/>
        </w:rPr>
      </w:pPr>
      <w:r w:rsidRPr="00600E83">
        <w:rPr>
          <w:rFonts w:ascii="Times New Roman" w:eastAsia="LibertinusSerif-Regular" w:hAnsi="Times New Roman" w:cs="Times New Roman"/>
          <w:b/>
          <w:sz w:val="24"/>
          <w:szCs w:val="24"/>
        </w:rPr>
        <w:t xml:space="preserve">3.2. </w:t>
      </w:r>
      <w:r w:rsidRPr="00600E83">
        <w:rPr>
          <w:rFonts w:ascii="Times New Roman" w:hAnsi="Times New Roman" w:cs="Times New Roman"/>
          <w:b/>
          <w:bCs/>
          <w:i/>
          <w:sz w:val="24"/>
          <w:szCs w:val="24"/>
        </w:rPr>
        <w:t>Estimated Daily Intake (EDI)</w:t>
      </w:r>
    </w:p>
    <w:p w14:paraId="2A1B4E10" w14:textId="77777777" w:rsidR="00B5704E" w:rsidRPr="00600E83" w:rsidRDefault="00A10807" w:rsidP="00E0043A">
      <w:pPr>
        <w:autoSpaceDE w:val="0"/>
        <w:autoSpaceDN w:val="0"/>
        <w:adjustRightInd w:val="0"/>
        <w:spacing w:after="0" w:line="240" w:lineRule="auto"/>
        <w:jc w:val="both"/>
        <w:rPr>
          <w:rFonts w:ascii="Times New Roman" w:hAnsi="Times New Roman" w:cs="Times New Roman"/>
          <w:b/>
          <w:bCs/>
          <w:sz w:val="24"/>
          <w:szCs w:val="24"/>
        </w:rPr>
      </w:pPr>
      <w:r w:rsidRPr="00600E83">
        <w:rPr>
          <w:rFonts w:ascii="Times New Roman" w:hAnsi="Times New Roman" w:cs="Times New Roman"/>
          <w:bCs/>
          <w:sz w:val="24"/>
          <w:szCs w:val="24"/>
        </w:rPr>
        <w:t>Table 2:</w:t>
      </w:r>
      <w:r w:rsidR="00B5704E" w:rsidRPr="00600E83">
        <w:rPr>
          <w:rFonts w:ascii="Times New Roman" w:hAnsi="Times New Roman" w:cs="Times New Roman"/>
          <w:b/>
          <w:bCs/>
          <w:sz w:val="24"/>
          <w:szCs w:val="24"/>
        </w:rPr>
        <w:t xml:space="preserve"> </w:t>
      </w:r>
      <w:r w:rsidR="009C4C71" w:rsidRPr="00600E83">
        <w:rPr>
          <w:rFonts w:ascii="Times New Roman" w:hAnsi="Times New Roman" w:cs="Times New Roman"/>
          <w:bCs/>
          <w:sz w:val="24"/>
          <w:szCs w:val="24"/>
        </w:rPr>
        <w:t>All fish species</w:t>
      </w:r>
      <w:r w:rsidR="003F3773">
        <w:rPr>
          <w:rFonts w:ascii="Times New Roman" w:hAnsi="Times New Roman" w:cs="Times New Roman"/>
          <w:bCs/>
          <w:sz w:val="24"/>
          <w:szCs w:val="24"/>
        </w:rPr>
        <w:t>,</w:t>
      </w:r>
      <w:r w:rsidR="009C4C71" w:rsidRPr="00600E83">
        <w:rPr>
          <w:rFonts w:ascii="Times New Roman" w:hAnsi="Times New Roman" w:cs="Times New Roman"/>
          <w:bCs/>
          <w:sz w:val="24"/>
          <w:szCs w:val="24"/>
        </w:rPr>
        <w:t xml:space="preserve"> </w:t>
      </w:r>
      <w:r w:rsidR="00B5704E" w:rsidRPr="00600E83">
        <w:rPr>
          <w:rFonts w:ascii="Times New Roman" w:eastAsia="LibertinusSerif-Regular" w:hAnsi="Times New Roman" w:cs="Times New Roman"/>
          <w:sz w:val="24"/>
          <w:szCs w:val="24"/>
        </w:rPr>
        <w:t>Estimated Daily Intake (EDI) of heavy metals from smoked-dried fish consumption</w:t>
      </w:r>
    </w:p>
    <w:tbl>
      <w:tblPr>
        <w:tblStyle w:val="LightShading"/>
        <w:tblW w:w="0" w:type="auto"/>
        <w:tblLook w:val="04A0" w:firstRow="1" w:lastRow="0" w:firstColumn="1" w:lastColumn="0" w:noHBand="0" w:noVBand="1"/>
      </w:tblPr>
      <w:tblGrid>
        <w:gridCol w:w="1668"/>
        <w:gridCol w:w="1417"/>
        <w:gridCol w:w="2977"/>
        <w:gridCol w:w="2311"/>
      </w:tblGrid>
      <w:tr w:rsidR="008B7D42" w:rsidRPr="00600E83" w14:paraId="7EF11906" w14:textId="77777777" w:rsidTr="00B57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748E728B"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Fish Species</w:t>
            </w:r>
          </w:p>
        </w:tc>
        <w:tc>
          <w:tcPr>
            <w:tcW w:w="1417" w:type="dxa"/>
          </w:tcPr>
          <w:p w14:paraId="17CD45EF"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977" w:type="dxa"/>
          </w:tcPr>
          <w:p w14:paraId="39008E42" w14:textId="77777777" w:rsidR="00B5704E" w:rsidRPr="00600E83" w:rsidRDefault="00B5704E"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 xml:space="preserve">EDI </w:t>
            </w:r>
            <w:r w:rsidR="008B7D42" w:rsidRPr="00600E83">
              <w:rPr>
                <w:rFonts w:ascii="Times New Roman" w:eastAsia="LibertinusSerif-Regular" w:hAnsi="Times New Roman" w:cs="Times New Roman"/>
                <w:b w:val="0"/>
                <w:sz w:val="24"/>
                <w:szCs w:val="24"/>
              </w:rPr>
              <w:t xml:space="preserve">Adult </w:t>
            </w:r>
          </w:p>
          <w:p w14:paraId="655E48CD"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(mg/kg.bw/day)</w:t>
            </w:r>
          </w:p>
        </w:tc>
        <w:tc>
          <w:tcPr>
            <w:tcW w:w="2311" w:type="dxa"/>
          </w:tcPr>
          <w:p w14:paraId="6D1BBD9B"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Child</w:t>
            </w:r>
          </w:p>
          <w:p w14:paraId="5C45DB0B"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(mg/kg.bw/day)</w:t>
            </w:r>
          </w:p>
        </w:tc>
      </w:tr>
      <w:tr w:rsidR="008B7D42" w:rsidRPr="00600E83" w14:paraId="59521B65"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259E7D4"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G.niloticus</w:t>
            </w:r>
            <w:proofErr w:type="spellEnd"/>
          </w:p>
          <w:p w14:paraId="4E1F722D"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(Asa fish)</w:t>
            </w:r>
          </w:p>
        </w:tc>
        <w:tc>
          <w:tcPr>
            <w:tcW w:w="1417" w:type="dxa"/>
          </w:tcPr>
          <w:p w14:paraId="276C111A"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7D8DA60"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2.1</w:t>
            </w:r>
            <w:r w:rsidR="008270E4" w:rsidRPr="00600E83">
              <w:rPr>
                <w:rFonts w:ascii="Times New Roman" w:eastAsia="LibertinusSerif-Regular" w:hAnsi="Times New Roman" w:cs="Times New Roman"/>
                <w:sz w:val="24"/>
                <w:szCs w:val="24"/>
              </w:rPr>
              <w:t>0</w:t>
            </w:r>
            <w:r w:rsidRPr="00600E83">
              <w:rPr>
                <w:rFonts w:ascii="Times New Roman" w:eastAsia="LibertinusSerif-Regular" w:hAnsi="Times New Roman" w:cs="Times New Roman"/>
                <w:sz w:val="24"/>
                <w:szCs w:val="24"/>
              </w:rPr>
              <w:t>X10</w:t>
            </w:r>
            <w:r w:rsidRPr="00600E83">
              <w:rPr>
                <w:rFonts w:ascii="Times New Roman" w:eastAsia="LibertinusSerif-Regular" w:hAnsi="Times New Roman" w:cs="Times New Roman"/>
                <w:sz w:val="24"/>
                <w:szCs w:val="24"/>
                <w:vertAlign w:val="superscript"/>
              </w:rPr>
              <w:t>-5</w:t>
            </w:r>
          </w:p>
        </w:tc>
        <w:tc>
          <w:tcPr>
            <w:tcW w:w="2311" w:type="dxa"/>
          </w:tcPr>
          <w:p w14:paraId="553E7D19"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3.0X10</w:t>
            </w:r>
            <w:r w:rsidRPr="00600E83">
              <w:rPr>
                <w:rFonts w:ascii="Times New Roman" w:eastAsia="LibertinusSerif-Regular" w:hAnsi="Times New Roman" w:cs="Times New Roman"/>
                <w:sz w:val="24"/>
                <w:szCs w:val="24"/>
                <w:vertAlign w:val="superscript"/>
              </w:rPr>
              <w:t>-5</w:t>
            </w:r>
          </w:p>
        </w:tc>
      </w:tr>
      <w:tr w:rsidR="008B7D42" w:rsidRPr="00600E83" w14:paraId="29E9FFAF"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3DF1E070"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033BEE00" w14:textId="77777777" w:rsidR="008B7D42" w:rsidRPr="00600E83" w:rsidRDefault="008B7D42"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2D262A27"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1.50X10</w:t>
            </w:r>
            <w:r w:rsidRPr="00600E83">
              <w:rPr>
                <w:rFonts w:ascii="Times New Roman" w:eastAsia="LibertinusSerif-Regular" w:hAnsi="Times New Roman" w:cs="Times New Roman"/>
                <w:sz w:val="24"/>
                <w:szCs w:val="24"/>
                <w:vertAlign w:val="superscript"/>
              </w:rPr>
              <w:t>-4</w:t>
            </w:r>
          </w:p>
        </w:tc>
        <w:tc>
          <w:tcPr>
            <w:tcW w:w="2311" w:type="dxa"/>
          </w:tcPr>
          <w:p w14:paraId="2C2BDDD5"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2.1X10</w:t>
            </w:r>
            <w:r w:rsidRPr="00600E83">
              <w:rPr>
                <w:rFonts w:ascii="Times New Roman" w:eastAsia="LibertinusSerif-Regular" w:hAnsi="Times New Roman" w:cs="Times New Roman"/>
                <w:sz w:val="24"/>
                <w:szCs w:val="24"/>
                <w:vertAlign w:val="superscript"/>
              </w:rPr>
              <w:t>-4</w:t>
            </w:r>
          </w:p>
        </w:tc>
      </w:tr>
      <w:tr w:rsidR="008B7D42" w:rsidRPr="00600E83" w14:paraId="120D8B01"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102A51C"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D84D00E"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5B2E7B5B"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8.60X10</w:t>
            </w:r>
            <w:r w:rsidRPr="00600E83">
              <w:rPr>
                <w:rFonts w:ascii="Times New Roman" w:eastAsia="LibertinusSerif-Regular" w:hAnsi="Times New Roman" w:cs="Times New Roman"/>
                <w:sz w:val="24"/>
                <w:szCs w:val="24"/>
                <w:vertAlign w:val="superscript"/>
              </w:rPr>
              <w:t>-5</w:t>
            </w:r>
          </w:p>
        </w:tc>
        <w:tc>
          <w:tcPr>
            <w:tcW w:w="2311" w:type="dxa"/>
          </w:tcPr>
          <w:p w14:paraId="213F3CD5"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1.2X10</w:t>
            </w:r>
            <w:r w:rsidRPr="00600E83">
              <w:rPr>
                <w:rFonts w:ascii="Times New Roman" w:eastAsia="LibertinusSerif-Regular" w:hAnsi="Times New Roman" w:cs="Times New Roman"/>
                <w:sz w:val="24"/>
                <w:szCs w:val="24"/>
                <w:vertAlign w:val="superscript"/>
              </w:rPr>
              <w:t>-4</w:t>
            </w:r>
          </w:p>
        </w:tc>
      </w:tr>
      <w:tr w:rsidR="008B7D42" w:rsidRPr="00600E83" w14:paraId="7D78D49C"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2C9A4DC0"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36A594EB" w14:textId="77777777" w:rsidR="008B7D42" w:rsidRPr="00600E83" w:rsidRDefault="008B7D42"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094ED0DE"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1.40X10</w:t>
            </w:r>
            <w:r w:rsidRPr="00600E83">
              <w:rPr>
                <w:rFonts w:ascii="Times New Roman" w:eastAsia="LibertinusSerif-Regular" w:hAnsi="Times New Roman" w:cs="Times New Roman"/>
                <w:sz w:val="24"/>
                <w:szCs w:val="24"/>
                <w:vertAlign w:val="superscript"/>
              </w:rPr>
              <w:t>-5</w:t>
            </w:r>
          </w:p>
        </w:tc>
        <w:tc>
          <w:tcPr>
            <w:tcW w:w="2311" w:type="dxa"/>
          </w:tcPr>
          <w:p w14:paraId="2FAF91CB"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8B7D42" w:rsidRPr="00600E83" w14:paraId="373EC7B4"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F8169E6"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2C84E88"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1979972B"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5.72X10</w:t>
            </w:r>
            <w:r w:rsidRPr="00600E83">
              <w:rPr>
                <w:rFonts w:ascii="Times New Roman" w:eastAsia="LibertinusSerif-Regular" w:hAnsi="Times New Roman" w:cs="Times New Roman"/>
                <w:sz w:val="24"/>
                <w:szCs w:val="24"/>
                <w:vertAlign w:val="superscript"/>
              </w:rPr>
              <w:t>-3</w:t>
            </w:r>
          </w:p>
        </w:tc>
        <w:tc>
          <w:tcPr>
            <w:tcW w:w="2311" w:type="dxa"/>
          </w:tcPr>
          <w:p w14:paraId="68A90557"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8.01X10</w:t>
            </w:r>
            <w:r w:rsidRPr="00600E83">
              <w:rPr>
                <w:rFonts w:ascii="Times New Roman" w:eastAsia="LibertinusSerif-Regular" w:hAnsi="Times New Roman" w:cs="Times New Roman"/>
                <w:sz w:val="24"/>
                <w:szCs w:val="24"/>
                <w:vertAlign w:val="superscript"/>
              </w:rPr>
              <w:t>-3</w:t>
            </w:r>
          </w:p>
        </w:tc>
      </w:tr>
      <w:tr w:rsidR="005C104A" w:rsidRPr="00600E83" w14:paraId="3136CF7B"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E8009D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E.fimbriata</w:t>
            </w:r>
            <w:proofErr w:type="spellEnd"/>
          </w:p>
          <w:p w14:paraId="1106B249"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(Bony fish)</w:t>
            </w:r>
          </w:p>
        </w:tc>
        <w:tc>
          <w:tcPr>
            <w:tcW w:w="1417" w:type="dxa"/>
          </w:tcPr>
          <w:p w14:paraId="48F25616"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13DD7358"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1.4X10</w:t>
            </w:r>
            <w:r w:rsidRPr="00600E83">
              <w:rPr>
                <w:rFonts w:ascii="Times New Roman" w:eastAsia="LibertinusSerif-Regular" w:hAnsi="Times New Roman" w:cs="Times New Roman"/>
                <w:sz w:val="24"/>
                <w:szCs w:val="24"/>
                <w:vertAlign w:val="superscript"/>
              </w:rPr>
              <w:t>-5</w:t>
            </w:r>
          </w:p>
        </w:tc>
        <w:tc>
          <w:tcPr>
            <w:tcW w:w="2311" w:type="dxa"/>
          </w:tcPr>
          <w:p w14:paraId="319EB948"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5C104A" w:rsidRPr="00600E83" w14:paraId="0614EBF7"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EC270BC"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46BA7FA"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117E6D4"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8.6X10</w:t>
            </w:r>
            <w:r w:rsidRPr="00600E83">
              <w:rPr>
                <w:rFonts w:ascii="Times New Roman" w:eastAsia="LibertinusSerif-Regular" w:hAnsi="Times New Roman" w:cs="Times New Roman"/>
                <w:sz w:val="24"/>
                <w:szCs w:val="24"/>
                <w:vertAlign w:val="superscript"/>
              </w:rPr>
              <w:t>-5</w:t>
            </w:r>
          </w:p>
        </w:tc>
        <w:tc>
          <w:tcPr>
            <w:tcW w:w="2311" w:type="dxa"/>
          </w:tcPr>
          <w:p w14:paraId="1CFF3805" w14:textId="77777777" w:rsidR="005C104A" w:rsidRPr="00600E83" w:rsidRDefault="009D57FD"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1.20X10</w:t>
            </w:r>
            <w:r w:rsidRPr="00600E83">
              <w:rPr>
                <w:rFonts w:ascii="Times New Roman" w:eastAsia="LibertinusSerif-Regular" w:hAnsi="Times New Roman" w:cs="Times New Roman"/>
                <w:sz w:val="24"/>
                <w:szCs w:val="24"/>
                <w:vertAlign w:val="superscript"/>
              </w:rPr>
              <w:t>-4</w:t>
            </w:r>
          </w:p>
        </w:tc>
      </w:tr>
      <w:tr w:rsidR="005C104A" w:rsidRPr="00600E83" w14:paraId="38519A8A"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BAD158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6A1FE216"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6431648B"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1.79X10</w:t>
            </w:r>
            <w:r w:rsidRPr="00600E83">
              <w:rPr>
                <w:rFonts w:ascii="Times New Roman" w:eastAsia="LibertinusSerif-Regular" w:hAnsi="Times New Roman" w:cs="Times New Roman"/>
                <w:sz w:val="24"/>
                <w:szCs w:val="24"/>
                <w:vertAlign w:val="superscript"/>
              </w:rPr>
              <w:t>-4</w:t>
            </w:r>
          </w:p>
        </w:tc>
        <w:tc>
          <w:tcPr>
            <w:tcW w:w="2311" w:type="dxa"/>
          </w:tcPr>
          <w:p w14:paraId="55EB20AE"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2.50X10</w:t>
            </w:r>
            <w:r w:rsidRPr="00600E83">
              <w:rPr>
                <w:rFonts w:ascii="Times New Roman" w:eastAsia="LibertinusSerif-Regular" w:hAnsi="Times New Roman" w:cs="Times New Roman"/>
                <w:sz w:val="24"/>
                <w:szCs w:val="24"/>
                <w:vertAlign w:val="superscript"/>
              </w:rPr>
              <w:t>-4</w:t>
            </w:r>
          </w:p>
        </w:tc>
      </w:tr>
      <w:tr w:rsidR="005C104A" w:rsidRPr="00600E83" w14:paraId="782E2132"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DA2661E"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A345966"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5556895A"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2.9X10</w:t>
            </w:r>
            <w:r w:rsidRPr="00600E83">
              <w:rPr>
                <w:rFonts w:ascii="Times New Roman" w:eastAsia="LibertinusSerif-Regular" w:hAnsi="Times New Roman" w:cs="Times New Roman"/>
                <w:sz w:val="24"/>
                <w:szCs w:val="24"/>
                <w:vertAlign w:val="superscript"/>
              </w:rPr>
              <w:t>-5</w:t>
            </w:r>
          </w:p>
        </w:tc>
        <w:tc>
          <w:tcPr>
            <w:tcW w:w="2311" w:type="dxa"/>
          </w:tcPr>
          <w:p w14:paraId="73E01FBA" w14:textId="77777777" w:rsidR="005C104A" w:rsidRPr="00600E83" w:rsidRDefault="009D57FD"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4.0X10</w:t>
            </w:r>
            <w:r w:rsidRPr="00600E83">
              <w:rPr>
                <w:rFonts w:ascii="Times New Roman" w:eastAsia="LibertinusSerif-Regular" w:hAnsi="Times New Roman" w:cs="Times New Roman"/>
                <w:sz w:val="24"/>
                <w:szCs w:val="24"/>
                <w:vertAlign w:val="superscript"/>
              </w:rPr>
              <w:t>-5</w:t>
            </w:r>
          </w:p>
        </w:tc>
      </w:tr>
      <w:tr w:rsidR="005C104A" w:rsidRPr="00600E83" w14:paraId="0A5A1038"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1CBC7A7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05B31873"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42BDB8DD"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4.471X10</w:t>
            </w:r>
            <w:r w:rsidRPr="00600E83">
              <w:rPr>
                <w:rFonts w:ascii="Times New Roman" w:eastAsia="LibertinusSerif-Regular" w:hAnsi="Times New Roman" w:cs="Times New Roman"/>
                <w:sz w:val="24"/>
                <w:szCs w:val="24"/>
                <w:vertAlign w:val="superscript"/>
              </w:rPr>
              <w:t>-3</w:t>
            </w:r>
          </w:p>
        </w:tc>
        <w:tc>
          <w:tcPr>
            <w:tcW w:w="2311" w:type="dxa"/>
          </w:tcPr>
          <w:p w14:paraId="0369BBE6"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6.26X10</w:t>
            </w:r>
            <w:r w:rsidRPr="00600E83">
              <w:rPr>
                <w:rFonts w:ascii="Times New Roman" w:eastAsia="LibertinusSerif-Regular" w:hAnsi="Times New Roman" w:cs="Times New Roman"/>
                <w:sz w:val="24"/>
                <w:szCs w:val="24"/>
                <w:vertAlign w:val="superscript"/>
              </w:rPr>
              <w:t>-3</w:t>
            </w:r>
          </w:p>
        </w:tc>
      </w:tr>
      <w:tr w:rsidR="00B32A41" w:rsidRPr="00600E83" w14:paraId="4E4FBEDE"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C2CE785"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S.scombrus</w:t>
            </w:r>
            <w:proofErr w:type="spellEnd"/>
          </w:p>
          <w:p w14:paraId="21BAB57B"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(Mackerel)</w:t>
            </w:r>
          </w:p>
        </w:tc>
        <w:tc>
          <w:tcPr>
            <w:tcW w:w="1417" w:type="dxa"/>
          </w:tcPr>
          <w:p w14:paraId="12D0F332"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50E91E3"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1.4X10</w:t>
            </w:r>
            <w:r w:rsidRPr="00600E83">
              <w:rPr>
                <w:rFonts w:ascii="Times New Roman" w:eastAsia="LibertinusSerif-Regular" w:hAnsi="Times New Roman" w:cs="Times New Roman"/>
                <w:sz w:val="24"/>
                <w:szCs w:val="24"/>
                <w:vertAlign w:val="superscript"/>
              </w:rPr>
              <w:t>-5</w:t>
            </w:r>
          </w:p>
        </w:tc>
        <w:tc>
          <w:tcPr>
            <w:tcW w:w="2311" w:type="dxa"/>
          </w:tcPr>
          <w:p w14:paraId="4AFFB1AB"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B32A41" w:rsidRPr="00600E83" w14:paraId="196394DB"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45A2B01"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7230B5D4"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1BC7881"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3.29X10</w:t>
            </w:r>
            <w:r w:rsidRPr="00600E83">
              <w:rPr>
                <w:rFonts w:ascii="Times New Roman" w:eastAsia="LibertinusSerif-Regular" w:hAnsi="Times New Roman" w:cs="Times New Roman"/>
                <w:sz w:val="24"/>
                <w:szCs w:val="24"/>
                <w:vertAlign w:val="superscript"/>
              </w:rPr>
              <w:t>-4</w:t>
            </w:r>
          </w:p>
        </w:tc>
        <w:tc>
          <w:tcPr>
            <w:tcW w:w="2311" w:type="dxa"/>
          </w:tcPr>
          <w:p w14:paraId="4667DBAF"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4.6X10</w:t>
            </w:r>
            <w:r w:rsidRPr="00600E83">
              <w:rPr>
                <w:rFonts w:ascii="Times New Roman" w:eastAsia="LibertinusSerif-Regular" w:hAnsi="Times New Roman" w:cs="Times New Roman"/>
                <w:sz w:val="24"/>
                <w:szCs w:val="24"/>
                <w:vertAlign w:val="superscript"/>
              </w:rPr>
              <w:t>-4</w:t>
            </w:r>
          </w:p>
        </w:tc>
      </w:tr>
      <w:tr w:rsidR="00B32A41" w:rsidRPr="00600E83" w14:paraId="279DDB13"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C524597"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1B4475E5"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2C6B82F9"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8.0X10</w:t>
            </w:r>
            <w:r w:rsidRPr="00600E83">
              <w:rPr>
                <w:rFonts w:ascii="Times New Roman" w:eastAsia="LibertinusSerif-Regular" w:hAnsi="Times New Roman" w:cs="Times New Roman"/>
                <w:sz w:val="24"/>
                <w:szCs w:val="24"/>
                <w:vertAlign w:val="superscript"/>
              </w:rPr>
              <w:t>-4</w:t>
            </w:r>
          </w:p>
        </w:tc>
        <w:tc>
          <w:tcPr>
            <w:tcW w:w="2311" w:type="dxa"/>
          </w:tcPr>
          <w:p w14:paraId="338C4773"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1.12X10</w:t>
            </w:r>
            <w:r w:rsidRPr="00600E83">
              <w:rPr>
                <w:rFonts w:ascii="Times New Roman" w:eastAsia="LibertinusSerif-Regular" w:hAnsi="Times New Roman" w:cs="Times New Roman"/>
                <w:sz w:val="24"/>
                <w:szCs w:val="24"/>
                <w:vertAlign w:val="superscript"/>
              </w:rPr>
              <w:t>-3</w:t>
            </w:r>
          </w:p>
        </w:tc>
      </w:tr>
      <w:tr w:rsidR="00B32A41" w:rsidRPr="00600E83" w14:paraId="45940218"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DEA28A3"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B25F305"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09E8DFC3"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1.07X10</w:t>
            </w:r>
            <w:r w:rsidRPr="00600E83">
              <w:rPr>
                <w:rFonts w:ascii="Times New Roman" w:eastAsia="LibertinusSerif-Regular" w:hAnsi="Times New Roman" w:cs="Times New Roman"/>
                <w:sz w:val="24"/>
                <w:szCs w:val="24"/>
                <w:vertAlign w:val="superscript"/>
              </w:rPr>
              <w:t>-4</w:t>
            </w:r>
          </w:p>
        </w:tc>
        <w:tc>
          <w:tcPr>
            <w:tcW w:w="2311" w:type="dxa"/>
          </w:tcPr>
          <w:p w14:paraId="45DCE041"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1.50X10</w:t>
            </w:r>
            <w:r w:rsidRPr="00600E83">
              <w:rPr>
                <w:rFonts w:ascii="Times New Roman" w:eastAsia="LibertinusSerif-Regular" w:hAnsi="Times New Roman" w:cs="Times New Roman"/>
                <w:sz w:val="24"/>
                <w:szCs w:val="24"/>
                <w:vertAlign w:val="superscript"/>
              </w:rPr>
              <w:t>-4</w:t>
            </w:r>
          </w:p>
        </w:tc>
      </w:tr>
      <w:tr w:rsidR="00B32A41" w:rsidRPr="00600E83" w14:paraId="3EA2581C"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A211C72"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34D376D"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04542DAA"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2.893X10</w:t>
            </w:r>
            <w:r w:rsidRPr="00600E83">
              <w:rPr>
                <w:rFonts w:ascii="Times New Roman" w:eastAsia="LibertinusSerif-Regular" w:hAnsi="Times New Roman" w:cs="Times New Roman"/>
                <w:sz w:val="24"/>
                <w:szCs w:val="24"/>
                <w:vertAlign w:val="superscript"/>
              </w:rPr>
              <w:t>-3</w:t>
            </w:r>
          </w:p>
        </w:tc>
        <w:tc>
          <w:tcPr>
            <w:tcW w:w="2311" w:type="dxa"/>
          </w:tcPr>
          <w:p w14:paraId="2C6876CD"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4.05X10</w:t>
            </w:r>
            <w:r w:rsidRPr="00600E83">
              <w:rPr>
                <w:rFonts w:ascii="Times New Roman" w:eastAsia="LibertinusSerif-Regular" w:hAnsi="Times New Roman" w:cs="Times New Roman"/>
                <w:sz w:val="24"/>
                <w:szCs w:val="24"/>
                <w:vertAlign w:val="superscript"/>
              </w:rPr>
              <w:t>-3</w:t>
            </w:r>
          </w:p>
        </w:tc>
      </w:tr>
      <w:tr w:rsidR="003E07D4" w:rsidRPr="00600E83" w14:paraId="19EB2EA7"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51B0881"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C.gariepinus</w:t>
            </w:r>
            <w:proofErr w:type="spellEnd"/>
          </w:p>
          <w:p w14:paraId="29223101" w14:textId="77777777" w:rsidR="003E07D4" w:rsidRPr="00600E83" w:rsidRDefault="00B12A25"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(Catfish)</w:t>
            </w:r>
          </w:p>
        </w:tc>
        <w:tc>
          <w:tcPr>
            <w:tcW w:w="1417" w:type="dxa"/>
          </w:tcPr>
          <w:p w14:paraId="1FBEBBD2"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3383390"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7.0 X10</w:t>
            </w:r>
            <w:r w:rsidRPr="00600E83">
              <w:rPr>
                <w:rFonts w:ascii="Times New Roman" w:eastAsia="LibertinusSerif-Regular" w:hAnsi="Times New Roman" w:cs="Times New Roman"/>
                <w:sz w:val="24"/>
                <w:szCs w:val="24"/>
                <w:vertAlign w:val="superscript"/>
              </w:rPr>
              <w:t>-6</w:t>
            </w:r>
          </w:p>
        </w:tc>
        <w:tc>
          <w:tcPr>
            <w:tcW w:w="2311" w:type="dxa"/>
          </w:tcPr>
          <w:p w14:paraId="4E1F1811"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 X10</w:t>
            </w:r>
            <w:r w:rsidRPr="00600E83">
              <w:rPr>
                <w:rFonts w:ascii="Times New Roman" w:eastAsia="LibertinusSerif-Regular" w:hAnsi="Times New Roman" w:cs="Times New Roman"/>
                <w:sz w:val="24"/>
                <w:szCs w:val="24"/>
                <w:vertAlign w:val="superscript"/>
              </w:rPr>
              <w:t>-5</w:t>
            </w:r>
          </w:p>
        </w:tc>
      </w:tr>
      <w:tr w:rsidR="003E07D4" w:rsidRPr="00600E83" w14:paraId="27BE1DD4"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E69746A"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5EA3E5BD" w14:textId="77777777" w:rsidR="003E07D4" w:rsidRPr="00600E83" w:rsidRDefault="003E07D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0B17EC4"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 X10</w:t>
            </w:r>
            <w:r w:rsidRPr="00600E83">
              <w:rPr>
                <w:rFonts w:ascii="Times New Roman" w:eastAsia="LibertinusSerif-Regular" w:hAnsi="Times New Roman" w:cs="Times New Roman"/>
                <w:sz w:val="24"/>
                <w:szCs w:val="24"/>
                <w:vertAlign w:val="superscript"/>
              </w:rPr>
              <w:t>-5</w:t>
            </w:r>
          </w:p>
        </w:tc>
        <w:tc>
          <w:tcPr>
            <w:tcW w:w="2311" w:type="dxa"/>
          </w:tcPr>
          <w:p w14:paraId="44590FC0"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r>
      <w:tr w:rsidR="003E07D4" w:rsidRPr="00600E83" w14:paraId="238742D7"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438B2921"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CB5AC08"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70958EF6"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5.07 X10</w:t>
            </w:r>
            <w:r w:rsidRPr="00600E83">
              <w:rPr>
                <w:rFonts w:ascii="Times New Roman" w:eastAsia="LibertinusSerif-Regular" w:hAnsi="Times New Roman" w:cs="Times New Roman"/>
                <w:sz w:val="24"/>
                <w:szCs w:val="24"/>
                <w:vertAlign w:val="superscript"/>
              </w:rPr>
              <w:t>-4</w:t>
            </w:r>
          </w:p>
        </w:tc>
        <w:tc>
          <w:tcPr>
            <w:tcW w:w="2311" w:type="dxa"/>
          </w:tcPr>
          <w:p w14:paraId="349A6E53"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7.10 X10</w:t>
            </w:r>
            <w:r w:rsidRPr="00600E83">
              <w:rPr>
                <w:rFonts w:ascii="Times New Roman" w:eastAsia="LibertinusSerif-Regular" w:hAnsi="Times New Roman" w:cs="Times New Roman"/>
                <w:sz w:val="24"/>
                <w:szCs w:val="24"/>
                <w:vertAlign w:val="superscript"/>
              </w:rPr>
              <w:t>-4</w:t>
            </w:r>
          </w:p>
        </w:tc>
      </w:tr>
      <w:tr w:rsidR="003E07D4" w:rsidRPr="00600E83" w14:paraId="5062A999"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71C0009"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83A0927" w14:textId="77777777" w:rsidR="003E07D4" w:rsidRPr="00600E83" w:rsidRDefault="003E07D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557DD344"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1.43 X10</w:t>
            </w:r>
            <w:r w:rsidRPr="00600E83">
              <w:rPr>
                <w:rFonts w:ascii="Times New Roman" w:eastAsia="LibertinusSerif-Regular" w:hAnsi="Times New Roman" w:cs="Times New Roman"/>
                <w:sz w:val="24"/>
                <w:szCs w:val="24"/>
                <w:vertAlign w:val="superscript"/>
              </w:rPr>
              <w:t>-5</w:t>
            </w:r>
          </w:p>
        </w:tc>
        <w:tc>
          <w:tcPr>
            <w:tcW w:w="2311" w:type="dxa"/>
          </w:tcPr>
          <w:p w14:paraId="571EB716"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 X10</w:t>
            </w:r>
            <w:r w:rsidRPr="00600E83">
              <w:rPr>
                <w:rFonts w:ascii="Times New Roman" w:eastAsia="LibertinusSerif-Regular" w:hAnsi="Times New Roman" w:cs="Times New Roman"/>
                <w:sz w:val="24"/>
                <w:szCs w:val="24"/>
                <w:vertAlign w:val="superscript"/>
              </w:rPr>
              <w:t>-5</w:t>
            </w:r>
          </w:p>
        </w:tc>
      </w:tr>
      <w:tr w:rsidR="003E07D4" w:rsidRPr="00600E83" w14:paraId="0FD6AE09"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4112DEB"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521B7A52"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03306FA3"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1.879 X10</w:t>
            </w:r>
            <w:r w:rsidRPr="00600E83">
              <w:rPr>
                <w:rFonts w:ascii="Times New Roman" w:eastAsia="LibertinusSerif-Regular" w:hAnsi="Times New Roman" w:cs="Times New Roman"/>
                <w:sz w:val="24"/>
                <w:szCs w:val="24"/>
                <w:vertAlign w:val="superscript"/>
              </w:rPr>
              <w:t>-3</w:t>
            </w:r>
          </w:p>
        </w:tc>
        <w:tc>
          <w:tcPr>
            <w:tcW w:w="2311" w:type="dxa"/>
          </w:tcPr>
          <w:p w14:paraId="74377D81"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2.63 X10</w:t>
            </w:r>
            <w:r w:rsidRPr="00600E83">
              <w:rPr>
                <w:rFonts w:ascii="Times New Roman" w:eastAsia="LibertinusSerif-Regular" w:hAnsi="Times New Roman" w:cs="Times New Roman"/>
                <w:sz w:val="24"/>
                <w:szCs w:val="24"/>
                <w:vertAlign w:val="superscript"/>
              </w:rPr>
              <w:t>-3</w:t>
            </w:r>
          </w:p>
        </w:tc>
      </w:tr>
    </w:tbl>
    <w:p w14:paraId="39DF5687" w14:textId="77777777" w:rsidR="00F36CC7" w:rsidRPr="00600E83" w:rsidRDefault="00F36CC7"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p>
    <w:p w14:paraId="480748EB" w14:textId="77777777" w:rsidR="009C4C71" w:rsidRPr="00600E83" w:rsidRDefault="009C4C71"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r w:rsidRPr="00600E83">
        <w:rPr>
          <w:rFonts w:ascii="Times New Roman" w:hAnsi="Times New Roman" w:cs="Times New Roman"/>
          <w:bCs/>
          <w:sz w:val="24"/>
          <w:szCs w:val="24"/>
        </w:rPr>
        <w:t>Table 3</w:t>
      </w:r>
      <w:r w:rsidR="00A10807" w:rsidRPr="00600E83">
        <w:rPr>
          <w:rFonts w:ascii="Times New Roman" w:hAnsi="Times New Roman" w:cs="Times New Roman"/>
          <w:bCs/>
          <w:sz w:val="24"/>
          <w:szCs w:val="24"/>
        </w:rPr>
        <w:t>:</w:t>
      </w:r>
      <w:r w:rsidRPr="00600E83">
        <w:rPr>
          <w:rFonts w:ascii="Times New Roman" w:eastAsia="LibertinusSerif-Regular" w:hAnsi="Times New Roman" w:cs="Times New Roman"/>
          <w:sz w:val="24"/>
          <w:szCs w:val="24"/>
        </w:rPr>
        <w:t xml:space="preserve"> Estimated Daily Intake (EDI) of heavy metals from smoked-dried fish consumption</w:t>
      </w:r>
    </w:p>
    <w:tbl>
      <w:tblPr>
        <w:tblStyle w:val="LightShading"/>
        <w:tblW w:w="0" w:type="auto"/>
        <w:tblLayout w:type="fixed"/>
        <w:tblLook w:val="04A0" w:firstRow="1" w:lastRow="0" w:firstColumn="1" w:lastColumn="0" w:noHBand="0" w:noVBand="1"/>
      </w:tblPr>
      <w:tblGrid>
        <w:gridCol w:w="1101"/>
        <w:gridCol w:w="1701"/>
        <w:gridCol w:w="1542"/>
        <w:gridCol w:w="1752"/>
        <w:gridCol w:w="2046"/>
      </w:tblGrid>
      <w:tr w:rsidR="0072135E" w:rsidRPr="00600E83" w14:paraId="28FBC10B" w14:textId="77777777" w:rsidTr="007213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A852AF9"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1701" w:type="dxa"/>
          </w:tcPr>
          <w:p w14:paraId="41CE76DC"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Highest Concentration (mg/kg)</w:t>
            </w:r>
          </w:p>
        </w:tc>
        <w:tc>
          <w:tcPr>
            <w:tcW w:w="1542" w:type="dxa"/>
          </w:tcPr>
          <w:p w14:paraId="28B2BF0C"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Adult (mg/kg/day)</w:t>
            </w:r>
          </w:p>
        </w:tc>
        <w:tc>
          <w:tcPr>
            <w:tcW w:w="1752" w:type="dxa"/>
          </w:tcPr>
          <w:p w14:paraId="6C580320"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Child</w:t>
            </w:r>
          </w:p>
          <w:p w14:paraId="077CE5AE"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(mg/kg/day)</w:t>
            </w:r>
          </w:p>
        </w:tc>
        <w:tc>
          <w:tcPr>
            <w:tcW w:w="2046" w:type="dxa"/>
          </w:tcPr>
          <w:p w14:paraId="5D83EBD9"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(RFD, mg/kg/day)</w:t>
            </w:r>
          </w:p>
        </w:tc>
      </w:tr>
      <w:tr w:rsidR="0072135E" w:rsidRPr="00600E83" w14:paraId="738614FD"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D299B56"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Zn</w:t>
            </w:r>
          </w:p>
        </w:tc>
        <w:tc>
          <w:tcPr>
            <w:tcW w:w="1701" w:type="dxa"/>
          </w:tcPr>
          <w:p w14:paraId="20391201"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w:t>
            </w:r>
          </w:p>
        </w:tc>
        <w:tc>
          <w:tcPr>
            <w:tcW w:w="1542" w:type="dxa"/>
          </w:tcPr>
          <w:p w14:paraId="48746915"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5.721 X10</w:t>
            </w:r>
            <w:r w:rsidRPr="00600E83">
              <w:rPr>
                <w:rFonts w:ascii="Times New Roman" w:eastAsia="LibertinusSerif-Regular" w:hAnsi="Times New Roman" w:cs="Times New Roman"/>
                <w:sz w:val="24"/>
                <w:szCs w:val="24"/>
                <w:vertAlign w:val="superscript"/>
              </w:rPr>
              <w:t>-5</w:t>
            </w:r>
          </w:p>
        </w:tc>
        <w:tc>
          <w:tcPr>
            <w:tcW w:w="1752" w:type="dxa"/>
          </w:tcPr>
          <w:p w14:paraId="34F037BA"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 X10</w:t>
            </w:r>
            <w:r w:rsidRPr="00600E83">
              <w:rPr>
                <w:rFonts w:ascii="Times New Roman" w:eastAsia="LibertinusSerif-Regular" w:hAnsi="Times New Roman" w:cs="Times New Roman"/>
                <w:sz w:val="24"/>
                <w:szCs w:val="24"/>
                <w:vertAlign w:val="superscript"/>
              </w:rPr>
              <w:t>-3</w:t>
            </w:r>
          </w:p>
        </w:tc>
        <w:tc>
          <w:tcPr>
            <w:tcW w:w="2046" w:type="dxa"/>
          </w:tcPr>
          <w:p w14:paraId="7E96A006" w14:textId="77777777" w:rsidR="0072135E" w:rsidRPr="00600E83" w:rsidRDefault="00D84570"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00A31BA5" w:rsidRPr="00600E83">
              <w:rPr>
                <w:rFonts w:ascii="Times New Roman" w:eastAsia="LibertinusSerif-Regular" w:hAnsi="Times New Roman" w:cs="Times New Roman"/>
                <w:sz w:val="24"/>
                <w:szCs w:val="24"/>
                <w:vertAlign w:val="superscript"/>
              </w:rPr>
              <w:t>-1</w:t>
            </w:r>
          </w:p>
        </w:tc>
      </w:tr>
      <w:tr w:rsidR="0072135E" w:rsidRPr="00600E83" w14:paraId="1D8B5352" w14:textId="77777777" w:rsidTr="0072135E">
        <w:tc>
          <w:tcPr>
            <w:cnfStyle w:val="001000000000" w:firstRow="0" w:lastRow="0" w:firstColumn="1" w:lastColumn="0" w:oddVBand="0" w:evenVBand="0" w:oddHBand="0" w:evenHBand="0" w:firstRowFirstColumn="0" w:firstRowLastColumn="0" w:lastRowFirstColumn="0" w:lastRowLastColumn="0"/>
            <w:tcW w:w="1101" w:type="dxa"/>
          </w:tcPr>
          <w:p w14:paraId="79E03634"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Cu</w:t>
            </w:r>
          </w:p>
        </w:tc>
        <w:tc>
          <w:tcPr>
            <w:tcW w:w="1701" w:type="dxa"/>
          </w:tcPr>
          <w:p w14:paraId="298C5251"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w:t>
            </w:r>
          </w:p>
        </w:tc>
        <w:tc>
          <w:tcPr>
            <w:tcW w:w="1542" w:type="dxa"/>
          </w:tcPr>
          <w:p w14:paraId="073EB6C9"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 X10</w:t>
            </w:r>
            <w:r w:rsidRPr="00600E83">
              <w:rPr>
                <w:rFonts w:ascii="Times New Roman" w:eastAsia="LibertinusSerif-Regular" w:hAnsi="Times New Roman" w:cs="Times New Roman"/>
                <w:sz w:val="24"/>
                <w:szCs w:val="24"/>
                <w:vertAlign w:val="superscript"/>
              </w:rPr>
              <w:t>-4</w:t>
            </w:r>
          </w:p>
        </w:tc>
        <w:tc>
          <w:tcPr>
            <w:tcW w:w="1752" w:type="dxa"/>
          </w:tcPr>
          <w:p w14:paraId="0BF6E9D5" w14:textId="77777777" w:rsidR="0072135E" w:rsidRPr="00600E83" w:rsidRDefault="001002C6"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 X10</w:t>
            </w:r>
            <w:r w:rsidRPr="00600E83">
              <w:rPr>
                <w:rFonts w:ascii="Times New Roman" w:eastAsia="LibertinusSerif-Regular" w:hAnsi="Times New Roman" w:cs="Times New Roman"/>
                <w:sz w:val="24"/>
                <w:szCs w:val="24"/>
                <w:vertAlign w:val="superscript"/>
              </w:rPr>
              <w:t>-3</w:t>
            </w:r>
          </w:p>
        </w:tc>
        <w:tc>
          <w:tcPr>
            <w:tcW w:w="2046" w:type="dxa"/>
          </w:tcPr>
          <w:p w14:paraId="1A753552" w14:textId="77777777" w:rsidR="0072135E" w:rsidRPr="00600E83" w:rsidRDefault="00A31BA5"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r>
      <w:tr w:rsidR="0072135E" w:rsidRPr="00600E83" w14:paraId="541E484A"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508440A"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Cd</w:t>
            </w:r>
          </w:p>
        </w:tc>
        <w:tc>
          <w:tcPr>
            <w:tcW w:w="1701" w:type="dxa"/>
          </w:tcPr>
          <w:p w14:paraId="2926DF8B" w14:textId="77777777" w:rsidR="0072135E" w:rsidRPr="00600E83" w:rsidRDefault="001245F8"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0.21</w:t>
            </w:r>
          </w:p>
        </w:tc>
        <w:tc>
          <w:tcPr>
            <w:tcW w:w="1542" w:type="dxa"/>
          </w:tcPr>
          <w:p w14:paraId="535A9BE8"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3.29 X10</w:t>
            </w:r>
            <w:r w:rsidRPr="00600E83">
              <w:rPr>
                <w:rFonts w:ascii="Times New Roman" w:eastAsia="LibertinusSerif-Regular" w:hAnsi="Times New Roman" w:cs="Times New Roman"/>
                <w:sz w:val="24"/>
                <w:szCs w:val="24"/>
                <w:vertAlign w:val="superscript"/>
              </w:rPr>
              <w:t>-4</w:t>
            </w:r>
          </w:p>
        </w:tc>
        <w:tc>
          <w:tcPr>
            <w:tcW w:w="1752" w:type="dxa"/>
          </w:tcPr>
          <w:p w14:paraId="561BE6E6"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 X10</w:t>
            </w:r>
            <w:r w:rsidRPr="00600E83">
              <w:rPr>
                <w:rFonts w:ascii="Times New Roman" w:eastAsia="LibertinusSerif-Regular" w:hAnsi="Times New Roman" w:cs="Times New Roman"/>
                <w:sz w:val="24"/>
                <w:szCs w:val="24"/>
                <w:vertAlign w:val="superscript"/>
              </w:rPr>
              <w:t>-4</w:t>
            </w:r>
          </w:p>
        </w:tc>
        <w:tc>
          <w:tcPr>
            <w:tcW w:w="2046" w:type="dxa"/>
          </w:tcPr>
          <w:p w14:paraId="0775FAAC" w14:textId="77777777" w:rsidR="0072135E" w:rsidRPr="00600E83" w:rsidRDefault="00A31BA5"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 X10</w:t>
            </w:r>
            <w:r w:rsidRPr="00600E83">
              <w:rPr>
                <w:rFonts w:ascii="Times New Roman" w:eastAsia="LibertinusSerif-Regular" w:hAnsi="Times New Roman" w:cs="Times New Roman"/>
                <w:sz w:val="24"/>
                <w:szCs w:val="24"/>
                <w:vertAlign w:val="superscript"/>
              </w:rPr>
              <w:t>-3</w:t>
            </w:r>
          </w:p>
        </w:tc>
      </w:tr>
      <w:tr w:rsidR="0072135E" w:rsidRPr="00600E83" w14:paraId="70558BB3" w14:textId="77777777" w:rsidTr="0072135E">
        <w:tc>
          <w:tcPr>
            <w:cnfStyle w:val="001000000000" w:firstRow="0" w:lastRow="0" w:firstColumn="1" w:lastColumn="0" w:oddVBand="0" w:evenVBand="0" w:oddHBand="0" w:evenHBand="0" w:firstRowFirstColumn="0" w:firstRowLastColumn="0" w:lastRowFirstColumn="0" w:lastRowLastColumn="0"/>
            <w:tcW w:w="1101" w:type="dxa"/>
          </w:tcPr>
          <w:p w14:paraId="28C81461"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Pb</w:t>
            </w:r>
          </w:p>
        </w:tc>
        <w:tc>
          <w:tcPr>
            <w:tcW w:w="1701" w:type="dxa"/>
          </w:tcPr>
          <w:p w14:paraId="1EC28A62"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0.15</w:t>
            </w:r>
          </w:p>
        </w:tc>
        <w:tc>
          <w:tcPr>
            <w:tcW w:w="1542" w:type="dxa"/>
          </w:tcPr>
          <w:p w14:paraId="28438D79"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 X10</w:t>
            </w:r>
            <w:r w:rsidRPr="00600E83">
              <w:rPr>
                <w:rFonts w:ascii="Times New Roman" w:eastAsia="LibertinusSerif-Regular" w:hAnsi="Times New Roman" w:cs="Times New Roman"/>
                <w:sz w:val="24"/>
                <w:szCs w:val="24"/>
                <w:vertAlign w:val="superscript"/>
              </w:rPr>
              <w:t>-4</w:t>
            </w:r>
          </w:p>
        </w:tc>
        <w:tc>
          <w:tcPr>
            <w:tcW w:w="1752" w:type="dxa"/>
          </w:tcPr>
          <w:p w14:paraId="42971374" w14:textId="77777777" w:rsidR="0072135E" w:rsidRPr="00600E83" w:rsidRDefault="001002C6"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-3</w:t>
            </w:r>
          </w:p>
        </w:tc>
        <w:tc>
          <w:tcPr>
            <w:tcW w:w="2046" w:type="dxa"/>
          </w:tcPr>
          <w:p w14:paraId="38D22155" w14:textId="77777777" w:rsidR="0072135E" w:rsidRPr="00600E83" w:rsidRDefault="00A31BA5"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-3</w:t>
            </w:r>
          </w:p>
        </w:tc>
      </w:tr>
      <w:tr w:rsidR="0072135E" w:rsidRPr="00600E83" w14:paraId="7C4D4FD6"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CDD395B"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w:t>
            </w:r>
          </w:p>
        </w:tc>
        <w:tc>
          <w:tcPr>
            <w:tcW w:w="1701" w:type="dxa"/>
          </w:tcPr>
          <w:p w14:paraId="6DEE1E1D"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0.03</w:t>
            </w:r>
          </w:p>
        </w:tc>
        <w:tc>
          <w:tcPr>
            <w:tcW w:w="1542" w:type="dxa"/>
          </w:tcPr>
          <w:p w14:paraId="6306385E"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2.14 X10</w:t>
            </w:r>
            <w:r w:rsidRPr="00600E83">
              <w:rPr>
                <w:rFonts w:ascii="Times New Roman" w:eastAsia="LibertinusSerif-Regular" w:hAnsi="Times New Roman" w:cs="Times New Roman"/>
                <w:sz w:val="24"/>
                <w:szCs w:val="24"/>
                <w:vertAlign w:val="superscript"/>
              </w:rPr>
              <w:t>-5</w:t>
            </w:r>
          </w:p>
        </w:tc>
        <w:tc>
          <w:tcPr>
            <w:tcW w:w="1752" w:type="dxa"/>
          </w:tcPr>
          <w:p w14:paraId="00AD557B"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2046" w:type="dxa"/>
          </w:tcPr>
          <w:p w14:paraId="14B4EF4E" w14:textId="77777777" w:rsidR="0072135E" w:rsidRPr="00600E83" w:rsidRDefault="00A31BA5"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r>
    </w:tbl>
    <w:p w14:paraId="3CFCBB8B" w14:textId="77777777" w:rsidR="009C4C71" w:rsidRPr="00600E83" w:rsidRDefault="009C4C71"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p>
    <w:p w14:paraId="46B389DB" w14:textId="77777777" w:rsidR="006569C9" w:rsidRPr="00600E83" w:rsidRDefault="00AB215F" w:rsidP="00FF705B">
      <w:pPr>
        <w:autoSpaceDE w:val="0"/>
        <w:autoSpaceDN w:val="0"/>
        <w:adjustRightInd w:val="0"/>
        <w:spacing w:after="0" w:line="480" w:lineRule="auto"/>
        <w:jc w:val="both"/>
        <w:rPr>
          <w:rFonts w:ascii="Times New Roman" w:hAnsi="Times New Roman" w:cs="Times New Roman"/>
          <w:b/>
          <w:bCs/>
          <w:sz w:val="24"/>
          <w:szCs w:val="24"/>
        </w:rPr>
      </w:pPr>
      <w:r w:rsidRPr="00600E83">
        <w:rPr>
          <w:rFonts w:ascii="Times New Roman" w:hAnsi="Times New Roman" w:cs="Times New Roman"/>
          <w:b/>
          <w:bCs/>
          <w:sz w:val="24"/>
          <w:szCs w:val="24"/>
        </w:rPr>
        <w:t xml:space="preserve">3.3. </w:t>
      </w:r>
      <w:r w:rsidR="006569C9" w:rsidRPr="00600E83">
        <w:rPr>
          <w:rFonts w:ascii="Times New Roman" w:hAnsi="Times New Roman" w:cs="Times New Roman"/>
          <w:b/>
          <w:bCs/>
          <w:i/>
          <w:sz w:val="24"/>
          <w:szCs w:val="24"/>
        </w:rPr>
        <w:t>Target Hazard Quotient (THQ) and Hazard Index (HI)</w:t>
      </w:r>
      <w:r w:rsidR="00DB1E71" w:rsidRPr="00600E83">
        <w:rPr>
          <w:rFonts w:ascii="Times New Roman" w:hAnsi="Times New Roman" w:cs="Times New Roman"/>
          <w:b/>
          <w:bCs/>
          <w:i/>
          <w:sz w:val="24"/>
          <w:szCs w:val="24"/>
        </w:rPr>
        <w:t xml:space="preserve"> </w:t>
      </w:r>
    </w:p>
    <w:p w14:paraId="70BC5F89" w14:textId="77777777" w:rsidR="006C6FD8" w:rsidRPr="00600E83" w:rsidRDefault="006C6FD8" w:rsidP="00A822C8">
      <w:pPr>
        <w:autoSpaceDE w:val="0"/>
        <w:autoSpaceDN w:val="0"/>
        <w:adjustRightInd w:val="0"/>
        <w:spacing w:after="0" w:line="240" w:lineRule="auto"/>
        <w:jc w:val="both"/>
        <w:rPr>
          <w:rFonts w:ascii="Times New Roman" w:hAnsi="Times New Roman" w:cs="Times New Roman"/>
          <w:bCs/>
          <w:sz w:val="24"/>
          <w:szCs w:val="24"/>
        </w:rPr>
      </w:pPr>
      <w:r w:rsidRPr="00600E83">
        <w:rPr>
          <w:rFonts w:ascii="Times New Roman" w:hAnsi="Times New Roman" w:cs="Times New Roman"/>
          <w:bCs/>
          <w:sz w:val="24"/>
          <w:szCs w:val="24"/>
        </w:rPr>
        <w:t xml:space="preserve">Table 4: </w:t>
      </w:r>
      <w:r w:rsidRPr="00600E83">
        <w:rPr>
          <w:rFonts w:ascii="Times New Roman" w:eastAsia="LibertinusSerif-Regular" w:hAnsi="Times New Roman" w:cs="Times New Roman"/>
          <w:sz w:val="24"/>
          <w:szCs w:val="24"/>
        </w:rPr>
        <w:t>Target Hazard Quotient (THQ) and Haz</w:t>
      </w:r>
      <w:r w:rsidR="00A822C8" w:rsidRPr="00600E83">
        <w:rPr>
          <w:rFonts w:ascii="Times New Roman" w:eastAsia="LibertinusSerif-Regular" w:hAnsi="Times New Roman" w:cs="Times New Roman"/>
          <w:sz w:val="24"/>
          <w:szCs w:val="24"/>
        </w:rPr>
        <w:t>ard Index (HI) for heavy metals</w:t>
      </w:r>
      <w:r w:rsidR="00DB1E71" w:rsidRPr="00600E83">
        <w:rPr>
          <w:rFonts w:ascii="Times New Roman" w:eastAsia="LibertinusSerif-Regular" w:hAnsi="Times New Roman" w:cs="Times New Roman"/>
          <w:sz w:val="24"/>
          <w:szCs w:val="24"/>
        </w:rPr>
        <w:t xml:space="preserve"> for Adults</w:t>
      </w:r>
    </w:p>
    <w:tbl>
      <w:tblPr>
        <w:tblStyle w:val="LightShading"/>
        <w:tblW w:w="0" w:type="auto"/>
        <w:tblLook w:val="04A0" w:firstRow="1" w:lastRow="0" w:firstColumn="1" w:lastColumn="0" w:noHBand="0" w:noVBand="1"/>
      </w:tblPr>
      <w:tblGrid>
        <w:gridCol w:w="2310"/>
        <w:gridCol w:w="2051"/>
        <w:gridCol w:w="1701"/>
        <w:gridCol w:w="2311"/>
      </w:tblGrid>
      <w:tr w:rsidR="006569C9" w:rsidRPr="00600E83" w14:paraId="4B1A6DB0" w14:textId="77777777" w:rsidTr="00656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5AA07D4"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051" w:type="dxa"/>
          </w:tcPr>
          <w:p w14:paraId="66FB09A2"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(mg/kg/day)</w:t>
            </w:r>
          </w:p>
        </w:tc>
        <w:tc>
          <w:tcPr>
            <w:tcW w:w="1701" w:type="dxa"/>
          </w:tcPr>
          <w:p w14:paraId="47AD7FD7"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(mg/kg/day)</w:t>
            </w:r>
          </w:p>
        </w:tc>
        <w:tc>
          <w:tcPr>
            <w:tcW w:w="2311" w:type="dxa"/>
          </w:tcPr>
          <w:p w14:paraId="660E3BD6"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THQ= EDI/</w:t>
            </w:r>
            <w:proofErr w:type="spellStart"/>
            <w:r w:rsidRPr="00600E83">
              <w:rPr>
                <w:rFonts w:ascii="Times New Roman" w:eastAsia="LibertinusSerif-Regular" w:hAnsi="Times New Roman" w:cs="Times New Roman"/>
                <w:b w:val="0"/>
                <w:sz w:val="24"/>
                <w:szCs w:val="24"/>
              </w:rPr>
              <w:t>RfD</w:t>
            </w:r>
            <w:proofErr w:type="spellEnd"/>
          </w:p>
        </w:tc>
      </w:tr>
      <w:tr w:rsidR="006569C9" w:rsidRPr="00600E83" w14:paraId="4369E217"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FEED6D2"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2051" w:type="dxa"/>
          </w:tcPr>
          <w:p w14:paraId="18B426FC"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5.721 X10</w:t>
            </w:r>
            <w:r w:rsidRPr="00600E83">
              <w:rPr>
                <w:rFonts w:ascii="Times New Roman" w:eastAsia="LibertinusSerif-Regular" w:hAnsi="Times New Roman" w:cs="Times New Roman"/>
                <w:sz w:val="24"/>
                <w:szCs w:val="24"/>
                <w:vertAlign w:val="superscript"/>
              </w:rPr>
              <w:t>-3</w:t>
            </w:r>
          </w:p>
        </w:tc>
        <w:tc>
          <w:tcPr>
            <w:tcW w:w="1701" w:type="dxa"/>
          </w:tcPr>
          <w:p w14:paraId="52484C37"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-1</w:t>
            </w:r>
          </w:p>
        </w:tc>
        <w:tc>
          <w:tcPr>
            <w:tcW w:w="2311" w:type="dxa"/>
          </w:tcPr>
          <w:p w14:paraId="3AA0BC70"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0.0191</w:t>
            </w:r>
          </w:p>
        </w:tc>
      </w:tr>
      <w:tr w:rsidR="006569C9" w:rsidRPr="00600E83" w14:paraId="060B8985"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5013582F"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2051" w:type="dxa"/>
          </w:tcPr>
          <w:p w14:paraId="112AD606"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 X10</w:t>
            </w:r>
            <w:r w:rsidRPr="00600E83">
              <w:rPr>
                <w:rFonts w:ascii="Times New Roman" w:eastAsia="LibertinusSerif-Regular" w:hAnsi="Times New Roman" w:cs="Times New Roman"/>
                <w:sz w:val="24"/>
                <w:szCs w:val="24"/>
                <w:vertAlign w:val="superscript"/>
              </w:rPr>
              <w:t>-4</w:t>
            </w:r>
          </w:p>
        </w:tc>
        <w:tc>
          <w:tcPr>
            <w:tcW w:w="1701" w:type="dxa"/>
          </w:tcPr>
          <w:p w14:paraId="33615A94"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c>
          <w:tcPr>
            <w:tcW w:w="2311" w:type="dxa"/>
          </w:tcPr>
          <w:p w14:paraId="38DCB4A9"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0.0200</w:t>
            </w:r>
          </w:p>
        </w:tc>
      </w:tr>
      <w:tr w:rsidR="006569C9" w:rsidRPr="00600E83" w14:paraId="465C8E30"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3A769CB"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2051" w:type="dxa"/>
          </w:tcPr>
          <w:p w14:paraId="4892463F" w14:textId="77777777" w:rsidR="006569C9" w:rsidRPr="00600E83" w:rsidRDefault="001245F8"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1.65</w:t>
            </w:r>
            <w:r w:rsidR="006569C9" w:rsidRPr="00600E83">
              <w:rPr>
                <w:rFonts w:ascii="Times New Roman" w:eastAsia="LibertinusSerif-Regular" w:hAnsi="Times New Roman" w:cs="Times New Roman"/>
                <w:sz w:val="24"/>
                <w:szCs w:val="24"/>
              </w:rPr>
              <w:t xml:space="preserve"> X10</w:t>
            </w:r>
            <w:r w:rsidR="006569C9" w:rsidRPr="00600E83">
              <w:rPr>
                <w:rFonts w:ascii="Times New Roman" w:eastAsia="LibertinusSerif-Regular" w:hAnsi="Times New Roman" w:cs="Times New Roman"/>
                <w:sz w:val="24"/>
                <w:szCs w:val="24"/>
                <w:vertAlign w:val="superscript"/>
              </w:rPr>
              <w:t>-4</w:t>
            </w:r>
          </w:p>
        </w:tc>
        <w:tc>
          <w:tcPr>
            <w:tcW w:w="1701" w:type="dxa"/>
          </w:tcPr>
          <w:p w14:paraId="2E9DACE3" w14:textId="30B02A28" w:rsidR="006569C9" w:rsidRPr="00600E83" w:rsidRDefault="00C64466"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 xml:space="preserve">1.0 </w:t>
            </w:r>
            <w:r w:rsidR="006569C9" w:rsidRPr="00600E83">
              <w:rPr>
                <w:rFonts w:ascii="Times New Roman" w:eastAsia="LibertinusSerif-Regular" w:hAnsi="Times New Roman" w:cs="Times New Roman"/>
                <w:sz w:val="24"/>
                <w:szCs w:val="24"/>
              </w:rPr>
              <w:t>X10</w:t>
            </w:r>
            <w:r>
              <w:rPr>
                <w:rFonts w:ascii="Times New Roman" w:eastAsia="LibertinusSerif-Regular" w:hAnsi="Times New Roman" w:cs="Times New Roman"/>
                <w:sz w:val="24"/>
                <w:szCs w:val="24"/>
                <w:vertAlign w:val="superscript"/>
              </w:rPr>
              <w:t>-3</w:t>
            </w:r>
          </w:p>
        </w:tc>
        <w:tc>
          <w:tcPr>
            <w:tcW w:w="2311" w:type="dxa"/>
          </w:tcPr>
          <w:p w14:paraId="71FE5DAC" w14:textId="7B848A0D" w:rsidR="006569C9" w:rsidRPr="00600E83" w:rsidRDefault="00065F5A"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0.1650</w:t>
            </w:r>
          </w:p>
        </w:tc>
      </w:tr>
      <w:tr w:rsidR="006569C9" w:rsidRPr="00600E83" w14:paraId="32D8B80E"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67C7A745"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2051" w:type="dxa"/>
          </w:tcPr>
          <w:p w14:paraId="7168E81E"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 X10</w:t>
            </w:r>
            <w:r w:rsidRPr="00600E83">
              <w:rPr>
                <w:rFonts w:ascii="Times New Roman" w:eastAsia="LibertinusSerif-Regular" w:hAnsi="Times New Roman" w:cs="Times New Roman"/>
                <w:sz w:val="24"/>
                <w:szCs w:val="24"/>
                <w:vertAlign w:val="superscript"/>
              </w:rPr>
              <w:t>-4</w:t>
            </w:r>
          </w:p>
        </w:tc>
        <w:tc>
          <w:tcPr>
            <w:tcW w:w="1701" w:type="dxa"/>
          </w:tcPr>
          <w:p w14:paraId="609DAFDF"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 X10</w:t>
            </w:r>
            <w:r w:rsidRPr="00600E83">
              <w:rPr>
                <w:rFonts w:ascii="Times New Roman" w:eastAsia="LibertinusSerif-Regular" w:hAnsi="Times New Roman" w:cs="Times New Roman"/>
                <w:sz w:val="24"/>
                <w:szCs w:val="24"/>
                <w:vertAlign w:val="superscript"/>
              </w:rPr>
              <w:t>-4</w:t>
            </w:r>
          </w:p>
        </w:tc>
        <w:tc>
          <w:tcPr>
            <w:tcW w:w="2311" w:type="dxa"/>
          </w:tcPr>
          <w:p w14:paraId="1C70EA49" w14:textId="77777777" w:rsidR="006569C9" w:rsidRPr="00600E83" w:rsidRDefault="0032325C"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0.2140</w:t>
            </w:r>
          </w:p>
        </w:tc>
      </w:tr>
      <w:tr w:rsidR="006569C9" w:rsidRPr="00600E83" w14:paraId="446BE288"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F19BA24"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2051" w:type="dxa"/>
          </w:tcPr>
          <w:p w14:paraId="5906D4BD"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2.14 X10</w:t>
            </w:r>
            <w:r w:rsidRPr="00600E83">
              <w:rPr>
                <w:rFonts w:ascii="Times New Roman" w:eastAsia="LibertinusSerif-Regular" w:hAnsi="Times New Roman" w:cs="Times New Roman"/>
                <w:sz w:val="24"/>
                <w:szCs w:val="24"/>
                <w:vertAlign w:val="superscript"/>
              </w:rPr>
              <w:t>-5</w:t>
            </w:r>
          </w:p>
        </w:tc>
        <w:tc>
          <w:tcPr>
            <w:tcW w:w="1701" w:type="dxa"/>
          </w:tcPr>
          <w:p w14:paraId="761C3272"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c>
          <w:tcPr>
            <w:tcW w:w="2311" w:type="dxa"/>
          </w:tcPr>
          <w:p w14:paraId="32C82CCF" w14:textId="77777777" w:rsidR="006569C9" w:rsidRPr="00600E83" w:rsidRDefault="0032325C"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0.0713</w:t>
            </w:r>
          </w:p>
        </w:tc>
      </w:tr>
      <w:tr w:rsidR="00850D19" w:rsidRPr="00600E83" w14:paraId="0B15A1CD"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79DE535E" w14:textId="77777777" w:rsidR="00850D19" w:rsidRPr="00600E83" w:rsidRDefault="00850D1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lastRenderedPageBreak/>
              <w:t>H</w:t>
            </w:r>
            <w:r w:rsidR="0069595B" w:rsidRPr="00600E83">
              <w:rPr>
                <w:rFonts w:ascii="Times New Roman" w:eastAsia="LibertinusSerif-Regular" w:hAnsi="Times New Roman" w:cs="Times New Roman"/>
                <w:b w:val="0"/>
                <w:sz w:val="24"/>
                <w:szCs w:val="24"/>
              </w:rPr>
              <w:t xml:space="preserve">azard </w:t>
            </w:r>
            <w:r w:rsidRPr="00600E83">
              <w:rPr>
                <w:rFonts w:ascii="Times New Roman" w:eastAsia="LibertinusSerif-Regular" w:hAnsi="Times New Roman" w:cs="Times New Roman"/>
                <w:b w:val="0"/>
                <w:sz w:val="24"/>
                <w:szCs w:val="24"/>
              </w:rPr>
              <w:t>I</w:t>
            </w:r>
            <w:r w:rsidR="0069595B" w:rsidRPr="00600E83">
              <w:rPr>
                <w:rFonts w:ascii="Times New Roman" w:eastAsia="LibertinusSerif-Regular" w:hAnsi="Times New Roman" w:cs="Times New Roman"/>
                <w:b w:val="0"/>
                <w:sz w:val="24"/>
                <w:szCs w:val="24"/>
              </w:rPr>
              <w:t>ndex (HI)</w:t>
            </w:r>
          </w:p>
        </w:tc>
        <w:tc>
          <w:tcPr>
            <w:tcW w:w="2051" w:type="dxa"/>
          </w:tcPr>
          <w:p w14:paraId="613146CA" w14:textId="77777777" w:rsidR="00850D19" w:rsidRPr="00600E83" w:rsidRDefault="00850D1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1701" w:type="dxa"/>
          </w:tcPr>
          <w:p w14:paraId="3A75A726" w14:textId="77777777" w:rsidR="00850D19" w:rsidRPr="00600E83" w:rsidRDefault="00850D1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2311" w:type="dxa"/>
          </w:tcPr>
          <w:p w14:paraId="4E9A28A2" w14:textId="0523D46E" w:rsidR="00850D19" w:rsidRPr="00600E83" w:rsidRDefault="00644F28" w:rsidP="006959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0.4894</w:t>
            </w:r>
          </w:p>
        </w:tc>
      </w:tr>
    </w:tbl>
    <w:p w14:paraId="57ECEBDF" w14:textId="77777777" w:rsidR="006569C9" w:rsidRPr="00600E83" w:rsidRDefault="006569C9" w:rsidP="00FF705B">
      <w:pPr>
        <w:autoSpaceDE w:val="0"/>
        <w:autoSpaceDN w:val="0"/>
        <w:adjustRightInd w:val="0"/>
        <w:spacing w:after="0" w:line="480" w:lineRule="auto"/>
        <w:jc w:val="both"/>
        <w:rPr>
          <w:rFonts w:ascii="Times New Roman" w:eastAsia="LibertinusSerif-Regular" w:hAnsi="Times New Roman" w:cs="Times New Roman"/>
          <w:sz w:val="24"/>
          <w:szCs w:val="24"/>
        </w:rPr>
      </w:pPr>
    </w:p>
    <w:p w14:paraId="37219EE8" w14:textId="6B84A958" w:rsidR="00DB1E71" w:rsidRPr="00600E83" w:rsidRDefault="00DB1E71" w:rsidP="00DB1E71">
      <w:pPr>
        <w:autoSpaceDE w:val="0"/>
        <w:autoSpaceDN w:val="0"/>
        <w:adjustRightInd w:val="0"/>
        <w:spacing w:after="0" w:line="240" w:lineRule="auto"/>
        <w:jc w:val="both"/>
        <w:rPr>
          <w:rFonts w:ascii="Times New Roman" w:hAnsi="Times New Roman" w:cs="Times New Roman"/>
          <w:bCs/>
          <w:sz w:val="24"/>
          <w:szCs w:val="24"/>
        </w:rPr>
      </w:pPr>
      <w:r w:rsidRPr="00600E83">
        <w:rPr>
          <w:rFonts w:ascii="Times New Roman" w:hAnsi="Times New Roman" w:cs="Times New Roman"/>
          <w:bCs/>
          <w:sz w:val="24"/>
          <w:szCs w:val="24"/>
        </w:rPr>
        <w:t xml:space="preserve">Table </w:t>
      </w:r>
      <w:r w:rsidR="009525FF">
        <w:rPr>
          <w:rFonts w:ascii="Times New Roman" w:hAnsi="Times New Roman" w:cs="Times New Roman"/>
          <w:bCs/>
          <w:sz w:val="24"/>
          <w:szCs w:val="24"/>
        </w:rPr>
        <w:t>5</w:t>
      </w:r>
      <w:r w:rsidRPr="00600E83">
        <w:rPr>
          <w:rFonts w:ascii="Times New Roman" w:hAnsi="Times New Roman" w:cs="Times New Roman"/>
          <w:bCs/>
          <w:sz w:val="24"/>
          <w:szCs w:val="24"/>
        </w:rPr>
        <w:t xml:space="preserve">: </w:t>
      </w:r>
      <w:r w:rsidRPr="00600E83">
        <w:rPr>
          <w:rFonts w:ascii="Times New Roman" w:eastAsia="LibertinusSerif-Regular" w:hAnsi="Times New Roman" w:cs="Times New Roman"/>
          <w:sz w:val="24"/>
          <w:szCs w:val="24"/>
        </w:rPr>
        <w:t>Target Hazard Quotient (THQ) and Hazard Index (HI) for heavy metals for Children</w:t>
      </w:r>
    </w:p>
    <w:tbl>
      <w:tblPr>
        <w:tblStyle w:val="LightShading"/>
        <w:tblW w:w="0" w:type="auto"/>
        <w:tblLook w:val="04A0" w:firstRow="1" w:lastRow="0" w:firstColumn="1" w:lastColumn="0" w:noHBand="0" w:noVBand="1"/>
      </w:tblPr>
      <w:tblGrid>
        <w:gridCol w:w="2310"/>
        <w:gridCol w:w="2051"/>
        <w:gridCol w:w="1701"/>
        <w:gridCol w:w="2311"/>
      </w:tblGrid>
      <w:tr w:rsidR="008F479B" w:rsidRPr="00600E83" w14:paraId="29A37E00" w14:textId="77777777" w:rsidTr="004D1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FD9FC68"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051" w:type="dxa"/>
          </w:tcPr>
          <w:p w14:paraId="08B4D842"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(mg/kg/day)</w:t>
            </w:r>
          </w:p>
        </w:tc>
        <w:tc>
          <w:tcPr>
            <w:tcW w:w="1701" w:type="dxa"/>
          </w:tcPr>
          <w:p w14:paraId="1CD9117A"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(mg/kg/day)</w:t>
            </w:r>
          </w:p>
        </w:tc>
        <w:tc>
          <w:tcPr>
            <w:tcW w:w="2311" w:type="dxa"/>
          </w:tcPr>
          <w:p w14:paraId="4E804352"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THQ= EDI/</w:t>
            </w:r>
            <w:proofErr w:type="spellStart"/>
            <w:r w:rsidRPr="00600E83">
              <w:rPr>
                <w:rFonts w:ascii="Times New Roman" w:eastAsia="LibertinusSerif-Regular" w:hAnsi="Times New Roman" w:cs="Times New Roman"/>
                <w:b w:val="0"/>
                <w:sz w:val="24"/>
                <w:szCs w:val="24"/>
              </w:rPr>
              <w:t>RfD</w:t>
            </w:r>
            <w:proofErr w:type="spellEnd"/>
          </w:p>
        </w:tc>
      </w:tr>
      <w:tr w:rsidR="008F479B" w:rsidRPr="00600E83" w14:paraId="6E526203"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0259E58"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2051" w:type="dxa"/>
          </w:tcPr>
          <w:p w14:paraId="3E384F5D"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 X10</w:t>
            </w:r>
            <w:r w:rsidRPr="00600E83">
              <w:rPr>
                <w:rFonts w:ascii="Times New Roman" w:eastAsia="LibertinusSerif-Regular" w:hAnsi="Times New Roman" w:cs="Times New Roman"/>
                <w:sz w:val="24"/>
                <w:szCs w:val="24"/>
                <w:vertAlign w:val="superscript"/>
              </w:rPr>
              <w:t>-3</w:t>
            </w:r>
          </w:p>
        </w:tc>
        <w:tc>
          <w:tcPr>
            <w:tcW w:w="1701" w:type="dxa"/>
          </w:tcPr>
          <w:p w14:paraId="114981E0"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-1</w:t>
            </w:r>
          </w:p>
        </w:tc>
        <w:tc>
          <w:tcPr>
            <w:tcW w:w="2311" w:type="dxa"/>
          </w:tcPr>
          <w:p w14:paraId="4C081D21" w14:textId="77777777" w:rsidR="008F479B" w:rsidRPr="00600E83" w:rsidRDefault="00C9675B"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0.0267</w:t>
            </w:r>
          </w:p>
        </w:tc>
      </w:tr>
      <w:tr w:rsidR="008F479B" w:rsidRPr="00600E83" w14:paraId="3EE48D07"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698703ED"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2051" w:type="dxa"/>
          </w:tcPr>
          <w:p w14:paraId="7BAE783B"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 X10</w:t>
            </w:r>
            <w:r w:rsidRPr="00600E83">
              <w:rPr>
                <w:rFonts w:ascii="Times New Roman" w:eastAsia="LibertinusSerif-Regular" w:hAnsi="Times New Roman" w:cs="Times New Roman"/>
                <w:sz w:val="24"/>
                <w:szCs w:val="24"/>
                <w:vertAlign w:val="superscript"/>
              </w:rPr>
              <w:t>-3</w:t>
            </w:r>
          </w:p>
        </w:tc>
        <w:tc>
          <w:tcPr>
            <w:tcW w:w="1701" w:type="dxa"/>
          </w:tcPr>
          <w:p w14:paraId="6F47672B"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c>
          <w:tcPr>
            <w:tcW w:w="2311" w:type="dxa"/>
          </w:tcPr>
          <w:p w14:paraId="214DC0A7" w14:textId="77777777" w:rsidR="008F479B" w:rsidRPr="00600E83" w:rsidRDefault="00C9675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0.0280</w:t>
            </w:r>
          </w:p>
        </w:tc>
      </w:tr>
      <w:tr w:rsidR="008F479B" w:rsidRPr="00600E83" w14:paraId="0F6411AF"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1030E85"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2051" w:type="dxa"/>
          </w:tcPr>
          <w:p w14:paraId="4D51015F" w14:textId="77777777" w:rsidR="008F479B" w:rsidRPr="00600E83" w:rsidRDefault="001245F8"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3.50</w:t>
            </w:r>
            <w:r w:rsidR="00F70737" w:rsidRPr="00600E83">
              <w:rPr>
                <w:rFonts w:ascii="Times New Roman" w:eastAsia="LibertinusSerif-Regular" w:hAnsi="Times New Roman" w:cs="Times New Roman"/>
                <w:sz w:val="24"/>
                <w:szCs w:val="24"/>
              </w:rPr>
              <w:t xml:space="preserve"> X10</w:t>
            </w:r>
            <w:r w:rsidR="00F70737" w:rsidRPr="00600E83">
              <w:rPr>
                <w:rFonts w:ascii="Times New Roman" w:eastAsia="LibertinusSerif-Regular" w:hAnsi="Times New Roman" w:cs="Times New Roman"/>
                <w:sz w:val="24"/>
                <w:szCs w:val="24"/>
                <w:vertAlign w:val="superscript"/>
              </w:rPr>
              <w:t>-4</w:t>
            </w:r>
          </w:p>
        </w:tc>
        <w:tc>
          <w:tcPr>
            <w:tcW w:w="1701" w:type="dxa"/>
          </w:tcPr>
          <w:p w14:paraId="37AE796C" w14:textId="32F69D68" w:rsidR="008F479B" w:rsidRPr="00600E83" w:rsidRDefault="00644F28"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 xml:space="preserve">1.0 </w:t>
            </w:r>
            <w:r w:rsidRPr="00600E83">
              <w:rPr>
                <w:rFonts w:ascii="Times New Roman" w:eastAsia="LibertinusSerif-Regular" w:hAnsi="Times New Roman" w:cs="Times New Roman"/>
                <w:sz w:val="24"/>
                <w:szCs w:val="24"/>
              </w:rPr>
              <w:t>X10</w:t>
            </w:r>
            <w:r>
              <w:rPr>
                <w:rFonts w:ascii="Times New Roman" w:eastAsia="LibertinusSerif-Regular" w:hAnsi="Times New Roman" w:cs="Times New Roman"/>
                <w:sz w:val="24"/>
                <w:szCs w:val="24"/>
                <w:vertAlign w:val="superscript"/>
              </w:rPr>
              <w:t>-3</w:t>
            </w:r>
          </w:p>
        </w:tc>
        <w:tc>
          <w:tcPr>
            <w:tcW w:w="2311" w:type="dxa"/>
          </w:tcPr>
          <w:p w14:paraId="3B74EAE4" w14:textId="438028C3" w:rsidR="008F479B" w:rsidRPr="00600E83" w:rsidRDefault="00644F28"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0.350</w:t>
            </w:r>
          </w:p>
        </w:tc>
      </w:tr>
      <w:tr w:rsidR="008F479B" w:rsidRPr="00600E83" w14:paraId="17CE2090"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0D072CC9"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2051" w:type="dxa"/>
          </w:tcPr>
          <w:p w14:paraId="674DD610"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-4</w:t>
            </w:r>
          </w:p>
        </w:tc>
        <w:tc>
          <w:tcPr>
            <w:tcW w:w="1701" w:type="dxa"/>
          </w:tcPr>
          <w:p w14:paraId="301A02BF"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 X10</w:t>
            </w:r>
            <w:r w:rsidRPr="00600E83">
              <w:rPr>
                <w:rFonts w:ascii="Times New Roman" w:eastAsia="LibertinusSerif-Regular" w:hAnsi="Times New Roman" w:cs="Times New Roman"/>
                <w:sz w:val="24"/>
                <w:szCs w:val="24"/>
                <w:vertAlign w:val="superscript"/>
              </w:rPr>
              <w:t>-4</w:t>
            </w:r>
          </w:p>
        </w:tc>
        <w:tc>
          <w:tcPr>
            <w:tcW w:w="2311" w:type="dxa"/>
          </w:tcPr>
          <w:p w14:paraId="70E8388B" w14:textId="77777777" w:rsidR="008F479B" w:rsidRPr="00600E83" w:rsidRDefault="00C9675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0.3000</w:t>
            </w:r>
          </w:p>
        </w:tc>
      </w:tr>
      <w:tr w:rsidR="008F479B" w:rsidRPr="00600E83" w14:paraId="5AA34B65"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9C3F5B9"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2051" w:type="dxa"/>
          </w:tcPr>
          <w:p w14:paraId="4DB6AA00"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1701" w:type="dxa"/>
          </w:tcPr>
          <w:p w14:paraId="73A49C23"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c>
          <w:tcPr>
            <w:tcW w:w="2311" w:type="dxa"/>
          </w:tcPr>
          <w:p w14:paraId="0D06D843" w14:textId="77777777" w:rsidR="008F479B" w:rsidRPr="00600E83" w:rsidRDefault="00C9675B"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0.1000</w:t>
            </w:r>
          </w:p>
        </w:tc>
      </w:tr>
      <w:tr w:rsidR="008F479B" w:rsidRPr="00600E83" w14:paraId="3A1388A0"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45903F5A"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Hazard Index (HI)</w:t>
            </w:r>
          </w:p>
        </w:tc>
        <w:tc>
          <w:tcPr>
            <w:tcW w:w="2051" w:type="dxa"/>
          </w:tcPr>
          <w:p w14:paraId="49DB3B7B" w14:textId="77777777" w:rsidR="008F479B" w:rsidRPr="00600E83" w:rsidRDefault="008F479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1701" w:type="dxa"/>
          </w:tcPr>
          <w:p w14:paraId="7A85CB13" w14:textId="77777777" w:rsidR="008F479B" w:rsidRPr="00600E83" w:rsidRDefault="008F479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2311" w:type="dxa"/>
          </w:tcPr>
          <w:p w14:paraId="79CC9F98" w14:textId="71D1CEF0" w:rsidR="008F479B" w:rsidRPr="00600E83" w:rsidRDefault="008547F4"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0.8047</w:t>
            </w:r>
          </w:p>
        </w:tc>
      </w:tr>
    </w:tbl>
    <w:p w14:paraId="1A6D2616" w14:textId="77777777" w:rsidR="008F479B" w:rsidRDefault="008F479B" w:rsidP="008F479B">
      <w:pPr>
        <w:autoSpaceDE w:val="0"/>
        <w:autoSpaceDN w:val="0"/>
        <w:adjustRightInd w:val="0"/>
        <w:spacing w:after="0" w:line="480" w:lineRule="auto"/>
        <w:jc w:val="both"/>
        <w:rPr>
          <w:rFonts w:ascii="Times New Roman" w:eastAsia="LibertinusSerif-Regular" w:hAnsi="Times New Roman" w:cs="Times New Roman"/>
          <w:sz w:val="24"/>
          <w:szCs w:val="24"/>
        </w:rPr>
      </w:pPr>
    </w:p>
    <w:p w14:paraId="685AEA2A" w14:textId="77777777" w:rsidR="00110F29" w:rsidRDefault="00110F29" w:rsidP="008F479B">
      <w:pPr>
        <w:autoSpaceDE w:val="0"/>
        <w:autoSpaceDN w:val="0"/>
        <w:adjustRightInd w:val="0"/>
        <w:spacing w:after="0" w:line="480" w:lineRule="auto"/>
        <w:jc w:val="both"/>
        <w:rPr>
          <w:rFonts w:ascii="Times New Roman" w:eastAsia="LibertinusSerif-Regular" w:hAnsi="Times New Roman" w:cs="Times New Roman"/>
          <w:sz w:val="24"/>
          <w:szCs w:val="24"/>
        </w:rPr>
      </w:pPr>
      <w:r>
        <w:rPr>
          <w:rFonts w:ascii="Times New Roman" w:eastAsia="LibertinusSerif-Regular" w:hAnsi="Times New Roman" w:cs="Times New Roman"/>
          <w:noProof/>
          <w:sz w:val="24"/>
          <w:szCs w:val="24"/>
          <w:lang w:eastAsia="en-GB"/>
        </w:rPr>
        <w:drawing>
          <wp:inline distT="0" distB="0" distL="0" distR="0" wp14:anchorId="40F6D35B" wp14:editId="58172266">
            <wp:extent cx="5731510" cy="4298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Comparis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2D634BD" w14:textId="1BCF115D" w:rsidR="00110F29" w:rsidRPr="00DB5FCD" w:rsidRDefault="00110F29" w:rsidP="00110F29">
      <w:pPr>
        <w:spacing w:before="100" w:beforeAutospacing="1" w:after="100" w:afterAutospacing="1" w:line="240" w:lineRule="auto"/>
        <w:jc w:val="both"/>
        <w:rPr>
          <w:rFonts w:ascii="Times New Roman" w:eastAsia="Times New Roman" w:hAnsi="Times New Roman" w:cs="Times New Roman"/>
          <w:strike/>
          <w:sz w:val="24"/>
          <w:szCs w:val="24"/>
          <w:lang w:eastAsia="en-GB"/>
        </w:rPr>
      </w:pPr>
      <w:r>
        <w:rPr>
          <w:rFonts w:ascii="Times New Roman" w:eastAsia="Times New Roman" w:hAnsi="Times New Roman" w:cs="Times New Roman"/>
          <w:b/>
          <w:sz w:val="24"/>
          <w:szCs w:val="24"/>
          <w:lang w:eastAsia="en-GB"/>
        </w:rPr>
        <w:t xml:space="preserve">Figure 6: </w:t>
      </w:r>
      <w:r w:rsidRPr="00110F29">
        <w:rPr>
          <w:rFonts w:ascii="Times New Roman" w:eastAsia="Times New Roman" w:hAnsi="Times New Roman" w:cs="Times New Roman"/>
          <w:sz w:val="24"/>
          <w:szCs w:val="24"/>
          <w:lang w:eastAsia="en-GB"/>
        </w:rPr>
        <w:t>Comparison of Hazard Index (HI) values for adults and children exposed to heavy metals through c</w:t>
      </w:r>
      <w:r w:rsidR="0061445B">
        <w:rPr>
          <w:rFonts w:ascii="Times New Roman" w:eastAsia="Times New Roman" w:hAnsi="Times New Roman" w:cs="Times New Roman"/>
          <w:sz w:val="24"/>
          <w:szCs w:val="24"/>
          <w:lang w:eastAsia="en-GB"/>
        </w:rPr>
        <w:t>onsumption of smoked-dried fish</w:t>
      </w:r>
    </w:p>
    <w:p w14:paraId="6EB1E437" w14:textId="77777777" w:rsidR="00110F29" w:rsidRDefault="00110F29" w:rsidP="008F479B">
      <w:pPr>
        <w:autoSpaceDE w:val="0"/>
        <w:autoSpaceDN w:val="0"/>
        <w:adjustRightInd w:val="0"/>
        <w:spacing w:after="0" w:line="480" w:lineRule="auto"/>
        <w:jc w:val="both"/>
        <w:rPr>
          <w:rFonts w:ascii="Times New Roman" w:eastAsia="LibertinusSerif-Regular" w:hAnsi="Times New Roman" w:cs="Times New Roman"/>
          <w:sz w:val="24"/>
          <w:szCs w:val="24"/>
        </w:rPr>
      </w:pPr>
    </w:p>
    <w:p w14:paraId="398CFC9B" w14:textId="50282AE7" w:rsidR="00110F29" w:rsidRDefault="00110F29" w:rsidP="002C2CA9">
      <w:pPr>
        <w:autoSpaceDE w:val="0"/>
        <w:autoSpaceDN w:val="0"/>
        <w:adjustRightInd w:val="0"/>
        <w:spacing w:after="0" w:line="240" w:lineRule="auto"/>
        <w:jc w:val="both"/>
        <w:rPr>
          <w:rFonts w:ascii="Times New Roman" w:hAnsi="Times New Roman" w:cs="Times New Roman"/>
          <w:sz w:val="24"/>
          <w:szCs w:val="24"/>
        </w:rPr>
      </w:pPr>
      <w:r>
        <w:rPr>
          <w:rFonts w:ascii="Times New Roman" w:eastAsia="LibertinusSerif-Regular" w:hAnsi="Times New Roman" w:cs="Times New Roman"/>
          <w:noProof/>
          <w:sz w:val="24"/>
          <w:szCs w:val="24"/>
          <w:lang w:eastAsia="en-GB"/>
        </w:rPr>
        <w:lastRenderedPageBreak/>
        <w:drawing>
          <wp:inline distT="0" distB="0" distL="0" distR="0" wp14:anchorId="0A8F82D1" wp14:editId="3E9A44A6">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Q_Adult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imes New Roman" w:hAnsi="Times New Roman" w:cs="Times New Roman"/>
          <w:b/>
          <w:sz w:val="24"/>
          <w:szCs w:val="24"/>
        </w:rPr>
        <w:t xml:space="preserve">Figure 7: </w:t>
      </w:r>
      <w:r w:rsidRPr="00110F29">
        <w:rPr>
          <w:rFonts w:ascii="Times New Roman" w:hAnsi="Times New Roman" w:cs="Times New Roman"/>
          <w:sz w:val="24"/>
          <w:szCs w:val="24"/>
        </w:rPr>
        <w:t xml:space="preserve">Target Hazard Quotient (THQ) values for individual heavy metals (Zn, Cu, Cd, Pb, and </w:t>
      </w:r>
      <w:proofErr w:type="gramStart"/>
      <w:r w:rsidRPr="00110F29">
        <w:rPr>
          <w:rFonts w:ascii="Times New Roman" w:hAnsi="Times New Roman" w:cs="Times New Roman"/>
          <w:sz w:val="24"/>
          <w:szCs w:val="24"/>
        </w:rPr>
        <w:t>As</w:t>
      </w:r>
      <w:proofErr w:type="gramEnd"/>
      <w:r w:rsidRPr="00110F29">
        <w:rPr>
          <w:rFonts w:ascii="Times New Roman" w:hAnsi="Times New Roman" w:cs="Times New Roman"/>
          <w:sz w:val="24"/>
          <w:szCs w:val="24"/>
        </w:rPr>
        <w:t>) in adults consuming smoked-dried fish (THQ = 1).</w:t>
      </w:r>
    </w:p>
    <w:p w14:paraId="70C3A2FE" w14:textId="77777777" w:rsidR="00110F29" w:rsidRDefault="00110F29" w:rsidP="00110F29">
      <w:pPr>
        <w:autoSpaceDE w:val="0"/>
        <w:autoSpaceDN w:val="0"/>
        <w:adjustRightInd w:val="0"/>
        <w:spacing w:after="0" w:line="240" w:lineRule="auto"/>
        <w:jc w:val="both"/>
        <w:rPr>
          <w:rFonts w:ascii="Times New Roman" w:hAnsi="Times New Roman" w:cs="Times New Roman"/>
          <w:sz w:val="24"/>
          <w:szCs w:val="24"/>
        </w:rPr>
      </w:pPr>
    </w:p>
    <w:p w14:paraId="1C50DE91" w14:textId="77777777" w:rsid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r>
        <w:rPr>
          <w:rFonts w:ascii="Times New Roman" w:eastAsia="LibertinusSerif-Regular" w:hAnsi="Times New Roman" w:cs="Times New Roman"/>
          <w:noProof/>
          <w:sz w:val="24"/>
          <w:szCs w:val="24"/>
          <w:lang w:eastAsia="en-GB"/>
        </w:rPr>
        <w:drawing>
          <wp:inline distT="0" distB="0" distL="0" distR="0" wp14:anchorId="3F485B0A" wp14:editId="55D95417">
            <wp:extent cx="5731510" cy="429895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Q_Childre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577108E" w14:textId="65DFC7D7" w:rsidR="00110F29" w:rsidRPr="00110F29" w:rsidRDefault="00110F29" w:rsidP="00110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Figure 8: </w:t>
      </w:r>
      <w:r w:rsidRPr="00110F29">
        <w:rPr>
          <w:rFonts w:ascii="Times New Roman" w:hAnsi="Times New Roman" w:cs="Times New Roman"/>
          <w:sz w:val="24"/>
          <w:szCs w:val="24"/>
        </w:rPr>
        <w:t xml:space="preserve">Target Hazard Quotient (THQ) values for individual heavy metals (Zn, Cu, Cd, Pb, and </w:t>
      </w:r>
      <w:proofErr w:type="gramStart"/>
      <w:r w:rsidRPr="00110F29">
        <w:rPr>
          <w:rFonts w:ascii="Times New Roman" w:hAnsi="Times New Roman" w:cs="Times New Roman"/>
          <w:sz w:val="24"/>
          <w:szCs w:val="24"/>
        </w:rPr>
        <w:t>As</w:t>
      </w:r>
      <w:proofErr w:type="gramEnd"/>
      <w:r w:rsidRPr="00110F29">
        <w:rPr>
          <w:rFonts w:ascii="Times New Roman" w:hAnsi="Times New Roman" w:cs="Times New Roman"/>
          <w:sz w:val="24"/>
          <w:szCs w:val="24"/>
        </w:rPr>
        <w:t>) in children consuming smoked-dried fish (THQ = 1).</w:t>
      </w:r>
    </w:p>
    <w:p w14:paraId="23C2F40D" w14:textId="77777777" w:rsidR="00110F29" w:rsidRP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p>
    <w:p w14:paraId="09194FBF" w14:textId="77777777" w:rsidR="0076618A" w:rsidRPr="00600E83" w:rsidRDefault="00AB215F" w:rsidP="008207AB">
      <w:pPr>
        <w:autoSpaceDE w:val="0"/>
        <w:autoSpaceDN w:val="0"/>
        <w:adjustRightInd w:val="0"/>
        <w:spacing w:after="0" w:line="240" w:lineRule="auto"/>
        <w:jc w:val="both"/>
        <w:rPr>
          <w:rFonts w:ascii="Times New Roman" w:hAnsi="Times New Roman" w:cs="Times New Roman"/>
          <w:b/>
          <w:bCs/>
          <w:i/>
          <w:sz w:val="24"/>
          <w:szCs w:val="24"/>
        </w:rPr>
      </w:pPr>
      <w:r w:rsidRPr="00600E83">
        <w:rPr>
          <w:rFonts w:ascii="Times New Roman" w:hAnsi="Times New Roman" w:cs="Times New Roman"/>
          <w:b/>
          <w:bCs/>
          <w:sz w:val="24"/>
          <w:szCs w:val="24"/>
        </w:rPr>
        <w:t xml:space="preserve">4.4. </w:t>
      </w:r>
      <w:r w:rsidR="0076618A" w:rsidRPr="00600E83">
        <w:rPr>
          <w:rFonts w:ascii="Times New Roman" w:hAnsi="Times New Roman" w:cs="Times New Roman"/>
          <w:b/>
          <w:bCs/>
          <w:i/>
          <w:sz w:val="24"/>
          <w:szCs w:val="24"/>
        </w:rPr>
        <w:t>Lifetime Cancer Risk (LCR)</w:t>
      </w:r>
    </w:p>
    <w:p w14:paraId="2B150EA1" w14:textId="45C1F77A" w:rsidR="00AB215F" w:rsidRPr="00600E83" w:rsidRDefault="00AB215F" w:rsidP="008207AB">
      <w:pPr>
        <w:autoSpaceDE w:val="0"/>
        <w:autoSpaceDN w:val="0"/>
        <w:adjustRightInd w:val="0"/>
        <w:spacing w:after="0" w:line="24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Table </w:t>
      </w:r>
      <w:r w:rsidR="009525FF">
        <w:rPr>
          <w:rFonts w:ascii="Times New Roman" w:eastAsia="LibertinusSerif-Regular" w:hAnsi="Times New Roman" w:cs="Times New Roman"/>
          <w:sz w:val="24"/>
          <w:szCs w:val="24"/>
        </w:rPr>
        <w:t>6</w:t>
      </w:r>
      <w:r w:rsidRPr="00600E83">
        <w:rPr>
          <w:rFonts w:ascii="Times New Roman" w:eastAsia="LibertinusSerif-Regular" w:hAnsi="Times New Roman" w:cs="Times New Roman"/>
          <w:sz w:val="24"/>
          <w:szCs w:val="24"/>
        </w:rPr>
        <w:t>: Lifetime Cancer Risk (LCR) from heavy metal exposure</w:t>
      </w:r>
    </w:p>
    <w:tbl>
      <w:tblPr>
        <w:tblStyle w:val="LightShading"/>
        <w:tblW w:w="9356" w:type="dxa"/>
        <w:tblInd w:w="-459" w:type="dxa"/>
        <w:tblLook w:val="04A0" w:firstRow="1" w:lastRow="0" w:firstColumn="1" w:lastColumn="0" w:noHBand="0" w:noVBand="1"/>
      </w:tblPr>
      <w:tblGrid>
        <w:gridCol w:w="1701"/>
        <w:gridCol w:w="1418"/>
        <w:gridCol w:w="1701"/>
        <w:gridCol w:w="1984"/>
        <w:gridCol w:w="2552"/>
      </w:tblGrid>
      <w:tr w:rsidR="00AB6483" w:rsidRPr="00600E83" w14:paraId="0122E38B" w14:textId="77777777" w:rsidTr="003320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1DF11D3"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1418" w:type="dxa"/>
          </w:tcPr>
          <w:p w14:paraId="45BBB59A" w14:textId="77777777" w:rsidR="00AB6483" w:rsidRPr="00600E83" w:rsidRDefault="00AB6483"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b w:val="0"/>
                <w:sz w:val="24"/>
                <w:szCs w:val="24"/>
              </w:rPr>
              <w:t>EDI (mg/kg/day)</w:t>
            </w:r>
          </w:p>
        </w:tc>
        <w:tc>
          <w:tcPr>
            <w:tcW w:w="1701" w:type="dxa"/>
          </w:tcPr>
          <w:p w14:paraId="4D32A8A4" w14:textId="77777777" w:rsidR="00AB6483" w:rsidRPr="00600E83" w:rsidRDefault="00AB6483" w:rsidP="00AB64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0E83">
              <w:rPr>
                <w:rFonts w:ascii="Times New Roman" w:hAnsi="Times New Roman" w:cs="Times New Roman"/>
                <w:b w:val="0"/>
                <w:bCs w:val="0"/>
                <w:sz w:val="24"/>
                <w:szCs w:val="24"/>
              </w:rPr>
              <w:t>Cancer Slope Factor (CSF,</w:t>
            </w:r>
          </w:p>
          <w:p w14:paraId="2B7C714C" w14:textId="77777777" w:rsidR="00AB6483" w:rsidRPr="00600E83" w:rsidRDefault="00AB6483"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hAnsi="Times New Roman" w:cs="Times New Roman"/>
                <w:b w:val="0"/>
                <w:bCs w:val="0"/>
                <w:sz w:val="24"/>
                <w:szCs w:val="24"/>
              </w:rPr>
              <w:t>(mg/kg/day)⁻¹)</w:t>
            </w:r>
          </w:p>
        </w:tc>
        <w:tc>
          <w:tcPr>
            <w:tcW w:w="1984" w:type="dxa"/>
          </w:tcPr>
          <w:p w14:paraId="601342A7" w14:textId="77777777" w:rsidR="00AB6483" w:rsidRPr="00600E83" w:rsidRDefault="00C21B32"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hAnsi="Times New Roman" w:cs="Times New Roman"/>
                <w:b w:val="0"/>
                <w:bCs w:val="0"/>
                <w:sz w:val="24"/>
                <w:szCs w:val="24"/>
              </w:rPr>
              <w:t>LCR = EDI × CSF</w:t>
            </w:r>
          </w:p>
        </w:tc>
        <w:tc>
          <w:tcPr>
            <w:tcW w:w="2552" w:type="dxa"/>
          </w:tcPr>
          <w:p w14:paraId="5DF0FCE6" w14:textId="77777777" w:rsidR="00AB6483" w:rsidRPr="00600E83" w:rsidRDefault="00EA2106"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Risk Range (USEPA)</w:t>
            </w:r>
          </w:p>
        </w:tc>
      </w:tr>
      <w:tr w:rsidR="00AB6483" w:rsidRPr="00600E83" w14:paraId="7BA08FD7" w14:textId="77777777" w:rsidTr="0033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27FF2C2"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1418" w:type="dxa"/>
          </w:tcPr>
          <w:p w14:paraId="7190DD35"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1701" w:type="dxa"/>
          </w:tcPr>
          <w:p w14:paraId="5D8332B3"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w:t>
            </w:r>
          </w:p>
        </w:tc>
        <w:tc>
          <w:tcPr>
            <w:tcW w:w="1984" w:type="dxa"/>
          </w:tcPr>
          <w:p w14:paraId="0D3CE99A" w14:textId="77777777" w:rsidR="00AB6483" w:rsidRPr="00600E83" w:rsidRDefault="00C21B32"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4.5 X10</w:t>
            </w:r>
            <w:r w:rsidRPr="00600E83">
              <w:rPr>
                <w:rFonts w:ascii="Times New Roman" w:eastAsia="LibertinusSerif-Regular" w:hAnsi="Times New Roman" w:cs="Times New Roman"/>
                <w:sz w:val="24"/>
                <w:szCs w:val="24"/>
                <w:vertAlign w:val="superscript"/>
              </w:rPr>
              <w:t>-5</w:t>
            </w:r>
          </w:p>
        </w:tc>
        <w:tc>
          <w:tcPr>
            <w:tcW w:w="2552" w:type="dxa"/>
          </w:tcPr>
          <w:p w14:paraId="74DA73FC" w14:textId="77777777" w:rsidR="00AB6483" w:rsidRPr="00600E83" w:rsidRDefault="00EA2106"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Acceptable (10⁻⁶ – 10⁻⁴)</w:t>
            </w:r>
          </w:p>
        </w:tc>
      </w:tr>
      <w:tr w:rsidR="00AB6483" w:rsidRPr="00600E83" w14:paraId="22138D8F" w14:textId="77777777" w:rsidTr="003320EC">
        <w:tc>
          <w:tcPr>
            <w:cnfStyle w:val="001000000000" w:firstRow="0" w:lastRow="0" w:firstColumn="1" w:lastColumn="0" w:oddVBand="0" w:evenVBand="0" w:oddHBand="0" w:evenHBand="0" w:firstRowFirstColumn="0" w:firstRowLastColumn="0" w:lastRowFirstColumn="0" w:lastRowLastColumn="0"/>
            <w:tcW w:w="1701" w:type="dxa"/>
          </w:tcPr>
          <w:p w14:paraId="59BB30B4"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1418" w:type="dxa"/>
          </w:tcPr>
          <w:p w14:paraId="7D483E22" w14:textId="77777777" w:rsidR="00AB6483" w:rsidRPr="00600E83" w:rsidRDefault="00AB6483"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 X10</w:t>
            </w:r>
            <w:r w:rsidRPr="00600E83">
              <w:rPr>
                <w:rFonts w:ascii="Times New Roman" w:eastAsia="LibertinusSerif-Regular" w:hAnsi="Times New Roman" w:cs="Times New Roman"/>
                <w:sz w:val="24"/>
                <w:szCs w:val="24"/>
                <w:vertAlign w:val="superscript"/>
              </w:rPr>
              <w:t>-4</w:t>
            </w:r>
          </w:p>
        </w:tc>
        <w:tc>
          <w:tcPr>
            <w:tcW w:w="1701" w:type="dxa"/>
          </w:tcPr>
          <w:p w14:paraId="578488E6" w14:textId="77777777" w:rsidR="00AB6483" w:rsidRPr="00600E83" w:rsidRDefault="00AB6483"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6.1</w:t>
            </w:r>
          </w:p>
        </w:tc>
        <w:tc>
          <w:tcPr>
            <w:tcW w:w="1984" w:type="dxa"/>
          </w:tcPr>
          <w:p w14:paraId="1284C4C9" w14:textId="77777777" w:rsidR="00AB6483" w:rsidRPr="00600E83" w:rsidRDefault="00C21B32"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2.806 X10</w:t>
            </w:r>
            <w:r w:rsidRPr="00600E83">
              <w:rPr>
                <w:rFonts w:ascii="Times New Roman" w:eastAsia="LibertinusSerif-Regular" w:hAnsi="Times New Roman" w:cs="Times New Roman"/>
                <w:sz w:val="24"/>
                <w:szCs w:val="24"/>
                <w:vertAlign w:val="superscript"/>
              </w:rPr>
              <w:t>-3</w:t>
            </w:r>
          </w:p>
        </w:tc>
        <w:tc>
          <w:tcPr>
            <w:tcW w:w="2552" w:type="dxa"/>
          </w:tcPr>
          <w:p w14:paraId="0A7E15B6" w14:textId="77777777" w:rsidR="00AB6483" w:rsidRPr="00600E83" w:rsidRDefault="00EA2106"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Above safe limit</w:t>
            </w:r>
          </w:p>
        </w:tc>
      </w:tr>
      <w:tr w:rsidR="00AB6483" w:rsidRPr="00600E83" w14:paraId="12C2DA00" w14:textId="77777777" w:rsidTr="0033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32A6164"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1418" w:type="dxa"/>
          </w:tcPr>
          <w:p w14:paraId="6BE72D3D"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-4</w:t>
            </w:r>
          </w:p>
        </w:tc>
        <w:tc>
          <w:tcPr>
            <w:tcW w:w="1701" w:type="dxa"/>
          </w:tcPr>
          <w:p w14:paraId="1EBF7D4A"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0.0085</w:t>
            </w:r>
          </w:p>
        </w:tc>
        <w:tc>
          <w:tcPr>
            <w:tcW w:w="1984" w:type="dxa"/>
          </w:tcPr>
          <w:p w14:paraId="33364ABD" w14:textId="77777777" w:rsidR="00AB6483" w:rsidRPr="00600E83" w:rsidRDefault="00C21B32"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1.275 X10</w:t>
            </w:r>
            <w:r w:rsidRPr="00600E83">
              <w:rPr>
                <w:rFonts w:ascii="Times New Roman" w:eastAsia="LibertinusSerif-Regular" w:hAnsi="Times New Roman" w:cs="Times New Roman"/>
                <w:sz w:val="24"/>
                <w:szCs w:val="24"/>
                <w:vertAlign w:val="superscript"/>
              </w:rPr>
              <w:t>-6</w:t>
            </w:r>
          </w:p>
        </w:tc>
        <w:tc>
          <w:tcPr>
            <w:tcW w:w="2552" w:type="dxa"/>
          </w:tcPr>
          <w:p w14:paraId="44DDF9BE" w14:textId="77777777" w:rsidR="00AB6483" w:rsidRPr="00600E83" w:rsidRDefault="00EA2106"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Acceptable (10⁻⁶ – 10⁻⁴)</w:t>
            </w:r>
          </w:p>
        </w:tc>
      </w:tr>
    </w:tbl>
    <w:p w14:paraId="5831DBA9" w14:textId="77777777" w:rsidR="008F479B" w:rsidRDefault="008F479B" w:rsidP="00FF705B">
      <w:pPr>
        <w:autoSpaceDE w:val="0"/>
        <w:autoSpaceDN w:val="0"/>
        <w:adjustRightInd w:val="0"/>
        <w:spacing w:after="0" w:line="480" w:lineRule="auto"/>
        <w:jc w:val="both"/>
        <w:rPr>
          <w:rFonts w:ascii="Times New Roman" w:eastAsia="LibertinusSerif-Regular" w:hAnsi="Times New Roman" w:cs="Times New Roman"/>
          <w:sz w:val="24"/>
          <w:szCs w:val="24"/>
        </w:rPr>
      </w:pPr>
    </w:p>
    <w:p w14:paraId="0BC4BBF0" w14:textId="5B1109CF" w:rsidR="00110F29" w:rsidRPr="00DB5FCD" w:rsidRDefault="00110F29" w:rsidP="00110F29">
      <w:pPr>
        <w:autoSpaceDE w:val="0"/>
        <w:autoSpaceDN w:val="0"/>
        <w:adjustRightInd w:val="0"/>
        <w:spacing w:after="0" w:line="240" w:lineRule="auto"/>
        <w:jc w:val="both"/>
        <w:rPr>
          <w:rFonts w:ascii="Times New Roman" w:eastAsia="LibertinusSerif-Regular" w:hAnsi="Times New Roman" w:cs="Times New Roman"/>
          <w:strike/>
          <w:sz w:val="24"/>
          <w:szCs w:val="24"/>
        </w:rPr>
      </w:pPr>
      <w:r>
        <w:rPr>
          <w:rFonts w:ascii="Times New Roman" w:eastAsia="LibertinusSerif-Regular" w:hAnsi="Times New Roman" w:cs="Times New Roman"/>
          <w:noProof/>
          <w:sz w:val="24"/>
          <w:szCs w:val="24"/>
          <w:lang w:eastAsia="en-GB"/>
        </w:rPr>
        <w:drawing>
          <wp:inline distT="0" distB="0" distL="0" distR="0" wp14:anchorId="0D7BDECF" wp14:editId="641F669E">
            <wp:extent cx="5731510" cy="4298950"/>
            <wp:effectExtent l="0" t="0" r="254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R_Char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imes New Roman" w:eastAsia="LibertinusSerif-Regular" w:hAnsi="Times New Roman" w:cs="Times New Roman"/>
          <w:b/>
          <w:sz w:val="24"/>
          <w:szCs w:val="24"/>
        </w:rPr>
        <w:t xml:space="preserve">Figure 9: </w:t>
      </w:r>
      <w:r w:rsidRPr="00110F29">
        <w:rPr>
          <w:rFonts w:ascii="Times New Roman" w:hAnsi="Times New Roman" w:cs="Times New Roman"/>
          <w:sz w:val="24"/>
          <w:szCs w:val="24"/>
        </w:rPr>
        <w:t xml:space="preserve">Lifetime cancer risk (LCR) associated with dietary exposure to arsenic (As), cadmium (Cd), and lead (Pb) from consumption of smoked-dried fish </w:t>
      </w:r>
    </w:p>
    <w:p w14:paraId="156A9BFD" w14:textId="77777777" w:rsidR="00110F29" w:rsidRP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p>
    <w:p w14:paraId="35EEFC6C" w14:textId="77777777" w:rsidR="005018E4" w:rsidRPr="00600E83" w:rsidRDefault="005018E4" w:rsidP="00FF705B">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4.0. DISCUSSION</w:t>
      </w:r>
    </w:p>
    <w:p w14:paraId="3BB048B5" w14:textId="77777777" w:rsidR="00F12F8C" w:rsidRPr="00F12F8C" w:rsidRDefault="00F12F8C"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2F8C">
        <w:rPr>
          <w:rFonts w:ascii="Times New Roman" w:eastAsia="Times New Roman" w:hAnsi="Times New Roman" w:cs="Times New Roman"/>
          <w:sz w:val="24"/>
          <w:szCs w:val="24"/>
          <w:lang w:eastAsia="en-GB"/>
        </w:rPr>
        <w:t xml:space="preserve">This study investigated the concentrations of selected heavy metals in commonly consumed smoked-dried fish sold at </w:t>
      </w:r>
      <w:proofErr w:type="spellStart"/>
      <w:r w:rsidRPr="00F12F8C">
        <w:rPr>
          <w:rFonts w:ascii="Times New Roman" w:eastAsia="Times New Roman" w:hAnsi="Times New Roman" w:cs="Times New Roman"/>
          <w:sz w:val="24"/>
          <w:szCs w:val="24"/>
          <w:lang w:eastAsia="en-GB"/>
        </w:rPr>
        <w:t>Afor-Ugbolu</w:t>
      </w:r>
      <w:proofErr w:type="spellEnd"/>
      <w:r w:rsidRPr="00F12F8C">
        <w:rPr>
          <w:rFonts w:ascii="Times New Roman" w:eastAsia="Times New Roman" w:hAnsi="Times New Roman" w:cs="Times New Roman"/>
          <w:sz w:val="24"/>
          <w:szCs w:val="24"/>
          <w:lang w:eastAsia="en-GB"/>
        </w:rPr>
        <w:t xml:space="preserve"> Market and assessed the associated human health risks using established USEPA-based risk assessment models. The presence of arsenic, cadmium, copper, lead, and zinc in all analysed fish species confirms that smoked-dried fish can act as a pathway for dietary exposure to environmental contaminants. Variations in metal </w:t>
      </w:r>
      <w:r w:rsidRPr="00F12F8C">
        <w:rPr>
          <w:rFonts w:ascii="Times New Roman" w:eastAsia="Times New Roman" w:hAnsi="Times New Roman" w:cs="Times New Roman"/>
          <w:sz w:val="24"/>
          <w:szCs w:val="24"/>
          <w:lang w:eastAsia="en-GB"/>
        </w:rPr>
        <w:lastRenderedPageBreak/>
        <w:t>concentrations among fish species likely reflect differences in habitat, feeding behaviour, trophic level, and bioaccumulation potential, as well as differences in post-harvest handling and processing practices.</w:t>
      </w:r>
    </w:p>
    <w:p w14:paraId="74E20CD6" w14:textId="77777777" w:rsidR="00F12F8C" w:rsidRPr="00F12F8C" w:rsidRDefault="00F12F8C"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2F8C">
        <w:rPr>
          <w:rFonts w:ascii="Times New Roman" w:eastAsia="Times New Roman" w:hAnsi="Times New Roman" w:cs="Times New Roman"/>
          <w:sz w:val="24"/>
          <w:szCs w:val="24"/>
          <w:lang w:eastAsia="en-GB"/>
        </w:rPr>
        <w:t>Zinc was the most abundant metal detected across all fish species, which is consistent with its essential biological role and relatively high permissible intake levels. In contrast, cadmium and arsenic occurred at comparatively lower concentrations but contributed more substantially to health risk indices due to their high toxicity and low reference doses. Similar patterns have been reported in previous studies assessing heavy metal exposure through consumption of smoked or dried fish products in Nigerian and other developing-country markets (</w:t>
      </w:r>
      <w:proofErr w:type="spellStart"/>
      <w:r w:rsidRPr="00F12F8C">
        <w:rPr>
          <w:rFonts w:ascii="Times New Roman" w:eastAsia="Times New Roman" w:hAnsi="Times New Roman" w:cs="Times New Roman"/>
          <w:sz w:val="24"/>
          <w:szCs w:val="24"/>
          <w:lang w:eastAsia="en-GB"/>
        </w:rPr>
        <w:t>Griboff</w:t>
      </w:r>
      <w:proofErr w:type="spellEnd"/>
      <w:r w:rsidRPr="00F12F8C">
        <w:rPr>
          <w:rFonts w:ascii="Times New Roman" w:eastAsia="Times New Roman" w:hAnsi="Times New Roman" w:cs="Times New Roman"/>
          <w:sz w:val="24"/>
          <w:szCs w:val="24"/>
          <w:lang w:eastAsia="en-GB"/>
        </w:rPr>
        <w:t xml:space="preserve"> et al., 2017; Zhong et al., 2018).</w:t>
      </w:r>
    </w:p>
    <w:p w14:paraId="1F1359B7" w14:textId="77777777" w:rsidR="00F12F8C" w:rsidRPr="00F12F8C" w:rsidRDefault="00F12F8C"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2F8C">
        <w:rPr>
          <w:rFonts w:ascii="Times New Roman" w:eastAsia="Times New Roman" w:hAnsi="Times New Roman" w:cs="Times New Roman"/>
          <w:sz w:val="24"/>
          <w:szCs w:val="24"/>
          <w:lang w:eastAsia="en-GB"/>
        </w:rPr>
        <w:t>Processing-related contamination may also have contributed to the observed metal profiles. Smoking and drying expose fish to combustion residues, contaminated drying surfaces, and atmospheric deposition, which may increase contaminant load beyond that originating from the aquatic environment. Evidence from recent studies on heat-processed fish and meat products indicates that processing methods can significantly influence contaminant exposure and associated health risks (Iwu et al., 2024). This underscores the need to consider both environmental and processing-related factors when evaluating food safety risks.</w:t>
      </w:r>
    </w:p>
    <w:p w14:paraId="44659194" w14:textId="77777777" w:rsidR="00F12F8C" w:rsidRPr="00F12F8C" w:rsidRDefault="00F12F8C"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2F8C">
        <w:rPr>
          <w:rFonts w:ascii="Times New Roman" w:eastAsia="Times New Roman" w:hAnsi="Times New Roman" w:cs="Times New Roman"/>
          <w:sz w:val="24"/>
          <w:szCs w:val="24"/>
          <w:lang w:eastAsia="en-GB"/>
        </w:rPr>
        <w:t xml:space="preserve">Health risk assessment based on recalculated Target Hazard Quotient and Hazard Index values revealed that cumulative non-carcinogenic risks were below the acceptable threshold (HI &lt; 1) for both adults and children. This indicates that consumption of smoked-dried fish from </w:t>
      </w:r>
      <w:proofErr w:type="spellStart"/>
      <w:r w:rsidRPr="00F12F8C">
        <w:rPr>
          <w:rFonts w:ascii="Times New Roman" w:eastAsia="Times New Roman" w:hAnsi="Times New Roman" w:cs="Times New Roman"/>
          <w:sz w:val="24"/>
          <w:szCs w:val="24"/>
          <w:lang w:eastAsia="en-GB"/>
        </w:rPr>
        <w:t>Afor-Ugbolu</w:t>
      </w:r>
      <w:proofErr w:type="spellEnd"/>
      <w:r w:rsidRPr="00F12F8C">
        <w:rPr>
          <w:rFonts w:ascii="Times New Roman" w:eastAsia="Times New Roman" w:hAnsi="Times New Roman" w:cs="Times New Roman"/>
          <w:sz w:val="24"/>
          <w:szCs w:val="24"/>
          <w:lang w:eastAsia="en-GB"/>
        </w:rPr>
        <w:t xml:space="preserve"> Market does not pose a significant non-carcinogenic health risk under the assumed consumption scenario. However, children consistently exhibited higher THQ and HI values than adults, reflecting their lower body weight and greater exposure per unit body mass. This pattern of increased vulnerability among children has been widely documented in dietary risk assessment studies (USEPA, 2005; Ahmed et al., 2020).</w:t>
      </w:r>
    </w:p>
    <w:p w14:paraId="078EBB47" w14:textId="77777777" w:rsidR="00F12F8C" w:rsidRPr="00F12F8C" w:rsidRDefault="00F12F8C"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2F8C">
        <w:rPr>
          <w:rFonts w:ascii="Times New Roman" w:eastAsia="Times New Roman" w:hAnsi="Times New Roman" w:cs="Times New Roman"/>
          <w:sz w:val="24"/>
          <w:szCs w:val="24"/>
          <w:lang w:eastAsia="en-GB"/>
        </w:rPr>
        <w:lastRenderedPageBreak/>
        <w:t>Although non-carcinogenic risk indices were within acceptable limits, lifetime cancer risk analysis revealed that cadmium exposure exceeded the USEPA recommended risk range. This suggests that long-term consumption of smoked-dried fish may pose a potential carcinogenic concern, even when non-carcinogenic thresholds are not exceeded. The finding highlights the importance of incorporating both carcinogenic and non-carcinogenic endpoints into comprehensive food safety assessments, particularly for traditionally processed foods that are consumed regularly.</w:t>
      </w:r>
    </w:p>
    <w:p w14:paraId="09B34479" w14:textId="44DEC8D6" w:rsidR="00F12F8C" w:rsidRPr="00F12F8C" w:rsidRDefault="008D6271"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F12F8C" w:rsidRPr="00F12F8C">
        <w:rPr>
          <w:rFonts w:ascii="Times New Roman" w:eastAsia="Times New Roman" w:hAnsi="Times New Roman" w:cs="Times New Roman"/>
          <w:sz w:val="24"/>
          <w:szCs w:val="24"/>
          <w:lang w:eastAsia="en-GB"/>
        </w:rPr>
        <w:t xml:space="preserve">he results demonstrate that smoked-dried fish sold at </w:t>
      </w:r>
      <w:proofErr w:type="spellStart"/>
      <w:r w:rsidR="00F12F8C" w:rsidRPr="00F12F8C">
        <w:rPr>
          <w:rFonts w:ascii="Times New Roman" w:eastAsia="Times New Roman" w:hAnsi="Times New Roman" w:cs="Times New Roman"/>
          <w:sz w:val="24"/>
          <w:szCs w:val="24"/>
          <w:lang w:eastAsia="en-GB"/>
        </w:rPr>
        <w:t>Afor-Ugbolu</w:t>
      </w:r>
      <w:proofErr w:type="spellEnd"/>
      <w:r w:rsidR="00F12F8C" w:rsidRPr="00F12F8C">
        <w:rPr>
          <w:rFonts w:ascii="Times New Roman" w:eastAsia="Times New Roman" w:hAnsi="Times New Roman" w:cs="Times New Roman"/>
          <w:sz w:val="24"/>
          <w:szCs w:val="24"/>
          <w:lang w:eastAsia="en-GB"/>
        </w:rPr>
        <w:t xml:space="preserve"> Market is generally safe for consumption with respect to non-carcinogenic health effects, especially for adults. Nevertheless, the contribution of cadmium and lead to cumulative exposure, combined with the influence of processing-related contamination, emphasises the need for routine monitoring, improved smoking and handling practices, and public awareness initiatives to minimise long-term dietary health risks.</w:t>
      </w:r>
    </w:p>
    <w:p w14:paraId="47E93CED" w14:textId="054845CE" w:rsidR="005C492D" w:rsidRDefault="00DA1D20" w:rsidP="00D74250">
      <w:pPr>
        <w:spacing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5</w:t>
      </w:r>
      <w:r w:rsidR="005C492D">
        <w:rPr>
          <w:rFonts w:ascii="Times New Roman" w:eastAsia="Times New Roman" w:hAnsi="Times New Roman" w:cs="Times New Roman"/>
          <w:b/>
          <w:sz w:val="24"/>
          <w:szCs w:val="24"/>
          <w:lang w:eastAsia="en-GB"/>
        </w:rPr>
        <w:t>. CONCLUSION</w:t>
      </w:r>
    </w:p>
    <w:p w14:paraId="150C540C" w14:textId="6873BF10" w:rsidR="00AC2845" w:rsidRDefault="00AC2845" w:rsidP="00AC284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C2845">
        <w:rPr>
          <w:rFonts w:ascii="Times New Roman" w:eastAsia="Times New Roman" w:hAnsi="Times New Roman" w:cs="Times New Roman"/>
          <w:sz w:val="24"/>
          <w:szCs w:val="24"/>
          <w:lang w:eastAsia="en-GB"/>
        </w:rPr>
        <w:t xml:space="preserve">This study evaluated the concentrations of arsenic, cadmium, copper, lead, and zinc in smoked-dried fish sold at </w:t>
      </w:r>
      <w:proofErr w:type="spellStart"/>
      <w:r w:rsidRPr="00AC2845">
        <w:rPr>
          <w:rFonts w:ascii="Times New Roman" w:eastAsia="Times New Roman" w:hAnsi="Times New Roman" w:cs="Times New Roman"/>
          <w:sz w:val="24"/>
          <w:szCs w:val="24"/>
          <w:lang w:eastAsia="en-GB"/>
        </w:rPr>
        <w:t>Afor-Ugbolu</w:t>
      </w:r>
      <w:proofErr w:type="spellEnd"/>
      <w:r w:rsidRPr="00AC2845">
        <w:rPr>
          <w:rFonts w:ascii="Times New Roman" w:eastAsia="Times New Roman" w:hAnsi="Times New Roman" w:cs="Times New Roman"/>
          <w:sz w:val="24"/>
          <w:szCs w:val="24"/>
          <w:lang w:eastAsia="en-GB"/>
        </w:rPr>
        <w:t xml:space="preserve"> Market, Delta State, Nigeria, and assessed the associated human health risks. Metal concentrations varied among fish species, with zinc occurring at the highest levels, while cadmium and arsenic were of greater toxicological relevance due to their low reference doses. All measured metals were below recommended permissible limits.</w:t>
      </w:r>
      <w:r>
        <w:rPr>
          <w:rFonts w:ascii="Times New Roman" w:eastAsia="Times New Roman" w:hAnsi="Times New Roman" w:cs="Times New Roman"/>
          <w:sz w:val="24"/>
          <w:szCs w:val="24"/>
          <w:lang w:eastAsia="en-GB"/>
        </w:rPr>
        <w:t xml:space="preserve"> </w:t>
      </w:r>
      <w:r w:rsidRPr="00AC2845">
        <w:rPr>
          <w:rFonts w:ascii="Times New Roman" w:eastAsia="Times New Roman" w:hAnsi="Times New Roman" w:cs="Times New Roman"/>
          <w:sz w:val="24"/>
          <w:szCs w:val="24"/>
          <w:lang w:eastAsia="en-GB"/>
        </w:rPr>
        <w:t>Health risk assessment showed that individual and cumulative non-carcinogenic risks were below the acceptable threshold (HI &lt; 1) for both adults and children, although children exhibited higher risk indices than adults. In contrast, lifetime cancer risk analysis indicated that cadmium exposure exceeded the USEPA acceptable range, suggesting a potential long-te</w:t>
      </w:r>
      <w:r>
        <w:rPr>
          <w:rFonts w:ascii="Times New Roman" w:eastAsia="Times New Roman" w:hAnsi="Times New Roman" w:cs="Times New Roman"/>
          <w:sz w:val="24"/>
          <w:szCs w:val="24"/>
          <w:lang w:eastAsia="en-GB"/>
        </w:rPr>
        <w:t>rm carcinogenic concern. S</w:t>
      </w:r>
      <w:r w:rsidRPr="00AC2845">
        <w:rPr>
          <w:rFonts w:ascii="Times New Roman" w:eastAsia="Times New Roman" w:hAnsi="Times New Roman" w:cs="Times New Roman"/>
          <w:sz w:val="24"/>
          <w:szCs w:val="24"/>
          <w:lang w:eastAsia="en-GB"/>
        </w:rPr>
        <w:t xml:space="preserve">moked-dried fish from </w:t>
      </w:r>
      <w:proofErr w:type="spellStart"/>
      <w:r w:rsidRPr="00AC2845">
        <w:rPr>
          <w:rFonts w:ascii="Times New Roman" w:eastAsia="Times New Roman" w:hAnsi="Times New Roman" w:cs="Times New Roman"/>
          <w:sz w:val="24"/>
          <w:szCs w:val="24"/>
          <w:lang w:eastAsia="en-GB"/>
        </w:rPr>
        <w:t>Afor-Ugbolu</w:t>
      </w:r>
      <w:proofErr w:type="spellEnd"/>
      <w:r w:rsidRPr="00AC2845">
        <w:rPr>
          <w:rFonts w:ascii="Times New Roman" w:eastAsia="Times New Roman" w:hAnsi="Times New Roman" w:cs="Times New Roman"/>
          <w:sz w:val="24"/>
          <w:szCs w:val="24"/>
          <w:lang w:eastAsia="en-GB"/>
        </w:rPr>
        <w:t xml:space="preserve"> Market can be considered generally safe with respect to non-carcinogenic effects; however, routine </w:t>
      </w:r>
      <w:r w:rsidRPr="00AC2845">
        <w:rPr>
          <w:rFonts w:ascii="Times New Roman" w:eastAsia="Times New Roman" w:hAnsi="Times New Roman" w:cs="Times New Roman"/>
          <w:sz w:val="24"/>
          <w:szCs w:val="24"/>
          <w:lang w:eastAsia="en-GB"/>
        </w:rPr>
        <w:lastRenderedPageBreak/>
        <w:t>monitoring and improved processing practices are recommended to minimise long-term health risks.</w:t>
      </w:r>
    </w:p>
    <w:p w14:paraId="3E04082A" w14:textId="77777777" w:rsidR="00AA3A1C" w:rsidRPr="00005ED1" w:rsidRDefault="00AA3A1C" w:rsidP="00AA3A1C">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BBA14D1" w14:textId="77777777" w:rsidR="00AA3A1C" w:rsidRPr="00005ED1" w:rsidRDefault="00AA3A1C" w:rsidP="00AA3A1C">
      <w:pPr>
        <w:pStyle w:val="NoSpacing"/>
        <w:rPr>
          <w:rFonts w:ascii="Arial" w:hAnsi="Arial" w:cs="Arial"/>
          <w:highlight w:val="yellow"/>
        </w:rPr>
      </w:pPr>
    </w:p>
    <w:p w14:paraId="6CBD5C6E" w14:textId="77777777" w:rsidR="00AA3A1C" w:rsidRPr="00005ED1" w:rsidRDefault="00AA3A1C" w:rsidP="00AA3A1C">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183B8257" w14:textId="77777777" w:rsidR="00AA3A1C" w:rsidRPr="00AA3A1C" w:rsidRDefault="00AA3A1C" w:rsidP="00AC2845">
      <w:pPr>
        <w:spacing w:before="100" w:beforeAutospacing="1" w:after="100" w:afterAutospacing="1" w:line="480" w:lineRule="auto"/>
        <w:jc w:val="both"/>
        <w:rPr>
          <w:rFonts w:ascii="Times New Roman" w:eastAsia="Times New Roman" w:hAnsi="Times New Roman" w:cs="Times New Roman"/>
          <w:sz w:val="24"/>
          <w:szCs w:val="24"/>
          <w:lang w:val="en-US" w:eastAsia="en-GB"/>
        </w:rPr>
      </w:pPr>
    </w:p>
    <w:p w14:paraId="4D16AC12" w14:textId="55AB5E2B" w:rsidR="00E81992" w:rsidRPr="004F0532" w:rsidRDefault="00A20D37" w:rsidP="004F0532">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References</w:t>
      </w:r>
    </w:p>
    <w:p w14:paraId="79D40F6B" w14:textId="77777777" w:rsidR="002B7670" w:rsidRDefault="002B7670" w:rsidP="002B7670">
      <w:pPr>
        <w:pStyle w:val="NormalWeb"/>
        <w:ind w:left="709" w:hanging="709"/>
        <w:jc w:val="both"/>
      </w:pPr>
      <w:r>
        <w:t xml:space="preserve">Ahmed, M. F., Mokhtar, M. B., &amp; Alam, L. (2020). Carcinogenic and noncarcinogenic health risk of arsenic ingestion via drinking water in the Langat River basin, Malaysia. </w:t>
      </w:r>
      <w:r>
        <w:rPr>
          <w:rStyle w:val="Emphasis"/>
        </w:rPr>
        <w:t>Environmental Geochemistry and Health, 43</w:t>
      </w:r>
      <w:r>
        <w:t xml:space="preserve">(2), 897–914. </w:t>
      </w:r>
      <w:hyperlink r:id="rId17" w:tgtFrame="_new" w:history="1">
        <w:r>
          <w:rPr>
            <w:rStyle w:val="Hyperlink"/>
          </w:rPr>
          <w:t>https://doi.org/10.1007/s10653-020-00571-w</w:t>
        </w:r>
      </w:hyperlink>
    </w:p>
    <w:p w14:paraId="576076C1" w14:textId="77777777" w:rsidR="002B7670" w:rsidRDefault="002B7670" w:rsidP="002B7670">
      <w:pPr>
        <w:pStyle w:val="NormalWeb"/>
        <w:ind w:left="709" w:hanging="709"/>
        <w:jc w:val="both"/>
      </w:pPr>
      <w:proofErr w:type="spellStart"/>
      <w:r>
        <w:t>Akinhanmi</w:t>
      </w:r>
      <w:proofErr w:type="spellEnd"/>
      <w:r>
        <w:t xml:space="preserve">, T. F., Akinwunmi, F., Ajala, O. O., &amp; </w:t>
      </w:r>
      <w:proofErr w:type="spellStart"/>
      <w:r>
        <w:t>Usanga</w:t>
      </w:r>
      <w:proofErr w:type="spellEnd"/>
      <w:r>
        <w:t xml:space="preserve">, E. E. (2021). Assessment of selected heavy metals and estimation of human health risk in some commonly consumed fish in Abeokuta, Ogun State, Nigeria. </w:t>
      </w:r>
      <w:r>
        <w:rPr>
          <w:rStyle w:val="Emphasis"/>
        </w:rPr>
        <w:t>Journal of the Chemical Society of Nigeria, 46</w:t>
      </w:r>
      <w:r>
        <w:t xml:space="preserve">(2). </w:t>
      </w:r>
      <w:hyperlink r:id="rId18" w:tgtFrame="_new" w:history="1">
        <w:r>
          <w:rPr>
            <w:rStyle w:val="Hyperlink"/>
          </w:rPr>
          <w:t>https://doi.org/10.46602/jcsn.v46i2.608</w:t>
        </w:r>
      </w:hyperlink>
    </w:p>
    <w:p w14:paraId="2AB89FC2" w14:textId="77777777" w:rsidR="002B7670" w:rsidRDefault="002B7670" w:rsidP="002B7670">
      <w:pPr>
        <w:pStyle w:val="NormalWeb"/>
        <w:ind w:left="709" w:hanging="709"/>
        <w:jc w:val="both"/>
      </w:pPr>
      <w:r>
        <w:t xml:space="preserve">Akinrotimi, O. A., </w:t>
      </w:r>
      <w:proofErr w:type="spellStart"/>
      <w:r>
        <w:t>Ikeogu</w:t>
      </w:r>
      <w:proofErr w:type="spellEnd"/>
      <w:r>
        <w:t xml:space="preserve">, C. F., Ayaobu-Cookey, I. K., Onoja, C. R., &amp; Emeka, K. J. (2024). Assessment of some heavy metals in selected dried fishes sold in three major markets in </w:t>
      </w:r>
      <w:proofErr w:type="spellStart"/>
      <w:r>
        <w:t>Awka</w:t>
      </w:r>
      <w:proofErr w:type="spellEnd"/>
      <w:r>
        <w:t xml:space="preserve"> metropolis, Nigeria. </w:t>
      </w:r>
      <w:r>
        <w:rPr>
          <w:rStyle w:val="Emphasis"/>
        </w:rPr>
        <w:t>Global Journal of Applied Sciences and Technology, 6</w:t>
      </w:r>
      <w:r>
        <w:t>(2), 1–5.</w:t>
      </w:r>
    </w:p>
    <w:p w14:paraId="07D5A08F" w14:textId="77777777" w:rsidR="002B7670" w:rsidRDefault="002B7670" w:rsidP="002B7670">
      <w:pPr>
        <w:pStyle w:val="NormalWeb"/>
        <w:ind w:left="709" w:hanging="709"/>
        <w:jc w:val="both"/>
      </w:pPr>
      <w:r>
        <w:t xml:space="preserve">Al Mazed, M., Rahman, M. A., &amp; Ahmed, S. I. (2022). A review of the effects of heavy metals on aquatic animals and public health significance. </w:t>
      </w:r>
      <w:r>
        <w:rPr>
          <w:rStyle w:val="Emphasis"/>
        </w:rPr>
        <w:t>Veterinary Sciences: Research and Reviews, 8</w:t>
      </w:r>
      <w:r>
        <w:t xml:space="preserve">(2), 96–104. </w:t>
      </w:r>
      <w:hyperlink r:id="rId19" w:tgtFrame="_new" w:history="1">
        <w:r>
          <w:rPr>
            <w:rStyle w:val="Hyperlink"/>
          </w:rPr>
          <w:t>https://doi.org/10.17582/journal.vsrr/2022/8.2.96.104</w:t>
        </w:r>
      </w:hyperlink>
    </w:p>
    <w:p w14:paraId="297D4194" w14:textId="77777777" w:rsidR="002B7670" w:rsidRDefault="002B7670" w:rsidP="002B7670">
      <w:pPr>
        <w:pStyle w:val="NormalWeb"/>
        <w:ind w:left="709" w:hanging="709"/>
        <w:jc w:val="both"/>
      </w:pPr>
      <w:proofErr w:type="spellStart"/>
      <w:r>
        <w:t>Anarado</w:t>
      </w:r>
      <w:proofErr w:type="spellEnd"/>
      <w:r>
        <w:t xml:space="preserve">, C. J. O., Okpoji, A. U., &amp; </w:t>
      </w:r>
      <w:proofErr w:type="spellStart"/>
      <w:r>
        <w:t>Anarado</w:t>
      </w:r>
      <w:proofErr w:type="spellEnd"/>
      <w:r>
        <w:t xml:space="preserve">, C. E. (2023). Bioaccumulation and health risk assessment of lead, cadmium, arsenic, and mercury in blue crabs from Bayelsa State, Nigeria. </w:t>
      </w:r>
      <w:r>
        <w:rPr>
          <w:rStyle w:val="Emphasis"/>
        </w:rPr>
        <w:t>Asian Journal of Environmental &amp; Ecology, 21</w:t>
      </w:r>
      <w:r>
        <w:t>(4), 46–59.</w:t>
      </w:r>
    </w:p>
    <w:p w14:paraId="45498403" w14:textId="77777777" w:rsidR="002B7670" w:rsidRDefault="002B7670" w:rsidP="002B7670">
      <w:pPr>
        <w:pStyle w:val="NormalWeb"/>
        <w:ind w:left="709" w:hanging="709"/>
        <w:jc w:val="both"/>
      </w:pPr>
      <w:r>
        <w:t xml:space="preserve">Association of Official Analytical Chemists. (2005). </w:t>
      </w:r>
      <w:r>
        <w:rPr>
          <w:rStyle w:val="Emphasis"/>
        </w:rPr>
        <w:t>Official methods of analysis</w:t>
      </w:r>
      <w:r>
        <w:t xml:space="preserve"> (18th ed.). AOAC.</w:t>
      </w:r>
    </w:p>
    <w:p w14:paraId="305A383D" w14:textId="77777777" w:rsidR="002B7670" w:rsidRDefault="002B7670" w:rsidP="002B7670">
      <w:pPr>
        <w:pStyle w:val="NormalWeb"/>
        <w:ind w:left="709" w:hanging="709"/>
        <w:jc w:val="both"/>
      </w:pPr>
      <w:r>
        <w:t xml:space="preserve">Chamoli, A., &amp; Karn, S. K. (2024). The effects of mercury exposure on neurological and cognitive dysfunction in humans: A review. In </w:t>
      </w:r>
      <w:r>
        <w:rPr>
          <w:rStyle w:val="Emphasis"/>
        </w:rPr>
        <w:t>Earth and environmental sciences library</w:t>
      </w:r>
      <w:r>
        <w:t xml:space="preserve"> (pp. 117–135). Springer. </w:t>
      </w:r>
      <w:hyperlink r:id="rId20" w:tgtFrame="_new" w:history="1">
        <w:r>
          <w:rPr>
            <w:rStyle w:val="Hyperlink"/>
          </w:rPr>
          <w:t>https://doi.org/10.1007/978-3-031-48817-7_5</w:t>
        </w:r>
      </w:hyperlink>
    </w:p>
    <w:p w14:paraId="29FBB861" w14:textId="75CFF30B" w:rsidR="006A6F10" w:rsidRDefault="006A6F10" w:rsidP="006A6F10">
      <w:pPr>
        <w:pStyle w:val="NormalWeb"/>
        <w:spacing w:before="0" w:beforeAutospacing="0" w:after="240" w:afterAutospacing="0"/>
        <w:ind w:left="993" w:hanging="993"/>
        <w:jc w:val="both"/>
        <w:rPr>
          <w:bCs/>
        </w:rPr>
      </w:pPr>
      <w:r w:rsidRPr="006A6F10">
        <w:t xml:space="preserve">Chukwurah A. I., </w:t>
      </w:r>
      <w:proofErr w:type="spellStart"/>
      <w:r w:rsidRPr="006A6F10">
        <w:t>Uruh</w:t>
      </w:r>
      <w:proofErr w:type="spellEnd"/>
      <w:r w:rsidRPr="006A6F10">
        <w:t xml:space="preserve"> K</w:t>
      </w:r>
      <w:r w:rsidRPr="006A6F10">
        <w:rPr>
          <w:b/>
          <w:bCs/>
        </w:rPr>
        <w:t xml:space="preserve">., </w:t>
      </w:r>
      <w:proofErr w:type="spellStart"/>
      <w:r w:rsidRPr="006A6F10">
        <w:t>Olannye</w:t>
      </w:r>
      <w:proofErr w:type="spellEnd"/>
      <w:r w:rsidRPr="006A6F10">
        <w:t xml:space="preserve"> D. U., </w:t>
      </w:r>
      <w:proofErr w:type="spellStart"/>
      <w:r w:rsidRPr="006A6F10">
        <w:t>Emetulu</w:t>
      </w:r>
      <w:proofErr w:type="spellEnd"/>
      <w:r w:rsidRPr="006A6F10">
        <w:t xml:space="preserve"> V. C. </w:t>
      </w:r>
      <w:r>
        <w:t>&amp;</w:t>
      </w:r>
      <w:r w:rsidRPr="006A6F10">
        <w:t xml:space="preserve"> </w:t>
      </w:r>
      <w:proofErr w:type="spellStart"/>
      <w:r w:rsidRPr="006A6F10">
        <w:t>Enamuotor</w:t>
      </w:r>
      <w:proofErr w:type="spellEnd"/>
      <w:r w:rsidRPr="006A6F10">
        <w:t xml:space="preserve"> O. (2023). </w:t>
      </w:r>
      <w:r w:rsidRPr="006A6F10">
        <w:rPr>
          <w:bCs/>
        </w:rPr>
        <w:t xml:space="preserve">Effects of Water Pollution on Aquatic Life: A Case Study on River </w:t>
      </w:r>
      <w:proofErr w:type="spellStart"/>
      <w:r w:rsidRPr="006A6F10">
        <w:rPr>
          <w:bCs/>
        </w:rPr>
        <w:t>Ethiope</w:t>
      </w:r>
      <w:proofErr w:type="spellEnd"/>
      <w:r w:rsidRPr="006A6F10">
        <w:rPr>
          <w:rFonts w:ascii="Comic Sans MS" w:hAnsi="Comic Sans MS"/>
          <w:bCs/>
        </w:rPr>
        <w:t xml:space="preserve">. </w:t>
      </w:r>
      <w:r w:rsidRPr="006A6F10">
        <w:rPr>
          <w:bCs/>
          <w:i/>
          <w:iCs/>
        </w:rPr>
        <w:t xml:space="preserve">Journal of </w:t>
      </w:r>
      <w:proofErr w:type="spellStart"/>
      <w:r w:rsidRPr="006A6F10">
        <w:rPr>
          <w:bCs/>
          <w:i/>
          <w:iCs/>
        </w:rPr>
        <w:t>Scientometrics</w:t>
      </w:r>
      <w:proofErr w:type="spellEnd"/>
      <w:r w:rsidRPr="006A6F10">
        <w:rPr>
          <w:bCs/>
          <w:i/>
          <w:iCs/>
        </w:rPr>
        <w:t xml:space="preserve"> and Innovations</w:t>
      </w:r>
      <w:r w:rsidRPr="006A6F10">
        <w:rPr>
          <w:bCs/>
        </w:rPr>
        <w:t>. 1 (1): 210 – 220.</w:t>
      </w:r>
    </w:p>
    <w:p w14:paraId="7DAD1EE9" w14:textId="687BF432" w:rsidR="006A6F10" w:rsidRPr="006A6F10" w:rsidRDefault="006A6F10" w:rsidP="006A6F10">
      <w:pPr>
        <w:pStyle w:val="NormalWeb"/>
        <w:spacing w:before="0" w:beforeAutospacing="0" w:after="0" w:afterAutospacing="0"/>
        <w:ind w:left="993" w:hanging="993"/>
        <w:jc w:val="both"/>
      </w:pPr>
      <w:r w:rsidRPr="006A6F10">
        <w:t xml:space="preserve">Chukwurah, A. I., </w:t>
      </w:r>
      <w:proofErr w:type="spellStart"/>
      <w:r w:rsidRPr="006A6F10">
        <w:t>Olannye</w:t>
      </w:r>
      <w:proofErr w:type="spellEnd"/>
      <w:r w:rsidRPr="006A6F10">
        <w:t xml:space="preserve">, D. U. </w:t>
      </w:r>
      <w:r w:rsidRPr="006A6F10">
        <w:rPr>
          <w:lang w:val="en-US"/>
        </w:rPr>
        <w:t>Odesa, E. G.,</w:t>
      </w:r>
      <w:r w:rsidRPr="006A6F10">
        <w:t xml:space="preserve"> </w:t>
      </w:r>
      <w:proofErr w:type="spellStart"/>
      <w:r w:rsidRPr="006A6F10">
        <w:t>Oghene</w:t>
      </w:r>
      <w:proofErr w:type="spellEnd"/>
      <w:r w:rsidRPr="006A6F10">
        <w:t xml:space="preserve">, J. U., Irabor, A. E., </w:t>
      </w:r>
      <w:proofErr w:type="spellStart"/>
      <w:r w:rsidRPr="006A6F10">
        <w:t>Uruh</w:t>
      </w:r>
      <w:proofErr w:type="spellEnd"/>
      <w:r w:rsidRPr="006A6F10">
        <w:t xml:space="preserve">, K. &amp; Odia, M. (2025). Fostering a Sustainable Blue Economy to Enhance Food Security </w:t>
      </w:r>
      <w:r w:rsidRPr="006A6F10">
        <w:lastRenderedPageBreak/>
        <w:t>in the Niger Delta Region of Nigeria.</w:t>
      </w:r>
      <w:r>
        <w:t xml:space="preserve"> </w:t>
      </w:r>
      <w:r w:rsidR="00A25717">
        <w:t>In Proceedings of the</w:t>
      </w:r>
      <w:r w:rsidR="00542F57">
        <w:t xml:space="preserve"> </w:t>
      </w:r>
      <w:r w:rsidR="00542F57" w:rsidRPr="00542F57">
        <w:t>1st International Conference on Building Resilience against Hunger: Addressing Nigeria’s Food Insecurity Challenges, Asaba, Delta State, Nigeria</w:t>
      </w:r>
      <w:r w:rsidR="00A25717">
        <w:t>, 20 – 23 May 2025.</w:t>
      </w:r>
    </w:p>
    <w:p w14:paraId="102C4B23" w14:textId="5C4A5069" w:rsidR="002B7670" w:rsidRDefault="002B7670" w:rsidP="002B7670">
      <w:pPr>
        <w:pStyle w:val="NormalWeb"/>
        <w:ind w:left="709" w:hanging="709"/>
        <w:jc w:val="both"/>
      </w:pPr>
      <w:proofErr w:type="spellStart"/>
      <w:r>
        <w:t>Elinge</w:t>
      </w:r>
      <w:proofErr w:type="spellEnd"/>
      <w:r>
        <w:t xml:space="preserve">, C. M., Obaroh, I. O., Muhammad, A., Yanah, Y. M., &amp; Abdullahi, L. Y. (2019). Determination of some heavy metals in three selected fish species from River Zamare, Nigeria. </w:t>
      </w:r>
      <w:r>
        <w:rPr>
          <w:rStyle w:val="Emphasis"/>
        </w:rPr>
        <w:t>International Journal of Fisheries and Aquatic Studies, 7</w:t>
      </w:r>
      <w:r>
        <w:t>(4), 385–387.</w:t>
      </w:r>
    </w:p>
    <w:p w14:paraId="0E4B426D" w14:textId="77777777" w:rsidR="002B7670" w:rsidRDefault="002B7670" w:rsidP="002B7670">
      <w:pPr>
        <w:pStyle w:val="NormalWeb"/>
        <w:ind w:left="709" w:hanging="709"/>
        <w:jc w:val="both"/>
      </w:pPr>
      <w:r>
        <w:t xml:space="preserve">Federal Environmental Protection Agency. (2013). </w:t>
      </w:r>
      <w:r>
        <w:rPr>
          <w:rStyle w:val="Emphasis"/>
        </w:rPr>
        <w:t>Guidelines and standards for environmental pollution control in Nigeria</w:t>
      </w:r>
      <w:r>
        <w:t>. FEPA.</w:t>
      </w:r>
    </w:p>
    <w:p w14:paraId="784018B9" w14:textId="77777777" w:rsidR="002B7670" w:rsidRDefault="002B7670" w:rsidP="002B7670">
      <w:pPr>
        <w:pStyle w:val="NormalWeb"/>
        <w:ind w:left="709" w:hanging="709"/>
        <w:jc w:val="both"/>
      </w:pPr>
      <w:r>
        <w:t xml:space="preserve">Garner, T. B., Hester, J. M., Carothers, A., &amp; Diaz, F. J. (2021). Role of zinc in female reproduction. </w:t>
      </w:r>
      <w:r>
        <w:rPr>
          <w:rStyle w:val="Emphasis"/>
        </w:rPr>
        <w:t>Biology of Reproduction, 104</w:t>
      </w:r>
      <w:r>
        <w:t xml:space="preserve">(5), 976–994. </w:t>
      </w:r>
      <w:hyperlink r:id="rId21" w:tgtFrame="_new" w:history="1">
        <w:r>
          <w:rPr>
            <w:rStyle w:val="Hyperlink"/>
          </w:rPr>
          <w:t>https://doi.org/10.1093/biolre/ioab023</w:t>
        </w:r>
      </w:hyperlink>
    </w:p>
    <w:p w14:paraId="4E017C33" w14:textId="77777777" w:rsidR="002B7670" w:rsidRDefault="002B7670" w:rsidP="002B7670">
      <w:pPr>
        <w:pStyle w:val="NormalWeb"/>
        <w:ind w:left="709" w:hanging="709"/>
        <w:jc w:val="both"/>
      </w:pPr>
      <w:r>
        <w:t xml:space="preserve">Griboff, J., Wunderlin, D. A., &amp; </w:t>
      </w:r>
      <w:proofErr w:type="spellStart"/>
      <w:r>
        <w:t>Monferran</w:t>
      </w:r>
      <w:proofErr w:type="spellEnd"/>
      <w:r>
        <w:t xml:space="preserve">, M. V. (2017). Metals, As and Se determination in edible fish: Does their consumption represent a risk to human health? </w:t>
      </w:r>
      <w:r>
        <w:rPr>
          <w:rStyle w:val="Emphasis"/>
        </w:rPr>
        <w:t>Microchemical Journal, 130</w:t>
      </w:r>
      <w:r>
        <w:t xml:space="preserve">, 236–244. </w:t>
      </w:r>
      <w:r w:rsidRPr="00945535">
        <w:rPr>
          <w:rStyle w:val="Hyperlink"/>
        </w:rPr>
        <w:t>https://doi.org/10.1016/j.microc.2016.09.013</w:t>
      </w:r>
    </w:p>
    <w:p w14:paraId="2A068845" w14:textId="77777777" w:rsidR="002B7670" w:rsidRDefault="002B7670" w:rsidP="002B7670">
      <w:pPr>
        <w:pStyle w:val="NormalWeb"/>
        <w:ind w:left="709" w:hanging="709"/>
        <w:jc w:val="both"/>
        <w:rPr>
          <w:rStyle w:val="Hyperlink"/>
        </w:rPr>
      </w:pPr>
      <w:proofErr w:type="spellStart"/>
      <w:r>
        <w:t>Gudadhe</w:t>
      </w:r>
      <w:proofErr w:type="spellEnd"/>
      <w:r>
        <w:t xml:space="preserve">, S., Singh, S. K., &amp; Ahsan, J. (2024). Cellular and neurological effects of lead toxicity. In </w:t>
      </w:r>
      <w:r>
        <w:rPr>
          <w:rStyle w:val="Emphasis"/>
        </w:rPr>
        <w:t>Environmental contamination remediation and management</w:t>
      </w:r>
      <w:r>
        <w:t xml:space="preserve"> (pp. 125–145). Springer. </w:t>
      </w:r>
      <w:hyperlink r:id="rId22" w:tgtFrame="_new" w:history="1">
        <w:r>
          <w:rPr>
            <w:rStyle w:val="Hyperlink"/>
          </w:rPr>
          <w:t>https://doi.org/10.1007/978-3-031-46146-0_6</w:t>
        </w:r>
      </w:hyperlink>
    </w:p>
    <w:p w14:paraId="5B49F61B" w14:textId="6337A0CB" w:rsidR="0036280E" w:rsidRDefault="0036280E" w:rsidP="002B7670">
      <w:pPr>
        <w:pStyle w:val="NormalWeb"/>
        <w:ind w:left="709" w:hanging="709"/>
        <w:jc w:val="both"/>
      </w:pPr>
      <w:r w:rsidRPr="00E057AC">
        <w:rPr>
          <w:highlight w:val="yellow"/>
        </w:rPr>
        <w:t xml:space="preserve">Iwu, G. I., </w:t>
      </w:r>
      <w:proofErr w:type="spellStart"/>
      <w:r w:rsidRPr="00E057AC">
        <w:rPr>
          <w:highlight w:val="yellow"/>
        </w:rPr>
        <w:t>Lajide</w:t>
      </w:r>
      <w:proofErr w:type="spellEnd"/>
      <w:r w:rsidRPr="00E057AC">
        <w:rPr>
          <w:highlight w:val="yellow"/>
        </w:rPr>
        <w:t xml:space="preserve">, L., Madu, P. C., &amp; Isah, I. A. (2024). Assessment of polycyclic aromatic hydrocarbon (PAH) profiles in heat-processed meat and fish: A study on health risk evaluation. </w:t>
      </w:r>
      <w:r w:rsidRPr="00E057AC">
        <w:rPr>
          <w:rStyle w:val="Emphasis"/>
          <w:highlight w:val="yellow"/>
        </w:rPr>
        <w:t>Discover Food, 4</w:t>
      </w:r>
      <w:r w:rsidRPr="00E057AC">
        <w:rPr>
          <w:highlight w:val="yellow"/>
        </w:rPr>
        <w:t>(1), 46. https://doi.org/10.1007/s44187-024-00146-0</w:t>
      </w:r>
    </w:p>
    <w:p w14:paraId="57A68D71" w14:textId="77777777" w:rsidR="002B7670" w:rsidRDefault="002B7670" w:rsidP="002B7670">
      <w:pPr>
        <w:pStyle w:val="NormalWeb"/>
        <w:ind w:left="709" w:hanging="709"/>
        <w:jc w:val="both"/>
      </w:pPr>
      <w:proofErr w:type="spellStart"/>
      <w:r>
        <w:t>Iyorah</w:t>
      </w:r>
      <w:proofErr w:type="spellEnd"/>
      <w:r>
        <w:t xml:space="preserve">, I. E., &amp; Uzoamaka, G. (2023). Human health risk assessment of heavy metals detected in dried fish species consumed in Benin City, Nigeria. </w:t>
      </w:r>
      <w:proofErr w:type="spellStart"/>
      <w:r>
        <w:rPr>
          <w:rStyle w:val="Emphasis"/>
        </w:rPr>
        <w:t>Dutse</w:t>
      </w:r>
      <w:proofErr w:type="spellEnd"/>
      <w:r>
        <w:rPr>
          <w:rStyle w:val="Emphasis"/>
        </w:rPr>
        <w:t xml:space="preserve"> Journal of Pure and Applied Sciences, 9</w:t>
      </w:r>
      <w:r>
        <w:t xml:space="preserve">(2a), 74–81. </w:t>
      </w:r>
      <w:hyperlink r:id="rId23" w:tgtFrame="_new" w:history="1">
        <w:r>
          <w:rPr>
            <w:rStyle w:val="Hyperlink"/>
          </w:rPr>
          <w:t>https://doi.org/10.4314/dujopas.v9i2a.7</w:t>
        </w:r>
      </w:hyperlink>
    </w:p>
    <w:p w14:paraId="2B8D01BE" w14:textId="77777777" w:rsidR="002B7670" w:rsidRDefault="002B7670" w:rsidP="002B7670">
      <w:pPr>
        <w:pStyle w:val="NormalWeb"/>
        <w:ind w:left="709" w:hanging="709"/>
        <w:jc w:val="both"/>
      </w:pPr>
      <w:r w:rsidRPr="00E057AC">
        <w:rPr>
          <w:lang w:val="nl-BE"/>
        </w:rPr>
        <w:t xml:space="preserve">Izuchukwu Ujah, I., Okeke, D. O., &amp; Okpashi, V. E. (2017). </w:t>
      </w:r>
      <w:r>
        <w:t xml:space="preserve">Determination of heavy metals in fish tissues, water and sediment from River Niger, Nigeria. </w:t>
      </w:r>
      <w:r>
        <w:rPr>
          <w:rStyle w:val="Emphasis"/>
        </w:rPr>
        <w:t>Journal of Environmental &amp; Analytical Toxicology, 7</w:t>
      </w:r>
      <w:r>
        <w:t>(5), 1–3.</w:t>
      </w:r>
    </w:p>
    <w:p w14:paraId="5B8899C2" w14:textId="77777777" w:rsidR="002B7670" w:rsidRDefault="002B7670" w:rsidP="002B7670">
      <w:pPr>
        <w:pStyle w:val="NormalWeb"/>
        <w:ind w:left="709" w:hanging="709"/>
        <w:jc w:val="both"/>
      </w:pPr>
      <w:proofErr w:type="spellStart"/>
      <w:r>
        <w:t>Kalamara</w:t>
      </w:r>
      <w:proofErr w:type="spellEnd"/>
      <w:r>
        <w:t xml:space="preserve">, T., Dodos, K., Georgakopoulou, V., Fotakopoulos, G., </w:t>
      </w:r>
      <w:proofErr w:type="spellStart"/>
      <w:r>
        <w:t>Spandidos</w:t>
      </w:r>
      <w:proofErr w:type="spellEnd"/>
      <w:r>
        <w:t xml:space="preserve">, D., &amp; </w:t>
      </w:r>
      <w:proofErr w:type="spellStart"/>
      <w:r>
        <w:t>Kapoukranidou</w:t>
      </w:r>
      <w:proofErr w:type="spellEnd"/>
      <w:r>
        <w:t xml:space="preserve">, D. (2025). Cognitive efficacy of omega-3 fatty acids in Alzheimer’s disease. </w:t>
      </w:r>
      <w:r>
        <w:rPr>
          <w:rStyle w:val="Emphasis"/>
        </w:rPr>
        <w:t>Biomedical Reports, 22</w:t>
      </w:r>
      <w:r>
        <w:t xml:space="preserve">(4). </w:t>
      </w:r>
      <w:hyperlink r:id="rId24" w:tgtFrame="_new" w:history="1">
        <w:r>
          <w:rPr>
            <w:rStyle w:val="Hyperlink"/>
          </w:rPr>
          <w:t>https://doi.org/10.3892/br.2025.1940</w:t>
        </w:r>
      </w:hyperlink>
    </w:p>
    <w:p w14:paraId="227F891C" w14:textId="77777777" w:rsidR="002B7670" w:rsidRDefault="002B7670" w:rsidP="002B7670">
      <w:pPr>
        <w:pStyle w:val="NormalWeb"/>
        <w:ind w:left="709" w:hanging="709"/>
        <w:jc w:val="both"/>
      </w:pPr>
      <w:proofErr w:type="spellStart"/>
      <w:r>
        <w:t>Khanjani</w:t>
      </w:r>
      <w:proofErr w:type="spellEnd"/>
      <w:r>
        <w:t xml:space="preserve">, M. H., &amp; </w:t>
      </w:r>
      <w:proofErr w:type="spellStart"/>
      <w:r>
        <w:t>Sharifinia</w:t>
      </w:r>
      <w:proofErr w:type="spellEnd"/>
      <w:r>
        <w:t xml:space="preserve">, M. (2024). Nutritional value and consumption pattern of indigenous small fish. In </w:t>
      </w:r>
      <w:r>
        <w:rPr>
          <w:rStyle w:val="Emphasis"/>
        </w:rPr>
        <w:t>Perspectives and applications of indigenous small fish</w:t>
      </w:r>
      <w:r>
        <w:t xml:space="preserve"> (pp. 193–227). Springer.</w:t>
      </w:r>
    </w:p>
    <w:p w14:paraId="11BBC4A7" w14:textId="77777777" w:rsidR="002B7670" w:rsidRDefault="002B7670" w:rsidP="002B7670">
      <w:pPr>
        <w:pStyle w:val="NormalWeb"/>
        <w:ind w:left="709" w:hanging="709"/>
        <w:jc w:val="both"/>
      </w:pPr>
      <w:r>
        <w:t xml:space="preserve">Kumar, M., Singh, S., Jain, A., Yadav, S., Dubey, A., &amp; Trivedi, S. P. (2024). Heavy metal-induced toxicity in fishes: A review. </w:t>
      </w:r>
      <w:r>
        <w:rPr>
          <w:rStyle w:val="Emphasis"/>
        </w:rPr>
        <w:t>Journal of Trace Elements in Medicine and Biology, 83</w:t>
      </w:r>
      <w:r>
        <w:t xml:space="preserve">, 127377. </w:t>
      </w:r>
      <w:hyperlink r:id="rId25" w:tgtFrame="_new" w:history="1">
        <w:r>
          <w:rPr>
            <w:rStyle w:val="Hyperlink"/>
          </w:rPr>
          <w:t>https://doi.org/10.1016/j.jtemb.2023.127377</w:t>
        </w:r>
      </w:hyperlink>
    </w:p>
    <w:p w14:paraId="6B73E719" w14:textId="77777777" w:rsidR="002B7670" w:rsidRDefault="002B7670" w:rsidP="002B7670">
      <w:pPr>
        <w:pStyle w:val="NormalWeb"/>
        <w:ind w:left="709" w:hanging="709"/>
        <w:jc w:val="both"/>
      </w:pPr>
      <w:proofErr w:type="spellStart"/>
      <w:r>
        <w:t>Majlesi</w:t>
      </w:r>
      <w:proofErr w:type="spellEnd"/>
      <w:r>
        <w:t xml:space="preserve">, M., </w:t>
      </w:r>
      <w:proofErr w:type="spellStart"/>
      <w:r>
        <w:t>Pashangeh</w:t>
      </w:r>
      <w:proofErr w:type="spellEnd"/>
      <w:r>
        <w:t xml:space="preserve">, S., Salehi, S. O., &amp; </w:t>
      </w:r>
      <w:proofErr w:type="spellStart"/>
      <w:r>
        <w:t>Berizi</w:t>
      </w:r>
      <w:proofErr w:type="spellEnd"/>
      <w:r>
        <w:t xml:space="preserve">, E. (2018). Human health risks from heavy metals in freshwater fish. </w:t>
      </w:r>
      <w:r>
        <w:rPr>
          <w:rStyle w:val="Emphasis"/>
        </w:rPr>
        <w:t>International Journal of Nutrition Sciences, 3</w:t>
      </w:r>
      <w:r>
        <w:t>(3), 157–163.</w:t>
      </w:r>
    </w:p>
    <w:p w14:paraId="58759F45" w14:textId="77777777" w:rsidR="002B7670" w:rsidRDefault="002B7670" w:rsidP="002B7670">
      <w:pPr>
        <w:pStyle w:val="NormalWeb"/>
        <w:ind w:left="709" w:hanging="709"/>
        <w:jc w:val="both"/>
      </w:pPr>
      <w:proofErr w:type="spellStart"/>
      <w:r>
        <w:t>Marbade</w:t>
      </w:r>
      <w:proofErr w:type="spellEnd"/>
      <w:r>
        <w:t xml:space="preserve">, P. P., Thakur, V. K., </w:t>
      </w:r>
      <w:proofErr w:type="spellStart"/>
      <w:r>
        <w:t>Painkra</w:t>
      </w:r>
      <w:proofErr w:type="spellEnd"/>
      <w:r>
        <w:t xml:space="preserve">, A., &amp; Devi, N. (2024). Traditional and advanced methods of fish drying. In </w:t>
      </w:r>
      <w:r>
        <w:rPr>
          <w:rStyle w:val="Emphasis"/>
        </w:rPr>
        <w:t>Dry fish: A global perspective</w:t>
      </w:r>
      <w:r>
        <w:t xml:space="preserve"> (pp. 31–44). Springer. </w:t>
      </w:r>
      <w:hyperlink r:id="rId26" w:tgtFrame="_new" w:history="1">
        <w:r>
          <w:rPr>
            <w:rStyle w:val="Hyperlink"/>
          </w:rPr>
          <w:t>https://doi.org/10.1007/978-3-031-62462-9_3</w:t>
        </w:r>
      </w:hyperlink>
    </w:p>
    <w:p w14:paraId="336BF734" w14:textId="77777777" w:rsidR="002B7670" w:rsidRDefault="002B7670" w:rsidP="002B7670">
      <w:pPr>
        <w:pStyle w:val="NormalWeb"/>
        <w:ind w:left="709" w:hanging="709"/>
        <w:jc w:val="both"/>
      </w:pPr>
      <w:r>
        <w:lastRenderedPageBreak/>
        <w:t xml:space="preserve">Mustapha, A. M., </w:t>
      </w:r>
      <w:proofErr w:type="spellStart"/>
      <w:r>
        <w:t>Ugya</w:t>
      </w:r>
      <w:proofErr w:type="spellEnd"/>
      <w:r>
        <w:t xml:space="preserve">, A. Y., &amp; Mustapha, Z. (2021). Assessment of heavy metal levels in fish tissues from Epe Lagoon, Nigeria. </w:t>
      </w:r>
      <w:r>
        <w:rPr>
          <w:rStyle w:val="Emphasis"/>
        </w:rPr>
        <w:t>Science World Journal, 16</w:t>
      </w:r>
      <w:r>
        <w:t>(4), 464–469.</w:t>
      </w:r>
    </w:p>
    <w:p w14:paraId="4FF75743" w14:textId="77777777" w:rsidR="002B7670" w:rsidRDefault="002B7670" w:rsidP="002B7670">
      <w:pPr>
        <w:pStyle w:val="NormalWeb"/>
        <w:ind w:left="709" w:hanging="709"/>
        <w:jc w:val="both"/>
        <w:rPr>
          <w:rStyle w:val="Hyperlink"/>
        </w:rPr>
      </w:pPr>
      <w:r>
        <w:t xml:space="preserve">Nasim, A. G., Shamsi, F. B., &amp; Javaid, Q. U. A. (2024). Cadmium toxicity and renal autoimmunity. </w:t>
      </w:r>
      <w:r>
        <w:rPr>
          <w:rStyle w:val="Emphasis"/>
        </w:rPr>
        <w:t>Annals of Punjab Medical College, 18</w:t>
      </w:r>
      <w:r>
        <w:t xml:space="preserve">(4), 351–356. </w:t>
      </w:r>
      <w:hyperlink r:id="rId27" w:tgtFrame="_new" w:history="1">
        <w:r>
          <w:rPr>
            <w:rStyle w:val="Hyperlink"/>
          </w:rPr>
          <w:t>https://doi.org/10.29054/apmc/2024.1643</w:t>
        </w:r>
      </w:hyperlink>
    </w:p>
    <w:p w14:paraId="6803945D" w14:textId="6FF44E3F" w:rsidR="00566118" w:rsidRPr="00566118" w:rsidRDefault="00566118" w:rsidP="002B7670">
      <w:pPr>
        <w:pStyle w:val="NormalWeb"/>
        <w:ind w:left="709" w:hanging="709"/>
        <w:jc w:val="both"/>
        <w:rPr>
          <w:rStyle w:val="Hyperlink"/>
          <w:color w:val="auto"/>
          <w:u w:val="none"/>
        </w:rPr>
      </w:pPr>
      <w:r w:rsidRPr="00566118">
        <w:t xml:space="preserve">Ochuko, U., </w:t>
      </w:r>
      <w:proofErr w:type="spellStart"/>
      <w:r w:rsidRPr="00566118">
        <w:t>Edojarievwen</w:t>
      </w:r>
      <w:proofErr w:type="spellEnd"/>
      <w:r w:rsidRPr="00566118">
        <w:t xml:space="preserve">, U.T., Olannye, D.U. </w:t>
      </w:r>
      <w:r w:rsidR="008C6B69">
        <w:t>&amp;</w:t>
      </w:r>
      <w:r w:rsidRPr="00566118">
        <w:t xml:space="preserve"> Thaddeus, O. (2023). Assessment of the water quality index of River </w:t>
      </w:r>
      <w:proofErr w:type="spellStart"/>
      <w:r w:rsidRPr="00566118">
        <w:t>Ethiope</w:t>
      </w:r>
      <w:proofErr w:type="spellEnd"/>
      <w:r w:rsidRPr="00566118">
        <w:t xml:space="preserve"> for drinking water purposes in Southern Nigeria. International Journal of Innovative Science and Research Technology. 8(6):3294-3300.</w:t>
      </w:r>
    </w:p>
    <w:p w14:paraId="3267B02B" w14:textId="4EDE4161" w:rsidR="00A25717" w:rsidRPr="00A25717" w:rsidRDefault="00A25717" w:rsidP="00A25717">
      <w:pPr>
        <w:pStyle w:val="NormalWeb"/>
        <w:ind w:left="709" w:hanging="709"/>
        <w:jc w:val="both"/>
        <w:rPr>
          <w:u w:val="single"/>
        </w:rPr>
      </w:pPr>
      <w:r w:rsidRPr="00A25717">
        <w:t xml:space="preserve">Odesa, G. E. &amp; </w:t>
      </w:r>
      <w:proofErr w:type="spellStart"/>
      <w:r w:rsidRPr="00A25717">
        <w:t>Olannye</w:t>
      </w:r>
      <w:proofErr w:type="spellEnd"/>
      <w:r w:rsidRPr="00A25717">
        <w:t>, D. U. (2024). Health Risk Assessment of PAHs and Heavy Metal Levels in Periwinkles (</w:t>
      </w:r>
      <w:proofErr w:type="spellStart"/>
      <w:r w:rsidRPr="00A25717">
        <w:rPr>
          <w:i/>
          <w:iCs/>
        </w:rPr>
        <w:t>Pachymelania</w:t>
      </w:r>
      <w:proofErr w:type="spellEnd"/>
      <w:r w:rsidRPr="00A25717">
        <w:rPr>
          <w:i/>
          <w:iCs/>
        </w:rPr>
        <w:t xml:space="preserve"> </w:t>
      </w:r>
      <w:proofErr w:type="spellStart"/>
      <w:r w:rsidRPr="00A25717">
        <w:rPr>
          <w:i/>
          <w:iCs/>
        </w:rPr>
        <w:t>fusca</w:t>
      </w:r>
      <w:proofErr w:type="spellEnd"/>
      <w:r w:rsidRPr="00A25717">
        <w:rPr>
          <w:i/>
          <w:iCs/>
        </w:rPr>
        <w:t xml:space="preserve"> mutans</w:t>
      </w:r>
      <w:r w:rsidRPr="00A25717">
        <w:t>) and Crabs (</w:t>
      </w:r>
      <w:r w:rsidRPr="00A25717">
        <w:rPr>
          <w:i/>
          <w:iCs/>
        </w:rPr>
        <w:t>Scylla serrata</w:t>
      </w:r>
      <w:r w:rsidRPr="00A25717">
        <w:t xml:space="preserve">) Consumed in Crude Oil-Contaminated Coastal Regions of Southern Nigeria. </w:t>
      </w:r>
      <w:r w:rsidRPr="00A25717">
        <w:rPr>
          <w:i/>
          <w:iCs/>
        </w:rPr>
        <w:t>Toxicology Reports</w:t>
      </w:r>
      <w:r w:rsidRPr="00A25717">
        <w:t xml:space="preserve">. </w:t>
      </w:r>
      <w:proofErr w:type="gramStart"/>
      <w:r w:rsidRPr="00A25717">
        <w:t>14 :</w:t>
      </w:r>
      <w:proofErr w:type="gramEnd"/>
      <w:r w:rsidRPr="00A25717">
        <w:t xml:space="preserve"> 101852. </w:t>
      </w:r>
      <w:hyperlink r:id="rId28" w:history="1">
        <w:r w:rsidRPr="00A25717">
          <w:rPr>
            <w:rStyle w:val="Hyperlink"/>
            <w:color w:val="0070C0"/>
          </w:rPr>
          <w:t>https://doi.org/10.1016/j.toxrep.2024.101852</w:t>
        </w:r>
      </w:hyperlink>
      <w:r w:rsidRPr="00A25717">
        <w:rPr>
          <w:rStyle w:val="Hyperlink"/>
          <w:color w:val="0070C0"/>
        </w:rPr>
        <w:t xml:space="preserve"> </w:t>
      </w:r>
      <w:r>
        <w:rPr>
          <w:rStyle w:val="Hyperlink"/>
          <w:color w:val="auto"/>
        </w:rPr>
        <w:t xml:space="preserve"> </w:t>
      </w:r>
    </w:p>
    <w:p w14:paraId="5EDB8938" w14:textId="77777777" w:rsidR="002B7670" w:rsidRDefault="002B7670" w:rsidP="002B7670">
      <w:pPr>
        <w:pStyle w:val="NormalWeb"/>
        <w:ind w:left="709" w:hanging="709"/>
        <w:jc w:val="both"/>
        <w:rPr>
          <w:rStyle w:val="Hyperlink"/>
        </w:rPr>
      </w:pPr>
      <w:proofErr w:type="spellStart"/>
      <w:r>
        <w:t>Okpoji</w:t>
      </w:r>
      <w:proofErr w:type="spellEnd"/>
      <w:r>
        <w:t xml:space="preserve">, A. U., </w:t>
      </w:r>
      <w:proofErr w:type="spellStart"/>
      <w:r>
        <w:t>Anarado</w:t>
      </w:r>
      <w:proofErr w:type="spellEnd"/>
      <w:r>
        <w:t xml:space="preserve">, C. O., </w:t>
      </w:r>
      <w:proofErr w:type="spellStart"/>
      <w:r>
        <w:t>Mmuta</w:t>
      </w:r>
      <w:proofErr w:type="spellEnd"/>
      <w:r>
        <w:t xml:space="preserve">, E. C., et al. (2025). Toxicological evaluation of heavy metals in blue crab from Niger Delta. </w:t>
      </w:r>
      <w:r>
        <w:rPr>
          <w:rStyle w:val="Emphasis"/>
        </w:rPr>
        <w:t>Journal of Life Science and Public Health, 1</w:t>
      </w:r>
      <w:r>
        <w:t xml:space="preserve">(1), 24–31. </w:t>
      </w:r>
      <w:hyperlink r:id="rId29" w:tgtFrame="_new" w:history="1">
        <w:r>
          <w:rPr>
            <w:rStyle w:val="Hyperlink"/>
          </w:rPr>
          <w:t>https://doi.org/10.69739/jlsph.v1i1.879</w:t>
        </w:r>
      </w:hyperlink>
    </w:p>
    <w:p w14:paraId="712ABF2D" w14:textId="120DADBA" w:rsidR="009B7B98" w:rsidRPr="009B7B98" w:rsidRDefault="009B7B98" w:rsidP="00D87DAF">
      <w:pPr>
        <w:ind w:left="567" w:right="48" w:hanging="567"/>
        <w:jc w:val="both"/>
        <w:rPr>
          <w:rFonts w:ascii="Times New Roman" w:hAnsi="Times New Roman" w:cs="Times New Roman"/>
          <w:sz w:val="24"/>
          <w:szCs w:val="24"/>
        </w:rPr>
      </w:pPr>
      <w:r w:rsidRPr="00DF7240">
        <w:rPr>
          <w:rFonts w:ascii="Times New Roman" w:hAnsi="Times New Roman" w:cs="Times New Roman"/>
          <w:bCs/>
          <w:sz w:val="24"/>
          <w:szCs w:val="24"/>
        </w:rPr>
        <w:t>Olannye, D.U.,</w:t>
      </w:r>
      <w:r w:rsidRPr="006D37FC">
        <w:rPr>
          <w:rFonts w:ascii="Times New Roman" w:hAnsi="Times New Roman" w:cs="Times New Roman"/>
          <w:sz w:val="24"/>
          <w:szCs w:val="24"/>
        </w:rPr>
        <w:t xml:space="preserve"> Oloruntoba. E. O. </w:t>
      </w:r>
      <w:r>
        <w:rPr>
          <w:rFonts w:ascii="Times New Roman" w:hAnsi="Times New Roman" w:cs="Times New Roman"/>
          <w:sz w:val="24"/>
          <w:szCs w:val="24"/>
        </w:rPr>
        <w:t>&amp;</w:t>
      </w:r>
      <w:r w:rsidRPr="006D37FC">
        <w:rPr>
          <w:rFonts w:ascii="Times New Roman" w:hAnsi="Times New Roman" w:cs="Times New Roman"/>
          <w:sz w:val="24"/>
          <w:szCs w:val="24"/>
        </w:rPr>
        <w:t xml:space="preserve"> </w:t>
      </w:r>
      <w:proofErr w:type="spellStart"/>
      <w:r w:rsidRPr="006D37FC">
        <w:rPr>
          <w:rFonts w:ascii="Times New Roman" w:hAnsi="Times New Roman" w:cs="Times New Roman"/>
          <w:sz w:val="24"/>
          <w:szCs w:val="24"/>
        </w:rPr>
        <w:t>Isehunwa</w:t>
      </w:r>
      <w:proofErr w:type="spellEnd"/>
      <w:r w:rsidRPr="006D37FC">
        <w:rPr>
          <w:rFonts w:ascii="Times New Roman" w:hAnsi="Times New Roman" w:cs="Times New Roman"/>
          <w:sz w:val="24"/>
          <w:szCs w:val="24"/>
        </w:rPr>
        <w:t xml:space="preserve">, S. O. </w:t>
      </w:r>
      <w:r>
        <w:rPr>
          <w:rFonts w:ascii="Times New Roman" w:hAnsi="Times New Roman" w:cs="Times New Roman"/>
          <w:sz w:val="24"/>
          <w:szCs w:val="24"/>
        </w:rPr>
        <w:t>(</w:t>
      </w:r>
      <w:r w:rsidRPr="006D37FC">
        <w:rPr>
          <w:rFonts w:ascii="Times New Roman" w:hAnsi="Times New Roman" w:cs="Times New Roman"/>
          <w:sz w:val="24"/>
          <w:szCs w:val="24"/>
        </w:rPr>
        <w:t>2024</w:t>
      </w:r>
      <w:r>
        <w:rPr>
          <w:rFonts w:ascii="Times New Roman" w:hAnsi="Times New Roman" w:cs="Times New Roman"/>
          <w:sz w:val="24"/>
          <w:szCs w:val="24"/>
        </w:rPr>
        <w:t>)</w:t>
      </w:r>
      <w:r w:rsidRPr="006D37FC">
        <w:rPr>
          <w:rFonts w:ascii="Times New Roman" w:hAnsi="Times New Roman" w:cs="Times New Roman"/>
          <w:sz w:val="24"/>
          <w:szCs w:val="24"/>
        </w:rPr>
        <w:t xml:space="preserve">. Spent Lubricant Oil Generation Rate and Handling Practices Among Automobile Mechanics in Selected Mechanic Workshops in Ibadan, Oyo State, Nigeria. </w:t>
      </w:r>
      <w:r w:rsidRPr="006D37FC">
        <w:rPr>
          <w:rFonts w:ascii="Times New Roman" w:hAnsi="Times New Roman" w:cs="Times New Roman"/>
          <w:i/>
          <w:iCs/>
          <w:sz w:val="24"/>
          <w:szCs w:val="24"/>
        </w:rPr>
        <w:t>Global Journal of Environmental Science and Sustainability</w:t>
      </w:r>
      <w:r w:rsidRPr="006D37FC">
        <w:rPr>
          <w:rFonts w:ascii="Times New Roman" w:hAnsi="Times New Roman" w:cs="Times New Roman"/>
          <w:sz w:val="24"/>
          <w:szCs w:val="24"/>
        </w:rPr>
        <w:t xml:space="preserve">. 1(1): 102 -109. </w:t>
      </w:r>
    </w:p>
    <w:p w14:paraId="7A2E353A" w14:textId="53DFD5B8" w:rsidR="00D87DAF" w:rsidRPr="00D87DAF" w:rsidRDefault="00D87DAF" w:rsidP="00D87DAF">
      <w:pPr>
        <w:pStyle w:val="NormalWeb"/>
        <w:spacing w:before="0" w:beforeAutospacing="0" w:after="240" w:afterAutospacing="0"/>
        <w:ind w:left="993" w:hanging="993"/>
        <w:jc w:val="both"/>
      </w:pPr>
      <w:proofErr w:type="spellStart"/>
      <w:r w:rsidRPr="00D87DAF">
        <w:t>Onadje</w:t>
      </w:r>
      <w:proofErr w:type="spellEnd"/>
      <w:r w:rsidRPr="00D87DAF">
        <w:t xml:space="preserve">, F. O., &amp; </w:t>
      </w:r>
      <w:proofErr w:type="spellStart"/>
      <w:r w:rsidRPr="00D87DAF">
        <w:t>Akalusi</w:t>
      </w:r>
      <w:proofErr w:type="spellEnd"/>
      <w:r w:rsidRPr="00D87DAF">
        <w:t xml:space="preserve">, K. E. (2024). Biochemical effects of lead exposure in </w:t>
      </w:r>
      <w:r w:rsidRPr="00D87DAF">
        <w:rPr>
          <w:rStyle w:val="Emphasis"/>
        </w:rPr>
        <w:t xml:space="preserve">Clarias </w:t>
      </w:r>
      <w:proofErr w:type="spellStart"/>
      <w:r w:rsidRPr="00D87DAF">
        <w:rPr>
          <w:rStyle w:val="Emphasis"/>
        </w:rPr>
        <w:t>gariepinus</w:t>
      </w:r>
      <w:proofErr w:type="spellEnd"/>
      <w:r w:rsidRPr="00D87DAF">
        <w:t xml:space="preserve">. </w:t>
      </w:r>
      <w:r w:rsidRPr="00D87DAF">
        <w:rPr>
          <w:rStyle w:val="Emphasis"/>
        </w:rPr>
        <w:t>FNAS Journal of Applied Biological Sciences, 2</w:t>
      </w:r>
      <w:r w:rsidRPr="00D87DAF">
        <w:t>(1), 79–89.</w:t>
      </w:r>
    </w:p>
    <w:p w14:paraId="5B01ECC4" w14:textId="114C24F2" w:rsidR="009B7B98" w:rsidRPr="009B7B98" w:rsidRDefault="009B7B98" w:rsidP="002B7670">
      <w:pPr>
        <w:pStyle w:val="NormalWeb"/>
        <w:ind w:left="709" w:hanging="709"/>
        <w:jc w:val="both"/>
      </w:pPr>
      <w:proofErr w:type="spellStart"/>
      <w:r w:rsidRPr="009B7B98">
        <w:rPr>
          <w:bCs/>
          <w:color w:val="000000" w:themeColor="text1"/>
        </w:rPr>
        <w:t>Onadje</w:t>
      </w:r>
      <w:proofErr w:type="spellEnd"/>
      <w:r w:rsidRPr="009B7B98">
        <w:rPr>
          <w:bCs/>
          <w:color w:val="000000" w:themeColor="text1"/>
        </w:rPr>
        <w:t xml:space="preserve">, F.O., Chukwurah, A.I., </w:t>
      </w:r>
      <w:proofErr w:type="spellStart"/>
      <w:r w:rsidRPr="009B7B98">
        <w:rPr>
          <w:bCs/>
          <w:color w:val="000000" w:themeColor="text1"/>
        </w:rPr>
        <w:t>Olannye</w:t>
      </w:r>
      <w:proofErr w:type="spellEnd"/>
      <w:r w:rsidRPr="009B7B98">
        <w:rPr>
          <w:bCs/>
          <w:color w:val="000000" w:themeColor="text1"/>
        </w:rPr>
        <w:t>, D.U., Efe-</w:t>
      </w:r>
      <w:proofErr w:type="spellStart"/>
      <w:r w:rsidRPr="009B7B98">
        <w:rPr>
          <w:bCs/>
          <w:color w:val="000000" w:themeColor="text1"/>
        </w:rPr>
        <w:t>Eyefia</w:t>
      </w:r>
      <w:proofErr w:type="spellEnd"/>
      <w:r w:rsidRPr="009B7B98">
        <w:rPr>
          <w:bCs/>
          <w:color w:val="000000" w:themeColor="text1"/>
        </w:rPr>
        <w:t xml:space="preserve">, K., &amp; </w:t>
      </w:r>
      <w:proofErr w:type="spellStart"/>
      <w:r w:rsidRPr="009B7B98">
        <w:rPr>
          <w:bCs/>
          <w:color w:val="000000" w:themeColor="text1"/>
        </w:rPr>
        <w:t>Oghene</w:t>
      </w:r>
      <w:proofErr w:type="spellEnd"/>
      <w:r w:rsidRPr="009B7B98">
        <w:rPr>
          <w:bCs/>
          <w:color w:val="000000" w:themeColor="text1"/>
        </w:rPr>
        <w:t xml:space="preserve">, U.J. </w:t>
      </w:r>
      <w:r w:rsidRPr="009B7B98">
        <w:rPr>
          <w:bCs/>
        </w:rPr>
        <w:t>(2025</w:t>
      </w:r>
      <w:r w:rsidR="00566118">
        <w:rPr>
          <w:bCs/>
        </w:rPr>
        <w:t>a</w:t>
      </w:r>
      <w:r w:rsidRPr="009B7B98">
        <w:rPr>
          <w:bCs/>
        </w:rPr>
        <w:t xml:space="preserve">). Bioaccumulation of Cadmium, Copper and Lead in Edible Tissues of Clarias </w:t>
      </w:r>
      <w:proofErr w:type="spellStart"/>
      <w:r w:rsidRPr="009B7B98">
        <w:rPr>
          <w:bCs/>
        </w:rPr>
        <w:t>gariepinus</w:t>
      </w:r>
      <w:proofErr w:type="spellEnd"/>
      <w:r w:rsidRPr="009B7B98">
        <w:rPr>
          <w:bCs/>
        </w:rPr>
        <w:t xml:space="preserve"> and Oreochromis niloticus from </w:t>
      </w:r>
      <w:proofErr w:type="spellStart"/>
      <w:r w:rsidRPr="009B7B98">
        <w:rPr>
          <w:bCs/>
        </w:rPr>
        <w:t>Anwai</w:t>
      </w:r>
      <w:proofErr w:type="spellEnd"/>
      <w:r w:rsidRPr="009B7B98">
        <w:rPr>
          <w:bCs/>
        </w:rPr>
        <w:t xml:space="preserve"> River, Nigeria</w:t>
      </w:r>
      <w:r w:rsidRPr="009B7B98">
        <w:rPr>
          <w:bCs/>
          <w:color w:val="000000" w:themeColor="text1"/>
        </w:rPr>
        <w:t>.</w:t>
      </w:r>
      <w:r w:rsidRPr="009B7B98">
        <w:t xml:space="preserve"> </w:t>
      </w:r>
      <w:r w:rsidRPr="009B7B98">
        <w:rPr>
          <w:i/>
        </w:rPr>
        <w:t>FNAS Journal of</w:t>
      </w:r>
      <w:r w:rsidRPr="009B7B98">
        <w:rPr>
          <w:i/>
          <w:color w:val="0D0D0D" w:themeColor="text1" w:themeTint="F2"/>
        </w:rPr>
        <w:t xml:space="preserve"> </w:t>
      </w:r>
      <w:r w:rsidRPr="009B7B98">
        <w:rPr>
          <w:i/>
        </w:rPr>
        <w:t>Applied Chemical Science Research, 2</w:t>
      </w:r>
      <w:r w:rsidR="00950A8A">
        <w:rPr>
          <w:bCs/>
          <w:color w:val="000000"/>
        </w:rPr>
        <w:t>(4), 52-59</w:t>
      </w:r>
      <w:r w:rsidRPr="009B7B98">
        <w:rPr>
          <w:bCs/>
          <w:color w:val="000000"/>
        </w:rPr>
        <w:t>.</w:t>
      </w:r>
    </w:p>
    <w:p w14:paraId="272C080E" w14:textId="31CE8646" w:rsidR="002B7670" w:rsidRDefault="002B7670" w:rsidP="002B7670">
      <w:pPr>
        <w:pStyle w:val="NormalWeb"/>
        <w:ind w:left="709" w:hanging="709"/>
        <w:jc w:val="both"/>
      </w:pPr>
      <w:proofErr w:type="spellStart"/>
      <w:r>
        <w:t>Onadje</w:t>
      </w:r>
      <w:proofErr w:type="spellEnd"/>
      <w:r>
        <w:t xml:space="preserve">, F. O., Chukwurah, A. I., &amp; </w:t>
      </w:r>
      <w:proofErr w:type="spellStart"/>
      <w:r>
        <w:t>Agbeyi</w:t>
      </w:r>
      <w:proofErr w:type="spellEnd"/>
      <w:r>
        <w:t xml:space="preserve">, E. V. (2025). Multiple biomarkers variability in lead-exposed </w:t>
      </w:r>
      <w:r>
        <w:rPr>
          <w:rStyle w:val="Emphasis"/>
        </w:rPr>
        <w:t xml:space="preserve">Clarias </w:t>
      </w:r>
      <w:proofErr w:type="spellStart"/>
      <w:r>
        <w:rPr>
          <w:rStyle w:val="Emphasis"/>
        </w:rPr>
        <w:t>gariepinus</w:t>
      </w:r>
      <w:proofErr w:type="spellEnd"/>
      <w:r>
        <w:t xml:space="preserve">. </w:t>
      </w:r>
      <w:r>
        <w:rPr>
          <w:rStyle w:val="Emphasis"/>
        </w:rPr>
        <w:t>Journal of Advances in Biology &amp; Biotechnology, 28</w:t>
      </w:r>
      <w:r>
        <w:t xml:space="preserve">(4), 513–520. </w:t>
      </w:r>
      <w:hyperlink r:id="rId30" w:tgtFrame="_new" w:history="1">
        <w:r>
          <w:rPr>
            <w:rStyle w:val="Hyperlink"/>
          </w:rPr>
          <w:t>https://doi.org/10.9734/jabb/2025/v28i42209</w:t>
        </w:r>
      </w:hyperlink>
    </w:p>
    <w:p w14:paraId="5F3DCB57" w14:textId="77777777" w:rsidR="002B7670" w:rsidRDefault="002B7670" w:rsidP="002B7670">
      <w:pPr>
        <w:pStyle w:val="NormalWeb"/>
        <w:ind w:left="709" w:hanging="709"/>
        <w:jc w:val="both"/>
      </w:pPr>
      <w:r w:rsidRPr="00E057AC">
        <w:rPr>
          <w:lang w:val="nl-BE"/>
        </w:rPr>
        <w:t xml:space="preserve">Onoja, C. R., Ogbaji, H. O., Edodi, I. O., et al. </w:t>
      </w:r>
      <w:r>
        <w:t xml:space="preserve">(2025). Heavy metal contamination and health risk assessment of smoked-dried fish in </w:t>
      </w:r>
      <w:proofErr w:type="spellStart"/>
      <w:r>
        <w:t>Awka</w:t>
      </w:r>
      <w:proofErr w:type="spellEnd"/>
      <w:r>
        <w:t xml:space="preserve">, Nigeria. </w:t>
      </w:r>
      <w:r>
        <w:rPr>
          <w:rStyle w:val="Emphasis"/>
        </w:rPr>
        <w:t>Journal of Sustainable Research and Development, 1</w:t>
      </w:r>
      <w:r>
        <w:t xml:space="preserve">(2), 18–25. </w:t>
      </w:r>
      <w:hyperlink r:id="rId31" w:tgtFrame="_new" w:history="1">
        <w:r>
          <w:rPr>
            <w:rStyle w:val="Hyperlink"/>
          </w:rPr>
          <w:t>https://doi.org/10.69739/jsrd.v1i2.1044</w:t>
        </w:r>
      </w:hyperlink>
    </w:p>
    <w:p w14:paraId="60AEA2AB" w14:textId="77777777" w:rsidR="002B7670" w:rsidRDefault="002B7670" w:rsidP="002B7670">
      <w:pPr>
        <w:pStyle w:val="NormalWeb"/>
        <w:ind w:left="709" w:hanging="709"/>
        <w:jc w:val="both"/>
      </w:pPr>
      <w:proofErr w:type="spellStart"/>
      <w:r>
        <w:t>Oriji</w:t>
      </w:r>
      <w:proofErr w:type="spellEnd"/>
      <w:r>
        <w:t xml:space="preserve">, O., &amp; </w:t>
      </w:r>
      <w:proofErr w:type="spellStart"/>
      <w:r>
        <w:t>Nwabekee</w:t>
      </w:r>
      <w:proofErr w:type="spellEnd"/>
      <w:r>
        <w:t xml:space="preserve">, I. (2025). Determination of heavy metals in fish species. </w:t>
      </w:r>
      <w:r>
        <w:rPr>
          <w:rStyle w:val="Emphasis"/>
        </w:rPr>
        <w:t>Scientia Africana, 24</w:t>
      </w:r>
      <w:r>
        <w:t xml:space="preserve">(1), 79–88. </w:t>
      </w:r>
      <w:hyperlink r:id="rId32" w:tgtFrame="_new" w:history="1">
        <w:r>
          <w:rPr>
            <w:rStyle w:val="Hyperlink"/>
          </w:rPr>
          <w:t>https://doi.org/10.4314/sa.v24i1.8</w:t>
        </w:r>
      </w:hyperlink>
    </w:p>
    <w:p w14:paraId="26A360B3" w14:textId="77777777" w:rsidR="002B7670" w:rsidRPr="00E057AC" w:rsidRDefault="002B7670" w:rsidP="002B7670">
      <w:pPr>
        <w:pStyle w:val="NormalWeb"/>
        <w:ind w:left="709" w:hanging="709"/>
        <w:jc w:val="both"/>
        <w:rPr>
          <w:lang w:val="nl-BE"/>
        </w:rPr>
      </w:pPr>
      <w:r>
        <w:t xml:space="preserve">Ozturk, M., Metin, M., Altay, V., et al. (2021). Arsenic and human health. </w:t>
      </w:r>
      <w:r>
        <w:rPr>
          <w:rStyle w:val="Emphasis"/>
        </w:rPr>
        <w:t>Biological Trace Element Research, 200</w:t>
      </w:r>
      <w:r>
        <w:t xml:space="preserve">(3), 988–1001. </w:t>
      </w:r>
      <w:hyperlink r:id="rId33" w:tgtFrame="_new" w:history="1">
        <w:r w:rsidRPr="00E057AC">
          <w:rPr>
            <w:rStyle w:val="Hyperlink"/>
            <w:lang w:val="nl-BE"/>
          </w:rPr>
          <w:t>https://doi.org/10.1007/s12011-021-02719-w</w:t>
        </w:r>
      </w:hyperlink>
    </w:p>
    <w:p w14:paraId="64C1800D" w14:textId="77777777" w:rsidR="002B7670" w:rsidRDefault="002B7670" w:rsidP="002B7670">
      <w:pPr>
        <w:pStyle w:val="NormalWeb"/>
        <w:ind w:left="709" w:hanging="709"/>
        <w:jc w:val="both"/>
      </w:pPr>
      <w:r w:rsidRPr="00E057AC">
        <w:rPr>
          <w:lang w:val="nl-BE"/>
        </w:rPr>
        <w:t xml:space="preserve">Patil, R., Sontakke, T., Biradar, A., &amp; Nalage, D. (2023). </w:t>
      </w:r>
      <w:r>
        <w:t xml:space="preserve">Zinc: An essential trace element for human health. </w:t>
      </w:r>
      <w:r>
        <w:rPr>
          <w:rStyle w:val="Emphasis"/>
        </w:rPr>
        <w:t>Food and Health, 5</w:t>
      </w:r>
      <w:r>
        <w:t xml:space="preserve">(3), 13. </w:t>
      </w:r>
      <w:hyperlink r:id="rId34" w:tgtFrame="_new" w:history="1">
        <w:r>
          <w:rPr>
            <w:rStyle w:val="Hyperlink"/>
          </w:rPr>
          <w:t>https://doi.org/10.53388/fh2023013</w:t>
        </w:r>
      </w:hyperlink>
    </w:p>
    <w:p w14:paraId="6E5A686F" w14:textId="77777777" w:rsidR="002B7670" w:rsidRDefault="002B7670" w:rsidP="002B7670">
      <w:pPr>
        <w:pStyle w:val="NormalWeb"/>
        <w:ind w:left="709" w:hanging="709"/>
        <w:jc w:val="both"/>
      </w:pPr>
      <w:r>
        <w:t xml:space="preserve">Singh, R. D., </w:t>
      </w:r>
      <w:proofErr w:type="spellStart"/>
      <w:r>
        <w:t>Arambam</w:t>
      </w:r>
      <w:proofErr w:type="spellEnd"/>
      <w:r>
        <w:t xml:space="preserve">, K., Singh, A. M., &amp; Singh, S. K. (2025). Health and nutritional benefits of fish. In </w:t>
      </w:r>
      <w:r>
        <w:rPr>
          <w:rStyle w:val="Emphasis"/>
        </w:rPr>
        <w:t>Food security and aquaculture technologies</w:t>
      </w:r>
      <w:r>
        <w:t xml:space="preserve"> (pp. 43–59). Springer.</w:t>
      </w:r>
    </w:p>
    <w:p w14:paraId="1D6551E1" w14:textId="77777777" w:rsidR="002B7670" w:rsidRPr="00E057AC" w:rsidRDefault="002B7670" w:rsidP="002B7670">
      <w:pPr>
        <w:pStyle w:val="NormalWeb"/>
        <w:ind w:left="709" w:hanging="709"/>
        <w:jc w:val="both"/>
        <w:rPr>
          <w:lang w:val="nl-BE"/>
        </w:rPr>
      </w:pPr>
      <w:r>
        <w:lastRenderedPageBreak/>
        <w:t xml:space="preserve">Srivastava, V., Gupta, S. K., Singh, P., Sharma, B., &amp; Singh, R. P. (2018). Biochemical responses of crops grown on waste-amended soils. </w:t>
      </w:r>
      <w:r>
        <w:rPr>
          <w:rStyle w:val="Emphasis"/>
        </w:rPr>
        <w:t>International Journal of Recycling of Organic Waste in Agriculture, 7</w:t>
      </w:r>
      <w:r>
        <w:t xml:space="preserve">(3), 241–250. </w:t>
      </w:r>
      <w:hyperlink r:id="rId35" w:tgtFrame="_new" w:history="1">
        <w:r w:rsidRPr="00E057AC">
          <w:rPr>
            <w:rStyle w:val="Hyperlink"/>
            <w:lang w:val="nl-BE"/>
          </w:rPr>
          <w:t>https://doi.org/10.1007/s40093-018-0210-1</w:t>
        </w:r>
      </w:hyperlink>
    </w:p>
    <w:p w14:paraId="5302D969" w14:textId="77777777" w:rsidR="002B7670" w:rsidRDefault="002B7670" w:rsidP="002B7670">
      <w:pPr>
        <w:pStyle w:val="NormalWeb"/>
        <w:ind w:left="709" w:hanging="709"/>
        <w:jc w:val="both"/>
      </w:pPr>
      <w:r w:rsidRPr="00E057AC">
        <w:rPr>
          <w:lang w:val="nl-BE"/>
        </w:rPr>
        <w:t xml:space="preserve">Taiwo, I. O., Olopade, O. A., &amp; Bamidele, N. A. (2019). </w:t>
      </w:r>
      <w:r>
        <w:t xml:space="preserve">Heavy metal concentration in fish from Epe Lagoon. </w:t>
      </w:r>
      <w:r>
        <w:rPr>
          <w:rStyle w:val="Emphasis"/>
        </w:rPr>
        <w:t xml:space="preserve">Transylvanian Review of </w:t>
      </w:r>
      <w:proofErr w:type="spellStart"/>
      <w:r>
        <w:rPr>
          <w:rStyle w:val="Emphasis"/>
        </w:rPr>
        <w:t>Systematical</w:t>
      </w:r>
      <w:proofErr w:type="spellEnd"/>
      <w:r>
        <w:rPr>
          <w:rStyle w:val="Emphasis"/>
        </w:rPr>
        <w:t xml:space="preserve"> and Ecological Research, 21</w:t>
      </w:r>
      <w:r>
        <w:t>(1), 69–82.</w:t>
      </w:r>
    </w:p>
    <w:p w14:paraId="2F5B8596" w14:textId="77777777" w:rsidR="002B7670" w:rsidRDefault="002B7670" w:rsidP="002B7670">
      <w:pPr>
        <w:pStyle w:val="NormalWeb"/>
        <w:ind w:left="709" w:hanging="709"/>
        <w:jc w:val="both"/>
      </w:pPr>
      <w:proofErr w:type="spellStart"/>
      <w:r>
        <w:t>Uguru</w:t>
      </w:r>
      <w:proofErr w:type="spellEnd"/>
      <w:r>
        <w:t xml:space="preserve">, H., </w:t>
      </w:r>
      <w:proofErr w:type="spellStart"/>
      <w:r>
        <w:t>Akpokodje</w:t>
      </w:r>
      <w:proofErr w:type="spellEnd"/>
      <w:r>
        <w:t xml:space="preserve">, O. I., </w:t>
      </w:r>
      <w:proofErr w:type="spellStart"/>
      <w:r>
        <w:t>Essaghah</w:t>
      </w:r>
      <w:proofErr w:type="spellEnd"/>
      <w:r>
        <w:t xml:space="preserve">, A. E., et al. (2023). Toxic metals in smoked-dried fish. </w:t>
      </w:r>
      <w:r>
        <w:rPr>
          <w:rStyle w:val="Emphasis"/>
        </w:rPr>
        <w:t>Materials Express, 13</w:t>
      </w:r>
      <w:r>
        <w:t xml:space="preserve">(2), 316–326. </w:t>
      </w:r>
      <w:hyperlink r:id="rId36" w:tgtFrame="_new" w:history="1">
        <w:r>
          <w:rPr>
            <w:rStyle w:val="Hyperlink"/>
          </w:rPr>
          <w:t>https://doi.org/10.1166/mex.2023.2343</w:t>
        </w:r>
      </w:hyperlink>
    </w:p>
    <w:p w14:paraId="6520894E" w14:textId="77777777" w:rsidR="002B7670" w:rsidRDefault="002B7670" w:rsidP="002B7670">
      <w:pPr>
        <w:pStyle w:val="NormalWeb"/>
        <w:ind w:left="709" w:hanging="709"/>
        <w:jc w:val="both"/>
      </w:pPr>
      <w:r>
        <w:t xml:space="preserve">United States Environmental Protection Agency. (2004). </w:t>
      </w:r>
      <w:r>
        <w:rPr>
          <w:rStyle w:val="Emphasis"/>
        </w:rPr>
        <w:t>Risk assessment guidance for Superfund: Human health evaluation manual (Part E).</w:t>
      </w:r>
      <w:r>
        <w:t xml:space="preserve"> USEPA.</w:t>
      </w:r>
    </w:p>
    <w:p w14:paraId="2C406FEC" w14:textId="77777777" w:rsidR="002B7670" w:rsidRDefault="002B7670" w:rsidP="002B7670">
      <w:pPr>
        <w:pStyle w:val="NormalWeb"/>
        <w:ind w:left="709" w:hanging="709"/>
        <w:jc w:val="both"/>
      </w:pPr>
      <w:r>
        <w:t xml:space="preserve">United States Environmental Protection Agency. (2005). </w:t>
      </w:r>
      <w:r>
        <w:rPr>
          <w:rStyle w:val="Emphasis"/>
        </w:rPr>
        <w:t>Guidelines for carcinogen risk assessment</w:t>
      </w:r>
      <w:r>
        <w:t xml:space="preserve"> (EPA/630/P-03/001F). USEPA.</w:t>
      </w:r>
    </w:p>
    <w:p w14:paraId="3F126A81" w14:textId="77777777" w:rsidR="002B7670" w:rsidRDefault="002B7670" w:rsidP="002B7670">
      <w:pPr>
        <w:pStyle w:val="NormalWeb"/>
        <w:ind w:left="709" w:hanging="709"/>
        <w:jc w:val="both"/>
      </w:pPr>
      <w:r>
        <w:t xml:space="preserve">World Health Organization. (2015). </w:t>
      </w:r>
      <w:r>
        <w:rPr>
          <w:rStyle w:val="Emphasis"/>
        </w:rPr>
        <w:t>Guidelines for drinking-water quality</w:t>
      </w:r>
      <w:r>
        <w:t xml:space="preserve"> (4th ed.). WHO Press.</w:t>
      </w:r>
    </w:p>
    <w:p w14:paraId="408CB26D" w14:textId="77777777" w:rsidR="002B7670" w:rsidRDefault="002B7670" w:rsidP="002B7670">
      <w:pPr>
        <w:pStyle w:val="NormalWeb"/>
        <w:ind w:left="709" w:hanging="709"/>
        <w:jc w:val="both"/>
      </w:pPr>
      <w:r>
        <w:t xml:space="preserve">World Health Organization. (2003). </w:t>
      </w:r>
      <w:r>
        <w:rPr>
          <w:rStyle w:val="Emphasis"/>
        </w:rPr>
        <w:t>Malathion in drinking water</w:t>
      </w:r>
      <w:r>
        <w:t>. WHO.</w:t>
      </w:r>
    </w:p>
    <w:p w14:paraId="70A5D816" w14:textId="77777777" w:rsidR="002B7670" w:rsidRDefault="002B7670" w:rsidP="002B7670">
      <w:pPr>
        <w:pStyle w:val="NormalWeb"/>
        <w:ind w:left="709" w:hanging="709"/>
        <w:jc w:val="both"/>
      </w:pPr>
      <w:r>
        <w:t xml:space="preserve">Zhao, W., Tang, H., Yang, X., Luo, X., Wang, X., Shao, C., &amp; He, J. (2019). Fish consumption and stroke risk. </w:t>
      </w:r>
      <w:r>
        <w:rPr>
          <w:rStyle w:val="Emphasis"/>
        </w:rPr>
        <w:t>Journal of Stroke and Cerebrovascular Diseases, 28</w:t>
      </w:r>
      <w:r>
        <w:t>, 604–611.</w:t>
      </w:r>
    </w:p>
    <w:p w14:paraId="255FB1B0" w14:textId="77777777" w:rsidR="002B7670" w:rsidRDefault="002B7670" w:rsidP="002B7670">
      <w:pPr>
        <w:pStyle w:val="NormalWeb"/>
        <w:ind w:left="709" w:hanging="709"/>
        <w:jc w:val="both"/>
      </w:pPr>
      <w:r w:rsidRPr="00E057AC">
        <w:rPr>
          <w:lang w:val="nl-BE"/>
        </w:rPr>
        <w:t xml:space="preserve">Zhong, W., Zhang, Y., Wu, Z., et al. </w:t>
      </w:r>
      <w:r>
        <w:t xml:space="preserve">(2018). Health risk assessment of heavy metals in freshwater fish. </w:t>
      </w:r>
      <w:r>
        <w:rPr>
          <w:rStyle w:val="Emphasis"/>
        </w:rPr>
        <w:t>Ecotoxicology and Environmental Safety, 157</w:t>
      </w:r>
      <w:r>
        <w:t>, 343–349.</w:t>
      </w:r>
    </w:p>
    <w:p w14:paraId="633083C7" w14:textId="77777777" w:rsidR="002B7670" w:rsidRDefault="002B7670" w:rsidP="002B7670">
      <w:pPr>
        <w:ind w:left="709" w:hanging="709"/>
        <w:jc w:val="both"/>
      </w:pPr>
    </w:p>
    <w:p w14:paraId="573C5723" w14:textId="77777777" w:rsidR="008C1AA2" w:rsidRPr="008C1AA2" w:rsidRDefault="008C1AA2" w:rsidP="002B7670">
      <w:pPr>
        <w:autoSpaceDE w:val="0"/>
        <w:autoSpaceDN w:val="0"/>
        <w:adjustRightInd w:val="0"/>
        <w:spacing w:after="0" w:line="480" w:lineRule="auto"/>
        <w:ind w:left="851" w:hanging="851"/>
        <w:jc w:val="both"/>
        <w:rPr>
          <w:rFonts w:ascii="Times New Roman" w:hAnsi="Times New Roman" w:cs="Times New Roman"/>
        </w:rPr>
      </w:pPr>
    </w:p>
    <w:sectPr w:rsidR="008C1AA2" w:rsidRPr="008C1AA2" w:rsidSect="004D1F8B">
      <w:headerReference w:type="even" r:id="rId37"/>
      <w:headerReference w:type="default" r:id="rId38"/>
      <w:footerReference w:type="even" r:id="rId39"/>
      <w:footerReference w:type="default" r:id="rId40"/>
      <w:headerReference w:type="first" r:id="rId41"/>
      <w:footerReference w:type="first" r:id="rId42"/>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A137" w14:textId="77777777" w:rsidR="0056264E" w:rsidRDefault="0056264E" w:rsidP="004B786F">
      <w:pPr>
        <w:spacing w:after="0" w:line="240" w:lineRule="auto"/>
      </w:pPr>
      <w:r>
        <w:separator/>
      </w:r>
    </w:p>
  </w:endnote>
  <w:endnote w:type="continuationSeparator" w:id="0">
    <w:p w14:paraId="50760AB0" w14:textId="77777777" w:rsidR="0056264E" w:rsidRDefault="0056264E" w:rsidP="004B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tinusSerif-Regular">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A49E" w14:textId="77777777" w:rsidR="004B786F" w:rsidRDefault="004B7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0C47" w14:textId="77777777" w:rsidR="004B786F" w:rsidRDefault="004B7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4203" w14:textId="77777777" w:rsidR="004B786F" w:rsidRDefault="004B7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FC05" w14:textId="77777777" w:rsidR="0056264E" w:rsidRDefault="0056264E" w:rsidP="004B786F">
      <w:pPr>
        <w:spacing w:after="0" w:line="240" w:lineRule="auto"/>
      </w:pPr>
      <w:r>
        <w:separator/>
      </w:r>
    </w:p>
  </w:footnote>
  <w:footnote w:type="continuationSeparator" w:id="0">
    <w:p w14:paraId="781D529E" w14:textId="77777777" w:rsidR="0056264E" w:rsidRDefault="0056264E" w:rsidP="004B7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E511" w14:textId="231E1834" w:rsidR="004B786F" w:rsidRDefault="00000000">
    <w:pPr>
      <w:pStyle w:val="Header"/>
    </w:pPr>
    <w:r>
      <w:rPr>
        <w:noProof/>
      </w:rPr>
      <w:pict w14:anchorId="329F4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2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8C97" w14:textId="2F42FFAD" w:rsidR="004B786F" w:rsidRDefault="00000000">
    <w:pPr>
      <w:pStyle w:val="Header"/>
    </w:pPr>
    <w:r>
      <w:rPr>
        <w:noProof/>
      </w:rPr>
      <w:pict w14:anchorId="2355D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3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DDF3" w14:textId="5348F657" w:rsidR="004B786F" w:rsidRDefault="00000000">
    <w:pPr>
      <w:pStyle w:val="Header"/>
    </w:pPr>
    <w:r>
      <w:rPr>
        <w:noProof/>
      </w:rPr>
      <w:pict w14:anchorId="02E62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2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56906"/>
    <w:multiLevelType w:val="multilevel"/>
    <w:tmpl w:val="9F5279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8297E53"/>
    <w:multiLevelType w:val="hybridMultilevel"/>
    <w:tmpl w:val="752ED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A61B54"/>
    <w:multiLevelType w:val="hybridMultilevel"/>
    <w:tmpl w:val="4DBA4E8E"/>
    <w:lvl w:ilvl="0" w:tplc="D85614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924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3513809">
    <w:abstractNumId w:val="1"/>
  </w:num>
  <w:num w:numId="3" w16cid:durableId="147876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2NjU0MTQ3sTQwNLVU0lEKTi0uzszPAykwqgUAkkZj1ywAAAA="/>
  </w:docVars>
  <w:rsids>
    <w:rsidRoot w:val="000A56CD"/>
    <w:rsid w:val="00004ABE"/>
    <w:rsid w:val="000102B0"/>
    <w:rsid w:val="00023196"/>
    <w:rsid w:val="000303BD"/>
    <w:rsid w:val="00035458"/>
    <w:rsid w:val="00035E87"/>
    <w:rsid w:val="000550AC"/>
    <w:rsid w:val="00065F5A"/>
    <w:rsid w:val="000739C1"/>
    <w:rsid w:val="000772C4"/>
    <w:rsid w:val="00083E55"/>
    <w:rsid w:val="000850F3"/>
    <w:rsid w:val="000A56CD"/>
    <w:rsid w:val="000B11B6"/>
    <w:rsid w:val="000C0353"/>
    <w:rsid w:val="000C04B4"/>
    <w:rsid w:val="000E4ADE"/>
    <w:rsid w:val="000F0020"/>
    <w:rsid w:val="000F06F0"/>
    <w:rsid w:val="000F0EBA"/>
    <w:rsid w:val="000F1E1C"/>
    <w:rsid w:val="001002C6"/>
    <w:rsid w:val="0010123C"/>
    <w:rsid w:val="00110F29"/>
    <w:rsid w:val="00113E79"/>
    <w:rsid w:val="001245F8"/>
    <w:rsid w:val="0012747D"/>
    <w:rsid w:val="001452EF"/>
    <w:rsid w:val="00151C52"/>
    <w:rsid w:val="00164020"/>
    <w:rsid w:val="001649B4"/>
    <w:rsid w:val="00174FFC"/>
    <w:rsid w:val="00180E20"/>
    <w:rsid w:val="00181E9F"/>
    <w:rsid w:val="001A6385"/>
    <w:rsid w:val="001B5758"/>
    <w:rsid w:val="001D497D"/>
    <w:rsid w:val="001E4A11"/>
    <w:rsid w:val="001F4DEA"/>
    <w:rsid w:val="0020315B"/>
    <w:rsid w:val="002075AD"/>
    <w:rsid w:val="00232CD6"/>
    <w:rsid w:val="002643FE"/>
    <w:rsid w:val="002652D4"/>
    <w:rsid w:val="00280341"/>
    <w:rsid w:val="00281358"/>
    <w:rsid w:val="002942F1"/>
    <w:rsid w:val="002A4414"/>
    <w:rsid w:val="002B1C23"/>
    <w:rsid w:val="002B39E4"/>
    <w:rsid w:val="002B5074"/>
    <w:rsid w:val="002B5577"/>
    <w:rsid w:val="002B7670"/>
    <w:rsid w:val="002C2CA9"/>
    <w:rsid w:val="002C50C2"/>
    <w:rsid w:val="002D1508"/>
    <w:rsid w:val="002E019B"/>
    <w:rsid w:val="002F5F98"/>
    <w:rsid w:val="0032325C"/>
    <w:rsid w:val="003308DD"/>
    <w:rsid w:val="003320EC"/>
    <w:rsid w:val="003441FB"/>
    <w:rsid w:val="00344ED6"/>
    <w:rsid w:val="00356F93"/>
    <w:rsid w:val="0036280E"/>
    <w:rsid w:val="00373547"/>
    <w:rsid w:val="00382CE2"/>
    <w:rsid w:val="003959FC"/>
    <w:rsid w:val="003C489A"/>
    <w:rsid w:val="003E07D4"/>
    <w:rsid w:val="003F326F"/>
    <w:rsid w:val="003F3773"/>
    <w:rsid w:val="003F60BC"/>
    <w:rsid w:val="0040720B"/>
    <w:rsid w:val="004150FC"/>
    <w:rsid w:val="00434FAB"/>
    <w:rsid w:val="0044672D"/>
    <w:rsid w:val="00473F3E"/>
    <w:rsid w:val="004818F0"/>
    <w:rsid w:val="00483005"/>
    <w:rsid w:val="00486D3A"/>
    <w:rsid w:val="0048732F"/>
    <w:rsid w:val="0049704B"/>
    <w:rsid w:val="004A0CD0"/>
    <w:rsid w:val="004A15D2"/>
    <w:rsid w:val="004B786F"/>
    <w:rsid w:val="004B7D06"/>
    <w:rsid w:val="004C3DC5"/>
    <w:rsid w:val="004C5F51"/>
    <w:rsid w:val="004C7602"/>
    <w:rsid w:val="004D1F8B"/>
    <w:rsid w:val="004E69E4"/>
    <w:rsid w:val="004E759A"/>
    <w:rsid w:val="004F0532"/>
    <w:rsid w:val="004F2D62"/>
    <w:rsid w:val="00500E49"/>
    <w:rsid w:val="005018E4"/>
    <w:rsid w:val="00512424"/>
    <w:rsid w:val="00531C7A"/>
    <w:rsid w:val="00542F57"/>
    <w:rsid w:val="00543522"/>
    <w:rsid w:val="0054417A"/>
    <w:rsid w:val="0056264E"/>
    <w:rsid w:val="00565085"/>
    <w:rsid w:val="00566118"/>
    <w:rsid w:val="00570430"/>
    <w:rsid w:val="0057092E"/>
    <w:rsid w:val="00573BE9"/>
    <w:rsid w:val="00590E7A"/>
    <w:rsid w:val="005A312A"/>
    <w:rsid w:val="005B12C5"/>
    <w:rsid w:val="005B3A4E"/>
    <w:rsid w:val="005C104A"/>
    <w:rsid w:val="005C492D"/>
    <w:rsid w:val="005C4955"/>
    <w:rsid w:val="005C6F5C"/>
    <w:rsid w:val="005D7604"/>
    <w:rsid w:val="005E0DE4"/>
    <w:rsid w:val="005E1211"/>
    <w:rsid w:val="005F3B76"/>
    <w:rsid w:val="00600E83"/>
    <w:rsid w:val="00612276"/>
    <w:rsid w:val="006128E4"/>
    <w:rsid w:val="0061445B"/>
    <w:rsid w:val="0063082B"/>
    <w:rsid w:val="00644F28"/>
    <w:rsid w:val="00646F9A"/>
    <w:rsid w:val="00647BB0"/>
    <w:rsid w:val="006569C9"/>
    <w:rsid w:val="00660B0A"/>
    <w:rsid w:val="0068067F"/>
    <w:rsid w:val="00683B14"/>
    <w:rsid w:val="0069595B"/>
    <w:rsid w:val="00696E65"/>
    <w:rsid w:val="006A69F9"/>
    <w:rsid w:val="006A6F10"/>
    <w:rsid w:val="006B380F"/>
    <w:rsid w:val="006B50B4"/>
    <w:rsid w:val="006C1468"/>
    <w:rsid w:val="006C6FD8"/>
    <w:rsid w:val="006C7C61"/>
    <w:rsid w:val="00702444"/>
    <w:rsid w:val="00706441"/>
    <w:rsid w:val="00707C05"/>
    <w:rsid w:val="00715D25"/>
    <w:rsid w:val="0072135E"/>
    <w:rsid w:val="00724843"/>
    <w:rsid w:val="00727636"/>
    <w:rsid w:val="0073040B"/>
    <w:rsid w:val="00737A0F"/>
    <w:rsid w:val="007413A0"/>
    <w:rsid w:val="00741486"/>
    <w:rsid w:val="007645BD"/>
    <w:rsid w:val="0076618A"/>
    <w:rsid w:val="0077166B"/>
    <w:rsid w:val="00790D2A"/>
    <w:rsid w:val="00791EC8"/>
    <w:rsid w:val="00796201"/>
    <w:rsid w:val="007A1550"/>
    <w:rsid w:val="007C0539"/>
    <w:rsid w:val="007D0454"/>
    <w:rsid w:val="007D725E"/>
    <w:rsid w:val="007E7887"/>
    <w:rsid w:val="00814CDE"/>
    <w:rsid w:val="008207AB"/>
    <w:rsid w:val="00820C5F"/>
    <w:rsid w:val="008270E4"/>
    <w:rsid w:val="00833CFB"/>
    <w:rsid w:val="00850D19"/>
    <w:rsid w:val="008547F4"/>
    <w:rsid w:val="00861228"/>
    <w:rsid w:val="00865456"/>
    <w:rsid w:val="008A5D9C"/>
    <w:rsid w:val="008B7D42"/>
    <w:rsid w:val="008C1AA2"/>
    <w:rsid w:val="008C6B69"/>
    <w:rsid w:val="008D6271"/>
    <w:rsid w:val="008D7509"/>
    <w:rsid w:val="008E5761"/>
    <w:rsid w:val="008E7ADD"/>
    <w:rsid w:val="008F02AB"/>
    <w:rsid w:val="008F2927"/>
    <w:rsid w:val="008F479B"/>
    <w:rsid w:val="009109FB"/>
    <w:rsid w:val="00933FC7"/>
    <w:rsid w:val="009430F8"/>
    <w:rsid w:val="00945535"/>
    <w:rsid w:val="00950A8A"/>
    <w:rsid w:val="009525FF"/>
    <w:rsid w:val="00953901"/>
    <w:rsid w:val="009555F8"/>
    <w:rsid w:val="009558BC"/>
    <w:rsid w:val="00992F36"/>
    <w:rsid w:val="0099415C"/>
    <w:rsid w:val="009A0BC2"/>
    <w:rsid w:val="009A7392"/>
    <w:rsid w:val="009B7B98"/>
    <w:rsid w:val="009C008E"/>
    <w:rsid w:val="009C4C71"/>
    <w:rsid w:val="009D09EA"/>
    <w:rsid w:val="009D57FD"/>
    <w:rsid w:val="009E68B6"/>
    <w:rsid w:val="009F607A"/>
    <w:rsid w:val="00A10807"/>
    <w:rsid w:val="00A13B18"/>
    <w:rsid w:val="00A14FF5"/>
    <w:rsid w:val="00A20D37"/>
    <w:rsid w:val="00A25717"/>
    <w:rsid w:val="00A272DB"/>
    <w:rsid w:val="00A310B5"/>
    <w:rsid w:val="00A31BA5"/>
    <w:rsid w:val="00A40446"/>
    <w:rsid w:val="00A4347B"/>
    <w:rsid w:val="00A43DAA"/>
    <w:rsid w:val="00A46095"/>
    <w:rsid w:val="00A533D5"/>
    <w:rsid w:val="00A5474A"/>
    <w:rsid w:val="00A61AE4"/>
    <w:rsid w:val="00A822C8"/>
    <w:rsid w:val="00A91DC5"/>
    <w:rsid w:val="00A94B5D"/>
    <w:rsid w:val="00AA3A1C"/>
    <w:rsid w:val="00AA4EFD"/>
    <w:rsid w:val="00AB215F"/>
    <w:rsid w:val="00AB6483"/>
    <w:rsid w:val="00AC2845"/>
    <w:rsid w:val="00AF00D1"/>
    <w:rsid w:val="00AF0E5A"/>
    <w:rsid w:val="00AF2474"/>
    <w:rsid w:val="00AF49E1"/>
    <w:rsid w:val="00B00791"/>
    <w:rsid w:val="00B12A25"/>
    <w:rsid w:val="00B27635"/>
    <w:rsid w:val="00B32A41"/>
    <w:rsid w:val="00B42051"/>
    <w:rsid w:val="00B423C3"/>
    <w:rsid w:val="00B454AA"/>
    <w:rsid w:val="00B52172"/>
    <w:rsid w:val="00B5704E"/>
    <w:rsid w:val="00B66B1B"/>
    <w:rsid w:val="00B66C39"/>
    <w:rsid w:val="00B8182F"/>
    <w:rsid w:val="00B95574"/>
    <w:rsid w:val="00B96302"/>
    <w:rsid w:val="00BA06A4"/>
    <w:rsid w:val="00BA7622"/>
    <w:rsid w:val="00BD3DE9"/>
    <w:rsid w:val="00BD5DD2"/>
    <w:rsid w:val="00BF086E"/>
    <w:rsid w:val="00BF5190"/>
    <w:rsid w:val="00C011AF"/>
    <w:rsid w:val="00C04F50"/>
    <w:rsid w:val="00C21B32"/>
    <w:rsid w:val="00C23896"/>
    <w:rsid w:val="00C431FC"/>
    <w:rsid w:val="00C45D0E"/>
    <w:rsid w:val="00C53972"/>
    <w:rsid w:val="00C57AF8"/>
    <w:rsid w:val="00C64466"/>
    <w:rsid w:val="00C71345"/>
    <w:rsid w:val="00C740D4"/>
    <w:rsid w:val="00C75D82"/>
    <w:rsid w:val="00C77925"/>
    <w:rsid w:val="00C81CEB"/>
    <w:rsid w:val="00C85D8D"/>
    <w:rsid w:val="00C9675B"/>
    <w:rsid w:val="00CA1E6B"/>
    <w:rsid w:val="00CA48AD"/>
    <w:rsid w:val="00CB07FF"/>
    <w:rsid w:val="00CB67FF"/>
    <w:rsid w:val="00CE6830"/>
    <w:rsid w:val="00CE6B30"/>
    <w:rsid w:val="00D054AD"/>
    <w:rsid w:val="00D0775A"/>
    <w:rsid w:val="00D105A6"/>
    <w:rsid w:val="00D13676"/>
    <w:rsid w:val="00D3249D"/>
    <w:rsid w:val="00D51FF5"/>
    <w:rsid w:val="00D62B5A"/>
    <w:rsid w:val="00D66E91"/>
    <w:rsid w:val="00D74250"/>
    <w:rsid w:val="00D84570"/>
    <w:rsid w:val="00D87DAF"/>
    <w:rsid w:val="00D918A7"/>
    <w:rsid w:val="00DA1D20"/>
    <w:rsid w:val="00DB1E71"/>
    <w:rsid w:val="00DB5FCD"/>
    <w:rsid w:val="00DC29CA"/>
    <w:rsid w:val="00DC5175"/>
    <w:rsid w:val="00DD0273"/>
    <w:rsid w:val="00DD73E8"/>
    <w:rsid w:val="00E0043A"/>
    <w:rsid w:val="00E021D5"/>
    <w:rsid w:val="00E057AC"/>
    <w:rsid w:val="00E107E4"/>
    <w:rsid w:val="00E51F8A"/>
    <w:rsid w:val="00E60122"/>
    <w:rsid w:val="00E81385"/>
    <w:rsid w:val="00E81992"/>
    <w:rsid w:val="00E83FB2"/>
    <w:rsid w:val="00E8538B"/>
    <w:rsid w:val="00E8764B"/>
    <w:rsid w:val="00E90681"/>
    <w:rsid w:val="00EA2106"/>
    <w:rsid w:val="00EC2400"/>
    <w:rsid w:val="00EC314B"/>
    <w:rsid w:val="00EE45ED"/>
    <w:rsid w:val="00F03F25"/>
    <w:rsid w:val="00F12F8C"/>
    <w:rsid w:val="00F25388"/>
    <w:rsid w:val="00F25DAF"/>
    <w:rsid w:val="00F2783C"/>
    <w:rsid w:val="00F36CC7"/>
    <w:rsid w:val="00F70737"/>
    <w:rsid w:val="00F740A6"/>
    <w:rsid w:val="00F77D48"/>
    <w:rsid w:val="00F77EFD"/>
    <w:rsid w:val="00F95C89"/>
    <w:rsid w:val="00FA601C"/>
    <w:rsid w:val="00FA71D8"/>
    <w:rsid w:val="00FB0397"/>
    <w:rsid w:val="00FD15CD"/>
    <w:rsid w:val="00FF415F"/>
    <w:rsid w:val="00FF4896"/>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A45DE"/>
  <w15:docId w15:val="{49D7D152-B946-4D0D-A801-7498FDCA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C03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6CD"/>
    <w:pPr>
      <w:autoSpaceDE w:val="0"/>
      <w:autoSpaceDN w:val="0"/>
      <w:adjustRightInd w:val="0"/>
      <w:spacing w:after="0" w:line="240" w:lineRule="auto"/>
    </w:pPr>
    <w:rPr>
      <w:rFonts w:ascii="Book Antiqua" w:hAnsi="Book Antiqua" w:cs="Book Antiqua"/>
      <w:color w:val="000000"/>
      <w:sz w:val="24"/>
      <w:szCs w:val="24"/>
    </w:rPr>
  </w:style>
  <w:style w:type="character" w:styleId="Emphasis">
    <w:name w:val="Emphasis"/>
    <w:basedOn w:val="DefaultParagraphFont"/>
    <w:uiPriority w:val="20"/>
    <w:qFormat/>
    <w:rsid w:val="003959FC"/>
    <w:rPr>
      <w:i/>
      <w:iCs/>
    </w:rPr>
  </w:style>
  <w:style w:type="character" w:styleId="Hyperlink">
    <w:name w:val="Hyperlink"/>
    <w:basedOn w:val="DefaultParagraphFont"/>
    <w:uiPriority w:val="99"/>
    <w:unhideWhenUsed/>
    <w:rsid w:val="003959FC"/>
    <w:rPr>
      <w:color w:val="0000FF"/>
      <w:u w:val="single"/>
    </w:rPr>
  </w:style>
  <w:style w:type="paragraph" w:styleId="NormalWeb">
    <w:name w:val="Normal (Web)"/>
    <w:basedOn w:val="Normal"/>
    <w:uiPriority w:val="99"/>
    <w:unhideWhenUsed/>
    <w:qFormat/>
    <w:rsid w:val="00A20D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s-1">
    <w:name w:val="ms-1"/>
    <w:basedOn w:val="DefaultParagraphFont"/>
    <w:rsid w:val="00A20D37"/>
  </w:style>
  <w:style w:type="character" w:customStyle="1" w:styleId="max-w-15ch">
    <w:name w:val="max-w-[15ch]"/>
    <w:basedOn w:val="DefaultParagraphFont"/>
    <w:rsid w:val="00A20D37"/>
  </w:style>
  <w:style w:type="character" w:customStyle="1" w:styleId="-me-1">
    <w:name w:val="-me-1"/>
    <w:basedOn w:val="DefaultParagraphFont"/>
    <w:rsid w:val="00A20D37"/>
  </w:style>
  <w:style w:type="character" w:styleId="Strong">
    <w:name w:val="Strong"/>
    <w:basedOn w:val="DefaultParagraphFont"/>
    <w:uiPriority w:val="22"/>
    <w:qFormat/>
    <w:rsid w:val="00F03F25"/>
    <w:rPr>
      <w:b/>
      <w:bCs/>
    </w:rPr>
  </w:style>
  <w:style w:type="character" w:styleId="PlaceholderText">
    <w:name w:val="Placeholder Text"/>
    <w:basedOn w:val="DefaultParagraphFont"/>
    <w:uiPriority w:val="99"/>
    <w:semiHidden/>
    <w:rsid w:val="0020315B"/>
    <w:rPr>
      <w:color w:val="808080"/>
    </w:rPr>
  </w:style>
  <w:style w:type="paragraph" w:styleId="BalloonText">
    <w:name w:val="Balloon Text"/>
    <w:basedOn w:val="Normal"/>
    <w:link w:val="BalloonTextChar"/>
    <w:uiPriority w:val="99"/>
    <w:semiHidden/>
    <w:unhideWhenUsed/>
    <w:rsid w:val="00203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15B"/>
    <w:rPr>
      <w:rFonts w:ascii="Tahoma" w:hAnsi="Tahoma" w:cs="Tahoma"/>
      <w:sz w:val="16"/>
      <w:szCs w:val="16"/>
    </w:rPr>
  </w:style>
  <w:style w:type="table" w:styleId="TableGrid">
    <w:name w:val="Table Grid"/>
    <w:basedOn w:val="TableNormal"/>
    <w:uiPriority w:val="59"/>
    <w:rsid w:val="000F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00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E8764B"/>
    <w:rPr>
      <w:color w:val="605E5C"/>
      <w:shd w:val="clear" w:color="auto" w:fill="E1DFDD"/>
    </w:rPr>
  </w:style>
  <w:style w:type="paragraph" w:styleId="Header">
    <w:name w:val="header"/>
    <w:basedOn w:val="Normal"/>
    <w:link w:val="HeaderChar"/>
    <w:uiPriority w:val="99"/>
    <w:unhideWhenUsed/>
    <w:rsid w:val="004B7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86F"/>
  </w:style>
  <w:style w:type="paragraph" w:styleId="Footer">
    <w:name w:val="footer"/>
    <w:basedOn w:val="Normal"/>
    <w:link w:val="FooterChar"/>
    <w:uiPriority w:val="99"/>
    <w:unhideWhenUsed/>
    <w:rsid w:val="004B7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86F"/>
  </w:style>
  <w:style w:type="character" w:styleId="CommentReference">
    <w:name w:val="annotation reference"/>
    <w:basedOn w:val="DefaultParagraphFont"/>
    <w:uiPriority w:val="99"/>
    <w:semiHidden/>
    <w:unhideWhenUsed/>
    <w:rsid w:val="00BF086E"/>
    <w:rPr>
      <w:sz w:val="16"/>
      <w:szCs w:val="16"/>
    </w:rPr>
  </w:style>
  <w:style w:type="paragraph" w:styleId="CommentText">
    <w:name w:val="annotation text"/>
    <w:basedOn w:val="Normal"/>
    <w:link w:val="CommentTextChar"/>
    <w:uiPriority w:val="99"/>
    <w:semiHidden/>
    <w:unhideWhenUsed/>
    <w:rsid w:val="00BF086E"/>
    <w:pPr>
      <w:spacing w:line="240" w:lineRule="auto"/>
    </w:pPr>
    <w:rPr>
      <w:sz w:val="20"/>
      <w:szCs w:val="20"/>
    </w:rPr>
  </w:style>
  <w:style w:type="character" w:customStyle="1" w:styleId="CommentTextChar">
    <w:name w:val="Comment Text Char"/>
    <w:basedOn w:val="DefaultParagraphFont"/>
    <w:link w:val="CommentText"/>
    <w:uiPriority w:val="99"/>
    <w:semiHidden/>
    <w:rsid w:val="00BF086E"/>
    <w:rPr>
      <w:sz w:val="20"/>
      <w:szCs w:val="20"/>
    </w:rPr>
  </w:style>
  <w:style w:type="paragraph" w:styleId="CommentSubject">
    <w:name w:val="annotation subject"/>
    <w:basedOn w:val="CommentText"/>
    <w:next w:val="CommentText"/>
    <w:link w:val="CommentSubjectChar"/>
    <w:uiPriority w:val="99"/>
    <w:semiHidden/>
    <w:unhideWhenUsed/>
    <w:rsid w:val="00BF086E"/>
    <w:rPr>
      <w:b/>
      <w:bCs/>
    </w:rPr>
  </w:style>
  <w:style w:type="character" w:customStyle="1" w:styleId="CommentSubjectChar">
    <w:name w:val="Comment Subject Char"/>
    <w:basedOn w:val="CommentTextChar"/>
    <w:link w:val="CommentSubject"/>
    <w:uiPriority w:val="99"/>
    <w:semiHidden/>
    <w:rsid w:val="00BF086E"/>
    <w:rPr>
      <w:b/>
      <w:bCs/>
      <w:sz w:val="20"/>
      <w:szCs w:val="20"/>
    </w:rPr>
  </w:style>
  <w:style w:type="character" w:customStyle="1" w:styleId="Heading3Char">
    <w:name w:val="Heading 3 Char"/>
    <w:basedOn w:val="DefaultParagraphFont"/>
    <w:link w:val="Heading3"/>
    <w:uiPriority w:val="9"/>
    <w:rsid w:val="000C0353"/>
    <w:rPr>
      <w:rFonts w:ascii="Times New Roman" w:eastAsia="Times New Roman" w:hAnsi="Times New Roman" w:cs="Times New Roman"/>
      <w:b/>
      <w:bCs/>
      <w:sz w:val="27"/>
      <w:szCs w:val="27"/>
      <w:lang w:eastAsia="en-GB"/>
    </w:rPr>
  </w:style>
  <w:style w:type="paragraph" w:styleId="NoSpacing">
    <w:name w:val="No Spacing"/>
    <w:uiPriority w:val="1"/>
    <w:qFormat/>
    <w:rsid w:val="00AA3A1C"/>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778">
      <w:bodyDiv w:val="1"/>
      <w:marLeft w:val="0"/>
      <w:marRight w:val="0"/>
      <w:marTop w:val="0"/>
      <w:marBottom w:val="0"/>
      <w:divBdr>
        <w:top w:val="none" w:sz="0" w:space="0" w:color="auto"/>
        <w:left w:val="none" w:sz="0" w:space="0" w:color="auto"/>
        <w:bottom w:val="none" w:sz="0" w:space="0" w:color="auto"/>
        <w:right w:val="none" w:sz="0" w:space="0" w:color="auto"/>
      </w:divBdr>
    </w:div>
    <w:div w:id="46299965">
      <w:bodyDiv w:val="1"/>
      <w:marLeft w:val="0"/>
      <w:marRight w:val="0"/>
      <w:marTop w:val="0"/>
      <w:marBottom w:val="0"/>
      <w:divBdr>
        <w:top w:val="none" w:sz="0" w:space="0" w:color="auto"/>
        <w:left w:val="none" w:sz="0" w:space="0" w:color="auto"/>
        <w:bottom w:val="none" w:sz="0" w:space="0" w:color="auto"/>
        <w:right w:val="none" w:sz="0" w:space="0" w:color="auto"/>
      </w:divBdr>
    </w:div>
    <w:div w:id="97066087">
      <w:bodyDiv w:val="1"/>
      <w:marLeft w:val="0"/>
      <w:marRight w:val="0"/>
      <w:marTop w:val="0"/>
      <w:marBottom w:val="0"/>
      <w:divBdr>
        <w:top w:val="none" w:sz="0" w:space="0" w:color="auto"/>
        <w:left w:val="none" w:sz="0" w:space="0" w:color="auto"/>
        <w:bottom w:val="none" w:sz="0" w:space="0" w:color="auto"/>
        <w:right w:val="none" w:sz="0" w:space="0" w:color="auto"/>
      </w:divBdr>
    </w:div>
    <w:div w:id="195117889">
      <w:bodyDiv w:val="1"/>
      <w:marLeft w:val="0"/>
      <w:marRight w:val="0"/>
      <w:marTop w:val="0"/>
      <w:marBottom w:val="0"/>
      <w:divBdr>
        <w:top w:val="none" w:sz="0" w:space="0" w:color="auto"/>
        <w:left w:val="none" w:sz="0" w:space="0" w:color="auto"/>
        <w:bottom w:val="none" w:sz="0" w:space="0" w:color="auto"/>
        <w:right w:val="none" w:sz="0" w:space="0" w:color="auto"/>
      </w:divBdr>
    </w:div>
    <w:div w:id="226426909">
      <w:bodyDiv w:val="1"/>
      <w:marLeft w:val="0"/>
      <w:marRight w:val="0"/>
      <w:marTop w:val="0"/>
      <w:marBottom w:val="0"/>
      <w:divBdr>
        <w:top w:val="none" w:sz="0" w:space="0" w:color="auto"/>
        <w:left w:val="none" w:sz="0" w:space="0" w:color="auto"/>
        <w:bottom w:val="none" w:sz="0" w:space="0" w:color="auto"/>
        <w:right w:val="none" w:sz="0" w:space="0" w:color="auto"/>
      </w:divBdr>
    </w:div>
    <w:div w:id="258953737">
      <w:bodyDiv w:val="1"/>
      <w:marLeft w:val="0"/>
      <w:marRight w:val="0"/>
      <w:marTop w:val="0"/>
      <w:marBottom w:val="0"/>
      <w:divBdr>
        <w:top w:val="none" w:sz="0" w:space="0" w:color="auto"/>
        <w:left w:val="none" w:sz="0" w:space="0" w:color="auto"/>
        <w:bottom w:val="none" w:sz="0" w:space="0" w:color="auto"/>
        <w:right w:val="none" w:sz="0" w:space="0" w:color="auto"/>
      </w:divBdr>
    </w:div>
    <w:div w:id="264314163">
      <w:bodyDiv w:val="1"/>
      <w:marLeft w:val="0"/>
      <w:marRight w:val="0"/>
      <w:marTop w:val="0"/>
      <w:marBottom w:val="0"/>
      <w:divBdr>
        <w:top w:val="none" w:sz="0" w:space="0" w:color="auto"/>
        <w:left w:val="none" w:sz="0" w:space="0" w:color="auto"/>
        <w:bottom w:val="none" w:sz="0" w:space="0" w:color="auto"/>
        <w:right w:val="none" w:sz="0" w:space="0" w:color="auto"/>
      </w:divBdr>
    </w:div>
    <w:div w:id="336733109">
      <w:bodyDiv w:val="1"/>
      <w:marLeft w:val="0"/>
      <w:marRight w:val="0"/>
      <w:marTop w:val="0"/>
      <w:marBottom w:val="0"/>
      <w:divBdr>
        <w:top w:val="none" w:sz="0" w:space="0" w:color="auto"/>
        <w:left w:val="none" w:sz="0" w:space="0" w:color="auto"/>
        <w:bottom w:val="none" w:sz="0" w:space="0" w:color="auto"/>
        <w:right w:val="none" w:sz="0" w:space="0" w:color="auto"/>
      </w:divBdr>
    </w:div>
    <w:div w:id="381027668">
      <w:bodyDiv w:val="1"/>
      <w:marLeft w:val="0"/>
      <w:marRight w:val="0"/>
      <w:marTop w:val="0"/>
      <w:marBottom w:val="0"/>
      <w:divBdr>
        <w:top w:val="none" w:sz="0" w:space="0" w:color="auto"/>
        <w:left w:val="none" w:sz="0" w:space="0" w:color="auto"/>
        <w:bottom w:val="none" w:sz="0" w:space="0" w:color="auto"/>
        <w:right w:val="none" w:sz="0" w:space="0" w:color="auto"/>
      </w:divBdr>
    </w:div>
    <w:div w:id="386807644">
      <w:bodyDiv w:val="1"/>
      <w:marLeft w:val="0"/>
      <w:marRight w:val="0"/>
      <w:marTop w:val="0"/>
      <w:marBottom w:val="0"/>
      <w:divBdr>
        <w:top w:val="none" w:sz="0" w:space="0" w:color="auto"/>
        <w:left w:val="none" w:sz="0" w:space="0" w:color="auto"/>
        <w:bottom w:val="none" w:sz="0" w:space="0" w:color="auto"/>
        <w:right w:val="none" w:sz="0" w:space="0" w:color="auto"/>
      </w:divBdr>
    </w:div>
    <w:div w:id="418792552">
      <w:bodyDiv w:val="1"/>
      <w:marLeft w:val="0"/>
      <w:marRight w:val="0"/>
      <w:marTop w:val="0"/>
      <w:marBottom w:val="0"/>
      <w:divBdr>
        <w:top w:val="none" w:sz="0" w:space="0" w:color="auto"/>
        <w:left w:val="none" w:sz="0" w:space="0" w:color="auto"/>
        <w:bottom w:val="none" w:sz="0" w:space="0" w:color="auto"/>
        <w:right w:val="none" w:sz="0" w:space="0" w:color="auto"/>
      </w:divBdr>
    </w:div>
    <w:div w:id="510686388">
      <w:bodyDiv w:val="1"/>
      <w:marLeft w:val="0"/>
      <w:marRight w:val="0"/>
      <w:marTop w:val="0"/>
      <w:marBottom w:val="0"/>
      <w:divBdr>
        <w:top w:val="none" w:sz="0" w:space="0" w:color="auto"/>
        <w:left w:val="none" w:sz="0" w:space="0" w:color="auto"/>
        <w:bottom w:val="none" w:sz="0" w:space="0" w:color="auto"/>
        <w:right w:val="none" w:sz="0" w:space="0" w:color="auto"/>
      </w:divBdr>
    </w:div>
    <w:div w:id="514079966">
      <w:bodyDiv w:val="1"/>
      <w:marLeft w:val="0"/>
      <w:marRight w:val="0"/>
      <w:marTop w:val="0"/>
      <w:marBottom w:val="0"/>
      <w:divBdr>
        <w:top w:val="none" w:sz="0" w:space="0" w:color="auto"/>
        <w:left w:val="none" w:sz="0" w:space="0" w:color="auto"/>
        <w:bottom w:val="none" w:sz="0" w:space="0" w:color="auto"/>
        <w:right w:val="none" w:sz="0" w:space="0" w:color="auto"/>
      </w:divBdr>
    </w:div>
    <w:div w:id="533035530">
      <w:bodyDiv w:val="1"/>
      <w:marLeft w:val="0"/>
      <w:marRight w:val="0"/>
      <w:marTop w:val="0"/>
      <w:marBottom w:val="0"/>
      <w:divBdr>
        <w:top w:val="none" w:sz="0" w:space="0" w:color="auto"/>
        <w:left w:val="none" w:sz="0" w:space="0" w:color="auto"/>
        <w:bottom w:val="none" w:sz="0" w:space="0" w:color="auto"/>
        <w:right w:val="none" w:sz="0" w:space="0" w:color="auto"/>
      </w:divBdr>
    </w:div>
    <w:div w:id="599029920">
      <w:bodyDiv w:val="1"/>
      <w:marLeft w:val="0"/>
      <w:marRight w:val="0"/>
      <w:marTop w:val="0"/>
      <w:marBottom w:val="0"/>
      <w:divBdr>
        <w:top w:val="none" w:sz="0" w:space="0" w:color="auto"/>
        <w:left w:val="none" w:sz="0" w:space="0" w:color="auto"/>
        <w:bottom w:val="none" w:sz="0" w:space="0" w:color="auto"/>
        <w:right w:val="none" w:sz="0" w:space="0" w:color="auto"/>
      </w:divBdr>
    </w:div>
    <w:div w:id="758797453">
      <w:bodyDiv w:val="1"/>
      <w:marLeft w:val="0"/>
      <w:marRight w:val="0"/>
      <w:marTop w:val="0"/>
      <w:marBottom w:val="0"/>
      <w:divBdr>
        <w:top w:val="none" w:sz="0" w:space="0" w:color="auto"/>
        <w:left w:val="none" w:sz="0" w:space="0" w:color="auto"/>
        <w:bottom w:val="none" w:sz="0" w:space="0" w:color="auto"/>
        <w:right w:val="none" w:sz="0" w:space="0" w:color="auto"/>
      </w:divBdr>
    </w:div>
    <w:div w:id="762645445">
      <w:bodyDiv w:val="1"/>
      <w:marLeft w:val="0"/>
      <w:marRight w:val="0"/>
      <w:marTop w:val="0"/>
      <w:marBottom w:val="0"/>
      <w:divBdr>
        <w:top w:val="none" w:sz="0" w:space="0" w:color="auto"/>
        <w:left w:val="none" w:sz="0" w:space="0" w:color="auto"/>
        <w:bottom w:val="none" w:sz="0" w:space="0" w:color="auto"/>
        <w:right w:val="none" w:sz="0" w:space="0" w:color="auto"/>
      </w:divBdr>
    </w:div>
    <w:div w:id="774207429">
      <w:bodyDiv w:val="1"/>
      <w:marLeft w:val="0"/>
      <w:marRight w:val="0"/>
      <w:marTop w:val="0"/>
      <w:marBottom w:val="0"/>
      <w:divBdr>
        <w:top w:val="none" w:sz="0" w:space="0" w:color="auto"/>
        <w:left w:val="none" w:sz="0" w:space="0" w:color="auto"/>
        <w:bottom w:val="none" w:sz="0" w:space="0" w:color="auto"/>
        <w:right w:val="none" w:sz="0" w:space="0" w:color="auto"/>
      </w:divBdr>
    </w:div>
    <w:div w:id="779296699">
      <w:bodyDiv w:val="1"/>
      <w:marLeft w:val="0"/>
      <w:marRight w:val="0"/>
      <w:marTop w:val="0"/>
      <w:marBottom w:val="0"/>
      <w:divBdr>
        <w:top w:val="none" w:sz="0" w:space="0" w:color="auto"/>
        <w:left w:val="none" w:sz="0" w:space="0" w:color="auto"/>
        <w:bottom w:val="none" w:sz="0" w:space="0" w:color="auto"/>
        <w:right w:val="none" w:sz="0" w:space="0" w:color="auto"/>
      </w:divBdr>
    </w:div>
    <w:div w:id="783236438">
      <w:bodyDiv w:val="1"/>
      <w:marLeft w:val="0"/>
      <w:marRight w:val="0"/>
      <w:marTop w:val="0"/>
      <w:marBottom w:val="0"/>
      <w:divBdr>
        <w:top w:val="none" w:sz="0" w:space="0" w:color="auto"/>
        <w:left w:val="none" w:sz="0" w:space="0" w:color="auto"/>
        <w:bottom w:val="none" w:sz="0" w:space="0" w:color="auto"/>
        <w:right w:val="none" w:sz="0" w:space="0" w:color="auto"/>
      </w:divBdr>
    </w:div>
    <w:div w:id="798188325">
      <w:bodyDiv w:val="1"/>
      <w:marLeft w:val="0"/>
      <w:marRight w:val="0"/>
      <w:marTop w:val="0"/>
      <w:marBottom w:val="0"/>
      <w:divBdr>
        <w:top w:val="none" w:sz="0" w:space="0" w:color="auto"/>
        <w:left w:val="none" w:sz="0" w:space="0" w:color="auto"/>
        <w:bottom w:val="none" w:sz="0" w:space="0" w:color="auto"/>
        <w:right w:val="none" w:sz="0" w:space="0" w:color="auto"/>
      </w:divBdr>
    </w:div>
    <w:div w:id="822309416">
      <w:bodyDiv w:val="1"/>
      <w:marLeft w:val="0"/>
      <w:marRight w:val="0"/>
      <w:marTop w:val="0"/>
      <w:marBottom w:val="0"/>
      <w:divBdr>
        <w:top w:val="none" w:sz="0" w:space="0" w:color="auto"/>
        <w:left w:val="none" w:sz="0" w:space="0" w:color="auto"/>
        <w:bottom w:val="none" w:sz="0" w:space="0" w:color="auto"/>
        <w:right w:val="none" w:sz="0" w:space="0" w:color="auto"/>
      </w:divBdr>
    </w:div>
    <w:div w:id="874579752">
      <w:bodyDiv w:val="1"/>
      <w:marLeft w:val="0"/>
      <w:marRight w:val="0"/>
      <w:marTop w:val="0"/>
      <w:marBottom w:val="0"/>
      <w:divBdr>
        <w:top w:val="none" w:sz="0" w:space="0" w:color="auto"/>
        <w:left w:val="none" w:sz="0" w:space="0" w:color="auto"/>
        <w:bottom w:val="none" w:sz="0" w:space="0" w:color="auto"/>
        <w:right w:val="none" w:sz="0" w:space="0" w:color="auto"/>
      </w:divBdr>
    </w:div>
    <w:div w:id="904682867">
      <w:bodyDiv w:val="1"/>
      <w:marLeft w:val="0"/>
      <w:marRight w:val="0"/>
      <w:marTop w:val="0"/>
      <w:marBottom w:val="0"/>
      <w:divBdr>
        <w:top w:val="none" w:sz="0" w:space="0" w:color="auto"/>
        <w:left w:val="none" w:sz="0" w:space="0" w:color="auto"/>
        <w:bottom w:val="none" w:sz="0" w:space="0" w:color="auto"/>
        <w:right w:val="none" w:sz="0" w:space="0" w:color="auto"/>
      </w:divBdr>
    </w:div>
    <w:div w:id="906693347">
      <w:bodyDiv w:val="1"/>
      <w:marLeft w:val="0"/>
      <w:marRight w:val="0"/>
      <w:marTop w:val="0"/>
      <w:marBottom w:val="0"/>
      <w:divBdr>
        <w:top w:val="none" w:sz="0" w:space="0" w:color="auto"/>
        <w:left w:val="none" w:sz="0" w:space="0" w:color="auto"/>
        <w:bottom w:val="none" w:sz="0" w:space="0" w:color="auto"/>
        <w:right w:val="none" w:sz="0" w:space="0" w:color="auto"/>
      </w:divBdr>
    </w:div>
    <w:div w:id="1024088728">
      <w:bodyDiv w:val="1"/>
      <w:marLeft w:val="0"/>
      <w:marRight w:val="0"/>
      <w:marTop w:val="0"/>
      <w:marBottom w:val="0"/>
      <w:divBdr>
        <w:top w:val="none" w:sz="0" w:space="0" w:color="auto"/>
        <w:left w:val="none" w:sz="0" w:space="0" w:color="auto"/>
        <w:bottom w:val="none" w:sz="0" w:space="0" w:color="auto"/>
        <w:right w:val="none" w:sz="0" w:space="0" w:color="auto"/>
      </w:divBdr>
    </w:div>
    <w:div w:id="1034579292">
      <w:bodyDiv w:val="1"/>
      <w:marLeft w:val="0"/>
      <w:marRight w:val="0"/>
      <w:marTop w:val="0"/>
      <w:marBottom w:val="0"/>
      <w:divBdr>
        <w:top w:val="none" w:sz="0" w:space="0" w:color="auto"/>
        <w:left w:val="none" w:sz="0" w:space="0" w:color="auto"/>
        <w:bottom w:val="none" w:sz="0" w:space="0" w:color="auto"/>
        <w:right w:val="none" w:sz="0" w:space="0" w:color="auto"/>
      </w:divBdr>
    </w:div>
    <w:div w:id="1062603449">
      <w:bodyDiv w:val="1"/>
      <w:marLeft w:val="0"/>
      <w:marRight w:val="0"/>
      <w:marTop w:val="0"/>
      <w:marBottom w:val="0"/>
      <w:divBdr>
        <w:top w:val="none" w:sz="0" w:space="0" w:color="auto"/>
        <w:left w:val="none" w:sz="0" w:space="0" w:color="auto"/>
        <w:bottom w:val="none" w:sz="0" w:space="0" w:color="auto"/>
        <w:right w:val="none" w:sz="0" w:space="0" w:color="auto"/>
      </w:divBdr>
    </w:div>
    <w:div w:id="1139373061">
      <w:bodyDiv w:val="1"/>
      <w:marLeft w:val="0"/>
      <w:marRight w:val="0"/>
      <w:marTop w:val="0"/>
      <w:marBottom w:val="0"/>
      <w:divBdr>
        <w:top w:val="none" w:sz="0" w:space="0" w:color="auto"/>
        <w:left w:val="none" w:sz="0" w:space="0" w:color="auto"/>
        <w:bottom w:val="none" w:sz="0" w:space="0" w:color="auto"/>
        <w:right w:val="none" w:sz="0" w:space="0" w:color="auto"/>
      </w:divBdr>
    </w:div>
    <w:div w:id="1167596116">
      <w:bodyDiv w:val="1"/>
      <w:marLeft w:val="0"/>
      <w:marRight w:val="0"/>
      <w:marTop w:val="0"/>
      <w:marBottom w:val="0"/>
      <w:divBdr>
        <w:top w:val="none" w:sz="0" w:space="0" w:color="auto"/>
        <w:left w:val="none" w:sz="0" w:space="0" w:color="auto"/>
        <w:bottom w:val="none" w:sz="0" w:space="0" w:color="auto"/>
        <w:right w:val="none" w:sz="0" w:space="0" w:color="auto"/>
      </w:divBdr>
    </w:div>
    <w:div w:id="1188640021">
      <w:bodyDiv w:val="1"/>
      <w:marLeft w:val="0"/>
      <w:marRight w:val="0"/>
      <w:marTop w:val="0"/>
      <w:marBottom w:val="0"/>
      <w:divBdr>
        <w:top w:val="none" w:sz="0" w:space="0" w:color="auto"/>
        <w:left w:val="none" w:sz="0" w:space="0" w:color="auto"/>
        <w:bottom w:val="none" w:sz="0" w:space="0" w:color="auto"/>
        <w:right w:val="none" w:sz="0" w:space="0" w:color="auto"/>
      </w:divBdr>
    </w:div>
    <w:div w:id="1203204695">
      <w:bodyDiv w:val="1"/>
      <w:marLeft w:val="0"/>
      <w:marRight w:val="0"/>
      <w:marTop w:val="0"/>
      <w:marBottom w:val="0"/>
      <w:divBdr>
        <w:top w:val="none" w:sz="0" w:space="0" w:color="auto"/>
        <w:left w:val="none" w:sz="0" w:space="0" w:color="auto"/>
        <w:bottom w:val="none" w:sz="0" w:space="0" w:color="auto"/>
        <w:right w:val="none" w:sz="0" w:space="0" w:color="auto"/>
      </w:divBdr>
    </w:div>
    <w:div w:id="1229804835">
      <w:bodyDiv w:val="1"/>
      <w:marLeft w:val="0"/>
      <w:marRight w:val="0"/>
      <w:marTop w:val="0"/>
      <w:marBottom w:val="0"/>
      <w:divBdr>
        <w:top w:val="none" w:sz="0" w:space="0" w:color="auto"/>
        <w:left w:val="none" w:sz="0" w:space="0" w:color="auto"/>
        <w:bottom w:val="none" w:sz="0" w:space="0" w:color="auto"/>
        <w:right w:val="none" w:sz="0" w:space="0" w:color="auto"/>
      </w:divBdr>
    </w:div>
    <w:div w:id="1303466331">
      <w:bodyDiv w:val="1"/>
      <w:marLeft w:val="0"/>
      <w:marRight w:val="0"/>
      <w:marTop w:val="0"/>
      <w:marBottom w:val="0"/>
      <w:divBdr>
        <w:top w:val="none" w:sz="0" w:space="0" w:color="auto"/>
        <w:left w:val="none" w:sz="0" w:space="0" w:color="auto"/>
        <w:bottom w:val="none" w:sz="0" w:space="0" w:color="auto"/>
        <w:right w:val="none" w:sz="0" w:space="0" w:color="auto"/>
      </w:divBdr>
    </w:div>
    <w:div w:id="1318920472">
      <w:bodyDiv w:val="1"/>
      <w:marLeft w:val="0"/>
      <w:marRight w:val="0"/>
      <w:marTop w:val="0"/>
      <w:marBottom w:val="0"/>
      <w:divBdr>
        <w:top w:val="none" w:sz="0" w:space="0" w:color="auto"/>
        <w:left w:val="none" w:sz="0" w:space="0" w:color="auto"/>
        <w:bottom w:val="none" w:sz="0" w:space="0" w:color="auto"/>
        <w:right w:val="none" w:sz="0" w:space="0" w:color="auto"/>
      </w:divBdr>
    </w:div>
    <w:div w:id="1373578319">
      <w:bodyDiv w:val="1"/>
      <w:marLeft w:val="0"/>
      <w:marRight w:val="0"/>
      <w:marTop w:val="0"/>
      <w:marBottom w:val="0"/>
      <w:divBdr>
        <w:top w:val="none" w:sz="0" w:space="0" w:color="auto"/>
        <w:left w:val="none" w:sz="0" w:space="0" w:color="auto"/>
        <w:bottom w:val="none" w:sz="0" w:space="0" w:color="auto"/>
        <w:right w:val="none" w:sz="0" w:space="0" w:color="auto"/>
      </w:divBdr>
    </w:div>
    <w:div w:id="1403987063">
      <w:bodyDiv w:val="1"/>
      <w:marLeft w:val="0"/>
      <w:marRight w:val="0"/>
      <w:marTop w:val="0"/>
      <w:marBottom w:val="0"/>
      <w:divBdr>
        <w:top w:val="none" w:sz="0" w:space="0" w:color="auto"/>
        <w:left w:val="none" w:sz="0" w:space="0" w:color="auto"/>
        <w:bottom w:val="none" w:sz="0" w:space="0" w:color="auto"/>
        <w:right w:val="none" w:sz="0" w:space="0" w:color="auto"/>
      </w:divBdr>
    </w:div>
    <w:div w:id="1405374686">
      <w:bodyDiv w:val="1"/>
      <w:marLeft w:val="0"/>
      <w:marRight w:val="0"/>
      <w:marTop w:val="0"/>
      <w:marBottom w:val="0"/>
      <w:divBdr>
        <w:top w:val="none" w:sz="0" w:space="0" w:color="auto"/>
        <w:left w:val="none" w:sz="0" w:space="0" w:color="auto"/>
        <w:bottom w:val="none" w:sz="0" w:space="0" w:color="auto"/>
        <w:right w:val="none" w:sz="0" w:space="0" w:color="auto"/>
      </w:divBdr>
    </w:div>
    <w:div w:id="1480918828">
      <w:bodyDiv w:val="1"/>
      <w:marLeft w:val="0"/>
      <w:marRight w:val="0"/>
      <w:marTop w:val="0"/>
      <w:marBottom w:val="0"/>
      <w:divBdr>
        <w:top w:val="none" w:sz="0" w:space="0" w:color="auto"/>
        <w:left w:val="none" w:sz="0" w:space="0" w:color="auto"/>
        <w:bottom w:val="none" w:sz="0" w:space="0" w:color="auto"/>
        <w:right w:val="none" w:sz="0" w:space="0" w:color="auto"/>
      </w:divBdr>
    </w:div>
    <w:div w:id="1519849182">
      <w:bodyDiv w:val="1"/>
      <w:marLeft w:val="0"/>
      <w:marRight w:val="0"/>
      <w:marTop w:val="0"/>
      <w:marBottom w:val="0"/>
      <w:divBdr>
        <w:top w:val="none" w:sz="0" w:space="0" w:color="auto"/>
        <w:left w:val="none" w:sz="0" w:space="0" w:color="auto"/>
        <w:bottom w:val="none" w:sz="0" w:space="0" w:color="auto"/>
        <w:right w:val="none" w:sz="0" w:space="0" w:color="auto"/>
      </w:divBdr>
    </w:div>
    <w:div w:id="1555002868">
      <w:bodyDiv w:val="1"/>
      <w:marLeft w:val="0"/>
      <w:marRight w:val="0"/>
      <w:marTop w:val="0"/>
      <w:marBottom w:val="0"/>
      <w:divBdr>
        <w:top w:val="none" w:sz="0" w:space="0" w:color="auto"/>
        <w:left w:val="none" w:sz="0" w:space="0" w:color="auto"/>
        <w:bottom w:val="none" w:sz="0" w:space="0" w:color="auto"/>
        <w:right w:val="none" w:sz="0" w:space="0" w:color="auto"/>
      </w:divBdr>
    </w:div>
    <w:div w:id="1598903179">
      <w:bodyDiv w:val="1"/>
      <w:marLeft w:val="0"/>
      <w:marRight w:val="0"/>
      <w:marTop w:val="0"/>
      <w:marBottom w:val="0"/>
      <w:divBdr>
        <w:top w:val="none" w:sz="0" w:space="0" w:color="auto"/>
        <w:left w:val="none" w:sz="0" w:space="0" w:color="auto"/>
        <w:bottom w:val="none" w:sz="0" w:space="0" w:color="auto"/>
        <w:right w:val="none" w:sz="0" w:space="0" w:color="auto"/>
      </w:divBdr>
    </w:div>
    <w:div w:id="1613629855">
      <w:bodyDiv w:val="1"/>
      <w:marLeft w:val="0"/>
      <w:marRight w:val="0"/>
      <w:marTop w:val="0"/>
      <w:marBottom w:val="0"/>
      <w:divBdr>
        <w:top w:val="none" w:sz="0" w:space="0" w:color="auto"/>
        <w:left w:val="none" w:sz="0" w:space="0" w:color="auto"/>
        <w:bottom w:val="none" w:sz="0" w:space="0" w:color="auto"/>
        <w:right w:val="none" w:sz="0" w:space="0" w:color="auto"/>
      </w:divBdr>
    </w:div>
    <w:div w:id="1617902853">
      <w:bodyDiv w:val="1"/>
      <w:marLeft w:val="0"/>
      <w:marRight w:val="0"/>
      <w:marTop w:val="0"/>
      <w:marBottom w:val="0"/>
      <w:divBdr>
        <w:top w:val="none" w:sz="0" w:space="0" w:color="auto"/>
        <w:left w:val="none" w:sz="0" w:space="0" w:color="auto"/>
        <w:bottom w:val="none" w:sz="0" w:space="0" w:color="auto"/>
        <w:right w:val="none" w:sz="0" w:space="0" w:color="auto"/>
      </w:divBdr>
    </w:div>
    <w:div w:id="1661887059">
      <w:bodyDiv w:val="1"/>
      <w:marLeft w:val="0"/>
      <w:marRight w:val="0"/>
      <w:marTop w:val="0"/>
      <w:marBottom w:val="0"/>
      <w:divBdr>
        <w:top w:val="none" w:sz="0" w:space="0" w:color="auto"/>
        <w:left w:val="none" w:sz="0" w:space="0" w:color="auto"/>
        <w:bottom w:val="none" w:sz="0" w:space="0" w:color="auto"/>
        <w:right w:val="none" w:sz="0" w:space="0" w:color="auto"/>
      </w:divBdr>
    </w:div>
    <w:div w:id="1670208029">
      <w:bodyDiv w:val="1"/>
      <w:marLeft w:val="0"/>
      <w:marRight w:val="0"/>
      <w:marTop w:val="0"/>
      <w:marBottom w:val="0"/>
      <w:divBdr>
        <w:top w:val="none" w:sz="0" w:space="0" w:color="auto"/>
        <w:left w:val="none" w:sz="0" w:space="0" w:color="auto"/>
        <w:bottom w:val="none" w:sz="0" w:space="0" w:color="auto"/>
        <w:right w:val="none" w:sz="0" w:space="0" w:color="auto"/>
      </w:divBdr>
    </w:div>
    <w:div w:id="1700859103">
      <w:bodyDiv w:val="1"/>
      <w:marLeft w:val="0"/>
      <w:marRight w:val="0"/>
      <w:marTop w:val="0"/>
      <w:marBottom w:val="0"/>
      <w:divBdr>
        <w:top w:val="none" w:sz="0" w:space="0" w:color="auto"/>
        <w:left w:val="none" w:sz="0" w:space="0" w:color="auto"/>
        <w:bottom w:val="none" w:sz="0" w:space="0" w:color="auto"/>
        <w:right w:val="none" w:sz="0" w:space="0" w:color="auto"/>
      </w:divBdr>
    </w:div>
    <w:div w:id="1741369303">
      <w:bodyDiv w:val="1"/>
      <w:marLeft w:val="0"/>
      <w:marRight w:val="0"/>
      <w:marTop w:val="0"/>
      <w:marBottom w:val="0"/>
      <w:divBdr>
        <w:top w:val="none" w:sz="0" w:space="0" w:color="auto"/>
        <w:left w:val="none" w:sz="0" w:space="0" w:color="auto"/>
        <w:bottom w:val="none" w:sz="0" w:space="0" w:color="auto"/>
        <w:right w:val="none" w:sz="0" w:space="0" w:color="auto"/>
      </w:divBdr>
    </w:div>
    <w:div w:id="1746343575">
      <w:bodyDiv w:val="1"/>
      <w:marLeft w:val="0"/>
      <w:marRight w:val="0"/>
      <w:marTop w:val="0"/>
      <w:marBottom w:val="0"/>
      <w:divBdr>
        <w:top w:val="none" w:sz="0" w:space="0" w:color="auto"/>
        <w:left w:val="none" w:sz="0" w:space="0" w:color="auto"/>
        <w:bottom w:val="none" w:sz="0" w:space="0" w:color="auto"/>
        <w:right w:val="none" w:sz="0" w:space="0" w:color="auto"/>
      </w:divBdr>
    </w:div>
    <w:div w:id="1783524898">
      <w:bodyDiv w:val="1"/>
      <w:marLeft w:val="0"/>
      <w:marRight w:val="0"/>
      <w:marTop w:val="0"/>
      <w:marBottom w:val="0"/>
      <w:divBdr>
        <w:top w:val="none" w:sz="0" w:space="0" w:color="auto"/>
        <w:left w:val="none" w:sz="0" w:space="0" w:color="auto"/>
        <w:bottom w:val="none" w:sz="0" w:space="0" w:color="auto"/>
        <w:right w:val="none" w:sz="0" w:space="0" w:color="auto"/>
      </w:divBdr>
    </w:div>
    <w:div w:id="1828862156">
      <w:bodyDiv w:val="1"/>
      <w:marLeft w:val="0"/>
      <w:marRight w:val="0"/>
      <w:marTop w:val="0"/>
      <w:marBottom w:val="0"/>
      <w:divBdr>
        <w:top w:val="none" w:sz="0" w:space="0" w:color="auto"/>
        <w:left w:val="none" w:sz="0" w:space="0" w:color="auto"/>
        <w:bottom w:val="none" w:sz="0" w:space="0" w:color="auto"/>
        <w:right w:val="none" w:sz="0" w:space="0" w:color="auto"/>
      </w:divBdr>
    </w:div>
    <w:div w:id="1862739068">
      <w:bodyDiv w:val="1"/>
      <w:marLeft w:val="0"/>
      <w:marRight w:val="0"/>
      <w:marTop w:val="0"/>
      <w:marBottom w:val="0"/>
      <w:divBdr>
        <w:top w:val="none" w:sz="0" w:space="0" w:color="auto"/>
        <w:left w:val="none" w:sz="0" w:space="0" w:color="auto"/>
        <w:bottom w:val="none" w:sz="0" w:space="0" w:color="auto"/>
        <w:right w:val="none" w:sz="0" w:space="0" w:color="auto"/>
      </w:divBdr>
    </w:div>
    <w:div w:id="1934587331">
      <w:bodyDiv w:val="1"/>
      <w:marLeft w:val="0"/>
      <w:marRight w:val="0"/>
      <w:marTop w:val="0"/>
      <w:marBottom w:val="0"/>
      <w:divBdr>
        <w:top w:val="none" w:sz="0" w:space="0" w:color="auto"/>
        <w:left w:val="none" w:sz="0" w:space="0" w:color="auto"/>
        <w:bottom w:val="none" w:sz="0" w:space="0" w:color="auto"/>
        <w:right w:val="none" w:sz="0" w:space="0" w:color="auto"/>
      </w:divBdr>
    </w:div>
    <w:div w:id="1935933856">
      <w:bodyDiv w:val="1"/>
      <w:marLeft w:val="0"/>
      <w:marRight w:val="0"/>
      <w:marTop w:val="0"/>
      <w:marBottom w:val="0"/>
      <w:divBdr>
        <w:top w:val="none" w:sz="0" w:space="0" w:color="auto"/>
        <w:left w:val="none" w:sz="0" w:space="0" w:color="auto"/>
        <w:bottom w:val="none" w:sz="0" w:space="0" w:color="auto"/>
        <w:right w:val="none" w:sz="0" w:space="0" w:color="auto"/>
      </w:divBdr>
    </w:div>
    <w:div w:id="1963025879">
      <w:bodyDiv w:val="1"/>
      <w:marLeft w:val="0"/>
      <w:marRight w:val="0"/>
      <w:marTop w:val="0"/>
      <w:marBottom w:val="0"/>
      <w:divBdr>
        <w:top w:val="none" w:sz="0" w:space="0" w:color="auto"/>
        <w:left w:val="none" w:sz="0" w:space="0" w:color="auto"/>
        <w:bottom w:val="none" w:sz="0" w:space="0" w:color="auto"/>
        <w:right w:val="none" w:sz="0" w:space="0" w:color="auto"/>
      </w:divBdr>
    </w:div>
    <w:div w:id="2000572420">
      <w:bodyDiv w:val="1"/>
      <w:marLeft w:val="0"/>
      <w:marRight w:val="0"/>
      <w:marTop w:val="0"/>
      <w:marBottom w:val="0"/>
      <w:divBdr>
        <w:top w:val="none" w:sz="0" w:space="0" w:color="auto"/>
        <w:left w:val="none" w:sz="0" w:space="0" w:color="auto"/>
        <w:bottom w:val="none" w:sz="0" w:space="0" w:color="auto"/>
        <w:right w:val="none" w:sz="0" w:space="0" w:color="auto"/>
      </w:divBdr>
    </w:div>
    <w:div w:id="2023624380">
      <w:bodyDiv w:val="1"/>
      <w:marLeft w:val="0"/>
      <w:marRight w:val="0"/>
      <w:marTop w:val="0"/>
      <w:marBottom w:val="0"/>
      <w:divBdr>
        <w:top w:val="none" w:sz="0" w:space="0" w:color="auto"/>
        <w:left w:val="none" w:sz="0" w:space="0" w:color="auto"/>
        <w:bottom w:val="none" w:sz="0" w:space="0" w:color="auto"/>
        <w:right w:val="none" w:sz="0" w:space="0" w:color="auto"/>
      </w:divBdr>
    </w:div>
    <w:div w:id="2069645006">
      <w:bodyDiv w:val="1"/>
      <w:marLeft w:val="0"/>
      <w:marRight w:val="0"/>
      <w:marTop w:val="0"/>
      <w:marBottom w:val="0"/>
      <w:divBdr>
        <w:top w:val="none" w:sz="0" w:space="0" w:color="auto"/>
        <w:left w:val="none" w:sz="0" w:space="0" w:color="auto"/>
        <w:bottom w:val="none" w:sz="0" w:space="0" w:color="auto"/>
        <w:right w:val="none" w:sz="0" w:space="0" w:color="auto"/>
      </w:divBdr>
    </w:div>
    <w:div w:id="20858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46602/jcsn.v46i2.608" TargetMode="External"/><Relationship Id="rId26" Type="http://schemas.openxmlformats.org/officeDocument/2006/relationships/hyperlink" Target="https://doi.org/10.1007/978-3-031-62462-9_3" TargetMode="External"/><Relationship Id="rId39" Type="http://schemas.openxmlformats.org/officeDocument/2006/relationships/footer" Target="footer1.xml"/><Relationship Id="rId21" Type="http://schemas.openxmlformats.org/officeDocument/2006/relationships/hyperlink" Target="https://doi.org/10.1093/biolre/ioab023" TargetMode="External"/><Relationship Id="rId34" Type="http://schemas.openxmlformats.org/officeDocument/2006/relationships/hyperlink" Target="https://doi.org/10.53388/fh2023013" TargetMode="External"/><Relationship Id="rId42"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doi.org/10.1007/978-3-031-48817-7_5" TargetMode="External"/><Relationship Id="rId29" Type="http://schemas.openxmlformats.org/officeDocument/2006/relationships/hyperlink" Target="https://doi.org/10.69739/jlsph.v1i1.879"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3892/br.2025.1940" TargetMode="External"/><Relationship Id="rId32" Type="http://schemas.openxmlformats.org/officeDocument/2006/relationships/hyperlink" Target="https://doi.org/10.4314/sa.v24i1.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4314/dujopas.v9i2a.7" TargetMode="External"/><Relationship Id="rId28" Type="http://schemas.openxmlformats.org/officeDocument/2006/relationships/hyperlink" Target="https://doi.org/10.1016/j.toxrep.2024.101852" TargetMode="External"/><Relationship Id="rId36" Type="http://schemas.openxmlformats.org/officeDocument/2006/relationships/hyperlink" Target="https://doi.org/10.1166/mex.2023.2343" TargetMode="External"/><Relationship Id="rId10" Type="http://schemas.openxmlformats.org/officeDocument/2006/relationships/chart" Target="charts/chart3.xml"/><Relationship Id="rId19" Type="http://schemas.openxmlformats.org/officeDocument/2006/relationships/hyperlink" Target="https://doi.org/10.17582/journal.vsrr/2022/8.2.96.104" TargetMode="External"/><Relationship Id="rId31" Type="http://schemas.openxmlformats.org/officeDocument/2006/relationships/hyperlink" Target="https://doi.org/10.69739/jsrd.v1i2.104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hyperlink" Target="https://doi.org/10.1007/978-3-031-46146-0_6" TargetMode="External"/><Relationship Id="rId27" Type="http://schemas.openxmlformats.org/officeDocument/2006/relationships/hyperlink" Target="https://doi.org/10.29054/apmc/2024.1643" TargetMode="External"/><Relationship Id="rId30" Type="http://schemas.openxmlformats.org/officeDocument/2006/relationships/hyperlink" Target="https://doi.org/10.9734/jabb/2025/v28i42209" TargetMode="External"/><Relationship Id="rId35" Type="http://schemas.openxmlformats.org/officeDocument/2006/relationships/hyperlink" Target="https://doi.org/10.1007/s40093-018-0210-1"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s://doi.org/10.1007/s10653-020-00571-w" TargetMode="External"/><Relationship Id="rId25" Type="http://schemas.openxmlformats.org/officeDocument/2006/relationships/hyperlink" Target="https://doi.org/10.1016/j.jtemb.2023.127377" TargetMode="External"/><Relationship Id="rId33" Type="http://schemas.openxmlformats.org/officeDocument/2006/relationships/hyperlink" Target="https://doi.org/10.1007/s12011-021-02719-w"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c:f>
              <c:strCache>
                <c:ptCount val="1"/>
                <c:pt idx="0">
                  <c:v>Arsenic (As)</c:v>
                </c:pt>
              </c:strCache>
            </c:strRef>
          </c:tx>
          <c:invertIfNegative val="0"/>
          <c:cat>
            <c:strRef>
              <c:f>Sheet2!$B$1:$E$1</c:f>
              <c:strCache>
                <c:ptCount val="4"/>
                <c:pt idx="0">
                  <c:v>G.niloticus</c:v>
                </c:pt>
                <c:pt idx="1">
                  <c:v>E.fimbriata</c:v>
                </c:pt>
                <c:pt idx="2">
                  <c:v>S.scombrus</c:v>
                </c:pt>
                <c:pt idx="3">
                  <c:v>C.gariepinus</c:v>
                </c:pt>
              </c:strCache>
            </c:strRef>
          </c:cat>
          <c:val>
            <c:numRef>
              <c:f>Sheet2!$B$2:$E$2</c:f>
              <c:numCache>
                <c:formatCode>General</c:formatCode>
                <c:ptCount val="4"/>
                <c:pt idx="0">
                  <c:v>0.03</c:v>
                </c:pt>
                <c:pt idx="1">
                  <c:v>0.02</c:v>
                </c:pt>
                <c:pt idx="2">
                  <c:v>0.02</c:v>
                </c:pt>
                <c:pt idx="3">
                  <c:v>0.01</c:v>
                </c:pt>
              </c:numCache>
            </c:numRef>
          </c:val>
          <c:extLst>
            <c:ext xmlns:c16="http://schemas.microsoft.com/office/drawing/2014/chart" uri="{C3380CC4-5D6E-409C-BE32-E72D297353CC}">
              <c16:uniqueId val="{00000000-1FC0-49D4-9693-51919358F37D}"/>
            </c:ext>
          </c:extLst>
        </c:ser>
        <c:dLbls>
          <c:showLegendKey val="0"/>
          <c:showVal val="0"/>
          <c:showCatName val="0"/>
          <c:showSerName val="0"/>
          <c:showPercent val="0"/>
          <c:showBubbleSize val="0"/>
        </c:dLbls>
        <c:gapWidth val="150"/>
        <c:axId val="145650432"/>
        <c:axId val="145713792"/>
      </c:barChart>
      <c:catAx>
        <c:axId val="145650432"/>
        <c:scaling>
          <c:orientation val="minMax"/>
        </c:scaling>
        <c:delete val="0"/>
        <c:axPos val="b"/>
        <c:title>
          <c:tx>
            <c:rich>
              <a:bodyPr/>
              <a:lstStyle/>
              <a:p>
                <a:pPr>
                  <a:defRPr/>
                </a:pPr>
                <a:r>
                  <a:rPr lang="en-US" sz="1200" b="0">
                    <a:latin typeface="Times New Roman" pitchFamily="18" charset="0"/>
                    <a:cs typeface="Times New Roman" pitchFamily="18" charset="0"/>
                  </a:rPr>
                  <a:t>Fish</a:t>
                </a:r>
                <a:r>
                  <a:rPr lang="en-US" sz="1200" b="0" baseline="0">
                    <a:latin typeface="Times New Roman" pitchFamily="18" charset="0"/>
                    <a:cs typeface="Times New Roman" pitchFamily="18" charset="0"/>
                  </a:rPr>
                  <a:t> Species</a:t>
                </a:r>
                <a:endParaRPr lang="en-US" sz="1200" b="0">
                  <a:latin typeface="Times New Roman" pitchFamily="18" charset="0"/>
                  <a:cs typeface="Times New Roman" pitchFamily="18" charset="0"/>
                </a:endParaRPr>
              </a:p>
            </c:rich>
          </c:tx>
          <c:overlay val="0"/>
        </c:title>
        <c:numFmt formatCode="General" sourceLinked="0"/>
        <c:majorTickMark val="out"/>
        <c:minorTickMark val="none"/>
        <c:tickLblPos val="nextTo"/>
        <c:crossAx val="145713792"/>
        <c:crosses val="autoZero"/>
        <c:auto val="1"/>
        <c:lblAlgn val="ctr"/>
        <c:lblOffset val="100"/>
        <c:noMultiLvlLbl val="0"/>
      </c:catAx>
      <c:valAx>
        <c:axId val="145713792"/>
        <c:scaling>
          <c:orientation val="minMax"/>
        </c:scaling>
        <c:delete val="0"/>
        <c:axPos val="l"/>
        <c:title>
          <c:tx>
            <c:rich>
              <a:bodyPr rot="-5400000" vert="horz"/>
              <a:lstStyle/>
              <a:p>
                <a:pPr>
                  <a:defRPr/>
                </a:pPr>
                <a:r>
                  <a:rPr lang="en-US" sz="1200" b="0">
                    <a:latin typeface="Times New Roman" pitchFamily="18" charset="0"/>
                    <a:cs typeface="Times New Roman" pitchFamily="18" charset="0"/>
                  </a:rPr>
                  <a:t>Level</a:t>
                </a:r>
                <a:r>
                  <a:rPr lang="en-US" sz="1200" b="0" baseline="0">
                    <a:latin typeface="Times New Roman" pitchFamily="18" charset="0"/>
                    <a:cs typeface="Times New Roman" pitchFamily="18" charset="0"/>
                  </a:rPr>
                  <a:t> of Arsenic</a:t>
                </a:r>
                <a:endParaRPr lang="en-US" sz="1200" b="0">
                  <a:latin typeface="Times New Roman" pitchFamily="18" charset="0"/>
                  <a:cs typeface="Times New Roman" pitchFamily="18" charset="0"/>
                </a:endParaRPr>
              </a:p>
            </c:rich>
          </c:tx>
          <c:overlay val="0"/>
        </c:title>
        <c:numFmt formatCode="General" sourceLinked="1"/>
        <c:majorTickMark val="out"/>
        <c:minorTickMark val="none"/>
        <c:tickLblPos val="nextTo"/>
        <c:crossAx val="1456504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Sheet2!$A$6</c:f>
              <c:strCache>
                <c:ptCount val="1"/>
                <c:pt idx="0">
                  <c:v>Cadmium (Cd)</c:v>
                </c:pt>
              </c:strCache>
            </c:strRef>
          </c:tx>
          <c:invertIfNegative val="0"/>
          <c:cat>
            <c:strRef>
              <c:f>Sheet2!$B$5:$E$5</c:f>
              <c:strCache>
                <c:ptCount val="4"/>
                <c:pt idx="0">
                  <c:v>G.niloticus</c:v>
                </c:pt>
                <c:pt idx="1">
                  <c:v>E.fimbriata</c:v>
                </c:pt>
                <c:pt idx="2">
                  <c:v>S.scombrus</c:v>
                </c:pt>
                <c:pt idx="3">
                  <c:v>C.gariepinus</c:v>
                </c:pt>
              </c:strCache>
            </c:strRef>
          </c:cat>
          <c:val>
            <c:numRef>
              <c:f>Sheet2!$B$6:$E$6</c:f>
              <c:numCache>
                <c:formatCode>General</c:formatCode>
                <c:ptCount val="4"/>
                <c:pt idx="0">
                  <c:v>0.21</c:v>
                </c:pt>
                <c:pt idx="1">
                  <c:v>0.12</c:v>
                </c:pt>
                <c:pt idx="2">
                  <c:v>0.46</c:v>
                </c:pt>
                <c:pt idx="3">
                  <c:v>0.03</c:v>
                </c:pt>
              </c:numCache>
            </c:numRef>
          </c:val>
          <c:extLst>
            <c:ext xmlns:c16="http://schemas.microsoft.com/office/drawing/2014/chart" uri="{C3380CC4-5D6E-409C-BE32-E72D297353CC}">
              <c16:uniqueId val="{00000000-0B53-4B2F-9E4F-BE72A154B8BB}"/>
            </c:ext>
          </c:extLst>
        </c:ser>
        <c:dLbls>
          <c:showLegendKey val="0"/>
          <c:showVal val="0"/>
          <c:showCatName val="0"/>
          <c:showSerName val="0"/>
          <c:showPercent val="0"/>
          <c:showBubbleSize val="0"/>
        </c:dLbls>
        <c:gapWidth val="150"/>
        <c:axId val="178388992"/>
        <c:axId val="237648512"/>
      </c:barChart>
      <c:catAx>
        <c:axId val="178388992"/>
        <c:scaling>
          <c:orientation val="minMax"/>
        </c:scaling>
        <c:delete val="0"/>
        <c:axPos val="b"/>
        <c:title>
          <c:tx>
            <c:rich>
              <a:bodyPr/>
              <a:lstStyle/>
              <a:p>
                <a:pPr>
                  <a:defRPr/>
                </a:pPr>
                <a:r>
                  <a:rPr lang="en-GB" sz="1200">
                    <a:latin typeface="Times New Roman" pitchFamily="18" charset="0"/>
                    <a:cs typeface="Times New Roman" pitchFamily="18" charset="0"/>
                  </a:rPr>
                  <a:t>Fish</a:t>
                </a:r>
                <a:r>
                  <a:rPr lang="en-GB" sz="1200" baseline="0">
                    <a:latin typeface="Times New Roman" pitchFamily="18" charset="0"/>
                    <a:cs typeface="Times New Roman" pitchFamily="18" charset="0"/>
                  </a:rPr>
                  <a:t> Species</a:t>
                </a:r>
                <a:endParaRPr lang="en-GB" sz="1200">
                  <a:latin typeface="Times New Roman" pitchFamily="18" charset="0"/>
                  <a:cs typeface="Times New Roman" pitchFamily="18" charset="0"/>
                </a:endParaRPr>
              </a:p>
            </c:rich>
          </c:tx>
          <c:overlay val="0"/>
        </c:title>
        <c:numFmt formatCode="General" sourceLinked="0"/>
        <c:majorTickMark val="out"/>
        <c:minorTickMark val="none"/>
        <c:tickLblPos val="nextTo"/>
        <c:crossAx val="237648512"/>
        <c:crosses val="autoZero"/>
        <c:auto val="1"/>
        <c:lblAlgn val="ctr"/>
        <c:lblOffset val="100"/>
        <c:noMultiLvlLbl val="0"/>
      </c:catAx>
      <c:valAx>
        <c:axId val="237648512"/>
        <c:scaling>
          <c:orientation val="minMax"/>
        </c:scaling>
        <c:delete val="0"/>
        <c:axPos val="l"/>
        <c:title>
          <c:tx>
            <c:rich>
              <a:bodyPr rot="-5400000" vert="horz"/>
              <a:lstStyle/>
              <a:p>
                <a:pPr>
                  <a:defRPr/>
                </a:pPr>
                <a:r>
                  <a:rPr lang="en-GB" sz="1200" b="1">
                    <a:latin typeface="Times New Roman" pitchFamily="18" charset="0"/>
                    <a:cs typeface="Times New Roman" pitchFamily="18" charset="0"/>
                  </a:rPr>
                  <a:t>Level</a:t>
                </a:r>
                <a:r>
                  <a:rPr lang="en-GB" sz="1200" b="1" baseline="0">
                    <a:latin typeface="Times New Roman" pitchFamily="18" charset="0"/>
                    <a:cs typeface="Times New Roman" pitchFamily="18" charset="0"/>
                  </a:rPr>
                  <a:t> of Cadmium</a:t>
                </a:r>
                <a:endParaRPr lang="en-GB" sz="1200" b="1">
                  <a:latin typeface="Times New Roman" pitchFamily="18" charset="0"/>
                  <a:cs typeface="Times New Roman" pitchFamily="18" charset="0"/>
                </a:endParaRPr>
              </a:p>
            </c:rich>
          </c:tx>
          <c:overlay val="0"/>
        </c:title>
        <c:numFmt formatCode="General" sourceLinked="1"/>
        <c:majorTickMark val="out"/>
        <c:minorTickMark val="none"/>
        <c:tickLblPos val="nextTo"/>
        <c:crossAx val="17838899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Copper (Cu)</c:v>
                </c:pt>
              </c:strCache>
            </c:strRef>
          </c:tx>
          <c:invertIfNegative val="0"/>
          <c:cat>
            <c:strRef>
              <c:f>Sheet1!$B$1:$E$1</c:f>
              <c:strCache>
                <c:ptCount val="4"/>
                <c:pt idx="0">
                  <c:v>G.niloticus</c:v>
                </c:pt>
                <c:pt idx="1">
                  <c:v>E.fimbriata</c:v>
                </c:pt>
                <c:pt idx="2">
                  <c:v>S.scombrus</c:v>
                </c:pt>
                <c:pt idx="3">
                  <c:v>C.gariepinus</c:v>
                </c:pt>
              </c:strCache>
            </c:strRef>
          </c:cat>
          <c:val>
            <c:numRef>
              <c:f>Sheet1!$B$2:$E$2</c:f>
              <c:numCache>
                <c:formatCode>General</c:formatCode>
                <c:ptCount val="4"/>
                <c:pt idx="0">
                  <c:v>0.12</c:v>
                </c:pt>
                <c:pt idx="1">
                  <c:v>0.25</c:v>
                </c:pt>
                <c:pt idx="2">
                  <c:v>1.1200000000000001</c:v>
                </c:pt>
                <c:pt idx="3">
                  <c:v>0.71</c:v>
                </c:pt>
              </c:numCache>
            </c:numRef>
          </c:val>
          <c:extLst>
            <c:ext xmlns:c16="http://schemas.microsoft.com/office/drawing/2014/chart" uri="{C3380CC4-5D6E-409C-BE32-E72D297353CC}">
              <c16:uniqueId val="{00000000-C422-4473-A99A-F074D4A65918}"/>
            </c:ext>
          </c:extLst>
        </c:ser>
        <c:dLbls>
          <c:showLegendKey val="0"/>
          <c:showVal val="0"/>
          <c:showCatName val="0"/>
          <c:showSerName val="0"/>
          <c:showPercent val="0"/>
          <c:showBubbleSize val="0"/>
        </c:dLbls>
        <c:gapWidth val="150"/>
        <c:axId val="270562432"/>
        <c:axId val="270564736"/>
      </c:barChart>
      <c:catAx>
        <c:axId val="270562432"/>
        <c:scaling>
          <c:orientation val="minMax"/>
        </c:scaling>
        <c:delete val="0"/>
        <c:axPos val="b"/>
        <c:title>
          <c:tx>
            <c:rich>
              <a:bodyPr/>
              <a:lstStyle/>
              <a:p>
                <a:pPr>
                  <a:defRPr/>
                </a:pPr>
                <a:r>
                  <a:rPr lang="en-GB" sz="1200">
                    <a:latin typeface="Times New Roman" pitchFamily="18" charset="0"/>
                    <a:cs typeface="Times New Roman" pitchFamily="18" charset="0"/>
                  </a:rPr>
                  <a:t>Fish</a:t>
                </a:r>
                <a:r>
                  <a:rPr lang="en-GB" sz="1200" baseline="0">
                    <a:latin typeface="Times New Roman" pitchFamily="18" charset="0"/>
                    <a:cs typeface="Times New Roman" pitchFamily="18" charset="0"/>
                  </a:rPr>
                  <a:t> Species</a:t>
                </a:r>
                <a:endParaRPr lang="en-GB" sz="1200">
                  <a:latin typeface="Times New Roman" pitchFamily="18" charset="0"/>
                  <a:cs typeface="Times New Roman" pitchFamily="18" charset="0"/>
                </a:endParaRPr>
              </a:p>
            </c:rich>
          </c:tx>
          <c:overlay val="0"/>
        </c:title>
        <c:numFmt formatCode="General" sourceLinked="0"/>
        <c:majorTickMark val="out"/>
        <c:minorTickMark val="none"/>
        <c:tickLblPos val="nextTo"/>
        <c:crossAx val="270564736"/>
        <c:crosses val="autoZero"/>
        <c:auto val="1"/>
        <c:lblAlgn val="ctr"/>
        <c:lblOffset val="100"/>
        <c:noMultiLvlLbl val="0"/>
      </c:catAx>
      <c:valAx>
        <c:axId val="270564736"/>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a:t>
                </a:r>
                <a:r>
                  <a:rPr lang="en-GB" sz="1200" baseline="0">
                    <a:latin typeface="Times New Roman" pitchFamily="18" charset="0"/>
                    <a:cs typeface="Times New Roman" pitchFamily="18" charset="0"/>
                  </a:rPr>
                  <a:t> of Copper</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27056243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Sheet3!$B$3</c:f>
              <c:strCache>
                <c:ptCount val="1"/>
                <c:pt idx="0">
                  <c:v>Lead (Pb)</c:v>
                </c:pt>
              </c:strCache>
            </c:strRef>
          </c:tx>
          <c:invertIfNegative val="0"/>
          <c:cat>
            <c:strRef>
              <c:f>Sheet3!$C$2:$F$2</c:f>
              <c:strCache>
                <c:ptCount val="4"/>
                <c:pt idx="0">
                  <c:v>G.niloticus</c:v>
                </c:pt>
                <c:pt idx="1">
                  <c:v>E.fimbriata</c:v>
                </c:pt>
                <c:pt idx="2">
                  <c:v>S.scombrus</c:v>
                </c:pt>
                <c:pt idx="3">
                  <c:v>C.gariepinus</c:v>
                </c:pt>
              </c:strCache>
            </c:strRef>
          </c:cat>
          <c:val>
            <c:numRef>
              <c:f>Sheet3!$C$3:$F$3</c:f>
              <c:numCache>
                <c:formatCode>General</c:formatCode>
                <c:ptCount val="4"/>
                <c:pt idx="0">
                  <c:v>0.02</c:v>
                </c:pt>
                <c:pt idx="1">
                  <c:v>0</c:v>
                </c:pt>
                <c:pt idx="2">
                  <c:v>0.15</c:v>
                </c:pt>
                <c:pt idx="3">
                  <c:v>0</c:v>
                </c:pt>
              </c:numCache>
            </c:numRef>
          </c:val>
          <c:extLst>
            <c:ext xmlns:c16="http://schemas.microsoft.com/office/drawing/2014/chart" uri="{C3380CC4-5D6E-409C-BE32-E72D297353CC}">
              <c16:uniqueId val="{00000000-F0B8-4216-AC3F-A5B69EB2554E}"/>
            </c:ext>
          </c:extLst>
        </c:ser>
        <c:dLbls>
          <c:showLegendKey val="0"/>
          <c:showVal val="0"/>
          <c:showCatName val="0"/>
          <c:showSerName val="0"/>
          <c:showPercent val="0"/>
          <c:showBubbleSize val="0"/>
        </c:dLbls>
        <c:gapWidth val="150"/>
        <c:axId val="278933504"/>
        <c:axId val="278935808"/>
      </c:barChart>
      <c:catAx>
        <c:axId val="278933504"/>
        <c:scaling>
          <c:orientation val="minMax"/>
        </c:scaling>
        <c:delete val="0"/>
        <c:axPos val="b"/>
        <c:title>
          <c:tx>
            <c:rich>
              <a:bodyPr/>
              <a:lstStyle/>
              <a:p>
                <a:pPr>
                  <a:defRPr/>
                </a:pPr>
                <a:r>
                  <a:rPr lang="en-GB" sz="1200" b="1">
                    <a:latin typeface="Times New Roman" pitchFamily="18" charset="0"/>
                    <a:cs typeface="Times New Roman" pitchFamily="18" charset="0"/>
                  </a:rPr>
                  <a:t>Fish</a:t>
                </a:r>
                <a:r>
                  <a:rPr lang="en-GB" sz="1200" b="1" baseline="0">
                    <a:latin typeface="Times New Roman" pitchFamily="18" charset="0"/>
                    <a:cs typeface="Times New Roman" pitchFamily="18" charset="0"/>
                  </a:rPr>
                  <a:t> Species</a:t>
                </a:r>
                <a:endParaRPr lang="en-GB" sz="1200" b="1">
                  <a:latin typeface="Times New Roman" pitchFamily="18" charset="0"/>
                  <a:cs typeface="Times New Roman" pitchFamily="18" charset="0"/>
                </a:endParaRPr>
              </a:p>
            </c:rich>
          </c:tx>
          <c:overlay val="0"/>
        </c:title>
        <c:numFmt formatCode="General" sourceLinked="0"/>
        <c:majorTickMark val="out"/>
        <c:minorTickMark val="none"/>
        <c:tickLblPos val="nextTo"/>
        <c:crossAx val="278935808"/>
        <c:crosses val="autoZero"/>
        <c:auto val="1"/>
        <c:lblAlgn val="ctr"/>
        <c:lblOffset val="100"/>
        <c:noMultiLvlLbl val="0"/>
      </c:catAx>
      <c:valAx>
        <c:axId val="278935808"/>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 of Lead</a:t>
                </a:r>
                <a:r>
                  <a:rPr lang="en-GB" sz="1200" baseline="0">
                    <a:latin typeface="Times New Roman" pitchFamily="18" charset="0"/>
                    <a:cs typeface="Times New Roman" pitchFamily="18" charset="0"/>
                  </a:rPr>
                  <a:t> (Pb)</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27893350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Sheet2!$A$3</c:f>
              <c:strCache>
                <c:ptCount val="1"/>
                <c:pt idx="0">
                  <c:v>Lead (Pb)</c:v>
                </c:pt>
              </c:strCache>
            </c:strRef>
          </c:tx>
          <c:invertIfNegative val="0"/>
          <c:cat>
            <c:strRef>
              <c:f>Sheet2!$B$2:$E$2</c:f>
              <c:strCache>
                <c:ptCount val="4"/>
                <c:pt idx="0">
                  <c:v>G.niloticus</c:v>
                </c:pt>
                <c:pt idx="1">
                  <c:v>E.fimbriata</c:v>
                </c:pt>
                <c:pt idx="2">
                  <c:v>S.scombrus</c:v>
                </c:pt>
                <c:pt idx="3">
                  <c:v>C.gariepinus</c:v>
                </c:pt>
              </c:strCache>
            </c:strRef>
          </c:cat>
          <c:val>
            <c:numRef>
              <c:f>Sheet2!$B$3:$E$3</c:f>
              <c:numCache>
                <c:formatCode>General</c:formatCode>
                <c:ptCount val="4"/>
                <c:pt idx="0">
                  <c:v>8.01</c:v>
                </c:pt>
                <c:pt idx="1">
                  <c:v>6.26</c:v>
                </c:pt>
                <c:pt idx="2">
                  <c:v>4.05</c:v>
                </c:pt>
                <c:pt idx="3">
                  <c:v>2.63</c:v>
                </c:pt>
              </c:numCache>
            </c:numRef>
          </c:val>
          <c:extLst>
            <c:ext xmlns:c16="http://schemas.microsoft.com/office/drawing/2014/chart" uri="{C3380CC4-5D6E-409C-BE32-E72D297353CC}">
              <c16:uniqueId val="{00000000-4822-439D-BD60-588D9F2076CB}"/>
            </c:ext>
          </c:extLst>
        </c:ser>
        <c:dLbls>
          <c:showLegendKey val="0"/>
          <c:showVal val="0"/>
          <c:showCatName val="0"/>
          <c:showSerName val="0"/>
          <c:showPercent val="0"/>
          <c:showBubbleSize val="0"/>
        </c:dLbls>
        <c:gapWidth val="150"/>
        <c:axId val="292508416"/>
        <c:axId val="292510720"/>
      </c:barChart>
      <c:catAx>
        <c:axId val="292508416"/>
        <c:scaling>
          <c:orientation val="minMax"/>
        </c:scaling>
        <c:delete val="0"/>
        <c:axPos val="b"/>
        <c:title>
          <c:tx>
            <c:rich>
              <a:bodyPr/>
              <a:lstStyle/>
              <a:p>
                <a:pPr>
                  <a:defRPr/>
                </a:pPr>
                <a:r>
                  <a:rPr lang="en-GB" sz="1200">
                    <a:latin typeface="Times New Roman" pitchFamily="18" charset="0"/>
                    <a:cs typeface="Times New Roman" pitchFamily="18" charset="0"/>
                  </a:rPr>
                  <a:t>Fish Species</a:t>
                </a:r>
              </a:p>
            </c:rich>
          </c:tx>
          <c:overlay val="0"/>
        </c:title>
        <c:numFmt formatCode="General" sourceLinked="0"/>
        <c:majorTickMark val="out"/>
        <c:minorTickMark val="none"/>
        <c:tickLblPos val="nextTo"/>
        <c:crossAx val="292510720"/>
        <c:crosses val="autoZero"/>
        <c:auto val="1"/>
        <c:lblAlgn val="ctr"/>
        <c:lblOffset val="100"/>
        <c:noMultiLvlLbl val="0"/>
      </c:catAx>
      <c:valAx>
        <c:axId val="292510720"/>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a:t>
                </a:r>
                <a:r>
                  <a:rPr lang="en-GB" sz="1200" baseline="0">
                    <a:latin typeface="Times New Roman" pitchFamily="18" charset="0"/>
                    <a:cs typeface="Times New Roman" pitchFamily="18" charset="0"/>
                  </a:rPr>
                  <a:t> of Zinc</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292508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5092</Words>
  <Characters>29028</Characters>
  <Application>Microsoft Office Word</Application>
  <DocSecurity>0</DocSecurity>
  <Lines>241</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5</cp:revision>
  <dcterms:created xsi:type="dcterms:W3CDTF">2026-01-20T12:41:00Z</dcterms:created>
  <dcterms:modified xsi:type="dcterms:W3CDTF">2026-01-27T06:30:00Z</dcterms:modified>
</cp:coreProperties>
</file>