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CEB2A" w14:textId="77777777" w:rsidR="00F26217" w:rsidRDefault="001E3C54" w:rsidP="00F26217">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Concentrations and Health Risk Assessment of Potentially Toxic Elements in Indoor Dusts </w:t>
      </w:r>
      <w:r w:rsidR="00EE6C5E">
        <w:rPr>
          <w:rFonts w:ascii="Times New Roman" w:hAnsi="Times New Roman" w:cs="Times New Roman"/>
          <w:b/>
          <w:bCs/>
          <w:color w:val="000000"/>
          <w:sz w:val="24"/>
          <w:szCs w:val="24"/>
        </w:rPr>
        <w:t>from</w:t>
      </w:r>
      <w:r>
        <w:rPr>
          <w:rFonts w:ascii="Times New Roman" w:hAnsi="Times New Roman" w:cs="Times New Roman"/>
          <w:b/>
          <w:bCs/>
          <w:color w:val="000000"/>
          <w:sz w:val="24"/>
          <w:szCs w:val="24"/>
        </w:rPr>
        <w:t xml:space="preserve"> Secondary Schools in Port Harcourt, Rivers State, Nigeria </w:t>
      </w:r>
    </w:p>
    <w:p w14:paraId="6AD69EFE" w14:textId="5011A685" w:rsidR="00F26217" w:rsidRDefault="00F941B0" w:rsidP="00F26217">
      <w:pPr>
        <w:spacing w:after="0" w:line="240" w:lineRule="auto"/>
        <w:jc w:val="center"/>
        <w:rPr>
          <w:rFonts w:ascii="Times New Roman" w:hAnsi="Times New Roman" w:cs="Times New Roman"/>
          <w:b/>
          <w:sz w:val="24"/>
          <w:szCs w:val="24"/>
          <w:lang w:val="en-GB"/>
        </w:rPr>
      </w:pPr>
      <w:r>
        <w:rPr>
          <w:rFonts w:ascii="Times New Roman" w:hAnsi="Times New Roman" w:cs="Times New Roman"/>
          <w:b/>
          <w:bCs/>
          <w:color w:val="000000"/>
          <w:sz w:val="24"/>
          <w:szCs w:val="24"/>
        </w:rPr>
        <w:br/>
      </w:r>
    </w:p>
    <w:p w14:paraId="502E22F8" w14:textId="77777777" w:rsidR="00EA4830" w:rsidRPr="00F26217" w:rsidRDefault="00EA4830" w:rsidP="00F26217">
      <w:pPr>
        <w:spacing w:after="0" w:line="240" w:lineRule="auto"/>
        <w:jc w:val="center"/>
        <w:rPr>
          <w:rFonts w:ascii="Times New Roman" w:hAnsi="Times New Roman" w:cs="Times New Roman"/>
          <w:b/>
          <w:sz w:val="24"/>
          <w:szCs w:val="24"/>
          <w:lang w:val="en-GB"/>
        </w:rPr>
      </w:pPr>
    </w:p>
    <w:p w14:paraId="469E767A" w14:textId="17495E6D" w:rsidR="005A186C" w:rsidRPr="008F43C5" w:rsidRDefault="008F43C5" w:rsidP="008F43C5">
      <w:pPr>
        <w:rPr>
          <w:rFonts w:ascii="Times New Roman" w:hAnsi="Times New Roman" w:cs="Times New Roman"/>
          <w:b/>
          <w:sz w:val="24"/>
          <w:szCs w:val="24"/>
        </w:rPr>
      </w:pPr>
      <w:r w:rsidRPr="008F43C5">
        <w:rPr>
          <w:rFonts w:ascii="Times New Roman" w:hAnsi="Times New Roman" w:cs="Times New Roman"/>
          <w:b/>
          <w:sz w:val="24"/>
          <w:szCs w:val="24"/>
        </w:rPr>
        <w:t>Original Research Article</w:t>
      </w:r>
    </w:p>
    <w:p w14:paraId="4833F811" w14:textId="77777777" w:rsidR="005A186C" w:rsidRDefault="00F941B0">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0CC08489" w14:textId="77777777" w:rsidR="005A186C" w:rsidRDefault="00F941B0" w:rsidP="001F2FB1">
      <w:pPr>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kern w:val="0"/>
          <w:sz w:val="24"/>
          <w:szCs w:val="24"/>
          <w14:ligatures w14:val="none"/>
        </w:rPr>
        <w:t xml:space="preserve">In educational environments such as secondary schools, poor air quality poses risk due to long-term student exposure as well as potential respiratory morbidity. </w:t>
      </w:r>
      <w:r>
        <w:rPr>
          <w:rFonts w:ascii="Times New Roman" w:eastAsia="Times New Roman" w:hAnsi="Times New Roman" w:cs="Times New Roman"/>
          <w:color w:val="000000"/>
          <w:sz w:val="24"/>
          <w:szCs w:val="24"/>
        </w:rPr>
        <w:t>Dust particles in school environments are major source for toxic elements. C</w:t>
      </w:r>
      <w:r>
        <w:rPr>
          <w:rFonts w:ascii="Times New Roman" w:hAnsi="Times New Roman" w:cs="Times New Roman"/>
          <w:color w:val="000000"/>
          <w:sz w:val="24"/>
          <w:szCs w:val="24"/>
        </w:rPr>
        <w:t>o</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am</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a</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d</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c</w:t>
      </w:r>
      <w:r>
        <w:rPr>
          <w:rFonts w:ascii="Times New Roman" w:hAnsi="Times New Roman" w:cs="Times New Roman"/>
          <w:color w:val="000000"/>
          <w:spacing w:val="1"/>
          <w:sz w:val="24"/>
          <w:szCs w:val="24"/>
        </w:rPr>
        <w:t>l</w:t>
      </w:r>
      <w:r>
        <w:rPr>
          <w:rFonts w:ascii="Times New Roman" w:hAnsi="Times New Roman" w:cs="Times New Roman"/>
          <w:color w:val="000000"/>
          <w:sz w:val="24"/>
          <w:szCs w:val="24"/>
        </w:rPr>
        <w:t>ass</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o</w:t>
      </w:r>
      <w:r>
        <w:rPr>
          <w:rFonts w:ascii="Times New Roman" w:hAnsi="Times New Roman" w:cs="Times New Roman"/>
          <w:color w:val="000000"/>
          <w:spacing w:val="-1"/>
          <w:sz w:val="24"/>
          <w:szCs w:val="24"/>
        </w:rPr>
        <w:t>o</w:t>
      </w:r>
      <w:r>
        <w:rPr>
          <w:rFonts w:ascii="Times New Roman" w:hAnsi="Times New Roman" w:cs="Times New Roman"/>
          <w:color w:val="000000"/>
          <w:sz w:val="24"/>
          <w:szCs w:val="24"/>
        </w:rPr>
        <w:t>m</w:t>
      </w:r>
      <w:r>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d</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st</w:t>
      </w:r>
      <w:r>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c</w:t>
      </w:r>
      <w:r>
        <w:rPr>
          <w:rFonts w:ascii="Times New Roman" w:hAnsi="Times New Roman" w:cs="Times New Roman"/>
          <w:color w:val="000000"/>
          <w:spacing w:val="2"/>
          <w:sz w:val="24"/>
          <w:szCs w:val="24"/>
        </w:rPr>
        <w:t>a</w:t>
      </w:r>
      <w:r>
        <w:rPr>
          <w:rFonts w:ascii="Times New Roman" w:hAnsi="Times New Roman" w:cs="Times New Roman"/>
          <w:color w:val="000000"/>
          <w:sz w:val="24"/>
          <w:szCs w:val="24"/>
        </w:rPr>
        <w:t>n</w:t>
      </w:r>
      <w:r>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p</w:t>
      </w:r>
      <w:r>
        <w:rPr>
          <w:rFonts w:ascii="Times New Roman" w:hAnsi="Times New Roman" w:cs="Times New Roman"/>
          <w:color w:val="000000"/>
          <w:spacing w:val="-1"/>
          <w:sz w:val="24"/>
          <w:szCs w:val="24"/>
        </w:rPr>
        <w:t>o</w:t>
      </w:r>
      <w:r>
        <w:rPr>
          <w:rFonts w:ascii="Times New Roman" w:hAnsi="Times New Roman" w:cs="Times New Roman"/>
          <w:color w:val="000000"/>
          <w:spacing w:val="3"/>
          <w:sz w:val="24"/>
          <w:szCs w:val="24"/>
        </w:rPr>
        <w:t>s</w:t>
      </w:r>
      <w:r>
        <w:rPr>
          <w:rFonts w:ascii="Times New Roman" w:hAnsi="Times New Roman" w:cs="Times New Roman"/>
          <w:color w:val="000000"/>
          <w:sz w:val="24"/>
          <w:szCs w:val="24"/>
        </w:rPr>
        <w:t>e</w:t>
      </w:r>
      <w:r>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a</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p</w:t>
      </w:r>
      <w:r>
        <w:rPr>
          <w:rFonts w:ascii="Times New Roman" w:hAnsi="Times New Roman" w:cs="Times New Roman"/>
          <w:color w:val="000000"/>
          <w:spacing w:val="-1"/>
          <w:sz w:val="24"/>
          <w:szCs w:val="24"/>
        </w:rPr>
        <w:t>o</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t</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al</w:t>
      </w:r>
      <w:r>
        <w:rPr>
          <w:rFonts w:ascii="Times New Roman" w:hAnsi="Times New Roman" w:cs="Times New Roman"/>
          <w:color w:val="000000"/>
          <w:spacing w:val="-10"/>
          <w:sz w:val="24"/>
          <w:szCs w:val="24"/>
        </w:rPr>
        <w:t xml:space="preserve"> </w:t>
      </w:r>
      <w:r>
        <w:rPr>
          <w:rFonts w:ascii="Times New Roman" w:hAnsi="Times New Roman" w:cs="Times New Roman"/>
          <w:color w:val="000000"/>
          <w:spacing w:val="1"/>
          <w:sz w:val="24"/>
          <w:szCs w:val="24"/>
        </w:rPr>
        <w:t>ri</w:t>
      </w:r>
      <w:r>
        <w:rPr>
          <w:rFonts w:ascii="Times New Roman" w:hAnsi="Times New Roman" w:cs="Times New Roman"/>
          <w:color w:val="000000"/>
          <w:sz w:val="24"/>
          <w:szCs w:val="24"/>
        </w:rPr>
        <w:t>sk</w:t>
      </w:r>
      <w:r>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to</w:t>
      </w:r>
      <w:r>
        <w:rPr>
          <w:rFonts w:ascii="Times New Roman" w:hAnsi="Times New Roman" w:cs="Times New Roman"/>
          <w:color w:val="000000"/>
          <w:spacing w:val="-11"/>
          <w:sz w:val="24"/>
          <w:szCs w:val="24"/>
        </w:rPr>
        <w:t xml:space="preserve"> </w:t>
      </w:r>
      <w:r>
        <w:rPr>
          <w:rFonts w:ascii="Times New Roman" w:hAnsi="Times New Roman" w:cs="Times New Roman"/>
          <w:color w:val="000000"/>
          <w:spacing w:val="2"/>
          <w:sz w:val="24"/>
          <w:szCs w:val="24"/>
        </w:rPr>
        <w:t>t</w:t>
      </w:r>
      <w:r>
        <w:rPr>
          <w:rFonts w:ascii="Times New Roman" w:hAnsi="Times New Roman" w:cs="Times New Roman"/>
          <w:color w:val="000000"/>
          <w:sz w:val="24"/>
          <w:szCs w:val="24"/>
        </w:rPr>
        <w:t>he</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h</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alth of</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yo</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ng</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s</w:t>
      </w:r>
      <w:r>
        <w:rPr>
          <w:rFonts w:ascii="Times New Roman" w:hAnsi="Times New Roman" w:cs="Times New Roman"/>
          <w:color w:val="000000"/>
          <w:spacing w:val="1"/>
          <w:sz w:val="24"/>
          <w:szCs w:val="24"/>
        </w:rPr>
        <w:t>c</w:t>
      </w:r>
      <w:r>
        <w:rPr>
          <w:rFonts w:ascii="Times New Roman" w:hAnsi="Times New Roman" w:cs="Times New Roman"/>
          <w:color w:val="000000"/>
          <w:sz w:val="24"/>
          <w:szCs w:val="24"/>
        </w:rPr>
        <w:t>h</w:t>
      </w:r>
      <w:r>
        <w:rPr>
          <w:rFonts w:ascii="Times New Roman" w:hAnsi="Times New Roman" w:cs="Times New Roman"/>
          <w:color w:val="000000"/>
          <w:spacing w:val="-1"/>
          <w:sz w:val="24"/>
          <w:szCs w:val="24"/>
        </w:rPr>
        <w:t>o</w:t>
      </w:r>
      <w:r>
        <w:rPr>
          <w:rFonts w:ascii="Times New Roman" w:hAnsi="Times New Roman" w:cs="Times New Roman"/>
          <w:color w:val="000000"/>
          <w:sz w:val="24"/>
          <w:szCs w:val="24"/>
        </w:rPr>
        <w:t xml:space="preserve">ol </w:t>
      </w:r>
      <w:r>
        <w:rPr>
          <w:rFonts w:ascii="Times New Roman" w:hAnsi="Times New Roman" w:cs="Times New Roman"/>
          <w:color w:val="000000"/>
          <w:spacing w:val="1"/>
          <w:sz w:val="24"/>
          <w:szCs w:val="24"/>
        </w:rPr>
        <w:t>c</w:t>
      </w:r>
      <w:r>
        <w:rPr>
          <w:rFonts w:ascii="Times New Roman" w:hAnsi="Times New Roman" w:cs="Times New Roman"/>
          <w:color w:val="000000"/>
          <w:sz w:val="24"/>
          <w:szCs w:val="24"/>
        </w:rPr>
        <w:t>hi</w:t>
      </w:r>
      <w:r>
        <w:rPr>
          <w:rFonts w:ascii="Times New Roman" w:hAnsi="Times New Roman" w:cs="Times New Roman"/>
          <w:color w:val="000000"/>
          <w:spacing w:val="1"/>
          <w:sz w:val="24"/>
          <w:szCs w:val="24"/>
        </w:rPr>
        <w:t>l</w:t>
      </w:r>
      <w:r>
        <w:rPr>
          <w:rFonts w:ascii="Times New Roman" w:hAnsi="Times New Roman" w:cs="Times New Roman"/>
          <w:color w:val="000000"/>
          <w:sz w:val="24"/>
          <w:szCs w:val="24"/>
        </w:rPr>
        <w:t>d</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en</w:t>
      </w:r>
      <w:r>
        <w:rPr>
          <w:rFonts w:ascii="Times New Roman" w:eastAsia="Times New Roman" w:hAnsi="Times New Roman" w:cs="Times New Roman"/>
          <w:kern w:val="0"/>
          <w:sz w:val="24"/>
          <w:szCs w:val="24"/>
          <w14:ligatures w14:val="none"/>
        </w:rPr>
        <w:t>. This study therefore conducted a comprehensive assessment of concentration</w:t>
      </w:r>
      <w:r w:rsidR="00AA5DBB">
        <w:rPr>
          <w:rFonts w:ascii="Times New Roman" w:eastAsia="Times New Roman" w:hAnsi="Times New Roman" w:cs="Times New Roman"/>
          <w:kern w:val="0"/>
          <w:sz w:val="24"/>
          <w:szCs w:val="24"/>
          <w14:ligatures w14:val="none"/>
        </w:rPr>
        <w:t>s of potentially toxic elements</w:t>
      </w:r>
      <w:r>
        <w:rPr>
          <w:rFonts w:ascii="Times New Roman" w:eastAsia="Times New Roman" w:hAnsi="Times New Roman" w:cs="Times New Roman"/>
          <w:kern w:val="0"/>
          <w:sz w:val="24"/>
          <w:szCs w:val="24"/>
          <w14:ligatures w14:val="none"/>
        </w:rPr>
        <w:t xml:space="preserve"> in </w:t>
      </w:r>
      <w:r w:rsidR="00AA5DBB">
        <w:rPr>
          <w:rFonts w:ascii="Times New Roman" w:eastAsia="Times New Roman" w:hAnsi="Times New Roman" w:cs="Times New Roman"/>
          <w:kern w:val="0"/>
          <w:sz w:val="24"/>
          <w:szCs w:val="24"/>
          <w14:ligatures w14:val="none"/>
        </w:rPr>
        <w:t xml:space="preserve">indoor </w:t>
      </w:r>
      <w:r>
        <w:rPr>
          <w:rFonts w:ascii="Times New Roman" w:eastAsia="Times New Roman" w:hAnsi="Times New Roman" w:cs="Times New Roman"/>
          <w:kern w:val="0"/>
          <w:sz w:val="24"/>
          <w:szCs w:val="24"/>
          <w14:ligatures w14:val="none"/>
        </w:rPr>
        <w:t>dust</w:t>
      </w:r>
      <w:r w:rsidR="00AA5DBB">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w:t>
      </w:r>
      <w:r w:rsidR="00AA5DBB">
        <w:rPr>
          <w:rFonts w:ascii="Times New Roman" w:eastAsia="Times New Roman" w:hAnsi="Times New Roman" w:cs="Times New Roman"/>
          <w:kern w:val="0"/>
          <w:sz w:val="24"/>
          <w:szCs w:val="24"/>
          <w14:ligatures w14:val="none"/>
        </w:rPr>
        <w:t>at some</w:t>
      </w:r>
      <w:r>
        <w:rPr>
          <w:rFonts w:ascii="Times New Roman" w:eastAsia="Times New Roman" w:hAnsi="Times New Roman" w:cs="Times New Roman"/>
          <w:kern w:val="0"/>
          <w:sz w:val="24"/>
          <w:szCs w:val="24"/>
          <w14:ligatures w14:val="none"/>
        </w:rPr>
        <w:t xml:space="preserve"> secondary schools in Port Harcourt</w:t>
      </w:r>
      <w:r w:rsidR="00AA5DBB">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Rivers State. Field sampling was carried out using standard procedures and Atomic Absorption Spectrophotomet</w:t>
      </w:r>
      <w:r w:rsidR="00AA5DBB">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kern w:val="0"/>
          <w:sz w:val="24"/>
          <w:szCs w:val="24"/>
          <w14:ligatures w14:val="none"/>
        </w:rPr>
        <w:t xml:space="preserve">r </w:t>
      </w:r>
      <w:r w:rsidR="00AA5DBB">
        <w:rPr>
          <w:rFonts w:ascii="Times New Roman" w:eastAsia="Times New Roman" w:hAnsi="Times New Roman" w:cs="Times New Roman"/>
          <w:kern w:val="0"/>
          <w:sz w:val="24"/>
          <w:szCs w:val="24"/>
          <w14:ligatures w14:val="none"/>
        </w:rPr>
        <w:t xml:space="preserve">by </w:t>
      </w:r>
      <w:r>
        <w:rPr>
          <w:rFonts w:ascii="Times New Roman" w:eastAsia="Times New Roman" w:hAnsi="Times New Roman" w:cs="Times New Roman"/>
          <w:kern w:val="0"/>
          <w:sz w:val="24"/>
          <w:szCs w:val="24"/>
          <w14:ligatures w14:val="none"/>
        </w:rPr>
        <w:t>Perkin Elmer Analyst 400</w:t>
      </w:r>
      <w:r w:rsidR="00AA5DBB">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AA5DBB">
        <w:rPr>
          <w:rFonts w:ascii="Times New Roman" w:eastAsia="Times New Roman" w:hAnsi="Times New Roman" w:cs="Times New Roman"/>
          <w:kern w:val="0"/>
          <w:sz w:val="24"/>
          <w:szCs w:val="24"/>
          <w14:ligatures w14:val="none"/>
        </w:rPr>
        <w:t>The r</w:t>
      </w:r>
      <w:r>
        <w:rPr>
          <w:rFonts w:ascii="Times New Roman" w:hAnsi="Times New Roman" w:cs="Times New Roman"/>
          <w:sz w:val="24"/>
          <w:szCs w:val="24"/>
        </w:rPr>
        <w:t>esults</w:t>
      </w:r>
      <w:r>
        <w:rPr>
          <w:rFonts w:ascii="Times New Roman" w:hAnsi="Times New Roman" w:cs="Times New Roman"/>
          <w:spacing w:val="129"/>
          <w:sz w:val="24"/>
          <w:szCs w:val="24"/>
        </w:rPr>
        <w:t xml:space="preserve"> </w:t>
      </w:r>
      <w:r>
        <w:rPr>
          <w:rFonts w:ascii="Times New Roman" w:hAnsi="Times New Roman" w:cs="Times New Roman"/>
          <w:sz w:val="24"/>
          <w:szCs w:val="24"/>
        </w:rPr>
        <w:t>revealed</w:t>
      </w:r>
      <w:r>
        <w:rPr>
          <w:rFonts w:ascii="Times New Roman" w:hAnsi="Times New Roman" w:cs="Times New Roman"/>
          <w:spacing w:val="108"/>
          <w:sz w:val="24"/>
          <w:szCs w:val="24"/>
        </w:rPr>
        <w:t xml:space="preserve"> </w:t>
      </w:r>
      <w:r>
        <w:rPr>
          <w:rFonts w:ascii="Times New Roman" w:hAnsi="Times New Roman" w:cs="Times New Roman"/>
          <w:sz w:val="24"/>
          <w:szCs w:val="24"/>
        </w:rPr>
        <w:t>a</w:t>
      </w:r>
      <w:r>
        <w:rPr>
          <w:rFonts w:ascii="Times New Roman" w:hAnsi="Times New Roman" w:cs="Times New Roman"/>
          <w:spacing w:val="20"/>
          <w:sz w:val="24"/>
          <w:szCs w:val="24"/>
        </w:rPr>
        <w:t xml:space="preserve"> </w:t>
      </w:r>
      <w:r>
        <w:rPr>
          <w:rFonts w:ascii="Times New Roman" w:hAnsi="Times New Roman" w:cs="Times New Roman"/>
          <w:sz w:val="24"/>
          <w:szCs w:val="24"/>
        </w:rPr>
        <w:t>heterogeneous spatial distribution of</w:t>
      </w:r>
      <w:r w:rsidR="00A44AEA">
        <w:rPr>
          <w:rFonts w:ascii="Times New Roman" w:hAnsi="Times New Roman" w:cs="Times New Roman"/>
          <w:sz w:val="24"/>
          <w:szCs w:val="24"/>
        </w:rPr>
        <w:t xml:space="preserve"> the elements</w:t>
      </w:r>
      <w:r>
        <w:rPr>
          <w:rFonts w:ascii="Times New Roman" w:hAnsi="Times New Roman" w:cs="Times New Roman"/>
          <w:spacing w:val="96"/>
          <w:sz w:val="24"/>
          <w:szCs w:val="24"/>
        </w:rPr>
        <w:t xml:space="preserve"> </w:t>
      </w:r>
      <w:r>
        <w:rPr>
          <w:rFonts w:ascii="Times New Roman" w:hAnsi="Times New Roman" w:cs="Times New Roman"/>
          <w:sz w:val="24"/>
          <w:szCs w:val="24"/>
        </w:rPr>
        <w:t>with chromium (Cr) and</w:t>
      </w:r>
      <w:r>
        <w:rPr>
          <w:rFonts w:ascii="Times New Roman" w:hAnsi="Times New Roman" w:cs="Times New Roman"/>
          <w:spacing w:val="75"/>
          <w:sz w:val="24"/>
          <w:szCs w:val="24"/>
        </w:rPr>
        <w:t xml:space="preserve"> </w:t>
      </w:r>
      <w:r>
        <w:rPr>
          <w:rFonts w:ascii="Times New Roman" w:hAnsi="Times New Roman" w:cs="Times New Roman"/>
          <w:sz w:val="24"/>
          <w:szCs w:val="24"/>
        </w:rPr>
        <w:t>nickel</w:t>
      </w:r>
      <w:r>
        <w:rPr>
          <w:rFonts w:ascii="Times New Roman" w:hAnsi="Times New Roman" w:cs="Times New Roman"/>
          <w:spacing w:val="133"/>
          <w:sz w:val="24"/>
          <w:szCs w:val="24"/>
        </w:rPr>
        <w:t xml:space="preserve"> </w:t>
      </w:r>
      <w:r>
        <w:rPr>
          <w:rFonts w:ascii="Times New Roman" w:hAnsi="Times New Roman" w:cs="Times New Roman"/>
          <w:sz w:val="24"/>
          <w:szCs w:val="24"/>
        </w:rPr>
        <w:t>(Ni)</w:t>
      </w:r>
      <w:r>
        <w:rPr>
          <w:rFonts w:ascii="Times New Roman" w:hAnsi="Times New Roman" w:cs="Times New Roman"/>
          <w:spacing w:val="85"/>
          <w:sz w:val="24"/>
          <w:szCs w:val="24"/>
        </w:rPr>
        <w:t xml:space="preserve"> </w:t>
      </w:r>
      <w:r>
        <w:rPr>
          <w:rFonts w:ascii="Times New Roman" w:hAnsi="Times New Roman" w:cs="Times New Roman"/>
          <w:sz w:val="24"/>
          <w:szCs w:val="24"/>
        </w:rPr>
        <w:t>generally</w:t>
      </w:r>
      <w:r>
        <w:rPr>
          <w:rFonts w:ascii="Times New Roman" w:hAnsi="Times New Roman" w:cs="Times New Roman"/>
          <w:spacing w:val="2"/>
          <w:sz w:val="24"/>
          <w:szCs w:val="24"/>
        </w:rPr>
        <w:t xml:space="preserve"> </w:t>
      </w:r>
      <w:r>
        <w:rPr>
          <w:rFonts w:ascii="Times New Roman" w:hAnsi="Times New Roman" w:cs="Times New Roman"/>
          <w:sz w:val="24"/>
          <w:szCs w:val="24"/>
        </w:rPr>
        <w:t>occurring at</w:t>
      </w:r>
      <w:r>
        <w:rPr>
          <w:rFonts w:ascii="Times New Roman" w:hAnsi="Times New Roman" w:cs="Times New Roman"/>
          <w:spacing w:val="36"/>
          <w:sz w:val="24"/>
          <w:szCs w:val="24"/>
        </w:rPr>
        <w:t xml:space="preserve"> </w:t>
      </w:r>
      <w:r>
        <w:rPr>
          <w:rFonts w:ascii="Times New Roman" w:hAnsi="Times New Roman" w:cs="Times New Roman"/>
          <w:sz w:val="24"/>
          <w:szCs w:val="24"/>
        </w:rPr>
        <w:t>very low</w:t>
      </w:r>
      <w:r>
        <w:rPr>
          <w:rFonts w:ascii="Times New Roman" w:hAnsi="Times New Roman" w:cs="Times New Roman"/>
          <w:spacing w:val="83"/>
          <w:sz w:val="24"/>
          <w:szCs w:val="24"/>
        </w:rPr>
        <w:t xml:space="preserve"> </w:t>
      </w:r>
      <w:r>
        <w:rPr>
          <w:rFonts w:ascii="Times New Roman" w:hAnsi="Times New Roman" w:cs="Times New Roman"/>
          <w:sz w:val="24"/>
          <w:szCs w:val="24"/>
        </w:rPr>
        <w:t>concentrations</w:t>
      </w:r>
      <w:r w:rsidR="00A44AEA">
        <w:rPr>
          <w:rFonts w:ascii="Times New Roman" w:hAnsi="Times New Roman" w:cs="Times New Roman"/>
          <w:sz w:val="24"/>
          <w:szCs w:val="24"/>
        </w:rPr>
        <w:t xml:space="preserve"> (0.001</w:t>
      </w:r>
      <w:r w:rsidR="006E2525">
        <w:rPr>
          <w:rFonts w:ascii="Times New Roman" w:hAnsi="Times New Roman" w:cs="Times New Roman"/>
          <w:sz w:val="24"/>
          <w:szCs w:val="24"/>
        </w:rPr>
        <w:t xml:space="preserve"> mg/kg</w:t>
      </w:r>
      <w:r w:rsidR="00A44AEA">
        <w:rPr>
          <w:rFonts w:ascii="Times New Roman" w:hAnsi="Times New Roman" w:cs="Times New Roman"/>
          <w:sz w:val="24"/>
          <w:szCs w:val="24"/>
        </w:rPr>
        <w:t>)</w:t>
      </w:r>
      <w:r>
        <w:rPr>
          <w:rFonts w:ascii="Times New Roman" w:hAnsi="Times New Roman" w:cs="Times New Roman"/>
          <w:sz w:val="24"/>
          <w:szCs w:val="24"/>
        </w:rPr>
        <w:t>, except</w:t>
      </w:r>
      <w:r>
        <w:rPr>
          <w:rFonts w:ascii="Times New Roman" w:hAnsi="Times New Roman" w:cs="Times New Roman"/>
          <w:spacing w:val="138"/>
          <w:sz w:val="24"/>
          <w:szCs w:val="24"/>
        </w:rPr>
        <w:t xml:space="preserve"> </w:t>
      </w:r>
      <w:r>
        <w:rPr>
          <w:rFonts w:ascii="Times New Roman" w:hAnsi="Times New Roman" w:cs="Times New Roman"/>
          <w:sz w:val="24"/>
          <w:szCs w:val="24"/>
        </w:rPr>
        <w:t>for</w:t>
      </w:r>
      <w:r>
        <w:rPr>
          <w:rFonts w:ascii="Times New Roman" w:hAnsi="Times New Roman" w:cs="Times New Roman"/>
          <w:spacing w:val="130"/>
          <w:sz w:val="24"/>
          <w:szCs w:val="24"/>
        </w:rPr>
        <w:t xml:space="preserve"> </w:t>
      </w:r>
      <w:r>
        <w:rPr>
          <w:rFonts w:ascii="Times New Roman" w:hAnsi="Times New Roman" w:cs="Times New Roman"/>
          <w:sz w:val="24"/>
          <w:szCs w:val="24"/>
        </w:rPr>
        <w:t>localized elevations at</w:t>
      </w:r>
      <w:r>
        <w:rPr>
          <w:rFonts w:ascii="Times New Roman" w:hAnsi="Times New Roman" w:cs="Times New Roman"/>
          <w:spacing w:val="69"/>
          <w:sz w:val="24"/>
          <w:szCs w:val="24"/>
        </w:rPr>
        <w:t xml:space="preserve"> </w:t>
      </w:r>
      <w:r>
        <w:rPr>
          <w:rFonts w:ascii="Times New Roman" w:hAnsi="Times New Roman" w:cs="Times New Roman"/>
          <w:sz w:val="24"/>
          <w:szCs w:val="24"/>
        </w:rPr>
        <w:t>PH04CSSN</w:t>
      </w:r>
      <w:r w:rsidR="00A44AEA">
        <w:rPr>
          <w:rFonts w:ascii="Times New Roman" w:hAnsi="Times New Roman" w:cs="Times New Roman"/>
          <w:sz w:val="24"/>
          <w:szCs w:val="24"/>
        </w:rPr>
        <w:t xml:space="preserve"> (</w:t>
      </w:r>
      <w:r w:rsidR="00A44AEA" w:rsidRPr="00A44AEA">
        <w:rPr>
          <w:rFonts w:ascii="Times New Roman" w:eastAsia="Times New Roman" w:hAnsi="Times New Roman" w:cs="Times New Roman"/>
          <w:color w:val="000000"/>
          <w:sz w:val="24"/>
          <w:szCs w:val="24"/>
        </w:rPr>
        <w:t>0.0825±0.0815</w:t>
      </w:r>
      <w:r w:rsidR="006E2525">
        <w:rPr>
          <w:rFonts w:ascii="Times New Roman" w:eastAsia="Times New Roman" w:hAnsi="Times New Roman" w:cs="Times New Roman"/>
          <w:color w:val="000000"/>
          <w:sz w:val="24"/>
          <w:szCs w:val="24"/>
        </w:rPr>
        <w:t xml:space="preserve"> mg/kg</w:t>
      </w:r>
      <w:r w:rsidR="00A44AEA">
        <w:rPr>
          <w:rFonts w:ascii="Times New Roman" w:hAnsi="Times New Roman" w:cs="Times New Roman"/>
          <w:sz w:val="24"/>
          <w:szCs w:val="24"/>
        </w:rPr>
        <w:t xml:space="preserve"> and </w:t>
      </w:r>
      <w:r w:rsidR="006E2525" w:rsidRPr="006E2525">
        <w:rPr>
          <w:rFonts w:ascii="Times New Roman" w:eastAsia="Times New Roman" w:hAnsi="Times New Roman" w:cs="Times New Roman"/>
          <w:color w:val="000000"/>
          <w:sz w:val="24"/>
          <w:szCs w:val="24"/>
        </w:rPr>
        <w:t>0.1235±0.12</w:t>
      </w:r>
      <w:r w:rsidR="006E2525">
        <w:rPr>
          <w:rFonts w:ascii="Times New Roman" w:eastAsia="Times New Roman" w:hAnsi="Times New Roman" w:cs="Times New Roman"/>
          <w:color w:val="000000"/>
          <w:sz w:val="24"/>
          <w:szCs w:val="24"/>
        </w:rPr>
        <w:t xml:space="preserve"> mg/kg respectively</w:t>
      </w:r>
      <w:r w:rsidR="00A44AEA">
        <w:rPr>
          <w:rFonts w:ascii="Times New Roman" w:hAnsi="Times New Roman" w:cs="Times New Roman"/>
          <w:sz w:val="24"/>
          <w:szCs w:val="24"/>
        </w:rPr>
        <w:t>)</w:t>
      </w:r>
      <w:r>
        <w:rPr>
          <w:rFonts w:ascii="Times New Roman" w:hAnsi="Times New Roman" w:cs="Times New Roman"/>
          <w:spacing w:val="86"/>
          <w:sz w:val="24"/>
          <w:szCs w:val="24"/>
        </w:rPr>
        <w:t xml:space="preserve"> </w:t>
      </w:r>
      <w:r>
        <w:rPr>
          <w:rFonts w:ascii="Times New Roman" w:hAnsi="Times New Roman" w:cs="Times New Roman"/>
          <w:sz w:val="24"/>
          <w:szCs w:val="24"/>
        </w:rPr>
        <w:t>and</w:t>
      </w:r>
      <w:r>
        <w:rPr>
          <w:rFonts w:ascii="Times New Roman" w:hAnsi="Times New Roman" w:cs="Times New Roman"/>
          <w:spacing w:val="89"/>
          <w:sz w:val="24"/>
          <w:szCs w:val="24"/>
        </w:rPr>
        <w:t xml:space="preserve"> </w:t>
      </w:r>
      <w:r>
        <w:rPr>
          <w:rFonts w:ascii="Times New Roman" w:hAnsi="Times New Roman" w:cs="Times New Roman"/>
          <w:sz w:val="24"/>
          <w:szCs w:val="24"/>
        </w:rPr>
        <w:t>PH07GCSS</w:t>
      </w:r>
      <w:r w:rsidR="006E2525">
        <w:rPr>
          <w:rFonts w:ascii="Times New Roman" w:hAnsi="Times New Roman" w:cs="Times New Roman"/>
          <w:sz w:val="24"/>
          <w:szCs w:val="24"/>
        </w:rPr>
        <w:t xml:space="preserve"> (</w:t>
      </w:r>
      <w:r>
        <w:rPr>
          <w:rFonts w:ascii="Times New Roman" w:hAnsi="Times New Roman" w:cs="Times New Roman"/>
          <w:sz w:val="24"/>
          <w:szCs w:val="24"/>
        </w:rPr>
        <w:t>As</w:t>
      </w:r>
      <w:r w:rsidR="00537FBD">
        <w:rPr>
          <w:rFonts w:ascii="Times New Roman" w:hAnsi="Times New Roman" w:cs="Times New Roman"/>
          <w:sz w:val="24"/>
          <w:szCs w:val="24"/>
        </w:rPr>
        <w:t xml:space="preserve">, </w:t>
      </w:r>
      <w:r w:rsidR="00537FBD" w:rsidRPr="006E2525">
        <w:rPr>
          <w:rFonts w:ascii="Times New Roman" w:eastAsia="Times New Roman" w:hAnsi="Times New Roman" w:cs="Times New Roman"/>
          <w:color w:val="000000"/>
        </w:rPr>
        <w:t>0.47±0.41</w:t>
      </w:r>
      <w:r w:rsidR="00537FBD">
        <w:rPr>
          <w:rFonts w:ascii="Times New Roman" w:eastAsia="Times New Roman" w:hAnsi="Times New Roman" w:cs="Times New Roman"/>
          <w:color w:val="000000"/>
        </w:rPr>
        <w:t xml:space="preserve"> mg/kg</w:t>
      </w:r>
      <w:r>
        <w:rPr>
          <w:rFonts w:ascii="Times New Roman" w:hAnsi="Times New Roman" w:cs="Times New Roman"/>
          <w:sz w:val="24"/>
          <w:szCs w:val="24"/>
        </w:rPr>
        <w:t>)</w:t>
      </w:r>
      <w:r w:rsidR="00537FBD">
        <w:rPr>
          <w:rFonts w:ascii="Times New Roman" w:hAnsi="Times New Roman" w:cs="Times New Roman"/>
          <w:sz w:val="24"/>
          <w:szCs w:val="24"/>
        </w:rPr>
        <w:t xml:space="preserve"> </w:t>
      </w:r>
      <w:r>
        <w:rPr>
          <w:rFonts w:ascii="Times New Roman" w:hAnsi="Times New Roman" w:cs="Times New Roman"/>
          <w:sz w:val="24"/>
          <w:szCs w:val="24"/>
        </w:rPr>
        <w:t>showed</w:t>
      </w:r>
      <w:r>
        <w:rPr>
          <w:rFonts w:ascii="Times New Roman" w:hAnsi="Times New Roman" w:cs="Times New Roman"/>
          <w:spacing w:val="47"/>
          <w:sz w:val="24"/>
          <w:szCs w:val="24"/>
        </w:rPr>
        <w:t xml:space="preserve"> </w:t>
      </w:r>
      <w:r>
        <w:rPr>
          <w:rFonts w:ascii="Times New Roman" w:hAnsi="Times New Roman" w:cs="Times New Roman"/>
          <w:sz w:val="24"/>
          <w:szCs w:val="24"/>
        </w:rPr>
        <w:t>pronounced site- specific peaks</w:t>
      </w:r>
      <w:r>
        <w:rPr>
          <w:rFonts w:ascii="Times New Roman" w:hAnsi="Times New Roman" w:cs="Times New Roman"/>
          <w:spacing w:val="89"/>
          <w:sz w:val="24"/>
          <w:szCs w:val="24"/>
        </w:rPr>
        <w:t xml:space="preserve"> </w:t>
      </w:r>
      <w:r>
        <w:rPr>
          <w:rFonts w:ascii="Times New Roman" w:hAnsi="Times New Roman" w:cs="Times New Roman"/>
          <w:sz w:val="24"/>
          <w:szCs w:val="24"/>
        </w:rPr>
        <w:t>with high</w:t>
      </w:r>
      <w:r>
        <w:rPr>
          <w:rFonts w:ascii="Times New Roman" w:hAnsi="Times New Roman" w:cs="Times New Roman"/>
          <w:spacing w:val="66"/>
          <w:sz w:val="24"/>
          <w:szCs w:val="24"/>
        </w:rPr>
        <w:t xml:space="preserve"> </w:t>
      </w:r>
      <w:r>
        <w:rPr>
          <w:rFonts w:ascii="Times New Roman" w:hAnsi="Times New Roman" w:cs="Times New Roman"/>
          <w:sz w:val="24"/>
          <w:szCs w:val="24"/>
        </w:rPr>
        <w:t>variability, while copper (Cu)</w:t>
      </w:r>
      <w:r>
        <w:rPr>
          <w:rFonts w:ascii="Times New Roman" w:hAnsi="Times New Roman" w:cs="Times New Roman"/>
          <w:spacing w:val="45"/>
          <w:sz w:val="24"/>
          <w:szCs w:val="24"/>
        </w:rPr>
        <w:t xml:space="preserve"> </w:t>
      </w:r>
      <w:r>
        <w:rPr>
          <w:rFonts w:ascii="Times New Roman" w:hAnsi="Times New Roman" w:cs="Times New Roman"/>
          <w:sz w:val="24"/>
          <w:szCs w:val="24"/>
        </w:rPr>
        <w:t>concentrations were</w:t>
      </w:r>
      <w:r>
        <w:rPr>
          <w:rFonts w:ascii="Times New Roman" w:hAnsi="Times New Roman" w:cs="Times New Roman"/>
          <w:spacing w:val="109"/>
          <w:sz w:val="24"/>
          <w:szCs w:val="24"/>
        </w:rPr>
        <w:t xml:space="preserve"> </w:t>
      </w:r>
      <w:r>
        <w:rPr>
          <w:rFonts w:ascii="Times New Roman" w:hAnsi="Times New Roman" w:cs="Times New Roman"/>
          <w:sz w:val="24"/>
          <w:szCs w:val="24"/>
        </w:rPr>
        <w:t>notably elevated at</w:t>
      </w:r>
      <w:r>
        <w:rPr>
          <w:rFonts w:ascii="Times New Roman" w:hAnsi="Times New Roman" w:cs="Times New Roman"/>
          <w:spacing w:val="69"/>
          <w:sz w:val="24"/>
          <w:szCs w:val="24"/>
        </w:rPr>
        <w:t xml:space="preserve"> </w:t>
      </w:r>
      <w:r>
        <w:rPr>
          <w:rFonts w:ascii="Times New Roman" w:hAnsi="Times New Roman" w:cs="Times New Roman"/>
          <w:sz w:val="24"/>
          <w:szCs w:val="24"/>
        </w:rPr>
        <w:t>PH06GGSS</w:t>
      </w:r>
      <w:r>
        <w:rPr>
          <w:rFonts w:ascii="Times New Roman" w:hAnsi="Times New Roman" w:cs="Times New Roman"/>
          <w:spacing w:val="29"/>
          <w:sz w:val="24"/>
          <w:szCs w:val="24"/>
        </w:rPr>
        <w:t xml:space="preserve"> </w:t>
      </w:r>
      <w:r>
        <w:rPr>
          <w:rFonts w:ascii="Times New Roman" w:hAnsi="Times New Roman" w:cs="Times New Roman"/>
          <w:sz w:val="24"/>
          <w:szCs w:val="24"/>
        </w:rPr>
        <w:t>and</w:t>
      </w:r>
      <w:r>
        <w:rPr>
          <w:rFonts w:ascii="Times New Roman" w:hAnsi="Times New Roman" w:cs="Times New Roman"/>
          <w:spacing w:val="89"/>
          <w:sz w:val="24"/>
          <w:szCs w:val="24"/>
        </w:rPr>
        <w:t xml:space="preserve"> </w:t>
      </w:r>
      <w:r>
        <w:rPr>
          <w:rFonts w:ascii="Times New Roman" w:hAnsi="Times New Roman" w:cs="Times New Roman"/>
          <w:sz w:val="24"/>
          <w:szCs w:val="24"/>
        </w:rPr>
        <w:t>PH07GCSS</w:t>
      </w:r>
      <w:r w:rsidR="00537FBD">
        <w:rPr>
          <w:rFonts w:ascii="Times New Roman" w:hAnsi="Times New Roman" w:cs="Times New Roman"/>
          <w:sz w:val="24"/>
          <w:szCs w:val="24"/>
        </w:rPr>
        <w:t xml:space="preserve"> (</w:t>
      </w:r>
      <w:r w:rsidR="00537FBD" w:rsidRPr="006E2525">
        <w:rPr>
          <w:rFonts w:ascii="Times New Roman" w:eastAsia="Times New Roman" w:hAnsi="Times New Roman" w:cs="Times New Roman"/>
          <w:color w:val="000000"/>
        </w:rPr>
        <w:t>0.822±0.097</w:t>
      </w:r>
      <w:r w:rsidR="00537FBD">
        <w:rPr>
          <w:rFonts w:ascii="Times New Roman" w:eastAsia="Times New Roman" w:hAnsi="Times New Roman" w:cs="Times New Roman"/>
          <w:color w:val="000000"/>
        </w:rPr>
        <w:t xml:space="preserve">mg/kg and </w:t>
      </w:r>
      <w:r w:rsidR="00537FBD" w:rsidRPr="006E2525">
        <w:rPr>
          <w:rFonts w:ascii="Times New Roman" w:eastAsia="Times New Roman" w:hAnsi="Times New Roman" w:cs="Times New Roman"/>
          <w:color w:val="000000"/>
        </w:rPr>
        <w:t>1.2825±0.4175</w:t>
      </w:r>
      <w:r w:rsidR="00537FBD">
        <w:rPr>
          <w:rFonts w:ascii="Times New Roman" w:eastAsia="Times New Roman" w:hAnsi="Times New Roman" w:cs="Times New Roman"/>
          <w:color w:val="000000"/>
        </w:rPr>
        <w:t xml:space="preserve"> mg/kg respectively)</w:t>
      </w:r>
      <w:r>
        <w:rPr>
          <w:rFonts w:ascii="Times New Roman" w:hAnsi="Times New Roman" w:cs="Times New Roman"/>
          <w:sz w:val="24"/>
          <w:szCs w:val="24"/>
        </w:rPr>
        <w:t>. Lead</w:t>
      </w:r>
      <w:r>
        <w:rPr>
          <w:rFonts w:ascii="Times New Roman" w:hAnsi="Times New Roman" w:cs="Times New Roman"/>
          <w:spacing w:val="59"/>
          <w:sz w:val="24"/>
          <w:szCs w:val="24"/>
        </w:rPr>
        <w:t xml:space="preserve"> </w:t>
      </w:r>
      <w:r>
        <w:rPr>
          <w:rFonts w:ascii="Times New Roman" w:hAnsi="Times New Roman" w:cs="Times New Roman"/>
          <w:sz w:val="24"/>
          <w:szCs w:val="24"/>
        </w:rPr>
        <w:t>(Pb)</w:t>
      </w:r>
      <w:r>
        <w:rPr>
          <w:rFonts w:ascii="Times New Roman" w:hAnsi="Times New Roman" w:cs="Times New Roman"/>
          <w:spacing w:val="68"/>
          <w:sz w:val="24"/>
          <w:szCs w:val="24"/>
        </w:rPr>
        <w:t xml:space="preserve"> </w:t>
      </w:r>
      <w:r>
        <w:rPr>
          <w:rFonts w:ascii="Times New Roman" w:hAnsi="Times New Roman" w:cs="Times New Roman"/>
          <w:sz w:val="24"/>
          <w:szCs w:val="24"/>
        </w:rPr>
        <w:t>exhibited</w:t>
      </w:r>
      <w:r>
        <w:rPr>
          <w:rFonts w:ascii="Times New Roman" w:hAnsi="Times New Roman" w:cs="Times New Roman"/>
          <w:spacing w:val="65"/>
          <w:sz w:val="24"/>
          <w:szCs w:val="24"/>
        </w:rPr>
        <w:t xml:space="preserve"> </w:t>
      </w:r>
      <w:r>
        <w:rPr>
          <w:rFonts w:ascii="Times New Roman" w:hAnsi="Times New Roman" w:cs="Times New Roman"/>
          <w:sz w:val="24"/>
          <w:szCs w:val="24"/>
        </w:rPr>
        <w:t>extreme enrichment at PH05CIA</w:t>
      </w:r>
      <w:r w:rsidR="00342C80">
        <w:rPr>
          <w:rFonts w:ascii="Times New Roman" w:hAnsi="Times New Roman" w:cs="Times New Roman"/>
          <w:sz w:val="24"/>
          <w:szCs w:val="24"/>
        </w:rPr>
        <w:t xml:space="preserve"> (</w:t>
      </w:r>
      <w:r w:rsidR="00342C80" w:rsidRPr="006E2525">
        <w:rPr>
          <w:rFonts w:ascii="Times New Roman" w:eastAsia="Times New Roman" w:hAnsi="Times New Roman" w:cs="Times New Roman"/>
          <w:color w:val="000000"/>
        </w:rPr>
        <w:t>1.2855±1.2645</w:t>
      </w:r>
      <w:r w:rsidR="00342C80">
        <w:rPr>
          <w:rFonts w:ascii="Times New Roman" w:eastAsia="Times New Roman" w:hAnsi="Times New Roman" w:cs="Times New Roman"/>
          <w:color w:val="000000"/>
        </w:rPr>
        <w:t xml:space="preserve"> mg/kg)</w:t>
      </w:r>
      <w:r>
        <w:rPr>
          <w:rFonts w:ascii="Times New Roman" w:hAnsi="Times New Roman" w:cs="Times New Roman"/>
          <w:sz w:val="24"/>
          <w:szCs w:val="24"/>
        </w:rPr>
        <w:t>,</w:t>
      </w:r>
      <w:r>
        <w:rPr>
          <w:rFonts w:ascii="Times New Roman" w:hAnsi="Times New Roman" w:cs="Times New Roman"/>
          <w:spacing w:val="86"/>
          <w:sz w:val="24"/>
          <w:szCs w:val="24"/>
        </w:rPr>
        <w:t xml:space="preserve"> </w:t>
      </w:r>
      <w:r>
        <w:rPr>
          <w:rFonts w:ascii="Times New Roman" w:hAnsi="Times New Roman" w:cs="Times New Roman"/>
          <w:sz w:val="24"/>
          <w:szCs w:val="24"/>
        </w:rPr>
        <w:t>indicating probable point-source contamination, whereas cadmium (Cd) remained low</w:t>
      </w:r>
      <w:r>
        <w:rPr>
          <w:rFonts w:ascii="Times New Roman" w:hAnsi="Times New Roman" w:cs="Times New Roman"/>
          <w:spacing w:val="76"/>
          <w:sz w:val="24"/>
          <w:szCs w:val="24"/>
        </w:rPr>
        <w:t xml:space="preserve"> </w:t>
      </w:r>
      <w:r>
        <w:rPr>
          <w:rFonts w:ascii="Times New Roman" w:hAnsi="Times New Roman" w:cs="Times New Roman"/>
          <w:sz w:val="24"/>
          <w:szCs w:val="24"/>
        </w:rPr>
        <w:t>with minor increases at</w:t>
      </w:r>
      <w:r>
        <w:rPr>
          <w:rFonts w:ascii="Times New Roman" w:hAnsi="Times New Roman" w:cs="Times New Roman"/>
          <w:spacing w:val="56"/>
          <w:sz w:val="24"/>
          <w:szCs w:val="24"/>
        </w:rPr>
        <w:t xml:space="preserve"> </w:t>
      </w:r>
      <w:r>
        <w:rPr>
          <w:rFonts w:ascii="Times New Roman" w:hAnsi="Times New Roman" w:cs="Times New Roman"/>
          <w:sz w:val="24"/>
          <w:szCs w:val="24"/>
        </w:rPr>
        <w:t>a</w:t>
      </w:r>
      <w:r>
        <w:rPr>
          <w:rFonts w:ascii="Times New Roman" w:hAnsi="Times New Roman"/>
          <w:sz w:val="24"/>
          <w:szCs w:val="24"/>
        </w:rPr>
        <w:t xml:space="preserve"> </w:t>
      </w:r>
      <w:r>
        <w:rPr>
          <w:rFonts w:ascii="Times New Roman" w:hAnsi="Times New Roman" w:cs="Times New Roman"/>
          <w:sz w:val="24"/>
          <w:szCs w:val="24"/>
        </w:rPr>
        <w:t>few</w:t>
      </w:r>
      <w:r>
        <w:rPr>
          <w:rFonts w:ascii="Times New Roman" w:hAnsi="Times New Roman" w:cs="Times New Roman"/>
          <w:spacing w:val="134"/>
          <w:sz w:val="24"/>
          <w:szCs w:val="24"/>
        </w:rPr>
        <w:t xml:space="preserve"> </w:t>
      </w:r>
      <w:r>
        <w:rPr>
          <w:rFonts w:ascii="Times New Roman" w:hAnsi="Times New Roman" w:cs="Times New Roman"/>
          <w:sz w:val="24"/>
          <w:szCs w:val="24"/>
        </w:rPr>
        <w:t>locations. Correlation analysis s</w:t>
      </w:r>
      <w:r w:rsidR="00342C80">
        <w:rPr>
          <w:rFonts w:ascii="Times New Roman" w:hAnsi="Times New Roman" w:cs="Times New Roman"/>
          <w:sz w:val="24"/>
          <w:szCs w:val="24"/>
        </w:rPr>
        <w:t>howed</w:t>
      </w:r>
      <w:r>
        <w:rPr>
          <w:rFonts w:ascii="Times New Roman" w:hAnsi="Times New Roman" w:cs="Times New Roman"/>
          <w:sz w:val="24"/>
          <w:szCs w:val="24"/>
        </w:rPr>
        <w:t xml:space="preserve"> strong positive relationships among several</w:t>
      </w:r>
      <w:r>
        <w:rPr>
          <w:rFonts w:ascii="Times New Roman" w:hAnsi="Times New Roman" w:cs="Times New Roman"/>
          <w:spacing w:val="113"/>
          <w:sz w:val="24"/>
          <w:szCs w:val="24"/>
        </w:rPr>
        <w:t xml:space="preserve"> </w:t>
      </w:r>
      <w:r>
        <w:rPr>
          <w:rFonts w:ascii="Times New Roman" w:hAnsi="Times New Roman" w:cs="Times New Roman"/>
          <w:sz w:val="24"/>
          <w:szCs w:val="24"/>
        </w:rPr>
        <w:t>schools, implying shared contamination sources or</w:t>
      </w:r>
      <w:r>
        <w:rPr>
          <w:rFonts w:ascii="Times New Roman" w:hAnsi="Times New Roman" w:cs="Times New Roman"/>
          <w:spacing w:val="47"/>
          <w:sz w:val="24"/>
          <w:szCs w:val="24"/>
        </w:rPr>
        <w:t xml:space="preserve"> </w:t>
      </w:r>
      <w:r>
        <w:rPr>
          <w:rFonts w:ascii="Times New Roman" w:hAnsi="Times New Roman" w:cs="Times New Roman"/>
          <w:sz w:val="24"/>
          <w:szCs w:val="24"/>
        </w:rPr>
        <w:t xml:space="preserve">similar environmental influences. </w:t>
      </w:r>
      <w:r w:rsidR="00342C80">
        <w:rPr>
          <w:rFonts w:ascii="Times New Roman" w:hAnsi="Times New Roman" w:cs="Times New Roman"/>
          <w:sz w:val="24"/>
          <w:szCs w:val="24"/>
        </w:rPr>
        <w:t xml:space="preserve">A </w:t>
      </w:r>
      <w:r>
        <w:rPr>
          <w:rFonts w:ascii="Times New Roman" w:hAnsi="Times New Roman" w:cs="Times New Roman"/>
          <w:sz w:val="24"/>
          <w:szCs w:val="24"/>
        </w:rPr>
        <w:t>Two-way ANOVA</w:t>
      </w:r>
      <w:r>
        <w:rPr>
          <w:rFonts w:ascii="Times New Roman" w:hAnsi="Times New Roman" w:cs="Times New Roman"/>
          <w:spacing w:val="71"/>
          <w:sz w:val="24"/>
          <w:szCs w:val="24"/>
        </w:rPr>
        <w:t xml:space="preserve"> </w:t>
      </w:r>
      <w:r>
        <w:rPr>
          <w:rFonts w:ascii="Times New Roman" w:hAnsi="Times New Roman" w:cs="Times New Roman"/>
          <w:sz w:val="24"/>
          <w:szCs w:val="24"/>
        </w:rPr>
        <w:t>indicated</w:t>
      </w:r>
      <w:r>
        <w:rPr>
          <w:rFonts w:ascii="Times New Roman" w:hAnsi="Times New Roman" w:cs="Times New Roman"/>
          <w:spacing w:val="98"/>
          <w:sz w:val="24"/>
          <w:szCs w:val="24"/>
        </w:rPr>
        <w:t xml:space="preserve"> </w:t>
      </w:r>
      <w:r>
        <w:rPr>
          <w:rFonts w:ascii="Times New Roman" w:hAnsi="Times New Roman" w:cs="Times New Roman"/>
          <w:sz w:val="24"/>
          <w:szCs w:val="24"/>
        </w:rPr>
        <w:t>borderline statistical differences across schools and</w:t>
      </w:r>
      <w:r>
        <w:rPr>
          <w:rFonts w:ascii="Times New Roman" w:hAnsi="Times New Roman" w:cs="Times New Roman"/>
          <w:spacing w:val="75"/>
          <w:sz w:val="24"/>
          <w:szCs w:val="24"/>
        </w:rPr>
        <w:t xml:space="preserve"> </w:t>
      </w:r>
      <w:r>
        <w:rPr>
          <w:rFonts w:ascii="Times New Roman" w:hAnsi="Times New Roman" w:cs="Times New Roman"/>
          <w:sz w:val="24"/>
          <w:szCs w:val="24"/>
        </w:rPr>
        <w:t xml:space="preserve">metals, further confirming spatial heterogeneity. </w:t>
      </w:r>
      <w:r>
        <w:rPr>
          <w:rFonts w:ascii="Times New Roman" w:eastAsia="Times New Roman" w:hAnsi="Times New Roman" w:cs="Times New Roman"/>
          <w:kern w:val="0"/>
          <w:sz w:val="24"/>
          <w:szCs w:val="24"/>
          <w14:ligatures w14:val="none"/>
        </w:rPr>
        <w:t>The findings underscore the urgent need for improved cleaning and dust management practices in schools, continuous air quality monitoring, and targeted policy interventions addressing traffic and industrial emissions.</w:t>
      </w:r>
      <w:r w:rsidR="001F2FB1">
        <w:rPr>
          <w:rFonts w:ascii="Times New Roman" w:eastAsia="Times New Roman" w:hAnsi="Times New Roman" w:cs="Times New Roman"/>
          <w:kern w:val="0"/>
          <w:sz w:val="24"/>
          <w:szCs w:val="24"/>
          <w14:ligatures w14:val="none"/>
        </w:rPr>
        <w:t xml:space="preserve"> </w:t>
      </w:r>
      <w:r w:rsidR="001F2FB1" w:rsidRPr="00591CBA">
        <w:rPr>
          <w:rFonts w:ascii="Times New Roman" w:eastAsia="Times New Roman" w:hAnsi="Times New Roman" w:cs="Times New Roman"/>
          <w:sz w:val="24"/>
          <w:szCs w:val="24"/>
        </w:rPr>
        <w:t>Regular maintenance and cleaning of classrooms, including wet-mopping instead of</w:t>
      </w:r>
      <w:r w:rsidR="001F2FB1">
        <w:rPr>
          <w:rFonts w:ascii="Times New Roman" w:eastAsia="Times New Roman" w:hAnsi="Times New Roman" w:cs="Times New Roman"/>
          <w:sz w:val="24"/>
          <w:szCs w:val="24"/>
        </w:rPr>
        <w:t xml:space="preserve"> </w:t>
      </w:r>
      <w:r w:rsidR="001F2FB1" w:rsidRPr="00591CBA">
        <w:rPr>
          <w:rFonts w:ascii="Times New Roman" w:eastAsia="Times New Roman" w:hAnsi="Times New Roman" w:cs="Times New Roman"/>
          <w:sz w:val="24"/>
          <w:szCs w:val="24"/>
        </w:rPr>
        <w:t xml:space="preserve">sweeping, can significantly reduce </w:t>
      </w:r>
      <w:r w:rsidR="001F2FB1">
        <w:rPr>
          <w:rFonts w:ascii="Times New Roman" w:eastAsia="Times New Roman" w:hAnsi="Times New Roman" w:cs="Times New Roman"/>
          <w:sz w:val="24"/>
          <w:szCs w:val="24"/>
        </w:rPr>
        <w:t>coarse particulate and dusts resuspension were recommended.</w:t>
      </w:r>
    </w:p>
    <w:p w14:paraId="50A945DF" w14:textId="32546676" w:rsidR="00BA3BB3" w:rsidRPr="00BA3BB3" w:rsidRDefault="00BA3BB3" w:rsidP="00BA3BB3">
      <w:pPr>
        <w:spacing w:after="0" w:line="240" w:lineRule="auto"/>
        <w:rPr>
          <w:rFonts w:ascii="Times New Roman" w:eastAsia="Times New Roman" w:hAnsi="Times New Roman" w:cs="Times New Roman"/>
          <w:b/>
          <w:kern w:val="0"/>
          <w:sz w:val="24"/>
          <w:szCs w:val="24"/>
          <w14:ligatures w14:val="none"/>
        </w:rPr>
      </w:pPr>
      <w:r w:rsidRPr="00BA3BB3">
        <w:rPr>
          <w:rFonts w:ascii="Times New Roman" w:eastAsia="Times New Roman" w:hAnsi="Times New Roman" w:cs="Times New Roman"/>
          <w:b/>
          <w:sz w:val="24"/>
          <w:szCs w:val="24"/>
        </w:rPr>
        <w:t>Keywords:</w:t>
      </w:r>
      <w:r>
        <w:rPr>
          <w:rFonts w:ascii="Times New Roman" w:eastAsia="Times New Roman" w:hAnsi="Times New Roman" w:cs="Times New Roman"/>
          <w:b/>
          <w:sz w:val="24"/>
          <w:szCs w:val="24"/>
        </w:rPr>
        <w:t xml:space="preserve"> </w:t>
      </w:r>
      <w:r w:rsidRPr="00BA3BB3">
        <w:rPr>
          <w:rFonts w:ascii="Times New Roman" w:hAnsi="Times New Roman" w:cs="Times New Roman"/>
          <w:bCs/>
          <w:color w:val="000000"/>
          <w:sz w:val="24"/>
          <w:szCs w:val="24"/>
        </w:rPr>
        <w:t>Toxic Elements</w:t>
      </w:r>
      <w:r>
        <w:rPr>
          <w:rFonts w:ascii="Times New Roman" w:hAnsi="Times New Roman" w:cs="Times New Roman"/>
          <w:bCs/>
          <w:color w:val="000000"/>
          <w:sz w:val="24"/>
          <w:szCs w:val="24"/>
        </w:rPr>
        <w:t>,</w:t>
      </w:r>
      <w:r w:rsidRPr="00BA3BB3">
        <w:rPr>
          <w:rFonts w:ascii="Times New Roman" w:hAnsi="Times New Roman" w:cs="Times New Roman"/>
          <w:bCs/>
          <w:color w:val="000000"/>
          <w:sz w:val="24"/>
          <w:szCs w:val="24"/>
        </w:rPr>
        <w:t xml:space="preserve"> Health Risk</w:t>
      </w:r>
      <w:r>
        <w:rPr>
          <w:rFonts w:ascii="Times New Roman" w:hAnsi="Times New Roman" w:cs="Times New Roman"/>
          <w:bCs/>
          <w:color w:val="000000"/>
          <w:sz w:val="24"/>
          <w:szCs w:val="24"/>
        </w:rPr>
        <w:t>,</w:t>
      </w:r>
      <w:r w:rsidRPr="00BA3BB3">
        <w:rPr>
          <w:rFonts w:ascii="Times New Roman" w:hAnsi="Times New Roman" w:cs="Times New Roman"/>
          <w:bCs/>
          <w:color w:val="000000"/>
          <w:sz w:val="24"/>
          <w:szCs w:val="24"/>
        </w:rPr>
        <w:t xml:space="preserve"> Indoor Dusts</w:t>
      </w:r>
      <w:r>
        <w:rPr>
          <w:rFonts w:ascii="Times New Roman" w:hAnsi="Times New Roman" w:cs="Times New Roman"/>
          <w:bCs/>
          <w:color w:val="000000"/>
          <w:sz w:val="24"/>
          <w:szCs w:val="24"/>
        </w:rPr>
        <w:t>,</w:t>
      </w:r>
      <w:r w:rsidRPr="00BA3BB3">
        <w:rPr>
          <w:rFonts w:ascii="Times New Roman" w:hAnsi="Times New Roman" w:cs="Times New Roman"/>
          <w:bCs/>
          <w:color w:val="000000"/>
          <w:sz w:val="24"/>
          <w:szCs w:val="24"/>
        </w:rPr>
        <w:t xml:space="preserve"> Secondary Schools</w:t>
      </w:r>
      <w:r w:rsidR="00FA79C7">
        <w:rPr>
          <w:rFonts w:ascii="Times New Roman" w:hAnsi="Times New Roman" w:cs="Times New Roman"/>
          <w:bCs/>
          <w:color w:val="000000"/>
          <w:sz w:val="24"/>
          <w:szCs w:val="24"/>
        </w:rPr>
        <w:t>, Nigeria</w:t>
      </w:r>
    </w:p>
    <w:p w14:paraId="08EA6E81" w14:textId="77777777" w:rsidR="00BA3BB3" w:rsidRPr="00BA3BB3" w:rsidRDefault="00BA3BB3" w:rsidP="00BA3BB3">
      <w:pPr>
        <w:spacing w:after="100" w:afterAutospacing="1" w:line="240" w:lineRule="auto"/>
        <w:jc w:val="both"/>
        <w:rPr>
          <w:rFonts w:ascii="Times New Roman" w:eastAsia="Times New Roman" w:hAnsi="Times New Roman" w:cs="Times New Roman"/>
          <w:b/>
          <w:kern w:val="0"/>
          <w:sz w:val="24"/>
          <w:szCs w:val="24"/>
          <w14:ligatures w14:val="none"/>
        </w:rPr>
      </w:pPr>
    </w:p>
    <w:p w14:paraId="249E1352" w14:textId="77777777" w:rsidR="005A186C" w:rsidRDefault="005A186C">
      <w:pPr>
        <w:rPr>
          <w:rFonts w:ascii="Times New Roman" w:hAnsi="Times New Roman" w:cs="Times New Roman"/>
          <w:b/>
          <w:bCs/>
          <w:sz w:val="24"/>
          <w:szCs w:val="24"/>
        </w:rPr>
      </w:pPr>
    </w:p>
    <w:p w14:paraId="5F57FD11" w14:textId="77777777" w:rsidR="005A186C" w:rsidRDefault="00F941B0">
      <w:pPr>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4D944B91" w14:textId="77777777" w:rsidR="005A186C" w:rsidRDefault="00F941B0">
      <w:pPr>
        <w:spacing w:line="240" w:lineRule="auto"/>
        <w:jc w:val="both"/>
        <w:rPr>
          <w:rFonts w:ascii="Times New Roman" w:hAnsi="Times New Roman" w:cs="Times New Roman"/>
          <w:sz w:val="24"/>
          <w:szCs w:val="24"/>
        </w:rPr>
      </w:pP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ust</w:t>
      </w:r>
      <w:r>
        <w:rPr>
          <w:rFonts w:ascii="Times New Roman" w:eastAsia="Times New Roman" w:hAnsi="Times New Roman" w:cs="Times New Roman"/>
          <w:color w:val="000000"/>
          <w:spacing w:val="1"/>
          <w:sz w:val="24"/>
          <w:szCs w:val="24"/>
        </w:rPr>
        <w:t xml:space="preserve"> i</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glo</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al</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ir</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nm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ng 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rl</w:t>
      </w:r>
      <w:r>
        <w:rPr>
          <w:rFonts w:ascii="Times New Roman" w:eastAsia="Times New Roman" w:hAnsi="Times New Roman" w:cs="Times New Roman"/>
          <w:color w:val="000000"/>
          <w:sz w:val="24"/>
          <w:szCs w:val="24"/>
        </w:rPr>
        <w:t>d t</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esp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al</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 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velo</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co</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1"/>
          <w:sz w:val="24"/>
          <w:szCs w:val="24"/>
        </w:rPr>
        <w:t>ri</w:t>
      </w:r>
      <w:r>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ust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can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be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 xml:space="preserve">he </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m of fine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ng on </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he g</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nd or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he su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ce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pacing w:val="1"/>
          <w:sz w:val="24"/>
          <w:szCs w:val="24"/>
        </w:rPr>
        <w:t>j</w:t>
      </w:r>
      <w:r>
        <w:rPr>
          <w:rFonts w:ascii="Times New Roman" w:eastAsia="Times New Roman" w:hAnsi="Times New Roman" w:cs="Times New Roman"/>
          <w:color w:val="000000"/>
          <w:sz w:val="24"/>
          <w:szCs w:val="24"/>
        </w:rPr>
        <w:t>ects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blo</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ut by</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nd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xml:space="preserve">Evans </w:t>
      </w:r>
      <w:r>
        <w:rPr>
          <w:rFonts w:ascii="Times New Roman" w:eastAsia="Times New Roman" w:hAnsi="Times New Roman" w:cs="Times New Roman"/>
          <w:i/>
          <w:iCs/>
          <w:color w:val="000000"/>
          <w:sz w:val="24"/>
          <w:szCs w:val="24"/>
        </w:rPr>
        <w:t xml:space="preserve">et al., </w:t>
      </w:r>
      <w:r>
        <w:rPr>
          <w:rFonts w:ascii="Times New Roman" w:eastAsia="Times New Roman" w:hAnsi="Times New Roman" w:cs="Times New Roman"/>
          <w:color w:val="000000"/>
          <w:sz w:val="24"/>
          <w:szCs w:val="24"/>
        </w:rPr>
        <w:t xml:space="preserve">2013; Gbadebo </w:t>
      </w:r>
      <w:r>
        <w:rPr>
          <w:rFonts w:ascii="Times New Roman" w:eastAsia="Times New Roman" w:hAnsi="Times New Roman" w:cs="Times New Roman"/>
          <w:i/>
          <w:iCs/>
          <w:color w:val="000000"/>
          <w:sz w:val="24"/>
          <w:szCs w:val="24"/>
        </w:rPr>
        <w:t xml:space="preserve">et al., </w:t>
      </w:r>
      <w:r>
        <w:rPr>
          <w:rFonts w:ascii="Times New Roman" w:eastAsia="Times New Roman" w:hAnsi="Times New Roman" w:cs="Times New Roman"/>
          <w:color w:val="000000"/>
          <w:sz w:val="24"/>
          <w:szCs w:val="24"/>
        </w:rPr>
        <w:t>2013</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T</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al</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1"/>
          <w:sz w:val="24"/>
          <w:szCs w:val="24"/>
        </w:rPr>
        <w:t xml:space="preserve"> i</w:t>
      </w:r>
      <w:r>
        <w:rPr>
          <w:rFonts w:ascii="Times New Roman" w:eastAsia="Times New Roman" w:hAnsi="Times New Roman" w:cs="Times New Roman"/>
          <w:color w:val="000000"/>
          <w:sz w:val="24"/>
          <w:szCs w:val="24"/>
        </w:rPr>
        <w:t>n sa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dst</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vol</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nd or</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activ</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ties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uch</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pin</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 g</w:t>
      </w:r>
      <w:r>
        <w:rPr>
          <w:rFonts w:ascii="Times New Roman" w:eastAsia="Times New Roman" w:hAnsi="Times New Roman" w:cs="Times New Roman"/>
          <w:color w:val="000000"/>
          <w:spacing w:val="1"/>
          <w:sz w:val="24"/>
          <w:szCs w:val="24"/>
        </w:rPr>
        <w:t>ri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1"/>
          <w:sz w:val="24"/>
          <w:szCs w:val="24"/>
        </w:rPr>
        <w:t xml:space="preserve"> e</w:t>
      </w:r>
      <w:r>
        <w:rPr>
          <w:rFonts w:ascii="Times New Roman" w:eastAsia="Times New Roman" w:hAnsi="Times New Roman" w:cs="Times New Roman"/>
          <w:color w:val="000000"/>
          <w:sz w:val="24"/>
          <w:szCs w:val="24"/>
        </w:rPr>
        <w:t xml:space="preserve">tc. </w:t>
      </w:r>
      <w:r>
        <w:rPr>
          <w:rFonts w:ascii="Times New Roman" w:hAnsi="Times New Roman" w:cs="Times New Roman"/>
          <w:color w:val="000000"/>
          <w:sz w:val="24"/>
          <w:szCs w:val="24"/>
        </w:rPr>
        <w:t xml:space="preserve">In </w:t>
      </w:r>
      <w:r>
        <w:rPr>
          <w:rFonts w:ascii="Times New Roman" w:hAnsi="Times New Roman" w:cs="Times New Roman"/>
          <w:color w:val="000000"/>
          <w:spacing w:val="-1"/>
          <w:sz w:val="24"/>
          <w:szCs w:val="24"/>
        </w:rPr>
        <w:t>m</w:t>
      </w:r>
      <w:r>
        <w:rPr>
          <w:rFonts w:ascii="Times New Roman" w:hAnsi="Times New Roman" w:cs="Times New Roman"/>
          <w:color w:val="000000"/>
          <w:sz w:val="24"/>
          <w:szCs w:val="24"/>
        </w:rPr>
        <w:t>a</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y</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o</w:t>
      </w:r>
      <w:r>
        <w:rPr>
          <w:rFonts w:ascii="Times New Roman" w:hAnsi="Times New Roman" w:cs="Times New Roman"/>
          <w:color w:val="000000"/>
          <w:spacing w:val="-1"/>
          <w:sz w:val="24"/>
          <w:szCs w:val="24"/>
        </w:rPr>
        <w:t>p</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cal</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a</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d</w:t>
      </w:r>
      <w:r>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d</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velo</w:t>
      </w:r>
      <w:r>
        <w:rPr>
          <w:rFonts w:ascii="Times New Roman" w:hAnsi="Times New Roman" w:cs="Times New Roman"/>
          <w:color w:val="000000"/>
          <w:spacing w:val="-1"/>
          <w:sz w:val="24"/>
          <w:szCs w:val="24"/>
        </w:rPr>
        <w:t>p</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ng</w:t>
      </w:r>
      <w:r>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co</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t</w:t>
      </w:r>
      <w:r>
        <w:rPr>
          <w:rFonts w:ascii="Times New Roman" w:hAnsi="Times New Roman" w:cs="Times New Roman"/>
          <w:color w:val="000000"/>
          <w:spacing w:val="1"/>
          <w:sz w:val="24"/>
          <w:szCs w:val="24"/>
        </w:rPr>
        <w:t>ri</w:t>
      </w:r>
      <w:r>
        <w:rPr>
          <w:rFonts w:ascii="Times New Roman" w:hAnsi="Times New Roman" w:cs="Times New Roman"/>
          <w:color w:val="000000"/>
          <w:sz w:val="24"/>
          <w:szCs w:val="24"/>
        </w:rPr>
        <w:t>es</w:t>
      </w:r>
      <w:r>
        <w:rPr>
          <w:rFonts w:ascii="Times New Roman" w:hAnsi="Times New Roman" w:cs="Times New Roman"/>
          <w:color w:val="000000"/>
          <w:spacing w:val="1"/>
          <w:sz w:val="24"/>
          <w:szCs w:val="24"/>
        </w:rPr>
        <w:t xml:space="preserve"> li</w:t>
      </w:r>
      <w:r>
        <w:rPr>
          <w:rFonts w:ascii="Times New Roman" w:hAnsi="Times New Roman" w:cs="Times New Roman"/>
          <w:color w:val="000000"/>
          <w:sz w:val="24"/>
          <w:szCs w:val="24"/>
        </w:rPr>
        <w:t>ke</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N</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g</w:t>
      </w:r>
      <w:r>
        <w:rPr>
          <w:rFonts w:ascii="Times New Roman" w:hAnsi="Times New Roman" w:cs="Times New Roman"/>
          <w:color w:val="000000"/>
          <w:spacing w:val="-1"/>
          <w:sz w:val="24"/>
          <w:szCs w:val="24"/>
        </w:rPr>
        <w:t>e</w:t>
      </w:r>
      <w:r>
        <w:rPr>
          <w:rFonts w:ascii="Times New Roman" w:hAnsi="Times New Roman" w:cs="Times New Roman"/>
          <w:color w:val="000000"/>
          <w:spacing w:val="1"/>
          <w:sz w:val="24"/>
          <w:szCs w:val="24"/>
        </w:rPr>
        <w:t>ri</w:t>
      </w:r>
      <w:r>
        <w:rPr>
          <w:rFonts w:ascii="Times New Roman" w:hAnsi="Times New Roman" w:cs="Times New Roman"/>
          <w:color w:val="000000"/>
          <w:sz w:val="24"/>
          <w:szCs w:val="24"/>
        </w:rPr>
        <w:t>a, d</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st p</w:t>
      </w:r>
      <w:r>
        <w:rPr>
          <w:rFonts w:ascii="Times New Roman" w:hAnsi="Times New Roman" w:cs="Times New Roman"/>
          <w:color w:val="000000"/>
          <w:spacing w:val="-1"/>
          <w:sz w:val="24"/>
          <w:szCs w:val="24"/>
        </w:rPr>
        <w:t>a</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tic</w:t>
      </w:r>
      <w:r>
        <w:rPr>
          <w:rFonts w:ascii="Times New Roman" w:hAnsi="Times New Roman" w:cs="Times New Roman"/>
          <w:color w:val="000000"/>
          <w:spacing w:val="1"/>
          <w:sz w:val="24"/>
          <w:szCs w:val="24"/>
        </w:rPr>
        <w:t>l</w:t>
      </w:r>
      <w:r>
        <w:rPr>
          <w:rFonts w:ascii="Times New Roman" w:hAnsi="Times New Roman" w:cs="Times New Roman"/>
          <w:color w:val="000000"/>
          <w:sz w:val="24"/>
          <w:szCs w:val="24"/>
        </w:rPr>
        <w:t>es</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a</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e</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usu</w:t>
      </w:r>
      <w:r>
        <w:rPr>
          <w:rFonts w:ascii="Times New Roman" w:hAnsi="Times New Roman" w:cs="Times New Roman"/>
          <w:color w:val="000000"/>
          <w:spacing w:val="-1"/>
          <w:sz w:val="24"/>
          <w:szCs w:val="24"/>
        </w:rPr>
        <w:t>a</w:t>
      </w:r>
      <w:r>
        <w:rPr>
          <w:rFonts w:ascii="Times New Roman" w:hAnsi="Times New Roman" w:cs="Times New Roman"/>
          <w:color w:val="000000"/>
          <w:spacing w:val="1"/>
          <w:sz w:val="24"/>
          <w:szCs w:val="24"/>
        </w:rPr>
        <w:t>ll</w:t>
      </w:r>
      <w:r>
        <w:rPr>
          <w:rFonts w:ascii="Times New Roman" w:hAnsi="Times New Roman" w:cs="Times New Roman"/>
          <w:color w:val="000000"/>
          <w:sz w:val="24"/>
          <w:szCs w:val="24"/>
        </w:rPr>
        <w:t>y</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se</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n</w:t>
      </w:r>
      <w:r>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 xml:space="preserve">on </w:t>
      </w:r>
      <w:r>
        <w:rPr>
          <w:rFonts w:ascii="Times New Roman" w:hAnsi="Times New Roman" w:cs="Times New Roman"/>
          <w:color w:val="000000"/>
          <w:spacing w:val="-1"/>
          <w:sz w:val="24"/>
          <w:szCs w:val="24"/>
        </w:rPr>
        <w:t>m</w:t>
      </w:r>
      <w:r>
        <w:rPr>
          <w:rFonts w:ascii="Times New Roman" w:hAnsi="Times New Roman" w:cs="Times New Roman"/>
          <w:color w:val="000000"/>
          <w:spacing w:val="2"/>
          <w:sz w:val="24"/>
          <w:szCs w:val="24"/>
        </w:rPr>
        <w:t>o</w:t>
      </w:r>
      <w:r>
        <w:rPr>
          <w:rFonts w:ascii="Times New Roman" w:hAnsi="Times New Roman" w:cs="Times New Roman"/>
          <w:color w:val="000000"/>
          <w:sz w:val="24"/>
          <w:szCs w:val="24"/>
        </w:rPr>
        <w:t>st</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su</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f</w:t>
      </w:r>
      <w:r>
        <w:rPr>
          <w:rFonts w:ascii="Times New Roman" w:hAnsi="Times New Roman" w:cs="Times New Roman"/>
          <w:color w:val="000000"/>
          <w:spacing w:val="-1"/>
          <w:sz w:val="24"/>
          <w:szCs w:val="24"/>
        </w:rPr>
        <w:t>a</w:t>
      </w:r>
      <w:r>
        <w:rPr>
          <w:rFonts w:ascii="Times New Roman" w:hAnsi="Times New Roman" w:cs="Times New Roman"/>
          <w:color w:val="000000"/>
          <w:sz w:val="24"/>
          <w:szCs w:val="24"/>
        </w:rPr>
        <w:t>ces</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d</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e</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to seve</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al u</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co</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ol</w:t>
      </w:r>
      <w:r>
        <w:rPr>
          <w:rFonts w:ascii="Times New Roman" w:hAnsi="Times New Roman" w:cs="Times New Roman"/>
          <w:color w:val="000000"/>
          <w:spacing w:val="1"/>
          <w:sz w:val="24"/>
          <w:szCs w:val="24"/>
        </w:rPr>
        <w:t>l</w:t>
      </w:r>
      <w:r>
        <w:rPr>
          <w:rFonts w:ascii="Times New Roman" w:hAnsi="Times New Roman" w:cs="Times New Roman"/>
          <w:color w:val="000000"/>
          <w:sz w:val="24"/>
          <w:szCs w:val="24"/>
        </w:rPr>
        <w:t>ed</w:t>
      </w:r>
      <w:r>
        <w:rPr>
          <w:rFonts w:ascii="Times New Roman" w:hAnsi="Times New Roman" w:cs="Times New Roman"/>
          <w:color w:val="000000"/>
          <w:spacing w:val="-6"/>
          <w:sz w:val="24"/>
          <w:szCs w:val="24"/>
        </w:rPr>
        <w:t xml:space="preserve"> </w:t>
      </w:r>
      <w:r>
        <w:rPr>
          <w:rFonts w:ascii="Times New Roman" w:hAnsi="Times New Roman" w:cs="Times New Roman"/>
          <w:color w:val="000000"/>
          <w:sz w:val="24"/>
          <w:szCs w:val="24"/>
        </w:rPr>
        <w:t>h</w:t>
      </w:r>
      <w:r>
        <w:rPr>
          <w:rFonts w:ascii="Times New Roman" w:hAnsi="Times New Roman" w:cs="Times New Roman"/>
          <w:color w:val="000000"/>
          <w:spacing w:val="-1"/>
          <w:sz w:val="24"/>
          <w:szCs w:val="24"/>
        </w:rPr>
        <w:t>um</w:t>
      </w:r>
      <w:r>
        <w:rPr>
          <w:rFonts w:ascii="Times New Roman" w:hAnsi="Times New Roman" w:cs="Times New Roman"/>
          <w:color w:val="000000"/>
          <w:sz w:val="24"/>
          <w:szCs w:val="24"/>
        </w:rPr>
        <w:t>an</w:t>
      </w:r>
      <w:r>
        <w:rPr>
          <w:rFonts w:ascii="Times New Roman" w:hAnsi="Times New Roman" w:cs="Times New Roman"/>
          <w:color w:val="000000"/>
          <w:spacing w:val="-6"/>
          <w:sz w:val="24"/>
          <w:szCs w:val="24"/>
        </w:rPr>
        <w:t xml:space="preserve"> </w:t>
      </w:r>
      <w:r>
        <w:rPr>
          <w:rFonts w:ascii="Times New Roman" w:hAnsi="Times New Roman" w:cs="Times New Roman"/>
          <w:color w:val="000000"/>
          <w:sz w:val="24"/>
          <w:szCs w:val="24"/>
        </w:rPr>
        <w:t>activ</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ties</w:t>
      </w:r>
      <w:r>
        <w:rPr>
          <w:rFonts w:ascii="Times New Roman" w:hAnsi="Times New Roman" w:cs="Times New Roman"/>
          <w:color w:val="000000"/>
          <w:spacing w:val="-5"/>
          <w:sz w:val="24"/>
          <w:szCs w:val="24"/>
        </w:rPr>
        <w:t xml:space="preserve"> </w:t>
      </w:r>
      <w:r>
        <w:rPr>
          <w:rFonts w:ascii="Times New Roman" w:hAnsi="Times New Roman" w:cs="Times New Roman"/>
          <w:color w:val="000000"/>
          <w:sz w:val="24"/>
          <w:szCs w:val="24"/>
        </w:rPr>
        <w:t>a</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d</w:t>
      </w:r>
      <w:r>
        <w:rPr>
          <w:rFonts w:ascii="Times New Roman" w:hAnsi="Times New Roman" w:cs="Times New Roman"/>
          <w:color w:val="000000"/>
          <w:spacing w:val="-6"/>
          <w:sz w:val="24"/>
          <w:szCs w:val="24"/>
        </w:rPr>
        <w:t xml:space="preserve"> </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a</w:t>
      </w:r>
      <w:r>
        <w:rPr>
          <w:rFonts w:ascii="Times New Roman" w:hAnsi="Times New Roman" w:cs="Times New Roman"/>
          <w:color w:val="000000"/>
          <w:spacing w:val="2"/>
          <w:sz w:val="24"/>
          <w:szCs w:val="24"/>
        </w:rPr>
        <w:t>t</w:t>
      </w:r>
      <w:r>
        <w:rPr>
          <w:rFonts w:ascii="Times New Roman" w:hAnsi="Times New Roman" w:cs="Times New Roman"/>
          <w:color w:val="000000"/>
          <w:sz w:val="24"/>
          <w:szCs w:val="24"/>
        </w:rPr>
        <w:t>u</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al</w:t>
      </w:r>
      <w:r>
        <w:rPr>
          <w:rFonts w:ascii="Times New Roman" w:hAnsi="Times New Roman" w:cs="Times New Roman"/>
          <w:color w:val="000000"/>
          <w:spacing w:val="-5"/>
          <w:sz w:val="24"/>
          <w:szCs w:val="24"/>
        </w:rPr>
        <w:t xml:space="preserve"> </w:t>
      </w:r>
      <w:r>
        <w:rPr>
          <w:rFonts w:ascii="Times New Roman" w:hAnsi="Times New Roman" w:cs="Times New Roman"/>
          <w:color w:val="000000"/>
          <w:sz w:val="24"/>
          <w:szCs w:val="24"/>
        </w:rPr>
        <w:t>f</w:t>
      </w:r>
      <w:r>
        <w:rPr>
          <w:rFonts w:ascii="Times New Roman" w:hAnsi="Times New Roman" w:cs="Times New Roman"/>
          <w:color w:val="000000"/>
          <w:spacing w:val="-1"/>
          <w:sz w:val="24"/>
          <w:szCs w:val="24"/>
        </w:rPr>
        <w:t>a</w:t>
      </w:r>
      <w:r>
        <w:rPr>
          <w:rFonts w:ascii="Times New Roman" w:hAnsi="Times New Roman" w:cs="Times New Roman"/>
          <w:color w:val="000000"/>
          <w:sz w:val="24"/>
          <w:szCs w:val="24"/>
        </w:rPr>
        <w:t>ct</w:t>
      </w:r>
      <w:r>
        <w:rPr>
          <w:rFonts w:ascii="Times New Roman" w:hAnsi="Times New Roman" w:cs="Times New Roman"/>
          <w:color w:val="000000"/>
          <w:spacing w:val="-1"/>
          <w:sz w:val="24"/>
          <w:szCs w:val="24"/>
        </w:rPr>
        <w:t>o</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s.</w:t>
      </w:r>
      <w:r>
        <w:rPr>
          <w:rFonts w:ascii="Times New Roman" w:hAnsi="Times New Roman" w:cs="Times New Roman"/>
          <w:color w:val="000000"/>
          <w:spacing w:val="-5"/>
          <w:sz w:val="24"/>
          <w:szCs w:val="24"/>
        </w:rPr>
        <w:t xml:space="preserve"> </w:t>
      </w:r>
      <w:r>
        <w:rPr>
          <w:rFonts w:ascii="Times New Roman" w:hAnsi="Times New Roman" w:cs="Times New Roman"/>
          <w:color w:val="000000"/>
          <w:sz w:val="24"/>
          <w:szCs w:val="24"/>
        </w:rPr>
        <w:t>It</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s</w:t>
      </w:r>
      <w:r>
        <w:rPr>
          <w:rFonts w:ascii="Times New Roman" w:hAnsi="Times New Roman" w:cs="Times New Roman"/>
          <w:color w:val="000000"/>
          <w:spacing w:val="-5"/>
          <w:sz w:val="24"/>
          <w:szCs w:val="24"/>
        </w:rPr>
        <w:t xml:space="preserve"> </w:t>
      </w:r>
      <w:r>
        <w:rPr>
          <w:rFonts w:ascii="Times New Roman" w:hAnsi="Times New Roman" w:cs="Times New Roman"/>
          <w:color w:val="000000"/>
          <w:spacing w:val="-1"/>
          <w:sz w:val="24"/>
          <w:szCs w:val="24"/>
        </w:rPr>
        <w:t>w</w:t>
      </w:r>
      <w:r>
        <w:rPr>
          <w:rFonts w:ascii="Times New Roman" w:hAnsi="Times New Roman" w:cs="Times New Roman"/>
          <w:color w:val="000000"/>
          <w:sz w:val="24"/>
          <w:szCs w:val="24"/>
        </w:rPr>
        <w:t>o</w:t>
      </w:r>
      <w:r>
        <w:rPr>
          <w:rFonts w:ascii="Times New Roman" w:hAnsi="Times New Roman" w:cs="Times New Roman"/>
          <w:color w:val="000000"/>
          <w:spacing w:val="-2"/>
          <w:sz w:val="24"/>
          <w:szCs w:val="24"/>
        </w:rPr>
        <w:t>r</w:t>
      </w:r>
      <w:r>
        <w:rPr>
          <w:rFonts w:ascii="Times New Roman" w:hAnsi="Times New Roman" w:cs="Times New Roman"/>
          <w:color w:val="000000"/>
          <w:spacing w:val="1"/>
          <w:sz w:val="24"/>
          <w:szCs w:val="24"/>
        </w:rPr>
        <w:t>ri</w:t>
      </w:r>
      <w:r>
        <w:rPr>
          <w:rFonts w:ascii="Times New Roman" w:hAnsi="Times New Roman" w:cs="Times New Roman"/>
          <w:color w:val="000000"/>
          <w:sz w:val="24"/>
          <w:szCs w:val="24"/>
        </w:rPr>
        <w:t>so</w:t>
      </w:r>
      <w:r>
        <w:rPr>
          <w:rFonts w:ascii="Times New Roman" w:hAnsi="Times New Roman" w:cs="Times New Roman"/>
          <w:color w:val="000000"/>
          <w:spacing w:val="-1"/>
          <w:sz w:val="24"/>
          <w:szCs w:val="24"/>
        </w:rPr>
        <w:t>m</w:t>
      </w:r>
      <w:r>
        <w:rPr>
          <w:rFonts w:ascii="Times New Roman" w:hAnsi="Times New Roman" w:cs="Times New Roman"/>
          <w:color w:val="000000"/>
          <w:sz w:val="24"/>
          <w:szCs w:val="24"/>
        </w:rPr>
        <w:t>e</w:t>
      </w:r>
      <w:r>
        <w:rPr>
          <w:rFonts w:ascii="Times New Roman" w:hAnsi="Times New Roman" w:cs="Times New Roman"/>
          <w:color w:val="000000"/>
          <w:spacing w:val="-6"/>
          <w:sz w:val="24"/>
          <w:szCs w:val="24"/>
        </w:rPr>
        <w:t xml:space="preserve"> </w:t>
      </w:r>
      <w:r>
        <w:rPr>
          <w:rFonts w:ascii="Times New Roman" w:hAnsi="Times New Roman" w:cs="Times New Roman"/>
          <w:color w:val="000000"/>
          <w:sz w:val="24"/>
          <w:szCs w:val="24"/>
        </w:rPr>
        <w:t>to n</w:t>
      </w:r>
      <w:r>
        <w:rPr>
          <w:rFonts w:ascii="Times New Roman" w:hAnsi="Times New Roman" w:cs="Times New Roman"/>
          <w:color w:val="000000"/>
          <w:spacing w:val="-1"/>
          <w:sz w:val="24"/>
          <w:szCs w:val="24"/>
        </w:rPr>
        <w:t>o</w:t>
      </w:r>
      <w:r>
        <w:rPr>
          <w:rFonts w:ascii="Times New Roman" w:hAnsi="Times New Roman" w:cs="Times New Roman"/>
          <w:color w:val="000000"/>
          <w:sz w:val="24"/>
          <w:szCs w:val="24"/>
        </w:rPr>
        <w:t>tice</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h</w:t>
      </w:r>
      <w:r>
        <w:rPr>
          <w:rFonts w:ascii="Times New Roman" w:hAnsi="Times New Roman" w:cs="Times New Roman"/>
          <w:color w:val="000000"/>
          <w:sz w:val="24"/>
          <w:szCs w:val="24"/>
        </w:rPr>
        <w:t>e</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a</w:t>
      </w:r>
      <w:r>
        <w:rPr>
          <w:rFonts w:ascii="Times New Roman" w:hAnsi="Times New Roman" w:cs="Times New Roman"/>
          <w:color w:val="000000"/>
          <w:spacing w:val="-1"/>
          <w:sz w:val="24"/>
          <w:szCs w:val="24"/>
        </w:rPr>
        <w:t>m</w:t>
      </w:r>
      <w:r>
        <w:rPr>
          <w:rFonts w:ascii="Times New Roman" w:hAnsi="Times New Roman" w:cs="Times New Roman"/>
          <w:color w:val="000000"/>
          <w:sz w:val="24"/>
          <w:szCs w:val="24"/>
        </w:rPr>
        <w:t>o</w:t>
      </w:r>
      <w:r>
        <w:rPr>
          <w:rFonts w:ascii="Times New Roman" w:hAnsi="Times New Roman" w:cs="Times New Roman"/>
          <w:color w:val="000000"/>
          <w:spacing w:val="-1"/>
          <w:sz w:val="24"/>
          <w:szCs w:val="24"/>
        </w:rPr>
        <w:t>u</w:t>
      </w:r>
      <w:r>
        <w:rPr>
          <w:rFonts w:ascii="Times New Roman" w:hAnsi="Times New Roman" w:cs="Times New Roman"/>
          <w:color w:val="000000"/>
          <w:spacing w:val="2"/>
          <w:sz w:val="24"/>
          <w:szCs w:val="24"/>
        </w:rPr>
        <w:t>n</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of</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se</w:t>
      </w:r>
      <w:r>
        <w:rPr>
          <w:rFonts w:ascii="Times New Roman" w:hAnsi="Times New Roman" w:cs="Times New Roman"/>
          <w:color w:val="000000"/>
          <w:spacing w:val="-1"/>
          <w:sz w:val="24"/>
          <w:szCs w:val="24"/>
        </w:rPr>
        <w:t>t</w:t>
      </w:r>
      <w:r>
        <w:rPr>
          <w:rFonts w:ascii="Times New Roman" w:hAnsi="Times New Roman" w:cs="Times New Roman"/>
          <w:color w:val="000000"/>
          <w:sz w:val="24"/>
          <w:szCs w:val="24"/>
        </w:rPr>
        <w:t xml:space="preserve">tled </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d</w:t>
      </w:r>
      <w:r>
        <w:rPr>
          <w:rFonts w:ascii="Times New Roman" w:hAnsi="Times New Roman" w:cs="Times New Roman"/>
          <w:color w:val="000000"/>
          <w:sz w:val="24"/>
          <w:szCs w:val="24"/>
        </w:rPr>
        <w:t>o</w:t>
      </w:r>
      <w:r>
        <w:rPr>
          <w:rFonts w:ascii="Times New Roman" w:hAnsi="Times New Roman" w:cs="Times New Roman"/>
          <w:color w:val="000000"/>
          <w:spacing w:val="-1"/>
          <w:sz w:val="24"/>
          <w:szCs w:val="24"/>
        </w:rPr>
        <w:t>o</w:t>
      </w:r>
      <w:r>
        <w:rPr>
          <w:rFonts w:ascii="Times New Roman" w:hAnsi="Times New Roman" w:cs="Times New Roman"/>
          <w:color w:val="000000"/>
          <w:sz w:val="24"/>
          <w:szCs w:val="24"/>
        </w:rPr>
        <w:t>r</w:t>
      </w:r>
      <w:r>
        <w:rPr>
          <w:rFonts w:ascii="Times New Roman" w:hAnsi="Times New Roman" w:cs="Times New Roman"/>
          <w:color w:val="000000"/>
          <w:spacing w:val="5"/>
          <w:sz w:val="24"/>
          <w:szCs w:val="24"/>
        </w:rPr>
        <w:t xml:space="preserve"> </w:t>
      </w:r>
      <w:r>
        <w:rPr>
          <w:rFonts w:ascii="Times New Roman" w:hAnsi="Times New Roman" w:cs="Times New Roman"/>
          <w:color w:val="000000"/>
          <w:sz w:val="24"/>
          <w:szCs w:val="24"/>
        </w:rPr>
        <w:t>d</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st</w:t>
      </w:r>
      <w:r>
        <w:rPr>
          <w:rFonts w:ascii="Times New Roman" w:hAnsi="Times New Roman" w:cs="Times New Roman"/>
          <w:color w:val="000000"/>
          <w:spacing w:val="1"/>
          <w:sz w:val="24"/>
          <w:szCs w:val="24"/>
        </w:rPr>
        <w:t xml:space="preserve"> i</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so</w:t>
      </w:r>
      <w:r>
        <w:rPr>
          <w:rFonts w:ascii="Times New Roman" w:hAnsi="Times New Roman" w:cs="Times New Roman"/>
          <w:color w:val="000000"/>
          <w:spacing w:val="-1"/>
          <w:sz w:val="24"/>
          <w:szCs w:val="24"/>
        </w:rPr>
        <w:t>m</w:t>
      </w:r>
      <w:r>
        <w:rPr>
          <w:rFonts w:ascii="Times New Roman" w:hAnsi="Times New Roman" w:cs="Times New Roman"/>
          <w:color w:val="000000"/>
          <w:sz w:val="24"/>
          <w:szCs w:val="24"/>
        </w:rPr>
        <w:t>e</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p</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bl</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c sch</w:t>
      </w:r>
      <w:r>
        <w:rPr>
          <w:rFonts w:ascii="Times New Roman" w:hAnsi="Times New Roman" w:cs="Times New Roman"/>
          <w:color w:val="000000"/>
          <w:spacing w:val="-1"/>
          <w:sz w:val="24"/>
          <w:szCs w:val="24"/>
        </w:rPr>
        <w:t>o</w:t>
      </w:r>
      <w:r>
        <w:rPr>
          <w:rFonts w:ascii="Times New Roman" w:hAnsi="Times New Roman" w:cs="Times New Roman"/>
          <w:color w:val="000000"/>
          <w:sz w:val="24"/>
          <w:szCs w:val="24"/>
        </w:rPr>
        <w:t>ols’ c</w:t>
      </w:r>
      <w:r>
        <w:rPr>
          <w:rFonts w:ascii="Times New Roman" w:hAnsi="Times New Roman" w:cs="Times New Roman"/>
          <w:color w:val="000000"/>
          <w:spacing w:val="1"/>
          <w:sz w:val="24"/>
          <w:szCs w:val="24"/>
        </w:rPr>
        <w:t>l</w:t>
      </w:r>
      <w:r>
        <w:rPr>
          <w:rFonts w:ascii="Times New Roman" w:hAnsi="Times New Roman" w:cs="Times New Roman"/>
          <w:color w:val="000000"/>
          <w:sz w:val="24"/>
          <w:szCs w:val="24"/>
        </w:rPr>
        <w:t>ass</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o</w:t>
      </w:r>
      <w:r>
        <w:rPr>
          <w:rFonts w:ascii="Times New Roman" w:hAnsi="Times New Roman" w:cs="Times New Roman"/>
          <w:color w:val="000000"/>
          <w:spacing w:val="-1"/>
          <w:sz w:val="24"/>
          <w:szCs w:val="24"/>
        </w:rPr>
        <w:t>om</w:t>
      </w:r>
      <w:r>
        <w:rPr>
          <w:rFonts w:ascii="Times New Roman" w:hAnsi="Times New Roman" w:cs="Times New Roman"/>
          <w:color w:val="000000"/>
          <w:sz w:val="24"/>
          <w:szCs w:val="24"/>
        </w:rPr>
        <w:t>s</w:t>
      </w:r>
      <w:r>
        <w:rPr>
          <w:rFonts w:ascii="Times New Roman" w:hAnsi="Times New Roman" w:cs="Times New Roman"/>
          <w:color w:val="000000"/>
          <w:spacing w:val="1"/>
          <w:sz w:val="24"/>
          <w:szCs w:val="24"/>
        </w:rPr>
        <w:t xml:space="preserve"> i</w:t>
      </w:r>
      <w:r>
        <w:rPr>
          <w:rFonts w:ascii="Times New Roman" w:hAnsi="Times New Roman" w:cs="Times New Roman"/>
          <w:color w:val="000000"/>
          <w:sz w:val="24"/>
          <w:szCs w:val="24"/>
        </w:rPr>
        <w:t xml:space="preserve">n </w:t>
      </w:r>
      <w:r>
        <w:rPr>
          <w:rFonts w:ascii="Times New Roman" w:hAnsi="Times New Roman" w:cs="Times New Roman"/>
          <w:color w:val="000000"/>
          <w:spacing w:val="-1"/>
          <w:sz w:val="24"/>
          <w:szCs w:val="24"/>
        </w:rPr>
        <w:t>N</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g</w:t>
      </w:r>
      <w:r>
        <w:rPr>
          <w:rFonts w:ascii="Times New Roman" w:hAnsi="Times New Roman" w:cs="Times New Roman"/>
          <w:color w:val="000000"/>
          <w:spacing w:val="-1"/>
          <w:sz w:val="24"/>
          <w:szCs w:val="24"/>
        </w:rPr>
        <w:t>e</w:t>
      </w:r>
      <w:r>
        <w:rPr>
          <w:rFonts w:ascii="Times New Roman" w:hAnsi="Times New Roman" w:cs="Times New Roman"/>
          <w:color w:val="000000"/>
          <w:spacing w:val="1"/>
          <w:sz w:val="24"/>
          <w:szCs w:val="24"/>
        </w:rPr>
        <w:t>ri</w:t>
      </w:r>
      <w:r>
        <w:rPr>
          <w:rFonts w:ascii="Times New Roman" w:hAnsi="Times New Roman" w:cs="Times New Roman"/>
          <w:color w:val="000000"/>
          <w:sz w:val="24"/>
          <w:szCs w:val="24"/>
        </w:rPr>
        <w:t xml:space="preserve">a. </w:t>
      </w:r>
      <w:r>
        <w:rPr>
          <w:rFonts w:ascii="Times New Roman" w:hAnsi="Times New Roman" w:cs="Times New Roman"/>
          <w:color w:val="000000"/>
          <w:spacing w:val="1"/>
          <w:sz w:val="24"/>
          <w:szCs w:val="24"/>
        </w:rPr>
        <w:t>T</w:t>
      </w:r>
      <w:r>
        <w:rPr>
          <w:rFonts w:ascii="Times New Roman" w:hAnsi="Times New Roman" w:cs="Times New Roman"/>
          <w:color w:val="000000"/>
          <w:sz w:val="24"/>
          <w:szCs w:val="24"/>
        </w:rPr>
        <w:t>he h</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alth e</w:t>
      </w:r>
      <w:r>
        <w:rPr>
          <w:rFonts w:ascii="Times New Roman" w:hAnsi="Times New Roman" w:cs="Times New Roman"/>
          <w:color w:val="000000"/>
          <w:spacing w:val="-1"/>
          <w:sz w:val="24"/>
          <w:szCs w:val="24"/>
        </w:rPr>
        <w:t>f</w:t>
      </w:r>
      <w:r>
        <w:rPr>
          <w:rFonts w:ascii="Times New Roman" w:hAnsi="Times New Roman" w:cs="Times New Roman"/>
          <w:color w:val="000000"/>
          <w:sz w:val="24"/>
          <w:szCs w:val="24"/>
        </w:rPr>
        <w:t>f</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cts</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of t</w:t>
      </w:r>
      <w:r>
        <w:rPr>
          <w:rFonts w:ascii="Times New Roman" w:hAnsi="Times New Roman" w:cs="Times New Roman"/>
          <w:color w:val="000000"/>
          <w:spacing w:val="-1"/>
          <w:sz w:val="24"/>
          <w:szCs w:val="24"/>
        </w:rPr>
        <w:t>o</w:t>
      </w:r>
      <w:r>
        <w:rPr>
          <w:rFonts w:ascii="Times New Roman" w:hAnsi="Times New Roman" w:cs="Times New Roman"/>
          <w:color w:val="000000"/>
          <w:sz w:val="24"/>
          <w:szCs w:val="24"/>
        </w:rPr>
        <w:t>x</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c</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m</w:t>
      </w:r>
      <w:r>
        <w:rPr>
          <w:rFonts w:ascii="Times New Roman" w:hAnsi="Times New Roman" w:cs="Times New Roman"/>
          <w:color w:val="000000"/>
          <w:sz w:val="24"/>
          <w:szCs w:val="24"/>
        </w:rPr>
        <w:t>e</w:t>
      </w:r>
      <w:r>
        <w:rPr>
          <w:rFonts w:ascii="Times New Roman" w:hAnsi="Times New Roman" w:cs="Times New Roman"/>
          <w:color w:val="000000"/>
          <w:spacing w:val="-1"/>
          <w:sz w:val="24"/>
          <w:szCs w:val="24"/>
        </w:rPr>
        <w:t>t</w:t>
      </w:r>
      <w:r>
        <w:rPr>
          <w:rFonts w:ascii="Times New Roman" w:hAnsi="Times New Roman" w:cs="Times New Roman"/>
          <w:color w:val="000000"/>
          <w:sz w:val="24"/>
          <w:szCs w:val="24"/>
        </w:rPr>
        <w:t>als</w:t>
      </w:r>
      <w:r>
        <w:rPr>
          <w:rFonts w:ascii="Times New Roman" w:hAnsi="Times New Roman" w:cs="Times New Roman"/>
          <w:color w:val="000000"/>
          <w:spacing w:val="1"/>
          <w:sz w:val="24"/>
          <w:szCs w:val="24"/>
        </w:rPr>
        <w:t xml:space="preserve"> i</w:t>
      </w:r>
      <w:r>
        <w:rPr>
          <w:rFonts w:ascii="Times New Roman" w:hAnsi="Times New Roman" w:cs="Times New Roman"/>
          <w:color w:val="000000"/>
          <w:sz w:val="24"/>
          <w:szCs w:val="24"/>
        </w:rPr>
        <w:t>n d</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 xml:space="preserve">st </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h</w:t>
      </w:r>
      <w:r>
        <w:rPr>
          <w:rFonts w:ascii="Times New Roman" w:hAnsi="Times New Roman" w:cs="Times New Roman"/>
          <w:color w:val="000000"/>
          <w:sz w:val="24"/>
          <w:szCs w:val="24"/>
        </w:rPr>
        <w:t xml:space="preserve">aled can </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f</w:t>
      </w:r>
      <w:r>
        <w:rPr>
          <w:rFonts w:ascii="Times New Roman" w:hAnsi="Times New Roman" w:cs="Times New Roman"/>
          <w:color w:val="000000"/>
          <w:spacing w:val="1"/>
          <w:sz w:val="24"/>
          <w:szCs w:val="24"/>
        </w:rPr>
        <w:t>l</w:t>
      </w:r>
      <w:r>
        <w:rPr>
          <w:rFonts w:ascii="Times New Roman" w:hAnsi="Times New Roman" w:cs="Times New Roman"/>
          <w:color w:val="000000"/>
          <w:sz w:val="24"/>
          <w:szCs w:val="24"/>
        </w:rPr>
        <w:t>a</w:t>
      </w:r>
      <w:r>
        <w:rPr>
          <w:rFonts w:ascii="Times New Roman" w:hAnsi="Times New Roman" w:cs="Times New Roman"/>
          <w:color w:val="000000"/>
          <w:spacing w:val="-1"/>
          <w:sz w:val="24"/>
          <w:szCs w:val="24"/>
        </w:rPr>
        <w:t>m</w:t>
      </w:r>
      <w:r>
        <w:rPr>
          <w:rFonts w:ascii="Times New Roman" w:hAnsi="Times New Roman" w:cs="Times New Roman"/>
          <w:color w:val="000000"/>
          <w:sz w:val="24"/>
          <w:szCs w:val="24"/>
        </w:rPr>
        <w:t>e,</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se</w:t>
      </w:r>
      <w:r>
        <w:rPr>
          <w:rFonts w:ascii="Times New Roman" w:hAnsi="Times New Roman" w:cs="Times New Roman"/>
          <w:color w:val="000000"/>
          <w:spacing w:val="-1"/>
          <w:sz w:val="24"/>
          <w:szCs w:val="24"/>
        </w:rPr>
        <w:t>n</w:t>
      </w:r>
      <w:r>
        <w:rPr>
          <w:rFonts w:ascii="Times New Roman" w:hAnsi="Times New Roman" w:cs="Times New Roman"/>
          <w:color w:val="000000"/>
          <w:spacing w:val="2"/>
          <w:sz w:val="24"/>
          <w:szCs w:val="24"/>
        </w:rPr>
        <w:t>s</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tize a</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d e</w:t>
      </w:r>
      <w:r>
        <w:rPr>
          <w:rFonts w:ascii="Times New Roman" w:hAnsi="Times New Roman" w:cs="Times New Roman"/>
          <w:color w:val="000000"/>
          <w:spacing w:val="2"/>
          <w:sz w:val="24"/>
          <w:szCs w:val="24"/>
        </w:rPr>
        <w:t>v</w:t>
      </w:r>
      <w:r>
        <w:rPr>
          <w:rFonts w:ascii="Times New Roman" w:hAnsi="Times New Roman" w:cs="Times New Roman"/>
          <w:color w:val="000000"/>
          <w:sz w:val="24"/>
          <w:szCs w:val="24"/>
        </w:rPr>
        <w:t>en scar</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h</w:t>
      </w:r>
      <w:r>
        <w:rPr>
          <w:rFonts w:ascii="Times New Roman" w:hAnsi="Times New Roman" w:cs="Times New Roman"/>
          <w:color w:val="000000"/>
          <w:sz w:val="24"/>
          <w:szCs w:val="24"/>
        </w:rPr>
        <w:t xml:space="preserve">e </w:t>
      </w:r>
      <w:r>
        <w:rPr>
          <w:rFonts w:ascii="Times New Roman" w:hAnsi="Times New Roman" w:cs="Times New Roman"/>
          <w:color w:val="000000"/>
          <w:spacing w:val="1"/>
          <w:sz w:val="24"/>
          <w:szCs w:val="24"/>
        </w:rPr>
        <w:t>l</w:t>
      </w:r>
      <w:r>
        <w:rPr>
          <w:rFonts w:ascii="Times New Roman" w:hAnsi="Times New Roman" w:cs="Times New Roman"/>
          <w:color w:val="000000"/>
          <w:sz w:val="24"/>
          <w:szCs w:val="24"/>
        </w:rPr>
        <w:t>u</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gs</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2"/>
          <w:sz w:val="24"/>
          <w:szCs w:val="24"/>
        </w:rPr>
        <w:t>a</w:t>
      </w:r>
      <w:r>
        <w:rPr>
          <w:rFonts w:ascii="Times New Roman" w:hAnsi="Times New Roman" w:cs="Times New Roman"/>
          <w:color w:val="000000"/>
          <w:sz w:val="24"/>
          <w:szCs w:val="24"/>
        </w:rPr>
        <w:t>nd tissu</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 xml:space="preserve"> </w:t>
      </w:r>
      <w:r>
        <w:rPr>
          <w:rFonts w:ascii="Times New Roman" w:hAnsi="Times New Roman" w:cs="Times New Roman"/>
          <w:color w:val="000000"/>
          <w:spacing w:val="1"/>
          <w:sz w:val="24"/>
          <w:szCs w:val="24"/>
        </w:rPr>
        <w:t>(</w:t>
      </w:r>
      <w:proofErr w:type="spellStart"/>
      <w:r>
        <w:rPr>
          <w:rFonts w:ascii="Times New Roman" w:hAnsi="Times New Roman" w:cs="Times New Roman"/>
          <w:color w:val="000000"/>
          <w:spacing w:val="1"/>
          <w:sz w:val="24"/>
          <w:szCs w:val="24"/>
        </w:rPr>
        <w:t>Olutona</w:t>
      </w:r>
      <w:proofErr w:type="spellEnd"/>
      <w:r>
        <w:rPr>
          <w:rFonts w:ascii="Times New Roman" w:hAnsi="Times New Roman" w:cs="Times New Roman"/>
          <w:color w:val="000000"/>
          <w:spacing w:val="1"/>
          <w:sz w:val="24"/>
          <w:szCs w:val="24"/>
        </w:rPr>
        <w:t xml:space="preserve"> </w:t>
      </w:r>
      <w:r>
        <w:rPr>
          <w:rFonts w:ascii="Times New Roman" w:hAnsi="Times New Roman" w:cs="Times New Roman"/>
          <w:i/>
          <w:iCs/>
          <w:color w:val="000000"/>
          <w:spacing w:val="1"/>
          <w:sz w:val="24"/>
          <w:szCs w:val="24"/>
        </w:rPr>
        <w:t xml:space="preserve">et al., </w:t>
      </w:r>
      <w:r>
        <w:rPr>
          <w:rFonts w:ascii="Times New Roman" w:hAnsi="Times New Roman" w:cs="Times New Roman"/>
          <w:color w:val="000000"/>
          <w:spacing w:val="1"/>
          <w:sz w:val="24"/>
          <w:szCs w:val="24"/>
        </w:rPr>
        <w:t>2012)</w:t>
      </w:r>
      <w:r>
        <w:rPr>
          <w:rFonts w:ascii="Times New Roman" w:hAnsi="Times New Roman" w:cs="Times New Roman"/>
          <w:color w:val="000000"/>
          <w:sz w:val="24"/>
          <w:szCs w:val="24"/>
        </w:rPr>
        <w:t>.</w:t>
      </w:r>
      <w:r>
        <w:rPr>
          <w:rFonts w:ascii="Times New Roman" w:hAnsi="Times New Roman" w:cs="Times New Roman"/>
          <w:color w:val="000000"/>
          <w:spacing w:val="1"/>
          <w:sz w:val="24"/>
          <w:szCs w:val="24"/>
        </w:rPr>
        <w:t xml:space="preserve"> </w:t>
      </w:r>
      <w:r>
        <w:rPr>
          <w:rFonts w:ascii="Times New Roman" w:hAnsi="Times New Roman" w:cs="Times New Roman"/>
          <w:color w:val="1F1F1F"/>
          <w:sz w:val="24"/>
          <w:szCs w:val="24"/>
        </w:rPr>
        <w:t xml:space="preserve">One of the most prevalent and neglected diseases in Nigeria and most of the Sub-Saharan African countries probably is lead poisoning which is one of the major heavy metals and it has affected a large fraction of </w:t>
      </w:r>
      <w:r>
        <w:rPr>
          <w:rFonts w:ascii="Times New Roman" w:hAnsi="Times New Roman" w:cs="Times New Roman"/>
          <w:color w:val="1F1F1F"/>
          <w:sz w:val="24"/>
          <w:szCs w:val="24"/>
        </w:rPr>
        <w:lastRenderedPageBreak/>
        <w:t>the childhood population because of the growing multiplicity of potential exposure routes. (</w:t>
      </w:r>
      <w:proofErr w:type="spellStart"/>
      <w:r>
        <w:rPr>
          <w:rFonts w:ascii="Times New Roman" w:hAnsi="Times New Roman" w:cs="Times New Roman"/>
          <w:color w:val="1F1F1F"/>
          <w:sz w:val="24"/>
          <w:szCs w:val="24"/>
        </w:rPr>
        <w:t>Nriagu</w:t>
      </w:r>
      <w:proofErr w:type="spellEnd"/>
      <w:r>
        <w:rPr>
          <w:rFonts w:ascii="Times New Roman" w:hAnsi="Times New Roman" w:cs="Times New Roman"/>
          <w:color w:val="1F1F1F"/>
          <w:sz w:val="24"/>
          <w:szCs w:val="24"/>
        </w:rPr>
        <w:t xml:space="preserve"> et al., 1997; Pfitzner et al., 2000; Wright et al., 2005). </w:t>
      </w:r>
      <w:r>
        <w:rPr>
          <w:rFonts w:ascii="Times New Roman" w:hAnsi="Times New Roman" w:cs="Times New Roman"/>
          <w:color w:val="000000"/>
          <w:spacing w:val="-1"/>
          <w:sz w:val="24"/>
          <w:szCs w:val="24"/>
        </w:rPr>
        <w:t>D</w:t>
      </w:r>
      <w:r>
        <w:rPr>
          <w:rFonts w:ascii="Times New Roman" w:hAnsi="Times New Roman" w:cs="Times New Roman"/>
          <w:color w:val="000000"/>
          <w:sz w:val="24"/>
          <w:szCs w:val="24"/>
        </w:rPr>
        <w:t>ust</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m</w:t>
      </w:r>
      <w:r>
        <w:rPr>
          <w:rFonts w:ascii="Times New Roman" w:hAnsi="Times New Roman" w:cs="Times New Roman"/>
          <w:color w:val="000000"/>
          <w:sz w:val="24"/>
          <w:szCs w:val="24"/>
        </w:rPr>
        <w:t>akes</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a s</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g</w:t>
      </w:r>
      <w:r>
        <w:rPr>
          <w:rFonts w:ascii="Times New Roman" w:hAnsi="Times New Roman" w:cs="Times New Roman"/>
          <w:color w:val="000000"/>
          <w:spacing w:val="-1"/>
          <w:sz w:val="24"/>
          <w:szCs w:val="24"/>
        </w:rPr>
        <w:t>n</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fica</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co</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ri</w:t>
      </w:r>
      <w:r>
        <w:rPr>
          <w:rFonts w:ascii="Times New Roman" w:hAnsi="Times New Roman" w:cs="Times New Roman"/>
          <w:color w:val="000000"/>
          <w:sz w:val="24"/>
          <w:szCs w:val="24"/>
        </w:rPr>
        <w:t>b</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tion to</w:t>
      </w:r>
      <w:r>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p</w:t>
      </w:r>
      <w:r>
        <w:rPr>
          <w:rFonts w:ascii="Times New Roman" w:hAnsi="Times New Roman" w:cs="Times New Roman"/>
          <w:color w:val="000000"/>
          <w:spacing w:val="-1"/>
          <w:sz w:val="24"/>
          <w:szCs w:val="24"/>
        </w:rPr>
        <w:t>o</w:t>
      </w:r>
      <w:r>
        <w:rPr>
          <w:rFonts w:ascii="Times New Roman" w:hAnsi="Times New Roman" w:cs="Times New Roman"/>
          <w:color w:val="000000"/>
          <w:spacing w:val="1"/>
          <w:sz w:val="24"/>
          <w:szCs w:val="24"/>
        </w:rPr>
        <w:t>ll</w:t>
      </w:r>
      <w:r>
        <w:rPr>
          <w:rFonts w:ascii="Times New Roman" w:hAnsi="Times New Roman" w:cs="Times New Roman"/>
          <w:color w:val="000000"/>
          <w:sz w:val="24"/>
          <w:szCs w:val="24"/>
        </w:rPr>
        <w:t>u</w:t>
      </w:r>
      <w:r>
        <w:rPr>
          <w:rFonts w:ascii="Times New Roman" w:hAnsi="Times New Roman" w:cs="Times New Roman"/>
          <w:color w:val="000000"/>
          <w:spacing w:val="-1"/>
          <w:sz w:val="24"/>
          <w:szCs w:val="24"/>
        </w:rPr>
        <w:t>t</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 xml:space="preserve">on </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u</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b</w:t>
      </w:r>
      <w:r>
        <w:rPr>
          <w:rFonts w:ascii="Times New Roman" w:hAnsi="Times New Roman" w:cs="Times New Roman"/>
          <w:color w:val="000000"/>
          <w:spacing w:val="-1"/>
          <w:sz w:val="24"/>
          <w:szCs w:val="24"/>
        </w:rPr>
        <w:t>a</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a</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 xml:space="preserve">eas like Port Harcourt city </w:t>
      </w:r>
      <w:r>
        <w:rPr>
          <w:rFonts w:ascii="Times New Roman" w:hAnsi="Times New Roman" w:cs="Times New Roman"/>
          <w:color w:val="000000"/>
          <w:spacing w:val="2"/>
          <w:sz w:val="24"/>
          <w:szCs w:val="24"/>
        </w:rPr>
        <w:t>a</w:t>
      </w:r>
      <w:r>
        <w:rPr>
          <w:rFonts w:ascii="Times New Roman" w:hAnsi="Times New Roman" w:cs="Times New Roman"/>
          <w:color w:val="000000"/>
          <w:sz w:val="24"/>
          <w:szCs w:val="24"/>
        </w:rPr>
        <w:t>nd co</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s</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sts of</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ve</w:t>
      </w:r>
      <w:r>
        <w:rPr>
          <w:rFonts w:ascii="Times New Roman" w:hAnsi="Times New Roman" w:cs="Times New Roman"/>
          <w:color w:val="000000"/>
          <w:spacing w:val="-1"/>
          <w:sz w:val="24"/>
          <w:szCs w:val="24"/>
        </w:rPr>
        <w:t>h</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c</w:t>
      </w:r>
      <w:r>
        <w:rPr>
          <w:rFonts w:ascii="Times New Roman" w:hAnsi="Times New Roman" w:cs="Times New Roman"/>
          <w:color w:val="000000"/>
          <w:spacing w:val="1"/>
          <w:sz w:val="24"/>
          <w:szCs w:val="24"/>
        </w:rPr>
        <w:t>l</w:t>
      </w:r>
      <w:r>
        <w:rPr>
          <w:rFonts w:ascii="Times New Roman" w:hAnsi="Times New Roman" w:cs="Times New Roman"/>
          <w:color w:val="000000"/>
          <w:sz w:val="24"/>
          <w:szCs w:val="24"/>
        </w:rPr>
        <w:t>e</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exh</w:t>
      </w:r>
      <w:r>
        <w:rPr>
          <w:rFonts w:ascii="Times New Roman" w:hAnsi="Times New Roman" w:cs="Times New Roman"/>
          <w:color w:val="000000"/>
          <w:spacing w:val="-1"/>
          <w:sz w:val="24"/>
          <w:szCs w:val="24"/>
        </w:rPr>
        <w:t>a</w:t>
      </w:r>
      <w:r>
        <w:rPr>
          <w:rFonts w:ascii="Times New Roman" w:hAnsi="Times New Roman" w:cs="Times New Roman"/>
          <w:color w:val="000000"/>
          <w:sz w:val="24"/>
          <w:szCs w:val="24"/>
        </w:rPr>
        <w:t>ust,</w:t>
      </w:r>
      <w:r>
        <w:rPr>
          <w:rFonts w:ascii="Times New Roman" w:hAnsi="Times New Roman" w:cs="Times New Roman"/>
          <w:color w:val="000000"/>
          <w:spacing w:val="-6"/>
          <w:sz w:val="24"/>
          <w:szCs w:val="24"/>
        </w:rPr>
        <w:t xml:space="preserve"> </w:t>
      </w:r>
      <w:r>
        <w:rPr>
          <w:rFonts w:ascii="Times New Roman" w:hAnsi="Times New Roman" w:cs="Times New Roman"/>
          <w:color w:val="000000"/>
          <w:sz w:val="24"/>
          <w:szCs w:val="24"/>
        </w:rPr>
        <w:t>s</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nk</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ng</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p</w:t>
      </w:r>
      <w:r>
        <w:rPr>
          <w:rFonts w:ascii="Times New Roman" w:hAnsi="Times New Roman" w:cs="Times New Roman"/>
          <w:color w:val="000000"/>
          <w:spacing w:val="-1"/>
          <w:sz w:val="24"/>
          <w:szCs w:val="24"/>
        </w:rPr>
        <w:t>a</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tic</w:t>
      </w:r>
      <w:r>
        <w:rPr>
          <w:rFonts w:ascii="Times New Roman" w:hAnsi="Times New Roman" w:cs="Times New Roman"/>
          <w:color w:val="000000"/>
          <w:spacing w:val="1"/>
          <w:sz w:val="24"/>
          <w:szCs w:val="24"/>
        </w:rPr>
        <w:t>l</w:t>
      </w:r>
      <w:r>
        <w:rPr>
          <w:rFonts w:ascii="Times New Roman" w:hAnsi="Times New Roman" w:cs="Times New Roman"/>
          <w:color w:val="000000"/>
          <w:sz w:val="24"/>
          <w:szCs w:val="24"/>
        </w:rPr>
        <w:t>es</w:t>
      </w:r>
      <w:r>
        <w:rPr>
          <w:rFonts w:ascii="Times New Roman" w:hAnsi="Times New Roman" w:cs="Times New Roman"/>
          <w:color w:val="000000"/>
          <w:spacing w:val="-7"/>
          <w:sz w:val="24"/>
          <w:szCs w:val="24"/>
        </w:rPr>
        <w:t xml:space="preserve"> </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n</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ai</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h</w:t>
      </w:r>
      <w:r>
        <w:rPr>
          <w:rFonts w:ascii="Times New Roman" w:hAnsi="Times New Roman" w:cs="Times New Roman"/>
          <w:color w:val="000000"/>
          <w:spacing w:val="-1"/>
          <w:sz w:val="24"/>
          <w:szCs w:val="24"/>
        </w:rPr>
        <w:t>o</w:t>
      </w:r>
      <w:r>
        <w:rPr>
          <w:rFonts w:ascii="Times New Roman" w:hAnsi="Times New Roman" w:cs="Times New Roman"/>
          <w:color w:val="000000"/>
          <w:sz w:val="24"/>
          <w:szCs w:val="24"/>
        </w:rPr>
        <w:t>use</w:t>
      </w:r>
      <w:r>
        <w:rPr>
          <w:rFonts w:ascii="Times New Roman" w:hAnsi="Times New Roman" w:cs="Times New Roman"/>
          <w:color w:val="000000"/>
          <w:spacing w:val="-5"/>
          <w:sz w:val="24"/>
          <w:szCs w:val="24"/>
        </w:rPr>
        <w:t xml:space="preserve"> </w:t>
      </w:r>
      <w:r>
        <w:rPr>
          <w:rFonts w:ascii="Times New Roman" w:hAnsi="Times New Roman" w:cs="Times New Roman"/>
          <w:color w:val="000000"/>
          <w:sz w:val="24"/>
          <w:szCs w:val="24"/>
        </w:rPr>
        <w:t>d</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st,</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soil</w:t>
      </w:r>
      <w:r>
        <w:rPr>
          <w:rFonts w:ascii="Times New Roman" w:hAnsi="Times New Roman" w:cs="Times New Roman"/>
          <w:color w:val="000000"/>
          <w:spacing w:val="-6"/>
          <w:sz w:val="24"/>
          <w:szCs w:val="24"/>
        </w:rPr>
        <w:t xml:space="preserve"> </w:t>
      </w:r>
      <w:r>
        <w:rPr>
          <w:rFonts w:ascii="Times New Roman" w:hAnsi="Times New Roman" w:cs="Times New Roman"/>
          <w:color w:val="000000"/>
          <w:sz w:val="24"/>
          <w:szCs w:val="24"/>
        </w:rPr>
        <w:t>d</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st</w:t>
      </w:r>
      <w:r>
        <w:rPr>
          <w:rFonts w:ascii="Times New Roman" w:hAnsi="Times New Roman" w:cs="Times New Roman"/>
          <w:color w:val="000000"/>
          <w:spacing w:val="-5"/>
          <w:sz w:val="24"/>
          <w:szCs w:val="24"/>
        </w:rPr>
        <w:t xml:space="preserve"> </w:t>
      </w:r>
      <w:r>
        <w:rPr>
          <w:rFonts w:ascii="Times New Roman" w:hAnsi="Times New Roman" w:cs="Times New Roman"/>
          <w:color w:val="000000"/>
          <w:sz w:val="24"/>
          <w:szCs w:val="24"/>
        </w:rPr>
        <w:t>a</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d a</w:t>
      </w:r>
      <w:r>
        <w:rPr>
          <w:rFonts w:ascii="Times New Roman" w:hAnsi="Times New Roman" w:cs="Times New Roman"/>
          <w:color w:val="000000"/>
          <w:spacing w:val="-1"/>
          <w:sz w:val="24"/>
          <w:szCs w:val="24"/>
        </w:rPr>
        <w:t>e</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osols</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h</w:t>
      </w:r>
      <w:r>
        <w:rPr>
          <w:rFonts w:ascii="Times New Roman" w:hAnsi="Times New Roman" w:cs="Times New Roman"/>
          <w:color w:val="000000"/>
          <w:sz w:val="24"/>
          <w:szCs w:val="24"/>
        </w:rPr>
        <w:t>at</w:t>
      </w:r>
      <w:r>
        <w:rPr>
          <w:rFonts w:ascii="Times New Roman" w:hAnsi="Times New Roman" w:cs="Times New Roman"/>
          <w:color w:val="000000"/>
          <w:spacing w:val="-1"/>
          <w:sz w:val="24"/>
          <w:szCs w:val="24"/>
        </w:rPr>
        <w:t xml:space="preserve"> a</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e</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ca</w:t>
      </w:r>
      <w:r>
        <w:rPr>
          <w:rFonts w:ascii="Times New Roman" w:hAnsi="Times New Roman" w:cs="Times New Roman"/>
          <w:color w:val="000000"/>
          <w:spacing w:val="1"/>
          <w:sz w:val="24"/>
          <w:szCs w:val="24"/>
        </w:rPr>
        <w:t>rri</w:t>
      </w:r>
      <w:r>
        <w:rPr>
          <w:rFonts w:ascii="Times New Roman" w:hAnsi="Times New Roman" w:cs="Times New Roman"/>
          <w:color w:val="000000"/>
          <w:sz w:val="24"/>
          <w:szCs w:val="24"/>
        </w:rPr>
        <w:t>ed</w:t>
      </w:r>
      <w:r>
        <w:rPr>
          <w:rFonts w:ascii="Times New Roman" w:hAnsi="Times New Roman" w:cs="Times New Roman"/>
          <w:color w:val="000000"/>
          <w:spacing w:val="-1"/>
          <w:sz w:val="24"/>
          <w:szCs w:val="24"/>
        </w:rPr>
        <w:t xml:space="preserve"> b</w:t>
      </w:r>
      <w:r>
        <w:rPr>
          <w:rFonts w:ascii="Times New Roman" w:hAnsi="Times New Roman" w:cs="Times New Roman"/>
          <w:color w:val="000000"/>
          <w:sz w:val="24"/>
          <w:szCs w:val="24"/>
        </w:rPr>
        <w:t xml:space="preserve">y </w:t>
      </w:r>
      <w:r>
        <w:rPr>
          <w:rFonts w:ascii="Times New Roman" w:hAnsi="Times New Roman" w:cs="Times New Roman"/>
          <w:color w:val="000000"/>
          <w:spacing w:val="-1"/>
          <w:sz w:val="24"/>
          <w:szCs w:val="24"/>
        </w:rPr>
        <w:t>a</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r</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w:t>
      </w:r>
      <w:r>
        <w:rPr>
          <w:rFonts w:ascii="Times New Roman" w:hAnsi="Times New Roman" w:cs="Times New Roman"/>
          <w:color w:val="000000"/>
          <w:sz w:val="24"/>
          <w:szCs w:val="24"/>
        </w:rPr>
        <w:t>nd</w:t>
      </w:r>
      <w:r>
        <w:rPr>
          <w:rFonts w:ascii="Times New Roman" w:hAnsi="Times New Roman" w:cs="Times New Roman"/>
          <w:color w:val="000000"/>
          <w:spacing w:val="-1"/>
          <w:sz w:val="24"/>
          <w:szCs w:val="24"/>
        </w:rPr>
        <w:t xml:space="preserve"> w</w:t>
      </w:r>
      <w:r>
        <w:rPr>
          <w:rFonts w:ascii="Times New Roman" w:hAnsi="Times New Roman" w:cs="Times New Roman"/>
          <w:color w:val="000000"/>
          <w:sz w:val="24"/>
          <w:szCs w:val="24"/>
        </w:rPr>
        <w:t>a</w:t>
      </w:r>
      <w:r>
        <w:rPr>
          <w:rFonts w:ascii="Times New Roman" w:hAnsi="Times New Roman" w:cs="Times New Roman"/>
          <w:color w:val="000000"/>
          <w:spacing w:val="-1"/>
          <w:sz w:val="24"/>
          <w:szCs w:val="24"/>
        </w:rPr>
        <w:t>t</w:t>
      </w:r>
      <w:r>
        <w:rPr>
          <w:rFonts w:ascii="Times New Roman" w:hAnsi="Times New Roman" w:cs="Times New Roman"/>
          <w:color w:val="000000"/>
          <w:sz w:val="24"/>
          <w:szCs w:val="24"/>
        </w:rPr>
        <w:t>e</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zes</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ti</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va</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e may be less than 1</w:t>
      </w:r>
      <w:r w:rsidR="00342C80">
        <w:rPr>
          <w:rFonts w:ascii="Times New Roman" w:eastAsia="Times New Roman" w:hAnsi="Times New Roman" w:cs="Times New Roman"/>
          <w:color w:val="000000"/>
          <w:spacing w:val="1"/>
          <w:position w:val="2"/>
          <w:sz w:val="24"/>
          <w:szCs w:val="24"/>
        </w:rPr>
        <w:t>µm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position w:val="2"/>
          <w:sz w:val="24"/>
          <w:szCs w:val="24"/>
        </w:rPr>
        <w:t>and up to about 100</w:t>
      </w:r>
      <w:r w:rsidR="00342C80">
        <w:rPr>
          <w:rFonts w:ascii="Times New Roman" w:eastAsia="Times New Roman" w:hAnsi="Times New Roman" w:cs="Times New Roman"/>
          <w:color w:val="000000"/>
          <w:spacing w:val="1"/>
          <w:position w:val="2"/>
          <w:sz w:val="24"/>
          <w:szCs w:val="24"/>
        </w:rPr>
        <w:t>µ</w:t>
      </w:r>
      <w:r>
        <w:rPr>
          <w:rFonts w:ascii="Times New Roman" w:eastAsia="Times New Roman" w:hAnsi="Times New Roman" w:cs="Times New Roman"/>
          <w:color w:val="000000"/>
          <w:spacing w:val="1"/>
          <w:position w:val="2"/>
          <w:sz w:val="24"/>
          <w:szCs w:val="24"/>
        </w:rPr>
        <w:t>m in diameter (</w:t>
      </w:r>
      <w:proofErr w:type="spellStart"/>
      <w:r>
        <w:rPr>
          <w:rFonts w:ascii="Times New Roman" w:eastAsia="Times New Roman" w:hAnsi="Times New Roman" w:cs="Times New Roman"/>
          <w:color w:val="000000"/>
          <w:spacing w:val="1"/>
          <w:position w:val="2"/>
          <w:sz w:val="24"/>
          <w:szCs w:val="24"/>
        </w:rPr>
        <w:t>Doyi</w:t>
      </w:r>
      <w:proofErr w:type="spellEnd"/>
      <w:r>
        <w:rPr>
          <w:rFonts w:ascii="Times New Roman" w:eastAsia="Times New Roman" w:hAnsi="Times New Roman" w:cs="Times New Roman"/>
          <w:color w:val="000000"/>
          <w:spacing w:val="1"/>
          <w:position w:val="2"/>
          <w:sz w:val="24"/>
          <w:szCs w:val="24"/>
        </w:rPr>
        <w:t xml:space="preserve"> </w:t>
      </w:r>
      <w:r>
        <w:rPr>
          <w:rFonts w:ascii="Times New Roman" w:eastAsia="Times New Roman" w:hAnsi="Times New Roman" w:cs="Times New Roman"/>
          <w:i/>
          <w:iCs/>
          <w:color w:val="000000"/>
          <w:spacing w:val="1"/>
          <w:position w:val="2"/>
          <w:sz w:val="24"/>
          <w:szCs w:val="24"/>
        </w:rPr>
        <w:t>et al.,</w:t>
      </w:r>
      <w:r>
        <w:rPr>
          <w:rFonts w:ascii="Times New Roman" w:eastAsia="Times New Roman" w:hAnsi="Times New Roman" w:cs="Times New Roman"/>
          <w:color w:val="000000"/>
          <w:spacing w:val="-3"/>
          <w:position w:val="2"/>
          <w:sz w:val="24"/>
          <w:szCs w:val="24"/>
        </w:rPr>
        <w:t xml:space="preserve"> </w:t>
      </w:r>
      <w:r>
        <w:rPr>
          <w:rFonts w:ascii="Times New Roman" w:eastAsia="Times New Roman" w:hAnsi="Times New Roman" w:cs="Times New Roman"/>
          <w:color w:val="000000"/>
          <w:position w:val="2"/>
          <w:sz w:val="24"/>
          <w:szCs w:val="24"/>
        </w:rPr>
        <w:t>2020</w:t>
      </w:r>
      <w:r>
        <w:rPr>
          <w:rFonts w:ascii="Times New Roman" w:eastAsia="Times New Roman" w:hAnsi="Times New Roman" w:cs="Times New Roman"/>
          <w:color w:val="000000"/>
          <w:spacing w:val="1"/>
          <w:position w:val="2"/>
          <w:sz w:val="24"/>
          <w:szCs w:val="24"/>
        </w:rPr>
        <w:t>)</w:t>
      </w:r>
      <w:r>
        <w:rPr>
          <w:rFonts w:ascii="Times New Roman" w:eastAsia="Times New Roman" w:hAnsi="Times New Roman" w:cs="Times New Roman"/>
          <w:color w:val="000000"/>
          <w:position w:val="2"/>
          <w:sz w:val="24"/>
          <w:szCs w:val="24"/>
        </w:rPr>
        <w:t>.</w:t>
      </w:r>
      <w:r>
        <w:rPr>
          <w:rFonts w:ascii="Times New Roman" w:eastAsia="Times New Roman" w:hAnsi="Times New Roman" w:cs="Times New Roman"/>
          <w:color w:val="000000"/>
          <w:spacing w:val="-1"/>
          <w:position w:val="9"/>
          <w:sz w:val="24"/>
          <w:szCs w:val="24"/>
        </w:rPr>
        <w:t xml:space="preserve"> </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ff</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typ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ed f</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om 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ir</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nm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 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oces</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e to</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eir</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diff</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z w:val="24"/>
          <w:szCs w:val="24"/>
        </w:rPr>
        <w:t>nt s</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ces.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 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e c</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cal co</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stit</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tic</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pacing w:val="-1"/>
          <w:sz w:val="24"/>
          <w:szCs w:val="24"/>
        </w:rPr>
        <w:t>em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cal</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co</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of d</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al</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an exp</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su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high</w:t>
      </w:r>
      <w:r>
        <w:rPr>
          <w:rFonts w:ascii="Times New Roman" w:eastAsia="Times New Roman" w:hAnsi="Times New Roman" w:cs="Times New Roman"/>
          <w:color w:val="000000"/>
          <w:spacing w:val="1"/>
          <w:sz w:val="24"/>
          <w:szCs w:val="24"/>
        </w:rPr>
        <w:t xml:space="preserve"> l</w:t>
      </w:r>
      <w:r>
        <w:rPr>
          <w:rFonts w:ascii="Times New Roman" w:eastAsia="Times New Roman" w:hAnsi="Times New Roman" w:cs="Times New Roman"/>
          <w:color w:val="000000"/>
          <w:sz w:val="24"/>
          <w:szCs w:val="24"/>
        </w:rPr>
        <w:t>evels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 xml:space="preserve">als </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to a</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se 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alth</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cts.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If</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1"/>
          <w:sz w:val="24"/>
          <w:szCs w:val="24"/>
        </w:rPr>
        <w:t xml:space="preserve"> i</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 xml:space="preserve"> l</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 xml:space="preserve">en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th 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avy</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al</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ov</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ri</w:t>
      </w:r>
      <w:r>
        <w:rPr>
          <w:rFonts w:ascii="Times New Roman" w:eastAsia="Times New Roman" w:hAnsi="Times New Roman" w:cs="Times New Roman"/>
          <w:color w:val="000000"/>
          <w:sz w:val="24"/>
          <w:szCs w:val="24"/>
        </w:rPr>
        <w:t>tical</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sz w:val="24"/>
          <w:szCs w:val="24"/>
        </w:rPr>
        <w:t>li</w:t>
      </w:r>
      <w:r>
        <w:rPr>
          <w:rFonts w:ascii="Times New Roman" w:eastAsia="Times New Roman" w:hAnsi="Times New Roman" w:cs="Times New Roman"/>
          <w:color w:val="000000"/>
          <w:sz w:val="24"/>
          <w:szCs w:val="24"/>
        </w:rPr>
        <w:t>nk</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exp</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su</w:t>
      </w:r>
      <w:r>
        <w:rPr>
          <w:rFonts w:ascii="Times New Roman" w:eastAsia="Times New Roman" w:hAnsi="Times New Roman" w:cs="Times New Roman"/>
          <w:color w:val="000000"/>
          <w:spacing w:val="3"/>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ay</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yo</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chi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co</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am</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a</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d</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c</w:t>
      </w:r>
      <w:r>
        <w:rPr>
          <w:rFonts w:ascii="Times New Roman" w:hAnsi="Times New Roman" w:cs="Times New Roman"/>
          <w:color w:val="000000"/>
          <w:spacing w:val="1"/>
          <w:sz w:val="24"/>
          <w:szCs w:val="24"/>
        </w:rPr>
        <w:t>l</w:t>
      </w:r>
      <w:r>
        <w:rPr>
          <w:rFonts w:ascii="Times New Roman" w:hAnsi="Times New Roman" w:cs="Times New Roman"/>
          <w:color w:val="000000"/>
          <w:sz w:val="24"/>
          <w:szCs w:val="24"/>
        </w:rPr>
        <w:t>ass</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o</w:t>
      </w:r>
      <w:r>
        <w:rPr>
          <w:rFonts w:ascii="Times New Roman" w:hAnsi="Times New Roman" w:cs="Times New Roman"/>
          <w:color w:val="000000"/>
          <w:spacing w:val="-1"/>
          <w:sz w:val="24"/>
          <w:szCs w:val="24"/>
        </w:rPr>
        <w:t>o</w:t>
      </w:r>
      <w:r>
        <w:rPr>
          <w:rFonts w:ascii="Times New Roman" w:hAnsi="Times New Roman" w:cs="Times New Roman"/>
          <w:color w:val="000000"/>
          <w:sz w:val="24"/>
          <w:szCs w:val="24"/>
        </w:rPr>
        <w:t>m</w:t>
      </w:r>
      <w:r>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d</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st</w:t>
      </w:r>
      <w:r>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c</w:t>
      </w:r>
      <w:r>
        <w:rPr>
          <w:rFonts w:ascii="Times New Roman" w:hAnsi="Times New Roman" w:cs="Times New Roman"/>
          <w:color w:val="000000"/>
          <w:spacing w:val="2"/>
          <w:sz w:val="24"/>
          <w:szCs w:val="24"/>
        </w:rPr>
        <w:t>a</w:t>
      </w:r>
      <w:r>
        <w:rPr>
          <w:rFonts w:ascii="Times New Roman" w:hAnsi="Times New Roman" w:cs="Times New Roman"/>
          <w:color w:val="000000"/>
          <w:sz w:val="24"/>
          <w:szCs w:val="24"/>
        </w:rPr>
        <w:t>n</w:t>
      </w:r>
      <w:r>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p</w:t>
      </w:r>
      <w:r>
        <w:rPr>
          <w:rFonts w:ascii="Times New Roman" w:hAnsi="Times New Roman" w:cs="Times New Roman"/>
          <w:color w:val="000000"/>
          <w:spacing w:val="-1"/>
          <w:sz w:val="24"/>
          <w:szCs w:val="24"/>
        </w:rPr>
        <w:t>o</w:t>
      </w:r>
      <w:r>
        <w:rPr>
          <w:rFonts w:ascii="Times New Roman" w:hAnsi="Times New Roman" w:cs="Times New Roman"/>
          <w:color w:val="000000"/>
          <w:spacing w:val="3"/>
          <w:sz w:val="24"/>
          <w:szCs w:val="24"/>
        </w:rPr>
        <w:t>s</w:t>
      </w:r>
      <w:r>
        <w:rPr>
          <w:rFonts w:ascii="Times New Roman" w:hAnsi="Times New Roman" w:cs="Times New Roman"/>
          <w:color w:val="000000"/>
          <w:sz w:val="24"/>
          <w:szCs w:val="24"/>
        </w:rPr>
        <w:t>e</w:t>
      </w:r>
      <w:r>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a</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p</w:t>
      </w:r>
      <w:r>
        <w:rPr>
          <w:rFonts w:ascii="Times New Roman" w:hAnsi="Times New Roman" w:cs="Times New Roman"/>
          <w:color w:val="000000"/>
          <w:spacing w:val="-1"/>
          <w:sz w:val="24"/>
          <w:szCs w:val="24"/>
        </w:rPr>
        <w:t>o</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t</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al</w:t>
      </w:r>
      <w:r>
        <w:rPr>
          <w:rFonts w:ascii="Times New Roman" w:hAnsi="Times New Roman" w:cs="Times New Roman"/>
          <w:color w:val="000000"/>
          <w:spacing w:val="-10"/>
          <w:sz w:val="24"/>
          <w:szCs w:val="24"/>
        </w:rPr>
        <w:t xml:space="preserve"> </w:t>
      </w:r>
      <w:r>
        <w:rPr>
          <w:rFonts w:ascii="Times New Roman" w:hAnsi="Times New Roman" w:cs="Times New Roman"/>
          <w:color w:val="000000"/>
          <w:spacing w:val="1"/>
          <w:sz w:val="24"/>
          <w:szCs w:val="24"/>
        </w:rPr>
        <w:t>ri</w:t>
      </w:r>
      <w:r>
        <w:rPr>
          <w:rFonts w:ascii="Times New Roman" w:hAnsi="Times New Roman" w:cs="Times New Roman"/>
          <w:color w:val="000000"/>
          <w:sz w:val="24"/>
          <w:szCs w:val="24"/>
        </w:rPr>
        <w:t>sk</w:t>
      </w:r>
      <w:r>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to</w:t>
      </w:r>
      <w:r>
        <w:rPr>
          <w:rFonts w:ascii="Times New Roman" w:hAnsi="Times New Roman" w:cs="Times New Roman"/>
          <w:color w:val="000000"/>
          <w:spacing w:val="-11"/>
          <w:sz w:val="24"/>
          <w:szCs w:val="24"/>
        </w:rPr>
        <w:t xml:space="preserve"> </w:t>
      </w:r>
      <w:r>
        <w:rPr>
          <w:rFonts w:ascii="Times New Roman" w:hAnsi="Times New Roman" w:cs="Times New Roman"/>
          <w:color w:val="000000"/>
          <w:spacing w:val="2"/>
          <w:sz w:val="24"/>
          <w:szCs w:val="24"/>
        </w:rPr>
        <w:t>t</w:t>
      </w:r>
      <w:r>
        <w:rPr>
          <w:rFonts w:ascii="Times New Roman" w:hAnsi="Times New Roman" w:cs="Times New Roman"/>
          <w:color w:val="000000"/>
          <w:sz w:val="24"/>
          <w:szCs w:val="24"/>
        </w:rPr>
        <w:t>he</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h</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alth of</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yo</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ng</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s</w:t>
      </w:r>
      <w:r>
        <w:rPr>
          <w:rFonts w:ascii="Times New Roman" w:hAnsi="Times New Roman" w:cs="Times New Roman"/>
          <w:color w:val="000000"/>
          <w:spacing w:val="1"/>
          <w:sz w:val="24"/>
          <w:szCs w:val="24"/>
        </w:rPr>
        <w:t>c</w:t>
      </w:r>
      <w:r>
        <w:rPr>
          <w:rFonts w:ascii="Times New Roman" w:hAnsi="Times New Roman" w:cs="Times New Roman"/>
          <w:color w:val="000000"/>
          <w:sz w:val="24"/>
          <w:szCs w:val="24"/>
        </w:rPr>
        <w:t>h</w:t>
      </w:r>
      <w:r>
        <w:rPr>
          <w:rFonts w:ascii="Times New Roman" w:hAnsi="Times New Roman" w:cs="Times New Roman"/>
          <w:color w:val="000000"/>
          <w:spacing w:val="-1"/>
          <w:sz w:val="24"/>
          <w:szCs w:val="24"/>
        </w:rPr>
        <w:t>o</w:t>
      </w:r>
      <w:r>
        <w:rPr>
          <w:rFonts w:ascii="Times New Roman" w:hAnsi="Times New Roman" w:cs="Times New Roman"/>
          <w:color w:val="000000"/>
          <w:sz w:val="24"/>
          <w:szCs w:val="24"/>
        </w:rPr>
        <w:t xml:space="preserve">ol </w:t>
      </w:r>
      <w:r>
        <w:rPr>
          <w:rFonts w:ascii="Times New Roman" w:hAnsi="Times New Roman" w:cs="Times New Roman"/>
          <w:color w:val="000000"/>
          <w:spacing w:val="1"/>
          <w:sz w:val="24"/>
          <w:szCs w:val="24"/>
        </w:rPr>
        <w:t>c</w:t>
      </w:r>
      <w:r>
        <w:rPr>
          <w:rFonts w:ascii="Times New Roman" w:hAnsi="Times New Roman" w:cs="Times New Roman"/>
          <w:color w:val="000000"/>
          <w:sz w:val="24"/>
          <w:szCs w:val="24"/>
        </w:rPr>
        <w:t>hi</w:t>
      </w:r>
      <w:r>
        <w:rPr>
          <w:rFonts w:ascii="Times New Roman" w:hAnsi="Times New Roman" w:cs="Times New Roman"/>
          <w:color w:val="000000"/>
          <w:spacing w:val="1"/>
          <w:sz w:val="24"/>
          <w:szCs w:val="24"/>
        </w:rPr>
        <w:t>l</w:t>
      </w:r>
      <w:r>
        <w:rPr>
          <w:rFonts w:ascii="Times New Roman" w:hAnsi="Times New Roman" w:cs="Times New Roman"/>
          <w:color w:val="000000"/>
          <w:sz w:val="24"/>
          <w:szCs w:val="24"/>
        </w:rPr>
        <w:t>d</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 xml:space="preserve">en </w:t>
      </w:r>
      <w:r>
        <w:rPr>
          <w:rFonts w:ascii="Times New Roman" w:hAnsi="Times New Roman" w:cs="Times New Roman"/>
          <w:color w:val="000000"/>
          <w:spacing w:val="1"/>
          <w:sz w:val="24"/>
          <w:szCs w:val="24"/>
        </w:rPr>
        <w:t>(</w:t>
      </w:r>
      <w:proofErr w:type="spellStart"/>
      <w:r>
        <w:rPr>
          <w:rFonts w:ascii="Times New Roman" w:hAnsi="Times New Roman" w:cs="Times New Roman"/>
          <w:color w:val="000000"/>
          <w:spacing w:val="-1"/>
          <w:sz w:val="24"/>
          <w:szCs w:val="24"/>
        </w:rPr>
        <w:t>U</w:t>
      </w:r>
      <w:r>
        <w:rPr>
          <w:rFonts w:ascii="Times New Roman" w:hAnsi="Times New Roman" w:cs="Times New Roman"/>
          <w:color w:val="000000"/>
          <w:sz w:val="24"/>
          <w:szCs w:val="24"/>
        </w:rPr>
        <w:t>g</w:t>
      </w:r>
      <w:r>
        <w:rPr>
          <w:rFonts w:ascii="Times New Roman" w:hAnsi="Times New Roman" w:cs="Times New Roman"/>
          <w:color w:val="000000"/>
          <w:spacing w:val="-1"/>
          <w:sz w:val="24"/>
          <w:szCs w:val="24"/>
        </w:rPr>
        <w:t>w</w:t>
      </w:r>
      <w:r>
        <w:rPr>
          <w:rFonts w:ascii="Times New Roman" w:hAnsi="Times New Roman" w:cs="Times New Roman"/>
          <w:color w:val="000000"/>
          <w:sz w:val="24"/>
          <w:szCs w:val="24"/>
        </w:rPr>
        <w:t>u</w:t>
      </w:r>
      <w:proofErr w:type="spellEnd"/>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 xml:space="preserve">&amp; </w:t>
      </w:r>
      <w:proofErr w:type="spellStart"/>
      <w:r>
        <w:rPr>
          <w:rFonts w:ascii="Times New Roman" w:hAnsi="Times New Roman" w:cs="Times New Roman"/>
          <w:color w:val="000000"/>
          <w:sz w:val="24"/>
          <w:szCs w:val="24"/>
        </w:rPr>
        <w:t>O</w:t>
      </w:r>
      <w:r>
        <w:rPr>
          <w:rFonts w:ascii="Times New Roman" w:hAnsi="Times New Roman" w:cs="Times New Roman"/>
          <w:color w:val="000000"/>
          <w:spacing w:val="2"/>
          <w:sz w:val="24"/>
          <w:szCs w:val="24"/>
        </w:rPr>
        <w:t>f</w:t>
      </w:r>
      <w:r>
        <w:rPr>
          <w:rFonts w:ascii="Times New Roman" w:hAnsi="Times New Roman" w:cs="Times New Roman"/>
          <w:color w:val="000000"/>
          <w:sz w:val="24"/>
          <w:szCs w:val="24"/>
        </w:rPr>
        <w:t>o</w:t>
      </w:r>
      <w:r>
        <w:rPr>
          <w:rFonts w:ascii="Times New Roman" w:hAnsi="Times New Roman" w:cs="Times New Roman"/>
          <w:color w:val="000000"/>
          <w:spacing w:val="-1"/>
          <w:sz w:val="24"/>
          <w:szCs w:val="24"/>
        </w:rPr>
        <w:t>m</w:t>
      </w:r>
      <w:r>
        <w:rPr>
          <w:rFonts w:ascii="Times New Roman" w:hAnsi="Times New Roman" w:cs="Times New Roman"/>
          <w:color w:val="000000"/>
          <w:sz w:val="24"/>
          <w:szCs w:val="24"/>
        </w:rPr>
        <w:t>a</w:t>
      </w:r>
      <w:r>
        <w:rPr>
          <w:rFonts w:ascii="Times New Roman" w:hAnsi="Times New Roman" w:cs="Times New Roman"/>
          <w:color w:val="000000"/>
          <w:spacing w:val="-1"/>
          <w:sz w:val="24"/>
          <w:szCs w:val="24"/>
        </w:rPr>
        <w:t>t</w:t>
      </w:r>
      <w:r>
        <w:rPr>
          <w:rFonts w:ascii="Times New Roman" w:hAnsi="Times New Roman" w:cs="Times New Roman"/>
          <w:color w:val="000000"/>
          <w:sz w:val="24"/>
          <w:szCs w:val="24"/>
        </w:rPr>
        <w:t>a</w:t>
      </w:r>
      <w:r>
        <w:rPr>
          <w:rFonts w:ascii="Times New Roman" w:hAnsi="Times New Roman" w:cs="Times New Roman"/>
          <w:color w:val="000000"/>
          <w:spacing w:val="-1"/>
          <w:sz w:val="24"/>
          <w:szCs w:val="24"/>
        </w:rPr>
        <w:t>h</w:t>
      </w:r>
      <w:proofErr w:type="spellEnd"/>
      <w:r>
        <w:rPr>
          <w:rFonts w:ascii="Times New Roman" w:hAnsi="Times New Roman" w:cs="Times New Roman"/>
          <w:color w:val="000000"/>
          <w:sz w:val="24"/>
          <w:szCs w:val="24"/>
        </w:rPr>
        <w:t>,</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2</w:t>
      </w:r>
      <w:r>
        <w:rPr>
          <w:rFonts w:ascii="Times New Roman" w:hAnsi="Times New Roman" w:cs="Times New Roman"/>
          <w:color w:val="000000"/>
          <w:spacing w:val="-1"/>
          <w:sz w:val="24"/>
          <w:szCs w:val="24"/>
        </w:rPr>
        <w:t>0</w:t>
      </w:r>
      <w:r>
        <w:rPr>
          <w:rFonts w:ascii="Times New Roman" w:hAnsi="Times New Roman" w:cs="Times New Roman"/>
          <w:color w:val="000000"/>
          <w:sz w:val="24"/>
          <w:szCs w:val="24"/>
        </w:rPr>
        <w:t>2</w:t>
      </w:r>
      <w:r>
        <w:rPr>
          <w:rFonts w:ascii="Times New Roman" w:hAnsi="Times New Roman" w:cs="Times New Roman"/>
          <w:color w:val="000000"/>
          <w:spacing w:val="-1"/>
          <w:sz w:val="24"/>
          <w:szCs w:val="24"/>
        </w:rPr>
        <w:t>1</w:t>
      </w:r>
      <w:r>
        <w:rPr>
          <w:rFonts w:ascii="Times New Roman" w:hAnsi="Times New Roman" w:cs="Times New Roman"/>
          <w:color w:val="000000"/>
          <w:spacing w:val="2"/>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A study by Lanphear et al. (1996) conducted among children in Rochester (New York, USA) indicates that dust lead content explains most of the variance in blood lead levels. Previous studies in Nigeria have shown that 70% of children aged 6 to35 months had blood lead levels greater than 10 g/dL (Nigeria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2012; Keating </w:t>
      </w:r>
      <w:r>
        <w:rPr>
          <w:rFonts w:ascii="Times New Roman" w:hAnsi="Times New Roman" w:cs="Times New Roman"/>
          <w:i/>
          <w:iCs/>
          <w:sz w:val="24"/>
          <w:szCs w:val="24"/>
        </w:rPr>
        <w:t>et al.,</w:t>
      </w:r>
      <w:r>
        <w:rPr>
          <w:rFonts w:ascii="Times New Roman" w:hAnsi="Times New Roman" w:cs="Times New Roman"/>
          <w:sz w:val="24"/>
          <w:szCs w:val="24"/>
        </w:rPr>
        <w:t xml:space="preserve"> 2011) and that flaking house paint was an important determinant of this (Wright et al., 2005). It has been shown that emulsion and gloss types of paints currently manufactured and sold in Nigeria contained substantial levels of lead (</w:t>
      </w:r>
      <w:proofErr w:type="spellStart"/>
      <w:r>
        <w:rPr>
          <w:rFonts w:ascii="Times New Roman" w:hAnsi="Times New Roman" w:cs="Times New Roman"/>
          <w:sz w:val="24"/>
          <w:szCs w:val="24"/>
        </w:rPr>
        <w:t>Adebamowo</w:t>
      </w:r>
      <w:proofErr w:type="spellEnd"/>
      <w:r>
        <w:rPr>
          <w:rFonts w:ascii="Times New Roman" w:hAnsi="Times New Roman" w:cs="Times New Roman"/>
          <w:sz w:val="24"/>
          <w:szCs w:val="24"/>
        </w:rPr>
        <w:t xml:space="preserve"> et al., 2006). However, much attention has not been paid to the problem of heavy metal contamination in classrooms. There is a lack of information on classroom dust and consequently; there are no regulations, and guidelines for heavy metal contamination in classrooms.</w:t>
      </w:r>
    </w:p>
    <w:p w14:paraId="4D23E413" w14:textId="77777777" w:rsidR="005A186C" w:rsidRDefault="005A186C">
      <w:pPr>
        <w:widowControl w:val="0"/>
        <w:autoSpaceDE w:val="0"/>
        <w:autoSpaceDN w:val="0"/>
        <w:adjustRightInd w:val="0"/>
        <w:spacing w:before="3" w:after="0" w:line="240" w:lineRule="auto"/>
        <w:ind w:right="568"/>
        <w:jc w:val="both"/>
        <w:rPr>
          <w:rFonts w:ascii="Times New Roman" w:hAnsi="Times New Roman" w:cs="Times New Roman"/>
          <w:color w:val="000000"/>
          <w:sz w:val="24"/>
          <w:szCs w:val="24"/>
        </w:rPr>
      </w:pPr>
    </w:p>
    <w:p w14:paraId="74F1840B" w14:textId="77777777" w:rsidR="005A186C" w:rsidRDefault="00342C80">
      <w:pPr>
        <w:widowControl w:val="0"/>
        <w:autoSpaceDE w:val="0"/>
        <w:autoSpaceDN w:val="0"/>
        <w:adjustRightInd w:val="0"/>
        <w:spacing w:before="3" w:after="0" w:line="240" w:lineRule="auto"/>
        <w:ind w:right="568"/>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MATERIALS AND </w:t>
      </w:r>
      <w:r w:rsidR="00F941B0">
        <w:rPr>
          <w:rFonts w:ascii="Times New Roman" w:hAnsi="Times New Roman" w:cs="Times New Roman"/>
          <w:b/>
          <w:bCs/>
          <w:color w:val="000000"/>
          <w:sz w:val="24"/>
          <w:szCs w:val="24"/>
        </w:rPr>
        <w:t>METHOD</w:t>
      </w:r>
      <w:r>
        <w:rPr>
          <w:rFonts w:ascii="Times New Roman" w:hAnsi="Times New Roman" w:cs="Times New Roman"/>
          <w:b/>
          <w:bCs/>
          <w:color w:val="000000"/>
          <w:sz w:val="24"/>
          <w:szCs w:val="24"/>
        </w:rPr>
        <w:t>S</w:t>
      </w:r>
    </w:p>
    <w:p w14:paraId="70637D59" w14:textId="77777777" w:rsidR="005A186C" w:rsidRDefault="00F941B0">
      <w:pPr>
        <w:widowControl w:val="0"/>
        <w:autoSpaceDE w:val="0"/>
        <w:autoSpaceDN w:val="0"/>
        <w:adjustRightInd w:val="0"/>
        <w:spacing w:before="3" w:after="0" w:line="240" w:lineRule="auto"/>
        <w:ind w:right="568"/>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Study Area</w:t>
      </w:r>
    </w:p>
    <w:p w14:paraId="33CCBA24" w14:textId="77777777" w:rsidR="005A186C" w:rsidRDefault="00F941B0">
      <w:pPr>
        <w:spacing w:line="240" w:lineRule="auto"/>
        <w:jc w:val="both"/>
        <w:rPr>
          <w:rFonts w:ascii="Times New Roman" w:hAnsi="Times New Roman" w:cs="Times New Roman"/>
          <w:b/>
          <w:bCs/>
          <w:sz w:val="24"/>
          <w:szCs w:val="24"/>
        </w:rPr>
      </w:pPr>
      <w:r>
        <w:rPr>
          <w:rFonts w:ascii="Times New Roman" w:eastAsia="SimSun" w:hAnsi="Times New Roman" w:cs="Times New Roman"/>
          <w:color w:val="000000"/>
          <w:kern w:val="24"/>
          <w:sz w:val="24"/>
          <w:szCs w:val="24"/>
          <w14:ligatures w14:val="none"/>
        </w:rPr>
        <w:t>The study was carried out in Port Harcourt Local Government Area</w:t>
      </w:r>
      <w:r w:rsidR="00342C80">
        <w:rPr>
          <w:rFonts w:ascii="Times New Roman" w:eastAsia="SimSun" w:hAnsi="Times New Roman" w:cs="Times New Roman"/>
          <w:color w:val="000000"/>
          <w:kern w:val="24"/>
          <w:sz w:val="24"/>
          <w:szCs w:val="24"/>
          <w14:ligatures w14:val="none"/>
        </w:rPr>
        <w:t xml:space="preserve"> (LGA)</w:t>
      </w:r>
      <w:r>
        <w:rPr>
          <w:rFonts w:ascii="Times New Roman" w:eastAsia="SimSun" w:hAnsi="Times New Roman" w:cs="Times New Roman"/>
          <w:color w:val="000000"/>
          <w:kern w:val="24"/>
          <w:sz w:val="24"/>
          <w:szCs w:val="24"/>
          <w14:ligatures w14:val="none"/>
        </w:rPr>
        <w:t>, Rivers State, Nigeria which is located in latitudes 4°51</w:t>
      </w:r>
      <w:r>
        <w:rPr>
          <w:rFonts w:ascii="Times New Roman" w:eastAsia="SimSun" w:hAnsi="Times New Roman" w:cs="Times New Roman"/>
          <w:color w:val="000000"/>
          <w:kern w:val="24"/>
          <w:sz w:val="24"/>
          <w:szCs w:val="24"/>
          <w:lang w:val="en-GB"/>
          <w14:ligatures w14:val="none"/>
        </w:rPr>
        <w:t>´</w:t>
      </w:r>
      <w:r>
        <w:rPr>
          <w:rFonts w:ascii="Times New Roman" w:eastAsia="SimSun" w:hAnsi="Times New Roman" w:cs="Times New Roman"/>
          <w:color w:val="000000"/>
          <w:kern w:val="24"/>
          <w:sz w:val="24"/>
          <w:szCs w:val="24"/>
          <w14:ligatures w14:val="none"/>
        </w:rPr>
        <w:t xml:space="preserve"> 30</w:t>
      </w:r>
      <w:r>
        <w:rPr>
          <w:rFonts w:ascii="Times New Roman" w:eastAsia="SimSun" w:hAnsi="Times New Roman" w:cs="Times New Roman"/>
          <w:color w:val="000000"/>
          <w:kern w:val="24"/>
          <w:sz w:val="24"/>
          <w:szCs w:val="24"/>
          <w:lang w:val="en-GB"/>
          <w14:ligatures w14:val="none"/>
        </w:rPr>
        <w:t xml:space="preserve">˝ </w:t>
      </w:r>
      <w:r>
        <w:rPr>
          <w:rFonts w:ascii="Times New Roman" w:eastAsia="SimSun" w:hAnsi="Times New Roman" w:cs="Times New Roman"/>
          <w:color w:val="000000"/>
          <w:kern w:val="24"/>
          <w:sz w:val="24"/>
          <w:szCs w:val="24"/>
          <w14:ligatures w14:val="none"/>
        </w:rPr>
        <w:t>N and 4° 57</w:t>
      </w:r>
      <w:r>
        <w:rPr>
          <w:rFonts w:ascii="Times New Roman" w:eastAsia="SimSun" w:hAnsi="Times New Roman" w:cs="Times New Roman"/>
          <w:color w:val="000000"/>
          <w:kern w:val="24"/>
          <w:sz w:val="24"/>
          <w:szCs w:val="24"/>
          <w:lang w:val="en-GB"/>
          <w14:ligatures w14:val="none"/>
        </w:rPr>
        <w:t>´</w:t>
      </w:r>
      <w:r>
        <w:rPr>
          <w:rFonts w:ascii="Times New Roman" w:eastAsia="SimSun" w:hAnsi="Times New Roman" w:cs="Times New Roman"/>
          <w:color w:val="000000"/>
          <w:kern w:val="24"/>
          <w:sz w:val="24"/>
          <w:szCs w:val="24"/>
          <w14:ligatures w14:val="none"/>
        </w:rPr>
        <w:t xml:space="preserve"> 30</w:t>
      </w:r>
      <w:r>
        <w:rPr>
          <w:rFonts w:ascii="Times New Roman" w:eastAsia="SimSun" w:hAnsi="Times New Roman" w:cs="Times New Roman"/>
          <w:color w:val="000000"/>
          <w:kern w:val="24"/>
          <w:sz w:val="24"/>
          <w:szCs w:val="24"/>
          <w:lang w:val="en-GB"/>
          <w14:ligatures w14:val="none"/>
        </w:rPr>
        <w:t xml:space="preserve">˝ </w:t>
      </w:r>
      <w:r>
        <w:rPr>
          <w:rFonts w:ascii="Times New Roman" w:eastAsia="SimSun" w:hAnsi="Times New Roman" w:cs="Times New Roman"/>
          <w:color w:val="000000"/>
          <w:kern w:val="24"/>
          <w:sz w:val="24"/>
          <w:szCs w:val="24"/>
          <w14:ligatures w14:val="none"/>
        </w:rPr>
        <w:t>N and longitudes 6°50</w:t>
      </w:r>
      <w:r>
        <w:rPr>
          <w:rFonts w:ascii="Times New Roman" w:eastAsia="SimSun" w:hAnsi="Times New Roman" w:cs="Times New Roman"/>
          <w:color w:val="000000"/>
          <w:kern w:val="24"/>
          <w:sz w:val="24"/>
          <w:szCs w:val="24"/>
          <w:lang w:val="en-GB"/>
          <w14:ligatures w14:val="none"/>
        </w:rPr>
        <w:t>´</w:t>
      </w:r>
      <w:r>
        <w:rPr>
          <w:rFonts w:ascii="Times New Roman" w:eastAsia="SimSun" w:hAnsi="Times New Roman" w:cs="Times New Roman"/>
          <w:color w:val="000000"/>
          <w:kern w:val="24"/>
          <w:sz w:val="24"/>
          <w:szCs w:val="24"/>
          <w14:ligatures w14:val="none"/>
        </w:rPr>
        <w:t xml:space="preserve"> 00</w:t>
      </w:r>
      <w:r>
        <w:rPr>
          <w:rFonts w:ascii="Times New Roman" w:eastAsia="SimSun" w:hAnsi="Times New Roman" w:cs="Times New Roman"/>
          <w:color w:val="000000"/>
          <w:kern w:val="24"/>
          <w:sz w:val="24"/>
          <w:szCs w:val="24"/>
          <w:lang w:val="en-GB"/>
          <w14:ligatures w14:val="none"/>
        </w:rPr>
        <w:t xml:space="preserve">˝ </w:t>
      </w:r>
      <w:r>
        <w:rPr>
          <w:rFonts w:ascii="Times New Roman" w:eastAsia="SimSun" w:hAnsi="Times New Roman" w:cs="Times New Roman"/>
          <w:color w:val="000000"/>
          <w:kern w:val="24"/>
          <w:sz w:val="24"/>
          <w:szCs w:val="24"/>
          <w14:ligatures w14:val="none"/>
        </w:rPr>
        <w:t>E and 7°00</w:t>
      </w:r>
      <w:r>
        <w:rPr>
          <w:rFonts w:ascii="Times New Roman" w:eastAsia="SimSun" w:hAnsi="Times New Roman" w:cs="Times New Roman"/>
          <w:color w:val="000000"/>
          <w:kern w:val="24"/>
          <w:sz w:val="24"/>
          <w:szCs w:val="24"/>
          <w:lang w:val="en-GB"/>
          <w14:ligatures w14:val="none"/>
        </w:rPr>
        <w:t>´</w:t>
      </w:r>
      <w:r>
        <w:rPr>
          <w:rFonts w:ascii="Times New Roman" w:eastAsia="SimSun" w:hAnsi="Times New Roman" w:cs="Times New Roman"/>
          <w:color w:val="000000"/>
          <w:kern w:val="24"/>
          <w:sz w:val="24"/>
          <w:szCs w:val="24"/>
          <w14:ligatures w14:val="none"/>
        </w:rPr>
        <w:t xml:space="preserve"> 00</w:t>
      </w:r>
      <w:r>
        <w:rPr>
          <w:rFonts w:ascii="Times New Roman" w:eastAsia="SimSun" w:hAnsi="Times New Roman" w:cs="Times New Roman"/>
          <w:color w:val="000000"/>
          <w:kern w:val="24"/>
          <w:sz w:val="24"/>
          <w:szCs w:val="24"/>
          <w:lang w:val="en-GB"/>
          <w14:ligatures w14:val="none"/>
        </w:rPr>
        <w:t xml:space="preserve">˝ </w:t>
      </w:r>
      <w:r>
        <w:rPr>
          <w:rFonts w:ascii="Times New Roman" w:eastAsia="SimSun" w:hAnsi="Times New Roman" w:cs="Times New Roman"/>
          <w:color w:val="000000"/>
          <w:kern w:val="24"/>
          <w:sz w:val="24"/>
          <w:szCs w:val="24"/>
          <w14:ligatures w14:val="none"/>
        </w:rPr>
        <w:t>E</w:t>
      </w:r>
      <w:r w:rsidR="00342C80">
        <w:rPr>
          <w:rFonts w:ascii="Times New Roman" w:eastAsia="SimSun" w:hAnsi="Times New Roman" w:cs="Times New Roman"/>
          <w:color w:val="000000"/>
          <w:kern w:val="24"/>
          <w:sz w:val="24"/>
          <w:szCs w:val="24"/>
          <w14:ligatures w14:val="none"/>
        </w:rPr>
        <w:t xml:space="preserve"> (Fig. 1)</w:t>
      </w:r>
      <w:r>
        <w:rPr>
          <w:rFonts w:ascii="Times New Roman" w:eastAsia="SimSun" w:hAnsi="Times New Roman" w:cs="Times New Roman"/>
          <w:color w:val="000000"/>
          <w:kern w:val="24"/>
          <w:sz w:val="24"/>
          <w:szCs w:val="24"/>
          <w14:ligatures w14:val="none"/>
        </w:rPr>
        <w:t>.</w:t>
      </w:r>
    </w:p>
    <w:p w14:paraId="500DC5D4" w14:textId="77777777" w:rsidR="005A186C" w:rsidRDefault="00F941B0">
      <w:p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determined the concentration</w:t>
      </w:r>
      <w:r w:rsidR="00342C80">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of </w:t>
      </w:r>
      <w:r w:rsidR="00342C80">
        <w:rPr>
          <w:rFonts w:ascii="Times New Roman" w:eastAsia="Times New Roman" w:hAnsi="Times New Roman" w:cs="Times New Roman"/>
          <w:kern w:val="0"/>
          <w:sz w:val="24"/>
          <w:szCs w:val="24"/>
          <w14:ligatures w14:val="none"/>
        </w:rPr>
        <w:t>potentially toxic elements</w:t>
      </w:r>
      <w:r>
        <w:rPr>
          <w:rFonts w:ascii="Times New Roman" w:eastAsia="Times New Roman" w:hAnsi="Times New Roman" w:cs="Times New Roman"/>
          <w:kern w:val="0"/>
          <w:sz w:val="24"/>
          <w:szCs w:val="24"/>
          <w14:ligatures w14:val="none"/>
        </w:rPr>
        <w:t xml:space="preserve"> in </w:t>
      </w:r>
      <w:r w:rsidR="00342C80">
        <w:rPr>
          <w:rFonts w:ascii="Times New Roman" w:eastAsia="Times New Roman" w:hAnsi="Times New Roman" w:cs="Times New Roman"/>
          <w:kern w:val="0"/>
          <w:sz w:val="24"/>
          <w:szCs w:val="24"/>
          <w14:ligatures w14:val="none"/>
        </w:rPr>
        <w:t xml:space="preserve">indoor </w:t>
      </w:r>
      <w:r>
        <w:rPr>
          <w:rFonts w:ascii="Times New Roman" w:eastAsia="Times New Roman" w:hAnsi="Times New Roman" w:cs="Times New Roman"/>
          <w:kern w:val="0"/>
          <w:sz w:val="24"/>
          <w:szCs w:val="24"/>
          <w14:ligatures w14:val="none"/>
        </w:rPr>
        <w:t>dust</w:t>
      </w:r>
      <w:r w:rsidR="00342C80">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and from nine (9) randomly selected secondary schools in Port Harcourt LGA.</w:t>
      </w:r>
      <w:r w:rsidR="003212A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Sample collection covered a period of twelve (12) months (twice per term during academic session</w:t>
      </w:r>
      <w:r w:rsidR="003212A5">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in each school) covering dry and wet seasons. </w:t>
      </w:r>
    </w:p>
    <w:p w14:paraId="3B6B2C2F" w14:textId="77777777" w:rsidR="005A186C" w:rsidRDefault="005A186C">
      <w:pPr>
        <w:spacing w:after="0" w:line="240" w:lineRule="auto"/>
        <w:contextualSpacing/>
        <w:jc w:val="both"/>
        <w:rPr>
          <w:rFonts w:ascii="Times New Roman" w:eastAsia="Times New Roman" w:hAnsi="Times New Roman" w:cs="Times New Roman"/>
          <w:kern w:val="0"/>
          <w:sz w:val="24"/>
          <w:szCs w:val="24"/>
          <w14:ligatures w14:val="none"/>
        </w:rPr>
      </w:pPr>
    </w:p>
    <w:p w14:paraId="198ADC92" w14:textId="77777777" w:rsidR="005A186C" w:rsidRDefault="00242B13">
      <w:pPr>
        <w:widowControl w:val="0"/>
        <w:autoSpaceDE w:val="0"/>
        <w:autoSpaceDN w:val="0"/>
        <w:adjustRightInd w:val="0"/>
        <w:spacing w:before="3" w:after="0" w:line="240" w:lineRule="auto"/>
        <w:ind w:right="568"/>
        <w:jc w:val="both"/>
        <w:rPr>
          <w:rFonts w:ascii="Times New Roman" w:hAnsi="Times New Roman" w:cs="Times New Roman"/>
          <w:color w:val="000000"/>
          <w:sz w:val="24"/>
          <w:szCs w:val="24"/>
        </w:rPr>
      </w:pPr>
      <w:r w:rsidRPr="00285045">
        <w:rPr>
          <w:noProof/>
        </w:rPr>
        <w:lastRenderedPageBreak/>
        <w:drawing>
          <wp:inline distT="0" distB="0" distL="0" distR="0" wp14:anchorId="2DE84863" wp14:editId="432DCBE4">
            <wp:extent cx="5943600" cy="3672840"/>
            <wp:effectExtent l="0" t="0" r="0" b="3810"/>
            <wp:docPr id="1" name="Picture 1" descr="C:\Users\Prof\Downloads\IMG-20260209-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f\Downloads\IMG-20260209-WA00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672840"/>
                    </a:xfrm>
                    <a:prstGeom prst="rect">
                      <a:avLst/>
                    </a:prstGeom>
                    <a:noFill/>
                    <a:ln>
                      <a:noFill/>
                    </a:ln>
                  </pic:spPr>
                </pic:pic>
              </a:graphicData>
            </a:graphic>
          </wp:inline>
        </w:drawing>
      </w:r>
    </w:p>
    <w:p w14:paraId="7F3C8A2D" w14:textId="77777777" w:rsidR="005A186C" w:rsidRDefault="00F941B0">
      <w:pPr>
        <w:spacing w:after="0" w:line="240" w:lineRule="auto"/>
        <w:contextualSpacing/>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Fig.1</w:t>
      </w:r>
      <w:r>
        <w:rPr>
          <w:rFonts w:ascii="Times New Roman" w:eastAsia="Times New Roman" w:hAnsi="Times New Roman" w:cs="Times New Roman"/>
          <w:b/>
          <w:bCs/>
          <w:kern w:val="0"/>
          <w:sz w:val="24"/>
          <w:szCs w:val="24"/>
          <w14:ligatures w14:val="none"/>
        </w:rPr>
        <w:tab/>
        <w:t xml:space="preserve">Study Area Showing Sampling </w:t>
      </w:r>
      <w:r w:rsidR="003212A5">
        <w:rPr>
          <w:rFonts w:ascii="Times New Roman" w:eastAsia="Times New Roman" w:hAnsi="Times New Roman" w:cs="Times New Roman"/>
          <w:b/>
          <w:bCs/>
          <w:kern w:val="0"/>
          <w:sz w:val="24"/>
          <w:szCs w:val="24"/>
          <w14:ligatures w14:val="none"/>
        </w:rPr>
        <w:t xml:space="preserve">School </w:t>
      </w:r>
      <w:r>
        <w:rPr>
          <w:rFonts w:ascii="Times New Roman" w:eastAsia="Times New Roman" w:hAnsi="Times New Roman" w:cs="Times New Roman"/>
          <w:b/>
          <w:bCs/>
          <w:kern w:val="0"/>
          <w:sz w:val="24"/>
          <w:szCs w:val="24"/>
          <w14:ligatures w14:val="none"/>
        </w:rPr>
        <w:t>Locations</w:t>
      </w:r>
    </w:p>
    <w:p w14:paraId="508DE8F1" w14:textId="77777777" w:rsidR="005A186C" w:rsidRDefault="005A186C">
      <w:pPr>
        <w:jc w:val="both"/>
        <w:rPr>
          <w:rFonts w:ascii="Times New Roman" w:hAnsi="Times New Roman" w:cs="Times New Roman"/>
          <w:sz w:val="24"/>
          <w:szCs w:val="24"/>
        </w:rPr>
      </w:pPr>
    </w:p>
    <w:p w14:paraId="6F2E447B" w14:textId="77777777" w:rsidR="005A186C" w:rsidRDefault="00F941B0">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Sample Collection and Analysis </w:t>
      </w:r>
    </w:p>
    <w:p w14:paraId="5D062834" w14:textId="77777777" w:rsidR="005A186C" w:rsidRDefault="00F941B0">
      <w:pPr>
        <w:spacing w:after="0" w:line="240" w:lineRule="auto"/>
        <w:jc w:val="both"/>
        <w:rPr>
          <w:color w:val="000000"/>
        </w:rPr>
      </w:pPr>
      <w:r>
        <w:rPr>
          <w:rFonts w:ascii="Times New Roman" w:hAnsi="Times New Roman" w:cs="Times New Roman"/>
          <w:color w:val="000000"/>
          <w:sz w:val="24"/>
          <w:szCs w:val="24"/>
        </w:rPr>
        <w:t>Potentially toxic element</w:t>
      </w:r>
      <w:r w:rsidR="003212A5">
        <w:rPr>
          <w:rFonts w:ascii="Times New Roman" w:hAnsi="Times New Roman" w:cs="Times New Roman"/>
          <w:color w:val="000000"/>
          <w:sz w:val="24"/>
          <w:szCs w:val="24"/>
        </w:rPr>
        <w:t>s</w:t>
      </w:r>
      <w:r>
        <w:rPr>
          <w:rFonts w:ascii="Times New Roman" w:hAnsi="Times New Roman" w:cs="Times New Roman"/>
          <w:color w:val="000000"/>
          <w:sz w:val="24"/>
          <w:szCs w:val="24"/>
        </w:rPr>
        <w:t xml:space="preserve"> from dust particles w</w:t>
      </w:r>
      <w:r w:rsidR="003212A5">
        <w:rPr>
          <w:rFonts w:ascii="Times New Roman" w:hAnsi="Times New Roman" w:cs="Times New Roman"/>
          <w:color w:val="000000"/>
          <w:sz w:val="24"/>
          <w:szCs w:val="24"/>
        </w:rPr>
        <w:t>ere</w:t>
      </w:r>
      <w:r>
        <w:rPr>
          <w:rFonts w:ascii="Times New Roman" w:hAnsi="Times New Roman" w:cs="Times New Roman"/>
          <w:color w:val="000000"/>
          <w:sz w:val="24"/>
          <w:szCs w:val="24"/>
        </w:rPr>
        <w:t xml:space="preserve"> collected from surfaces of fans, windows and </w:t>
      </w:r>
      <w:r w:rsidR="003212A5">
        <w:rPr>
          <w:rFonts w:ascii="Times New Roman" w:hAnsi="Times New Roman" w:cs="Times New Roman"/>
          <w:color w:val="000000"/>
          <w:sz w:val="24"/>
          <w:szCs w:val="24"/>
        </w:rPr>
        <w:t xml:space="preserve">classroom </w:t>
      </w:r>
      <w:r>
        <w:rPr>
          <w:rFonts w:ascii="Times New Roman" w:hAnsi="Times New Roman" w:cs="Times New Roman"/>
          <w:color w:val="000000"/>
          <w:sz w:val="24"/>
          <w:szCs w:val="24"/>
        </w:rPr>
        <w:t>desks using a hand brush and placed in a f</w:t>
      </w:r>
      <w:r w:rsidR="003212A5">
        <w:rPr>
          <w:rFonts w:ascii="Times New Roman" w:hAnsi="Times New Roman" w:cs="Times New Roman"/>
          <w:color w:val="000000"/>
          <w:sz w:val="24"/>
          <w:szCs w:val="24"/>
        </w:rPr>
        <w:t>oil</w:t>
      </w:r>
      <w:r>
        <w:rPr>
          <w:rFonts w:ascii="Times New Roman" w:hAnsi="Times New Roman" w:cs="Times New Roman"/>
          <w:color w:val="000000"/>
          <w:sz w:val="24"/>
          <w:szCs w:val="24"/>
        </w:rPr>
        <w:t xml:space="preserve"> paper which was covered with an envelope and labelled according to sampling stations. Dust on the filters were extracted using hot </w:t>
      </w:r>
      <w:r w:rsidR="003212A5">
        <w:rPr>
          <w:rFonts w:ascii="Times New Roman" w:hAnsi="Times New Roman" w:cs="Times New Roman"/>
          <w:color w:val="000000"/>
          <w:sz w:val="24"/>
          <w:szCs w:val="24"/>
        </w:rPr>
        <w:t xml:space="preserve">nitric </w:t>
      </w:r>
      <w:r>
        <w:rPr>
          <w:rFonts w:ascii="Times New Roman" w:hAnsi="Times New Roman" w:cs="Times New Roman"/>
          <w:color w:val="000000"/>
          <w:sz w:val="24"/>
          <w:szCs w:val="24"/>
        </w:rPr>
        <w:t>acid digestion. This was done by cutting a 1 × 8 strip from the exposed filter paper. The filter paper was placed in a 250mL quartz beaker. 30ml of the 10% nitric acid was poured into the filter. It was refluxed gently for 30 minutes at 95 ºC. After refluxing, 10ml of clean deionized water was added and allowed to cool for 30 minutes. The extract was filtered using Whatman 541 filter paper. The samples were diluted with 20ml clean deionized water and analyzed using an Atomic Absorption Spectrometer (Perkins Elmer Analyst 400).</w:t>
      </w:r>
      <w:r>
        <w:rPr>
          <w:rFonts w:ascii="Times New Roman" w:eastAsia="Times New Roman" w:hAnsi="Times New Roman" w:cs="Times New Roman"/>
          <w:color w:val="000000"/>
          <w:sz w:val="24"/>
          <w:szCs w:val="24"/>
        </w:rPr>
        <w:t xml:space="preserve"> </w:t>
      </w:r>
    </w:p>
    <w:p w14:paraId="5041471B" w14:textId="77777777" w:rsidR="005A186C" w:rsidRDefault="005A186C">
      <w:pPr>
        <w:spacing w:line="240" w:lineRule="auto"/>
        <w:jc w:val="both"/>
        <w:rPr>
          <w:rFonts w:ascii="Times New Roman" w:hAnsi="Times New Roman" w:cs="Times New Roman"/>
          <w:sz w:val="24"/>
          <w:szCs w:val="24"/>
        </w:rPr>
      </w:pPr>
    </w:p>
    <w:p w14:paraId="7351A614" w14:textId="77777777" w:rsidR="005A186C" w:rsidRDefault="005A186C">
      <w:pPr>
        <w:spacing w:line="240" w:lineRule="auto"/>
        <w:jc w:val="both"/>
        <w:rPr>
          <w:rFonts w:ascii="Times New Roman" w:hAnsi="Times New Roman" w:cs="Times New Roman"/>
          <w:sz w:val="24"/>
          <w:szCs w:val="24"/>
        </w:rPr>
      </w:pPr>
    </w:p>
    <w:p w14:paraId="1E5D5437" w14:textId="77777777" w:rsidR="005A186C" w:rsidRDefault="00F941B0">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RESULTS AND DISCUSSION</w:t>
      </w:r>
    </w:p>
    <w:p w14:paraId="7D747AB3" w14:textId="639DD90F" w:rsidR="005A186C" w:rsidRDefault="00F941B0">
      <w:pPr>
        <w:pStyle w:val="NormalWeb"/>
        <w:jc w:val="both"/>
      </w:pPr>
      <w:r>
        <w:t>The result</w:t>
      </w:r>
      <w:r w:rsidR="003212A5">
        <w:t xml:space="preserve">s in </w:t>
      </w:r>
      <w:proofErr w:type="spellStart"/>
      <w:proofErr w:type="gramStart"/>
      <w:r w:rsidR="003212A5">
        <w:t>Tab;le</w:t>
      </w:r>
      <w:proofErr w:type="spellEnd"/>
      <w:proofErr w:type="gramEnd"/>
      <w:r w:rsidR="003212A5">
        <w:t xml:space="preserve"> 1</w:t>
      </w:r>
      <w:r>
        <w:t xml:space="preserve"> show that Chromium (Cr) and Nickel (Ni) concentrations are mostly very low or at the detection limit across most locations, except for PH04CSSN and PH07GCSS where significantly higher levels </w:t>
      </w:r>
      <w:r w:rsidR="003212A5">
        <w:t>we</w:t>
      </w:r>
      <w:r>
        <w:t>re observed with large variations. Arsenic (As) levels vary considerably, with PH07GCSS and PH04CSSN having the highest mean values and large standard deviations, indicating uneven contamination. Copper (Cu) concentrations are generally higher, especially at PH06GGSS and PH07GCSS, suggesting localized sources of contamination. Lead (Pb) show</w:t>
      </w:r>
      <w:r w:rsidR="00F93EE0">
        <w:t>ed</w:t>
      </w:r>
      <w:r>
        <w:t xml:space="preserve"> a strikingly high average at PH05CIA, which is much greater than all other sites, indicating possible point-source pollution or contamination at this site. Cadmium (Cd) concentrations </w:t>
      </w:r>
      <w:r w:rsidR="00F93EE0">
        <w:t>we</w:t>
      </w:r>
      <w:r>
        <w:t>re low overall but show</w:t>
      </w:r>
      <w:r w:rsidR="00F93EE0">
        <w:t>ed</w:t>
      </w:r>
      <w:r>
        <w:t xml:space="preserve"> moderate variability with PH031SS and PH04CSSN having slightly elevated levels. Overall, the data indicate</w:t>
      </w:r>
      <w:r w:rsidR="00F93EE0">
        <w:t>d</w:t>
      </w:r>
      <w:r>
        <w:t xml:space="preserve"> significant spatial variability in heavy metal contamina</w:t>
      </w:r>
      <w:r w:rsidR="00F93EE0">
        <w:t>tion across the study locations</w:t>
      </w:r>
      <w:r>
        <w:t xml:space="preserve"> with </w:t>
      </w:r>
      <w:r>
        <w:lastRenderedPageBreak/>
        <w:t>some sites exhibiting notably higher pollution levels likely due to localized environmental or anthropogenic influences.</w:t>
      </w:r>
    </w:p>
    <w:p w14:paraId="7894121F" w14:textId="32E474F1" w:rsidR="005A186C" w:rsidRDefault="00F941B0" w:rsidP="00537FBD">
      <w:pPr>
        <w:pStyle w:val="NormalWeb"/>
        <w:ind w:left="1170" w:hanging="1170"/>
        <w:jc w:val="both"/>
        <w:rPr>
          <w:b/>
          <w:bCs/>
        </w:rPr>
      </w:pPr>
      <w:r>
        <w:rPr>
          <w:b/>
          <w:bCs/>
        </w:rPr>
        <w:t xml:space="preserve">Table 1 </w:t>
      </w:r>
      <w:r>
        <w:rPr>
          <w:b/>
          <w:bCs/>
        </w:rPr>
        <w:tab/>
      </w:r>
      <w:r w:rsidR="003212A5">
        <w:rPr>
          <w:b/>
          <w:bCs/>
        </w:rPr>
        <w:t xml:space="preserve">Mean </w:t>
      </w:r>
      <w:r>
        <w:rPr>
          <w:b/>
          <w:bCs/>
        </w:rPr>
        <w:t>Concentration</w:t>
      </w:r>
      <w:r w:rsidR="00537FBD">
        <w:rPr>
          <w:b/>
          <w:bCs/>
        </w:rPr>
        <w:t>s (mg/kg)</w:t>
      </w:r>
      <w:r>
        <w:rPr>
          <w:b/>
          <w:bCs/>
        </w:rPr>
        <w:t xml:space="preserve"> of </w:t>
      </w:r>
      <w:r w:rsidR="00537FBD">
        <w:rPr>
          <w:b/>
          <w:bCs/>
        </w:rPr>
        <w:t>Potentially Toxic Elements</w:t>
      </w:r>
      <w:r>
        <w:rPr>
          <w:b/>
          <w:bCs/>
        </w:rPr>
        <w:t xml:space="preserve"> in</w:t>
      </w:r>
      <w:r w:rsidR="003212A5">
        <w:rPr>
          <w:b/>
          <w:bCs/>
        </w:rPr>
        <w:t xml:space="preserve"> some</w:t>
      </w:r>
      <w:r>
        <w:rPr>
          <w:b/>
          <w:bCs/>
        </w:rPr>
        <w:t xml:space="preserve"> </w:t>
      </w:r>
      <w:r w:rsidR="00DB42A8">
        <w:rPr>
          <w:b/>
          <w:bCs/>
        </w:rPr>
        <w:t>S</w:t>
      </w:r>
      <w:r>
        <w:rPr>
          <w:b/>
          <w:bCs/>
        </w:rPr>
        <w:t xml:space="preserve">chools </w:t>
      </w:r>
      <w:r w:rsidR="00537FBD">
        <w:rPr>
          <w:b/>
          <w:bCs/>
        </w:rPr>
        <w:t>from Port Harcourt</w:t>
      </w:r>
    </w:p>
    <w:tbl>
      <w:tblPr>
        <w:tblW w:w="5000" w:type="pct"/>
        <w:tblLook w:val="04A0" w:firstRow="1" w:lastRow="0" w:firstColumn="1" w:lastColumn="0" w:noHBand="0" w:noVBand="1"/>
      </w:tblPr>
      <w:tblGrid>
        <w:gridCol w:w="1431"/>
        <w:gridCol w:w="1407"/>
        <w:gridCol w:w="1148"/>
        <w:gridCol w:w="1103"/>
        <w:gridCol w:w="1279"/>
        <w:gridCol w:w="1279"/>
        <w:gridCol w:w="1353"/>
      </w:tblGrid>
      <w:tr w:rsidR="005A186C" w:rsidRPr="006E2525" w14:paraId="1CF35EED" w14:textId="77777777" w:rsidTr="00115A53">
        <w:trPr>
          <w:trHeight w:val="503"/>
        </w:trPr>
        <w:tc>
          <w:tcPr>
            <w:tcW w:w="607" w:type="pct"/>
            <w:tcBorders>
              <w:top w:val="single" w:sz="4" w:space="0" w:color="auto"/>
              <w:left w:val="nil"/>
              <w:bottom w:val="double" w:sz="6" w:space="0" w:color="auto"/>
              <w:right w:val="nil"/>
            </w:tcBorders>
            <w:noWrap/>
            <w:vAlign w:val="center"/>
            <w:hideMark/>
          </w:tcPr>
          <w:p w14:paraId="63881B15" w14:textId="77777777" w:rsidR="005A186C" w:rsidRPr="006E2525" w:rsidRDefault="00F941B0">
            <w:pPr>
              <w:spacing w:after="0" w:line="240" w:lineRule="auto"/>
              <w:jc w:val="center"/>
              <w:rPr>
                <w:rFonts w:ascii="Times New Roman" w:eastAsia="Times New Roman" w:hAnsi="Times New Roman" w:cs="Times New Roman"/>
                <w:b/>
                <w:bCs/>
                <w:color w:val="000000"/>
              </w:rPr>
            </w:pPr>
            <w:r w:rsidRPr="006E2525">
              <w:rPr>
                <w:rFonts w:ascii="Times New Roman" w:eastAsia="Times New Roman" w:hAnsi="Times New Roman" w:cs="Times New Roman"/>
                <w:b/>
                <w:bCs/>
                <w:color w:val="000000"/>
              </w:rPr>
              <w:t>Study Locations</w:t>
            </w:r>
          </w:p>
        </w:tc>
        <w:tc>
          <w:tcPr>
            <w:tcW w:w="733" w:type="pct"/>
            <w:tcBorders>
              <w:top w:val="single" w:sz="4" w:space="0" w:color="auto"/>
              <w:left w:val="nil"/>
              <w:bottom w:val="double" w:sz="6" w:space="0" w:color="auto"/>
              <w:right w:val="nil"/>
            </w:tcBorders>
            <w:noWrap/>
            <w:vAlign w:val="center"/>
            <w:hideMark/>
          </w:tcPr>
          <w:p w14:paraId="7783DD27" w14:textId="77777777" w:rsidR="005A186C" w:rsidRPr="006E2525" w:rsidRDefault="00F941B0">
            <w:pPr>
              <w:spacing w:after="0" w:line="240" w:lineRule="auto"/>
              <w:jc w:val="center"/>
              <w:rPr>
                <w:rFonts w:ascii="Times New Roman" w:eastAsia="Times New Roman" w:hAnsi="Times New Roman" w:cs="Times New Roman"/>
                <w:b/>
                <w:bCs/>
                <w:color w:val="000000"/>
              </w:rPr>
            </w:pPr>
            <w:r w:rsidRPr="006E2525">
              <w:rPr>
                <w:rFonts w:ascii="Times New Roman" w:eastAsia="Times New Roman" w:hAnsi="Times New Roman" w:cs="Times New Roman"/>
                <w:b/>
                <w:bCs/>
                <w:color w:val="000000"/>
              </w:rPr>
              <w:t>Chromium (Cr)</w:t>
            </w:r>
          </w:p>
        </w:tc>
        <w:tc>
          <w:tcPr>
            <w:tcW w:w="665" w:type="pct"/>
            <w:tcBorders>
              <w:top w:val="single" w:sz="4" w:space="0" w:color="auto"/>
              <w:left w:val="nil"/>
              <w:bottom w:val="double" w:sz="6" w:space="0" w:color="auto"/>
              <w:right w:val="nil"/>
            </w:tcBorders>
            <w:noWrap/>
            <w:vAlign w:val="center"/>
            <w:hideMark/>
          </w:tcPr>
          <w:p w14:paraId="18C809EC" w14:textId="77777777" w:rsidR="005A186C" w:rsidRPr="006E2525" w:rsidRDefault="00F941B0">
            <w:pPr>
              <w:spacing w:after="0" w:line="240" w:lineRule="auto"/>
              <w:jc w:val="center"/>
              <w:rPr>
                <w:rFonts w:ascii="Times New Roman" w:eastAsia="Times New Roman" w:hAnsi="Times New Roman" w:cs="Times New Roman"/>
                <w:b/>
                <w:bCs/>
                <w:color w:val="000000"/>
              </w:rPr>
            </w:pPr>
            <w:r w:rsidRPr="006E2525">
              <w:rPr>
                <w:rFonts w:ascii="Times New Roman" w:eastAsia="Times New Roman" w:hAnsi="Times New Roman" w:cs="Times New Roman"/>
                <w:b/>
                <w:bCs/>
                <w:color w:val="000000"/>
              </w:rPr>
              <w:t>Arsenic (As)</w:t>
            </w:r>
          </w:p>
        </w:tc>
        <w:tc>
          <w:tcPr>
            <w:tcW w:w="683" w:type="pct"/>
            <w:tcBorders>
              <w:top w:val="single" w:sz="4" w:space="0" w:color="auto"/>
              <w:left w:val="nil"/>
              <w:bottom w:val="double" w:sz="6" w:space="0" w:color="auto"/>
              <w:right w:val="nil"/>
            </w:tcBorders>
            <w:noWrap/>
            <w:vAlign w:val="center"/>
            <w:hideMark/>
          </w:tcPr>
          <w:p w14:paraId="4D3153D0" w14:textId="77777777" w:rsidR="005A186C" w:rsidRPr="006E2525" w:rsidRDefault="00F941B0">
            <w:pPr>
              <w:spacing w:after="0" w:line="240" w:lineRule="auto"/>
              <w:jc w:val="center"/>
              <w:rPr>
                <w:rFonts w:ascii="Times New Roman" w:eastAsia="Times New Roman" w:hAnsi="Times New Roman" w:cs="Times New Roman"/>
                <w:b/>
                <w:bCs/>
                <w:color w:val="000000"/>
              </w:rPr>
            </w:pPr>
            <w:r w:rsidRPr="006E2525">
              <w:rPr>
                <w:rFonts w:ascii="Times New Roman" w:eastAsia="Times New Roman" w:hAnsi="Times New Roman" w:cs="Times New Roman"/>
                <w:b/>
                <w:bCs/>
                <w:color w:val="000000"/>
              </w:rPr>
              <w:t>Nickel (Ni)</w:t>
            </w:r>
          </w:p>
        </w:tc>
        <w:tc>
          <w:tcPr>
            <w:tcW w:w="811" w:type="pct"/>
            <w:tcBorders>
              <w:top w:val="single" w:sz="4" w:space="0" w:color="auto"/>
              <w:left w:val="nil"/>
              <w:bottom w:val="double" w:sz="6" w:space="0" w:color="auto"/>
              <w:right w:val="nil"/>
            </w:tcBorders>
            <w:noWrap/>
            <w:vAlign w:val="center"/>
            <w:hideMark/>
          </w:tcPr>
          <w:p w14:paraId="78692B6D" w14:textId="77777777" w:rsidR="005A186C" w:rsidRPr="006E2525" w:rsidRDefault="00F941B0">
            <w:pPr>
              <w:spacing w:after="0" w:line="240" w:lineRule="auto"/>
              <w:jc w:val="center"/>
              <w:rPr>
                <w:rFonts w:ascii="Times New Roman" w:eastAsia="Times New Roman" w:hAnsi="Times New Roman" w:cs="Times New Roman"/>
                <w:b/>
                <w:bCs/>
                <w:color w:val="000000"/>
              </w:rPr>
            </w:pPr>
            <w:r w:rsidRPr="006E2525">
              <w:rPr>
                <w:rFonts w:ascii="Times New Roman" w:eastAsia="Times New Roman" w:hAnsi="Times New Roman" w:cs="Times New Roman"/>
                <w:b/>
                <w:bCs/>
                <w:color w:val="000000"/>
              </w:rPr>
              <w:t>Copper (Cu)</w:t>
            </w:r>
          </w:p>
        </w:tc>
        <w:tc>
          <w:tcPr>
            <w:tcW w:w="768" w:type="pct"/>
            <w:tcBorders>
              <w:top w:val="single" w:sz="4" w:space="0" w:color="auto"/>
              <w:left w:val="nil"/>
              <w:bottom w:val="double" w:sz="6" w:space="0" w:color="auto"/>
              <w:right w:val="nil"/>
            </w:tcBorders>
            <w:noWrap/>
            <w:vAlign w:val="center"/>
            <w:hideMark/>
          </w:tcPr>
          <w:p w14:paraId="75B3DEC5" w14:textId="77777777" w:rsidR="005A186C" w:rsidRPr="006E2525" w:rsidRDefault="00F941B0">
            <w:pPr>
              <w:spacing w:after="0" w:line="240" w:lineRule="auto"/>
              <w:jc w:val="center"/>
              <w:rPr>
                <w:rFonts w:ascii="Times New Roman" w:eastAsia="Times New Roman" w:hAnsi="Times New Roman" w:cs="Times New Roman"/>
                <w:b/>
                <w:bCs/>
                <w:color w:val="000000"/>
              </w:rPr>
            </w:pPr>
            <w:r w:rsidRPr="006E2525">
              <w:rPr>
                <w:rFonts w:ascii="Times New Roman" w:eastAsia="Times New Roman" w:hAnsi="Times New Roman" w:cs="Times New Roman"/>
                <w:b/>
                <w:bCs/>
                <w:color w:val="000000"/>
              </w:rPr>
              <w:t>Lead (Pb)</w:t>
            </w:r>
          </w:p>
        </w:tc>
        <w:tc>
          <w:tcPr>
            <w:tcW w:w="733" w:type="pct"/>
            <w:tcBorders>
              <w:top w:val="single" w:sz="4" w:space="0" w:color="auto"/>
              <w:left w:val="nil"/>
              <w:bottom w:val="double" w:sz="6" w:space="0" w:color="auto"/>
              <w:right w:val="nil"/>
            </w:tcBorders>
            <w:noWrap/>
            <w:vAlign w:val="center"/>
            <w:hideMark/>
          </w:tcPr>
          <w:p w14:paraId="1076143F" w14:textId="77777777" w:rsidR="005A186C" w:rsidRPr="006E2525" w:rsidRDefault="00F941B0">
            <w:pPr>
              <w:spacing w:after="0" w:line="240" w:lineRule="auto"/>
              <w:jc w:val="center"/>
              <w:rPr>
                <w:rFonts w:ascii="Times New Roman" w:eastAsia="Times New Roman" w:hAnsi="Times New Roman" w:cs="Times New Roman"/>
                <w:b/>
                <w:bCs/>
                <w:color w:val="000000"/>
              </w:rPr>
            </w:pPr>
            <w:r w:rsidRPr="006E2525">
              <w:rPr>
                <w:rFonts w:ascii="Times New Roman" w:eastAsia="Times New Roman" w:hAnsi="Times New Roman" w:cs="Times New Roman"/>
                <w:b/>
                <w:bCs/>
                <w:color w:val="000000"/>
              </w:rPr>
              <w:t>Cadmium (Cd)</w:t>
            </w:r>
          </w:p>
        </w:tc>
      </w:tr>
      <w:tr w:rsidR="005A186C" w:rsidRPr="006E2525" w14:paraId="10C9C464" w14:textId="77777777" w:rsidTr="00115A53">
        <w:trPr>
          <w:trHeight w:val="503"/>
        </w:trPr>
        <w:tc>
          <w:tcPr>
            <w:tcW w:w="607" w:type="pct"/>
            <w:tcBorders>
              <w:top w:val="nil"/>
              <w:left w:val="nil"/>
              <w:bottom w:val="nil"/>
              <w:right w:val="nil"/>
            </w:tcBorders>
            <w:noWrap/>
            <w:vAlign w:val="center"/>
            <w:hideMark/>
          </w:tcPr>
          <w:p w14:paraId="3F8D59C1"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PH01ASSE</w:t>
            </w:r>
          </w:p>
        </w:tc>
        <w:tc>
          <w:tcPr>
            <w:tcW w:w="733" w:type="pct"/>
            <w:tcBorders>
              <w:top w:val="double" w:sz="6" w:space="0" w:color="auto"/>
              <w:left w:val="nil"/>
              <w:bottom w:val="nil"/>
              <w:right w:val="nil"/>
            </w:tcBorders>
            <w:noWrap/>
            <w:vAlign w:val="center"/>
            <w:hideMark/>
          </w:tcPr>
          <w:p w14:paraId="2CB908AC"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665" w:type="pct"/>
            <w:tcBorders>
              <w:top w:val="nil"/>
              <w:left w:val="nil"/>
              <w:bottom w:val="nil"/>
              <w:right w:val="nil"/>
            </w:tcBorders>
            <w:noWrap/>
            <w:vAlign w:val="center"/>
            <w:hideMark/>
          </w:tcPr>
          <w:p w14:paraId="518E73DE"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0.275±0.07</w:t>
            </w:r>
          </w:p>
        </w:tc>
        <w:tc>
          <w:tcPr>
            <w:tcW w:w="683" w:type="pct"/>
            <w:tcBorders>
              <w:top w:val="double" w:sz="6" w:space="0" w:color="auto"/>
              <w:left w:val="nil"/>
              <w:bottom w:val="nil"/>
              <w:right w:val="nil"/>
            </w:tcBorders>
            <w:noWrap/>
            <w:vAlign w:val="center"/>
            <w:hideMark/>
          </w:tcPr>
          <w:p w14:paraId="60FFED21"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811" w:type="pct"/>
            <w:tcBorders>
              <w:top w:val="double" w:sz="6" w:space="0" w:color="auto"/>
              <w:left w:val="nil"/>
              <w:bottom w:val="nil"/>
              <w:right w:val="nil"/>
            </w:tcBorders>
            <w:noWrap/>
            <w:vAlign w:val="center"/>
            <w:hideMark/>
          </w:tcPr>
          <w:p w14:paraId="5538F0E4"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0.098±0.006</w:t>
            </w:r>
          </w:p>
        </w:tc>
        <w:tc>
          <w:tcPr>
            <w:tcW w:w="768" w:type="pct"/>
            <w:tcBorders>
              <w:top w:val="nil"/>
              <w:left w:val="nil"/>
              <w:bottom w:val="nil"/>
              <w:right w:val="nil"/>
            </w:tcBorders>
            <w:noWrap/>
            <w:vAlign w:val="center"/>
            <w:hideMark/>
          </w:tcPr>
          <w:p w14:paraId="047E35DF"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0.083±0.011</w:t>
            </w:r>
          </w:p>
        </w:tc>
        <w:tc>
          <w:tcPr>
            <w:tcW w:w="733" w:type="pct"/>
            <w:tcBorders>
              <w:top w:val="double" w:sz="6" w:space="0" w:color="auto"/>
              <w:left w:val="nil"/>
              <w:bottom w:val="nil"/>
              <w:right w:val="nil"/>
            </w:tcBorders>
            <w:noWrap/>
            <w:vAlign w:val="center"/>
            <w:hideMark/>
          </w:tcPr>
          <w:p w14:paraId="78E553B8"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0.021±0.009</w:t>
            </w:r>
          </w:p>
        </w:tc>
      </w:tr>
      <w:tr w:rsidR="005A186C" w:rsidRPr="006E2525" w14:paraId="24601E4C" w14:textId="77777777" w:rsidTr="00115A53">
        <w:trPr>
          <w:trHeight w:val="479"/>
        </w:trPr>
        <w:tc>
          <w:tcPr>
            <w:tcW w:w="607" w:type="pct"/>
            <w:tcBorders>
              <w:top w:val="nil"/>
              <w:left w:val="nil"/>
              <w:bottom w:val="nil"/>
              <w:right w:val="nil"/>
            </w:tcBorders>
            <w:noWrap/>
            <w:vAlign w:val="center"/>
            <w:hideMark/>
          </w:tcPr>
          <w:p w14:paraId="277FDE43"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PH02HH</w:t>
            </w:r>
          </w:p>
        </w:tc>
        <w:tc>
          <w:tcPr>
            <w:tcW w:w="733" w:type="pct"/>
            <w:tcBorders>
              <w:top w:val="nil"/>
              <w:left w:val="nil"/>
              <w:bottom w:val="nil"/>
              <w:right w:val="nil"/>
            </w:tcBorders>
            <w:noWrap/>
            <w:vAlign w:val="center"/>
            <w:hideMark/>
          </w:tcPr>
          <w:p w14:paraId="6F7E7113"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665" w:type="pct"/>
            <w:tcBorders>
              <w:top w:val="nil"/>
              <w:left w:val="nil"/>
              <w:bottom w:val="nil"/>
              <w:right w:val="nil"/>
            </w:tcBorders>
            <w:noWrap/>
            <w:vAlign w:val="center"/>
            <w:hideMark/>
          </w:tcPr>
          <w:p w14:paraId="60C4E3B5"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0.19±0.03</w:t>
            </w:r>
          </w:p>
        </w:tc>
        <w:tc>
          <w:tcPr>
            <w:tcW w:w="683" w:type="pct"/>
            <w:tcBorders>
              <w:top w:val="nil"/>
              <w:left w:val="nil"/>
              <w:bottom w:val="nil"/>
              <w:right w:val="nil"/>
            </w:tcBorders>
            <w:noWrap/>
            <w:vAlign w:val="center"/>
            <w:hideMark/>
          </w:tcPr>
          <w:p w14:paraId="7C606FB1"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811" w:type="pct"/>
            <w:tcBorders>
              <w:top w:val="nil"/>
              <w:left w:val="nil"/>
              <w:bottom w:val="nil"/>
              <w:right w:val="nil"/>
            </w:tcBorders>
            <w:noWrap/>
            <w:vAlign w:val="center"/>
            <w:hideMark/>
          </w:tcPr>
          <w:p w14:paraId="1AA9CA72"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0.106±0.006</w:t>
            </w:r>
          </w:p>
        </w:tc>
        <w:tc>
          <w:tcPr>
            <w:tcW w:w="768" w:type="pct"/>
            <w:tcBorders>
              <w:top w:val="nil"/>
              <w:left w:val="nil"/>
              <w:bottom w:val="nil"/>
              <w:right w:val="nil"/>
            </w:tcBorders>
            <w:noWrap/>
            <w:vAlign w:val="center"/>
            <w:hideMark/>
          </w:tcPr>
          <w:p w14:paraId="7EC835AD"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0.055±0.007</w:t>
            </w:r>
          </w:p>
        </w:tc>
        <w:tc>
          <w:tcPr>
            <w:tcW w:w="733" w:type="pct"/>
            <w:tcBorders>
              <w:top w:val="nil"/>
              <w:left w:val="nil"/>
              <w:bottom w:val="nil"/>
              <w:right w:val="nil"/>
            </w:tcBorders>
            <w:noWrap/>
            <w:vAlign w:val="center"/>
            <w:hideMark/>
          </w:tcPr>
          <w:p w14:paraId="61C02BE0"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0.016±0.004</w:t>
            </w:r>
          </w:p>
        </w:tc>
      </w:tr>
      <w:tr w:rsidR="005A186C" w:rsidRPr="006E2525" w14:paraId="6AFBFE9C" w14:textId="77777777" w:rsidTr="00115A53">
        <w:trPr>
          <w:trHeight w:val="479"/>
        </w:trPr>
        <w:tc>
          <w:tcPr>
            <w:tcW w:w="607" w:type="pct"/>
            <w:tcBorders>
              <w:top w:val="nil"/>
              <w:left w:val="nil"/>
              <w:bottom w:val="nil"/>
              <w:right w:val="nil"/>
            </w:tcBorders>
            <w:noWrap/>
            <w:vAlign w:val="center"/>
            <w:hideMark/>
          </w:tcPr>
          <w:p w14:paraId="16770EFF"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PH031SS</w:t>
            </w:r>
          </w:p>
        </w:tc>
        <w:tc>
          <w:tcPr>
            <w:tcW w:w="733" w:type="pct"/>
            <w:tcBorders>
              <w:top w:val="nil"/>
              <w:left w:val="nil"/>
              <w:bottom w:val="nil"/>
              <w:right w:val="nil"/>
            </w:tcBorders>
            <w:noWrap/>
            <w:vAlign w:val="center"/>
            <w:hideMark/>
          </w:tcPr>
          <w:p w14:paraId="708707C1"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665" w:type="pct"/>
            <w:tcBorders>
              <w:top w:val="nil"/>
              <w:left w:val="nil"/>
              <w:bottom w:val="nil"/>
              <w:right w:val="nil"/>
            </w:tcBorders>
            <w:noWrap/>
            <w:vAlign w:val="center"/>
            <w:hideMark/>
          </w:tcPr>
          <w:p w14:paraId="07415D05"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683" w:type="pct"/>
            <w:tcBorders>
              <w:top w:val="nil"/>
              <w:left w:val="nil"/>
              <w:bottom w:val="nil"/>
              <w:right w:val="nil"/>
            </w:tcBorders>
            <w:noWrap/>
            <w:vAlign w:val="center"/>
            <w:hideMark/>
          </w:tcPr>
          <w:p w14:paraId="719A3D7D"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811" w:type="pct"/>
            <w:tcBorders>
              <w:top w:val="nil"/>
              <w:left w:val="nil"/>
              <w:bottom w:val="nil"/>
              <w:right w:val="nil"/>
            </w:tcBorders>
            <w:noWrap/>
            <w:vAlign w:val="center"/>
            <w:hideMark/>
          </w:tcPr>
          <w:p w14:paraId="4535D8D9"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0.123±0.011</w:t>
            </w:r>
          </w:p>
        </w:tc>
        <w:tc>
          <w:tcPr>
            <w:tcW w:w="768" w:type="pct"/>
            <w:tcBorders>
              <w:top w:val="nil"/>
              <w:left w:val="nil"/>
              <w:bottom w:val="nil"/>
              <w:right w:val="nil"/>
            </w:tcBorders>
            <w:noWrap/>
            <w:vAlign w:val="center"/>
            <w:hideMark/>
          </w:tcPr>
          <w:p w14:paraId="3DCCE129"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0.0665±0.0155</w:t>
            </w:r>
          </w:p>
        </w:tc>
        <w:tc>
          <w:tcPr>
            <w:tcW w:w="733" w:type="pct"/>
            <w:tcBorders>
              <w:top w:val="nil"/>
              <w:left w:val="nil"/>
              <w:bottom w:val="nil"/>
              <w:right w:val="nil"/>
            </w:tcBorders>
            <w:noWrap/>
            <w:vAlign w:val="center"/>
            <w:hideMark/>
          </w:tcPr>
          <w:p w14:paraId="77E6C40C"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0.05±0.01</w:t>
            </w:r>
          </w:p>
        </w:tc>
      </w:tr>
      <w:tr w:rsidR="005A186C" w:rsidRPr="006E2525" w14:paraId="2252891B" w14:textId="77777777" w:rsidTr="00115A53">
        <w:trPr>
          <w:trHeight w:val="479"/>
        </w:trPr>
        <w:tc>
          <w:tcPr>
            <w:tcW w:w="607" w:type="pct"/>
            <w:tcBorders>
              <w:top w:val="nil"/>
              <w:left w:val="nil"/>
              <w:bottom w:val="nil"/>
              <w:right w:val="nil"/>
            </w:tcBorders>
            <w:noWrap/>
            <w:vAlign w:val="center"/>
            <w:hideMark/>
          </w:tcPr>
          <w:p w14:paraId="6063A96C"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PH04CSSN</w:t>
            </w:r>
          </w:p>
        </w:tc>
        <w:tc>
          <w:tcPr>
            <w:tcW w:w="733" w:type="pct"/>
            <w:tcBorders>
              <w:top w:val="nil"/>
              <w:left w:val="nil"/>
              <w:bottom w:val="nil"/>
              <w:right w:val="nil"/>
            </w:tcBorders>
            <w:noWrap/>
            <w:vAlign w:val="center"/>
            <w:hideMark/>
          </w:tcPr>
          <w:p w14:paraId="6A676CB9"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0.0825±0.0815</w:t>
            </w:r>
          </w:p>
        </w:tc>
        <w:tc>
          <w:tcPr>
            <w:tcW w:w="665" w:type="pct"/>
            <w:tcBorders>
              <w:top w:val="nil"/>
              <w:left w:val="nil"/>
              <w:bottom w:val="nil"/>
              <w:right w:val="nil"/>
            </w:tcBorders>
            <w:noWrap/>
            <w:vAlign w:val="center"/>
            <w:hideMark/>
          </w:tcPr>
          <w:p w14:paraId="1CC2E2E8"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0.445±0.215</w:t>
            </w:r>
          </w:p>
        </w:tc>
        <w:tc>
          <w:tcPr>
            <w:tcW w:w="683" w:type="pct"/>
            <w:tcBorders>
              <w:top w:val="nil"/>
              <w:left w:val="nil"/>
              <w:bottom w:val="nil"/>
              <w:right w:val="nil"/>
            </w:tcBorders>
            <w:noWrap/>
            <w:vAlign w:val="center"/>
            <w:hideMark/>
          </w:tcPr>
          <w:p w14:paraId="7B878EC2"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0.1235±0.12</w:t>
            </w:r>
          </w:p>
        </w:tc>
        <w:tc>
          <w:tcPr>
            <w:tcW w:w="811" w:type="pct"/>
            <w:tcBorders>
              <w:top w:val="nil"/>
              <w:left w:val="nil"/>
              <w:bottom w:val="nil"/>
              <w:right w:val="nil"/>
            </w:tcBorders>
            <w:noWrap/>
            <w:vAlign w:val="center"/>
            <w:hideMark/>
          </w:tcPr>
          <w:p w14:paraId="1A7C9653"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0.3205±0.2125</w:t>
            </w:r>
          </w:p>
        </w:tc>
        <w:tc>
          <w:tcPr>
            <w:tcW w:w="768" w:type="pct"/>
            <w:tcBorders>
              <w:top w:val="nil"/>
              <w:left w:val="nil"/>
              <w:bottom w:val="nil"/>
              <w:right w:val="nil"/>
            </w:tcBorders>
            <w:noWrap/>
            <w:vAlign w:val="center"/>
            <w:hideMark/>
          </w:tcPr>
          <w:p w14:paraId="389FACB8"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0.1705±0.1165</w:t>
            </w:r>
          </w:p>
        </w:tc>
        <w:tc>
          <w:tcPr>
            <w:tcW w:w="733" w:type="pct"/>
            <w:tcBorders>
              <w:top w:val="nil"/>
              <w:left w:val="nil"/>
              <w:bottom w:val="nil"/>
              <w:right w:val="nil"/>
            </w:tcBorders>
            <w:noWrap/>
            <w:vAlign w:val="center"/>
            <w:hideMark/>
          </w:tcPr>
          <w:p w14:paraId="60B1DC05"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0.0595±0.0205</w:t>
            </w:r>
          </w:p>
        </w:tc>
      </w:tr>
      <w:tr w:rsidR="005A186C" w:rsidRPr="006E2525" w14:paraId="54CFDDC8" w14:textId="77777777" w:rsidTr="00115A53">
        <w:trPr>
          <w:trHeight w:val="479"/>
        </w:trPr>
        <w:tc>
          <w:tcPr>
            <w:tcW w:w="607" w:type="pct"/>
            <w:tcBorders>
              <w:top w:val="nil"/>
              <w:left w:val="nil"/>
              <w:bottom w:val="nil"/>
              <w:right w:val="nil"/>
            </w:tcBorders>
            <w:noWrap/>
            <w:vAlign w:val="center"/>
            <w:hideMark/>
          </w:tcPr>
          <w:p w14:paraId="536289C1"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PH05CIA</w:t>
            </w:r>
          </w:p>
        </w:tc>
        <w:tc>
          <w:tcPr>
            <w:tcW w:w="733" w:type="pct"/>
            <w:tcBorders>
              <w:top w:val="nil"/>
              <w:left w:val="nil"/>
              <w:bottom w:val="nil"/>
              <w:right w:val="nil"/>
            </w:tcBorders>
            <w:noWrap/>
            <w:vAlign w:val="center"/>
            <w:hideMark/>
          </w:tcPr>
          <w:p w14:paraId="064B8CC1"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665" w:type="pct"/>
            <w:tcBorders>
              <w:top w:val="nil"/>
              <w:left w:val="nil"/>
              <w:bottom w:val="nil"/>
              <w:right w:val="nil"/>
            </w:tcBorders>
            <w:noWrap/>
            <w:vAlign w:val="center"/>
            <w:hideMark/>
          </w:tcPr>
          <w:p w14:paraId="1B638136"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0.085±0.075</w:t>
            </w:r>
          </w:p>
        </w:tc>
        <w:tc>
          <w:tcPr>
            <w:tcW w:w="683" w:type="pct"/>
            <w:tcBorders>
              <w:top w:val="nil"/>
              <w:left w:val="nil"/>
              <w:bottom w:val="nil"/>
              <w:right w:val="nil"/>
            </w:tcBorders>
            <w:noWrap/>
            <w:vAlign w:val="center"/>
            <w:hideMark/>
          </w:tcPr>
          <w:p w14:paraId="5360B7D4"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811" w:type="pct"/>
            <w:tcBorders>
              <w:top w:val="nil"/>
              <w:left w:val="nil"/>
              <w:bottom w:val="nil"/>
              <w:right w:val="nil"/>
            </w:tcBorders>
            <w:noWrap/>
            <w:vAlign w:val="center"/>
            <w:hideMark/>
          </w:tcPr>
          <w:p w14:paraId="4079173C"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0.0695±0.0135</w:t>
            </w:r>
          </w:p>
        </w:tc>
        <w:tc>
          <w:tcPr>
            <w:tcW w:w="768" w:type="pct"/>
            <w:tcBorders>
              <w:top w:val="nil"/>
              <w:left w:val="nil"/>
              <w:bottom w:val="nil"/>
              <w:right w:val="nil"/>
            </w:tcBorders>
            <w:noWrap/>
            <w:vAlign w:val="center"/>
            <w:hideMark/>
          </w:tcPr>
          <w:p w14:paraId="007D1CC3"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1.2855±1.2645</w:t>
            </w:r>
          </w:p>
        </w:tc>
        <w:tc>
          <w:tcPr>
            <w:tcW w:w="733" w:type="pct"/>
            <w:tcBorders>
              <w:top w:val="nil"/>
              <w:left w:val="nil"/>
              <w:bottom w:val="nil"/>
              <w:right w:val="nil"/>
            </w:tcBorders>
            <w:noWrap/>
            <w:vAlign w:val="center"/>
            <w:hideMark/>
          </w:tcPr>
          <w:p w14:paraId="5AC50EA6"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0.0235±0.0025</w:t>
            </w:r>
          </w:p>
        </w:tc>
      </w:tr>
      <w:tr w:rsidR="005A186C" w:rsidRPr="006E2525" w14:paraId="22A29C23" w14:textId="77777777" w:rsidTr="00115A53">
        <w:trPr>
          <w:trHeight w:val="479"/>
        </w:trPr>
        <w:tc>
          <w:tcPr>
            <w:tcW w:w="607" w:type="pct"/>
            <w:tcBorders>
              <w:top w:val="nil"/>
              <w:left w:val="nil"/>
              <w:bottom w:val="nil"/>
              <w:right w:val="nil"/>
            </w:tcBorders>
            <w:noWrap/>
            <w:vAlign w:val="center"/>
            <w:hideMark/>
          </w:tcPr>
          <w:p w14:paraId="457C210A"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PH06GGSS</w:t>
            </w:r>
          </w:p>
        </w:tc>
        <w:tc>
          <w:tcPr>
            <w:tcW w:w="733" w:type="pct"/>
            <w:tcBorders>
              <w:top w:val="nil"/>
              <w:left w:val="nil"/>
              <w:bottom w:val="nil"/>
              <w:right w:val="nil"/>
            </w:tcBorders>
            <w:noWrap/>
            <w:vAlign w:val="center"/>
            <w:hideMark/>
          </w:tcPr>
          <w:p w14:paraId="460C5F3D"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665" w:type="pct"/>
            <w:tcBorders>
              <w:top w:val="nil"/>
              <w:left w:val="nil"/>
              <w:bottom w:val="nil"/>
              <w:right w:val="nil"/>
            </w:tcBorders>
            <w:noWrap/>
            <w:vAlign w:val="center"/>
            <w:hideMark/>
          </w:tcPr>
          <w:p w14:paraId="63AE827F"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0.195±0.045</w:t>
            </w:r>
          </w:p>
        </w:tc>
        <w:tc>
          <w:tcPr>
            <w:tcW w:w="683" w:type="pct"/>
            <w:tcBorders>
              <w:top w:val="nil"/>
              <w:left w:val="nil"/>
              <w:bottom w:val="nil"/>
              <w:right w:val="nil"/>
            </w:tcBorders>
            <w:noWrap/>
            <w:vAlign w:val="center"/>
            <w:hideMark/>
          </w:tcPr>
          <w:p w14:paraId="38D12C16"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811" w:type="pct"/>
            <w:tcBorders>
              <w:top w:val="nil"/>
              <w:left w:val="nil"/>
              <w:bottom w:val="nil"/>
              <w:right w:val="nil"/>
            </w:tcBorders>
            <w:noWrap/>
            <w:vAlign w:val="center"/>
            <w:hideMark/>
          </w:tcPr>
          <w:p w14:paraId="4B951BB0"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0.822±0.097</w:t>
            </w:r>
          </w:p>
        </w:tc>
        <w:tc>
          <w:tcPr>
            <w:tcW w:w="768" w:type="pct"/>
            <w:tcBorders>
              <w:top w:val="nil"/>
              <w:left w:val="nil"/>
              <w:bottom w:val="nil"/>
              <w:right w:val="nil"/>
            </w:tcBorders>
            <w:noWrap/>
            <w:vAlign w:val="center"/>
            <w:hideMark/>
          </w:tcPr>
          <w:p w14:paraId="325404A8"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0.0235±0.0085</w:t>
            </w:r>
          </w:p>
        </w:tc>
        <w:tc>
          <w:tcPr>
            <w:tcW w:w="733" w:type="pct"/>
            <w:tcBorders>
              <w:top w:val="nil"/>
              <w:left w:val="nil"/>
              <w:bottom w:val="nil"/>
              <w:right w:val="nil"/>
            </w:tcBorders>
            <w:noWrap/>
            <w:vAlign w:val="center"/>
            <w:hideMark/>
          </w:tcPr>
          <w:p w14:paraId="5C437314"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0.023±0.001</w:t>
            </w:r>
          </w:p>
        </w:tc>
      </w:tr>
      <w:tr w:rsidR="005A186C" w:rsidRPr="006E2525" w14:paraId="508FAA1F" w14:textId="77777777" w:rsidTr="00115A53">
        <w:trPr>
          <w:trHeight w:val="479"/>
        </w:trPr>
        <w:tc>
          <w:tcPr>
            <w:tcW w:w="607" w:type="pct"/>
            <w:tcBorders>
              <w:top w:val="nil"/>
              <w:left w:val="nil"/>
              <w:bottom w:val="nil"/>
              <w:right w:val="nil"/>
            </w:tcBorders>
            <w:noWrap/>
            <w:vAlign w:val="center"/>
            <w:hideMark/>
          </w:tcPr>
          <w:p w14:paraId="534CA455"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PH07GCSS</w:t>
            </w:r>
          </w:p>
        </w:tc>
        <w:tc>
          <w:tcPr>
            <w:tcW w:w="733" w:type="pct"/>
            <w:tcBorders>
              <w:top w:val="nil"/>
              <w:left w:val="nil"/>
              <w:bottom w:val="nil"/>
              <w:right w:val="nil"/>
            </w:tcBorders>
            <w:noWrap/>
            <w:vAlign w:val="center"/>
            <w:hideMark/>
          </w:tcPr>
          <w:p w14:paraId="3E4944DE"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0.265±0.2645</w:t>
            </w:r>
          </w:p>
        </w:tc>
        <w:tc>
          <w:tcPr>
            <w:tcW w:w="665" w:type="pct"/>
            <w:tcBorders>
              <w:top w:val="nil"/>
              <w:left w:val="nil"/>
              <w:bottom w:val="nil"/>
              <w:right w:val="nil"/>
            </w:tcBorders>
            <w:noWrap/>
            <w:vAlign w:val="center"/>
            <w:hideMark/>
          </w:tcPr>
          <w:p w14:paraId="1BE3D962"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0.47±0.41</w:t>
            </w:r>
          </w:p>
        </w:tc>
        <w:tc>
          <w:tcPr>
            <w:tcW w:w="683" w:type="pct"/>
            <w:tcBorders>
              <w:top w:val="nil"/>
              <w:left w:val="nil"/>
              <w:bottom w:val="nil"/>
              <w:right w:val="nil"/>
            </w:tcBorders>
            <w:noWrap/>
            <w:vAlign w:val="center"/>
            <w:hideMark/>
          </w:tcPr>
          <w:p w14:paraId="0F174B30"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0.3155±0.31</w:t>
            </w:r>
          </w:p>
        </w:tc>
        <w:tc>
          <w:tcPr>
            <w:tcW w:w="811" w:type="pct"/>
            <w:tcBorders>
              <w:top w:val="nil"/>
              <w:left w:val="nil"/>
              <w:bottom w:val="nil"/>
              <w:right w:val="nil"/>
            </w:tcBorders>
            <w:noWrap/>
            <w:vAlign w:val="center"/>
            <w:hideMark/>
          </w:tcPr>
          <w:p w14:paraId="0BAC27F6"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1.2825±0.4175</w:t>
            </w:r>
          </w:p>
        </w:tc>
        <w:tc>
          <w:tcPr>
            <w:tcW w:w="768" w:type="pct"/>
            <w:tcBorders>
              <w:top w:val="nil"/>
              <w:left w:val="nil"/>
              <w:bottom w:val="nil"/>
              <w:right w:val="nil"/>
            </w:tcBorders>
            <w:noWrap/>
            <w:vAlign w:val="center"/>
            <w:hideMark/>
          </w:tcPr>
          <w:p w14:paraId="6685D2B2"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0.346±0.334</w:t>
            </w:r>
          </w:p>
        </w:tc>
        <w:tc>
          <w:tcPr>
            <w:tcW w:w="733" w:type="pct"/>
            <w:tcBorders>
              <w:top w:val="nil"/>
              <w:left w:val="nil"/>
              <w:bottom w:val="nil"/>
              <w:right w:val="nil"/>
            </w:tcBorders>
            <w:noWrap/>
            <w:vAlign w:val="center"/>
            <w:hideMark/>
          </w:tcPr>
          <w:p w14:paraId="36F0D7B2"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0.0135±0.0025</w:t>
            </w:r>
          </w:p>
        </w:tc>
      </w:tr>
      <w:tr w:rsidR="005A186C" w:rsidRPr="006E2525" w14:paraId="7F38694D" w14:textId="77777777" w:rsidTr="00115A53">
        <w:trPr>
          <w:trHeight w:val="479"/>
        </w:trPr>
        <w:tc>
          <w:tcPr>
            <w:tcW w:w="607" w:type="pct"/>
            <w:tcBorders>
              <w:top w:val="nil"/>
              <w:left w:val="nil"/>
              <w:bottom w:val="nil"/>
              <w:right w:val="nil"/>
            </w:tcBorders>
            <w:noWrap/>
            <w:vAlign w:val="center"/>
            <w:hideMark/>
          </w:tcPr>
          <w:p w14:paraId="327E34AA"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PH08HRC</w:t>
            </w:r>
          </w:p>
        </w:tc>
        <w:tc>
          <w:tcPr>
            <w:tcW w:w="733" w:type="pct"/>
            <w:tcBorders>
              <w:top w:val="nil"/>
              <w:left w:val="nil"/>
              <w:bottom w:val="nil"/>
              <w:right w:val="nil"/>
            </w:tcBorders>
            <w:noWrap/>
            <w:vAlign w:val="center"/>
            <w:hideMark/>
          </w:tcPr>
          <w:p w14:paraId="2EB72996"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665" w:type="pct"/>
            <w:tcBorders>
              <w:top w:val="nil"/>
              <w:left w:val="nil"/>
              <w:bottom w:val="nil"/>
              <w:right w:val="nil"/>
            </w:tcBorders>
            <w:noWrap/>
            <w:vAlign w:val="center"/>
            <w:hideMark/>
          </w:tcPr>
          <w:p w14:paraId="43C33270"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0.175±0.04</w:t>
            </w:r>
          </w:p>
        </w:tc>
        <w:tc>
          <w:tcPr>
            <w:tcW w:w="683" w:type="pct"/>
            <w:tcBorders>
              <w:top w:val="nil"/>
              <w:left w:val="nil"/>
              <w:bottom w:val="nil"/>
              <w:right w:val="nil"/>
            </w:tcBorders>
            <w:noWrap/>
            <w:vAlign w:val="center"/>
            <w:hideMark/>
          </w:tcPr>
          <w:p w14:paraId="3272CF73"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811" w:type="pct"/>
            <w:tcBorders>
              <w:top w:val="nil"/>
              <w:left w:val="nil"/>
              <w:bottom w:val="nil"/>
              <w:right w:val="nil"/>
            </w:tcBorders>
            <w:noWrap/>
            <w:vAlign w:val="center"/>
            <w:hideMark/>
          </w:tcPr>
          <w:p w14:paraId="798D43AB"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0.0185±0.0065</w:t>
            </w:r>
          </w:p>
        </w:tc>
        <w:tc>
          <w:tcPr>
            <w:tcW w:w="768" w:type="pct"/>
            <w:tcBorders>
              <w:top w:val="nil"/>
              <w:left w:val="nil"/>
              <w:bottom w:val="nil"/>
              <w:right w:val="nil"/>
            </w:tcBorders>
            <w:noWrap/>
            <w:vAlign w:val="center"/>
            <w:hideMark/>
          </w:tcPr>
          <w:p w14:paraId="3B69EF9B"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0.008±0.002</w:t>
            </w:r>
          </w:p>
        </w:tc>
        <w:tc>
          <w:tcPr>
            <w:tcW w:w="733" w:type="pct"/>
            <w:tcBorders>
              <w:top w:val="nil"/>
              <w:left w:val="nil"/>
              <w:bottom w:val="nil"/>
              <w:right w:val="nil"/>
            </w:tcBorders>
            <w:noWrap/>
            <w:vAlign w:val="center"/>
            <w:hideMark/>
          </w:tcPr>
          <w:p w14:paraId="6A19EA24"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0.0065±0.0015</w:t>
            </w:r>
          </w:p>
        </w:tc>
      </w:tr>
      <w:tr w:rsidR="005A186C" w:rsidRPr="006E2525" w14:paraId="34917567" w14:textId="77777777" w:rsidTr="00115A53">
        <w:trPr>
          <w:trHeight w:val="503"/>
        </w:trPr>
        <w:tc>
          <w:tcPr>
            <w:tcW w:w="607" w:type="pct"/>
            <w:tcBorders>
              <w:top w:val="nil"/>
              <w:left w:val="nil"/>
              <w:bottom w:val="double" w:sz="6" w:space="0" w:color="auto"/>
              <w:right w:val="nil"/>
            </w:tcBorders>
            <w:noWrap/>
            <w:vAlign w:val="center"/>
            <w:hideMark/>
          </w:tcPr>
          <w:p w14:paraId="322CA356"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PH09CSSO</w:t>
            </w:r>
          </w:p>
        </w:tc>
        <w:tc>
          <w:tcPr>
            <w:tcW w:w="733" w:type="pct"/>
            <w:tcBorders>
              <w:top w:val="nil"/>
              <w:left w:val="nil"/>
              <w:bottom w:val="double" w:sz="6" w:space="0" w:color="auto"/>
              <w:right w:val="nil"/>
            </w:tcBorders>
            <w:noWrap/>
            <w:vAlign w:val="center"/>
            <w:hideMark/>
          </w:tcPr>
          <w:p w14:paraId="7582F786"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665" w:type="pct"/>
            <w:tcBorders>
              <w:top w:val="nil"/>
              <w:left w:val="nil"/>
              <w:bottom w:val="double" w:sz="6" w:space="0" w:color="auto"/>
              <w:right w:val="nil"/>
            </w:tcBorders>
            <w:noWrap/>
            <w:vAlign w:val="center"/>
            <w:hideMark/>
          </w:tcPr>
          <w:p w14:paraId="3C5ED55A"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0.041±0.01</w:t>
            </w:r>
          </w:p>
        </w:tc>
        <w:tc>
          <w:tcPr>
            <w:tcW w:w="683" w:type="pct"/>
            <w:tcBorders>
              <w:top w:val="nil"/>
              <w:left w:val="nil"/>
              <w:bottom w:val="double" w:sz="6" w:space="0" w:color="auto"/>
              <w:right w:val="nil"/>
            </w:tcBorders>
            <w:noWrap/>
            <w:vAlign w:val="center"/>
            <w:hideMark/>
          </w:tcPr>
          <w:p w14:paraId="1D2BB956"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811" w:type="pct"/>
            <w:tcBorders>
              <w:top w:val="nil"/>
              <w:left w:val="nil"/>
              <w:bottom w:val="double" w:sz="6" w:space="0" w:color="auto"/>
              <w:right w:val="nil"/>
            </w:tcBorders>
            <w:noWrap/>
            <w:vAlign w:val="center"/>
            <w:hideMark/>
          </w:tcPr>
          <w:p w14:paraId="3171D157"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0.016±0.005</w:t>
            </w:r>
          </w:p>
        </w:tc>
        <w:tc>
          <w:tcPr>
            <w:tcW w:w="768" w:type="pct"/>
            <w:tcBorders>
              <w:top w:val="nil"/>
              <w:left w:val="nil"/>
              <w:bottom w:val="double" w:sz="6" w:space="0" w:color="auto"/>
              <w:right w:val="nil"/>
            </w:tcBorders>
            <w:noWrap/>
            <w:vAlign w:val="center"/>
            <w:hideMark/>
          </w:tcPr>
          <w:p w14:paraId="7678B9D0"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0.0105±0.0025</w:t>
            </w:r>
          </w:p>
        </w:tc>
        <w:tc>
          <w:tcPr>
            <w:tcW w:w="733" w:type="pct"/>
            <w:tcBorders>
              <w:top w:val="nil"/>
              <w:left w:val="nil"/>
              <w:bottom w:val="double" w:sz="6" w:space="0" w:color="auto"/>
              <w:right w:val="nil"/>
            </w:tcBorders>
            <w:noWrap/>
            <w:vAlign w:val="center"/>
            <w:hideMark/>
          </w:tcPr>
          <w:p w14:paraId="107D5E25"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0.0035±0.0015</w:t>
            </w:r>
          </w:p>
        </w:tc>
      </w:tr>
    </w:tbl>
    <w:p w14:paraId="4B51C097" w14:textId="77777777" w:rsidR="005A186C" w:rsidRPr="006E2525" w:rsidRDefault="005A186C">
      <w:pPr>
        <w:spacing w:line="240" w:lineRule="auto"/>
        <w:jc w:val="both"/>
        <w:rPr>
          <w:rFonts w:ascii="Times New Roman" w:hAnsi="Times New Roman" w:cs="Times New Roman"/>
        </w:rPr>
      </w:pPr>
    </w:p>
    <w:p w14:paraId="1A564856" w14:textId="582C79D7" w:rsidR="005A186C" w:rsidRDefault="00DB42A8">
      <w:pPr>
        <w:pStyle w:val="NormalWeb"/>
        <w:jc w:val="both"/>
      </w:pPr>
      <w:r>
        <w:t>C</w:t>
      </w:r>
      <w:r w:rsidR="00F941B0">
        <w:t>orrelation matrix</w:t>
      </w:r>
      <w:r>
        <w:t>, Table 2,</w:t>
      </w:r>
      <w:r w:rsidR="00F941B0">
        <w:t xml:space="preserve"> show</w:t>
      </w:r>
      <w:r w:rsidR="00F93EE0">
        <w:t>ed</w:t>
      </w:r>
      <w:r w:rsidR="00F941B0">
        <w:t xml:space="preserve"> strong positive correlations among most schools in Port Harcourt, particularly between PH01ASSE, PH02HH, PH04CSSN, PH08HRC, and PH09CSSO, indicating similar </w:t>
      </w:r>
      <w:r>
        <w:t>potentially toxic elements</w:t>
      </w:r>
      <w:r w:rsidR="00F941B0">
        <w:t xml:space="preserve"> concentration patterns in these locations. Some schools like PH03 1SS and PH05CIA show</w:t>
      </w:r>
      <w:r w:rsidR="00F93EE0">
        <w:t>ed</w:t>
      </w:r>
      <w:r w:rsidR="00F941B0">
        <w:t xml:space="preserve"> weak or even negative correlations with others, suggesting distinct contamination profiles at these sites. The two-way ANOVA summary</w:t>
      </w:r>
      <w:r w:rsidR="00F93EE0">
        <w:t>,</w:t>
      </w:r>
      <w:r>
        <w:t xml:space="preserve"> Table 3</w:t>
      </w:r>
      <w:r w:rsidR="00F93EE0">
        <w:t>,</w:t>
      </w:r>
      <w:r w:rsidR="00F941B0">
        <w:t xml:space="preserve"> reveal</w:t>
      </w:r>
      <w:r w:rsidR="00F93EE0">
        <w:t>ed</w:t>
      </w:r>
      <w:r w:rsidR="00F941B0">
        <w:t xml:space="preserve"> that PH07GCSS and PH05CIA have the highest mean concentrations and variances for heavy metals indicating greater contamination and variability at these locations. Chromium (Cr) show</w:t>
      </w:r>
      <w:r w:rsidR="00F93EE0">
        <w:t>ed</w:t>
      </w:r>
      <w:r w:rsidR="00F941B0">
        <w:t xml:space="preserve"> relatively low average concentration and variance, while Arsenic (As), Copper (Cu), and Lead (Pb) exhibit</w:t>
      </w:r>
      <w:r w:rsidR="00F93EE0">
        <w:t>ed</w:t>
      </w:r>
      <w:r w:rsidR="00F941B0">
        <w:t xml:space="preserve"> higher means and variances, reflecting their more significant presence and variability across schools. ANOVA results indicate</w:t>
      </w:r>
      <w:r w:rsidR="00150F7D">
        <w:t>d</w:t>
      </w:r>
      <w:r w:rsidR="00F941B0">
        <w:t xml:space="preserve"> no statistically significant difference in mean</w:t>
      </w:r>
      <w:r>
        <w:t xml:space="preserve"> potentially toxic element</w:t>
      </w:r>
      <w:r w:rsidR="00F941B0">
        <w:t xml:space="preserve"> levels either across the different schools (rows, p=0.067) or among the different metals (columns, p=0.060), though both are borderline</w:t>
      </w:r>
      <w:r>
        <w:t xml:space="preserve"> cases</w:t>
      </w:r>
      <w:r w:rsidR="00F941B0">
        <w:t xml:space="preserve">. </w:t>
      </w:r>
      <w:r>
        <w:t>In general</w:t>
      </w:r>
      <w:r w:rsidR="00F941B0">
        <w:t>, the data suggest</w:t>
      </w:r>
      <w:r w:rsidR="00150F7D">
        <w:t>ed</w:t>
      </w:r>
      <w:r w:rsidR="00F941B0">
        <w:t xml:space="preserve"> heterogeneous </w:t>
      </w:r>
      <w:r>
        <w:t>potentially toxic elements</w:t>
      </w:r>
      <w:r w:rsidR="00F941B0">
        <w:t xml:space="preserve"> contamination in Port Harcourt schools with certain sites showing elevated and variable contamination that warrants further </w:t>
      </w:r>
      <w:r>
        <w:t>investiga</w:t>
      </w:r>
      <w:r w:rsidR="00150F7D">
        <w:t>t</w:t>
      </w:r>
      <w:r w:rsidR="00F941B0">
        <w:t>ion.</w:t>
      </w:r>
    </w:p>
    <w:p w14:paraId="7B21B8CC" w14:textId="6C8BDEE0" w:rsidR="005A186C" w:rsidRPr="00B7203A" w:rsidRDefault="00F941B0" w:rsidP="00B7203A">
      <w:pPr>
        <w:spacing w:after="0" w:line="240" w:lineRule="auto"/>
        <w:ind w:left="1080" w:hanging="1080"/>
        <w:jc w:val="both"/>
        <w:rPr>
          <w:rFonts w:ascii="Times New Roman" w:hAnsi="Times New Roman" w:cs="Times New Roman"/>
          <w:b/>
          <w:bCs/>
          <w:sz w:val="24"/>
          <w:szCs w:val="24"/>
        </w:rPr>
      </w:pPr>
      <w:r w:rsidRPr="00B7203A">
        <w:rPr>
          <w:rFonts w:ascii="Times New Roman" w:hAnsi="Times New Roman" w:cs="Times New Roman"/>
          <w:b/>
          <w:bCs/>
          <w:sz w:val="24"/>
          <w:szCs w:val="24"/>
        </w:rPr>
        <w:t>Table 2</w:t>
      </w:r>
      <w:bookmarkStart w:id="0" w:name="_GoBack"/>
      <w:bookmarkEnd w:id="0"/>
      <w:r w:rsidR="00B7203A" w:rsidRPr="00B7203A">
        <w:rPr>
          <w:rFonts w:ascii="Times New Roman" w:hAnsi="Times New Roman" w:cs="Times New Roman"/>
          <w:b/>
          <w:bCs/>
          <w:sz w:val="24"/>
          <w:szCs w:val="24"/>
        </w:rPr>
        <w:t xml:space="preserve"> </w:t>
      </w:r>
      <w:r w:rsidRPr="00B7203A">
        <w:rPr>
          <w:rFonts w:ascii="Times New Roman" w:hAnsi="Times New Roman" w:cs="Times New Roman"/>
          <w:b/>
          <w:bCs/>
          <w:sz w:val="24"/>
          <w:szCs w:val="24"/>
        </w:rPr>
        <w:t>Correlation</w:t>
      </w:r>
      <w:r w:rsidR="00DB42A8" w:rsidRPr="00B7203A">
        <w:rPr>
          <w:rFonts w:ascii="Times New Roman" w:hAnsi="Times New Roman" w:cs="Times New Roman"/>
          <w:b/>
          <w:bCs/>
          <w:sz w:val="24"/>
          <w:szCs w:val="24"/>
        </w:rPr>
        <w:t xml:space="preserve"> Matrix of Potentially Toxic Elements Concentrations</w:t>
      </w:r>
      <w:r w:rsidRPr="00B7203A">
        <w:rPr>
          <w:rFonts w:ascii="Times New Roman" w:hAnsi="Times New Roman" w:cs="Times New Roman"/>
          <w:b/>
          <w:bCs/>
          <w:sz w:val="24"/>
          <w:szCs w:val="24"/>
        </w:rPr>
        <w:t xml:space="preserve"> </w:t>
      </w:r>
      <w:r w:rsidR="00DB42A8" w:rsidRPr="00B7203A">
        <w:rPr>
          <w:rFonts w:ascii="Times New Roman" w:hAnsi="Times New Roman" w:cs="Times New Roman"/>
          <w:b/>
          <w:bCs/>
          <w:sz w:val="24"/>
          <w:szCs w:val="24"/>
        </w:rPr>
        <w:t>b</w:t>
      </w:r>
      <w:r w:rsidRPr="00B7203A">
        <w:rPr>
          <w:rFonts w:ascii="Times New Roman" w:hAnsi="Times New Roman" w:cs="Times New Roman"/>
          <w:b/>
          <w:bCs/>
          <w:sz w:val="24"/>
          <w:szCs w:val="24"/>
        </w:rPr>
        <w:t>etween Schools in P</w:t>
      </w:r>
      <w:r w:rsidR="00B7203A" w:rsidRPr="00B7203A">
        <w:rPr>
          <w:rFonts w:ascii="Times New Roman" w:hAnsi="Times New Roman" w:cs="Times New Roman"/>
          <w:b/>
          <w:bCs/>
          <w:sz w:val="24"/>
          <w:szCs w:val="24"/>
        </w:rPr>
        <w:t xml:space="preserve">ort </w:t>
      </w:r>
      <w:r w:rsidRPr="00B7203A">
        <w:rPr>
          <w:rFonts w:ascii="Times New Roman" w:hAnsi="Times New Roman" w:cs="Times New Roman"/>
          <w:b/>
          <w:bCs/>
          <w:sz w:val="24"/>
          <w:szCs w:val="24"/>
        </w:rPr>
        <w:t>H</w:t>
      </w:r>
      <w:r w:rsidR="00B7203A" w:rsidRPr="00B7203A">
        <w:rPr>
          <w:rFonts w:ascii="Times New Roman" w:hAnsi="Times New Roman" w:cs="Times New Roman"/>
          <w:b/>
          <w:bCs/>
          <w:sz w:val="24"/>
          <w:szCs w:val="24"/>
        </w:rPr>
        <w:t xml:space="preserve">arcourt </w:t>
      </w:r>
      <w:r w:rsidRPr="00B7203A">
        <w:rPr>
          <w:rFonts w:ascii="Times New Roman" w:hAnsi="Times New Roman" w:cs="Times New Roman"/>
          <w:b/>
          <w:bCs/>
          <w:sz w:val="24"/>
          <w:szCs w:val="24"/>
        </w:rPr>
        <w:t xml:space="preserve">LGA </w:t>
      </w:r>
    </w:p>
    <w:tbl>
      <w:tblPr>
        <w:tblW w:w="5000" w:type="pct"/>
        <w:tblLook w:val="04A0" w:firstRow="1" w:lastRow="0" w:firstColumn="1" w:lastColumn="0" w:noHBand="0" w:noVBand="1"/>
      </w:tblPr>
      <w:tblGrid>
        <w:gridCol w:w="977"/>
        <w:gridCol w:w="933"/>
        <w:gridCol w:w="811"/>
        <w:gridCol w:w="820"/>
        <w:gridCol w:w="951"/>
        <w:gridCol w:w="837"/>
        <w:gridCol w:w="968"/>
        <w:gridCol w:w="987"/>
        <w:gridCol w:w="925"/>
        <w:gridCol w:w="791"/>
      </w:tblGrid>
      <w:tr w:rsidR="00B7203A" w:rsidRPr="00B7203A" w14:paraId="1803805C" w14:textId="77777777" w:rsidTr="00115A53">
        <w:trPr>
          <w:trHeight w:val="526"/>
        </w:trPr>
        <w:tc>
          <w:tcPr>
            <w:tcW w:w="535" w:type="pct"/>
            <w:tcBorders>
              <w:top w:val="single" w:sz="8" w:space="0" w:color="auto"/>
              <w:left w:val="nil"/>
              <w:bottom w:val="single" w:sz="4" w:space="0" w:color="auto"/>
              <w:right w:val="nil"/>
            </w:tcBorders>
            <w:noWrap/>
            <w:vAlign w:val="bottom"/>
            <w:hideMark/>
          </w:tcPr>
          <w:p w14:paraId="57BB54BB" w14:textId="77777777" w:rsidR="005A186C" w:rsidRPr="00B7203A" w:rsidRDefault="00F941B0" w:rsidP="00B7203A">
            <w:pPr>
              <w:spacing w:after="0" w:line="240" w:lineRule="auto"/>
              <w:jc w:val="center"/>
              <w:rPr>
                <w:rFonts w:ascii="Times New Roman" w:eastAsia="Times New Roman" w:hAnsi="Times New Roman" w:cs="Times New Roman"/>
                <w:i/>
                <w:iCs/>
                <w:color w:val="000000"/>
                <w:sz w:val="20"/>
                <w:szCs w:val="20"/>
              </w:rPr>
            </w:pPr>
            <w:r w:rsidRPr="00B7203A">
              <w:rPr>
                <w:rFonts w:ascii="Times New Roman" w:eastAsia="Times New Roman" w:hAnsi="Times New Roman" w:cs="Times New Roman"/>
                <w:i/>
                <w:iCs/>
                <w:color w:val="000000"/>
                <w:sz w:val="20"/>
                <w:szCs w:val="20"/>
              </w:rPr>
              <w:t> </w:t>
            </w:r>
          </w:p>
        </w:tc>
        <w:tc>
          <w:tcPr>
            <w:tcW w:w="501" w:type="pct"/>
            <w:tcBorders>
              <w:top w:val="single" w:sz="8" w:space="0" w:color="auto"/>
              <w:left w:val="nil"/>
              <w:bottom w:val="single" w:sz="4" w:space="0" w:color="auto"/>
              <w:right w:val="nil"/>
            </w:tcBorders>
            <w:noWrap/>
            <w:vAlign w:val="bottom"/>
            <w:hideMark/>
          </w:tcPr>
          <w:p w14:paraId="48AE760E" w14:textId="77777777" w:rsidR="005A186C" w:rsidRPr="00B7203A" w:rsidRDefault="00F941B0" w:rsidP="00B7203A">
            <w:pPr>
              <w:spacing w:after="0" w:line="240" w:lineRule="auto"/>
              <w:jc w:val="center"/>
              <w:rPr>
                <w:rFonts w:ascii="Times New Roman" w:eastAsia="Times New Roman" w:hAnsi="Times New Roman" w:cs="Times New Roman"/>
                <w:i/>
                <w:iCs/>
                <w:color w:val="000000"/>
                <w:sz w:val="20"/>
                <w:szCs w:val="20"/>
              </w:rPr>
            </w:pPr>
            <w:r w:rsidRPr="00B7203A">
              <w:rPr>
                <w:rFonts w:ascii="Times New Roman" w:eastAsia="Times New Roman" w:hAnsi="Times New Roman" w:cs="Times New Roman"/>
                <w:i/>
                <w:iCs/>
                <w:color w:val="000000"/>
                <w:sz w:val="20"/>
                <w:szCs w:val="20"/>
              </w:rPr>
              <w:t>PH01ASSE</w:t>
            </w:r>
          </w:p>
        </w:tc>
        <w:tc>
          <w:tcPr>
            <w:tcW w:w="484" w:type="pct"/>
            <w:tcBorders>
              <w:top w:val="single" w:sz="8" w:space="0" w:color="auto"/>
              <w:left w:val="nil"/>
              <w:bottom w:val="single" w:sz="4" w:space="0" w:color="auto"/>
              <w:right w:val="nil"/>
            </w:tcBorders>
            <w:noWrap/>
            <w:vAlign w:val="bottom"/>
            <w:hideMark/>
          </w:tcPr>
          <w:p w14:paraId="67F3D50B" w14:textId="77777777" w:rsidR="005A186C" w:rsidRPr="00B7203A" w:rsidRDefault="00F941B0" w:rsidP="00B7203A">
            <w:pPr>
              <w:spacing w:after="0" w:line="240" w:lineRule="auto"/>
              <w:jc w:val="center"/>
              <w:rPr>
                <w:rFonts w:ascii="Times New Roman" w:eastAsia="Times New Roman" w:hAnsi="Times New Roman" w:cs="Times New Roman"/>
                <w:i/>
                <w:iCs/>
                <w:color w:val="000000"/>
                <w:sz w:val="20"/>
                <w:szCs w:val="20"/>
              </w:rPr>
            </w:pPr>
            <w:r w:rsidRPr="00B7203A">
              <w:rPr>
                <w:rFonts w:ascii="Times New Roman" w:eastAsia="Times New Roman" w:hAnsi="Times New Roman" w:cs="Times New Roman"/>
                <w:i/>
                <w:iCs/>
                <w:color w:val="000000"/>
                <w:sz w:val="20"/>
                <w:szCs w:val="20"/>
              </w:rPr>
              <w:t>PH02HH</w:t>
            </w:r>
          </w:p>
        </w:tc>
        <w:tc>
          <w:tcPr>
            <w:tcW w:w="437" w:type="pct"/>
            <w:tcBorders>
              <w:top w:val="single" w:sz="8" w:space="0" w:color="auto"/>
              <w:left w:val="nil"/>
              <w:bottom w:val="single" w:sz="4" w:space="0" w:color="auto"/>
              <w:right w:val="nil"/>
            </w:tcBorders>
            <w:noWrap/>
            <w:vAlign w:val="bottom"/>
            <w:hideMark/>
          </w:tcPr>
          <w:p w14:paraId="1040FEA9" w14:textId="77777777" w:rsidR="005A186C" w:rsidRPr="00B7203A" w:rsidRDefault="00F941B0" w:rsidP="00B7203A">
            <w:pPr>
              <w:spacing w:after="0" w:line="240" w:lineRule="auto"/>
              <w:jc w:val="center"/>
              <w:rPr>
                <w:rFonts w:ascii="Times New Roman" w:eastAsia="Times New Roman" w:hAnsi="Times New Roman" w:cs="Times New Roman"/>
                <w:i/>
                <w:iCs/>
                <w:color w:val="000000"/>
                <w:sz w:val="20"/>
                <w:szCs w:val="20"/>
              </w:rPr>
            </w:pPr>
            <w:r w:rsidRPr="00B7203A">
              <w:rPr>
                <w:rFonts w:ascii="Times New Roman" w:eastAsia="Times New Roman" w:hAnsi="Times New Roman" w:cs="Times New Roman"/>
                <w:i/>
                <w:iCs/>
                <w:color w:val="000000"/>
                <w:sz w:val="20"/>
                <w:szCs w:val="20"/>
              </w:rPr>
              <w:t>PH031SS</w:t>
            </w:r>
          </w:p>
        </w:tc>
        <w:tc>
          <w:tcPr>
            <w:tcW w:w="523" w:type="pct"/>
            <w:tcBorders>
              <w:top w:val="single" w:sz="8" w:space="0" w:color="auto"/>
              <w:left w:val="nil"/>
              <w:bottom w:val="single" w:sz="4" w:space="0" w:color="auto"/>
              <w:right w:val="nil"/>
            </w:tcBorders>
            <w:noWrap/>
            <w:vAlign w:val="bottom"/>
            <w:hideMark/>
          </w:tcPr>
          <w:p w14:paraId="28764FF2" w14:textId="77777777" w:rsidR="005A186C" w:rsidRPr="00B7203A" w:rsidRDefault="00F941B0" w:rsidP="00B7203A">
            <w:pPr>
              <w:spacing w:after="0" w:line="240" w:lineRule="auto"/>
              <w:jc w:val="center"/>
              <w:rPr>
                <w:rFonts w:ascii="Times New Roman" w:eastAsia="Times New Roman" w:hAnsi="Times New Roman" w:cs="Times New Roman"/>
                <w:i/>
                <w:iCs/>
                <w:color w:val="000000"/>
                <w:sz w:val="20"/>
                <w:szCs w:val="20"/>
              </w:rPr>
            </w:pPr>
            <w:r w:rsidRPr="00B7203A">
              <w:rPr>
                <w:rFonts w:ascii="Times New Roman" w:eastAsia="Times New Roman" w:hAnsi="Times New Roman" w:cs="Times New Roman"/>
                <w:i/>
                <w:iCs/>
                <w:color w:val="000000"/>
                <w:sz w:val="20"/>
                <w:szCs w:val="20"/>
              </w:rPr>
              <w:t>PH04CSSN</w:t>
            </w:r>
          </w:p>
        </w:tc>
        <w:tc>
          <w:tcPr>
            <w:tcW w:w="480" w:type="pct"/>
            <w:tcBorders>
              <w:top w:val="single" w:sz="8" w:space="0" w:color="auto"/>
              <w:left w:val="nil"/>
              <w:bottom w:val="single" w:sz="4" w:space="0" w:color="auto"/>
              <w:right w:val="nil"/>
            </w:tcBorders>
            <w:noWrap/>
            <w:vAlign w:val="bottom"/>
            <w:hideMark/>
          </w:tcPr>
          <w:p w14:paraId="5DE5B361" w14:textId="77777777" w:rsidR="005A186C" w:rsidRPr="00B7203A" w:rsidRDefault="00F941B0" w:rsidP="00B7203A">
            <w:pPr>
              <w:spacing w:after="0" w:line="240" w:lineRule="auto"/>
              <w:jc w:val="center"/>
              <w:rPr>
                <w:rFonts w:ascii="Times New Roman" w:eastAsia="Times New Roman" w:hAnsi="Times New Roman" w:cs="Times New Roman"/>
                <w:i/>
                <w:iCs/>
                <w:color w:val="000000"/>
                <w:sz w:val="20"/>
                <w:szCs w:val="20"/>
              </w:rPr>
            </w:pPr>
            <w:r w:rsidRPr="00B7203A">
              <w:rPr>
                <w:rFonts w:ascii="Times New Roman" w:eastAsia="Times New Roman" w:hAnsi="Times New Roman" w:cs="Times New Roman"/>
                <w:i/>
                <w:iCs/>
                <w:color w:val="000000"/>
                <w:sz w:val="20"/>
                <w:szCs w:val="20"/>
              </w:rPr>
              <w:t>PH05CIA</w:t>
            </w:r>
          </w:p>
        </w:tc>
        <w:tc>
          <w:tcPr>
            <w:tcW w:w="521" w:type="pct"/>
            <w:tcBorders>
              <w:top w:val="single" w:sz="8" w:space="0" w:color="auto"/>
              <w:left w:val="nil"/>
              <w:bottom w:val="single" w:sz="4" w:space="0" w:color="auto"/>
              <w:right w:val="nil"/>
            </w:tcBorders>
            <w:noWrap/>
            <w:vAlign w:val="bottom"/>
            <w:hideMark/>
          </w:tcPr>
          <w:p w14:paraId="501F807B" w14:textId="77777777" w:rsidR="005A186C" w:rsidRPr="00B7203A" w:rsidRDefault="00F941B0" w:rsidP="00B7203A">
            <w:pPr>
              <w:spacing w:after="0" w:line="240" w:lineRule="auto"/>
              <w:jc w:val="center"/>
              <w:rPr>
                <w:rFonts w:ascii="Times New Roman" w:eastAsia="Times New Roman" w:hAnsi="Times New Roman" w:cs="Times New Roman"/>
                <w:i/>
                <w:iCs/>
                <w:color w:val="000000"/>
                <w:sz w:val="20"/>
                <w:szCs w:val="20"/>
              </w:rPr>
            </w:pPr>
            <w:r w:rsidRPr="00B7203A">
              <w:rPr>
                <w:rFonts w:ascii="Times New Roman" w:eastAsia="Times New Roman" w:hAnsi="Times New Roman" w:cs="Times New Roman"/>
                <w:i/>
                <w:iCs/>
                <w:color w:val="000000"/>
                <w:sz w:val="20"/>
                <w:szCs w:val="20"/>
              </w:rPr>
              <w:t>PH06GGSS</w:t>
            </w:r>
          </w:p>
        </w:tc>
        <w:tc>
          <w:tcPr>
            <w:tcW w:w="531" w:type="pct"/>
            <w:tcBorders>
              <w:top w:val="single" w:sz="8" w:space="0" w:color="auto"/>
              <w:left w:val="nil"/>
              <w:bottom w:val="single" w:sz="4" w:space="0" w:color="auto"/>
              <w:right w:val="nil"/>
            </w:tcBorders>
            <w:noWrap/>
            <w:vAlign w:val="bottom"/>
            <w:hideMark/>
          </w:tcPr>
          <w:p w14:paraId="6390CC44" w14:textId="77777777" w:rsidR="005A186C" w:rsidRPr="00B7203A" w:rsidRDefault="00F941B0" w:rsidP="00B7203A">
            <w:pPr>
              <w:spacing w:after="0" w:line="240" w:lineRule="auto"/>
              <w:jc w:val="center"/>
              <w:rPr>
                <w:rFonts w:ascii="Times New Roman" w:eastAsia="Times New Roman" w:hAnsi="Times New Roman" w:cs="Times New Roman"/>
                <w:b/>
                <w:i/>
                <w:iCs/>
                <w:color w:val="000000"/>
                <w:sz w:val="20"/>
                <w:szCs w:val="20"/>
              </w:rPr>
            </w:pPr>
            <w:r w:rsidRPr="00B7203A">
              <w:rPr>
                <w:rFonts w:ascii="Times New Roman" w:eastAsia="Times New Roman" w:hAnsi="Times New Roman" w:cs="Times New Roman"/>
                <w:b/>
                <w:i/>
                <w:iCs/>
                <w:color w:val="000000"/>
                <w:sz w:val="20"/>
                <w:szCs w:val="20"/>
              </w:rPr>
              <w:t>PH07GCSS</w:t>
            </w:r>
          </w:p>
        </w:tc>
        <w:tc>
          <w:tcPr>
            <w:tcW w:w="496" w:type="pct"/>
            <w:tcBorders>
              <w:top w:val="single" w:sz="8" w:space="0" w:color="auto"/>
              <w:left w:val="nil"/>
              <w:bottom w:val="single" w:sz="4" w:space="0" w:color="auto"/>
              <w:right w:val="nil"/>
            </w:tcBorders>
            <w:noWrap/>
            <w:vAlign w:val="bottom"/>
            <w:hideMark/>
          </w:tcPr>
          <w:p w14:paraId="44F947E3" w14:textId="77777777" w:rsidR="005A186C" w:rsidRPr="00B7203A" w:rsidRDefault="00F941B0" w:rsidP="00B7203A">
            <w:pPr>
              <w:spacing w:after="0" w:line="240" w:lineRule="auto"/>
              <w:jc w:val="center"/>
              <w:rPr>
                <w:rFonts w:ascii="Times New Roman" w:eastAsia="Times New Roman" w:hAnsi="Times New Roman" w:cs="Times New Roman"/>
                <w:b/>
                <w:i/>
                <w:iCs/>
                <w:color w:val="000000"/>
                <w:sz w:val="20"/>
                <w:szCs w:val="20"/>
              </w:rPr>
            </w:pPr>
            <w:r w:rsidRPr="00B7203A">
              <w:rPr>
                <w:rFonts w:ascii="Times New Roman" w:eastAsia="Times New Roman" w:hAnsi="Times New Roman" w:cs="Times New Roman"/>
                <w:b/>
                <w:i/>
                <w:iCs/>
                <w:color w:val="000000"/>
                <w:sz w:val="20"/>
                <w:szCs w:val="20"/>
              </w:rPr>
              <w:t>PH08HRC</w:t>
            </w:r>
          </w:p>
        </w:tc>
        <w:tc>
          <w:tcPr>
            <w:tcW w:w="492" w:type="pct"/>
            <w:tcBorders>
              <w:top w:val="single" w:sz="8" w:space="0" w:color="auto"/>
              <w:left w:val="nil"/>
              <w:bottom w:val="single" w:sz="4" w:space="0" w:color="auto"/>
              <w:right w:val="nil"/>
            </w:tcBorders>
            <w:noWrap/>
            <w:vAlign w:val="bottom"/>
            <w:hideMark/>
          </w:tcPr>
          <w:p w14:paraId="2A479A9F" w14:textId="77777777" w:rsidR="005A186C" w:rsidRPr="00B7203A" w:rsidRDefault="00F941B0" w:rsidP="00B7203A">
            <w:pPr>
              <w:spacing w:after="0" w:line="240" w:lineRule="auto"/>
              <w:ind w:hanging="315"/>
              <w:jc w:val="center"/>
              <w:rPr>
                <w:rFonts w:ascii="Times New Roman" w:eastAsia="Times New Roman" w:hAnsi="Times New Roman" w:cs="Times New Roman"/>
                <w:i/>
                <w:iCs/>
                <w:color w:val="000000"/>
                <w:sz w:val="20"/>
                <w:szCs w:val="20"/>
              </w:rPr>
            </w:pPr>
            <w:r w:rsidRPr="00B7203A">
              <w:rPr>
                <w:rFonts w:ascii="Times New Roman" w:eastAsia="Times New Roman" w:hAnsi="Times New Roman" w:cs="Times New Roman"/>
                <w:i/>
                <w:iCs/>
                <w:color w:val="000000"/>
                <w:sz w:val="20"/>
                <w:szCs w:val="20"/>
              </w:rPr>
              <w:t>PH09CSSO</w:t>
            </w:r>
          </w:p>
        </w:tc>
      </w:tr>
      <w:tr w:rsidR="00B7203A" w:rsidRPr="00B7203A" w14:paraId="1309FD50" w14:textId="77777777" w:rsidTr="00115A53">
        <w:trPr>
          <w:trHeight w:val="526"/>
        </w:trPr>
        <w:tc>
          <w:tcPr>
            <w:tcW w:w="535" w:type="pct"/>
            <w:tcBorders>
              <w:top w:val="nil"/>
              <w:left w:val="nil"/>
              <w:bottom w:val="nil"/>
              <w:right w:val="nil"/>
            </w:tcBorders>
            <w:noWrap/>
            <w:vAlign w:val="bottom"/>
            <w:hideMark/>
          </w:tcPr>
          <w:p w14:paraId="595FFE8B" w14:textId="77777777" w:rsidR="005A186C" w:rsidRPr="00B7203A" w:rsidRDefault="00F941B0" w:rsidP="00B7203A">
            <w:pPr>
              <w:spacing w:after="0" w:line="240" w:lineRule="auto"/>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PH01ASSE</w:t>
            </w:r>
          </w:p>
        </w:tc>
        <w:tc>
          <w:tcPr>
            <w:tcW w:w="501" w:type="pct"/>
            <w:tcBorders>
              <w:top w:val="nil"/>
              <w:left w:val="nil"/>
              <w:bottom w:val="nil"/>
              <w:right w:val="nil"/>
            </w:tcBorders>
            <w:noWrap/>
            <w:vAlign w:val="bottom"/>
            <w:hideMark/>
          </w:tcPr>
          <w:p w14:paraId="52B51261"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1</w:t>
            </w:r>
          </w:p>
        </w:tc>
        <w:tc>
          <w:tcPr>
            <w:tcW w:w="484" w:type="pct"/>
            <w:tcBorders>
              <w:top w:val="nil"/>
              <w:left w:val="nil"/>
              <w:bottom w:val="nil"/>
              <w:right w:val="nil"/>
            </w:tcBorders>
            <w:noWrap/>
            <w:vAlign w:val="bottom"/>
            <w:hideMark/>
          </w:tcPr>
          <w:p w14:paraId="078F050F" w14:textId="77777777" w:rsidR="005A186C" w:rsidRPr="00B7203A" w:rsidRDefault="005A186C" w:rsidP="00B7203A">
            <w:pPr>
              <w:spacing w:after="0" w:line="240" w:lineRule="auto"/>
              <w:jc w:val="right"/>
              <w:rPr>
                <w:rFonts w:ascii="Times New Roman" w:eastAsia="Times New Roman" w:hAnsi="Times New Roman" w:cs="Times New Roman"/>
                <w:color w:val="000000"/>
                <w:sz w:val="20"/>
                <w:szCs w:val="20"/>
              </w:rPr>
            </w:pPr>
          </w:p>
        </w:tc>
        <w:tc>
          <w:tcPr>
            <w:tcW w:w="437" w:type="pct"/>
            <w:tcBorders>
              <w:top w:val="nil"/>
              <w:left w:val="nil"/>
              <w:bottom w:val="nil"/>
              <w:right w:val="nil"/>
            </w:tcBorders>
            <w:noWrap/>
            <w:vAlign w:val="bottom"/>
            <w:hideMark/>
          </w:tcPr>
          <w:p w14:paraId="14C1C08E"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523" w:type="pct"/>
            <w:tcBorders>
              <w:top w:val="nil"/>
              <w:left w:val="nil"/>
              <w:bottom w:val="nil"/>
              <w:right w:val="nil"/>
            </w:tcBorders>
            <w:noWrap/>
            <w:vAlign w:val="bottom"/>
            <w:hideMark/>
          </w:tcPr>
          <w:p w14:paraId="6804D296"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80" w:type="pct"/>
            <w:tcBorders>
              <w:top w:val="nil"/>
              <w:left w:val="nil"/>
              <w:bottom w:val="nil"/>
              <w:right w:val="nil"/>
            </w:tcBorders>
            <w:noWrap/>
            <w:vAlign w:val="bottom"/>
            <w:hideMark/>
          </w:tcPr>
          <w:p w14:paraId="1C0FBDE1"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521" w:type="pct"/>
            <w:tcBorders>
              <w:top w:val="nil"/>
              <w:left w:val="nil"/>
              <w:bottom w:val="nil"/>
              <w:right w:val="nil"/>
            </w:tcBorders>
            <w:noWrap/>
            <w:vAlign w:val="bottom"/>
            <w:hideMark/>
          </w:tcPr>
          <w:p w14:paraId="22F41E1B"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531" w:type="pct"/>
            <w:tcBorders>
              <w:top w:val="nil"/>
              <w:left w:val="nil"/>
              <w:bottom w:val="nil"/>
              <w:right w:val="nil"/>
            </w:tcBorders>
            <w:noWrap/>
            <w:vAlign w:val="bottom"/>
            <w:hideMark/>
          </w:tcPr>
          <w:p w14:paraId="0A33C296"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96" w:type="pct"/>
            <w:tcBorders>
              <w:top w:val="nil"/>
              <w:left w:val="nil"/>
              <w:bottom w:val="nil"/>
              <w:right w:val="nil"/>
            </w:tcBorders>
            <w:noWrap/>
            <w:vAlign w:val="bottom"/>
            <w:hideMark/>
          </w:tcPr>
          <w:p w14:paraId="7EBCA09F"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92" w:type="pct"/>
            <w:tcBorders>
              <w:top w:val="nil"/>
              <w:left w:val="nil"/>
              <w:bottom w:val="nil"/>
              <w:right w:val="nil"/>
            </w:tcBorders>
            <w:noWrap/>
            <w:vAlign w:val="bottom"/>
            <w:hideMark/>
          </w:tcPr>
          <w:p w14:paraId="256AF371" w14:textId="77777777" w:rsidR="005A186C" w:rsidRPr="00B7203A" w:rsidRDefault="005A186C" w:rsidP="00B7203A">
            <w:pPr>
              <w:spacing w:after="0" w:line="240" w:lineRule="auto"/>
              <w:rPr>
                <w:rFonts w:ascii="Times New Roman" w:eastAsia="Times New Roman" w:hAnsi="Times New Roman" w:cs="Times New Roman"/>
                <w:sz w:val="20"/>
                <w:szCs w:val="20"/>
              </w:rPr>
            </w:pPr>
          </w:p>
        </w:tc>
      </w:tr>
      <w:tr w:rsidR="00B7203A" w:rsidRPr="00B7203A" w14:paraId="17D97760" w14:textId="77777777" w:rsidTr="00115A53">
        <w:trPr>
          <w:trHeight w:val="526"/>
        </w:trPr>
        <w:tc>
          <w:tcPr>
            <w:tcW w:w="535" w:type="pct"/>
            <w:tcBorders>
              <w:top w:val="nil"/>
              <w:left w:val="nil"/>
              <w:bottom w:val="nil"/>
              <w:right w:val="nil"/>
            </w:tcBorders>
            <w:noWrap/>
            <w:vAlign w:val="bottom"/>
            <w:hideMark/>
          </w:tcPr>
          <w:p w14:paraId="01478F94" w14:textId="77777777" w:rsidR="005A186C" w:rsidRPr="00B7203A" w:rsidRDefault="00F941B0" w:rsidP="00B7203A">
            <w:pPr>
              <w:spacing w:after="0" w:line="240" w:lineRule="auto"/>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PH02HH</w:t>
            </w:r>
          </w:p>
        </w:tc>
        <w:tc>
          <w:tcPr>
            <w:tcW w:w="501" w:type="pct"/>
            <w:tcBorders>
              <w:top w:val="nil"/>
              <w:left w:val="nil"/>
              <w:bottom w:val="nil"/>
              <w:right w:val="nil"/>
            </w:tcBorders>
            <w:noWrap/>
            <w:vAlign w:val="bottom"/>
            <w:hideMark/>
          </w:tcPr>
          <w:p w14:paraId="315BC602"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0.977781</w:t>
            </w:r>
          </w:p>
        </w:tc>
        <w:tc>
          <w:tcPr>
            <w:tcW w:w="484" w:type="pct"/>
            <w:tcBorders>
              <w:top w:val="nil"/>
              <w:left w:val="nil"/>
              <w:bottom w:val="nil"/>
              <w:right w:val="nil"/>
            </w:tcBorders>
            <w:noWrap/>
            <w:vAlign w:val="bottom"/>
            <w:hideMark/>
          </w:tcPr>
          <w:p w14:paraId="28C7F8C5"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1</w:t>
            </w:r>
          </w:p>
        </w:tc>
        <w:tc>
          <w:tcPr>
            <w:tcW w:w="437" w:type="pct"/>
            <w:tcBorders>
              <w:top w:val="nil"/>
              <w:left w:val="nil"/>
              <w:bottom w:val="nil"/>
              <w:right w:val="nil"/>
            </w:tcBorders>
            <w:noWrap/>
            <w:vAlign w:val="bottom"/>
            <w:hideMark/>
          </w:tcPr>
          <w:p w14:paraId="1A9F6BD5" w14:textId="77777777" w:rsidR="005A186C" w:rsidRPr="00B7203A" w:rsidRDefault="005A186C" w:rsidP="00B7203A">
            <w:pPr>
              <w:spacing w:after="0" w:line="240" w:lineRule="auto"/>
              <w:jc w:val="right"/>
              <w:rPr>
                <w:rFonts w:ascii="Times New Roman" w:eastAsia="Times New Roman" w:hAnsi="Times New Roman" w:cs="Times New Roman"/>
                <w:color w:val="000000"/>
                <w:sz w:val="20"/>
                <w:szCs w:val="20"/>
              </w:rPr>
            </w:pPr>
          </w:p>
        </w:tc>
        <w:tc>
          <w:tcPr>
            <w:tcW w:w="523" w:type="pct"/>
            <w:tcBorders>
              <w:top w:val="nil"/>
              <w:left w:val="nil"/>
              <w:bottom w:val="nil"/>
              <w:right w:val="nil"/>
            </w:tcBorders>
            <w:noWrap/>
            <w:vAlign w:val="bottom"/>
            <w:hideMark/>
          </w:tcPr>
          <w:p w14:paraId="70F8866E"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80" w:type="pct"/>
            <w:tcBorders>
              <w:top w:val="nil"/>
              <w:left w:val="nil"/>
              <w:bottom w:val="nil"/>
              <w:right w:val="nil"/>
            </w:tcBorders>
            <w:noWrap/>
            <w:vAlign w:val="bottom"/>
            <w:hideMark/>
          </w:tcPr>
          <w:p w14:paraId="094A2D6D"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521" w:type="pct"/>
            <w:tcBorders>
              <w:top w:val="nil"/>
              <w:left w:val="nil"/>
              <w:bottom w:val="nil"/>
              <w:right w:val="nil"/>
            </w:tcBorders>
            <w:noWrap/>
            <w:vAlign w:val="bottom"/>
            <w:hideMark/>
          </w:tcPr>
          <w:p w14:paraId="7DBD696A"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531" w:type="pct"/>
            <w:tcBorders>
              <w:top w:val="nil"/>
              <w:left w:val="nil"/>
              <w:bottom w:val="nil"/>
              <w:right w:val="nil"/>
            </w:tcBorders>
            <w:noWrap/>
            <w:vAlign w:val="bottom"/>
            <w:hideMark/>
          </w:tcPr>
          <w:p w14:paraId="6681F7E6"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96" w:type="pct"/>
            <w:tcBorders>
              <w:top w:val="nil"/>
              <w:left w:val="nil"/>
              <w:bottom w:val="nil"/>
              <w:right w:val="nil"/>
            </w:tcBorders>
            <w:noWrap/>
            <w:vAlign w:val="bottom"/>
            <w:hideMark/>
          </w:tcPr>
          <w:p w14:paraId="23101E14"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92" w:type="pct"/>
            <w:tcBorders>
              <w:top w:val="nil"/>
              <w:left w:val="nil"/>
              <w:bottom w:val="nil"/>
              <w:right w:val="nil"/>
            </w:tcBorders>
            <w:noWrap/>
            <w:vAlign w:val="bottom"/>
            <w:hideMark/>
          </w:tcPr>
          <w:p w14:paraId="3C5EB1D8" w14:textId="77777777" w:rsidR="005A186C" w:rsidRPr="00B7203A" w:rsidRDefault="005A186C" w:rsidP="00B7203A">
            <w:pPr>
              <w:spacing w:after="0" w:line="240" w:lineRule="auto"/>
              <w:rPr>
                <w:rFonts w:ascii="Times New Roman" w:eastAsia="Times New Roman" w:hAnsi="Times New Roman" w:cs="Times New Roman"/>
                <w:sz w:val="20"/>
                <w:szCs w:val="20"/>
              </w:rPr>
            </w:pPr>
          </w:p>
        </w:tc>
      </w:tr>
      <w:tr w:rsidR="00B7203A" w:rsidRPr="00B7203A" w14:paraId="2B822FEA" w14:textId="77777777" w:rsidTr="00115A53">
        <w:trPr>
          <w:trHeight w:val="526"/>
        </w:trPr>
        <w:tc>
          <w:tcPr>
            <w:tcW w:w="535" w:type="pct"/>
            <w:tcBorders>
              <w:top w:val="nil"/>
              <w:left w:val="nil"/>
              <w:bottom w:val="nil"/>
              <w:right w:val="nil"/>
            </w:tcBorders>
            <w:noWrap/>
            <w:vAlign w:val="bottom"/>
            <w:hideMark/>
          </w:tcPr>
          <w:p w14:paraId="0CC5516E" w14:textId="77777777" w:rsidR="005A186C" w:rsidRPr="00B7203A" w:rsidRDefault="00F941B0" w:rsidP="00B7203A">
            <w:pPr>
              <w:spacing w:after="0" w:line="240" w:lineRule="auto"/>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lastRenderedPageBreak/>
              <w:t>PH031SS</w:t>
            </w:r>
          </w:p>
        </w:tc>
        <w:tc>
          <w:tcPr>
            <w:tcW w:w="501" w:type="pct"/>
            <w:tcBorders>
              <w:top w:val="nil"/>
              <w:left w:val="nil"/>
              <w:bottom w:val="nil"/>
              <w:right w:val="nil"/>
            </w:tcBorders>
            <w:noWrap/>
            <w:vAlign w:val="bottom"/>
            <w:hideMark/>
          </w:tcPr>
          <w:p w14:paraId="08D19B3E"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-0.01779</w:t>
            </w:r>
          </w:p>
        </w:tc>
        <w:tc>
          <w:tcPr>
            <w:tcW w:w="484" w:type="pct"/>
            <w:tcBorders>
              <w:top w:val="nil"/>
              <w:left w:val="nil"/>
              <w:bottom w:val="nil"/>
              <w:right w:val="nil"/>
            </w:tcBorders>
            <w:noWrap/>
            <w:vAlign w:val="bottom"/>
            <w:hideMark/>
          </w:tcPr>
          <w:p w14:paraId="6C3D486D"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0.149948</w:t>
            </w:r>
          </w:p>
        </w:tc>
        <w:tc>
          <w:tcPr>
            <w:tcW w:w="437" w:type="pct"/>
            <w:tcBorders>
              <w:top w:val="nil"/>
              <w:left w:val="nil"/>
              <w:bottom w:val="nil"/>
              <w:right w:val="nil"/>
            </w:tcBorders>
            <w:noWrap/>
            <w:vAlign w:val="bottom"/>
            <w:hideMark/>
          </w:tcPr>
          <w:p w14:paraId="06107291"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1</w:t>
            </w:r>
          </w:p>
        </w:tc>
        <w:tc>
          <w:tcPr>
            <w:tcW w:w="523" w:type="pct"/>
            <w:tcBorders>
              <w:top w:val="nil"/>
              <w:left w:val="nil"/>
              <w:bottom w:val="nil"/>
              <w:right w:val="nil"/>
            </w:tcBorders>
            <w:noWrap/>
            <w:vAlign w:val="bottom"/>
            <w:hideMark/>
          </w:tcPr>
          <w:p w14:paraId="4007C69E" w14:textId="77777777" w:rsidR="005A186C" w:rsidRPr="00B7203A" w:rsidRDefault="005A186C" w:rsidP="00B7203A">
            <w:pPr>
              <w:spacing w:after="0" w:line="240" w:lineRule="auto"/>
              <w:jc w:val="right"/>
              <w:rPr>
                <w:rFonts w:ascii="Times New Roman" w:eastAsia="Times New Roman" w:hAnsi="Times New Roman" w:cs="Times New Roman"/>
                <w:color w:val="000000"/>
                <w:sz w:val="20"/>
                <w:szCs w:val="20"/>
              </w:rPr>
            </w:pPr>
          </w:p>
        </w:tc>
        <w:tc>
          <w:tcPr>
            <w:tcW w:w="480" w:type="pct"/>
            <w:tcBorders>
              <w:top w:val="nil"/>
              <w:left w:val="nil"/>
              <w:bottom w:val="nil"/>
              <w:right w:val="nil"/>
            </w:tcBorders>
            <w:noWrap/>
            <w:vAlign w:val="bottom"/>
            <w:hideMark/>
          </w:tcPr>
          <w:p w14:paraId="055B801B"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521" w:type="pct"/>
            <w:tcBorders>
              <w:top w:val="nil"/>
              <w:left w:val="nil"/>
              <w:bottom w:val="nil"/>
              <w:right w:val="nil"/>
            </w:tcBorders>
            <w:noWrap/>
            <w:vAlign w:val="bottom"/>
            <w:hideMark/>
          </w:tcPr>
          <w:p w14:paraId="224E4415"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531" w:type="pct"/>
            <w:tcBorders>
              <w:top w:val="nil"/>
              <w:left w:val="nil"/>
              <w:bottom w:val="nil"/>
              <w:right w:val="nil"/>
            </w:tcBorders>
            <w:noWrap/>
            <w:vAlign w:val="bottom"/>
            <w:hideMark/>
          </w:tcPr>
          <w:p w14:paraId="2F969CEA"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96" w:type="pct"/>
            <w:tcBorders>
              <w:top w:val="nil"/>
              <w:left w:val="nil"/>
              <w:bottom w:val="nil"/>
              <w:right w:val="nil"/>
            </w:tcBorders>
            <w:noWrap/>
            <w:vAlign w:val="bottom"/>
            <w:hideMark/>
          </w:tcPr>
          <w:p w14:paraId="400E9B31"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92" w:type="pct"/>
            <w:tcBorders>
              <w:top w:val="nil"/>
              <w:left w:val="nil"/>
              <w:bottom w:val="nil"/>
              <w:right w:val="nil"/>
            </w:tcBorders>
            <w:noWrap/>
            <w:vAlign w:val="bottom"/>
            <w:hideMark/>
          </w:tcPr>
          <w:p w14:paraId="0B648D02" w14:textId="77777777" w:rsidR="005A186C" w:rsidRPr="00B7203A" w:rsidRDefault="005A186C" w:rsidP="00B7203A">
            <w:pPr>
              <w:spacing w:after="0" w:line="240" w:lineRule="auto"/>
              <w:rPr>
                <w:rFonts w:ascii="Times New Roman" w:eastAsia="Times New Roman" w:hAnsi="Times New Roman" w:cs="Times New Roman"/>
                <w:sz w:val="20"/>
                <w:szCs w:val="20"/>
              </w:rPr>
            </w:pPr>
          </w:p>
        </w:tc>
      </w:tr>
      <w:tr w:rsidR="00B7203A" w:rsidRPr="00B7203A" w14:paraId="639AD656" w14:textId="77777777" w:rsidTr="00115A53">
        <w:trPr>
          <w:trHeight w:val="526"/>
        </w:trPr>
        <w:tc>
          <w:tcPr>
            <w:tcW w:w="535" w:type="pct"/>
            <w:tcBorders>
              <w:top w:val="nil"/>
              <w:left w:val="nil"/>
              <w:bottom w:val="nil"/>
              <w:right w:val="nil"/>
            </w:tcBorders>
            <w:noWrap/>
            <w:vAlign w:val="bottom"/>
            <w:hideMark/>
          </w:tcPr>
          <w:p w14:paraId="3C74E199" w14:textId="77777777" w:rsidR="005A186C" w:rsidRPr="00B7203A" w:rsidRDefault="00F941B0" w:rsidP="00B7203A">
            <w:pPr>
              <w:spacing w:after="0" w:line="240" w:lineRule="auto"/>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PH04CSSN</w:t>
            </w:r>
          </w:p>
        </w:tc>
        <w:tc>
          <w:tcPr>
            <w:tcW w:w="501" w:type="pct"/>
            <w:tcBorders>
              <w:top w:val="nil"/>
              <w:left w:val="nil"/>
              <w:bottom w:val="nil"/>
              <w:right w:val="nil"/>
            </w:tcBorders>
            <w:noWrap/>
            <w:vAlign w:val="bottom"/>
            <w:hideMark/>
          </w:tcPr>
          <w:p w14:paraId="6AFF9042"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0.93033</w:t>
            </w:r>
          </w:p>
        </w:tc>
        <w:tc>
          <w:tcPr>
            <w:tcW w:w="484" w:type="pct"/>
            <w:tcBorders>
              <w:top w:val="nil"/>
              <w:left w:val="nil"/>
              <w:bottom w:val="nil"/>
              <w:right w:val="nil"/>
            </w:tcBorders>
            <w:noWrap/>
            <w:vAlign w:val="bottom"/>
            <w:hideMark/>
          </w:tcPr>
          <w:p w14:paraId="694E2078"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0.974262</w:t>
            </w:r>
          </w:p>
        </w:tc>
        <w:tc>
          <w:tcPr>
            <w:tcW w:w="437" w:type="pct"/>
            <w:tcBorders>
              <w:top w:val="nil"/>
              <w:left w:val="nil"/>
              <w:bottom w:val="nil"/>
              <w:right w:val="nil"/>
            </w:tcBorders>
            <w:noWrap/>
            <w:vAlign w:val="bottom"/>
            <w:hideMark/>
          </w:tcPr>
          <w:p w14:paraId="75409C64"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0.155304</w:t>
            </w:r>
          </w:p>
        </w:tc>
        <w:tc>
          <w:tcPr>
            <w:tcW w:w="523" w:type="pct"/>
            <w:tcBorders>
              <w:top w:val="nil"/>
              <w:left w:val="nil"/>
              <w:bottom w:val="nil"/>
              <w:right w:val="nil"/>
            </w:tcBorders>
            <w:noWrap/>
            <w:vAlign w:val="bottom"/>
            <w:hideMark/>
          </w:tcPr>
          <w:p w14:paraId="4ABCB1BF"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1</w:t>
            </w:r>
          </w:p>
        </w:tc>
        <w:tc>
          <w:tcPr>
            <w:tcW w:w="480" w:type="pct"/>
            <w:tcBorders>
              <w:top w:val="nil"/>
              <w:left w:val="nil"/>
              <w:bottom w:val="nil"/>
              <w:right w:val="nil"/>
            </w:tcBorders>
            <w:noWrap/>
            <w:vAlign w:val="bottom"/>
            <w:hideMark/>
          </w:tcPr>
          <w:p w14:paraId="43FBCB52" w14:textId="77777777" w:rsidR="005A186C" w:rsidRPr="00B7203A" w:rsidRDefault="005A186C" w:rsidP="00B7203A">
            <w:pPr>
              <w:spacing w:after="0" w:line="240" w:lineRule="auto"/>
              <w:jc w:val="right"/>
              <w:rPr>
                <w:rFonts w:ascii="Times New Roman" w:eastAsia="Times New Roman" w:hAnsi="Times New Roman" w:cs="Times New Roman"/>
                <w:color w:val="000000"/>
                <w:sz w:val="20"/>
                <w:szCs w:val="20"/>
              </w:rPr>
            </w:pPr>
          </w:p>
        </w:tc>
        <w:tc>
          <w:tcPr>
            <w:tcW w:w="521" w:type="pct"/>
            <w:tcBorders>
              <w:top w:val="nil"/>
              <w:left w:val="nil"/>
              <w:bottom w:val="nil"/>
              <w:right w:val="nil"/>
            </w:tcBorders>
            <w:noWrap/>
            <w:vAlign w:val="bottom"/>
            <w:hideMark/>
          </w:tcPr>
          <w:p w14:paraId="2DB3E7F3"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531" w:type="pct"/>
            <w:tcBorders>
              <w:top w:val="nil"/>
              <w:left w:val="nil"/>
              <w:bottom w:val="nil"/>
              <w:right w:val="nil"/>
            </w:tcBorders>
            <w:noWrap/>
            <w:vAlign w:val="bottom"/>
            <w:hideMark/>
          </w:tcPr>
          <w:p w14:paraId="69D622FA"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96" w:type="pct"/>
            <w:tcBorders>
              <w:top w:val="nil"/>
              <w:left w:val="nil"/>
              <w:bottom w:val="nil"/>
              <w:right w:val="nil"/>
            </w:tcBorders>
            <w:noWrap/>
            <w:vAlign w:val="bottom"/>
            <w:hideMark/>
          </w:tcPr>
          <w:p w14:paraId="5708B885"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92" w:type="pct"/>
            <w:tcBorders>
              <w:top w:val="nil"/>
              <w:left w:val="nil"/>
              <w:bottom w:val="nil"/>
              <w:right w:val="nil"/>
            </w:tcBorders>
            <w:noWrap/>
            <w:vAlign w:val="bottom"/>
            <w:hideMark/>
          </w:tcPr>
          <w:p w14:paraId="049BAF25" w14:textId="77777777" w:rsidR="005A186C" w:rsidRPr="00B7203A" w:rsidRDefault="005A186C" w:rsidP="00B7203A">
            <w:pPr>
              <w:spacing w:after="0" w:line="240" w:lineRule="auto"/>
              <w:rPr>
                <w:rFonts w:ascii="Times New Roman" w:eastAsia="Times New Roman" w:hAnsi="Times New Roman" w:cs="Times New Roman"/>
                <w:sz w:val="20"/>
                <w:szCs w:val="20"/>
              </w:rPr>
            </w:pPr>
          </w:p>
        </w:tc>
      </w:tr>
      <w:tr w:rsidR="00B7203A" w:rsidRPr="00B7203A" w14:paraId="0FA39BC6" w14:textId="77777777" w:rsidTr="00115A53">
        <w:trPr>
          <w:trHeight w:val="526"/>
        </w:trPr>
        <w:tc>
          <w:tcPr>
            <w:tcW w:w="535" w:type="pct"/>
            <w:tcBorders>
              <w:top w:val="nil"/>
              <w:left w:val="nil"/>
              <w:bottom w:val="nil"/>
              <w:right w:val="nil"/>
            </w:tcBorders>
            <w:noWrap/>
            <w:vAlign w:val="bottom"/>
            <w:hideMark/>
          </w:tcPr>
          <w:p w14:paraId="461D8E6A" w14:textId="77777777" w:rsidR="005A186C" w:rsidRPr="00B7203A" w:rsidRDefault="00F941B0" w:rsidP="00B7203A">
            <w:pPr>
              <w:spacing w:after="0" w:line="240" w:lineRule="auto"/>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PH05CIA</w:t>
            </w:r>
          </w:p>
        </w:tc>
        <w:tc>
          <w:tcPr>
            <w:tcW w:w="501" w:type="pct"/>
            <w:tcBorders>
              <w:top w:val="nil"/>
              <w:left w:val="nil"/>
              <w:bottom w:val="nil"/>
              <w:right w:val="nil"/>
            </w:tcBorders>
            <w:noWrap/>
            <w:vAlign w:val="bottom"/>
            <w:hideMark/>
          </w:tcPr>
          <w:p w14:paraId="76ED44EF"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0.07649</w:t>
            </w:r>
          </w:p>
        </w:tc>
        <w:tc>
          <w:tcPr>
            <w:tcW w:w="484" w:type="pct"/>
            <w:tcBorders>
              <w:top w:val="nil"/>
              <w:left w:val="nil"/>
              <w:bottom w:val="nil"/>
              <w:right w:val="nil"/>
            </w:tcBorders>
            <w:noWrap/>
            <w:vAlign w:val="bottom"/>
            <w:hideMark/>
          </w:tcPr>
          <w:p w14:paraId="077A6928"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0.023392</w:t>
            </w:r>
          </w:p>
        </w:tc>
        <w:tc>
          <w:tcPr>
            <w:tcW w:w="437" w:type="pct"/>
            <w:tcBorders>
              <w:top w:val="nil"/>
              <w:left w:val="nil"/>
              <w:bottom w:val="nil"/>
              <w:right w:val="nil"/>
            </w:tcBorders>
            <w:noWrap/>
            <w:vAlign w:val="bottom"/>
            <w:hideMark/>
          </w:tcPr>
          <w:p w14:paraId="7E20DF65"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0.284972</w:t>
            </w:r>
          </w:p>
        </w:tc>
        <w:tc>
          <w:tcPr>
            <w:tcW w:w="523" w:type="pct"/>
            <w:tcBorders>
              <w:top w:val="nil"/>
              <w:left w:val="nil"/>
              <w:bottom w:val="nil"/>
              <w:right w:val="nil"/>
            </w:tcBorders>
            <w:noWrap/>
            <w:vAlign w:val="bottom"/>
            <w:hideMark/>
          </w:tcPr>
          <w:p w14:paraId="4E272AEA"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-0.03248</w:t>
            </w:r>
          </w:p>
        </w:tc>
        <w:tc>
          <w:tcPr>
            <w:tcW w:w="480" w:type="pct"/>
            <w:tcBorders>
              <w:top w:val="nil"/>
              <w:left w:val="nil"/>
              <w:bottom w:val="nil"/>
              <w:right w:val="nil"/>
            </w:tcBorders>
            <w:noWrap/>
            <w:vAlign w:val="bottom"/>
            <w:hideMark/>
          </w:tcPr>
          <w:p w14:paraId="4FA62B59"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1</w:t>
            </w:r>
          </w:p>
        </w:tc>
        <w:tc>
          <w:tcPr>
            <w:tcW w:w="521" w:type="pct"/>
            <w:tcBorders>
              <w:top w:val="nil"/>
              <w:left w:val="nil"/>
              <w:bottom w:val="nil"/>
              <w:right w:val="nil"/>
            </w:tcBorders>
            <w:noWrap/>
            <w:vAlign w:val="bottom"/>
            <w:hideMark/>
          </w:tcPr>
          <w:p w14:paraId="34D9D517" w14:textId="77777777" w:rsidR="005A186C" w:rsidRPr="00B7203A" w:rsidRDefault="005A186C" w:rsidP="00B7203A">
            <w:pPr>
              <w:spacing w:after="0" w:line="240" w:lineRule="auto"/>
              <w:jc w:val="right"/>
              <w:rPr>
                <w:rFonts w:ascii="Times New Roman" w:eastAsia="Times New Roman" w:hAnsi="Times New Roman" w:cs="Times New Roman"/>
                <w:color w:val="000000"/>
                <w:sz w:val="20"/>
                <w:szCs w:val="20"/>
              </w:rPr>
            </w:pPr>
          </w:p>
        </w:tc>
        <w:tc>
          <w:tcPr>
            <w:tcW w:w="531" w:type="pct"/>
            <w:tcBorders>
              <w:top w:val="nil"/>
              <w:left w:val="nil"/>
              <w:bottom w:val="nil"/>
              <w:right w:val="nil"/>
            </w:tcBorders>
            <w:noWrap/>
            <w:vAlign w:val="bottom"/>
            <w:hideMark/>
          </w:tcPr>
          <w:p w14:paraId="23D0B271"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96" w:type="pct"/>
            <w:tcBorders>
              <w:top w:val="nil"/>
              <w:left w:val="nil"/>
              <w:bottom w:val="nil"/>
              <w:right w:val="nil"/>
            </w:tcBorders>
            <w:noWrap/>
            <w:vAlign w:val="bottom"/>
            <w:hideMark/>
          </w:tcPr>
          <w:p w14:paraId="185A5FC9"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92" w:type="pct"/>
            <w:tcBorders>
              <w:top w:val="nil"/>
              <w:left w:val="nil"/>
              <w:bottom w:val="nil"/>
              <w:right w:val="nil"/>
            </w:tcBorders>
            <w:noWrap/>
            <w:vAlign w:val="bottom"/>
            <w:hideMark/>
          </w:tcPr>
          <w:p w14:paraId="5E19677A" w14:textId="77777777" w:rsidR="005A186C" w:rsidRPr="00B7203A" w:rsidRDefault="005A186C" w:rsidP="00B7203A">
            <w:pPr>
              <w:spacing w:after="0" w:line="240" w:lineRule="auto"/>
              <w:rPr>
                <w:rFonts w:ascii="Times New Roman" w:eastAsia="Times New Roman" w:hAnsi="Times New Roman" w:cs="Times New Roman"/>
                <w:sz w:val="20"/>
                <w:szCs w:val="20"/>
              </w:rPr>
            </w:pPr>
          </w:p>
        </w:tc>
      </w:tr>
      <w:tr w:rsidR="00B7203A" w:rsidRPr="00B7203A" w14:paraId="37BDEA70" w14:textId="77777777" w:rsidTr="00115A53">
        <w:trPr>
          <w:trHeight w:val="526"/>
        </w:trPr>
        <w:tc>
          <w:tcPr>
            <w:tcW w:w="535" w:type="pct"/>
            <w:tcBorders>
              <w:top w:val="nil"/>
              <w:left w:val="nil"/>
              <w:bottom w:val="nil"/>
              <w:right w:val="nil"/>
            </w:tcBorders>
            <w:noWrap/>
            <w:vAlign w:val="bottom"/>
            <w:hideMark/>
          </w:tcPr>
          <w:p w14:paraId="129BB65A" w14:textId="77777777" w:rsidR="005A186C" w:rsidRPr="00B7203A" w:rsidRDefault="00F941B0" w:rsidP="00B7203A">
            <w:pPr>
              <w:spacing w:after="0" w:line="240" w:lineRule="auto"/>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PH06GGSS</w:t>
            </w:r>
          </w:p>
        </w:tc>
        <w:tc>
          <w:tcPr>
            <w:tcW w:w="501" w:type="pct"/>
            <w:tcBorders>
              <w:top w:val="nil"/>
              <w:left w:val="nil"/>
              <w:bottom w:val="nil"/>
              <w:right w:val="nil"/>
            </w:tcBorders>
            <w:noWrap/>
            <w:vAlign w:val="bottom"/>
            <w:hideMark/>
          </w:tcPr>
          <w:p w14:paraId="7AAF4FBE"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0.305114</w:t>
            </w:r>
          </w:p>
        </w:tc>
        <w:tc>
          <w:tcPr>
            <w:tcW w:w="484" w:type="pct"/>
            <w:tcBorders>
              <w:top w:val="nil"/>
              <w:left w:val="nil"/>
              <w:bottom w:val="nil"/>
              <w:right w:val="nil"/>
            </w:tcBorders>
            <w:noWrap/>
            <w:vAlign w:val="bottom"/>
            <w:hideMark/>
          </w:tcPr>
          <w:p w14:paraId="32931CF1"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0.49787</w:t>
            </w:r>
          </w:p>
        </w:tc>
        <w:tc>
          <w:tcPr>
            <w:tcW w:w="437" w:type="pct"/>
            <w:tcBorders>
              <w:top w:val="nil"/>
              <w:left w:val="nil"/>
              <w:bottom w:val="nil"/>
              <w:right w:val="nil"/>
            </w:tcBorders>
            <w:noWrap/>
            <w:vAlign w:val="bottom"/>
            <w:hideMark/>
          </w:tcPr>
          <w:p w14:paraId="50CA1933"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0.759527</w:t>
            </w:r>
          </w:p>
        </w:tc>
        <w:tc>
          <w:tcPr>
            <w:tcW w:w="523" w:type="pct"/>
            <w:tcBorders>
              <w:top w:val="nil"/>
              <w:left w:val="nil"/>
              <w:bottom w:val="nil"/>
              <w:right w:val="nil"/>
            </w:tcBorders>
            <w:noWrap/>
            <w:vAlign w:val="bottom"/>
            <w:hideMark/>
          </w:tcPr>
          <w:p w14:paraId="74359696"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0.579855</w:t>
            </w:r>
          </w:p>
        </w:tc>
        <w:tc>
          <w:tcPr>
            <w:tcW w:w="480" w:type="pct"/>
            <w:tcBorders>
              <w:top w:val="nil"/>
              <w:left w:val="nil"/>
              <w:bottom w:val="nil"/>
              <w:right w:val="nil"/>
            </w:tcBorders>
            <w:noWrap/>
            <w:vAlign w:val="bottom"/>
            <w:hideMark/>
          </w:tcPr>
          <w:p w14:paraId="46DEE942"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-0.18796</w:t>
            </w:r>
          </w:p>
        </w:tc>
        <w:tc>
          <w:tcPr>
            <w:tcW w:w="521" w:type="pct"/>
            <w:tcBorders>
              <w:top w:val="nil"/>
              <w:left w:val="nil"/>
              <w:bottom w:val="nil"/>
              <w:right w:val="nil"/>
            </w:tcBorders>
            <w:noWrap/>
            <w:vAlign w:val="bottom"/>
            <w:hideMark/>
          </w:tcPr>
          <w:p w14:paraId="70A7710D"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1</w:t>
            </w:r>
          </w:p>
        </w:tc>
        <w:tc>
          <w:tcPr>
            <w:tcW w:w="531" w:type="pct"/>
            <w:tcBorders>
              <w:top w:val="nil"/>
              <w:left w:val="nil"/>
              <w:bottom w:val="nil"/>
              <w:right w:val="nil"/>
            </w:tcBorders>
            <w:noWrap/>
            <w:vAlign w:val="bottom"/>
            <w:hideMark/>
          </w:tcPr>
          <w:p w14:paraId="62A8E506" w14:textId="77777777" w:rsidR="005A186C" w:rsidRPr="00B7203A" w:rsidRDefault="005A186C" w:rsidP="00B7203A">
            <w:pPr>
              <w:spacing w:after="0" w:line="240" w:lineRule="auto"/>
              <w:jc w:val="right"/>
              <w:rPr>
                <w:rFonts w:ascii="Times New Roman" w:eastAsia="Times New Roman" w:hAnsi="Times New Roman" w:cs="Times New Roman"/>
                <w:color w:val="000000"/>
                <w:sz w:val="20"/>
                <w:szCs w:val="20"/>
              </w:rPr>
            </w:pPr>
          </w:p>
        </w:tc>
        <w:tc>
          <w:tcPr>
            <w:tcW w:w="496" w:type="pct"/>
            <w:tcBorders>
              <w:top w:val="nil"/>
              <w:left w:val="nil"/>
              <w:bottom w:val="nil"/>
              <w:right w:val="nil"/>
            </w:tcBorders>
            <w:noWrap/>
            <w:vAlign w:val="bottom"/>
            <w:hideMark/>
          </w:tcPr>
          <w:p w14:paraId="04670734"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92" w:type="pct"/>
            <w:tcBorders>
              <w:top w:val="nil"/>
              <w:left w:val="nil"/>
              <w:bottom w:val="nil"/>
              <w:right w:val="nil"/>
            </w:tcBorders>
            <w:noWrap/>
            <w:vAlign w:val="bottom"/>
            <w:hideMark/>
          </w:tcPr>
          <w:p w14:paraId="7F8BF834" w14:textId="77777777" w:rsidR="005A186C" w:rsidRPr="00B7203A" w:rsidRDefault="005A186C" w:rsidP="00B7203A">
            <w:pPr>
              <w:spacing w:after="0" w:line="240" w:lineRule="auto"/>
              <w:rPr>
                <w:rFonts w:ascii="Times New Roman" w:eastAsia="Times New Roman" w:hAnsi="Times New Roman" w:cs="Times New Roman"/>
                <w:sz w:val="20"/>
                <w:szCs w:val="20"/>
              </w:rPr>
            </w:pPr>
          </w:p>
        </w:tc>
      </w:tr>
      <w:tr w:rsidR="00B7203A" w:rsidRPr="00B7203A" w14:paraId="724AE7EA" w14:textId="77777777" w:rsidTr="00115A53">
        <w:trPr>
          <w:trHeight w:val="526"/>
        </w:trPr>
        <w:tc>
          <w:tcPr>
            <w:tcW w:w="535" w:type="pct"/>
            <w:tcBorders>
              <w:top w:val="nil"/>
              <w:left w:val="nil"/>
              <w:bottom w:val="nil"/>
              <w:right w:val="nil"/>
            </w:tcBorders>
            <w:noWrap/>
            <w:vAlign w:val="bottom"/>
            <w:hideMark/>
          </w:tcPr>
          <w:p w14:paraId="0BD794CC" w14:textId="77777777" w:rsidR="005A186C" w:rsidRPr="00B7203A" w:rsidRDefault="00F941B0" w:rsidP="00B7203A">
            <w:pPr>
              <w:spacing w:after="0" w:line="240" w:lineRule="auto"/>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PH07GCSS</w:t>
            </w:r>
          </w:p>
        </w:tc>
        <w:tc>
          <w:tcPr>
            <w:tcW w:w="501" w:type="pct"/>
            <w:tcBorders>
              <w:top w:val="nil"/>
              <w:left w:val="nil"/>
              <w:bottom w:val="nil"/>
              <w:right w:val="nil"/>
            </w:tcBorders>
            <w:noWrap/>
            <w:vAlign w:val="bottom"/>
            <w:hideMark/>
          </w:tcPr>
          <w:p w14:paraId="6873FBDF"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0.306555</w:t>
            </w:r>
          </w:p>
        </w:tc>
        <w:tc>
          <w:tcPr>
            <w:tcW w:w="484" w:type="pct"/>
            <w:tcBorders>
              <w:top w:val="nil"/>
              <w:left w:val="nil"/>
              <w:bottom w:val="nil"/>
              <w:right w:val="nil"/>
            </w:tcBorders>
            <w:noWrap/>
            <w:vAlign w:val="bottom"/>
            <w:hideMark/>
          </w:tcPr>
          <w:p w14:paraId="449288D5"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0.488595</w:t>
            </w:r>
          </w:p>
        </w:tc>
        <w:tc>
          <w:tcPr>
            <w:tcW w:w="437" w:type="pct"/>
            <w:tcBorders>
              <w:top w:val="nil"/>
              <w:left w:val="nil"/>
              <w:bottom w:val="nil"/>
              <w:right w:val="nil"/>
            </w:tcBorders>
            <w:noWrap/>
            <w:vAlign w:val="bottom"/>
            <w:hideMark/>
          </w:tcPr>
          <w:p w14:paraId="44981FA8"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0.683649</w:t>
            </w:r>
          </w:p>
        </w:tc>
        <w:tc>
          <w:tcPr>
            <w:tcW w:w="523" w:type="pct"/>
            <w:tcBorders>
              <w:top w:val="nil"/>
              <w:left w:val="nil"/>
              <w:bottom w:val="nil"/>
              <w:right w:val="nil"/>
            </w:tcBorders>
            <w:noWrap/>
            <w:vAlign w:val="bottom"/>
            <w:hideMark/>
          </w:tcPr>
          <w:p w14:paraId="1B03466D"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0.61136</w:t>
            </w:r>
          </w:p>
        </w:tc>
        <w:tc>
          <w:tcPr>
            <w:tcW w:w="480" w:type="pct"/>
            <w:tcBorders>
              <w:top w:val="nil"/>
              <w:left w:val="nil"/>
              <w:bottom w:val="nil"/>
              <w:right w:val="nil"/>
            </w:tcBorders>
            <w:noWrap/>
            <w:vAlign w:val="bottom"/>
            <w:hideMark/>
          </w:tcPr>
          <w:p w14:paraId="67B187A1"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-0.0746</w:t>
            </w:r>
          </w:p>
        </w:tc>
        <w:tc>
          <w:tcPr>
            <w:tcW w:w="521" w:type="pct"/>
            <w:tcBorders>
              <w:top w:val="nil"/>
              <w:left w:val="nil"/>
              <w:bottom w:val="nil"/>
              <w:right w:val="nil"/>
            </w:tcBorders>
            <w:noWrap/>
            <w:vAlign w:val="bottom"/>
            <w:hideMark/>
          </w:tcPr>
          <w:p w14:paraId="20AD28FF"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0.95916</w:t>
            </w:r>
          </w:p>
        </w:tc>
        <w:tc>
          <w:tcPr>
            <w:tcW w:w="531" w:type="pct"/>
            <w:tcBorders>
              <w:top w:val="nil"/>
              <w:left w:val="nil"/>
              <w:bottom w:val="nil"/>
              <w:right w:val="nil"/>
            </w:tcBorders>
            <w:noWrap/>
            <w:vAlign w:val="bottom"/>
            <w:hideMark/>
          </w:tcPr>
          <w:p w14:paraId="2E0A7BA1"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1</w:t>
            </w:r>
          </w:p>
        </w:tc>
        <w:tc>
          <w:tcPr>
            <w:tcW w:w="496" w:type="pct"/>
            <w:tcBorders>
              <w:top w:val="nil"/>
              <w:left w:val="nil"/>
              <w:bottom w:val="nil"/>
              <w:right w:val="nil"/>
            </w:tcBorders>
            <w:noWrap/>
            <w:vAlign w:val="bottom"/>
            <w:hideMark/>
          </w:tcPr>
          <w:p w14:paraId="6335A3C8" w14:textId="77777777" w:rsidR="005A186C" w:rsidRPr="00B7203A" w:rsidRDefault="005A186C" w:rsidP="00B7203A">
            <w:pPr>
              <w:spacing w:after="0" w:line="240" w:lineRule="auto"/>
              <w:jc w:val="right"/>
              <w:rPr>
                <w:rFonts w:ascii="Times New Roman" w:eastAsia="Times New Roman" w:hAnsi="Times New Roman" w:cs="Times New Roman"/>
                <w:color w:val="000000"/>
                <w:sz w:val="20"/>
                <w:szCs w:val="20"/>
              </w:rPr>
            </w:pPr>
          </w:p>
        </w:tc>
        <w:tc>
          <w:tcPr>
            <w:tcW w:w="492" w:type="pct"/>
            <w:tcBorders>
              <w:top w:val="nil"/>
              <w:left w:val="nil"/>
              <w:bottom w:val="nil"/>
              <w:right w:val="nil"/>
            </w:tcBorders>
            <w:noWrap/>
            <w:vAlign w:val="bottom"/>
            <w:hideMark/>
          </w:tcPr>
          <w:p w14:paraId="1BD916C3" w14:textId="77777777" w:rsidR="005A186C" w:rsidRPr="00B7203A" w:rsidRDefault="005A186C" w:rsidP="00B7203A">
            <w:pPr>
              <w:spacing w:after="0" w:line="240" w:lineRule="auto"/>
              <w:rPr>
                <w:rFonts w:ascii="Times New Roman" w:eastAsia="Times New Roman" w:hAnsi="Times New Roman" w:cs="Times New Roman"/>
                <w:sz w:val="20"/>
                <w:szCs w:val="20"/>
              </w:rPr>
            </w:pPr>
          </w:p>
        </w:tc>
      </w:tr>
      <w:tr w:rsidR="00B7203A" w:rsidRPr="00B7203A" w14:paraId="199607E2" w14:textId="77777777" w:rsidTr="00115A53">
        <w:trPr>
          <w:trHeight w:val="526"/>
        </w:trPr>
        <w:tc>
          <w:tcPr>
            <w:tcW w:w="535" w:type="pct"/>
            <w:tcBorders>
              <w:top w:val="nil"/>
              <w:left w:val="nil"/>
              <w:bottom w:val="nil"/>
              <w:right w:val="nil"/>
            </w:tcBorders>
            <w:noWrap/>
            <w:vAlign w:val="bottom"/>
            <w:hideMark/>
          </w:tcPr>
          <w:p w14:paraId="3EAFFB3D" w14:textId="77777777" w:rsidR="005A186C" w:rsidRPr="00B7203A" w:rsidRDefault="00F941B0" w:rsidP="00B7203A">
            <w:pPr>
              <w:spacing w:after="0" w:line="240" w:lineRule="auto"/>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PH08HRC</w:t>
            </w:r>
          </w:p>
        </w:tc>
        <w:tc>
          <w:tcPr>
            <w:tcW w:w="501" w:type="pct"/>
            <w:tcBorders>
              <w:top w:val="nil"/>
              <w:left w:val="nil"/>
              <w:bottom w:val="nil"/>
              <w:right w:val="nil"/>
            </w:tcBorders>
            <w:noWrap/>
            <w:vAlign w:val="bottom"/>
            <w:hideMark/>
          </w:tcPr>
          <w:p w14:paraId="00461720"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0.9464</w:t>
            </w:r>
          </w:p>
        </w:tc>
        <w:tc>
          <w:tcPr>
            <w:tcW w:w="484" w:type="pct"/>
            <w:tcBorders>
              <w:top w:val="nil"/>
              <w:left w:val="nil"/>
              <w:bottom w:val="nil"/>
              <w:right w:val="nil"/>
            </w:tcBorders>
            <w:noWrap/>
            <w:vAlign w:val="bottom"/>
            <w:hideMark/>
          </w:tcPr>
          <w:p w14:paraId="1BF1D070"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0.887413</w:t>
            </w:r>
          </w:p>
        </w:tc>
        <w:tc>
          <w:tcPr>
            <w:tcW w:w="437" w:type="pct"/>
            <w:tcBorders>
              <w:top w:val="nil"/>
              <w:left w:val="nil"/>
              <w:bottom w:val="nil"/>
              <w:right w:val="nil"/>
            </w:tcBorders>
            <w:noWrap/>
            <w:vAlign w:val="bottom"/>
            <w:hideMark/>
          </w:tcPr>
          <w:p w14:paraId="26D619CE"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-0.30369</w:t>
            </w:r>
          </w:p>
        </w:tc>
        <w:tc>
          <w:tcPr>
            <w:tcW w:w="523" w:type="pct"/>
            <w:tcBorders>
              <w:top w:val="nil"/>
              <w:left w:val="nil"/>
              <w:bottom w:val="nil"/>
              <w:right w:val="nil"/>
            </w:tcBorders>
            <w:noWrap/>
            <w:vAlign w:val="bottom"/>
            <w:hideMark/>
          </w:tcPr>
          <w:p w14:paraId="7EA8AFC6"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0.837454</w:t>
            </w:r>
          </w:p>
        </w:tc>
        <w:tc>
          <w:tcPr>
            <w:tcW w:w="480" w:type="pct"/>
            <w:tcBorders>
              <w:top w:val="nil"/>
              <w:left w:val="nil"/>
              <w:bottom w:val="nil"/>
              <w:right w:val="nil"/>
            </w:tcBorders>
            <w:noWrap/>
            <w:vAlign w:val="bottom"/>
            <w:hideMark/>
          </w:tcPr>
          <w:p w14:paraId="286C4B1F"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-0.14022</w:t>
            </w:r>
          </w:p>
        </w:tc>
        <w:tc>
          <w:tcPr>
            <w:tcW w:w="521" w:type="pct"/>
            <w:tcBorders>
              <w:top w:val="nil"/>
              <w:left w:val="nil"/>
              <w:bottom w:val="nil"/>
              <w:right w:val="nil"/>
            </w:tcBorders>
            <w:noWrap/>
            <w:vAlign w:val="bottom"/>
            <w:hideMark/>
          </w:tcPr>
          <w:p w14:paraId="5D8AB868"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0.110856</w:t>
            </w:r>
          </w:p>
        </w:tc>
        <w:tc>
          <w:tcPr>
            <w:tcW w:w="531" w:type="pct"/>
            <w:tcBorders>
              <w:top w:val="nil"/>
              <w:left w:val="nil"/>
              <w:bottom w:val="nil"/>
              <w:right w:val="nil"/>
            </w:tcBorders>
            <w:noWrap/>
            <w:vAlign w:val="bottom"/>
            <w:hideMark/>
          </w:tcPr>
          <w:p w14:paraId="2DD146F3"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0.101129</w:t>
            </w:r>
          </w:p>
        </w:tc>
        <w:tc>
          <w:tcPr>
            <w:tcW w:w="496" w:type="pct"/>
            <w:tcBorders>
              <w:top w:val="nil"/>
              <w:left w:val="nil"/>
              <w:bottom w:val="nil"/>
              <w:right w:val="nil"/>
            </w:tcBorders>
            <w:noWrap/>
            <w:vAlign w:val="bottom"/>
            <w:hideMark/>
          </w:tcPr>
          <w:p w14:paraId="509B9199"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1</w:t>
            </w:r>
          </w:p>
        </w:tc>
        <w:tc>
          <w:tcPr>
            <w:tcW w:w="492" w:type="pct"/>
            <w:tcBorders>
              <w:top w:val="nil"/>
              <w:left w:val="nil"/>
              <w:bottom w:val="nil"/>
              <w:right w:val="nil"/>
            </w:tcBorders>
            <w:noWrap/>
            <w:vAlign w:val="bottom"/>
            <w:hideMark/>
          </w:tcPr>
          <w:p w14:paraId="7B2D72B2" w14:textId="77777777" w:rsidR="005A186C" w:rsidRPr="00B7203A" w:rsidRDefault="005A186C" w:rsidP="00B7203A">
            <w:pPr>
              <w:spacing w:after="0" w:line="240" w:lineRule="auto"/>
              <w:jc w:val="right"/>
              <w:rPr>
                <w:rFonts w:ascii="Times New Roman" w:eastAsia="Times New Roman" w:hAnsi="Times New Roman" w:cs="Times New Roman"/>
                <w:color w:val="000000"/>
                <w:sz w:val="20"/>
                <w:szCs w:val="20"/>
              </w:rPr>
            </w:pPr>
          </w:p>
        </w:tc>
      </w:tr>
      <w:tr w:rsidR="00B7203A" w:rsidRPr="00B7203A" w14:paraId="3A8EDA52" w14:textId="77777777" w:rsidTr="00115A53">
        <w:trPr>
          <w:trHeight w:val="552"/>
        </w:trPr>
        <w:tc>
          <w:tcPr>
            <w:tcW w:w="535" w:type="pct"/>
            <w:tcBorders>
              <w:top w:val="nil"/>
              <w:left w:val="nil"/>
              <w:bottom w:val="single" w:sz="8" w:space="0" w:color="auto"/>
              <w:right w:val="nil"/>
            </w:tcBorders>
            <w:noWrap/>
            <w:vAlign w:val="bottom"/>
            <w:hideMark/>
          </w:tcPr>
          <w:p w14:paraId="2BB92E43" w14:textId="77777777" w:rsidR="005A186C" w:rsidRPr="00B7203A" w:rsidRDefault="00F941B0" w:rsidP="00B7203A">
            <w:pPr>
              <w:spacing w:after="0" w:line="240" w:lineRule="auto"/>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PH09CSSO</w:t>
            </w:r>
          </w:p>
        </w:tc>
        <w:tc>
          <w:tcPr>
            <w:tcW w:w="501" w:type="pct"/>
            <w:tcBorders>
              <w:top w:val="nil"/>
              <w:left w:val="nil"/>
              <w:bottom w:val="single" w:sz="8" w:space="0" w:color="auto"/>
              <w:right w:val="nil"/>
            </w:tcBorders>
            <w:noWrap/>
            <w:vAlign w:val="bottom"/>
            <w:hideMark/>
          </w:tcPr>
          <w:p w14:paraId="7A308CEA"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0.997326</w:t>
            </w:r>
          </w:p>
        </w:tc>
        <w:tc>
          <w:tcPr>
            <w:tcW w:w="484" w:type="pct"/>
            <w:tcBorders>
              <w:top w:val="nil"/>
              <w:left w:val="nil"/>
              <w:bottom w:val="single" w:sz="8" w:space="0" w:color="auto"/>
              <w:right w:val="nil"/>
            </w:tcBorders>
            <w:noWrap/>
            <w:vAlign w:val="bottom"/>
            <w:hideMark/>
          </w:tcPr>
          <w:p w14:paraId="339ADF46"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0.983901</w:t>
            </w:r>
          </w:p>
        </w:tc>
        <w:tc>
          <w:tcPr>
            <w:tcW w:w="437" w:type="pct"/>
            <w:tcBorders>
              <w:top w:val="nil"/>
              <w:left w:val="nil"/>
              <w:bottom w:val="single" w:sz="8" w:space="0" w:color="auto"/>
              <w:right w:val="nil"/>
            </w:tcBorders>
            <w:noWrap/>
            <w:vAlign w:val="bottom"/>
            <w:hideMark/>
          </w:tcPr>
          <w:p w14:paraId="57745A6B"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-0.01745</w:t>
            </w:r>
          </w:p>
        </w:tc>
        <w:tc>
          <w:tcPr>
            <w:tcW w:w="523" w:type="pct"/>
            <w:tcBorders>
              <w:top w:val="nil"/>
              <w:left w:val="nil"/>
              <w:bottom w:val="single" w:sz="8" w:space="0" w:color="auto"/>
              <w:right w:val="nil"/>
            </w:tcBorders>
            <w:noWrap/>
            <w:vAlign w:val="bottom"/>
            <w:hideMark/>
          </w:tcPr>
          <w:p w14:paraId="25BD9A7B"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0.944219</w:t>
            </w:r>
          </w:p>
        </w:tc>
        <w:tc>
          <w:tcPr>
            <w:tcW w:w="480" w:type="pct"/>
            <w:tcBorders>
              <w:top w:val="nil"/>
              <w:left w:val="nil"/>
              <w:bottom w:val="single" w:sz="8" w:space="0" w:color="auto"/>
              <w:right w:val="nil"/>
            </w:tcBorders>
            <w:noWrap/>
            <w:vAlign w:val="bottom"/>
            <w:hideMark/>
          </w:tcPr>
          <w:p w14:paraId="75DC31D4"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0.008905</w:t>
            </w:r>
          </w:p>
        </w:tc>
        <w:tc>
          <w:tcPr>
            <w:tcW w:w="521" w:type="pct"/>
            <w:tcBorders>
              <w:top w:val="nil"/>
              <w:left w:val="nil"/>
              <w:bottom w:val="single" w:sz="8" w:space="0" w:color="auto"/>
              <w:right w:val="nil"/>
            </w:tcBorders>
            <w:noWrap/>
            <w:vAlign w:val="bottom"/>
            <w:hideMark/>
          </w:tcPr>
          <w:p w14:paraId="1B70875B"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0.342797</w:t>
            </w:r>
          </w:p>
        </w:tc>
        <w:tc>
          <w:tcPr>
            <w:tcW w:w="531" w:type="pct"/>
            <w:tcBorders>
              <w:top w:val="nil"/>
              <w:left w:val="nil"/>
              <w:bottom w:val="single" w:sz="8" w:space="0" w:color="auto"/>
              <w:right w:val="nil"/>
            </w:tcBorders>
            <w:noWrap/>
            <w:vAlign w:val="bottom"/>
            <w:hideMark/>
          </w:tcPr>
          <w:p w14:paraId="470572EB"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0.3386</w:t>
            </w:r>
          </w:p>
        </w:tc>
        <w:tc>
          <w:tcPr>
            <w:tcW w:w="496" w:type="pct"/>
            <w:tcBorders>
              <w:top w:val="nil"/>
              <w:left w:val="nil"/>
              <w:bottom w:val="single" w:sz="8" w:space="0" w:color="auto"/>
              <w:right w:val="nil"/>
            </w:tcBorders>
            <w:noWrap/>
            <w:vAlign w:val="bottom"/>
            <w:hideMark/>
          </w:tcPr>
          <w:p w14:paraId="37167870"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0.952349</w:t>
            </w:r>
          </w:p>
        </w:tc>
        <w:tc>
          <w:tcPr>
            <w:tcW w:w="492" w:type="pct"/>
            <w:tcBorders>
              <w:top w:val="nil"/>
              <w:left w:val="nil"/>
              <w:bottom w:val="single" w:sz="8" w:space="0" w:color="auto"/>
              <w:right w:val="nil"/>
            </w:tcBorders>
            <w:noWrap/>
            <w:vAlign w:val="bottom"/>
            <w:hideMark/>
          </w:tcPr>
          <w:p w14:paraId="74173D12"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1</w:t>
            </w:r>
          </w:p>
        </w:tc>
      </w:tr>
    </w:tbl>
    <w:p w14:paraId="155A3C28" w14:textId="77777777" w:rsidR="005A186C" w:rsidRDefault="005A186C">
      <w:pPr>
        <w:rPr>
          <w:rFonts w:ascii="Times New Roman" w:hAnsi="Times New Roman" w:cs="Times New Roman"/>
          <w:b/>
          <w:bCs/>
        </w:rPr>
      </w:pPr>
    </w:p>
    <w:p w14:paraId="41C27F22" w14:textId="77777777" w:rsidR="00E17A0B" w:rsidRDefault="00E17A0B" w:rsidP="00E17A0B">
      <w:pPr>
        <w:pStyle w:val="NormalWeb"/>
        <w:spacing w:before="0" w:beforeAutospacing="0" w:after="0" w:afterAutospacing="0"/>
        <w:jc w:val="both"/>
      </w:pPr>
      <w:r>
        <w:t>The health risk assessment revealed that Hazard Index (HI) values for children ranged from 0.018932 (PH031SS) to 0.453412 (PH07GCSS), while adult HI values ranged from 0.017186 (PH031SS) to 0.411600 (PH07GCSS), with all values remaining below the USEPA safety threshold of 1.0. At PH01ASSE, HI values were 0.240848 (children) and 0.218638 (adults), largely influenced by arsenic HQ values of 0.228971 and 0.207856, respectively, whereas PH02HH recorded HI values of 0.166878 and 0.151489 with corresponding arsenic HQ contributions of 0.158198 and 0.143610. PH031SS exhibited the lowest cumulative risk (0.018932; 0.017186), with minimal HQ contributions from chromium (8.33E-05; 7.56E-05), nickel (1.25E-05; 1.13E-05), copper (0.000768; 0.000697), lead (0.004746; 0.004308), cadmium (0.012489; 0.011338), and arsenic (0.000833; 0.000756). Elevated HI values were observed at PH04CSSN (0.407961; 0.370340) and PH07GCSS (0.453412; 0.411600), driven primarily by arsenic HQ values of 0.370517 and 0.391333 in children and 0.336349 and 0.355245 in adults, alongside moderate contributions from lead (0.012168; 0.024693) and cadmium (0.014862; 0.003372) in children. Intermediate risk levels were recorded at PH05CIA (0.168916; 0.153339) and PH06GGSS (0.175013; 0.158874), where lead at PH05CIA (0.091743; 0.083283) and copper at PH06GGSS (0.005133; 0.004660) contributed notably to cumulative risk. Overall, children consistently exhibited slightly higher HQ and HI values than adults across all schools, reflecting greater vulnerability due to lower body weight and higher exposure per unit mass, although the cumulative non-carcinogenic risks remain within acceptable limits.</w:t>
      </w:r>
    </w:p>
    <w:p w14:paraId="5D940275" w14:textId="77777777" w:rsidR="005A186C" w:rsidRDefault="005A186C">
      <w:pPr>
        <w:rPr>
          <w:rFonts w:ascii="Times New Roman" w:hAnsi="Times New Roman" w:cs="Times New Roman"/>
          <w:b/>
          <w:bCs/>
        </w:rPr>
      </w:pPr>
    </w:p>
    <w:p w14:paraId="122F2ACF" w14:textId="77777777" w:rsidR="005A186C" w:rsidRDefault="005A186C">
      <w:pPr>
        <w:rPr>
          <w:rFonts w:ascii="Times New Roman" w:hAnsi="Times New Roman" w:cs="Times New Roman"/>
          <w:b/>
          <w:bCs/>
        </w:rPr>
      </w:pPr>
    </w:p>
    <w:p w14:paraId="3689F4AE" w14:textId="77777777" w:rsidR="00E17A0B" w:rsidRDefault="00E17A0B" w:rsidP="00E17A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w:t>
      </w:r>
      <w:r w:rsidR="005064CB">
        <w:rPr>
          <w:rFonts w:ascii="Times New Roman" w:hAnsi="Times New Roman" w:cs="Times New Roman"/>
          <w:b/>
          <w:sz w:val="24"/>
          <w:szCs w:val="24"/>
        </w:rPr>
        <w:t xml:space="preserve"> 3</w:t>
      </w:r>
      <w:r>
        <w:rPr>
          <w:rFonts w:ascii="Times New Roman" w:hAnsi="Times New Roman" w:cs="Times New Roman"/>
          <w:b/>
          <w:sz w:val="24"/>
          <w:szCs w:val="24"/>
        </w:rPr>
        <w:t xml:space="preserve">: </w:t>
      </w:r>
      <w:r w:rsidRPr="00237976">
        <w:rPr>
          <w:rFonts w:ascii="Times New Roman" w:hAnsi="Times New Roman" w:cs="Times New Roman"/>
          <w:b/>
          <w:sz w:val="24"/>
          <w:szCs w:val="24"/>
        </w:rPr>
        <w:t xml:space="preserve">Health Risk Assessment of </w:t>
      </w:r>
      <w:r w:rsidR="005064CB">
        <w:rPr>
          <w:rFonts w:ascii="Times New Roman" w:hAnsi="Times New Roman" w:cs="Times New Roman"/>
          <w:b/>
          <w:sz w:val="24"/>
          <w:szCs w:val="24"/>
        </w:rPr>
        <w:t>Potentially Toxic Elements</w:t>
      </w:r>
      <w:r w:rsidRPr="00237976">
        <w:rPr>
          <w:rFonts w:ascii="Times New Roman" w:hAnsi="Times New Roman" w:cs="Times New Roman"/>
          <w:b/>
          <w:sz w:val="24"/>
          <w:szCs w:val="24"/>
        </w:rPr>
        <w:t xml:space="preserve"> in Selected School</w:t>
      </w:r>
      <w:r w:rsidR="005064CB">
        <w:rPr>
          <w:rFonts w:ascii="Times New Roman" w:hAnsi="Times New Roman" w:cs="Times New Roman"/>
          <w:b/>
          <w:sz w:val="24"/>
          <w:szCs w:val="24"/>
        </w:rPr>
        <w:t>s within Port Harcourt LGA</w:t>
      </w:r>
    </w:p>
    <w:p w14:paraId="657C9ADD" w14:textId="77777777" w:rsidR="00E17A0B" w:rsidRPr="001E7162" w:rsidRDefault="00E17A0B" w:rsidP="00E17A0B">
      <w:pPr>
        <w:spacing w:after="0" w:line="240" w:lineRule="auto"/>
        <w:rPr>
          <w:rFonts w:ascii="Times New Roman" w:hAnsi="Times New Roman" w:cs="Times New Roman"/>
          <w:sz w:val="24"/>
          <w:szCs w:val="24"/>
        </w:rPr>
      </w:pPr>
    </w:p>
    <w:tbl>
      <w:tblPr>
        <w:tblpPr w:leftFromText="180" w:rightFromText="180" w:vertAnchor="page" w:horzAnchor="margin" w:tblpXSpec="center" w:tblpY="2701"/>
        <w:tblW w:w="5000" w:type="pct"/>
        <w:tblLook w:val="04A0" w:firstRow="1" w:lastRow="0" w:firstColumn="1" w:lastColumn="0" w:noHBand="0" w:noVBand="1"/>
      </w:tblPr>
      <w:tblGrid>
        <w:gridCol w:w="564"/>
        <w:gridCol w:w="621"/>
        <w:gridCol w:w="621"/>
        <w:gridCol w:w="614"/>
        <w:gridCol w:w="614"/>
        <w:gridCol w:w="610"/>
        <w:gridCol w:w="610"/>
        <w:gridCol w:w="630"/>
        <w:gridCol w:w="630"/>
        <w:gridCol w:w="622"/>
        <w:gridCol w:w="622"/>
        <w:gridCol w:w="630"/>
        <w:gridCol w:w="630"/>
        <w:gridCol w:w="491"/>
        <w:gridCol w:w="491"/>
      </w:tblGrid>
      <w:tr w:rsidR="00E17A0B" w:rsidRPr="00237976" w14:paraId="75AF4A62" w14:textId="77777777" w:rsidTr="00115A53">
        <w:trPr>
          <w:trHeight w:val="554"/>
        </w:trPr>
        <w:tc>
          <w:tcPr>
            <w:tcW w:w="846" w:type="pct"/>
            <w:tcBorders>
              <w:top w:val="single" w:sz="4" w:space="0" w:color="auto"/>
              <w:left w:val="nil"/>
              <w:bottom w:val="double" w:sz="6" w:space="0" w:color="auto"/>
              <w:right w:val="nil"/>
            </w:tcBorders>
            <w:noWrap/>
            <w:vAlign w:val="center"/>
            <w:hideMark/>
          </w:tcPr>
          <w:p w14:paraId="784E0073"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lastRenderedPageBreak/>
              <w:t>School</w:t>
            </w:r>
          </w:p>
        </w:tc>
        <w:tc>
          <w:tcPr>
            <w:tcW w:w="297" w:type="pct"/>
            <w:tcBorders>
              <w:top w:val="single" w:sz="4" w:space="0" w:color="auto"/>
              <w:left w:val="nil"/>
              <w:bottom w:val="double" w:sz="6" w:space="0" w:color="auto"/>
              <w:right w:val="nil"/>
            </w:tcBorders>
            <w:noWrap/>
            <w:vAlign w:val="center"/>
            <w:hideMark/>
          </w:tcPr>
          <w:p w14:paraId="637438C2"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HQ Child Cr</w:t>
            </w:r>
          </w:p>
        </w:tc>
        <w:tc>
          <w:tcPr>
            <w:tcW w:w="297" w:type="pct"/>
            <w:tcBorders>
              <w:top w:val="single" w:sz="4" w:space="0" w:color="auto"/>
              <w:left w:val="nil"/>
              <w:bottom w:val="double" w:sz="6" w:space="0" w:color="auto"/>
              <w:right w:val="nil"/>
            </w:tcBorders>
            <w:noWrap/>
            <w:vAlign w:val="center"/>
            <w:hideMark/>
          </w:tcPr>
          <w:p w14:paraId="7CB2436A"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HQ Adult Cr</w:t>
            </w:r>
          </w:p>
        </w:tc>
        <w:tc>
          <w:tcPr>
            <w:tcW w:w="297" w:type="pct"/>
            <w:tcBorders>
              <w:top w:val="single" w:sz="4" w:space="0" w:color="auto"/>
              <w:left w:val="nil"/>
              <w:bottom w:val="double" w:sz="6" w:space="0" w:color="auto"/>
              <w:right w:val="nil"/>
            </w:tcBorders>
            <w:noWrap/>
            <w:vAlign w:val="center"/>
            <w:hideMark/>
          </w:tcPr>
          <w:p w14:paraId="5DD12AA6"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HQ Child As</w:t>
            </w:r>
          </w:p>
        </w:tc>
        <w:tc>
          <w:tcPr>
            <w:tcW w:w="297" w:type="pct"/>
            <w:tcBorders>
              <w:top w:val="single" w:sz="4" w:space="0" w:color="auto"/>
              <w:left w:val="nil"/>
              <w:bottom w:val="double" w:sz="6" w:space="0" w:color="auto"/>
              <w:right w:val="nil"/>
            </w:tcBorders>
            <w:noWrap/>
            <w:vAlign w:val="center"/>
            <w:hideMark/>
          </w:tcPr>
          <w:p w14:paraId="3C5E06EF"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HQ Adult As</w:t>
            </w:r>
          </w:p>
        </w:tc>
        <w:tc>
          <w:tcPr>
            <w:tcW w:w="297" w:type="pct"/>
            <w:tcBorders>
              <w:top w:val="single" w:sz="4" w:space="0" w:color="auto"/>
              <w:left w:val="nil"/>
              <w:bottom w:val="double" w:sz="6" w:space="0" w:color="auto"/>
              <w:right w:val="nil"/>
            </w:tcBorders>
            <w:noWrap/>
            <w:vAlign w:val="center"/>
            <w:hideMark/>
          </w:tcPr>
          <w:p w14:paraId="7E3CD67D"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HQ Child Ni</w:t>
            </w:r>
          </w:p>
        </w:tc>
        <w:tc>
          <w:tcPr>
            <w:tcW w:w="297" w:type="pct"/>
            <w:tcBorders>
              <w:top w:val="single" w:sz="4" w:space="0" w:color="auto"/>
              <w:left w:val="nil"/>
              <w:bottom w:val="double" w:sz="6" w:space="0" w:color="auto"/>
              <w:right w:val="nil"/>
            </w:tcBorders>
            <w:noWrap/>
            <w:vAlign w:val="center"/>
            <w:hideMark/>
          </w:tcPr>
          <w:p w14:paraId="7EFD672D"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HQ Adult Ni</w:t>
            </w:r>
          </w:p>
        </w:tc>
        <w:tc>
          <w:tcPr>
            <w:tcW w:w="297" w:type="pct"/>
            <w:tcBorders>
              <w:top w:val="single" w:sz="4" w:space="0" w:color="auto"/>
              <w:left w:val="nil"/>
              <w:bottom w:val="double" w:sz="6" w:space="0" w:color="auto"/>
              <w:right w:val="nil"/>
            </w:tcBorders>
            <w:noWrap/>
            <w:vAlign w:val="center"/>
            <w:hideMark/>
          </w:tcPr>
          <w:p w14:paraId="5A6C2D98"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HQ Child Cu</w:t>
            </w:r>
          </w:p>
        </w:tc>
        <w:tc>
          <w:tcPr>
            <w:tcW w:w="297" w:type="pct"/>
            <w:tcBorders>
              <w:top w:val="single" w:sz="4" w:space="0" w:color="auto"/>
              <w:left w:val="nil"/>
              <w:bottom w:val="double" w:sz="6" w:space="0" w:color="auto"/>
              <w:right w:val="nil"/>
            </w:tcBorders>
            <w:noWrap/>
            <w:vAlign w:val="center"/>
            <w:hideMark/>
          </w:tcPr>
          <w:p w14:paraId="031E10FD"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HQ Adult Cu</w:t>
            </w:r>
          </w:p>
        </w:tc>
        <w:tc>
          <w:tcPr>
            <w:tcW w:w="297" w:type="pct"/>
            <w:tcBorders>
              <w:top w:val="single" w:sz="4" w:space="0" w:color="auto"/>
              <w:left w:val="nil"/>
              <w:bottom w:val="double" w:sz="6" w:space="0" w:color="auto"/>
              <w:right w:val="nil"/>
            </w:tcBorders>
            <w:noWrap/>
            <w:vAlign w:val="center"/>
            <w:hideMark/>
          </w:tcPr>
          <w:p w14:paraId="337E7B8C"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HQ Child Pb</w:t>
            </w:r>
          </w:p>
        </w:tc>
        <w:tc>
          <w:tcPr>
            <w:tcW w:w="297" w:type="pct"/>
            <w:tcBorders>
              <w:top w:val="single" w:sz="4" w:space="0" w:color="auto"/>
              <w:left w:val="nil"/>
              <w:bottom w:val="double" w:sz="6" w:space="0" w:color="auto"/>
              <w:right w:val="nil"/>
            </w:tcBorders>
            <w:noWrap/>
            <w:vAlign w:val="center"/>
            <w:hideMark/>
          </w:tcPr>
          <w:p w14:paraId="16568833"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HQ Adult Pb</w:t>
            </w:r>
          </w:p>
        </w:tc>
        <w:tc>
          <w:tcPr>
            <w:tcW w:w="297" w:type="pct"/>
            <w:tcBorders>
              <w:top w:val="single" w:sz="4" w:space="0" w:color="auto"/>
              <w:left w:val="nil"/>
              <w:bottom w:val="double" w:sz="6" w:space="0" w:color="auto"/>
              <w:right w:val="nil"/>
            </w:tcBorders>
            <w:noWrap/>
            <w:vAlign w:val="center"/>
            <w:hideMark/>
          </w:tcPr>
          <w:p w14:paraId="10B3CAF2"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HQ Child Cd</w:t>
            </w:r>
          </w:p>
        </w:tc>
        <w:tc>
          <w:tcPr>
            <w:tcW w:w="297" w:type="pct"/>
            <w:tcBorders>
              <w:top w:val="single" w:sz="4" w:space="0" w:color="auto"/>
              <w:left w:val="nil"/>
              <w:bottom w:val="double" w:sz="6" w:space="0" w:color="auto"/>
              <w:right w:val="nil"/>
            </w:tcBorders>
            <w:noWrap/>
            <w:vAlign w:val="center"/>
            <w:hideMark/>
          </w:tcPr>
          <w:p w14:paraId="5C7D6527"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HQ Adult Cd</w:t>
            </w:r>
          </w:p>
        </w:tc>
        <w:tc>
          <w:tcPr>
            <w:tcW w:w="297" w:type="pct"/>
            <w:tcBorders>
              <w:top w:val="single" w:sz="4" w:space="0" w:color="auto"/>
              <w:left w:val="nil"/>
              <w:bottom w:val="double" w:sz="6" w:space="0" w:color="auto"/>
              <w:right w:val="nil"/>
            </w:tcBorders>
            <w:noWrap/>
            <w:vAlign w:val="center"/>
            <w:hideMark/>
          </w:tcPr>
          <w:p w14:paraId="519E6EB2"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HI Child</w:t>
            </w:r>
          </w:p>
        </w:tc>
        <w:tc>
          <w:tcPr>
            <w:tcW w:w="297" w:type="pct"/>
            <w:tcBorders>
              <w:top w:val="single" w:sz="4" w:space="0" w:color="auto"/>
              <w:left w:val="nil"/>
              <w:bottom w:val="double" w:sz="6" w:space="0" w:color="auto"/>
              <w:right w:val="nil"/>
            </w:tcBorders>
            <w:noWrap/>
            <w:vAlign w:val="center"/>
            <w:hideMark/>
          </w:tcPr>
          <w:p w14:paraId="46098139"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HI Adult</w:t>
            </w:r>
          </w:p>
        </w:tc>
      </w:tr>
      <w:tr w:rsidR="00E17A0B" w:rsidRPr="00237976" w14:paraId="25034992" w14:textId="77777777" w:rsidTr="00115A53">
        <w:trPr>
          <w:trHeight w:val="554"/>
        </w:trPr>
        <w:tc>
          <w:tcPr>
            <w:tcW w:w="846" w:type="pct"/>
            <w:tcBorders>
              <w:top w:val="nil"/>
              <w:left w:val="nil"/>
              <w:bottom w:val="nil"/>
              <w:right w:val="nil"/>
            </w:tcBorders>
            <w:noWrap/>
            <w:vAlign w:val="center"/>
            <w:hideMark/>
          </w:tcPr>
          <w:p w14:paraId="60C59A45"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PH01ASSE</w:t>
            </w:r>
          </w:p>
        </w:tc>
        <w:tc>
          <w:tcPr>
            <w:tcW w:w="297" w:type="pct"/>
            <w:tcBorders>
              <w:top w:val="nil"/>
              <w:left w:val="nil"/>
              <w:bottom w:val="nil"/>
              <w:right w:val="nil"/>
            </w:tcBorders>
            <w:noWrap/>
            <w:vAlign w:val="center"/>
            <w:hideMark/>
          </w:tcPr>
          <w:p w14:paraId="17BC2EE6"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8.33E-05</w:t>
            </w:r>
          </w:p>
        </w:tc>
        <w:tc>
          <w:tcPr>
            <w:tcW w:w="297" w:type="pct"/>
            <w:tcBorders>
              <w:top w:val="nil"/>
              <w:left w:val="nil"/>
              <w:bottom w:val="nil"/>
              <w:right w:val="nil"/>
            </w:tcBorders>
            <w:noWrap/>
            <w:vAlign w:val="center"/>
            <w:hideMark/>
          </w:tcPr>
          <w:p w14:paraId="295FDB43"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7.56E-05</w:t>
            </w:r>
          </w:p>
        </w:tc>
        <w:tc>
          <w:tcPr>
            <w:tcW w:w="297" w:type="pct"/>
            <w:tcBorders>
              <w:top w:val="nil"/>
              <w:left w:val="nil"/>
              <w:bottom w:val="nil"/>
              <w:right w:val="nil"/>
            </w:tcBorders>
            <w:noWrap/>
            <w:vAlign w:val="center"/>
            <w:hideMark/>
          </w:tcPr>
          <w:p w14:paraId="5D6B6B89"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0.228971</w:t>
            </w:r>
          </w:p>
        </w:tc>
        <w:tc>
          <w:tcPr>
            <w:tcW w:w="297" w:type="pct"/>
            <w:tcBorders>
              <w:top w:val="nil"/>
              <w:left w:val="nil"/>
              <w:bottom w:val="nil"/>
              <w:right w:val="nil"/>
            </w:tcBorders>
            <w:noWrap/>
            <w:vAlign w:val="center"/>
            <w:hideMark/>
          </w:tcPr>
          <w:p w14:paraId="7D094A92"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0.207856</w:t>
            </w:r>
          </w:p>
        </w:tc>
        <w:tc>
          <w:tcPr>
            <w:tcW w:w="297" w:type="pct"/>
            <w:tcBorders>
              <w:top w:val="nil"/>
              <w:left w:val="nil"/>
              <w:bottom w:val="nil"/>
              <w:right w:val="nil"/>
            </w:tcBorders>
            <w:noWrap/>
            <w:vAlign w:val="center"/>
            <w:hideMark/>
          </w:tcPr>
          <w:p w14:paraId="687EC124"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1.25E-05</w:t>
            </w:r>
          </w:p>
        </w:tc>
        <w:tc>
          <w:tcPr>
            <w:tcW w:w="297" w:type="pct"/>
            <w:tcBorders>
              <w:top w:val="nil"/>
              <w:left w:val="nil"/>
              <w:bottom w:val="nil"/>
              <w:right w:val="nil"/>
            </w:tcBorders>
            <w:noWrap/>
            <w:vAlign w:val="center"/>
            <w:hideMark/>
          </w:tcPr>
          <w:p w14:paraId="61C476E4"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1.13E-05</w:t>
            </w:r>
          </w:p>
        </w:tc>
        <w:tc>
          <w:tcPr>
            <w:tcW w:w="297" w:type="pct"/>
            <w:tcBorders>
              <w:top w:val="nil"/>
              <w:left w:val="nil"/>
              <w:bottom w:val="nil"/>
              <w:right w:val="nil"/>
            </w:tcBorders>
            <w:noWrap/>
            <w:vAlign w:val="center"/>
            <w:hideMark/>
          </w:tcPr>
          <w:p w14:paraId="4911E97C"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0.000612</w:t>
            </w:r>
          </w:p>
        </w:tc>
        <w:tc>
          <w:tcPr>
            <w:tcW w:w="297" w:type="pct"/>
            <w:tcBorders>
              <w:top w:val="nil"/>
              <w:left w:val="nil"/>
              <w:bottom w:val="nil"/>
              <w:right w:val="nil"/>
            </w:tcBorders>
            <w:noWrap/>
            <w:vAlign w:val="center"/>
            <w:hideMark/>
          </w:tcPr>
          <w:p w14:paraId="4F372006"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0.000556</w:t>
            </w:r>
          </w:p>
        </w:tc>
        <w:tc>
          <w:tcPr>
            <w:tcW w:w="297" w:type="pct"/>
            <w:tcBorders>
              <w:top w:val="nil"/>
              <w:left w:val="nil"/>
              <w:bottom w:val="nil"/>
              <w:right w:val="nil"/>
            </w:tcBorders>
            <w:noWrap/>
            <w:vAlign w:val="center"/>
            <w:hideMark/>
          </w:tcPr>
          <w:p w14:paraId="10D46830"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0.005924</w:t>
            </w:r>
          </w:p>
        </w:tc>
        <w:tc>
          <w:tcPr>
            <w:tcW w:w="297" w:type="pct"/>
            <w:tcBorders>
              <w:top w:val="nil"/>
              <w:left w:val="nil"/>
              <w:bottom w:val="nil"/>
              <w:right w:val="nil"/>
            </w:tcBorders>
            <w:noWrap/>
            <w:vAlign w:val="center"/>
            <w:hideMark/>
          </w:tcPr>
          <w:p w14:paraId="3FADC364"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0.005377</w:t>
            </w:r>
          </w:p>
        </w:tc>
        <w:tc>
          <w:tcPr>
            <w:tcW w:w="297" w:type="pct"/>
            <w:tcBorders>
              <w:top w:val="nil"/>
              <w:left w:val="nil"/>
              <w:bottom w:val="nil"/>
              <w:right w:val="nil"/>
            </w:tcBorders>
            <w:noWrap/>
            <w:vAlign w:val="center"/>
            <w:hideMark/>
          </w:tcPr>
          <w:p w14:paraId="082DB7E3"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0.005246</w:t>
            </w:r>
          </w:p>
        </w:tc>
        <w:tc>
          <w:tcPr>
            <w:tcW w:w="297" w:type="pct"/>
            <w:tcBorders>
              <w:top w:val="nil"/>
              <w:left w:val="nil"/>
              <w:bottom w:val="nil"/>
              <w:right w:val="nil"/>
            </w:tcBorders>
            <w:noWrap/>
            <w:vAlign w:val="center"/>
            <w:hideMark/>
          </w:tcPr>
          <w:p w14:paraId="5CF429CC"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0.004762</w:t>
            </w:r>
          </w:p>
        </w:tc>
        <w:tc>
          <w:tcPr>
            <w:tcW w:w="297" w:type="pct"/>
            <w:tcBorders>
              <w:top w:val="nil"/>
              <w:left w:val="nil"/>
              <w:bottom w:val="nil"/>
              <w:right w:val="nil"/>
            </w:tcBorders>
            <w:noWrap/>
            <w:vAlign w:val="center"/>
            <w:hideMark/>
          </w:tcPr>
          <w:p w14:paraId="1DF46901"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0.240848</w:t>
            </w:r>
          </w:p>
        </w:tc>
        <w:tc>
          <w:tcPr>
            <w:tcW w:w="297" w:type="pct"/>
            <w:tcBorders>
              <w:top w:val="nil"/>
              <w:left w:val="nil"/>
              <w:bottom w:val="nil"/>
              <w:right w:val="nil"/>
            </w:tcBorders>
            <w:noWrap/>
            <w:vAlign w:val="center"/>
            <w:hideMark/>
          </w:tcPr>
          <w:p w14:paraId="446D0270"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0.218638</w:t>
            </w:r>
          </w:p>
        </w:tc>
      </w:tr>
      <w:tr w:rsidR="00E17A0B" w:rsidRPr="00237976" w14:paraId="31FC93CB" w14:textId="77777777" w:rsidTr="00115A53">
        <w:trPr>
          <w:trHeight w:val="528"/>
        </w:trPr>
        <w:tc>
          <w:tcPr>
            <w:tcW w:w="846" w:type="pct"/>
            <w:tcBorders>
              <w:top w:val="nil"/>
              <w:left w:val="nil"/>
              <w:bottom w:val="nil"/>
              <w:right w:val="nil"/>
            </w:tcBorders>
            <w:noWrap/>
            <w:vAlign w:val="center"/>
            <w:hideMark/>
          </w:tcPr>
          <w:p w14:paraId="0A2A3970"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PH02HH</w:t>
            </w:r>
          </w:p>
        </w:tc>
        <w:tc>
          <w:tcPr>
            <w:tcW w:w="297" w:type="pct"/>
            <w:tcBorders>
              <w:top w:val="nil"/>
              <w:left w:val="nil"/>
              <w:bottom w:val="nil"/>
              <w:right w:val="nil"/>
            </w:tcBorders>
            <w:noWrap/>
            <w:vAlign w:val="center"/>
            <w:hideMark/>
          </w:tcPr>
          <w:p w14:paraId="10EA3789"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8.33E-05</w:t>
            </w:r>
          </w:p>
        </w:tc>
        <w:tc>
          <w:tcPr>
            <w:tcW w:w="297" w:type="pct"/>
            <w:tcBorders>
              <w:top w:val="nil"/>
              <w:left w:val="nil"/>
              <w:bottom w:val="nil"/>
              <w:right w:val="nil"/>
            </w:tcBorders>
            <w:noWrap/>
            <w:vAlign w:val="center"/>
            <w:hideMark/>
          </w:tcPr>
          <w:p w14:paraId="04613EF1"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7.56E-05</w:t>
            </w:r>
          </w:p>
        </w:tc>
        <w:tc>
          <w:tcPr>
            <w:tcW w:w="297" w:type="pct"/>
            <w:tcBorders>
              <w:top w:val="nil"/>
              <w:left w:val="nil"/>
              <w:bottom w:val="nil"/>
              <w:right w:val="nil"/>
            </w:tcBorders>
            <w:noWrap/>
            <w:vAlign w:val="center"/>
            <w:hideMark/>
          </w:tcPr>
          <w:p w14:paraId="21B8518F"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0.158198</w:t>
            </w:r>
          </w:p>
        </w:tc>
        <w:tc>
          <w:tcPr>
            <w:tcW w:w="297" w:type="pct"/>
            <w:tcBorders>
              <w:top w:val="nil"/>
              <w:left w:val="nil"/>
              <w:bottom w:val="nil"/>
              <w:right w:val="nil"/>
            </w:tcBorders>
            <w:noWrap/>
            <w:vAlign w:val="center"/>
            <w:hideMark/>
          </w:tcPr>
          <w:p w14:paraId="371DA2A8"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0.14361</w:t>
            </w:r>
          </w:p>
        </w:tc>
        <w:tc>
          <w:tcPr>
            <w:tcW w:w="297" w:type="pct"/>
            <w:tcBorders>
              <w:top w:val="nil"/>
              <w:left w:val="nil"/>
              <w:bottom w:val="nil"/>
              <w:right w:val="nil"/>
            </w:tcBorders>
            <w:noWrap/>
            <w:vAlign w:val="center"/>
            <w:hideMark/>
          </w:tcPr>
          <w:p w14:paraId="06F5DA5B"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1.25E-05</w:t>
            </w:r>
          </w:p>
        </w:tc>
        <w:tc>
          <w:tcPr>
            <w:tcW w:w="297" w:type="pct"/>
            <w:tcBorders>
              <w:top w:val="nil"/>
              <w:left w:val="nil"/>
              <w:bottom w:val="nil"/>
              <w:right w:val="nil"/>
            </w:tcBorders>
            <w:noWrap/>
            <w:vAlign w:val="center"/>
            <w:hideMark/>
          </w:tcPr>
          <w:p w14:paraId="20C687F0"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1.13E-05</w:t>
            </w:r>
          </w:p>
        </w:tc>
        <w:tc>
          <w:tcPr>
            <w:tcW w:w="297" w:type="pct"/>
            <w:tcBorders>
              <w:top w:val="nil"/>
              <w:left w:val="nil"/>
              <w:bottom w:val="nil"/>
              <w:right w:val="nil"/>
            </w:tcBorders>
            <w:noWrap/>
            <w:vAlign w:val="center"/>
            <w:hideMark/>
          </w:tcPr>
          <w:p w14:paraId="7B59C279"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0.000662</w:t>
            </w:r>
          </w:p>
        </w:tc>
        <w:tc>
          <w:tcPr>
            <w:tcW w:w="297" w:type="pct"/>
            <w:tcBorders>
              <w:top w:val="nil"/>
              <w:left w:val="nil"/>
              <w:bottom w:val="nil"/>
              <w:right w:val="nil"/>
            </w:tcBorders>
            <w:noWrap/>
            <w:vAlign w:val="center"/>
            <w:hideMark/>
          </w:tcPr>
          <w:p w14:paraId="3D869651"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0.000601</w:t>
            </w:r>
          </w:p>
        </w:tc>
        <w:tc>
          <w:tcPr>
            <w:tcW w:w="297" w:type="pct"/>
            <w:tcBorders>
              <w:top w:val="nil"/>
              <w:left w:val="nil"/>
              <w:bottom w:val="nil"/>
              <w:right w:val="nil"/>
            </w:tcBorders>
            <w:noWrap/>
            <w:vAlign w:val="center"/>
            <w:hideMark/>
          </w:tcPr>
          <w:p w14:paraId="6F416CBA"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0.003925</w:t>
            </w:r>
          </w:p>
        </w:tc>
        <w:tc>
          <w:tcPr>
            <w:tcW w:w="297" w:type="pct"/>
            <w:tcBorders>
              <w:top w:val="nil"/>
              <w:left w:val="nil"/>
              <w:bottom w:val="nil"/>
              <w:right w:val="nil"/>
            </w:tcBorders>
            <w:noWrap/>
            <w:vAlign w:val="center"/>
            <w:hideMark/>
          </w:tcPr>
          <w:p w14:paraId="3BF50A77"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0.003563</w:t>
            </w:r>
          </w:p>
        </w:tc>
        <w:tc>
          <w:tcPr>
            <w:tcW w:w="297" w:type="pct"/>
            <w:tcBorders>
              <w:top w:val="nil"/>
              <w:left w:val="nil"/>
              <w:bottom w:val="nil"/>
              <w:right w:val="nil"/>
            </w:tcBorders>
            <w:noWrap/>
            <w:vAlign w:val="center"/>
            <w:hideMark/>
          </w:tcPr>
          <w:p w14:paraId="429F4A7A"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0.003997</w:t>
            </w:r>
          </w:p>
        </w:tc>
        <w:tc>
          <w:tcPr>
            <w:tcW w:w="297" w:type="pct"/>
            <w:tcBorders>
              <w:top w:val="nil"/>
              <w:left w:val="nil"/>
              <w:bottom w:val="nil"/>
              <w:right w:val="nil"/>
            </w:tcBorders>
            <w:noWrap/>
            <w:vAlign w:val="center"/>
            <w:hideMark/>
          </w:tcPr>
          <w:p w14:paraId="73F8FC97"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0.003628</w:t>
            </w:r>
          </w:p>
        </w:tc>
        <w:tc>
          <w:tcPr>
            <w:tcW w:w="297" w:type="pct"/>
            <w:tcBorders>
              <w:top w:val="nil"/>
              <w:left w:val="nil"/>
              <w:bottom w:val="nil"/>
              <w:right w:val="nil"/>
            </w:tcBorders>
            <w:noWrap/>
            <w:vAlign w:val="center"/>
            <w:hideMark/>
          </w:tcPr>
          <w:p w14:paraId="31FF17A1"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0.166878</w:t>
            </w:r>
          </w:p>
        </w:tc>
        <w:tc>
          <w:tcPr>
            <w:tcW w:w="297" w:type="pct"/>
            <w:tcBorders>
              <w:top w:val="nil"/>
              <w:left w:val="nil"/>
              <w:bottom w:val="nil"/>
              <w:right w:val="nil"/>
            </w:tcBorders>
            <w:noWrap/>
            <w:vAlign w:val="center"/>
            <w:hideMark/>
          </w:tcPr>
          <w:p w14:paraId="223A4F2F"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0.151489</w:t>
            </w:r>
          </w:p>
        </w:tc>
      </w:tr>
      <w:tr w:rsidR="00E17A0B" w:rsidRPr="00237976" w14:paraId="0FC6AC4F" w14:textId="77777777" w:rsidTr="00115A53">
        <w:trPr>
          <w:trHeight w:val="528"/>
        </w:trPr>
        <w:tc>
          <w:tcPr>
            <w:tcW w:w="846" w:type="pct"/>
            <w:tcBorders>
              <w:top w:val="nil"/>
              <w:left w:val="nil"/>
              <w:bottom w:val="nil"/>
              <w:right w:val="nil"/>
            </w:tcBorders>
            <w:noWrap/>
            <w:vAlign w:val="center"/>
            <w:hideMark/>
          </w:tcPr>
          <w:p w14:paraId="41BEA4CB"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PH031SS</w:t>
            </w:r>
          </w:p>
        </w:tc>
        <w:tc>
          <w:tcPr>
            <w:tcW w:w="297" w:type="pct"/>
            <w:tcBorders>
              <w:top w:val="nil"/>
              <w:left w:val="nil"/>
              <w:bottom w:val="nil"/>
              <w:right w:val="nil"/>
            </w:tcBorders>
            <w:noWrap/>
            <w:vAlign w:val="center"/>
            <w:hideMark/>
          </w:tcPr>
          <w:p w14:paraId="49C4D59D"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8.33E-05</w:t>
            </w:r>
          </w:p>
        </w:tc>
        <w:tc>
          <w:tcPr>
            <w:tcW w:w="297" w:type="pct"/>
            <w:tcBorders>
              <w:top w:val="nil"/>
              <w:left w:val="nil"/>
              <w:bottom w:val="nil"/>
              <w:right w:val="nil"/>
            </w:tcBorders>
            <w:noWrap/>
            <w:vAlign w:val="center"/>
            <w:hideMark/>
          </w:tcPr>
          <w:p w14:paraId="1F43C805"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7.56E-05</w:t>
            </w:r>
          </w:p>
        </w:tc>
        <w:tc>
          <w:tcPr>
            <w:tcW w:w="297" w:type="pct"/>
            <w:tcBorders>
              <w:top w:val="nil"/>
              <w:left w:val="nil"/>
              <w:bottom w:val="nil"/>
              <w:right w:val="nil"/>
            </w:tcBorders>
            <w:noWrap/>
            <w:vAlign w:val="center"/>
            <w:hideMark/>
          </w:tcPr>
          <w:p w14:paraId="065D3572"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0.000833</w:t>
            </w:r>
          </w:p>
        </w:tc>
        <w:tc>
          <w:tcPr>
            <w:tcW w:w="297" w:type="pct"/>
            <w:tcBorders>
              <w:top w:val="nil"/>
              <w:left w:val="nil"/>
              <w:bottom w:val="nil"/>
              <w:right w:val="nil"/>
            </w:tcBorders>
            <w:noWrap/>
            <w:vAlign w:val="center"/>
            <w:hideMark/>
          </w:tcPr>
          <w:p w14:paraId="40D810C9"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0.000756</w:t>
            </w:r>
          </w:p>
        </w:tc>
        <w:tc>
          <w:tcPr>
            <w:tcW w:w="297" w:type="pct"/>
            <w:tcBorders>
              <w:top w:val="nil"/>
              <w:left w:val="nil"/>
              <w:bottom w:val="nil"/>
              <w:right w:val="nil"/>
            </w:tcBorders>
            <w:noWrap/>
            <w:vAlign w:val="center"/>
            <w:hideMark/>
          </w:tcPr>
          <w:p w14:paraId="3C08B59A"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1.25E-05</w:t>
            </w:r>
          </w:p>
        </w:tc>
        <w:tc>
          <w:tcPr>
            <w:tcW w:w="297" w:type="pct"/>
            <w:tcBorders>
              <w:top w:val="nil"/>
              <w:left w:val="nil"/>
              <w:bottom w:val="nil"/>
              <w:right w:val="nil"/>
            </w:tcBorders>
            <w:noWrap/>
            <w:vAlign w:val="center"/>
            <w:hideMark/>
          </w:tcPr>
          <w:p w14:paraId="352BB2D5"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1.13E-05</w:t>
            </w:r>
          </w:p>
        </w:tc>
        <w:tc>
          <w:tcPr>
            <w:tcW w:w="297" w:type="pct"/>
            <w:tcBorders>
              <w:top w:val="nil"/>
              <w:left w:val="nil"/>
              <w:bottom w:val="nil"/>
              <w:right w:val="nil"/>
            </w:tcBorders>
            <w:noWrap/>
            <w:vAlign w:val="center"/>
            <w:hideMark/>
          </w:tcPr>
          <w:p w14:paraId="68785FB5"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0.000768</w:t>
            </w:r>
          </w:p>
        </w:tc>
        <w:tc>
          <w:tcPr>
            <w:tcW w:w="297" w:type="pct"/>
            <w:tcBorders>
              <w:top w:val="nil"/>
              <w:left w:val="nil"/>
              <w:bottom w:val="nil"/>
              <w:right w:val="nil"/>
            </w:tcBorders>
            <w:noWrap/>
            <w:vAlign w:val="center"/>
            <w:hideMark/>
          </w:tcPr>
          <w:p w14:paraId="6CFC83C9"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0.000697</w:t>
            </w:r>
          </w:p>
        </w:tc>
        <w:tc>
          <w:tcPr>
            <w:tcW w:w="297" w:type="pct"/>
            <w:tcBorders>
              <w:top w:val="nil"/>
              <w:left w:val="nil"/>
              <w:bottom w:val="nil"/>
              <w:right w:val="nil"/>
            </w:tcBorders>
            <w:noWrap/>
            <w:vAlign w:val="center"/>
            <w:hideMark/>
          </w:tcPr>
          <w:p w14:paraId="2E58987A"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0.004746</w:t>
            </w:r>
          </w:p>
        </w:tc>
        <w:tc>
          <w:tcPr>
            <w:tcW w:w="297" w:type="pct"/>
            <w:tcBorders>
              <w:top w:val="nil"/>
              <w:left w:val="nil"/>
              <w:bottom w:val="nil"/>
              <w:right w:val="nil"/>
            </w:tcBorders>
            <w:noWrap/>
            <w:vAlign w:val="center"/>
            <w:hideMark/>
          </w:tcPr>
          <w:p w14:paraId="17DE4DE0"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0.004308</w:t>
            </w:r>
          </w:p>
        </w:tc>
        <w:tc>
          <w:tcPr>
            <w:tcW w:w="297" w:type="pct"/>
            <w:tcBorders>
              <w:top w:val="nil"/>
              <w:left w:val="nil"/>
              <w:bottom w:val="nil"/>
              <w:right w:val="nil"/>
            </w:tcBorders>
            <w:noWrap/>
            <w:vAlign w:val="center"/>
            <w:hideMark/>
          </w:tcPr>
          <w:p w14:paraId="465E3DC7"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0.012489</w:t>
            </w:r>
          </w:p>
        </w:tc>
        <w:tc>
          <w:tcPr>
            <w:tcW w:w="297" w:type="pct"/>
            <w:tcBorders>
              <w:top w:val="nil"/>
              <w:left w:val="nil"/>
              <w:bottom w:val="nil"/>
              <w:right w:val="nil"/>
            </w:tcBorders>
            <w:noWrap/>
            <w:vAlign w:val="center"/>
            <w:hideMark/>
          </w:tcPr>
          <w:p w14:paraId="2874C600"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0.011338</w:t>
            </w:r>
          </w:p>
        </w:tc>
        <w:tc>
          <w:tcPr>
            <w:tcW w:w="297" w:type="pct"/>
            <w:tcBorders>
              <w:top w:val="nil"/>
              <w:left w:val="nil"/>
              <w:bottom w:val="nil"/>
              <w:right w:val="nil"/>
            </w:tcBorders>
            <w:noWrap/>
            <w:vAlign w:val="center"/>
            <w:hideMark/>
          </w:tcPr>
          <w:p w14:paraId="22DCA526"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0.018932</w:t>
            </w:r>
          </w:p>
        </w:tc>
        <w:tc>
          <w:tcPr>
            <w:tcW w:w="297" w:type="pct"/>
            <w:tcBorders>
              <w:top w:val="nil"/>
              <w:left w:val="nil"/>
              <w:bottom w:val="nil"/>
              <w:right w:val="nil"/>
            </w:tcBorders>
            <w:noWrap/>
            <w:vAlign w:val="center"/>
            <w:hideMark/>
          </w:tcPr>
          <w:p w14:paraId="05B870A9"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0.017186</w:t>
            </w:r>
          </w:p>
        </w:tc>
      </w:tr>
      <w:tr w:rsidR="00E17A0B" w:rsidRPr="00237976" w14:paraId="400737A7" w14:textId="77777777" w:rsidTr="00115A53">
        <w:trPr>
          <w:trHeight w:val="528"/>
        </w:trPr>
        <w:tc>
          <w:tcPr>
            <w:tcW w:w="846" w:type="pct"/>
            <w:tcBorders>
              <w:top w:val="nil"/>
              <w:left w:val="nil"/>
              <w:bottom w:val="nil"/>
              <w:right w:val="nil"/>
            </w:tcBorders>
            <w:noWrap/>
            <w:vAlign w:val="center"/>
            <w:hideMark/>
          </w:tcPr>
          <w:p w14:paraId="53CD0CEB"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PH04CSSN</w:t>
            </w:r>
          </w:p>
        </w:tc>
        <w:tc>
          <w:tcPr>
            <w:tcW w:w="297" w:type="pct"/>
            <w:tcBorders>
              <w:top w:val="nil"/>
              <w:left w:val="nil"/>
              <w:bottom w:val="nil"/>
              <w:right w:val="nil"/>
            </w:tcBorders>
            <w:noWrap/>
            <w:vAlign w:val="center"/>
            <w:hideMark/>
          </w:tcPr>
          <w:p w14:paraId="7C757260"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0.006869</w:t>
            </w:r>
          </w:p>
        </w:tc>
        <w:tc>
          <w:tcPr>
            <w:tcW w:w="297" w:type="pct"/>
            <w:tcBorders>
              <w:top w:val="nil"/>
              <w:left w:val="nil"/>
              <w:bottom w:val="nil"/>
              <w:right w:val="nil"/>
            </w:tcBorders>
            <w:noWrap/>
            <w:vAlign w:val="center"/>
            <w:hideMark/>
          </w:tcPr>
          <w:p w14:paraId="40B1D95E"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0.006236</w:t>
            </w:r>
          </w:p>
        </w:tc>
        <w:tc>
          <w:tcPr>
            <w:tcW w:w="297" w:type="pct"/>
            <w:tcBorders>
              <w:top w:val="nil"/>
              <w:left w:val="nil"/>
              <w:bottom w:val="nil"/>
              <w:right w:val="nil"/>
            </w:tcBorders>
            <w:noWrap/>
            <w:vAlign w:val="center"/>
            <w:hideMark/>
          </w:tcPr>
          <w:p w14:paraId="01ECB4CF"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0.370517</w:t>
            </w:r>
          </w:p>
        </w:tc>
        <w:tc>
          <w:tcPr>
            <w:tcW w:w="297" w:type="pct"/>
            <w:tcBorders>
              <w:top w:val="nil"/>
              <w:left w:val="nil"/>
              <w:bottom w:val="nil"/>
              <w:right w:val="nil"/>
            </w:tcBorders>
            <w:noWrap/>
            <w:vAlign w:val="center"/>
            <w:hideMark/>
          </w:tcPr>
          <w:p w14:paraId="70E10B84"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0.336349</w:t>
            </w:r>
          </w:p>
        </w:tc>
        <w:tc>
          <w:tcPr>
            <w:tcW w:w="297" w:type="pct"/>
            <w:tcBorders>
              <w:top w:val="nil"/>
              <w:left w:val="nil"/>
              <w:bottom w:val="nil"/>
              <w:right w:val="nil"/>
            </w:tcBorders>
            <w:noWrap/>
            <w:vAlign w:val="center"/>
            <w:hideMark/>
          </w:tcPr>
          <w:p w14:paraId="0483A824"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0.001542</w:t>
            </w:r>
          </w:p>
        </w:tc>
        <w:tc>
          <w:tcPr>
            <w:tcW w:w="297" w:type="pct"/>
            <w:tcBorders>
              <w:top w:val="nil"/>
              <w:left w:val="nil"/>
              <w:bottom w:val="nil"/>
              <w:right w:val="nil"/>
            </w:tcBorders>
            <w:noWrap/>
            <w:vAlign w:val="center"/>
            <w:hideMark/>
          </w:tcPr>
          <w:p w14:paraId="49D627BF"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0.0014</w:t>
            </w:r>
          </w:p>
        </w:tc>
        <w:tc>
          <w:tcPr>
            <w:tcW w:w="297" w:type="pct"/>
            <w:tcBorders>
              <w:top w:val="nil"/>
              <w:left w:val="nil"/>
              <w:bottom w:val="nil"/>
              <w:right w:val="nil"/>
            </w:tcBorders>
            <w:noWrap/>
            <w:vAlign w:val="center"/>
            <w:hideMark/>
          </w:tcPr>
          <w:p w14:paraId="37BFACD8"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0.002001</w:t>
            </w:r>
          </w:p>
        </w:tc>
        <w:tc>
          <w:tcPr>
            <w:tcW w:w="297" w:type="pct"/>
            <w:tcBorders>
              <w:top w:val="nil"/>
              <w:left w:val="nil"/>
              <w:bottom w:val="nil"/>
              <w:right w:val="nil"/>
            </w:tcBorders>
            <w:noWrap/>
            <w:vAlign w:val="center"/>
            <w:hideMark/>
          </w:tcPr>
          <w:p w14:paraId="4F56A7DE"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0.001817</w:t>
            </w:r>
          </w:p>
        </w:tc>
        <w:tc>
          <w:tcPr>
            <w:tcW w:w="297" w:type="pct"/>
            <w:tcBorders>
              <w:top w:val="nil"/>
              <w:left w:val="nil"/>
              <w:bottom w:val="nil"/>
              <w:right w:val="nil"/>
            </w:tcBorders>
            <w:noWrap/>
            <w:vAlign w:val="center"/>
            <w:hideMark/>
          </w:tcPr>
          <w:p w14:paraId="4A72E1D7"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0.012168</w:t>
            </w:r>
          </w:p>
        </w:tc>
        <w:tc>
          <w:tcPr>
            <w:tcW w:w="297" w:type="pct"/>
            <w:tcBorders>
              <w:top w:val="nil"/>
              <w:left w:val="nil"/>
              <w:bottom w:val="nil"/>
              <w:right w:val="nil"/>
            </w:tcBorders>
            <w:noWrap/>
            <w:vAlign w:val="center"/>
            <w:hideMark/>
          </w:tcPr>
          <w:p w14:paraId="344EC80D"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0.011046</w:t>
            </w:r>
          </w:p>
        </w:tc>
        <w:tc>
          <w:tcPr>
            <w:tcW w:w="297" w:type="pct"/>
            <w:tcBorders>
              <w:top w:val="nil"/>
              <w:left w:val="nil"/>
              <w:bottom w:val="nil"/>
              <w:right w:val="nil"/>
            </w:tcBorders>
            <w:noWrap/>
            <w:vAlign w:val="center"/>
            <w:hideMark/>
          </w:tcPr>
          <w:p w14:paraId="4D5D777C"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0.014862</w:t>
            </w:r>
          </w:p>
        </w:tc>
        <w:tc>
          <w:tcPr>
            <w:tcW w:w="297" w:type="pct"/>
            <w:tcBorders>
              <w:top w:val="nil"/>
              <w:left w:val="nil"/>
              <w:bottom w:val="nil"/>
              <w:right w:val="nil"/>
            </w:tcBorders>
            <w:noWrap/>
            <w:vAlign w:val="center"/>
            <w:hideMark/>
          </w:tcPr>
          <w:p w14:paraId="15BDA4F2"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0.013492</w:t>
            </w:r>
          </w:p>
        </w:tc>
        <w:tc>
          <w:tcPr>
            <w:tcW w:w="297" w:type="pct"/>
            <w:tcBorders>
              <w:top w:val="nil"/>
              <w:left w:val="nil"/>
              <w:bottom w:val="nil"/>
              <w:right w:val="nil"/>
            </w:tcBorders>
            <w:noWrap/>
            <w:vAlign w:val="center"/>
            <w:hideMark/>
          </w:tcPr>
          <w:p w14:paraId="276D83AD"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0.407961</w:t>
            </w:r>
          </w:p>
        </w:tc>
        <w:tc>
          <w:tcPr>
            <w:tcW w:w="297" w:type="pct"/>
            <w:tcBorders>
              <w:top w:val="nil"/>
              <w:left w:val="nil"/>
              <w:bottom w:val="nil"/>
              <w:right w:val="nil"/>
            </w:tcBorders>
            <w:noWrap/>
            <w:vAlign w:val="center"/>
            <w:hideMark/>
          </w:tcPr>
          <w:p w14:paraId="2F613A52"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0.37034</w:t>
            </w:r>
          </w:p>
        </w:tc>
      </w:tr>
      <w:tr w:rsidR="00E17A0B" w:rsidRPr="00237976" w14:paraId="202DBDBD" w14:textId="77777777" w:rsidTr="00115A53">
        <w:trPr>
          <w:trHeight w:val="528"/>
        </w:trPr>
        <w:tc>
          <w:tcPr>
            <w:tcW w:w="846" w:type="pct"/>
            <w:tcBorders>
              <w:top w:val="nil"/>
              <w:left w:val="nil"/>
              <w:bottom w:val="nil"/>
              <w:right w:val="nil"/>
            </w:tcBorders>
            <w:noWrap/>
            <w:vAlign w:val="center"/>
            <w:hideMark/>
          </w:tcPr>
          <w:p w14:paraId="6FEECFAA"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PH05CIA</w:t>
            </w:r>
          </w:p>
        </w:tc>
        <w:tc>
          <w:tcPr>
            <w:tcW w:w="297" w:type="pct"/>
            <w:tcBorders>
              <w:top w:val="nil"/>
              <w:left w:val="nil"/>
              <w:bottom w:val="nil"/>
              <w:right w:val="nil"/>
            </w:tcBorders>
            <w:noWrap/>
            <w:vAlign w:val="center"/>
            <w:hideMark/>
          </w:tcPr>
          <w:p w14:paraId="37A1B055"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8.33E-05</w:t>
            </w:r>
          </w:p>
        </w:tc>
        <w:tc>
          <w:tcPr>
            <w:tcW w:w="297" w:type="pct"/>
            <w:tcBorders>
              <w:top w:val="nil"/>
              <w:left w:val="nil"/>
              <w:bottom w:val="nil"/>
              <w:right w:val="nil"/>
            </w:tcBorders>
            <w:noWrap/>
            <w:vAlign w:val="center"/>
            <w:hideMark/>
          </w:tcPr>
          <w:p w14:paraId="50F68538"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7.56E-05</w:t>
            </w:r>
          </w:p>
        </w:tc>
        <w:tc>
          <w:tcPr>
            <w:tcW w:w="297" w:type="pct"/>
            <w:tcBorders>
              <w:top w:val="nil"/>
              <w:left w:val="nil"/>
              <w:bottom w:val="nil"/>
              <w:right w:val="nil"/>
            </w:tcBorders>
            <w:noWrap/>
            <w:vAlign w:val="center"/>
            <w:hideMark/>
          </w:tcPr>
          <w:p w14:paraId="1C61951B"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0.070773</w:t>
            </w:r>
          </w:p>
        </w:tc>
        <w:tc>
          <w:tcPr>
            <w:tcW w:w="297" w:type="pct"/>
            <w:tcBorders>
              <w:top w:val="nil"/>
              <w:left w:val="nil"/>
              <w:bottom w:val="nil"/>
              <w:right w:val="nil"/>
            </w:tcBorders>
            <w:noWrap/>
            <w:vAlign w:val="center"/>
            <w:hideMark/>
          </w:tcPr>
          <w:p w14:paraId="66A1E587"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0.064247</w:t>
            </w:r>
          </w:p>
        </w:tc>
        <w:tc>
          <w:tcPr>
            <w:tcW w:w="297" w:type="pct"/>
            <w:tcBorders>
              <w:top w:val="nil"/>
              <w:left w:val="nil"/>
              <w:bottom w:val="nil"/>
              <w:right w:val="nil"/>
            </w:tcBorders>
            <w:noWrap/>
            <w:vAlign w:val="center"/>
            <w:hideMark/>
          </w:tcPr>
          <w:p w14:paraId="6BEF5923"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1.25E-05</w:t>
            </w:r>
          </w:p>
        </w:tc>
        <w:tc>
          <w:tcPr>
            <w:tcW w:w="297" w:type="pct"/>
            <w:tcBorders>
              <w:top w:val="nil"/>
              <w:left w:val="nil"/>
              <w:bottom w:val="nil"/>
              <w:right w:val="nil"/>
            </w:tcBorders>
            <w:noWrap/>
            <w:vAlign w:val="center"/>
            <w:hideMark/>
          </w:tcPr>
          <w:p w14:paraId="583B7F89"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1.13E-05</w:t>
            </w:r>
          </w:p>
        </w:tc>
        <w:tc>
          <w:tcPr>
            <w:tcW w:w="297" w:type="pct"/>
            <w:tcBorders>
              <w:top w:val="nil"/>
              <w:left w:val="nil"/>
              <w:bottom w:val="nil"/>
              <w:right w:val="nil"/>
            </w:tcBorders>
            <w:noWrap/>
            <w:vAlign w:val="center"/>
            <w:hideMark/>
          </w:tcPr>
          <w:p w14:paraId="7D98934B"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0.000434</w:t>
            </w:r>
          </w:p>
        </w:tc>
        <w:tc>
          <w:tcPr>
            <w:tcW w:w="297" w:type="pct"/>
            <w:tcBorders>
              <w:top w:val="nil"/>
              <w:left w:val="nil"/>
              <w:bottom w:val="nil"/>
              <w:right w:val="nil"/>
            </w:tcBorders>
            <w:noWrap/>
            <w:vAlign w:val="center"/>
            <w:hideMark/>
          </w:tcPr>
          <w:p w14:paraId="61578CFF"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0.000394</w:t>
            </w:r>
          </w:p>
        </w:tc>
        <w:tc>
          <w:tcPr>
            <w:tcW w:w="297" w:type="pct"/>
            <w:tcBorders>
              <w:top w:val="nil"/>
              <w:left w:val="nil"/>
              <w:bottom w:val="nil"/>
              <w:right w:val="nil"/>
            </w:tcBorders>
            <w:noWrap/>
            <w:vAlign w:val="center"/>
            <w:hideMark/>
          </w:tcPr>
          <w:p w14:paraId="76C8EA13"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0.091743</w:t>
            </w:r>
          </w:p>
        </w:tc>
        <w:tc>
          <w:tcPr>
            <w:tcW w:w="297" w:type="pct"/>
            <w:tcBorders>
              <w:top w:val="nil"/>
              <w:left w:val="nil"/>
              <w:bottom w:val="nil"/>
              <w:right w:val="nil"/>
            </w:tcBorders>
            <w:noWrap/>
            <w:vAlign w:val="center"/>
            <w:hideMark/>
          </w:tcPr>
          <w:p w14:paraId="14C8DA22"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0.083283</w:t>
            </w:r>
          </w:p>
        </w:tc>
        <w:tc>
          <w:tcPr>
            <w:tcW w:w="297" w:type="pct"/>
            <w:tcBorders>
              <w:top w:val="nil"/>
              <w:left w:val="nil"/>
              <w:bottom w:val="nil"/>
              <w:right w:val="nil"/>
            </w:tcBorders>
            <w:noWrap/>
            <w:vAlign w:val="center"/>
            <w:hideMark/>
          </w:tcPr>
          <w:p w14:paraId="78650E4F"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0.00587</w:t>
            </w:r>
          </w:p>
        </w:tc>
        <w:tc>
          <w:tcPr>
            <w:tcW w:w="297" w:type="pct"/>
            <w:tcBorders>
              <w:top w:val="nil"/>
              <w:left w:val="nil"/>
              <w:bottom w:val="nil"/>
              <w:right w:val="nil"/>
            </w:tcBorders>
            <w:noWrap/>
            <w:vAlign w:val="center"/>
            <w:hideMark/>
          </w:tcPr>
          <w:p w14:paraId="57E2E33C"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0.005329</w:t>
            </w:r>
          </w:p>
        </w:tc>
        <w:tc>
          <w:tcPr>
            <w:tcW w:w="297" w:type="pct"/>
            <w:tcBorders>
              <w:top w:val="nil"/>
              <w:left w:val="nil"/>
              <w:bottom w:val="nil"/>
              <w:right w:val="nil"/>
            </w:tcBorders>
            <w:noWrap/>
            <w:vAlign w:val="center"/>
            <w:hideMark/>
          </w:tcPr>
          <w:p w14:paraId="36345C6C"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0.168916</w:t>
            </w:r>
          </w:p>
        </w:tc>
        <w:tc>
          <w:tcPr>
            <w:tcW w:w="297" w:type="pct"/>
            <w:tcBorders>
              <w:top w:val="nil"/>
              <w:left w:val="nil"/>
              <w:bottom w:val="nil"/>
              <w:right w:val="nil"/>
            </w:tcBorders>
            <w:noWrap/>
            <w:vAlign w:val="center"/>
            <w:hideMark/>
          </w:tcPr>
          <w:p w14:paraId="11CA7D18"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0.153339</w:t>
            </w:r>
          </w:p>
        </w:tc>
      </w:tr>
      <w:tr w:rsidR="00E17A0B" w:rsidRPr="00237976" w14:paraId="514775C8" w14:textId="77777777" w:rsidTr="00115A53">
        <w:trPr>
          <w:trHeight w:val="528"/>
        </w:trPr>
        <w:tc>
          <w:tcPr>
            <w:tcW w:w="846" w:type="pct"/>
            <w:tcBorders>
              <w:top w:val="nil"/>
              <w:left w:val="nil"/>
              <w:bottom w:val="nil"/>
              <w:right w:val="nil"/>
            </w:tcBorders>
            <w:noWrap/>
            <w:vAlign w:val="center"/>
            <w:hideMark/>
          </w:tcPr>
          <w:p w14:paraId="15D4C218"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PH06GGSS</w:t>
            </w:r>
          </w:p>
        </w:tc>
        <w:tc>
          <w:tcPr>
            <w:tcW w:w="297" w:type="pct"/>
            <w:tcBorders>
              <w:top w:val="nil"/>
              <w:left w:val="nil"/>
              <w:bottom w:val="nil"/>
              <w:right w:val="nil"/>
            </w:tcBorders>
            <w:noWrap/>
            <w:vAlign w:val="center"/>
            <w:hideMark/>
          </w:tcPr>
          <w:p w14:paraId="1E26E2AB"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8.33E-05</w:t>
            </w:r>
          </w:p>
        </w:tc>
        <w:tc>
          <w:tcPr>
            <w:tcW w:w="297" w:type="pct"/>
            <w:tcBorders>
              <w:top w:val="nil"/>
              <w:left w:val="nil"/>
              <w:bottom w:val="nil"/>
              <w:right w:val="nil"/>
            </w:tcBorders>
            <w:noWrap/>
            <w:vAlign w:val="center"/>
            <w:hideMark/>
          </w:tcPr>
          <w:p w14:paraId="54D28CB1"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7.56E-05</w:t>
            </w:r>
          </w:p>
        </w:tc>
        <w:tc>
          <w:tcPr>
            <w:tcW w:w="297" w:type="pct"/>
            <w:tcBorders>
              <w:top w:val="nil"/>
              <w:left w:val="nil"/>
              <w:bottom w:val="nil"/>
              <w:right w:val="nil"/>
            </w:tcBorders>
            <w:noWrap/>
            <w:vAlign w:val="center"/>
            <w:hideMark/>
          </w:tcPr>
          <w:p w14:paraId="2C6C4296"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0.162361</w:t>
            </w:r>
          </w:p>
        </w:tc>
        <w:tc>
          <w:tcPr>
            <w:tcW w:w="297" w:type="pct"/>
            <w:tcBorders>
              <w:top w:val="nil"/>
              <w:left w:val="nil"/>
              <w:bottom w:val="nil"/>
              <w:right w:val="nil"/>
            </w:tcBorders>
            <w:noWrap/>
            <w:vAlign w:val="center"/>
            <w:hideMark/>
          </w:tcPr>
          <w:p w14:paraId="504337A1"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0.147389</w:t>
            </w:r>
          </w:p>
        </w:tc>
        <w:tc>
          <w:tcPr>
            <w:tcW w:w="297" w:type="pct"/>
            <w:tcBorders>
              <w:top w:val="nil"/>
              <w:left w:val="nil"/>
              <w:bottom w:val="nil"/>
              <w:right w:val="nil"/>
            </w:tcBorders>
            <w:noWrap/>
            <w:vAlign w:val="center"/>
            <w:hideMark/>
          </w:tcPr>
          <w:p w14:paraId="3DB9EBBD"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1.25E-05</w:t>
            </w:r>
          </w:p>
        </w:tc>
        <w:tc>
          <w:tcPr>
            <w:tcW w:w="297" w:type="pct"/>
            <w:tcBorders>
              <w:top w:val="nil"/>
              <w:left w:val="nil"/>
              <w:bottom w:val="nil"/>
              <w:right w:val="nil"/>
            </w:tcBorders>
            <w:noWrap/>
            <w:vAlign w:val="center"/>
            <w:hideMark/>
          </w:tcPr>
          <w:p w14:paraId="209579BE"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1.13E-05</w:t>
            </w:r>
          </w:p>
        </w:tc>
        <w:tc>
          <w:tcPr>
            <w:tcW w:w="297" w:type="pct"/>
            <w:tcBorders>
              <w:top w:val="nil"/>
              <w:left w:val="nil"/>
              <w:bottom w:val="nil"/>
              <w:right w:val="nil"/>
            </w:tcBorders>
            <w:noWrap/>
            <w:vAlign w:val="center"/>
            <w:hideMark/>
          </w:tcPr>
          <w:p w14:paraId="216C3DD3"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0.005133</w:t>
            </w:r>
          </w:p>
        </w:tc>
        <w:tc>
          <w:tcPr>
            <w:tcW w:w="297" w:type="pct"/>
            <w:tcBorders>
              <w:top w:val="nil"/>
              <w:left w:val="nil"/>
              <w:bottom w:val="nil"/>
              <w:right w:val="nil"/>
            </w:tcBorders>
            <w:noWrap/>
            <w:vAlign w:val="center"/>
            <w:hideMark/>
          </w:tcPr>
          <w:p w14:paraId="508C8C49"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0.00466</w:t>
            </w:r>
          </w:p>
        </w:tc>
        <w:tc>
          <w:tcPr>
            <w:tcW w:w="297" w:type="pct"/>
            <w:tcBorders>
              <w:top w:val="nil"/>
              <w:left w:val="nil"/>
              <w:bottom w:val="nil"/>
              <w:right w:val="nil"/>
            </w:tcBorders>
            <w:noWrap/>
            <w:vAlign w:val="center"/>
            <w:hideMark/>
          </w:tcPr>
          <w:p w14:paraId="3AEEB50C"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0.001677</w:t>
            </w:r>
          </w:p>
        </w:tc>
        <w:tc>
          <w:tcPr>
            <w:tcW w:w="297" w:type="pct"/>
            <w:tcBorders>
              <w:top w:val="nil"/>
              <w:left w:val="nil"/>
              <w:bottom w:val="nil"/>
              <w:right w:val="nil"/>
            </w:tcBorders>
            <w:noWrap/>
            <w:vAlign w:val="center"/>
            <w:hideMark/>
          </w:tcPr>
          <w:p w14:paraId="72A44FBE"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0.001522</w:t>
            </w:r>
          </w:p>
        </w:tc>
        <w:tc>
          <w:tcPr>
            <w:tcW w:w="297" w:type="pct"/>
            <w:tcBorders>
              <w:top w:val="nil"/>
              <w:left w:val="nil"/>
              <w:bottom w:val="nil"/>
              <w:right w:val="nil"/>
            </w:tcBorders>
            <w:noWrap/>
            <w:vAlign w:val="center"/>
            <w:hideMark/>
          </w:tcPr>
          <w:p w14:paraId="249429AE"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0.005745</w:t>
            </w:r>
          </w:p>
        </w:tc>
        <w:tc>
          <w:tcPr>
            <w:tcW w:w="297" w:type="pct"/>
            <w:tcBorders>
              <w:top w:val="nil"/>
              <w:left w:val="nil"/>
              <w:bottom w:val="nil"/>
              <w:right w:val="nil"/>
            </w:tcBorders>
            <w:noWrap/>
            <w:vAlign w:val="center"/>
            <w:hideMark/>
          </w:tcPr>
          <w:p w14:paraId="630FC336"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0.005215</w:t>
            </w:r>
          </w:p>
        </w:tc>
        <w:tc>
          <w:tcPr>
            <w:tcW w:w="297" w:type="pct"/>
            <w:tcBorders>
              <w:top w:val="nil"/>
              <w:left w:val="nil"/>
              <w:bottom w:val="nil"/>
              <w:right w:val="nil"/>
            </w:tcBorders>
            <w:noWrap/>
            <w:vAlign w:val="center"/>
            <w:hideMark/>
          </w:tcPr>
          <w:p w14:paraId="6EC0E800"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0.175013</w:t>
            </w:r>
          </w:p>
        </w:tc>
        <w:tc>
          <w:tcPr>
            <w:tcW w:w="297" w:type="pct"/>
            <w:tcBorders>
              <w:top w:val="nil"/>
              <w:left w:val="nil"/>
              <w:bottom w:val="nil"/>
              <w:right w:val="nil"/>
            </w:tcBorders>
            <w:noWrap/>
            <w:vAlign w:val="center"/>
            <w:hideMark/>
          </w:tcPr>
          <w:p w14:paraId="79912BBA"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0.158874</w:t>
            </w:r>
          </w:p>
        </w:tc>
      </w:tr>
      <w:tr w:rsidR="00E17A0B" w:rsidRPr="00237976" w14:paraId="736AC225" w14:textId="77777777" w:rsidTr="00115A53">
        <w:trPr>
          <w:trHeight w:val="528"/>
        </w:trPr>
        <w:tc>
          <w:tcPr>
            <w:tcW w:w="846" w:type="pct"/>
            <w:tcBorders>
              <w:top w:val="nil"/>
              <w:left w:val="nil"/>
              <w:bottom w:val="nil"/>
              <w:right w:val="nil"/>
            </w:tcBorders>
            <w:noWrap/>
            <w:vAlign w:val="center"/>
            <w:hideMark/>
          </w:tcPr>
          <w:p w14:paraId="3D7E5332"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PH07GCSS</w:t>
            </w:r>
          </w:p>
        </w:tc>
        <w:tc>
          <w:tcPr>
            <w:tcW w:w="297" w:type="pct"/>
            <w:tcBorders>
              <w:top w:val="nil"/>
              <w:left w:val="nil"/>
              <w:bottom w:val="nil"/>
              <w:right w:val="nil"/>
            </w:tcBorders>
            <w:noWrap/>
            <w:vAlign w:val="center"/>
            <w:hideMark/>
          </w:tcPr>
          <w:p w14:paraId="324A8154"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0.022065</w:t>
            </w:r>
          </w:p>
        </w:tc>
        <w:tc>
          <w:tcPr>
            <w:tcW w:w="297" w:type="pct"/>
            <w:tcBorders>
              <w:top w:val="nil"/>
              <w:left w:val="nil"/>
              <w:bottom w:val="nil"/>
              <w:right w:val="nil"/>
            </w:tcBorders>
            <w:noWrap/>
            <w:vAlign w:val="center"/>
            <w:hideMark/>
          </w:tcPr>
          <w:p w14:paraId="6F503706"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0.02003</w:t>
            </w:r>
          </w:p>
        </w:tc>
        <w:tc>
          <w:tcPr>
            <w:tcW w:w="297" w:type="pct"/>
            <w:tcBorders>
              <w:top w:val="nil"/>
              <w:left w:val="nil"/>
              <w:bottom w:val="nil"/>
              <w:right w:val="nil"/>
            </w:tcBorders>
            <w:noWrap/>
            <w:vAlign w:val="center"/>
            <w:hideMark/>
          </w:tcPr>
          <w:p w14:paraId="735BD444"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0.391333</w:t>
            </w:r>
          </w:p>
        </w:tc>
        <w:tc>
          <w:tcPr>
            <w:tcW w:w="297" w:type="pct"/>
            <w:tcBorders>
              <w:top w:val="nil"/>
              <w:left w:val="nil"/>
              <w:bottom w:val="nil"/>
              <w:right w:val="nil"/>
            </w:tcBorders>
            <w:noWrap/>
            <w:vAlign w:val="center"/>
            <w:hideMark/>
          </w:tcPr>
          <w:p w14:paraId="24EB34E8"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0.355245</w:t>
            </w:r>
          </w:p>
        </w:tc>
        <w:tc>
          <w:tcPr>
            <w:tcW w:w="297" w:type="pct"/>
            <w:tcBorders>
              <w:top w:val="nil"/>
              <w:left w:val="nil"/>
              <w:bottom w:val="nil"/>
              <w:right w:val="nil"/>
            </w:tcBorders>
            <w:noWrap/>
            <w:vAlign w:val="center"/>
            <w:hideMark/>
          </w:tcPr>
          <w:p w14:paraId="6E597A07"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0.00394</w:t>
            </w:r>
          </w:p>
        </w:tc>
        <w:tc>
          <w:tcPr>
            <w:tcW w:w="297" w:type="pct"/>
            <w:tcBorders>
              <w:top w:val="nil"/>
              <w:left w:val="nil"/>
              <w:bottom w:val="nil"/>
              <w:right w:val="nil"/>
            </w:tcBorders>
            <w:noWrap/>
            <w:vAlign w:val="center"/>
            <w:hideMark/>
          </w:tcPr>
          <w:p w14:paraId="79AB3EE6"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0.003577</w:t>
            </w:r>
          </w:p>
        </w:tc>
        <w:tc>
          <w:tcPr>
            <w:tcW w:w="297" w:type="pct"/>
            <w:tcBorders>
              <w:top w:val="nil"/>
              <w:left w:val="nil"/>
              <w:bottom w:val="nil"/>
              <w:right w:val="nil"/>
            </w:tcBorders>
            <w:noWrap/>
            <w:vAlign w:val="center"/>
            <w:hideMark/>
          </w:tcPr>
          <w:p w14:paraId="3998EE2C"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0.008009</w:t>
            </w:r>
          </w:p>
        </w:tc>
        <w:tc>
          <w:tcPr>
            <w:tcW w:w="297" w:type="pct"/>
            <w:tcBorders>
              <w:top w:val="nil"/>
              <w:left w:val="nil"/>
              <w:bottom w:val="nil"/>
              <w:right w:val="nil"/>
            </w:tcBorders>
            <w:noWrap/>
            <w:vAlign w:val="center"/>
            <w:hideMark/>
          </w:tcPr>
          <w:p w14:paraId="3AF5E820"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0.00727</w:t>
            </w:r>
          </w:p>
        </w:tc>
        <w:tc>
          <w:tcPr>
            <w:tcW w:w="297" w:type="pct"/>
            <w:tcBorders>
              <w:top w:val="nil"/>
              <w:left w:val="nil"/>
              <w:bottom w:val="nil"/>
              <w:right w:val="nil"/>
            </w:tcBorders>
            <w:noWrap/>
            <w:vAlign w:val="center"/>
            <w:hideMark/>
          </w:tcPr>
          <w:p w14:paraId="06D6DAD0"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0.024693</w:t>
            </w:r>
          </w:p>
        </w:tc>
        <w:tc>
          <w:tcPr>
            <w:tcW w:w="297" w:type="pct"/>
            <w:tcBorders>
              <w:top w:val="nil"/>
              <w:left w:val="nil"/>
              <w:bottom w:val="nil"/>
              <w:right w:val="nil"/>
            </w:tcBorders>
            <w:noWrap/>
            <w:vAlign w:val="center"/>
            <w:hideMark/>
          </w:tcPr>
          <w:p w14:paraId="7B95001A"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0.022416</w:t>
            </w:r>
          </w:p>
        </w:tc>
        <w:tc>
          <w:tcPr>
            <w:tcW w:w="297" w:type="pct"/>
            <w:tcBorders>
              <w:top w:val="nil"/>
              <w:left w:val="nil"/>
              <w:bottom w:val="nil"/>
              <w:right w:val="nil"/>
            </w:tcBorders>
            <w:noWrap/>
            <w:vAlign w:val="center"/>
            <w:hideMark/>
          </w:tcPr>
          <w:p w14:paraId="1E31DB89"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0.003372</w:t>
            </w:r>
          </w:p>
        </w:tc>
        <w:tc>
          <w:tcPr>
            <w:tcW w:w="297" w:type="pct"/>
            <w:tcBorders>
              <w:top w:val="nil"/>
              <w:left w:val="nil"/>
              <w:bottom w:val="nil"/>
              <w:right w:val="nil"/>
            </w:tcBorders>
            <w:noWrap/>
            <w:vAlign w:val="center"/>
            <w:hideMark/>
          </w:tcPr>
          <w:p w14:paraId="79BFD46F"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0.003061</w:t>
            </w:r>
          </w:p>
        </w:tc>
        <w:tc>
          <w:tcPr>
            <w:tcW w:w="297" w:type="pct"/>
            <w:tcBorders>
              <w:top w:val="nil"/>
              <w:left w:val="nil"/>
              <w:bottom w:val="nil"/>
              <w:right w:val="nil"/>
            </w:tcBorders>
            <w:noWrap/>
            <w:vAlign w:val="center"/>
            <w:hideMark/>
          </w:tcPr>
          <w:p w14:paraId="4F4592F8"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0.453412</w:t>
            </w:r>
          </w:p>
        </w:tc>
        <w:tc>
          <w:tcPr>
            <w:tcW w:w="297" w:type="pct"/>
            <w:tcBorders>
              <w:top w:val="nil"/>
              <w:left w:val="nil"/>
              <w:bottom w:val="nil"/>
              <w:right w:val="nil"/>
            </w:tcBorders>
            <w:noWrap/>
            <w:vAlign w:val="center"/>
            <w:hideMark/>
          </w:tcPr>
          <w:p w14:paraId="3B241C9F"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0.4116</w:t>
            </w:r>
          </w:p>
        </w:tc>
      </w:tr>
      <w:tr w:rsidR="00E17A0B" w:rsidRPr="00237976" w14:paraId="659247BB" w14:textId="77777777" w:rsidTr="00115A53">
        <w:trPr>
          <w:trHeight w:val="528"/>
        </w:trPr>
        <w:tc>
          <w:tcPr>
            <w:tcW w:w="846" w:type="pct"/>
            <w:tcBorders>
              <w:top w:val="nil"/>
              <w:left w:val="nil"/>
              <w:bottom w:val="nil"/>
              <w:right w:val="nil"/>
            </w:tcBorders>
            <w:noWrap/>
            <w:vAlign w:val="center"/>
            <w:hideMark/>
          </w:tcPr>
          <w:p w14:paraId="61A70318"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PH08HRC</w:t>
            </w:r>
          </w:p>
        </w:tc>
        <w:tc>
          <w:tcPr>
            <w:tcW w:w="297" w:type="pct"/>
            <w:tcBorders>
              <w:top w:val="nil"/>
              <w:left w:val="nil"/>
              <w:bottom w:val="nil"/>
              <w:right w:val="nil"/>
            </w:tcBorders>
            <w:noWrap/>
            <w:vAlign w:val="center"/>
            <w:hideMark/>
          </w:tcPr>
          <w:p w14:paraId="5F2EA115"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8.33E-05</w:t>
            </w:r>
          </w:p>
        </w:tc>
        <w:tc>
          <w:tcPr>
            <w:tcW w:w="297" w:type="pct"/>
            <w:tcBorders>
              <w:top w:val="nil"/>
              <w:left w:val="nil"/>
              <w:bottom w:val="nil"/>
              <w:right w:val="nil"/>
            </w:tcBorders>
            <w:noWrap/>
            <w:vAlign w:val="center"/>
            <w:hideMark/>
          </w:tcPr>
          <w:p w14:paraId="1AE69C04"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7.56E-05</w:t>
            </w:r>
          </w:p>
        </w:tc>
        <w:tc>
          <w:tcPr>
            <w:tcW w:w="297" w:type="pct"/>
            <w:tcBorders>
              <w:top w:val="nil"/>
              <w:left w:val="nil"/>
              <w:bottom w:val="nil"/>
              <w:right w:val="nil"/>
            </w:tcBorders>
            <w:noWrap/>
            <w:vAlign w:val="center"/>
            <w:hideMark/>
          </w:tcPr>
          <w:p w14:paraId="1BFC02D2"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0.145709</w:t>
            </w:r>
          </w:p>
        </w:tc>
        <w:tc>
          <w:tcPr>
            <w:tcW w:w="297" w:type="pct"/>
            <w:tcBorders>
              <w:top w:val="nil"/>
              <w:left w:val="nil"/>
              <w:bottom w:val="nil"/>
              <w:right w:val="nil"/>
            </w:tcBorders>
            <w:noWrap/>
            <w:vAlign w:val="center"/>
            <w:hideMark/>
          </w:tcPr>
          <w:p w14:paraId="2E050310"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0.132272</w:t>
            </w:r>
          </w:p>
        </w:tc>
        <w:tc>
          <w:tcPr>
            <w:tcW w:w="297" w:type="pct"/>
            <w:tcBorders>
              <w:top w:val="nil"/>
              <w:left w:val="nil"/>
              <w:bottom w:val="nil"/>
              <w:right w:val="nil"/>
            </w:tcBorders>
            <w:noWrap/>
            <w:vAlign w:val="center"/>
            <w:hideMark/>
          </w:tcPr>
          <w:p w14:paraId="11534F50"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1.25E-05</w:t>
            </w:r>
          </w:p>
        </w:tc>
        <w:tc>
          <w:tcPr>
            <w:tcW w:w="297" w:type="pct"/>
            <w:tcBorders>
              <w:top w:val="nil"/>
              <w:left w:val="nil"/>
              <w:bottom w:val="nil"/>
              <w:right w:val="nil"/>
            </w:tcBorders>
            <w:noWrap/>
            <w:vAlign w:val="center"/>
            <w:hideMark/>
          </w:tcPr>
          <w:p w14:paraId="44166304"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1.13E-05</w:t>
            </w:r>
          </w:p>
        </w:tc>
        <w:tc>
          <w:tcPr>
            <w:tcW w:w="297" w:type="pct"/>
            <w:tcBorders>
              <w:top w:val="nil"/>
              <w:left w:val="nil"/>
              <w:bottom w:val="nil"/>
              <w:right w:val="nil"/>
            </w:tcBorders>
            <w:noWrap/>
            <w:vAlign w:val="center"/>
            <w:hideMark/>
          </w:tcPr>
          <w:p w14:paraId="29E157B6"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0.000116</w:t>
            </w:r>
          </w:p>
        </w:tc>
        <w:tc>
          <w:tcPr>
            <w:tcW w:w="297" w:type="pct"/>
            <w:tcBorders>
              <w:top w:val="nil"/>
              <w:left w:val="nil"/>
              <w:bottom w:val="nil"/>
              <w:right w:val="nil"/>
            </w:tcBorders>
            <w:noWrap/>
            <w:vAlign w:val="center"/>
            <w:hideMark/>
          </w:tcPr>
          <w:p w14:paraId="44EEB0FE"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0.000105</w:t>
            </w:r>
          </w:p>
        </w:tc>
        <w:tc>
          <w:tcPr>
            <w:tcW w:w="297" w:type="pct"/>
            <w:tcBorders>
              <w:top w:val="nil"/>
              <w:left w:val="nil"/>
              <w:bottom w:val="nil"/>
              <w:right w:val="nil"/>
            </w:tcBorders>
            <w:noWrap/>
            <w:vAlign w:val="center"/>
            <w:hideMark/>
          </w:tcPr>
          <w:p w14:paraId="1408CBE1"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0.000571</w:t>
            </w:r>
          </w:p>
        </w:tc>
        <w:tc>
          <w:tcPr>
            <w:tcW w:w="297" w:type="pct"/>
            <w:tcBorders>
              <w:top w:val="nil"/>
              <w:left w:val="nil"/>
              <w:bottom w:val="nil"/>
              <w:right w:val="nil"/>
            </w:tcBorders>
            <w:noWrap/>
            <w:vAlign w:val="center"/>
            <w:hideMark/>
          </w:tcPr>
          <w:p w14:paraId="308234C8"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0.000518</w:t>
            </w:r>
          </w:p>
        </w:tc>
        <w:tc>
          <w:tcPr>
            <w:tcW w:w="297" w:type="pct"/>
            <w:tcBorders>
              <w:top w:val="nil"/>
              <w:left w:val="nil"/>
              <w:bottom w:val="nil"/>
              <w:right w:val="nil"/>
            </w:tcBorders>
            <w:noWrap/>
            <w:vAlign w:val="center"/>
            <w:hideMark/>
          </w:tcPr>
          <w:p w14:paraId="0E2F9F6C"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0.001624</w:t>
            </w:r>
          </w:p>
        </w:tc>
        <w:tc>
          <w:tcPr>
            <w:tcW w:w="297" w:type="pct"/>
            <w:tcBorders>
              <w:top w:val="nil"/>
              <w:left w:val="nil"/>
              <w:bottom w:val="nil"/>
              <w:right w:val="nil"/>
            </w:tcBorders>
            <w:noWrap/>
            <w:vAlign w:val="center"/>
            <w:hideMark/>
          </w:tcPr>
          <w:p w14:paraId="54039FA4"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0.001474</w:t>
            </w:r>
          </w:p>
        </w:tc>
        <w:tc>
          <w:tcPr>
            <w:tcW w:w="297" w:type="pct"/>
            <w:tcBorders>
              <w:top w:val="nil"/>
              <w:left w:val="nil"/>
              <w:bottom w:val="nil"/>
              <w:right w:val="nil"/>
            </w:tcBorders>
            <w:noWrap/>
            <w:vAlign w:val="center"/>
            <w:hideMark/>
          </w:tcPr>
          <w:p w14:paraId="2A103344"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0.148115</w:t>
            </w:r>
          </w:p>
        </w:tc>
        <w:tc>
          <w:tcPr>
            <w:tcW w:w="297" w:type="pct"/>
            <w:tcBorders>
              <w:top w:val="nil"/>
              <w:left w:val="nil"/>
              <w:bottom w:val="nil"/>
              <w:right w:val="nil"/>
            </w:tcBorders>
            <w:noWrap/>
            <w:vAlign w:val="center"/>
            <w:hideMark/>
          </w:tcPr>
          <w:p w14:paraId="4A8B85A1"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0.134456</w:t>
            </w:r>
          </w:p>
        </w:tc>
      </w:tr>
      <w:tr w:rsidR="00E17A0B" w:rsidRPr="00237976" w14:paraId="7744F732" w14:textId="77777777" w:rsidTr="00115A53">
        <w:trPr>
          <w:trHeight w:val="554"/>
        </w:trPr>
        <w:tc>
          <w:tcPr>
            <w:tcW w:w="846" w:type="pct"/>
            <w:tcBorders>
              <w:top w:val="nil"/>
              <w:left w:val="nil"/>
              <w:bottom w:val="double" w:sz="6" w:space="0" w:color="auto"/>
              <w:right w:val="nil"/>
            </w:tcBorders>
            <w:noWrap/>
            <w:vAlign w:val="center"/>
            <w:hideMark/>
          </w:tcPr>
          <w:p w14:paraId="37D6AD65"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PH09CSSO</w:t>
            </w:r>
          </w:p>
        </w:tc>
        <w:tc>
          <w:tcPr>
            <w:tcW w:w="297" w:type="pct"/>
            <w:tcBorders>
              <w:top w:val="nil"/>
              <w:left w:val="nil"/>
              <w:bottom w:val="double" w:sz="6" w:space="0" w:color="auto"/>
              <w:right w:val="nil"/>
            </w:tcBorders>
            <w:noWrap/>
            <w:vAlign w:val="center"/>
            <w:hideMark/>
          </w:tcPr>
          <w:p w14:paraId="41C6DB13"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8.33E-05</w:t>
            </w:r>
          </w:p>
        </w:tc>
        <w:tc>
          <w:tcPr>
            <w:tcW w:w="297" w:type="pct"/>
            <w:tcBorders>
              <w:top w:val="nil"/>
              <w:left w:val="nil"/>
              <w:bottom w:val="double" w:sz="6" w:space="0" w:color="auto"/>
              <w:right w:val="nil"/>
            </w:tcBorders>
            <w:noWrap/>
            <w:vAlign w:val="center"/>
            <w:hideMark/>
          </w:tcPr>
          <w:p w14:paraId="04CF4A83"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7.56E-05</w:t>
            </w:r>
          </w:p>
        </w:tc>
        <w:tc>
          <w:tcPr>
            <w:tcW w:w="297" w:type="pct"/>
            <w:tcBorders>
              <w:top w:val="nil"/>
              <w:left w:val="nil"/>
              <w:bottom w:val="double" w:sz="6" w:space="0" w:color="auto"/>
              <w:right w:val="nil"/>
            </w:tcBorders>
            <w:noWrap/>
            <w:vAlign w:val="center"/>
            <w:hideMark/>
          </w:tcPr>
          <w:p w14:paraId="1F6A3891"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0.034138</w:t>
            </w:r>
          </w:p>
        </w:tc>
        <w:tc>
          <w:tcPr>
            <w:tcW w:w="297" w:type="pct"/>
            <w:tcBorders>
              <w:top w:val="nil"/>
              <w:left w:val="nil"/>
              <w:bottom w:val="double" w:sz="6" w:space="0" w:color="auto"/>
              <w:right w:val="nil"/>
            </w:tcBorders>
            <w:noWrap/>
            <w:vAlign w:val="center"/>
            <w:hideMark/>
          </w:tcPr>
          <w:p w14:paraId="4908D643"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0.03099</w:t>
            </w:r>
          </w:p>
        </w:tc>
        <w:tc>
          <w:tcPr>
            <w:tcW w:w="297" w:type="pct"/>
            <w:tcBorders>
              <w:top w:val="nil"/>
              <w:left w:val="nil"/>
              <w:bottom w:val="double" w:sz="6" w:space="0" w:color="auto"/>
              <w:right w:val="nil"/>
            </w:tcBorders>
            <w:noWrap/>
            <w:vAlign w:val="center"/>
            <w:hideMark/>
          </w:tcPr>
          <w:p w14:paraId="73109C08"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1.25E-05</w:t>
            </w:r>
          </w:p>
        </w:tc>
        <w:tc>
          <w:tcPr>
            <w:tcW w:w="297" w:type="pct"/>
            <w:tcBorders>
              <w:top w:val="nil"/>
              <w:left w:val="nil"/>
              <w:bottom w:val="double" w:sz="6" w:space="0" w:color="auto"/>
              <w:right w:val="nil"/>
            </w:tcBorders>
            <w:noWrap/>
            <w:vAlign w:val="center"/>
            <w:hideMark/>
          </w:tcPr>
          <w:p w14:paraId="5F3EDAFC"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1.13E-05</w:t>
            </w:r>
          </w:p>
        </w:tc>
        <w:tc>
          <w:tcPr>
            <w:tcW w:w="297" w:type="pct"/>
            <w:tcBorders>
              <w:top w:val="nil"/>
              <w:left w:val="nil"/>
              <w:bottom w:val="double" w:sz="6" w:space="0" w:color="auto"/>
              <w:right w:val="nil"/>
            </w:tcBorders>
            <w:noWrap/>
            <w:vAlign w:val="center"/>
            <w:hideMark/>
          </w:tcPr>
          <w:p w14:paraId="0963EDF6"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9.99E-05</w:t>
            </w:r>
          </w:p>
        </w:tc>
        <w:tc>
          <w:tcPr>
            <w:tcW w:w="297" w:type="pct"/>
            <w:tcBorders>
              <w:top w:val="nil"/>
              <w:left w:val="nil"/>
              <w:bottom w:val="double" w:sz="6" w:space="0" w:color="auto"/>
              <w:right w:val="nil"/>
            </w:tcBorders>
            <w:noWrap/>
            <w:vAlign w:val="center"/>
            <w:hideMark/>
          </w:tcPr>
          <w:p w14:paraId="59ACA5DF"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9.07E-05</w:t>
            </w:r>
          </w:p>
        </w:tc>
        <w:tc>
          <w:tcPr>
            <w:tcW w:w="297" w:type="pct"/>
            <w:tcBorders>
              <w:top w:val="nil"/>
              <w:left w:val="nil"/>
              <w:bottom w:val="double" w:sz="6" w:space="0" w:color="auto"/>
              <w:right w:val="nil"/>
            </w:tcBorders>
            <w:noWrap/>
            <w:vAlign w:val="center"/>
            <w:hideMark/>
          </w:tcPr>
          <w:p w14:paraId="4F643BFF"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0.000749</w:t>
            </w:r>
          </w:p>
        </w:tc>
        <w:tc>
          <w:tcPr>
            <w:tcW w:w="297" w:type="pct"/>
            <w:tcBorders>
              <w:top w:val="nil"/>
              <w:left w:val="nil"/>
              <w:bottom w:val="double" w:sz="6" w:space="0" w:color="auto"/>
              <w:right w:val="nil"/>
            </w:tcBorders>
            <w:noWrap/>
            <w:vAlign w:val="center"/>
            <w:hideMark/>
          </w:tcPr>
          <w:p w14:paraId="535E7343"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0.00068</w:t>
            </w:r>
          </w:p>
        </w:tc>
        <w:tc>
          <w:tcPr>
            <w:tcW w:w="297" w:type="pct"/>
            <w:tcBorders>
              <w:top w:val="nil"/>
              <w:left w:val="nil"/>
              <w:bottom w:val="double" w:sz="6" w:space="0" w:color="auto"/>
              <w:right w:val="nil"/>
            </w:tcBorders>
            <w:noWrap/>
            <w:vAlign w:val="center"/>
            <w:hideMark/>
          </w:tcPr>
          <w:p w14:paraId="6978B212"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0.000874</w:t>
            </w:r>
          </w:p>
        </w:tc>
        <w:tc>
          <w:tcPr>
            <w:tcW w:w="297" w:type="pct"/>
            <w:tcBorders>
              <w:top w:val="nil"/>
              <w:left w:val="nil"/>
              <w:bottom w:val="double" w:sz="6" w:space="0" w:color="auto"/>
              <w:right w:val="nil"/>
            </w:tcBorders>
            <w:noWrap/>
            <w:vAlign w:val="center"/>
            <w:hideMark/>
          </w:tcPr>
          <w:p w14:paraId="5654497C"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0.000794</w:t>
            </w:r>
          </w:p>
        </w:tc>
        <w:tc>
          <w:tcPr>
            <w:tcW w:w="297" w:type="pct"/>
            <w:tcBorders>
              <w:top w:val="nil"/>
              <w:left w:val="nil"/>
              <w:bottom w:val="double" w:sz="6" w:space="0" w:color="auto"/>
              <w:right w:val="nil"/>
            </w:tcBorders>
            <w:noWrap/>
            <w:vAlign w:val="center"/>
            <w:hideMark/>
          </w:tcPr>
          <w:p w14:paraId="7A93F7EE"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0.035957</w:t>
            </w:r>
          </w:p>
        </w:tc>
        <w:tc>
          <w:tcPr>
            <w:tcW w:w="297" w:type="pct"/>
            <w:tcBorders>
              <w:top w:val="nil"/>
              <w:left w:val="nil"/>
              <w:bottom w:val="double" w:sz="6" w:space="0" w:color="auto"/>
              <w:right w:val="nil"/>
            </w:tcBorders>
            <w:noWrap/>
            <w:vAlign w:val="center"/>
            <w:hideMark/>
          </w:tcPr>
          <w:p w14:paraId="199B5628"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0.032641</w:t>
            </w:r>
          </w:p>
        </w:tc>
      </w:tr>
    </w:tbl>
    <w:p w14:paraId="2BCC41FC" w14:textId="77777777" w:rsidR="00E17A0B" w:rsidRDefault="00E17A0B" w:rsidP="00E17A0B">
      <w:pPr>
        <w:tabs>
          <w:tab w:val="left" w:pos="930"/>
        </w:tabs>
        <w:spacing w:after="0" w:line="240" w:lineRule="auto"/>
        <w:jc w:val="center"/>
        <w:rPr>
          <w:rFonts w:ascii="Times New Roman" w:hAnsi="Times New Roman" w:cs="Times New Roman"/>
          <w:b/>
          <w:sz w:val="24"/>
          <w:szCs w:val="24"/>
        </w:rPr>
      </w:pPr>
    </w:p>
    <w:p w14:paraId="560C2E19" w14:textId="77777777" w:rsidR="00E17A0B" w:rsidRDefault="00E17A0B" w:rsidP="00E17A0B">
      <w:pPr>
        <w:tabs>
          <w:tab w:val="left" w:pos="930"/>
        </w:tabs>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E23136C" wp14:editId="22AD09B3">
            <wp:extent cx="5943600" cy="35794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zard indx sarah for phc.jpeg"/>
                    <pic:cNvPicPr/>
                  </pic:nvPicPr>
                  <pic:blipFill>
                    <a:blip r:embed="rId8">
                      <a:extLst>
                        <a:ext uri="{28A0092B-C50C-407E-A947-70E740481C1C}">
                          <a14:useLocalDpi xmlns:a14="http://schemas.microsoft.com/office/drawing/2010/main" val="0"/>
                        </a:ext>
                      </a:extLst>
                    </a:blip>
                    <a:stretch>
                      <a:fillRect/>
                    </a:stretch>
                  </pic:blipFill>
                  <pic:spPr>
                    <a:xfrm>
                      <a:off x="0" y="0"/>
                      <a:ext cx="5943600" cy="3579495"/>
                    </a:xfrm>
                    <a:prstGeom prst="rect">
                      <a:avLst/>
                    </a:prstGeom>
                  </pic:spPr>
                </pic:pic>
              </a:graphicData>
            </a:graphic>
          </wp:inline>
        </w:drawing>
      </w:r>
    </w:p>
    <w:p w14:paraId="2C514ED9" w14:textId="77777777" w:rsidR="00E17A0B" w:rsidRDefault="00E17A0B" w:rsidP="00E17A0B">
      <w:pPr>
        <w:tabs>
          <w:tab w:val="left" w:pos="930"/>
        </w:tabs>
        <w:spacing w:after="0" w:line="240" w:lineRule="auto"/>
        <w:rPr>
          <w:rFonts w:ascii="Times New Roman" w:hAnsi="Times New Roman" w:cs="Times New Roman"/>
          <w:sz w:val="24"/>
          <w:szCs w:val="24"/>
        </w:rPr>
      </w:pPr>
    </w:p>
    <w:p w14:paraId="464AA589" w14:textId="77777777" w:rsidR="00E17A0B" w:rsidRPr="005C79B1" w:rsidRDefault="005C79B1" w:rsidP="00E17A0B">
      <w:pPr>
        <w:tabs>
          <w:tab w:val="left" w:pos="930"/>
        </w:tabs>
        <w:spacing w:after="0" w:line="240" w:lineRule="auto"/>
        <w:rPr>
          <w:rFonts w:ascii="Times New Roman" w:hAnsi="Times New Roman" w:cs="Times New Roman"/>
          <w:b/>
          <w:sz w:val="24"/>
          <w:szCs w:val="24"/>
        </w:rPr>
      </w:pPr>
      <w:r w:rsidRPr="005C79B1">
        <w:rPr>
          <w:rFonts w:ascii="Times New Roman" w:hAnsi="Times New Roman" w:cs="Times New Roman"/>
          <w:b/>
          <w:sz w:val="24"/>
          <w:szCs w:val="24"/>
        </w:rPr>
        <w:t xml:space="preserve">Fig.2. </w:t>
      </w:r>
      <w:proofErr w:type="spellStart"/>
      <w:r w:rsidRPr="005C79B1">
        <w:rPr>
          <w:rFonts w:ascii="Times New Roman" w:hAnsi="Times New Roman" w:cs="Times New Roman"/>
          <w:b/>
          <w:sz w:val="24"/>
          <w:szCs w:val="24"/>
        </w:rPr>
        <w:t>Harzard</w:t>
      </w:r>
      <w:proofErr w:type="spellEnd"/>
      <w:r w:rsidRPr="005C79B1">
        <w:rPr>
          <w:rFonts w:ascii="Times New Roman" w:hAnsi="Times New Roman" w:cs="Times New Roman"/>
          <w:b/>
          <w:sz w:val="24"/>
          <w:szCs w:val="24"/>
        </w:rPr>
        <w:t xml:space="preserve"> Index for Inhalation Exposure</w:t>
      </w:r>
    </w:p>
    <w:p w14:paraId="38BD5648" w14:textId="77777777" w:rsidR="00E17A0B" w:rsidRDefault="00E17A0B" w:rsidP="00E17A0B">
      <w:pPr>
        <w:tabs>
          <w:tab w:val="left" w:pos="930"/>
        </w:tabs>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359EE6B" wp14:editId="0C1C6946">
            <wp:extent cx="5943600" cy="35794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rah hq for lead.jpeg"/>
                    <pic:cNvPicPr/>
                  </pic:nvPicPr>
                  <pic:blipFill>
                    <a:blip r:embed="rId9">
                      <a:extLst>
                        <a:ext uri="{28A0092B-C50C-407E-A947-70E740481C1C}">
                          <a14:useLocalDpi xmlns:a14="http://schemas.microsoft.com/office/drawing/2010/main" val="0"/>
                        </a:ext>
                      </a:extLst>
                    </a:blip>
                    <a:stretch>
                      <a:fillRect/>
                    </a:stretch>
                  </pic:blipFill>
                  <pic:spPr>
                    <a:xfrm>
                      <a:off x="0" y="0"/>
                      <a:ext cx="5943600" cy="3579495"/>
                    </a:xfrm>
                    <a:prstGeom prst="rect">
                      <a:avLst/>
                    </a:prstGeom>
                  </pic:spPr>
                </pic:pic>
              </a:graphicData>
            </a:graphic>
          </wp:inline>
        </w:drawing>
      </w:r>
    </w:p>
    <w:p w14:paraId="52A3D602" w14:textId="77777777" w:rsidR="00E17A0B" w:rsidRDefault="00E17A0B" w:rsidP="00E17A0B">
      <w:pPr>
        <w:tabs>
          <w:tab w:val="left" w:pos="930"/>
        </w:tabs>
        <w:spacing w:after="0" w:line="240" w:lineRule="auto"/>
        <w:rPr>
          <w:rFonts w:ascii="Times New Roman" w:hAnsi="Times New Roman" w:cs="Times New Roman"/>
          <w:sz w:val="24"/>
          <w:szCs w:val="24"/>
        </w:rPr>
      </w:pPr>
    </w:p>
    <w:p w14:paraId="7255D9FF" w14:textId="77777777" w:rsidR="00E17A0B" w:rsidRDefault="00E17A0B" w:rsidP="00E17A0B">
      <w:pPr>
        <w:tabs>
          <w:tab w:val="left" w:pos="930"/>
        </w:tabs>
        <w:spacing w:after="0" w:line="240" w:lineRule="auto"/>
        <w:rPr>
          <w:rFonts w:ascii="Times New Roman" w:hAnsi="Times New Roman" w:cs="Times New Roman"/>
          <w:sz w:val="24"/>
          <w:szCs w:val="24"/>
        </w:rPr>
      </w:pPr>
    </w:p>
    <w:p w14:paraId="62991295" w14:textId="77777777" w:rsidR="00E17A0B" w:rsidRPr="005C79B1" w:rsidRDefault="005C79B1" w:rsidP="00E17A0B">
      <w:pPr>
        <w:tabs>
          <w:tab w:val="left" w:pos="930"/>
        </w:tabs>
        <w:spacing w:after="0" w:line="240" w:lineRule="auto"/>
        <w:rPr>
          <w:rFonts w:ascii="Times New Roman" w:hAnsi="Times New Roman" w:cs="Times New Roman"/>
          <w:b/>
          <w:sz w:val="24"/>
          <w:szCs w:val="24"/>
        </w:rPr>
      </w:pPr>
      <w:r w:rsidRPr="005C79B1">
        <w:rPr>
          <w:rFonts w:ascii="Times New Roman" w:hAnsi="Times New Roman" w:cs="Times New Roman"/>
          <w:b/>
          <w:sz w:val="24"/>
          <w:szCs w:val="24"/>
        </w:rPr>
        <w:t xml:space="preserve">Fig. 3. </w:t>
      </w:r>
      <w:proofErr w:type="spellStart"/>
      <w:r w:rsidRPr="005C79B1">
        <w:rPr>
          <w:rFonts w:ascii="Times New Roman" w:hAnsi="Times New Roman" w:cs="Times New Roman"/>
          <w:b/>
          <w:sz w:val="24"/>
          <w:szCs w:val="24"/>
        </w:rPr>
        <w:t>Harzard</w:t>
      </w:r>
      <w:proofErr w:type="spellEnd"/>
      <w:r w:rsidRPr="005C79B1">
        <w:rPr>
          <w:rFonts w:ascii="Times New Roman" w:hAnsi="Times New Roman" w:cs="Times New Roman"/>
          <w:b/>
          <w:sz w:val="24"/>
          <w:szCs w:val="24"/>
        </w:rPr>
        <w:t xml:space="preserve"> Quotient for Lead</w:t>
      </w:r>
    </w:p>
    <w:p w14:paraId="256ABD37" w14:textId="77777777" w:rsidR="00E17A0B" w:rsidRDefault="00E17A0B" w:rsidP="00E17A0B">
      <w:pPr>
        <w:tabs>
          <w:tab w:val="left" w:pos="930"/>
        </w:tabs>
        <w:spacing w:after="0" w:line="240" w:lineRule="auto"/>
        <w:rPr>
          <w:rFonts w:ascii="Times New Roman" w:hAnsi="Times New Roman" w:cs="Times New Roman"/>
          <w:sz w:val="24"/>
          <w:szCs w:val="24"/>
        </w:rPr>
      </w:pPr>
    </w:p>
    <w:p w14:paraId="0AE9ADB7" w14:textId="71A95D28" w:rsidR="00E17A0B" w:rsidRPr="001E7162" w:rsidRDefault="005064CB" w:rsidP="00E17A0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E17A0B" w:rsidRPr="001E7162">
        <w:rPr>
          <w:rFonts w:ascii="Times New Roman" w:eastAsia="Times New Roman" w:hAnsi="Times New Roman" w:cs="Times New Roman"/>
          <w:sz w:val="24"/>
          <w:szCs w:val="24"/>
        </w:rPr>
        <w:t xml:space="preserve">he inhalation-related </w:t>
      </w:r>
      <w:r w:rsidR="00E17A0B">
        <w:rPr>
          <w:rFonts w:ascii="Times New Roman" w:eastAsia="Times New Roman" w:hAnsi="Times New Roman" w:cs="Times New Roman"/>
          <w:sz w:val="24"/>
          <w:szCs w:val="24"/>
        </w:rPr>
        <w:t>health</w:t>
      </w:r>
      <w:r w:rsidR="00E17A0B" w:rsidRPr="001E7162">
        <w:rPr>
          <w:rFonts w:ascii="Times New Roman" w:eastAsia="Times New Roman" w:hAnsi="Times New Roman" w:cs="Times New Roman"/>
          <w:sz w:val="24"/>
          <w:szCs w:val="24"/>
        </w:rPr>
        <w:t xml:space="preserve"> risk assessment across selected schools in Port Harcourt City revealed Hazard Index (HI) values ranging from 0.018932 to 0.453412 for children and from 0.017186 to 0.411600 for adults, with all values remaining below the USEPA safety threshold </w:t>
      </w:r>
      <w:r w:rsidR="00E17A0B" w:rsidRPr="001E7162">
        <w:rPr>
          <w:rFonts w:ascii="Times New Roman" w:eastAsia="Times New Roman" w:hAnsi="Times New Roman" w:cs="Times New Roman"/>
          <w:sz w:val="24"/>
          <w:szCs w:val="24"/>
        </w:rPr>
        <w:lastRenderedPageBreak/>
        <w:t>of 1.0. These findings indicate low to moderate non-carcinogenic risk levels and align with several international studies that similarly reported HI values below unity for inhalation exposure to heavy metals in particulate matter and dust. For instance, in Islamabad, Pakistan, Khan et al. (2020) documented inhalation HI values below 1.0 for all population groups exposed to PM</w:t>
      </w:r>
      <w:r w:rsidR="00E02F9B" w:rsidRPr="00E02F9B">
        <w:rPr>
          <w:rFonts w:ascii="Times New Roman" w:eastAsia="Times New Roman" w:hAnsi="Times New Roman" w:cs="Times New Roman"/>
          <w:sz w:val="24"/>
          <w:szCs w:val="24"/>
          <w:vertAlign w:val="subscript"/>
        </w:rPr>
        <w:t>10</w:t>
      </w:r>
      <w:r w:rsidR="00E17A0B" w:rsidRPr="001E7162">
        <w:rPr>
          <w:rFonts w:ascii="Times New Roman" w:eastAsia="Times New Roman" w:hAnsi="Times New Roman" w:cs="Times New Roman"/>
          <w:sz w:val="24"/>
          <w:szCs w:val="24"/>
        </w:rPr>
        <w:t xml:space="preserve">-bound metals, reflecting a comparable low-risk profile to that observed in the present study. Likewise, in Pathum Thani, Thailand, </w:t>
      </w:r>
      <w:proofErr w:type="spellStart"/>
      <w:r w:rsidR="00E17A0B" w:rsidRPr="001E7162">
        <w:rPr>
          <w:rFonts w:ascii="Times New Roman" w:eastAsia="Times New Roman" w:hAnsi="Times New Roman" w:cs="Times New Roman"/>
          <w:sz w:val="24"/>
          <w:szCs w:val="24"/>
        </w:rPr>
        <w:t>Rattanaphra</w:t>
      </w:r>
      <w:proofErr w:type="spellEnd"/>
      <w:r w:rsidR="00E17A0B" w:rsidRPr="001E7162">
        <w:rPr>
          <w:rFonts w:ascii="Times New Roman" w:eastAsia="Times New Roman" w:hAnsi="Times New Roman" w:cs="Times New Roman"/>
          <w:sz w:val="24"/>
          <w:szCs w:val="24"/>
        </w:rPr>
        <w:t xml:space="preserve"> et al. (2025) reported adult inhalation HI values between 0.0459 and 0.1090, which are lower than the maximum values recorded in Port Harcourt (0.453412 for children and 0.411600 for adults), while child HI values (0.3285–0.7811) were close to or slightly higher than the upper range of the present findings. Similarly, Hu </w:t>
      </w:r>
      <w:r w:rsidR="00197AE5">
        <w:rPr>
          <w:rFonts w:ascii="Times New Roman" w:eastAsia="Times New Roman" w:hAnsi="Times New Roman" w:cs="Times New Roman"/>
          <w:sz w:val="24"/>
          <w:szCs w:val="24"/>
        </w:rPr>
        <w:t xml:space="preserve">et al. (2012) in Nanjing, China and </w:t>
      </w:r>
      <w:proofErr w:type="spellStart"/>
      <w:r w:rsidR="00197AE5" w:rsidRPr="00197AE5">
        <w:rPr>
          <w:rFonts w:ascii="Times New Roman" w:eastAsia="Times New Roman" w:hAnsi="Times New Roman" w:cs="Times New Roman"/>
          <w:sz w:val="24"/>
          <w:szCs w:val="24"/>
        </w:rPr>
        <w:t>Ghanavati</w:t>
      </w:r>
      <w:proofErr w:type="spellEnd"/>
      <w:r w:rsidR="00197AE5" w:rsidRPr="00197AE5">
        <w:rPr>
          <w:rFonts w:ascii="Times New Roman" w:eastAsia="Times New Roman" w:hAnsi="Times New Roman" w:cs="Times New Roman"/>
          <w:sz w:val="24"/>
          <w:szCs w:val="24"/>
        </w:rPr>
        <w:t xml:space="preserve"> et. </w:t>
      </w:r>
      <w:proofErr w:type="gramStart"/>
      <w:r w:rsidR="00197AE5" w:rsidRPr="00197AE5">
        <w:rPr>
          <w:rFonts w:ascii="Times New Roman" w:eastAsia="Times New Roman" w:hAnsi="Times New Roman" w:cs="Times New Roman"/>
          <w:sz w:val="24"/>
          <w:szCs w:val="24"/>
        </w:rPr>
        <w:t>al</w:t>
      </w:r>
      <w:r w:rsidR="00197AE5">
        <w:rPr>
          <w:rFonts w:ascii="Times New Roman" w:eastAsia="Times New Roman" w:hAnsi="Times New Roman" w:cs="Times New Roman"/>
          <w:sz w:val="24"/>
          <w:szCs w:val="24"/>
        </w:rPr>
        <w:t>.</w:t>
      </w:r>
      <w:r w:rsidR="00197AE5" w:rsidRPr="00197AE5">
        <w:rPr>
          <w:rFonts w:ascii="Times New Roman" w:eastAsia="Times New Roman" w:hAnsi="Times New Roman" w:cs="Times New Roman"/>
          <w:sz w:val="24"/>
          <w:szCs w:val="24"/>
        </w:rPr>
        <w:t>.</w:t>
      </w:r>
      <w:proofErr w:type="gramEnd"/>
      <w:r w:rsidR="00197AE5" w:rsidRPr="00197AE5">
        <w:rPr>
          <w:rFonts w:ascii="Times New Roman" w:eastAsia="Times New Roman" w:hAnsi="Times New Roman" w:cs="Times New Roman"/>
          <w:sz w:val="24"/>
          <w:szCs w:val="24"/>
        </w:rPr>
        <w:t xml:space="preserve"> in Ahvaz, Iran</w:t>
      </w:r>
      <w:r w:rsidR="00E17A0B" w:rsidRPr="001E7162">
        <w:rPr>
          <w:rFonts w:ascii="Times New Roman" w:eastAsia="Times New Roman" w:hAnsi="Times New Roman" w:cs="Times New Roman"/>
          <w:sz w:val="24"/>
          <w:szCs w:val="24"/>
        </w:rPr>
        <w:t xml:space="preserve"> observed </w:t>
      </w:r>
      <w:proofErr w:type="spellStart"/>
      <w:r w:rsidR="00E17A0B" w:rsidRPr="001E7162">
        <w:rPr>
          <w:rFonts w:ascii="Times New Roman" w:eastAsia="Times New Roman" w:hAnsi="Times New Roman" w:cs="Times New Roman"/>
          <w:sz w:val="24"/>
          <w:szCs w:val="24"/>
        </w:rPr>
        <w:t>HI_inh</w:t>
      </w:r>
      <w:proofErr w:type="spellEnd"/>
      <w:r w:rsidR="00E17A0B" w:rsidRPr="001E7162">
        <w:rPr>
          <w:rFonts w:ascii="Times New Roman" w:eastAsia="Times New Roman" w:hAnsi="Times New Roman" w:cs="Times New Roman"/>
          <w:sz w:val="24"/>
          <w:szCs w:val="24"/>
        </w:rPr>
        <w:t xml:space="preserve"> and </w:t>
      </w:r>
      <w:proofErr w:type="spellStart"/>
      <w:r w:rsidR="00E17A0B" w:rsidRPr="001E7162">
        <w:rPr>
          <w:rFonts w:ascii="Times New Roman" w:eastAsia="Times New Roman" w:hAnsi="Times New Roman" w:cs="Times New Roman"/>
          <w:sz w:val="24"/>
          <w:szCs w:val="24"/>
        </w:rPr>
        <w:t>HQ_inh</w:t>
      </w:r>
      <w:proofErr w:type="spellEnd"/>
      <w:r w:rsidR="00E17A0B" w:rsidRPr="001E7162">
        <w:rPr>
          <w:rFonts w:ascii="Times New Roman" w:eastAsia="Times New Roman" w:hAnsi="Times New Roman" w:cs="Times New Roman"/>
          <w:sz w:val="24"/>
          <w:szCs w:val="24"/>
        </w:rPr>
        <w:t xml:space="preserve"> values below 1.0 for children across assessed pathways, further supporting the consistency of low inhalation-related risk in urban environments not heavily impacted by extreme industrial emissions.</w:t>
      </w:r>
    </w:p>
    <w:p w14:paraId="41BA0AF0" w14:textId="77777777" w:rsidR="00E17A0B" w:rsidRPr="001E7162" w:rsidRDefault="00E17A0B" w:rsidP="00E17A0B">
      <w:pPr>
        <w:spacing w:after="0" w:line="240" w:lineRule="auto"/>
        <w:jc w:val="both"/>
        <w:rPr>
          <w:rFonts w:ascii="Times New Roman" w:eastAsia="Times New Roman" w:hAnsi="Times New Roman" w:cs="Times New Roman"/>
          <w:sz w:val="24"/>
          <w:szCs w:val="24"/>
        </w:rPr>
      </w:pPr>
      <w:r w:rsidRPr="001E7162">
        <w:rPr>
          <w:rFonts w:ascii="Times New Roman" w:eastAsia="Times New Roman" w:hAnsi="Times New Roman" w:cs="Times New Roman"/>
          <w:sz w:val="24"/>
          <w:szCs w:val="24"/>
        </w:rPr>
        <w:t>In Nigeria, Okoro et al. (2025) reported extremely low inhalation HI contributions in classroom dust from Ilorin, with values ranging from 1.74×10</w:t>
      </w:r>
      <w:r w:rsidR="00E02F9B" w:rsidRPr="00E02F9B">
        <w:rPr>
          <w:rFonts w:ascii="Times New Roman" w:eastAsia="Times New Roman" w:hAnsi="Times New Roman" w:cs="Times New Roman"/>
          <w:sz w:val="24"/>
          <w:szCs w:val="24"/>
          <w:vertAlign w:val="superscript"/>
        </w:rPr>
        <w:t>-4</w:t>
      </w:r>
      <w:r w:rsidRPr="001E7162">
        <w:rPr>
          <w:rFonts w:ascii="Times New Roman" w:eastAsia="Times New Roman" w:hAnsi="Times New Roman" w:cs="Times New Roman"/>
          <w:sz w:val="24"/>
          <w:szCs w:val="24"/>
        </w:rPr>
        <w:t xml:space="preserve"> to 1.30×10</w:t>
      </w:r>
      <w:r w:rsidR="00E02F9B" w:rsidRPr="00E02F9B">
        <w:rPr>
          <w:rFonts w:ascii="Times New Roman" w:eastAsia="Times New Roman" w:hAnsi="Times New Roman" w:cs="Times New Roman"/>
          <w:sz w:val="24"/>
          <w:szCs w:val="24"/>
          <w:vertAlign w:val="superscript"/>
        </w:rPr>
        <w:t>-3</w:t>
      </w:r>
      <w:r w:rsidRPr="001E7162">
        <w:rPr>
          <w:rFonts w:ascii="Times New Roman" w:eastAsia="Times New Roman" w:hAnsi="Times New Roman" w:cs="Times New Roman"/>
          <w:sz w:val="24"/>
          <w:szCs w:val="24"/>
        </w:rPr>
        <w:t xml:space="preserve"> for children and 2.40×10</w:t>
      </w:r>
      <w:r w:rsidR="00E02F9B" w:rsidRPr="00E02F9B">
        <w:rPr>
          <w:rFonts w:ascii="Times New Roman" w:eastAsia="Times New Roman" w:hAnsi="Times New Roman" w:cs="Times New Roman"/>
          <w:sz w:val="24"/>
          <w:szCs w:val="24"/>
          <w:vertAlign w:val="superscript"/>
        </w:rPr>
        <w:t>-5</w:t>
      </w:r>
      <w:r w:rsidR="00E02F9B">
        <w:rPr>
          <w:rFonts w:ascii="Times New Roman" w:eastAsia="Times New Roman" w:hAnsi="Times New Roman" w:cs="Times New Roman"/>
          <w:sz w:val="24"/>
          <w:szCs w:val="24"/>
          <w:vertAlign w:val="superscript"/>
        </w:rPr>
        <w:t xml:space="preserve"> </w:t>
      </w:r>
      <w:r w:rsidRPr="001E7162">
        <w:rPr>
          <w:rFonts w:ascii="Times New Roman" w:eastAsia="Times New Roman" w:hAnsi="Times New Roman" w:cs="Times New Roman"/>
          <w:sz w:val="24"/>
          <w:szCs w:val="24"/>
        </w:rPr>
        <w:t>to 3.33×10</w:t>
      </w:r>
      <w:r w:rsidR="00E02F9B" w:rsidRPr="00E02F9B">
        <w:rPr>
          <w:rFonts w:ascii="Times New Roman" w:eastAsia="Times New Roman" w:hAnsi="Times New Roman" w:cs="Times New Roman"/>
          <w:sz w:val="24"/>
          <w:szCs w:val="24"/>
          <w:vertAlign w:val="superscript"/>
        </w:rPr>
        <w:t>-3</w:t>
      </w:r>
      <w:r w:rsidRPr="001E7162">
        <w:rPr>
          <w:rFonts w:ascii="Times New Roman" w:eastAsia="Times New Roman" w:hAnsi="Times New Roman" w:cs="Times New Roman"/>
          <w:sz w:val="24"/>
          <w:szCs w:val="24"/>
        </w:rPr>
        <w:t xml:space="preserve"> for adults, which are substantially lower than the Port Harcourt results. This contrast suggests that although the present study indicates risk values below unity, the metal burden in Port Harcourt school environments may be comparatively higher than in less industrialized or traffic-influenced Nigerian cities such as Ilorin. Similarly, </w:t>
      </w:r>
      <w:proofErr w:type="spellStart"/>
      <w:r w:rsidRPr="001E7162">
        <w:rPr>
          <w:rFonts w:ascii="Times New Roman" w:eastAsia="Times New Roman" w:hAnsi="Times New Roman" w:cs="Times New Roman"/>
          <w:sz w:val="24"/>
          <w:szCs w:val="24"/>
        </w:rPr>
        <w:t>Tashakor</w:t>
      </w:r>
      <w:proofErr w:type="spellEnd"/>
      <w:r w:rsidRPr="001E7162">
        <w:rPr>
          <w:rFonts w:ascii="Times New Roman" w:eastAsia="Times New Roman" w:hAnsi="Times New Roman" w:cs="Times New Roman"/>
          <w:sz w:val="24"/>
          <w:szCs w:val="24"/>
        </w:rPr>
        <w:t xml:space="preserve"> et al. (2022) in </w:t>
      </w:r>
      <w:proofErr w:type="spellStart"/>
      <w:r w:rsidRPr="001E7162">
        <w:rPr>
          <w:rFonts w:ascii="Times New Roman" w:eastAsia="Times New Roman" w:hAnsi="Times New Roman" w:cs="Times New Roman"/>
          <w:sz w:val="24"/>
          <w:szCs w:val="24"/>
        </w:rPr>
        <w:t>Asaluyeh</w:t>
      </w:r>
      <w:proofErr w:type="spellEnd"/>
      <w:r w:rsidRPr="001E7162">
        <w:rPr>
          <w:rFonts w:ascii="Times New Roman" w:eastAsia="Times New Roman" w:hAnsi="Times New Roman" w:cs="Times New Roman"/>
          <w:sz w:val="24"/>
          <w:szCs w:val="24"/>
        </w:rPr>
        <w:t xml:space="preserve">, Iran, reported inhalation HQ values for individual metals below 1.0 in indoor dust, with ingestion dominating total risk, which aligns with the </w:t>
      </w:r>
      <w:r w:rsidR="00E02F9B">
        <w:rPr>
          <w:rFonts w:ascii="Times New Roman" w:eastAsia="Times New Roman" w:hAnsi="Times New Roman" w:cs="Times New Roman"/>
          <w:sz w:val="24"/>
          <w:szCs w:val="24"/>
        </w:rPr>
        <w:t xml:space="preserve">conclusion of the </w:t>
      </w:r>
      <w:r w:rsidRPr="001E7162">
        <w:rPr>
          <w:rFonts w:ascii="Times New Roman" w:eastAsia="Times New Roman" w:hAnsi="Times New Roman" w:cs="Times New Roman"/>
          <w:sz w:val="24"/>
          <w:szCs w:val="24"/>
        </w:rPr>
        <w:t>present study that inhalation risk remains within acceptable safety limits. Chen et al. (2022) in Hong Kong found that most metals exhibited inhalation HQ values below 1.0, though copper exceeded unity at the 95th percentile, indicating that while general exposure may be low, upper-tail risks can occur under high pollution conditions; this partially contrasts with the Port Harcourt results, where copper HQ values remained consistently below 1.0 across all schools.</w:t>
      </w:r>
    </w:p>
    <w:p w14:paraId="194281A4" w14:textId="77777777" w:rsidR="00E17A0B" w:rsidRPr="001E7162" w:rsidRDefault="00E17A0B" w:rsidP="00E17A0B">
      <w:pPr>
        <w:spacing w:after="0" w:line="240" w:lineRule="auto"/>
        <w:jc w:val="both"/>
        <w:rPr>
          <w:rFonts w:ascii="Times New Roman" w:eastAsia="Times New Roman" w:hAnsi="Times New Roman" w:cs="Times New Roman"/>
          <w:sz w:val="24"/>
          <w:szCs w:val="24"/>
        </w:rPr>
      </w:pPr>
      <w:r w:rsidRPr="001E7162">
        <w:rPr>
          <w:rFonts w:ascii="Times New Roman" w:eastAsia="Times New Roman" w:hAnsi="Times New Roman" w:cs="Times New Roman"/>
          <w:sz w:val="24"/>
          <w:szCs w:val="24"/>
        </w:rPr>
        <w:t xml:space="preserve">Conversely, several studies reported markedly higher inhalation risk levels compared to the present findings. In </w:t>
      </w:r>
      <w:proofErr w:type="spellStart"/>
      <w:r w:rsidRPr="001E7162">
        <w:rPr>
          <w:rFonts w:ascii="Times New Roman" w:eastAsia="Times New Roman" w:hAnsi="Times New Roman" w:cs="Times New Roman"/>
          <w:sz w:val="24"/>
          <w:szCs w:val="24"/>
        </w:rPr>
        <w:t>Zabol</w:t>
      </w:r>
      <w:proofErr w:type="spellEnd"/>
      <w:r w:rsidRPr="001E7162">
        <w:rPr>
          <w:rFonts w:ascii="Times New Roman" w:eastAsia="Times New Roman" w:hAnsi="Times New Roman" w:cs="Times New Roman"/>
          <w:sz w:val="24"/>
          <w:szCs w:val="24"/>
        </w:rPr>
        <w:t xml:space="preserve">, Iran, </w:t>
      </w:r>
      <w:proofErr w:type="spellStart"/>
      <w:r w:rsidRPr="001E7162">
        <w:rPr>
          <w:rFonts w:ascii="Times New Roman" w:eastAsia="Times New Roman" w:hAnsi="Times New Roman" w:cs="Times New Roman"/>
          <w:sz w:val="24"/>
          <w:szCs w:val="24"/>
        </w:rPr>
        <w:t>Behrooz</w:t>
      </w:r>
      <w:proofErr w:type="spellEnd"/>
      <w:r w:rsidRPr="001E7162">
        <w:rPr>
          <w:rFonts w:ascii="Times New Roman" w:eastAsia="Times New Roman" w:hAnsi="Times New Roman" w:cs="Times New Roman"/>
          <w:sz w:val="24"/>
          <w:szCs w:val="24"/>
        </w:rPr>
        <w:t xml:space="preserve"> et al. (2020) documented inhalation HI values greater than 1.0 for both children and adults during extreme dust events, indicating significant health concerns that contrast strongly with the Port Harcourt results. Similarly, Belle et al. (2024) in </w:t>
      </w:r>
      <w:proofErr w:type="spellStart"/>
      <w:r w:rsidRPr="001E7162">
        <w:rPr>
          <w:rFonts w:ascii="Times New Roman" w:eastAsia="Times New Roman" w:hAnsi="Times New Roman" w:cs="Times New Roman"/>
          <w:sz w:val="24"/>
          <w:szCs w:val="24"/>
        </w:rPr>
        <w:t>Matjhabeng</w:t>
      </w:r>
      <w:proofErr w:type="spellEnd"/>
      <w:r w:rsidRPr="001E7162">
        <w:rPr>
          <w:rFonts w:ascii="Times New Roman" w:eastAsia="Times New Roman" w:hAnsi="Times New Roman" w:cs="Times New Roman"/>
          <w:sz w:val="24"/>
          <w:szCs w:val="24"/>
        </w:rPr>
        <w:t>, South Africa, reported inhalation HQ values ranging from 5 to 15 in mining-impacted soils, with chronic HI values exceeding 5.0, representing substantially elevated risk levels far beyond those observed in the present study. Sah et al. (2018) in Agra, India, also reported a combined inhalation HI of approximately 2.50 for roadside PM</w:t>
      </w:r>
      <w:r w:rsidR="006B6EE0" w:rsidRPr="006B6EE0">
        <w:rPr>
          <w:rFonts w:ascii="Times New Roman" w:eastAsia="Times New Roman" w:hAnsi="Times New Roman" w:cs="Times New Roman"/>
          <w:sz w:val="24"/>
          <w:szCs w:val="24"/>
          <w:vertAlign w:val="subscript"/>
        </w:rPr>
        <w:t>2.5</w:t>
      </w:r>
      <w:r w:rsidRPr="001E7162">
        <w:rPr>
          <w:rFonts w:ascii="Times New Roman" w:eastAsia="Times New Roman" w:hAnsi="Times New Roman" w:cs="Times New Roman"/>
          <w:sz w:val="24"/>
          <w:szCs w:val="24"/>
        </w:rPr>
        <w:t xml:space="preserve"> </w:t>
      </w:r>
      <w:r w:rsidR="006B6EE0" w:rsidRPr="001E7162">
        <w:rPr>
          <w:rFonts w:ascii="Times New Roman" w:eastAsia="Times New Roman" w:hAnsi="Times New Roman" w:cs="Times New Roman"/>
          <w:sz w:val="24"/>
          <w:szCs w:val="24"/>
        </w:rPr>
        <w:t>exposures</w:t>
      </w:r>
      <w:r w:rsidRPr="001E7162">
        <w:rPr>
          <w:rFonts w:ascii="Times New Roman" w:eastAsia="Times New Roman" w:hAnsi="Times New Roman" w:cs="Times New Roman"/>
          <w:sz w:val="24"/>
          <w:szCs w:val="24"/>
        </w:rPr>
        <w:t>, demonstrating higher metal-related health risks in traffic-dominated environments compared to Port Harcourt schools. In Chile, Cáceres et al. (2021) observed that chromium in PM</w:t>
      </w:r>
      <w:r w:rsidR="006B6EE0" w:rsidRPr="006B6EE0">
        <w:rPr>
          <w:rFonts w:ascii="Times New Roman" w:eastAsia="Times New Roman" w:hAnsi="Times New Roman" w:cs="Times New Roman"/>
          <w:sz w:val="24"/>
          <w:szCs w:val="24"/>
          <w:vertAlign w:val="subscript"/>
        </w:rPr>
        <w:t>2.5</w:t>
      </w:r>
      <w:r w:rsidRPr="001E7162">
        <w:rPr>
          <w:rFonts w:ascii="Times New Roman" w:eastAsia="Times New Roman" w:hAnsi="Times New Roman" w:cs="Times New Roman"/>
          <w:sz w:val="24"/>
          <w:szCs w:val="24"/>
        </w:rPr>
        <w:t xml:space="preserve"> near mine tailings contributed to total inhalation HI values exceeding 1.0 in children, contrasting with the relatively low chromium HQ values recorded in the present study (maximum 0.022065 in children).</w:t>
      </w:r>
    </w:p>
    <w:p w14:paraId="27742C00" w14:textId="77777777" w:rsidR="00E17A0B" w:rsidRPr="001E7162" w:rsidRDefault="00E17A0B" w:rsidP="00E17A0B">
      <w:pPr>
        <w:spacing w:after="0" w:line="240" w:lineRule="auto"/>
        <w:jc w:val="both"/>
        <w:rPr>
          <w:rFonts w:ascii="Times New Roman" w:eastAsia="Times New Roman" w:hAnsi="Times New Roman" w:cs="Times New Roman"/>
          <w:sz w:val="24"/>
          <w:szCs w:val="24"/>
        </w:rPr>
      </w:pPr>
      <w:r w:rsidRPr="001E7162">
        <w:rPr>
          <w:rFonts w:ascii="Times New Roman" w:eastAsia="Times New Roman" w:hAnsi="Times New Roman" w:cs="Times New Roman"/>
          <w:sz w:val="24"/>
          <w:szCs w:val="24"/>
        </w:rPr>
        <w:t>Further contrast is evident in industrial and high-traffic settings. Al-</w:t>
      </w:r>
      <w:proofErr w:type="spellStart"/>
      <w:r w:rsidRPr="001E7162">
        <w:rPr>
          <w:rFonts w:ascii="Times New Roman" w:eastAsia="Times New Roman" w:hAnsi="Times New Roman" w:cs="Times New Roman"/>
          <w:sz w:val="24"/>
          <w:szCs w:val="24"/>
        </w:rPr>
        <w:t>Shaweesh</w:t>
      </w:r>
      <w:proofErr w:type="spellEnd"/>
      <w:r w:rsidRPr="001E7162">
        <w:rPr>
          <w:rFonts w:ascii="Times New Roman" w:eastAsia="Times New Roman" w:hAnsi="Times New Roman" w:cs="Times New Roman"/>
          <w:sz w:val="24"/>
          <w:szCs w:val="24"/>
        </w:rPr>
        <w:t xml:space="preserve"> (2020) reported inhalation HQ values greater than 1.0 for multiple metals (Pb, Zn, Cu, Cr, Mn, Ni, Fe) in Aqaba Industrial Estate, Jordan, with overall HI values exceeding 1.0 and children exhibiting approximately fourfold higher risk than adults, reflecting much more hazardous environmental conditions than those observed in Port Harcourt. In </w:t>
      </w:r>
      <w:proofErr w:type="spellStart"/>
      <w:r w:rsidRPr="001E7162">
        <w:rPr>
          <w:rFonts w:ascii="Times New Roman" w:eastAsia="Times New Roman" w:hAnsi="Times New Roman" w:cs="Times New Roman"/>
          <w:sz w:val="24"/>
          <w:szCs w:val="24"/>
        </w:rPr>
        <w:t>Eket</w:t>
      </w:r>
      <w:proofErr w:type="spellEnd"/>
      <w:r w:rsidRPr="001E7162">
        <w:rPr>
          <w:rFonts w:ascii="Times New Roman" w:eastAsia="Times New Roman" w:hAnsi="Times New Roman" w:cs="Times New Roman"/>
          <w:sz w:val="24"/>
          <w:szCs w:val="24"/>
        </w:rPr>
        <w:t xml:space="preserve">, Nigeria, </w:t>
      </w:r>
      <w:proofErr w:type="spellStart"/>
      <w:r w:rsidRPr="001E7162">
        <w:rPr>
          <w:rFonts w:ascii="Times New Roman" w:eastAsia="Times New Roman" w:hAnsi="Times New Roman" w:cs="Times New Roman"/>
          <w:sz w:val="24"/>
          <w:szCs w:val="24"/>
        </w:rPr>
        <w:t>Nta</w:t>
      </w:r>
      <w:proofErr w:type="spellEnd"/>
      <w:r w:rsidRPr="001E7162">
        <w:rPr>
          <w:rFonts w:ascii="Times New Roman" w:eastAsia="Times New Roman" w:hAnsi="Times New Roman" w:cs="Times New Roman"/>
          <w:sz w:val="24"/>
          <w:szCs w:val="24"/>
        </w:rPr>
        <w:t xml:space="preserve"> et al. (2025) documented inhalation HI values exceeding 1.0 at major roadside junctions, where chromium, cadmium, nickel, and arsenic surpassed reference concentrations, again demonstrating substantially higher risk compared to the present findings. Hu et al. (2012) also noted potential inhalation non-carcinogenic risks (</w:t>
      </w:r>
      <w:proofErr w:type="spellStart"/>
      <w:r w:rsidRPr="001E7162">
        <w:rPr>
          <w:rFonts w:ascii="Times New Roman" w:eastAsia="Times New Roman" w:hAnsi="Times New Roman" w:cs="Times New Roman"/>
          <w:sz w:val="24"/>
          <w:szCs w:val="24"/>
        </w:rPr>
        <w:t>HI_inh</w:t>
      </w:r>
      <w:proofErr w:type="spellEnd"/>
      <w:r w:rsidRPr="001E7162">
        <w:rPr>
          <w:rFonts w:ascii="Times New Roman" w:eastAsia="Times New Roman" w:hAnsi="Times New Roman" w:cs="Times New Roman"/>
          <w:sz w:val="24"/>
          <w:szCs w:val="24"/>
        </w:rPr>
        <w:t xml:space="preserve"> &gt;1) in adult populations exposed to TSP and PM</w:t>
      </w:r>
      <w:r w:rsidR="006B6EE0" w:rsidRPr="006B6EE0">
        <w:rPr>
          <w:rFonts w:ascii="Times New Roman" w:eastAsia="Times New Roman" w:hAnsi="Times New Roman" w:cs="Times New Roman"/>
          <w:sz w:val="24"/>
          <w:szCs w:val="24"/>
          <w:vertAlign w:val="subscript"/>
        </w:rPr>
        <w:t>2.5</w:t>
      </w:r>
      <w:r w:rsidRPr="001E7162">
        <w:rPr>
          <w:rFonts w:ascii="Times New Roman" w:eastAsia="Times New Roman" w:hAnsi="Times New Roman" w:cs="Times New Roman"/>
          <w:sz w:val="24"/>
          <w:szCs w:val="24"/>
        </w:rPr>
        <w:t xml:space="preserve"> in Nanjing, China, highlighting how industrial intensity and particulate concentration can significantly influence risk magnitude.</w:t>
      </w:r>
    </w:p>
    <w:p w14:paraId="2EC8B10D" w14:textId="77777777" w:rsidR="00E17A0B" w:rsidRDefault="00E17A0B" w:rsidP="00E17A0B">
      <w:pPr>
        <w:spacing w:after="0" w:line="240" w:lineRule="auto"/>
        <w:jc w:val="both"/>
        <w:rPr>
          <w:rFonts w:ascii="Times New Roman" w:eastAsia="Times New Roman" w:hAnsi="Times New Roman" w:cs="Times New Roman"/>
          <w:sz w:val="24"/>
          <w:szCs w:val="24"/>
        </w:rPr>
      </w:pPr>
      <w:r w:rsidRPr="001E7162">
        <w:rPr>
          <w:rFonts w:ascii="Times New Roman" w:eastAsia="Times New Roman" w:hAnsi="Times New Roman" w:cs="Times New Roman"/>
          <w:sz w:val="24"/>
          <w:szCs w:val="24"/>
        </w:rPr>
        <w:lastRenderedPageBreak/>
        <w:t>Overall, the present study aligns with urban and suburban environments characterized by moderate anthropogenic activity, where inhalation-related HI values typically remain below unity, as reported in Islamabad (Khan et al., 2020), Pathum Thani (</w:t>
      </w:r>
      <w:proofErr w:type="spellStart"/>
      <w:r w:rsidRPr="001E7162">
        <w:rPr>
          <w:rFonts w:ascii="Times New Roman" w:eastAsia="Times New Roman" w:hAnsi="Times New Roman" w:cs="Times New Roman"/>
          <w:sz w:val="24"/>
          <w:szCs w:val="24"/>
        </w:rPr>
        <w:t>Rattanaphra</w:t>
      </w:r>
      <w:proofErr w:type="spellEnd"/>
      <w:r w:rsidRPr="001E7162">
        <w:rPr>
          <w:rFonts w:ascii="Times New Roman" w:eastAsia="Times New Roman" w:hAnsi="Times New Roman" w:cs="Times New Roman"/>
          <w:sz w:val="24"/>
          <w:szCs w:val="24"/>
        </w:rPr>
        <w:t xml:space="preserve"> et al., 2025), Hong Kong (Chen et al., 2022), </w:t>
      </w:r>
      <w:proofErr w:type="spellStart"/>
      <w:r w:rsidRPr="001E7162">
        <w:rPr>
          <w:rFonts w:ascii="Times New Roman" w:eastAsia="Times New Roman" w:hAnsi="Times New Roman" w:cs="Times New Roman"/>
          <w:sz w:val="24"/>
          <w:szCs w:val="24"/>
        </w:rPr>
        <w:t>Asaluyeh</w:t>
      </w:r>
      <w:proofErr w:type="spellEnd"/>
      <w:r w:rsidRPr="001E7162">
        <w:rPr>
          <w:rFonts w:ascii="Times New Roman" w:eastAsia="Times New Roman" w:hAnsi="Times New Roman" w:cs="Times New Roman"/>
          <w:sz w:val="24"/>
          <w:szCs w:val="24"/>
        </w:rPr>
        <w:t xml:space="preserve"> (</w:t>
      </w:r>
      <w:proofErr w:type="spellStart"/>
      <w:r w:rsidRPr="001E7162">
        <w:rPr>
          <w:rFonts w:ascii="Times New Roman" w:eastAsia="Times New Roman" w:hAnsi="Times New Roman" w:cs="Times New Roman"/>
          <w:sz w:val="24"/>
          <w:szCs w:val="24"/>
        </w:rPr>
        <w:t>Tashakor</w:t>
      </w:r>
      <w:proofErr w:type="spellEnd"/>
      <w:r w:rsidRPr="001E7162">
        <w:rPr>
          <w:rFonts w:ascii="Times New Roman" w:eastAsia="Times New Roman" w:hAnsi="Times New Roman" w:cs="Times New Roman"/>
          <w:sz w:val="24"/>
          <w:szCs w:val="24"/>
        </w:rPr>
        <w:t xml:space="preserve"> et al., 2022), Ilorin (Okoro et al., 2025), and partially Nanjing (Hu et al., 2012). However, it contrasts markedly with studies conducted in mining regions, industrial estates, intense dust storm zones, and heavily trafficked roadside areas such as </w:t>
      </w:r>
      <w:proofErr w:type="spellStart"/>
      <w:r w:rsidRPr="001E7162">
        <w:rPr>
          <w:rFonts w:ascii="Times New Roman" w:eastAsia="Times New Roman" w:hAnsi="Times New Roman" w:cs="Times New Roman"/>
          <w:sz w:val="24"/>
          <w:szCs w:val="24"/>
        </w:rPr>
        <w:t>Zabol</w:t>
      </w:r>
      <w:proofErr w:type="spellEnd"/>
      <w:r w:rsidRPr="001E7162">
        <w:rPr>
          <w:rFonts w:ascii="Times New Roman" w:eastAsia="Times New Roman" w:hAnsi="Times New Roman" w:cs="Times New Roman"/>
          <w:sz w:val="24"/>
          <w:szCs w:val="24"/>
        </w:rPr>
        <w:t xml:space="preserve"> (</w:t>
      </w:r>
      <w:proofErr w:type="spellStart"/>
      <w:r w:rsidRPr="001E7162">
        <w:rPr>
          <w:rFonts w:ascii="Times New Roman" w:eastAsia="Times New Roman" w:hAnsi="Times New Roman" w:cs="Times New Roman"/>
          <w:sz w:val="24"/>
          <w:szCs w:val="24"/>
        </w:rPr>
        <w:t>Behrooz</w:t>
      </w:r>
      <w:proofErr w:type="spellEnd"/>
      <w:r w:rsidRPr="001E7162">
        <w:rPr>
          <w:rFonts w:ascii="Times New Roman" w:eastAsia="Times New Roman" w:hAnsi="Times New Roman" w:cs="Times New Roman"/>
          <w:sz w:val="24"/>
          <w:szCs w:val="24"/>
        </w:rPr>
        <w:t xml:space="preserve"> et al., 2020), </w:t>
      </w:r>
      <w:proofErr w:type="spellStart"/>
      <w:r w:rsidRPr="001E7162">
        <w:rPr>
          <w:rFonts w:ascii="Times New Roman" w:eastAsia="Times New Roman" w:hAnsi="Times New Roman" w:cs="Times New Roman"/>
          <w:sz w:val="24"/>
          <w:szCs w:val="24"/>
        </w:rPr>
        <w:t>Matjhabeng</w:t>
      </w:r>
      <w:proofErr w:type="spellEnd"/>
      <w:r w:rsidRPr="001E7162">
        <w:rPr>
          <w:rFonts w:ascii="Times New Roman" w:eastAsia="Times New Roman" w:hAnsi="Times New Roman" w:cs="Times New Roman"/>
          <w:sz w:val="24"/>
          <w:szCs w:val="24"/>
        </w:rPr>
        <w:t xml:space="preserve"> (Belle et al., 2024), Agra (Sah et al., 2018), Chilean mining areas (Cáceres et al., 2021), Aqaba (Al-</w:t>
      </w:r>
      <w:proofErr w:type="spellStart"/>
      <w:r w:rsidRPr="001E7162">
        <w:rPr>
          <w:rFonts w:ascii="Times New Roman" w:eastAsia="Times New Roman" w:hAnsi="Times New Roman" w:cs="Times New Roman"/>
          <w:sz w:val="24"/>
          <w:szCs w:val="24"/>
        </w:rPr>
        <w:t>Shaweesh</w:t>
      </w:r>
      <w:proofErr w:type="spellEnd"/>
      <w:r w:rsidRPr="001E7162">
        <w:rPr>
          <w:rFonts w:ascii="Times New Roman" w:eastAsia="Times New Roman" w:hAnsi="Times New Roman" w:cs="Times New Roman"/>
          <w:sz w:val="24"/>
          <w:szCs w:val="24"/>
        </w:rPr>
        <w:t xml:space="preserve">, 2020), and </w:t>
      </w:r>
      <w:proofErr w:type="spellStart"/>
      <w:r w:rsidRPr="001E7162">
        <w:rPr>
          <w:rFonts w:ascii="Times New Roman" w:eastAsia="Times New Roman" w:hAnsi="Times New Roman" w:cs="Times New Roman"/>
          <w:sz w:val="24"/>
          <w:szCs w:val="24"/>
        </w:rPr>
        <w:t>Eket</w:t>
      </w:r>
      <w:proofErr w:type="spellEnd"/>
      <w:r w:rsidRPr="001E7162">
        <w:rPr>
          <w:rFonts w:ascii="Times New Roman" w:eastAsia="Times New Roman" w:hAnsi="Times New Roman" w:cs="Times New Roman"/>
          <w:sz w:val="24"/>
          <w:szCs w:val="24"/>
        </w:rPr>
        <w:t xml:space="preserve"> (</w:t>
      </w:r>
      <w:proofErr w:type="spellStart"/>
      <w:r w:rsidRPr="001E7162">
        <w:rPr>
          <w:rFonts w:ascii="Times New Roman" w:eastAsia="Times New Roman" w:hAnsi="Times New Roman" w:cs="Times New Roman"/>
          <w:sz w:val="24"/>
          <w:szCs w:val="24"/>
        </w:rPr>
        <w:t>Nta</w:t>
      </w:r>
      <w:proofErr w:type="spellEnd"/>
      <w:r w:rsidRPr="001E7162">
        <w:rPr>
          <w:rFonts w:ascii="Times New Roman" w:eastAsia="Times New Roman" w:hAnsi="Times New Roman" w:cs="Times New Roman"/>
          <w:sz w:val="24"/>
          <w:szCs w:val="24"/>
        </w:rPr>
        <w:t xml:space="preserve"> et al., 2025), where HI values frequently exceeded 1.0. Importantly, consistent with nearly all referenced studies, children in the present research exhibited higher HI values than adults, reflecting increased susceptibility due to lower body weight and higher inhalation rate per unit mass. Therefore, while the Port Harcourt school environments demonstrate acceptable non-carcinogenic inhalation risk levels, the comparative analysis undersc</w:t>
      </w:r>
      <w:r>
        <w:rPr>
          <w:rFonts w:ascii="Times New Roman" w:eastAsia="Times New Roman" w:hAnsi="Times New Roman" w:cs="Times New Roman"/>
          <w:sz w:val="24"/>
          <w:szCs w:val="24"/>
        </w:rPr>
        <w:t>ores that environmental context-</w:t>
      </w:r>
      <w:r w:rsidRPr="001E7162">
        <w:rPr>
          <w:rFonts w:ascii="Times New Roman" w:eastAsia="Times New Roman" w:hAnsi="Times New Roman" w:cs="Times New Roman"/>
          <w:sz w:val="24"/>
          <w:szCs w:val="24"/>
        </w:rPr>
        <w:t>particularly proximity to mining, heavy industry, traffic density and dust inten</w:t>
      </w:r>
      <w:r>
        <w:rPr>
          <w:rFonts w:ascii="Times New Roman" w:eastAsia="Times New Roman" w:hAnsi="Times New Roman" w:cs="Times New Roman"/>
          <w:sz w:val="24"/>
          <w:szCs w:val="24"/>
        </w:rPr>
        <w:t>sity</w:t>
      </w:r>
      <w:r w:rsidR="00900F43">
        <w:rPr>
          <w:rFonts w:ascii="Times New Roman" w:eastAsia="Times New Roman" w:hAnsi="Times New Roman" w:cs="Times New Roman"/>
          <w:sz w:val="24"/>
          <w:szCs w:val="24"/>
        </w:rPr>
        <w:t xml:space="preserve"> </w:t>
      </w:r>
      <w:r w:rsidRPr="001E7162">
        <w:rPr>
          <w:rFonts w:ascii="Times New Roman" w:eastAsia="Times New Roman" w:hAnsi="Times New Roman" w:cs="Times New Roman"/>
          <w:sz w:val="24"/>
          <w:szCs w:val="24"/>
        </w:rPr>
        <w:t>remains a critical determinant of inhalation-related health risk magnitude.</w:t>
      </w:r>
    </w:p>
    <w:p w14:paraId="643D0A46" w14:textId="77777777" w:rsidR="00E448CD" w:rsidRPr="001E7162" w:rsidRDefault="00E448CD" w:rsidP="00E17A0B">
      <w:pPr>
        <w:spacing w:after="0" w:line="240" w:lineRule="auto"/>
        <w:jc w:val="both"/>
        <w:rPr>
          <w:rFonts w:ascii="Times New Roman" w:eastAsia="Times New Roman" w:hAnsi="Times New Roman" w:cs="Times New Roman"/>
          <w:sz w:val="24"/>
          <w:szCs w:val="24"/>
        </w:rPr>
      </w:pPr>
    </w:p>
    <w:p w14:paraId="14C0155F" w14:textId="77777777" w:rsidR="005A186C" w:rsidRDefault="00F941B0" w:rsidP="00E448CD">
      <w:pPr>
        <w:pStyle w:val="NormalWeb"/>
        <w:spacing w:before="0" w:beforeAutospacing="0" w:after="0" w:afterAutospacing="0"/>
        <w:jc w:val="center"/>
        <w:rPr>
          <w:b/>
          <w:bCs/>
        </w:rPr>
      </w:pPr>
      <w:r>
        <w:rPr>
          <w:b/>
          <w:bCs/>
        </w:rPr>
        <w:t>CONCLUSION</w:t>
      </w:r>
    </w:p>
    <w:p w14:paraId="28008D3E" w14:textId="77777777" w:rsidR="005A186C" w:rsidRDefault="00F941B0" w:rsidP="00E448CD">
      <w:pPr>
        <w:pStyle w:val="NormalWeb"/>
        <w:spacing w:before="0" w:beforeAutospacing="0" w:after="0" w:afterAutospacing="0"/>
        <w:jc w:val="both"/>
      </w:pPr>
      <w:r>
        <w:t>Th</w:t>
      </w:r>
      <w:r w:rsidR="00B7203A">
        <w:t>is</w:t>
      </w:r>
      <w:r>
        <w:rPr>
          <w:spacing w:val="61"/>
        </w:rPr>
        <w:t xml:space="preserve"> </w:t>
      </w:r>
      <w:r>
        <w:t>study</w:t>
      </w:r>
      <w:r>
        <w:rPr>
          <w:spacing w:val="140"/>
        </w:rPr>
        <w:t xml:space="preserve"> </w:t>
      </w:r>
      <w:r>
        <w:t>reveal</w:t>
      </w:r>
      <w:r w:rsidR="00B7203A">
        <w:t>ed</w:t>
      </w:r>
      <w:r>
        <w:rPr>
          <w:spacing w:val="113"/>
        </w:rPr>
        <w:t xml:space="preserve"> </w:t>
      </w:r>
      <w:r>
        <w:t>a</w:t>
      </w:r>
      <w:r>
        <w:rPr>
          <w:spacing w:val="20"/>
        </w:rPr>
        <w:t xml:space="preserve"> </w:t>
      </w:r>
      <w:r>
        <w:t>heterogeneous distribution of</w:t>
      </w:r>
      <w:r>
        <w:rPr>
          <w:spacing w:val="96"/>
        </w:rPr>
        <w:t xml:space="preserve"> </w:t>
      </w:r>
      <w:r>
        <w:t>potentially toxic elements</w:t>
      </w:r>
      <w:r>
        <w:rPr>
          <w:spacing w:val="83"/>
        </w:rPr>
        <w:t xml:space="preserve"> </w:t>
      </w:r>
      <w:r>
        <w:t>in dust</w:t>
      </w:r>
      <w:r w:rsidR="00EC25F4">
        <w:t>s</w:t>
      </w:r>
      <w:r>
        <w:t xml:space="preserve"> from schools</w:t>
      </w:r>
      <w:r w:rsidR="00B7203A">
        <w:t xml:space="preserve"> in</w:t>
      </w:r>
      <w:r>
        <w:t xml:space="preserve"> P</w:t>
      </w:r>
      <w:r w:rsidR="00EC25F4">
        <w:t xml:space="preserve">ort </w:t>
      </w:r>
      <w:r>
        <w:t>H</w:t>
      </w:r>
      <w:r w:rsidR="00EC25F4">
        <w:t xml:space="preserve">arcourt </w:t>
      </w:r>
      <w:r>
        <w:t>LGA,</w:t>
      </w:r>
      <w:r>
        <w:rPr>
          <w:spacing w:val="76"/>
        </w:rPr>
        <w:t xml:space="preserve"> </w:t>
      </w:r>
      <w:r>
        <w:t>with</w:t>
      </w:r>
      <w:r>
        <w:rPr>
          <w:spacing w:val="15"/>
        </w:rPr>
        <w:t xml:space="preserve"> </w:t>
      </w:r>
      <w:r>
        <w:t>most</w:t>
      </w:r>
      <w:r>
        <w:rPr>
          <w:spacing w:val="26"/>
        </w:rPr>
        <w:t xml:space="preserve"> </w:t>
      </w:r>
      <w:r>
        <w:t>metals occurring at</w:t>
      </w:r>
      <w:r>
        <w:rPr>
          <w:spacing w:val="69"/>
        </w:rPr>
        <w:t xml:space="preserve"> </w:t>
      </w:r>
      <w:r>
        <w:t>low</w:t>
      </w:r>
      <w:r>
        <w:rPr>
          <w:spacing w:val="109"/>
        </w:rPr>
        <w:t xml:space="preserve"> </w:t>
      </w:r>
      <w:r>
        <w:t>levels</w:t>
      </w:r>
      <w:r>
        <w:rPr>
          <w:spacing w:val="93"/>
        </w:rPr>
        <w:t xml:space="preserve"> </w:t>
      </w:r>
      <w:r>
        <w:t>but</w:t>
      </w:r>
      <w:r>
        <w:rPr>
          <w:spacing w:val="87"/>
        </w:rPr>
        <w:t xml:space="preserve"> </w:t>
      </w:r>
      <w:r>
        <w:t>showing localized hotspots. Notably,</w:t>
      </w:r>
      <w:r>
        <w:rPr>
          <w:spacing w:val="116"/>
        </w:rPr>
        <w:t xml:space="preserve"> </w:t>
      </w:r>
      <w:r>
        <w:t>Pb</w:t>
      </w:r>
      <w:r>
        <w:rPr>
          <w:spacing w:val="21"/>
        </w:rPr>
        <w:t xml:space="preserve"> </w:t>
      </w:r>
      <w:r w:rsidR="00B7203A">
        <w:t>exhibited</w:t>
      </w:r>
      <w:r>
        <w:t xml:space="preserve"> extreme elevation at</w:t>
      </w:r>
      <w:r>
        <w:rPr>
          <w:spacing w:val="69"/>
        </w:rPr>
        <w:t xml:space="preserve"> </w:t>
      </w:r>
      <w:r>
        <w:t>PH05CIA,</w:t>
      </w:r>
      <w:r>
        <w:rPr>
          <w:spacing w:val="59"/>
        </w:rPr>
        <w:t xml:space="preserve"> </w:t>
      </w:r>
      <w:r>
        <w:t>while</w:t>
      </w:r>
      <w:r>
        <w:rPr>
          <w:spacing w:val="125"/>
        </w:rPr>
        <w:t xml:space="preserve"> </w:t>
      </w:r>
      <w:r>
        <w:t>As and</w:t>
      </w:r>
      <w:r>
        <w:rPr>
          <w:spacing w:val="69"/>
        </w:rPr>
        <w:t xml:space="preserve"> </w:t>
      </w:r>
      <w:r>
        <w:t>Cu</w:t>
      </w:r>
      <w:r>
        <w:rPr>
          <w:spacing w:val="5"/>
        </w:rPr>
        <w:t xml:space="preserve"> </w:t>
      </w:r>
      <w:r>
        <w:t>show</w:t>
      </w:r>
      <w:r w:rsidR="00B7203A">
        <w:t>ed</w:t>
      </w:r>
      <w:r>
        <w:t xml:space="preserve"> site-specific peaks, indicating possible point-source contamination and</w:t>
      </w:r>
      <w:r>
        <w:rPr>
          <w:spacing w:val="82"/>
        </w:rPr>
        <w:t xml:space="preserve"> </w:t>
      </w:r>
      <w:r>
        <w:t>potential health</w:t>
      </w:r>
      <w:r>
        <w:rPr>
          <w:spacing w:val="140"/>
        </w:rPr>
        <w:t xml:space="preserve"> </w:t>
      </w:r>
      <w:r>
        <w:t>risks. Statistical analyses confirm</w:t>
      </w:r>
      <w:r w:rsidR="00B7203A">
        <w:t>ed</w:t>
      </w:r>
      <w:r>
        <w:t xml:space="preserve"> variability across </w:t>
      </w:r>
      <w:r w:rsidR="00B7203A">
        <w:t xml:space="preserve">the </w:t>
      </w:r>
      <w:r>
        <w:t>schools and</w:t>
      </w:r>
      <w:r>
        <w:rPr>
          <w:spacing w:val="75"/>
        </w:rPr>
        <w:t xml:space="preserve"> </w:t>
      </w:r>
      <w:r w:rsidR="00EC25F4">
        <w:rPr>
          <w:spacing w:val="75"/>
        </w:rPr>
        <w:t>the toxic elements</w:t>
      </w:r>
      <w:r>
        <w:t>, reflecting uneven</w:t>
      </w:r>
      <w:r>
        <w:rPr>
          <w:spacing w:val="84"/>
        </w:rPr>
        <w:t xml:space="preserve"> </w:t>
      </w:r>
      <w:r>
        <w:t xml:space="preserve">contamination patterns. </w:t>
      </w:r>
      <w:r w:rsidR="00E17A0B">
        <w:t xml:space="preserve">The study </w:t>
      </w:r>
      <w:r w:rsidR="00E17A0B">
        <w:rPr>
          <w:position w:val="-1"/>
        </w:rPr>
        <w:t>showed</w:t>
      </w:r>
      <w:r>
        <w:rPr>
          <w:position w:val="-1"/>
        </w:rPr>
        <w:t xml:space="preserve"> generally</w:t>
      </w:r>
      <w:r w:rsidR="00E17A0B">
        <w:rPr>
          <w:position w:val="-1"/>
        </w:rPr>
        <w:t>,</w:t>
      </w:r>
      <w:r>
        <w:rPr>
          <w:spacing w:val="22"/>
          <w:position w:val="-1"/>
        </w:rPr>
        <w:t xml:space="preserve"> </w:t>
      </w:r>
      <w:r>
        <w:rPr>
          <w:position w:val="-1"/>
        </w:rPr>
        <w:t>Cr</w:t>
      </w:r>
      <w:r>
        <w:rPr>
          <w:spacing w:val="7"/>
          <w:position w:val="-1"/>
        </w:rPr>
        <w:t xml:space="preserve"> </w:t>
      </w:r>
      <w:r>
        <w:rPr>
          <w:position w:val="-1"/>
        </w:rPr>
        <w:t>and</w:t>
      </w:r>
      <w:r>
        <w:rPr>
          <w:spacing w:val="89"/>
          <w:position w:val="-1"/>
        </w:rPr>
        <w:t xml:space="preserve"> </w:t>
      </w:r>
      <w:r>
        <w:rPr>
          <w:position w:val="-1"/>
        </w:rPr>
        <w:t>Ni</w:t>
      </w:r>
      <w:r>
        <w:rPr>
          <w:spacing w:val="45"/>
          <w:position w:val="-1"/>
        </w:rPr>
        <w:t xml:space="preserve"> </w:t>
      </w:r>
      <w:r>
        <w:rPr>
          <w:position w:val="-1"/>
        </w:rPr>
        <w:t>levels</w:t>
      </w:r>
      <w:r>
        <w:rPr>
          <w:spacing w:val="93"/>
          <w:position w:val="-1"/>
        </w:rPr>
        <w:t xml:space="preserve"> </w:t>
      </w:r>
      <w:r>
        <w:rPr>
          <w:position w:val="-1"/>
        </w:rPr>
        <w:t>but</w:t>
      </w:r>
      <w:r>
        <w:t xml:space="preserve"> similar site-specific metal</w:t>
      </w:r>
      <w:r>
        <w:rPr>
          <w:spacing w:val="138"/>
        </w:rPr>
        <w:t xml:space="preserve"> </w:t>
      </w:r>
      <w:r>
        <w:t>enrichment, emphasizing the</w:t>
      </w:r>
      <w:r>
        <w:rPr>
          <w:spacing w:val="114"/>
        </w:rPr>
        <w:t xml:space="preserve"> </w:t>
      </w:r>
      <w:r>
        <w:t>influence of</w:t>
      </w:r>
      <w:r>
        <w:rPr>
          <w:spacing w:val="103"/>
        </w:rPr>
        <w:t xml:space="preserve"> </w:t>
      </w:r>
      <w:r>
        <w:t>local environmental and</w:t>
      </w:r>
      <w:r>
        <w:rPr>
          <w:spacing w:val="69"/>
        </w:rPr>
        <w:t xml:space="preserve"> </w:t>
      </w:r>
      <w:r>
        <w:t>anthropogenic</w:t>
      </w:r>
      <w:r>
        <w:rPr>
          <w:spacing w:val="33"/>
        </w:rPr>
        <w:t xml:space="preserve"> </w:t>
      </w:r>
      <w:r>
        <w:t>factors on</w:t>
      </w:r>
      <w:r>
        <w:rPr>
          <w:spacing w:val="58"/>
        </w:rPr>
        <w:t xml:space="preserve"> </w:t>
      </w:r>
      <w:r>
        <w:t>school</w:t>
      </w:r>
      <w:r>
        <w:rPr>
          <w:spacing w:val="29"/>
        </w:rPr>
        <w:t xml:space="preserve"> </w:t>
      </w:r>
      <w:r>
        <w:t>dust</w:t>
      </w:r>
      <w:r>
        <w:rPr>
          <w:spacing w:val="127"/>
        </w:rPr>
        <w:t xml:space="preserve"> </w:t>
      </w:r>
      <w:r>
        <w:t>contamination.</w:t>
      </w:r>
    </w:p>
    <w:p w14:paraId="3837520D" w14:textId="77777777" w:rsidR="001F2FB1" w:rsidRDefault="001F2FB1" w:rsidP="001F2FB1">
      <w:pPr>
        <w:spacing w:after="0" w:line="240" w:lineRule="auto"/>
        <w:ind w:left="270" w:hanging="270"/>
        <w:jc w:val="both"/>
        <w:rPr>
          <w:rFonts w:ascii="Times New Roman" w:eastAsia="Times New Roman" w:hAnsi="Times New Roman" w:cs="Times New Roman"/>
          <w:sz w:val="24"/>
          <w:szCs w:val="24"/>
        </w:rPr>
      </w:pPr>
    </w:p>
    <w:p w14:paraId="577DD815" w14:textId="71328768" w:rsidR="00C5292E" w:rsidRDefault="001E3C54" w:rsidP="001F2F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recommended r</w:t>
      </w:r>
      <w:r w:rsidR="001F2FB1" w:rsidRPr="00591CBA">
        <w:rPr>
          <w:rFonts w:ascii="Times New Roman" w:eastAsia="Times New Roman" w:hAnsi="Times New Roman" w:cs="Times New Roman"/>
          <w:sz w:val="24"/>
          <w:szCs w:val="24"/>
        </w:rPr>
        <w:t>egular maintenance and cleaning of classrooms, including wet-mopping instead of</w:t>
      </w:r>
      <w:r w:rsidR="001F2FB1">
        <w:rPr>
          <w:rFonts w:ascii="Times New Roman" w:eastAsia="Times New Roman" w:hAnsi="Times New Roman" w:cs="Times New Roman"/>
          <w:sz w:val="24"/>
          <w:szCs w:val="24"/>
        </w:rPr>
        <w:t xml:space="preserve"> </w:t>
      </w:r>
      <w:r w:rsidR="001F2FB1" w:rsidRPr="00591CBA">
        <w:rPr>
          <w:rFonts w:ascii="Times New Roman" w:eastAsia="Times New Roman" w:hAnsi="Times New Roman" w:cs="Times New Roman"/>
          <w:sz w:val="24"/>
          <w:szCs w:val="24"/>
        </w:rPr>
        <w:t xml:space="preserve">sweeping, can significantly reduce </w:t>
      </w:r>
      <w:r w:rsidR="001F2FB1">
        <w:rPr>
          <w:rFonts w:ascii="Times New Roman" w:eastAsia="Times New Roman" w:hAnsi="Times New Roman" w:cs="Times New Roman"/>
          <w:sz w:val="24"/>
          <w:szCs w:val="24"/>
        </w:rPr>
        <w:t>coarse particulate and dusts resuspension.</w:t>
      </w:r>
      <w:r w:rsidR="001F2FB1" w:rsidRPr="00591CBA">
        <w:rPr>
          <w:rFonts w:ascii="Times New Roman" w:eastAsia="Times New Roman" w:hAnsi="Times New Roman" w:cs="Times New Roman"/>
          <w:sz w:val="24"/>
          <w:szCs w:val="24"/>
        </w:rPr>
        <w:t xml:space="preserve"> Community-based environmental management strategies, including dust suppression on unpaved roads and the enforcement of industrial emission controls, are critical for improving overall air quality</w:t>
      </w:r>
      <w:r w:rsidR="001F2FB1">
        <w:rPr>
          <w:rFonts w:ascii="Times New Roman" w:eastAsia="Times New Roman" w:hAnsi="Times New Roman" w:cs="Times New Roman"/>
          <w:sz w:val="24"/>
          <w:szCs w:val="24"/>
        </w:rPr>
        <w:t xml:space="preserve">, </w:t>
      </w:r>
      <w:r w:rsidR="001F2FB1" w:rsidRPr="00171D27">
        <w:rPr>
          <w:rFonts w:ascii="Times New Roman" w:eastAsia="Times New Roman" w:hAnsi="Times New Roman" w:cs="Times New Roman"/>
          <w:sz w:val="24"/>
          <w:szCs w:val="24"/>
        </w:rPr>
        <w:t>regulatory intervention, environmental mon</w:t>
      </w:r>
      <w:r w:rsidR="001F2FB1">
        <w:rPr>
          <w:rFonts w:ascii="Times New Roman" w:eastAsia="Times New Roman" w:hAnsi="Times New Roman" w:cs="Times New Roman"/>
          <w:sz w:val="24"/>
          <w:szCs w:val="24"/>
        </w:rPr>
        <w:t xml:space="preserve">itoring, industrial compliance </w:t>
      </w:r>
      <w:r w:rsidR="001F2FB1" w:rsidRPr="00171D27">
        <w:rPr>
          <w:rFonts w:ascii="Times New Roman" w:eastAsia="Times New Roman" w:hAnsi="Times New Roman" w:cs="Times New Roman"/>
          <w:sz w:val="24"/>
          <w:szCs w:val="24"/>
        </w:rPr>
        <w:t>and public health awareness</w:t>
      </w:r>
      <w:r w:rsidR="00C5292E">
        <w:rPr>
          <w:rFonts w:ascii="Times New Roman" w:eastAsia="Times New Roman" w:hAnsi="Times New Roman" w:cs="Times New Roman"/>
          <w:sz w:val="24"/>
          <w:szCs w:val="24"/>
        </w:rPr>
        <w:t>.</w:t>
      </w:r>
    </w:p>
    <w:p w14:paraId="3A819D50" w14:textId="197CDBB5" w:rsidR="00841A0C" w:rsidRDefault="00841A0C" w:rsidP="001F2FB1">
      <w:pPr>
        <w:spacing w:after="0" w:line="240" w:lineRule="auto"/>
        <w:jc w:val="both"/>
        <w:rPr>
          <w:rFonts w:ascii="Times New Roman" w:eastAsia="Times New Roman" w:hAnsi="Times New Roman" w:cs="Times New Roman"/>
          <w:sz w:val="24"/>
          <w:szCs w:val="24"/>
        </w:rPr>
      </w:pPr>
    </w:p>
    <w:p w14:paraId="660579D4" w14:textId="77777777" w:rsidR="00841A0C" w:rsidRPr="00154D08" w:rsidRDefault="00841A0C" w:rsidP="00154D08"/>
    <w:p w14:paraId="11D77406" w14:textId="77777777" w:rsidR="00C5292E" w:rsidRPr="00154D08" w:rsidRDefault="00C5292E" w:rsidP="00154D08">
      <w:pPr>
        <w:rPr>
          <w:highlight w:val="lightGray"/>
        </w:rPr>
      </w:pPr>
      <w:r w:rsidRPr="00154D08">
        <w:rPr>
          <w:highlight w:val="lightGray"/>
        </w:rPr>
        <w:t>Disclaimer (Artificial intelligence)</w:t>
      </w:r>
    </w:p>
    <w:p w14:paraId="118ACE38" w14:textId="77777777" w:rsidR="00C5292E" w:rsidRPr="00154D08" w:rsidRDefault="00C5292E" w:rsidP="00154D08">
      <w:pPr>
        <w:rPr>
          <w:highlight w:val="lightGray"/>
        </w:rPr>
      </w:pPr>
    </w:p>
    <w:p w14:paraId="1515EB20" w14:textId="77777777" w:rsidR="00C5292E" w:rsidRPr="00154D08" w:rsidRDefault="00C5292E" w:rsidP="00154D08">
      <w:pPr>
        <w:rPr>
          <w:highlight w:val="lightGray"/>
        </w:rPr>
      </w:pPr>
      <w:r w:rsidRPr="00154D08">
        <w:rPr>
          <w:highlight w:val="lightGray"/>
        </w:rPr>
        <w:t>Author(s) hereby declare that NO generative AI technologies such as Large Language Models (</w:t>
      </w:r>
      <w:proofErr w:type="spellStart"/>
      <w:r w:rsidRPr="00154D08">
        <w:rPr>
          <w:highlight w:val="lightGray"/>
        </w:rPr>
        <w:t>ChatGPT</w:t>
      </w:r>
      <w:proofErr w:type="spellEnd"/>
      <w:r w:rsidRPr="00154D08">
        <w:rPr>
          <w:highlight w:val="lightGray"/>
        </w:rPr>
        <w:t xml:space="preserve">, COPILOT, etc.) and text-to-image generators have been used during the writing or editing of this manuscript. </w:t>
      </w:r>
    </w:p>
    <w:p w14:paraId="3D537DFC" w14:textId="196F2226" w:rsidR="001F2FB1" w:rsidRDefault="001F2FB1" w:rsidP="001F2FB1">
      <w:pPr>
        <w:spacing w:after="0" w:line="240" w:lineRule="auto"/>
        <w:jc w:val="both"/>
        <w:rPr>
          <w:rFonts w:ascii="Times New Roman" w:eastAsia="Times New Roman" w:hAnsi="Times New Roman" w:cs="Times New Roman"/>
          <w:sz w:val="24"/>
          <w:szCs w:val="24"/>
        </w:rPr>
      </w:pPr>
      <w:r w:rsidRPr="00591CBA">
        <w:rPr>
          <w:rFonts w:ascii="Times New Roman" w:eastAsia="Times New Roman" w:hAnsi="Times New Roman" w:cs="Times New Roman"/>
          <w:sz w:val="24"/>
          <w:szCs w:val="24"/>
        </w:rPr>
        <w:t xml:space="preserve"> </w:t>
      </w:r>
    </w:p>
    <w:p w14:paraId="47150E67" w14:textId="77777777" w:rsidR="001F2FB1" w:rsidRDefault="001F2FB1" w:rsidP="001F2FB1">
      <w:pPr>
        <w:pStyle w:val="NormalWeb"/>
        <w:spacing w:before="0" w:beforeAutospacing="0" w:after="0" w:afterAutospacing="0"/>
        <w:jc w:val="both"/>
        <w:rPr>
          <w:spacing w:val="58"/>
        </w:rPr>
      </w:pPr>
    </w:p>
    <w:p w14:paraId="0DD667CD" w14:textId="77777777" w:rsidR="00E448CD" w:rsidRDefault="00E448CD">
      <w:pPr>
        <w:ind w:left="720" w:hanging="720"/>
        <w:jc w:val="center"/>
        <w:rPr>
          <w:rFonts w:ascii="Times New Roman" w:hAnsi="Times New Roman" w:cs="Times New Roman"/>
          <w:b/>
          <w:bCs/>
          <w:sz w:val="24"/>
          <w:szCs w:val="24"/>
        </w:rPr>
      </w:pPr>
    </w:p>
    <w:p w14:paraId="7558E9E7" w14:textId="77777777" w:rsidR="005A186C" w:rsidRDefault="00F941B0">
      <w:pPr>
        <w:ind w:left="720" w:hanging="720"/>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6F12393A" w14:textId="77777777" w:rsidR="005A186C" w:rsidRDefault="00F941B0" w:rsidP="00900F43">
      <w:pPr>
        <w:spacing w:line="240" w:lineRule="auto"/>
        <w:ind w:left="810" w:hanging="81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Adebamowo</w:t>
      </w:r>
      <w:proofErr w:type="spellEnd"/>
      <w:r>
        <w:rPr>
          <w:rFonts w:ascii="Times New Roman" w:hAnsi="Times New Roman" w:cs="Times New Roman"/>
          <w:color w:val="222222"/>
          <w:sz w:val="24"/>
          <w:szCs w:val="24"/>
          <w:shd w:val="clear" w:color="auto" w:fill="FFFFFF"/>
        </w:rPr>
        <w:t xml:space="preserve">, E. O., </w:t>
      </w:r>
      <w:proofErr w:type="spellStart"/>
      <w:r>
        <w:rPr>
          <w:rFonts w:ascii="Times New Roman" w:hAnsi="Times New Roman" w:cs="Times New Roman"/>
          <w:color w:val="222222"/>
          <w:sz w:val="24"/>
          <w:szCs w:val="24"/>
          <w:shd w:val="clear" w:color="auto" w:fill="FFFFFF"/>
        </w:rPr>
        <w:t>Agbede</w:t>
      </w:r>
      <w:proofErr w:type="spellEnd"/>
      <w:r>
        <w:rPr>
          <w:rFonts w:ascii="Times New Roman" w:hAnsi="Times New Roman" w:cs="Times New Roman"/>
          <w:color w:val="222222"/>
          <w:sz w:val="24"/>
          <w:szCs w:val="24"/>
          <w:shd w:val="clear" w:color="auto" w:fill="FFFFFF"/>
        </w:rPr>
        <w:t xml:space="preserve">, O. A., Sridhar, M. K., &amp; </w:t>
      </w:r>
      <w:proofErr w:type="spellStart"/>
      <w:r>
        <w:rPr>
          <w:rFonts w:ascii="Times New Roman" w:hAnsi="Times New Roman" w:cs="Times New Roman"/>
          <w:color w:val="222222"/>
          <w:sz w:val="24"/>
          <w:szCs w:val="24"/>
          <w:shd w:val="clear" w:color="auto" w:fill="FFFFFF"/>
        </w:rPr>
        <w:t>Adebamowo</w:t>
      </w:r>
      <w:proofErr w:type="spellEnd"/>
      <w:r>
        <w:rPr>
          <w:rFonts w:ascii="Times New Roman" w:hAnsi="Times New Roman" w:cs="Times New Roman"/>
          <w:color w:val="222222"/>
          <w:sz w:val="24"/>
          <w:szCs w:val="24"/>
          <w:shd w:val="clear" w:color="auto" w:fill="FFFFFF"/>
        </w:rPr>
        <w:t>, C. A. (2006). An examination of knowledge, attitudes and practices related to lead exposure in South Western Nigeria. </w:t>
      </w:r>
      <w:r>
        <w:rPr>
          <w:rFonts w:ascii="Times New Roman" w:hAnsi="Times New Roman" w:cs="Times New Roman"/>
          <w:i/>
          <w:iCs/>
          <w:color w:val="222222"/>
          <w:sz w:val="24"/>
          <w:szCs w:val="24"/>
          <w:shd w:val="clear" w:color="auto" w:fill="FFFFFF"/>
        </w:rPr>
        <w:t>BMC Public Health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w:t>
      </w:r>
      <w:r>
        <w:rPr>
          <w:rFonts w:ascii="Times New Roman" w:hAnsi="Times New Roman" w:cs="Times New Roman"/>
          <w:color w:val="222222"/>
          <w:sz w:val="24"/>
          <w:szCs w:val="24"/>
          <w:shd w:val="clear" w:color="auto" w:fill="FFFFFF"/>
        </w:rPr>
        <w:t>(1), 82.</w:t>
      </w:r>
    </w:p>
    <w:p w14:paraId="292A5F15" w14:textId="77777777" w:rsidR="00E448CD" w:rsidRDefault="00E448CD" w:rsidP="00E448CD">
      <w:pPr>
        <w:pStyle w:val="NormalWeb"/>
        <w:spacing w:before="0" w:beforeAutospacing="0" w:after="0" w:afterAutospacing="0"/>
        <w:ind w:left="810" w:hanging="810"/>
      </w:pPr>
      <w:r>
        <w:lastRenderedPageBreak/>
        <w:t>Al-</w:t>
      </w:r>
      <w:proofErr w:type="spellStart"/>
      <w:r>
        <w:t>Shaweesh</w:t>
      </w:r>
      <w:proofErr w:type="spellEnd"/>
      <w:r>
        <w:t xml:space="preserve">, M. (2020). Health risk assessment through exposure to heavy metals in urban and suburban dust emitted from workplace in Aqaba Industrial Estate, Jordan. </w:t>
      </w:r>
      <w:r>
        <w:rPr>
          <w:rStyle w:val="Emphasis"/>
        </w:rPr>
        <w:t>International Journal of GEOMATE, 18</w:t>
      </w:r>
      <w:r>
        <w:t xml:space="preserve">(69), 214–226. </w:t>
      </w:r>
      <w:hyperlink r:id="rId10" w:history="1">
        <w:r>
          <w:rPr>
            <w:rStyle w:val="Hyperlink"/>
          </w:rPr>
          <w:t>https://doi.org/10.21660/2020.69.22768</w:t>
        </w:r>
      </w:hyperlink>
    </w:p>
    <w:p w14:paraId="598E6997" w14:textId="77777777" w:rsidR="00900F43" w:rsidRDefault="00900F43" w:rsidP="00900F43">
      <w:pPr>
        <w:pStyle w:val="NormalWeb"/>
        <w:spacing w:before="0" w:beforeAutospacing="0" w:after="0" w:afterAutospacing="0"/>
        <w:ind w:left="720" w:hanging="720"/>
      </w:pPr>
      <w:r>
        <w:t xml:space="preserve">Behrooz, R., </w:t>
      </w:r>
      <w:proofErr w:type="spellStart"/>
      <w:r>
        <w:t>Kaskaoutis</w:t>
      </w:r>
      <w:proofErr w:type="spellEnd"/>
      <w:r>
        <w:t xml:space="preserve">, D., Grivas, G., &amp; Mihalopoulos, N. (2020). Human health risk assessment for toxic elements in the extreme ambient dust conditions observed in Sistan, Iran. </w:t>
      </w:r>
      <w:r>
        <w:rPr>
          <w:rStyle w:val="Emphasis"/>
        </w:rPr>
        <w:t>Chemosphere, 262</w:t>
      </w:r>
      <w:r>
        <w:t xml:space="preserve">(3), 127835–127846. </w:t>
      </w:r>
      <w:hyperlink r:id="rId11" w:history="1">
        <w:r>
          <w:rPr>
            <w:rStyle w:val="Hyperlink"/>
          </w:rPr>
          <w:t>https://doi.org/10.1016/j.chemosphere.2020.127835</w:t>
        </w:r>
      </w:hyperlink>
    </w:p>
    <w:p w14:paraId="4775B234" w14:textId="77777777" w:rsidR="00900F43" w:rsidRDefault="00900F43" w:rsidP="00900F43">
      <w:pPr>
        <w:pStyle w:val="NormalWeb"/>
        <w:spacing w:before="0" w:beforeAutospacing="0" w:after="0" w:afterAutospacing="0"/>
        <w:ind w:left="630" w:hanging="630"/>
        <w:rPr>
          <w:rStyle w:val="Hyperlink"/>
        </w:rPr>
      </w:pPr>
      <w:r>
        <w:t xml:space="preserve">Belle, G., Schoeman, Y., &amp; Oberholster, P. (2024). Source to receptor: Assessing health risks from heavy metal exposure in mining soils. </w:t>
      </w:r>
      <w:r>
        <w:rPr>
          <w:rStyle w:val="Emphasis"/>
        </w:rPr>
        <w:t>Minerals, 14</w:t>
      </w:r>
      <w:r>
        <w:t xml:space="preserve">(9), 858–874. </w:t>
      </w:r>
      <w:hyperlink r:id="rId12" w:history="1">
        <w:r>
          <w:rPr>
            <w:rStyle w:val="Hyperlink"/>
          </w:rPr>
          <w:t>https://doi.org/10.3390/min14090858</w:t>
        </w:r>
      </w:hyperlink>
    </w:p>
    <w:p w14:paraId="09424165" w14:textId="77777777" w:rsidR="00E95A98" w:rsidRDefault="00E95A98" w:rsidP="00E95A98">
      <w:pPr>
        <w:pStyle w:val="NormalWeb"/>
        <w:spacing w:before="0" w:beforeAutospacing="0" w:after="0" w:afterAutospacing="0"/>
        <w:ind w:left="810" w:hanging="810"/>
      </w:pPr>
      <w:r>
        <w:t xml:space="preserve">Cáceres, D., Flores-Jimenez, P., Hernández, K., Peres, F., Maldonado, A., Klarián, J., &amp; Cáceres, D. (2021). Health risk due to heavy metal(loid)s exposure through fine particulate matter and sedimented dust in people living next to a beach contaminated by mine tailings. </w:t>
      </w:r>
      <w:proofErr w:type="spellStart"/>
      <w:r>
        <w:rPr>
          <w:rStyle w:val="Emphasis"/>
        </w:rPr>
        <w:t>Revista</w:t>
      </w:r>
      <w:proofErr w:type="spellEnd"/>
      <w:r>
        <w:rPr>
          <w:rStyle w:val="Emphasis"/>
        </w:rPr>
        <w:t xml:space="preserve"> </w:t>
      </w:r>
      <w:proofErr w:type="spellStart"/>
      <w:r>
        <w:rPr>
          <w:rStyle w:val="Emphasis"/>
        </w:rPr>
        <w:t>Internacional</w:t>
      </w:r>
      <w:proofErr w:type="spellEnd"/>
      <w:r>
        <w:rPr>
          <w:rStyle w:val="Emphasis"/>
        </w:rPr>
        <w:t xml:space="preserve"> de </w:t>
      </w:r>
      <w:proofErr w:type="spellStart"/>
      <w:r>
        <w:rPr>
          <w:rStyle w:val="Emphasis"/>
        </w:rPr>
        <w:t>Contaminación</w:t>
      </w:r>
      <w:proofErr w:type="spellEnd"/>
      <w:r>
        <w:rPr>
          <w:rStyle w:val="Emphasis"/>
        </w:rPr>
        <w:t xml:space="preserve"> Ambiental, 37</w:t>
      </w:r>
      <w:r>
        <w:t xml:space="preserve">(1), 211–226. </w:t>
      </w:r>
      <w:hyperlink r:id="rId13" w:history="1">
        <w:r>
          <w:rPr>
            <w:rStyle w:val="Hyperlink"/>
          </w:rPr>
          <w:t>https://doi.org/10.20937/rica.53830</w:t>
        </w:r>
      </w:hyperlink>
    </w:p>
    <w:p w14:paraId="4DD384A0" w14:textId="77777777" w:rsidR="00E95A98" w:rsidRDefault="00E95A98" w:rsidP="00E95A98">
      <w:pPr>
        <w:pStyle w:val="NormalWeb"/>
        <w:spacing w:before="0" w:beforeAutospacing="0" w:after="0" w:afterAutospacing="0"/>
        <w:ind w:left="720" w:hanging="720"/>
      </w:pPr>
      <w:r>
        <w:t xml:space="preserve">Chen, X., Ward, T., Sarkar, C., Ho, K., &amp; Webster, C. (2022). Health risks of adults in Hong Kong related to inhalation of particle-bound heavy metal(loid)s. </w:t>
      </w:r>
      <w:r>
        <w:rPr>
          <w:rStyle w:val="Emphasis"/>
        </w:rPr>
        <w:t>Air Quality, Atmosphere &amp; Health, 15</w:t>
      </w:r>
      <w:r>
        <w:t xml:space="preserve">(2), 189–205. </w:t>
      </w:r>
      <w:hyperlink r:id="rId14" w:history="1">
        <w:r>
          <w:rPr>
            <w:rStyle w:val="Hyperlink"/>
          </w:rPr>
          <w:t>https://doi.org/10.1007/s11869-021-01115-6</w:t>
        </w:r>
      </w:hyperlink>
    </w:p>
    <w:p w14:paraId="4693CC29" w14:textId="77777777" w:rsidR="005A186C" w:rsidRDefault="00F941B0" w:rsidP="00900F43">
      <w:pPr>
        <w:spacing w:line="240" w:lineRule="auto"/>
        <w:ind w:left="630" w:hanging="63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Doyi</w:t>
      </w:r>
      <w:proofErr w:type="spellEnd"/>
      <w:r>
        <w:rPr>
          <w:rFonts w:ascii="Times New Roman" w:hAnsi="Times New Roman" w:cs="Times New Roman"/>
          <w:color w:val="222222"/>
          <w:sz w:val="24"/>
          <w:szCs w:val="24"/>
          <w:shd w:val="clear" w:color="auto" w:fill="FFFFFF"/>
        </w:rPr>
        <w:t xml:space="preserve">, I. N., </w:t>
      </w:r>
      <w:proofErr w:type="spellStart"/>
      <w:r>
        <w:rPr>
          <w:rFonts w:ascii="Times New Roman" w:hAnsi="Times New Roman" w:cs="Times New Roman"/>
          <w:color w:val="222222"/>
          <w:sz w:val="24"/>
          <w:szCs w:val="24"/>
          <w:shd w:val="clear" w:color="auto" w:fill="FFFFFF"/>
        </w:rPr>
        <w:t>Strezov</w:t>
      </w:r>
      <w:proofErr w:type="spellEnd"/>
      <w:r>
        <w:rPr>
          <w:rFonts w:ascii="Times New Roman" w:hAnsi="Times New Roman" w:cs="Times New Roman"/>
          <w:color w:val="222222"/>
          <w:sz w:val="24"/>
          <w:szCs w:val="24"/>
          <w:shd w:val="clear" w:color="auto" w:fill="FFFFFF"/>
        </w:rPr>
        <w:t xml:space="preserve">, V., Isley, C. F., </w:t>
      </w:r>
      <w:proofErr w:type="spellStart"/>
      <w:r>
        <w:rPr>
          <w:rFonts w:ascii="Times New Roman" w:hAnsi="Times New Roman" w:cs="Times New Roman"/>
          <w:color w:val="222222"/>
          <w:sz w:val="24"/>
          <w:szCs w:val="24"/>
          <w:shd w:val="clear" w:color="auto" w:fill="FFFFFF"/>
        </w:rPr>
        <w:t>Yazdanparast</w:t>
      </w:r>
      <w:proofErr w:type="spellEnd"/>
      <w:r>
        <w:rPr>
          <w:rFonts w:ascii="Times New Roman" w:hAnsi="Times New Roman" w:cs="Times New Roman"/>
          <w:color w:val="222222"/>
          <w:sz w:val="24"/>
          <w:szCs w:val="24"/>
          <w:shd w:val="clear" w:color="auto" w:fill="FFFFFF"/>
        </w:rPr>
        <w:t xml:space="preserve">, T., &amp; Taylor, M. P. (2020). The relevance of particle size distribution and </w:t>
      </w:r>
      <w:proofErr w:type="spellStart"/>
      <w:r>
        <w:rPr>
          <w:rFonts w:ascii="Times New Roman" w:hAnsi="Times New Roman" w:cs="Times New Roman"/>
          <w:color w:val="222222"/>
          <w:sz w:val="24"/>
          <w:szCs w:val="24"/>
          <w:shd w:val="clear" w:color="auto" w:fill="FFFFFF"/>
        </w:rPr>
        <w:t>bioaccessibility</w:t>
      </w:r>
      <w:proofErr w:type="spellEnd"/>
      <w:r>
        <w:rPr>
          <w:rFonts w:ascii="Times New Roman" w:hAnsi="Times New Roman" w:cs="Times New Roman"/>
          <w:color w:val="222222"/>
          <w:sz w:val="24"/>
          <w:szCs w:val="24"/>
          <w:shd w:val="clear" w:color="auto" w:fill="FFFFFF"/>
        </w:rPr>
        <w:t xml:space="preserve"> on human health risk assessment for trace elements measured in indoor dust. </w:t>
      </w:r>
      <w:r>
        <w:rPr>
          <w:rFonts w:ascii="Times New Roman" w:hAnsi="Times New Roman" w:cs="Times New Roman"/>
          <w:i/>
          <w:iCs/>
          <w:color w:val="222222"/>
          <w:sz w:val="24"/>
          <w:szCs w:val="24"/>
          <w:shd w:val="clear" w:color="auto" w:fill="FFFFFF"/>
        </w:rPr>
        <w:t>Science of the Total Environment</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733</w:t>
      </w:r>
      <w:r>
        <w:rPr>
          <w:rFonts w:ascii="Times New Roman" w:hAnsi="Times New Roman" w:cs="Times New Roman"/>
          <w:color w:val="222222"/>
          <w:sz w:val="24"/>
          <w:szCs w:val="24"/>
          <w:shd w:val="clear" w:color="auto" w:fill="FFFFFF"/>
        </w:rPr>
        <w:t>, 137931.</w:t>
      </w:r>
    </w:p>
    <w:p w14:paraId="2F0C1929" w14:textId="77777777" w:rsidR="005A186C" w:rsidRDefault="00F941B0" w:rsidP="00EC25F4">
      <w:pPr>
        <w:spacing w:line="240" w:lineRule="auto"/>
        <w:ind w:left="630" w:hanging="63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Evans, D. E., </w:t>
      </w:r>
      <w:proofErr w:type="spellStart"/>
      <w:r>
        <w:rPr>
          <w:rFonts w:ascii="Times New Roman" w:hAnsi="Times New Roman" w:cs="Times New Roman"/>
          <w:color w:val="222222"/>
          <w:sz w:val="24"/>
          <w:szCs w:val="24"/>
          <w:shd w:val="clear" w:color="auto" w:fill="FFFFFF"/>
        </w:rPr>
        <w:t>Turkevich</w:t>
      </w:r>
      <w:proofErr w:type="spellEnd"/>
      <w:r>
        <w:rPr>
          <w:rFonts w:ascii="Times New Roman" w:hAnsi="Times New Roman" w:cs="Times New Roman"/>
          <w:color w:val="222222"/>
          <w:sz w:val="24"/>
          <w:szCs w:val="24"/>
          <w:shd w:val="clear" w:color="auto" w:fill="FFFFFF"/>
        </w:rPr>
        <w:t xml:space="preserve">, L. A., </w:t>
      </w:r>
      <w:proofErr w:type="spellStart"/>
      <w:r>
        <w:rPr>
          <w:rFonts w:ascii="Times New Roman" w:hAnsi="Times New Roman" w:cs="Times New Roman"/>
          <w:color w:val="222222"/>
          <w:sz w:val="24"/>
          <w:szCs w:val="24"/>
          <w:shd w:val="clear" w:color="auto" w:fill="FFFFFF"/>
        </w:rPr>
        <w:t>Roettgers</w:t>
      </w:r>
      <w:proofErr w:type="spellEnd"/>
      <w:r>
        <w:rPr>
          <w:rFonts w:ascii="Times New Roman" w:hAnsi="Times New Roman" w:cs="Times New Roman"/>
          <w:color w:val="222222"/>
          <w:sz w:val="24"/>
          <w:szCs w:val="24"/>
          <w:shd w:val="clear" w:color="auto" w:fill="FFFFFF"/>
        </w:rPr>
        <w:t>, C. T., Deye, G. J., &amp; Baron, P. A. (2013). Dustiness of fine and nanoscale powders. </w:t>
      </w:r>
      <w:r>
        <w:rPr>
          <w:rFonts w:ascii="Times New Roman" w:hAnsi="Times New Roman" w:cs="Times New Roman"/>
          <w:i/>
          <w:iCs/>
          <w:color w:val="222222"/>
          <w:sz w:val="24"/>
          <w:szCs w:val="24"/>
          <w:shd w:val="clear" w:color="auto" w:fill="FFFFFF"/>
        </w:rPr>
        <w:t>Annals of Occupational Hygiene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57</w:t>
      </w:r>
      <w:r>
        <w:rPr>
          <w:rFonts w:ascii="Times New Roman" w:hAnsi="Times New Roman" w:cs="Times New Roman"/>
          <w:color w:val="222222"/>
          <w:sz w:val="24"/>
          <w:szCs w:val="24"/>
          <w:shd w:val="clear" w:color="auto" w:fill="FFFFFF"/>
        </w:rPr>
        <w:t>(2), 261-277.</w:t>
      </w:r>
    </w:p>
    <w:p w14:paraId="7E2E12AE" w14:textId="3DE3CC91" w:rsidR="005A186C" w:rsidRDefault="00F941B0" w:rsidP="00E448CD">
      <w:pPr>
        <w:spacing w:line="24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Gbadebo, A. M., Taiwo, A. M., &amp; Adeola, A. J. (2013). Assessment of dissolved silica content of groundwater from Southwestern Nigeria. </w:t>
      </w:r>
      <w:r>
        <w:rPr>
          <w:rFonts w:ascii="Times New Roman" w:hAnsi="Times New Roman" w:cs="Times New Roman"/>
          <w:i/>
          <w:iCs/>
          <w:color w:val="222222"/>
          <w:sz w:val="24"/>
          <w:szCs w:val="24"/>
          <w:shd w:val="clear" w:color="auto" w:fill="FFFFFF"/>
        </w:rPr>
        <w:t xml:space="preserve">J Hum </w:t>
      </w:r>
      <w:proofErr w:type="spellStart"/>
      <w:r>
        <w:rPr>
          <w:rFonts w:ascii="Times New Roman" w:hAnsi="Times New Roman" w:cs="Times New Roman"/>
          <w:i/>
          <w:iCs/>
          <w:color w:val="222222"/>
          <w:sz w:val="24"/>
          <w:szCs w:val="24"/>
          <w:shd w:val="clear" w:color="auto" w:fill="FFFFFF"/>
        </w:rPr>
        <w:t>Ecol</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43</w:t>
      </w:r>
      <w:r>
        <w:rPr>
          <w:rFonts w:ascii="Times New Roman" w:hAnsi="Times New Roman" w:cs="Times New Roman"/>
          <w:color w:val="222222"/>
          <w:sz w:val="24"/>
          <w:szCs w:val="24"/>
          <w:shd w:val="clear" w:color="auto" w:fill="FFFFFF"/>
        </w:rPr>
        <w:t>(3), 273-279.</w:t>
      </w:r>
    </w:p>
    <w:p w14:paraId="16FCCD5A" w14:textId="731210C9" w:rsidR="00154D08" w:rsidRPr="00154D08" w:rsidRDefault="00154D08" w:rsidP="00154D08">
      <w:pPr>
        <w:tabs>
          <w:tab w:val="left" w:pos="8100"/>
          <w:tab w:val="left" w:pos="8190"/>
          <w:tab w:val="left" w:pos="8280"/>
          <w:tab w:val="left" w:pos="8370"/>
          <w:tab w:val="left" w:pos="9000"/>
        </w:tabs>
        <w:ind w:left="630" w:hanging="630"/>
        <w:rPr>
          <w:rFonts w:ascii="Times New Roman" w:hAnsi="Times New Roman" w:cs="Times New Roman"/>
          <w:sz w:val="24"/>
          <w:szCs w:val="24"/>
          <w:lang w:val="en-GB"/>
        </w:rPr>
      </w:pPr>
      <w:proofErr w:type="spellStart"/>
      <w:r w:rsidRPr="00154D08">
        <w:rPr>
          <w:rFonts w:ascii="Times New Roman" w:hAnsi="Times New Roman" w:cs="Times New Roman"/>
          <w:sz w:val="24"/>
          <w:szCs w:val="24"/>
          <w:lang w:val="en-GB"/>
        </w:rPr>
        <w:t>Ghanavati</w:t>
      </w:r>
      <w:proofErr w:type="spellEnd"/>
      <w:r w:rsidRPr="00154D08">
        <w:rPr>
          <w:rFonts w:ascii="Times New Roman" w:hAnsi="Times New Roman" w:cs="Times New Roman"/>
          <w:sz w:val="24"/>
          <w:szCs w:val="24"/>
          <w:lang w:val="en-GB"/>
        </w:rPr>
        <w:t xml:space="preserve">, N., </w:t>
      </w:r>
      <w:proofErr w:type="spellStart"/>
      <w:r w:rsidRPr="00154D08">
        <w:rPr>
          <w:rFonts w:ascii="Times New Roman" w:hAnsi="Times New Roman" w:cs="Times New Roman"/>
          <w:sz w:val="24"/>
          <w:szCs w:val="24"/>
          <w:lang w:val="en-GB"/>
        </w:rPr>
        <w:t>Nazarpour</w:t>
      </w:r>
      <w:proofErr w:type="spellEnd"/>
      <w:r w:rsidRPr="00154D08">
        <w:rPr>
          <w:rFonts w:ascii="Times New Roman" w:hAnsi="Times New Roman" w:cs="Times New Roman"/>
          <w:sz w:val="24"/>
          <w:szCs w:val="24"/>
          <w:lang w:val="en-GB"/>
        </w:rPr>
        <w:t>, A., &amp; De Vivo, B. (2019). Ecological and human health risk</w:t>
      </w:r>
      <w:r>
        <w:rPr>
          <w:rFonts w:ascii="Times New Roman" w:hAnsi="Times New Roman" w:cs="Times New Roman"/>
          <w:sz w:val="24"/>
          <w:szCs w:val="24"/>
          <w:lang w:val="en-GB"/>
        </w:rPr>
        <w:t xml:space="preserve"> </w:t>
      </w:r>
      <w:r w:rsidRPr="00154D08">
        <w:rPr>
          <w:rFonts w:ascii="Times New Roman" w:hAnsi="Times New Roman" w:cs="Times New Roman"/>
          <w:sz w:val="24"/>
          <w:szCs w:val="24"/>
          <w:lang w:val="en-GB"/>
        </w:rPr>
        <w:t xml:space="preserve">assessment of toxic metals in street dusts and surface soils in Ahvaz, Iran. </w:t>
      </w:r>
      <w:r w:rsidRPr="00154D08">
        <w:rPr>
          <w:rFonts w:ascii="Times New Roman" w:hAnsi="Times New Roman" w:cs="Times New Roman"/>
          <w:i/>
          <w:sz w:val="24"/>
          <w:szCs w:val="24"/>
          <w:lang w:val="en-GB"/>
        </w:rPr>
        <w:t>Environmental geochemistry and health</w:t>
      </w:r>
      <w:r w:rsidRPr="00154D08">
        <w:rPr>
          <w:rFonts w:ascii="Times New Roman" w:hAnsi="Times New Roman" w:cs="Times New Roman"/>
          <w:sz w:val="24"/>
          <w:szCs w:val="24"/>
          <w:lang w:val="en-GB"/>
        </w:rPr>
        <w:t>, 41(2), 875-891.</w:t>
      </w:r>
    </w:p>
    <w:p w14:paraId="488FA6C7" w14:textId="77777777" w:rsidR="00E448CD" w:rsidRDefault="00E448CD" w:rsidP="00E448CD">
      <w:pPr>
        <w:pStyle w:val="NormalWeb"/>
        <w:spacing w:before="0" w:beforeAutospacing="0" w:after="0" w:afterAutospacing="0"/>
        <w:ind w:left="630" w:hanging="630"/>
      </w:pPr>
      <w:r>
        <w:t xml:space="preserve">Hu, X., Zhang, Y., Ding, Z., Wang, T., Lian, H., Sun, Y., &amp; Wu, J. (2012). </w:t>
      </w:r>
      <w:proofErr w:type="spellStart"/>
      <w:r>
        <w:t>Bioaccessibility</w:t>
      </w:r>
      <w:proofErr w:type="spellEnd"/>
      <w:r>
        <w:t xml:space="preserve"> and health risk of arsenic and heavy metals (Cd, Co, Cr, Cu, Ni, Pb, Zn, and Mn) in TSP and PM2.5 in Nanjing, China. </w:t>
      </w:r>
      <w:r>
        <w:rPr>
          <w:rStyle w:val="Emphasis"/>
        </w:rPr>
        <w:t>Atmospheric Environment, 57</w:t>
      </w:r>
      <w:r>
        <w:t xml:space="preserve">(4), 146–152. </w:t>
      </w:r>
      <w:hyperlink r:id="rId15" w:history="1">
        <w:r>
          <w:rPr>
            <w:rStyle w:val="Hyperlink"/>
          </w:rPr>
          <w:t>https://doi.org/10.1016/j.atmosenv.2012.04.056</w:t>
        </w:r>
      </w:hyperlink>
    </w:p>
    <w:p w14:paraId="49FE0D03" w14:textId="77777777" w:rsidR="005A186C" w:rsidRDefault="00F941B0" w:rsidP="00E448CD">
      <w:pPr>
        <w:spacing w:line="24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Keating, E. M., Fischer, P. R., </w:t>
      </w:r>
      <w:proofErr w:type="spellStart"/>
      <w:r>
        <w:rPr>
          <w:rFonts w:ascii="Times New Roman" w:hAnsi="Times New Roman" w:cs="Times New Roman"/>
          <w:color w:val="222222"/>
          <w:sz w:val="24"/>
          <w:szCs w:val="24"/>
          <w:shd w:val="clear" w:color="auto" w:fill="FFFFFF"/>
        </w:rPr>
        <w:t>Pettifor</w:t>
      </w:r>
      <w:proofErr w:type="spellEnd"/>
      <w:r>
        <w:rPr>
          <w:rFonts w:ascii="Times New Roman" w:hAnsi="Times New Roman" w:cs="Times New Roman"/>
          <w:color w:val="222222"/>
          <w:sz w:val="24"/>
          <w:szCs w:val="24"/>
          <w:shd w:val="clear" w:color="auto" w:fill="FFFFFF"/>
        </w:rPr>
        <w:t>, J. M., Pfitzner, M., Isichei, C. O., &amp; Thacher, T. D. (2011). The effect of calcium supplementation on blood lead levels in Nigerian children. </w:t>
      </w:r>
      <w:r>
        <w:rPr>
          <w:rFonts w:ascii="Times New Roman" w:hAnsi="Times New Roman" w:cs="Times New Roman"/>
          <w:i/>
          <w:iCs/>
          <w:color w:val="222222"/>
          <w:sz w:val="24"/>
          <w:szCs w:val="24"/>
          <w:shd w:val="clear" w:color="auto" w:fill="FFFFFF"/>
        </w:rPr>
        <w:t>The Journal of pediatrics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159</w:t>
      </w:r>
      <w:r>
        <w:rPr>
          <w:rFonts w:ascii="Times New Roman" w:hAnsi="Times New Roman" w:cs="Times New Roman"/>
          <w:color w:val="222222"/>
          <w:sz w:val="24"/>
          <w:szCs w:val="24"/>
          <w:shd w:val="clear" w:color="auto" w:fill="FFFFFF"/>
        </w:rPr>
        <w:t>(5), 845-850.</w:t>
      </w:r>
    </w:p>
    <w:p w14:paraId="32461B6F" w14:textId="77777777" w:rsidR="00E448CD" w:rsidRPr="00E448CD" w:rsidRDefault="00E448CD" w:rsidP="00E448CD">
      <w:pPr>
        <w:spacing w:line="240" w:lineRule="auto"/>
        <w:ind w:left="720" w:hanging="720"/>
        <w:jc w:val="both"/>
        <w:rPr>
          <w:rFonts w:ascii="Times New Roman" w:hAnsi="Times New Roman" w:cs="Times New Roman"/>
          <w:color w:val="222222"/>
          <w:sz w:val="24"/>
          <w:szCs w:val="24"/>
          <w:shd w:val="clear" w:color="auto" w:fill="FFFFFF"/>
        </w:rPr>
      </w:pPr>
      <w:r w:rsidRPr="00E448CD">
        <w:rPr>
          <w:rFonts w:ascii="Times New Roman" w:hAnsi="Times New Roman" w:cs="Times New Roman"/>
          <w:sz w:val="24"/>
          <w:szCs w:val="24"/>
        </w:rPr>
        <w:t xml:space="preserve">Khan, S., Muhammad, S., Nazir, S., &amp; Shah, F. (2020). Heavy metals bounded to particulate matter in the residential and industrial sites of Islamabad, Pakistan: Implications for non-cancer and cancer risks. </w:t>
      </w:r>
      <w:r w:rsidRPr="00E448CD">
        <w:rPr>
          <w:rStyle w:val="Emphasis"/>
          <w:rFonts w:ascii="Times New Roman" w:hAnsi="Times New Roman" w:cs="Times New Roman"/>
          <w:sz w:val="24"/>
          <w:szCs w:val="24"/>
        </w:rPr>
        <w:t>Environmental Technology &amp; Innovation, 19</w:t>
      </w:r>
      <w:r w:rsidRPr="00E448CD">
        <w:rPr>
          <w:rFonts w:ascii="Times New Roman" w:hAnsi="Times New Roman" w:cs="Times New Roman"/>
          <w:sz w:val="24"/>
          <w:szCs w:val="24"/>
        </w:rPr>
        <w:t xml:space="preserve">(2), 100822–100835. </w:t>
      </w:r>
      <w:hyperlink r:id="rId16" w:history="1">
        <w:r w:rsidRPr="00E448CD">
          <w:rPr>
            <w:rStyle w:val="Hyperlink"/>
            <w:rFonts w:ascii="Times New Roman" w:hAnsi="Times New Roman" w:cs="Times New Roman"/>
            <w:sz w:val="24"/>
            <w:szCs w:val="24"/>
          </w:rPr>
          <w:t>https://doi.org/10.1016/j.eti.2020.100822</w:t>
        </w:r>
      </w:hyperlink>
    </w:p>
    <w:p w14:paraId="46974804" w14:textId="77777777" w:rsidR="005A186C" w:rsidRDefault="00F941B0" w:rsidP="00E448CD">
      <w:pPr>
        <w:spacing w:line="24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Lanphear, B. P., Burgoon, D. A., Rust, S. W., Eberly, S., &amp; </w:t>
      </w:r>
      <w:proofErr w:type="spellStart"/>
      <w:r>
        <w:rPr>
          <w:rFonts w:ascii="Times New Roman" w:hAnsi="Times New Roman" w:cs="Times New Roman"/>
          <w:color w:val="222222"/>
          <w:sz w:val="24"/>
          <w:szCs w:val="24"/>
          <w:shd w:val="clear" w:color="auto" w:fill="FFFFFF"/>
        </w:rPr>
        <w:t>Galke</w:t>
      </w:r>
      <w:proofErr w:type="spellEnd"/>
      <w:r>
        <w:rPr>
          <w:rFonts w:ascii="Times New Roman" w:hAnsi="Times New Roman" w:cs="Times New Roman"/>
          <w:color w:val="222222"/>
          <w:sz w:val="24"/>
          <w:szCs w:val="24"/>
          <w:shd w:val="clear" w:color="auto" w:fill="FFFFFF"/>
        </w:rPr>
        <w:t>, W. (1998). Environmental exposures to lead and urban children's blood lead levels. </w:t>
      </w:r>
      <w:r>
        <w:rPr>
          <w:rFonts w:ascii="Times New Roman" w:hAnsi="Times New Roman" w:cs="Times New Roman"/>
          <w:i/>
          <w:iCs/>
          <w:color w:val="222222"/>
          <w:sz w:val="24"/>
          <w:szCs w:val="24"/>
          <w:shd w:val="clear" w:color="auto" w:fill="FFFFFF"/>
        </w:rPr>
        <w:t>Environmental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76</w:t>
      </w:r>
      <w:r>
        <w:rPr>
          <w:rFonts w:ascii="Times New Roman" w:hAnsi="Times New Roman" w:cs="Times New Roman"/>
          <w:color w:val="222222"/>
          <w:sz w:val="24"/>
          <w:szCs w:val="24"/>
          <w:shd w:val="clear" w:color="auto" w:fill="FFFFFF"/>
        </w:rPr>
        <w:t>(2), 120-130.</w:t>
      </w:r>
    </w:p>
    <w:p w14:paraId="34B2A15D" w14:textId="77777777" w:rsidR="005A186C" w:rsidRDefault="00F941B0" w:rsidP="00E448CD">
      <w:pPr>
        <w:spacing w:line="24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Nigeria, L. (2012). Heavy metals content in classroom dust of some public primary schools in metropolitan Lagos, Nigeria. </w:t>
      </w:r>
      <w:r>
        <w:rPr>
          <w:rFonts w:ascii="Times New Roman" w:hAnsi="Times New Roman" w:cs="Times New Roman"/>
          <w:i/>
          <w:iCs/>
          <w:color w:val="222222"/>
          <w:sz w:val="24"/>
          <w:szCs w:val="24"/>
          <w:shd w:val="clear" w:color="auto" w:fill="FFFFFF"/>
        </w:rPr>
        <w:t>Res J Environ Earth Sci</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 460-465.</w:t>
      </w:r>
    </w:p>
    <w:p w14:paraId="43E53371" w14:textId="77777777" w:rsidR="005A186C" w:rsidRDefault="00F941B0" w:rsidP="00E448CD">
      <w:pPr>
        <w:spacing w:line="24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lastRenderedPageBreak/>
        <w:t>Nriagu</w:t>
      </w:r>
      <w:proofErr w:type="spellEnd"/>
      <w:r>
        <w:rPr>
          <w:rFonts w:ascii="Times New Roman" w:hAnsi="Times New Roman" w:cs="Times New Roman"/>
          <w:color w:val="222222"/>
          <w:sz w:val="24"/>
          <w:szCs w:val="24"/>
          <w:shd w:val="clear" w:color="auto" w:fill="FFFFFF"/>
        </w:rPr>
        <w:t xml:space="preserve">, J., </w:t>
      </w:r>
      <w:proofErr w:type="spellStart"/>
      <w:r>
        <w:rPr>
          <w:rFonts w:ascii="Times New Roman" w:hAnsi="Times New Roman" w:cs="Times New Roman"/>
          <w:color w:val="222222"/>
          <w:sz w:val="24"/>
          <w:szCs w:val="24"/>
          <w:shd w:val="clear" w:color="auto" w:fill="FFFFFF"/>
        </w:rPr>
        <w:t>Oleru</w:t>
      </w:r>
      <w:proofErr w:type="spellEnd"/>
      <w:r>
        <w:rPr>
          <w:rFonts w:ascii="Times New Roman" w:hAnsi="Times New Roman" w:cs="Times New Roman"/>
          <w:color w:val="222222"/>
          <w:sz w:val="24"/>
          <w:szCs w:val="24"/>
          <w:shd w:val="clear" w:color="auto" w:fill="FFFFFF"/>
        </w:rPr>
        <w:t>, N. T., Cudjoe, C., &amp; Chine, A. (1997). Lead poisoning of children in Africa, III. Kaduna, Nigeria. </w:t>
      </w:r>
      <w:r>
        <w:rPr>
          <w:rFonts w:ascii="Times New Roman" w:hAnsi="Times New Roman" w:cs="Times New Roman"/>
          <w:i/>
          <w:iCs/>
          <w:color w:val="222222"/>
          <w:sz w:val="24"/>
          <w:szCs w:val="24"/>
          <w:shd w:val="clear" w:color="auto" w:fill="FFFFFF"/>
        </w:rPr>
        <w:t>Science of the Total Environment</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197</w:t>
      </w:r>
      <w:r>
        <w:rPr>
          <w:rFonts w:ascii="Times New Roman" w:hAnsi="Times New Roman" w:cs="Times New Roman"/>
          <w:color w:val="222222"/>
          <w:sz w:val="24"/>
          <w:szCs w:val="24"/>
          <w:shd w:val="clear" w:color="auto" w:fill="FFFFFF"/>
        </w:rPr>
        <w:t>(1-3), 13-19.</w:t>
      </w:r>
    </w:p>
    <w:p w14:paraId="4AF35AE7" w14:textId="77777777" w:rsidR="00E95A98" w:rsidRDefault="00E95A98" w:rsidP="00E95A98">
      <w:pPr>
        <w:pStyle w:val="NormalWeb"/>
        <w:spacing w:before="0" w:beforeAutospacing="0" w:after="0" w:afterAutospacing="0"/>
        <w:ind w:left="720" w:hanging="720"/>
        <w:rPr>
          <w:rStyle w:val="Hyperlink"/>
        </w:rPr>
      </w:pPr>
      <w:proofErr w:type="spellStart"/>
      <w:r>
        <w:t>Nta</w:t>
      </w:r>
      <w:proofErr w:type="spellEnd"/>
      <w:r>
        <w:t xml:space="preserve">, S., </w:t>
      </w:r>
      <w:proofErr w:type="spellStart"/>
      <w:r>
        <w:t>Ukoha</w:t>
      </w:r>
      <w:proofErr w:type="spellEnd"/>
      <w:r>
        <w:t xml:space="preserve">-Onuoha, E., Udom, I., &amp; </w:t>
      </w:r>
      <w:proofErr w:type="spellStart"/>
      <w:r>
        <w:t>Udoumoh</w:t>
      </w:r>
      <w:proofErr w:type="spellEnd"/>
      <w:r>
        <w:t xml:space="preserve">, U. (2025). Heavy metals pollution in ambient air and health risk assessment in </w:t>
      </w:r>
      <w:proofErr w:type="spellStart"/>
      <w:r>
        <w:t>Eket</w:t>
      </w:r>
      <w:proofErr w:type="spellEnd"/>
      <w:r>
        <w:t xml:space="preserve">, </w:t>
      </w:r>
      <w:proofErr w:type="spellStart"/>
      <w:r>
        <w:t>Akwa</w:t>
      </w:r>
      <w:proofErr w:type="spellEnd"/>
      <w:r>
        <w:t xml:space="preserve"> Ibom State, Nigeria. </w:t>
      </w:r>
      <w:r>
        <w:rPr>
          <w:rStyle w:val="Emphasis"/>
        </w:rPr>
        <w:t>International Journal of Environment and Climate Change, 15</w:t>
      </w:r>
      <w:r>
        <w:t xml:space="preserve">(4), 112–129. </w:t>
      </w:r>
      <w:hyperlink r:id="rId17" w:history="1">
        <w:r>
          <w:rPr>
            <w:rStyle w:val="Hyperlink"/>
          </w:rPr>
          <w:t>https://doi.org/10.9734/ijecc/2025/v15i44800</w:t>
        </w:r>
      </w:hyperlink>
    </w:p>
    <w:p w14:paraId="74F33C7C" w14:textId="77777777" w:rsidR="00E448CD" w:rsidRDefault="00E448CD" w:rsidP="00E448CD">
      <w:pPr>
        <w:pStyle w:val="NormalWeb"/>
        <w:tabs>
          <w:tab w:val="left" w:pos="180"/>
          <w:tab w:val="left" w:pos="270"/>
        </w:tabs>
        <w:spacing w:before="0" w:beforeAutospacing="0" w:after="0" w:afterAutospacing="0"/>
        <w:ind w:left="630" w:hanging="630"/>
      </w:pPr>
      <w:r>
        <w:t xml:space="preserve">Okoro, H., </w:t>
      </w:r>
      <w:proofErr w:type="spellStart"/>
      <w:r>
        <w:t>Orosun</w:t>
      </w:r>
      <w:proofErr w:type="spellEnd"/>
      <w:r>
        <w:t xml:space="preserve">, M., Agboola, A., Emenike, E., Nanduri, S., Kedia, N., Kariem, M., Priya, A., &amp; Rab, S. (2025). Health risk assessments of heavy metals in dust samples collected from classrooms in Ilorin, Nigeria and its impact on public health. </w:t>
      </w:r>
      <w:proofErr w:type="spellStart"/>
      <w:r>
        <w:rPr>
          <w:rStyle w:val="Emphasis"/>
        </w:rPr>
        <w:t>Heliyon</w:t>
      </w:r>
      <w:proofErr w:type="spellEnd"/>
      <w:r>
        <w:rPr>
          <w:rStyle w:val="Emphasis"/>
        </w:rPr>
        <w:t>, 11</w:t>
      </w:r>
      <w:r>
        <w:t xml:space="preserve">(5), e42769–e42782. </w:t>
      </w:r>
      <w:hyperlink r:id="rId18" w:history="1">
        <w:r>
          <w:rPr>
            <w:rStyle w:val="Hyperlink"/>
          </w:rPr>
          <w:t>https://doi.org/10.1016/j.heliyon.2025.e42769</w:t>
        </w:r>
      </w:hyperlink>
    </w:p>
    <w:p w14:paraId="326468D1" w14:textId="77777777" w:rsidR="005A186C" w:rsidRDefault="00F941B0" w:rsidP="00E448CD">
      <w:pPr>
        <w:spacing w:line="24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Olutona</w:t>
      </w:r>
      <w:proofErr w:type="spellEnd"/>
      <w:r>
        <w:rPr>
          <w:rFonts w:ascii="Times New Roman" w:hAnsi="Times New Roman" w:cs="Times New Roman"/>
          <w:color w:val="222222"/>
          <w:sz w:val="24"/>
          <w:szCs w:val="24"/>
          <w:shd w:val="clear" w:color="auto" w:fill="FFFFFF"/>
        </w:rPr>
        <w:t xml:space="preserve">, G. O., Aribisala, O. G., Akintunde, E. A., &amp; </w:t>
      </w:r>
      <w:proofErr w:type="spellStart"/>
      <w:r>
        <w:rPr>
          <w:rFonts w:ascii="Times New Roman" w:hAnsi="Times New Roman" w:cs="Times New Roman"/>
          <w:color w:val="222222"/>
          <w:sz w:val="24"/>
          <w:szCs w:val="24"/>
          <w:shd w:val="clear" w:color="auto" w:fill="FFFFFF"/>
        </w:rPr>
        <w:t>Obimakinde</w:t>
      </w:r>
      <w:proofErr w:type="spellEnd"/>
      <w:r>
        <w:rPr>
          <w:rFonts w:ascii="Times New Roman" w:hAnsi="Times New Roman" w:cs="Times New Roman"/>
          <w:color w:val="222222"/>
          <w:sz w:val="24"/>
          <w:szCs w:val="24"/>
          <w:shd w:val="clear" w:color="auto" w:fill="FFFFFF"/>
        </w:rPr>
        <w:t>, S. O. (2012). Chemical speciation and distribution of trace metals in roadside soil from major roads in Iwo, a semi-urban city, southwestern Nigeria. </w:t>
      </w:r>
      <w:r>
        <w:rPr>
          <w:rFonts w:ascii="Times New Roman" w:hAnsi="Times New Roman" w:cs="Times New Roman"/>
          <w:i/>
          <w:iCs/>
          <w:color w:val="222222"/>
          <w:sz w:val="24"/>
          <w:szCs w:val="24"/>
          <w:shd w:val="clear" w:color="auto" w:fill="FFFFFF"/>
        </w:rPr>
        <w:t>Terrestrial and aquatic environmental Toxicology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w:t>
      </w:r>
      <w:r>
        <w:rPr>
          <w:rFonts w:ascii="Times New Roman" w:hAnsi="Times New Roman" w:cs="Times New Roman"/>
          <w:color w:val="222222"/>
          <w:sz w:val="24"/>
          <w:szCs w:val="24"/>
          <w:shd w:val="clear" w:color="auto" w:fill="FFFFFF"/>
        </w:rPr>
        <w:t>(2), 116-126.</w:t>
      </w:r>
    </w:p>
    <w:p w14:paraId="5115F8DC" w14:textId="77777777" w:rsidR="005A186C" w:rsidRDefault="00F941B0" w:rsidP="00E448CD">
      <w:pPr>
        <w:spacing w:line="240" w:lineRule="auto"/>
        <w:ind w:left="63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Pfitzner, M. A., Thacher, T. D., </w:t>
      </w:r>
      <w:proofErr w:type="spellStart"/>
      <w:r>
        <w:rPr>
          <w:rFonts w:ascii="Times New Roman" w:hAnsi="Times New Roman" w:cs="Times New Roman"/>
          <w:color w:val="222222"/>
          <w:sz w:val="24"/>
          <w:szCs w:val="24"/>
          <w:shd w:val="clear" w:color="auto" w:fill="FFFFFF"/>
        </w:rPr>
        <w:t>Pettifor</w:t>
      </w:r>
      <w:proofErr w:type="spellEnd"/>
      <w:r>
        <w:rPr>
          <w:rFonts w:ascii="Times New Roman" w:hAnsi="Times New Roman" w:cs="Times New Roman"/>
          <w:color w:val="222222"/>
          <w:sz w:val="24"/>
          <w:szCs w:val="24"/>
          <w:shd w:val="clear" w:color="auto" w:fill="FFFFFF"/>
        </w:rPr>
        <w:t xml:space="preserve">, J. M., </w:t>
      </w:r>
      <w:proofErr w:type="spellStart"/>
      <w:r>
        <w:rPr>
          <w:rFonts w:ascii="Times New Roman" w:hAnsi="Times New Roman" w:cs="Times New Roman"/>
          <w:color w:val="222222"/>
          <w:sz w:val="24"/>
          <w:szCs w:val="24"/>
          <w:shd w:val="clear" w:color="auto" w:fill="FFFFFF"/>
        </w:rPr>
        <w:t>Zoakah</w:t>
      </w:r>
      <w:proofErr w:type="spellEnd"/>
      <w:r>
        <w:rPr>
          <w:rFonts w:ascii="Times New Roman" w:hAnsi="Times New Roman" w:cs="Times New Roman"/>
          <w:color w:val="222222"/>
          <w:sz w:val="24"/>
          <w:szCs w:val="24"/>
          <w:shd w:val="clear" w:color="auto" w:fill="FFFFFF"/>
        </w:rPr>
        <w:t>, A. I., Lawson, J. O., &amp; Fischer, P. R. (2000). Prevalence of elevated blood lead levels in Nigerian children. </w:t>
      </w:r>
      <w:r>
        <w:rPr>
          <w:rFonts w:ascii="Times New Roman" w:hAnsi="Times New Roman" w:cs="Times New Roman"/>
          <w:i/>
          <w:iCs/>
          <w:color w:val="222222"/>
          <w:sz w:val="24"/>
          <w:szCs w:val="24"/>
          <w:shd w:val="clear" w:color="auto" w:fill="FFFFFF"/>
        </w:rPr>
        <w:t>Ambulatory child health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w:t>
      </w:r>
      <w:r>
        <w:rPr>
          <w:rFonts w:ascii="Times New Roman" w:hAnsi="Times New Roman" w:cs="Times New Roman"/>
          <w:color w:val="222222"/>
          <w:sz w:val="24"/>
          <w:szCs w:val="24"/>
          <w:shd w:val="clear" w:color="auto" w:fill="FFFFFF"/>
        </w:rPr>
        <w:t>(2), 115-123.</w:t>
      </w:r>
    </w:p>
    <w:p w14:paraId="52F8EF14" w14:textId="77777777" w:rsidR="005C79B1" w:rsidRDefault="005C79B1" w:rsidP="005C79B1">
      <w:pPr>
        <w:pStyle w:val="NormalWeb"/>
        <w:spacing w:before="0" w:beforeAutospacing="0" w:after="0" w:afterAutospacing="0"/>
        <w:ind w:left="990" w:hanging="990"/>
      </w:pPr>
      <w:proofErr w:type="spellStart"/>
      <w:r>
        <w:t>Rattanaphra</w:t>
      </w:r>
      <w:proofErr w:type="spellEnd"/>
      <w:r>
        <w:t xml:space="preserve">, D., </w:t>
      </w:r>
      <w:proofErr w:type="spellStart"/>
      <w:r>
        <w:t>Tawkaew</w:t>
      </w:r>
      <w:proofErr w:type="spellEnd"/>
      <w:r>
        <w:t xml:space="preserve">, S., </w:t>
      </w:r>
      <w:proofErr w:type="spellStart"/>
      <w:r>
        <w:t>Kingkam</w:t>
      </w:r>
      <w:proofErr w:type="spellEnd"/>
      <w:r>
        <w:t xml:space="preserve">, W., </w:t>
      </w:r>
      <w:proofErr w:type="spellStart"/>
      <w:r>
        <w:t>Nuchdang</w:t>
      </w:r>
      <w:proofErr w:type="spellEnd"/>
      <w:r>
        <w:t xml:space="preserve">, S., </w:t>
      </w:r>
      <w:proofErr w:type="spellStart"/>
      <w:r>
        <w:t>Kitpakornsanti</w:t>
      </w:r>
      <w:proofErr w:type="spellEnd"/>
      <w:r>
        <w:t xml:space="preserve">, K., &amp; </w:t>
      </w:r>
      <w:proofErr w:type="spellStart"/>
      <w:r>
        <w:t>Suwanmanee</w:t>
      </w:r>
      <w:proofErr w:type="spellEnd"/>
      <w:r>
        <w:t xml:space="preserve">, U. (2025). Health impacts and risk assessment of PM2.5 and PM10 at suburban site in Pathum Thani, Thailand. </w:t>
      </w:r>
      <w:r>
        <w:rPr>
          <w:rStyle w:val="Emphasis"/>
        </w:rPr>
        <w:t>Toxicology Reports, 15</w:t>
      </w:r>
      <w:r>
        <w:t xml:space="preserve">(1), 102109–102121. </w:t>
      </w:r>
      <w:hyperlink r:id="rId19" w:history="1">
        <w:r>
          <w:rPr>
            <w:rStyle w:val="Hyperlink"/>
          </w:rPr>
          <w:t>https://doi.org/10.1016/j.toxrep.2025.102109</w:t>
        </w:r>
      </w:hyperlink>
    </w:p>
    <w:p w14:paraId="32F8C655" w14:textId="77777777" w:rsidR="00E95A98" w:rsidRDefault="00E95A98" w:rsidP="00E448CD">
      <w:pPr>
        <w:pStyle w:val="NormalWeb"/>
        <w:spacing w:before="0" w:beforeAutospacing="0" w:after="0" w:afterAutospacing="0"/>
        <w:ind w:left="900" w:hanging="900"/>
      </w:pPr>
      <w:r>
        <w:t xml:space="preserve">Sah, D., Verma, P., Kumari, K., &amp; Lakhani, A. (2018). Chemical fractionation of heavy metals in fine particulate matter and their health risk assessment through inhalation exposure pathway. </w:t>
      </w:r>
      <w:r>
        <w:rPr>
          <w:rStyle w:val="Emphasis"/>
        </w:rPr>
        <w:t>Environmental Geochemistry and Health, 40</w:t>
      </w:r>
      <w:r>
        <w:t xml:space="preserve">(6), 2451–2468. </w:t>
      </w:r>
      <w:hyperlink r:id="rId20" w:history="1">
        <w:r>
          <w:rPr>
            <w:rStyle w:val="Hyperlink"/>
          </w:rPr>
          <w:t>https://doi.org/10.1007/s10653-018-0223-8</w:t>
        </w:r>
      </w:hyperlink>
    </w:p>
    <w:p w14:paraId="0CDD6C38" w14:textId="77777777" w:rsidR="00E95A98" w:rsidRDefault="00E95A98" w:rsidP="00E95A98">
      <w:pPr>
        <w:pStyle w:val="NormalWeb"/>
        <w:spacing w:before="0" w:beforeAutospacing="0" w:after="0" w:afterAutospacing="0"/>
        <w:ind w:left="810" w:hanging="810"/>
        <w:rPr>
          <w:rStyle w:val="Hyperlink"/>
        </w:rPr>
      </w:pPr>
      <w:proofErr w:type="spellStart"/>
      <w:r>
        <w:t>Tashakor</w:t>
      </w:r>
      <w:proofErr w:type="spellEnd"/>
      <w:r>
        <w:t xml:space="preserve">, M., Behrooz, R., </w:t>
      </w:r>
      <w:proofErr w:type="spellStart"/>
      <w:r>
        <w:t>Asvad</w:t>
      </w:r>
      <w:proofErr w:type="spellEnd"/>
      <w:r>
        <w:t xml:space="preserve">, S., &amp; </w:t>
      </w:r>
      <w:proofErr w:type="spellStart"/>
      <w:r>
        <w:t>Kaskaoutis</w:t>
      </w:r>
      <w:proofErr w:type="spellEnd"/>
      <w:r>
        <w:t xml:space="preserve">, D. (2022). Tracing of heavy metals embedded in indoor dust particles from the industrial city of </w:t>
      </w:r>
      <w:proofErr w:type="spellStart"/>
      <w:r>
        <w:t>Asaluyeh</w:t>
      </w:r>
      <w:proofErr w:type="spellEnd"/>
      <w:r>
        <w:t xml:space="preserve">, south of Iran. </w:t>
      </w:r>
      <w:r>
        <w:rPr>
          <w:rStyle w:val="Emphasis"/>
        </w:rPr>
        <w:t>International Journal of Environmental Research and Public Health, 19</w:t>
      </w:r>
      <w:r>
        <w:t xml:space="preserve">(13), 7905–7921. </w:t>
      </w:r>
      <w:hyperlink r:id="rId21" w:history="1">
        <w:r>
          <w:rPr>
            <w:rStyle w:val="Hyperlink"/>
          </w:rPr>
          <w:t>https://doi.org/10.3390/ijerph19137905</w:t>
        </w:r>
      </w:hyperlink>
    </w:p>
    <w:p w14:paraId="258D62CF" w14:textId="77777777" w:rsidR="005A186C" w:rsidRDefault="00F941B0" w:rsidP="00E95A98">
      <w:pPr>
        <w:spacing w:line="24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Ugwu, K. E., &amp; </w:t>
      </w:r>
      <w:proofErr w:type="spellStart"/>
      <w:r>
        <w:rPr>
          <w:rFonts w:ascii="Times New Roman" w:hAnsi="Times New Roman" w:cs="Times New Roman"/>
          <w:sz w:val="24"/>
          <w:szCs w:val="24"/>
        </w:rPr>
        <w:t>Ofomatah</w:t>
      </w:r>
      <w:proofErr w:type="spellEnd"/>
      <w:r>
        <w:rPr>
          <w:rFonts w:ascii="Times New Roman" w:hAnsi="Times New Roman" w:cs="Times New Roman"/>
          <w:sz w:val="24"/>
          <w:szCs w:val="24"/>
        </w:rPr>
        <w:t>, A. C. (2021). Concentration and risk assessment of toxic metals in indoor dust in selected schools in Southeast</w:t>
      </w:r>
      <w:r>
        <w:rPr>
          <w:rFonts w:ascii="Times New Roman" w:hAnsi="Times New Roman" w:cs="Times New Roman"/>
          <w:sz w:val="24"/>
          <w:szCs w:val="24"/>
        </w:rPr>
        <w:tab/>
        <w:t>, Nigeria. </w:t>
      </w:r>
      <w:r>
        <w:rPr>
          <w:rFonts w:ascii="Times New Roman" w:hAnsi="Times New Roman" w:cs="Times New Roman"/>
          <w:i/>
          <w:iCs/>
          <w:sz w:val="24"/>
          <w:szCs w:val="24"/>
        </w:rPr>
        <w:t>SN Applied Sciences</w:t>
      </w:r>
      <w:r>
        <w:rPr>
          <w:rFonts w:ascii="Times New Roman" w:hAnsi="Times New Roman" w:cs="Times New Roman"/>
          <w:sz w:val="24"/>
          <w:szCs w:val="24"/>
        </w:rPr>
        <w:t>, </w:t>
      </w:r>
      <w:r>
        <w:rPr>
          <w:rFonts w:ascii="Times New Roman" w:hAnsi="Times New Roman" w:cs="Times New Roman"/>
          <w:i/>
          <w:iCs/>
          <w:sz w:val="24"/>
          <w:szCs w:val="24"/>
        </w:rPr>
        <w:t>3</w:t>
      </w:r>
      <w:r>
        <w:rPr>
          <w:rFonts w:ascii="Times New Roman" w:hAnsi="Times New Roman" w:cs="Times New Roman"/>
          <w:sz w:val="24"/>
          <w:szCs w:val="24"/>
        </w:rPr>
        <w:t>, 1-13.</w:t>
      </w:r>
    </w:p>
    <w:p w14:paraId="3C145719" w14:textId="77777777" w:rsidR="00900F43" w:rsidRDefault="00F941B0" w:rsidP="00BA3BB3">
      <w:pPr>
        <w:spacing w:line="240" w:lineRule="auto"/>
        <w:ind w:left="810" w:hanging="810"/>
        <w:jc w:val="both"/>
      </w:pPr>
      <w:r>
        <w:rPr>
          <w:rFonts w:ascii="Times New Roman" w:hAnsi="Times New Roman" w:cs="Times New Roman"/>
          <w:color w:val="222222"/>
          <w:sz w:val="24"/>
          <w:szCs w:val="24"/>
          <w:shd w:val="clear" w:color="auto" w:fill="FFFFFF"/>
        </w:rPr>
        <w:t xml:space="preserve">Wright, N. J., Thacher, T. D., Pfitzner, M. A., Fischer, P. R., &amp; </w:t>
      </w:r>
      <w:proofErr w:type="spellStart"/>
      <w:r>
        <w:rPr>
          <w:rFonts w:ascii="Times New Roman" w:hAnsi="Times New Roman" w:cs="Times New Roman"/>
          <w:color w:val="222222"/>
          <w:sz w:val="24"/>
          <w:szCs w:val="24"/>
          <w:shd w:val="clear" w:color="auto" w:fill="FFFFFF"/>
        </w:rPr>
        <w:t>Pettifor</w:t>
      </w:r>
      <w:proofErr w:type="spellEnd"/>
      <w:r>
        <w:rPr>
          <w:rFonts w:ascii="Times New Roman" w:hAnsi="Times New Roman" w:cs="Times New Roman"/>
          <w:color w:val="222222"/>
          <w:sz w:val="24"/>
          <w:szCs w:val="24"/>
          <w:shd w:val="clear" w:color="auto" w:fill="FFFFFF"/>
        </w:rPr>
        <w:t>, J. M. (2005). Causes of lead toxicity in a Nigerian city. </w:t>
      </w:r>
      <w:r>
        <w:rPr>
          <w:rFonts w:ascii="Times New Roman" w:hAnsi="Times New Roman" w:cs="Times New Roman"/>
          <w:i/>
          <w:iCs/>
          <w:color w:val="222222"/>
          <w:sz w:val="24"/>
          <w:szCs w:val="24"/>
          <w:shd w:val="clear" w:color="auto" w:fill="FFFFFF"/>
        </w:rPr>
        <w:t>Archives of disease in childhood</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90</w:t>
      </w:r>
      <w:r>
        <w:rPr>
          <w:rFonts w:ascii="Times New Roman" w:hAnsi="Times New Roman" w:cs="Times New Roman"/>
          <w:color w:val="222222"/>
          <w:sz w:val="24"/>
          <w:szCs w:val="24"/>
          <w:shd w:val="clear" w:color="auto" w:fill="FFFFFF"/>
        </w:rPr>
        <w:t>(3), 262-266</w:t>
      </w:r>
      <w:r w:rsidR="00BA3BB3">
        <w:rPr>
          <w:rFonts w:ascii="Times New Roman" w:hAnsi="Times New Roman" w:cs="Times New Roman"/>
          <w:color w:val="222222"/>
          <w:sz w:val="24"/>
          <w:szCs w:val="24"/>
          <w:shd w:val="clear" w:color="auto" w:fill="FFFFFF"/>
        </w:rPr>
        <w:t>.</w:t>
      </w:r>
    </w:p>
    <w:sectPr w:rsidR="00900F43" w:rsidSect="00154D08">
      <w:headerReference w:type="even" r:id="rId22"/>
      <w:headerReference w:type="default" r:id="rId23"/>
      <w:footerReference w:type="even" r:id="rId24"/>
      <w:footerReference w:type="default" r:id="rId25"/>
      <w:headerReference w:type="first" r:id="rId26"/>
      <w:footerReference w:type="first" r:id="rId27"/>
      <w:pgSz w:w="11906" w:h="16838" w:code="9"/>
      <w:pgMar w:top="1440" w:right="146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85EB8" w14:textId="77777777" w:rsidR="003B4FEC" w:rsidRDefault="003B4FEC" w:rsidP="00EA4830">
      <w:pPr>
        <w:spacing w:after="0" w:line="240" w:lineRule="auto"/>
      </w:pPr>
      <w:r>
        <w:separator/>
      </w:r>
    </w:p>
  </w:endnote>
  <w:endnote w:type="continuationSeparator" w:id="0">
    <w:p w14:paraId="7CF6919F" w14:textId="77777777" w:rsidR="003B4FEC" w:rsidRDefault="003B4FEC" w:rsidP="00EA4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DB084" w14:textId="77777777" w:rsidR="00EA4830" w:rsidRDefault="00EA4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39ED6" w14:textId="77777777" w:rsidR="00EA4830" w:rsidRDefault="00EA48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3F548" w14:textId="77777777" w:rsidR="00EA4830" w:rsidRDefault="00EA4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B68FE" w14:textId="77777777" w:rsidR="003B4FEC" w:rsidRDefault="003B4FEC" w:rsidP="00EA4830">
      <w:pPr>
        <w:spacing w:after="0" w:line="240" w:lineRule="auto"/>
      </w:pPr>
      <w:r>
        <w:separator/>
      </w:r>
    </w:p>
  </w:footnote>
  <w:footnote w:type="continuationSeparator" w:id="0">
    <w:p w14:paraId="431453B1" w14:textId="77777777" w:rsidR="003B4FEC" w:rsidRDefault="003B4FEC" w:rsidP="00EA4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A3BC7" w14:textId="03700CC7" w:rsidR="00EA4830" w:rsidRDefault="003B4FEC">
    <w:pPr>
      <w:pStyle w:val="Header"/>
    </w:pPr>
    <w:r>
      <w:rPr>
        <w:noProof/>
      </w:rPr>
      <w:pict w14:anchorId="507A6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8E7C1" w14:textId="4670578D" w:rsidR="00EA4830" w:rsidRDefault="003B4FEC">
    <w:pPr>
      <w:pStyle w:val="Header"/>
    </w:pPr>
    <w:r>
      <w:rPr>
        <w:noProof/>
      </w:rPr>
      <w:pict w14:anchorId="0D09A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A40E6" w14:textId="4098938A" w:rsidR="00EA4830" w:rsidRDefault="003B4FEC">
    <w:pPr>
      <w:pStyle w:val="Header"/>
    </w:pPr>
    <w:r>
      <w:rPr>
        <w:noProof/>
      </w:rPr>
      <w:pict w14:anchorId="13691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0E7D6E"/>
    <w:multiLevelType w:val="multilevel"/>
    <w:tmpl w:val="AC00046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6C"/>
    <w:rsid w:val="00115A53"/>
    <w:rsid w:val="00150F7D"/>
    <w:rsid w:val="00154D08"/>
    <w:rsid w:val="00197AE5"/>
    <w:rsid w:val="001E3C54"/>
    <w:rsid w:val="001F2FB1"/>
    <w:rsid w:val="00242B13"/>
    <w:rsid w:val="003212A5"/>
    <w:rsid w:val="00342C80"/>
    <w:rsid w:val="003B4FEC"/>
    <w:rsid w:val="00481B30"/>
    <w:rsid w:val="005064CB"/>
    <w:rsid w:val="00537312"/>
    <w:rsid w:val="00537FBD"/>
    <w:rsid w:val="005A186C"/>
    <w:rsid w:val="005C79B1"/>
    <w:rsid w:val="005C7A50"/>
    <w:rsid w:val="005E520C"/>
    <w:rsid w:val="00690158"/>
    <w:rsid w:val="006B6EE0"/>
    <w:rsid w:val="006D547E"/>
    <w:rsid w:val="006E2525"/>
    <w:rsid w:val="006F6571"/>
    <w:rsid w:val="008259A7"/>
    <w:rsid w:val="00841A0C"/>
    <w:rsid w:val="00853EA3"/>
    <w:rsid w:val="008F43C5"/>
    <w:rsid w:val="00900F43"/>
    <w:rsid w:val="009257E3"/>
    <w:rsid w:val="00980221"/>
    <w:rsid w:val="00A27868"/>
    <w:rsid w:val="00A44AEA"/>
    <w:rsid w:val="00AA5DBB"/>
    <w:rsid w:val="00AF1D85"/>
    <w:rsid w:val="00B7203A"/>
    <w:rsid w:val="00BA3BB3"/>
    <w:rsid w:val="00C5292E"/>
    <w:rsid w:val="00DB42A8"/>
    <w:rsid w:val="00E02F9B"/>
    <w:rsid w:val="00E17A0B"/>
    <w:rsid w:val="00E448CD"/>
    <w:rsid w:val="00E95A98"/>
    <w:rsid w:val="00EA4830"/>
    <w:rsid w:val="00EC25F4"/>
    <w:rsid w:val="00EE6C5E"/>
    <w:rsid w:val="00F26217"/>
    <w:rsid w:val="00F93EE0"/>
    <w:rsid w:val="00F941B0"/>
    <w:rsid w:val="00FA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610BC8"/>
  <w15:docId w15:val="{0B4FA950-2C9F-4871-BE17-D57FE42A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A0B"/>
  </w:style>
  <w:style w:type="paragraph" w:styleId="Heading1">
    <w:name w:val="heading 1"/>
    <w:basedOn w:val="Normal"/>
    <w:link w:val="Heading1Char"/>
    <w:uiPriority w:val="9"/>
    <w:qFormat/>
    <w:pPr>
      <w:widowControl w:val="0"/>
      <w:autoSpaceDE w:val="0"/>
      <w:autoSpaceDN w:val="0"/>
      <w:spacing w:after="0" w:line="240" w:lineRule="auto"/>
      <w:ind w:left="221"/>
      <w:outlineLvl w:val="0"/>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4"/>
      <w:szCs w:val="24"/>
      <w14:ligatures w14:val="non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uiPriority w:val="20"/>
    <w:qFormat/>
    <w:rsid w:val="006D547E"/>
    <w:rPr>
      <w:i/>
      <w:iCs/>
    </w:rPr>
  </w:style>
  <w:style w:type="character" w:styleId="Hyperlink">
    <w:name w:val="Hyperlink"/>
    <w:basedOn w:val="DefaultParagraphFont"/>
    <w:uiPriority w:val="99"/>
    <w:unhideWhenUsed/>
    <w:rsid w:val="006D547E"/>
    <w:rPr>
      <w:color w:val="0000FF"/>
      <w:u w:val="single"/>
    </w:rPr>
  </w:style>
  <w:style w:type="character" w:customStyle="1" w:styleId="markedcontent">
    <w:name w:val="markedcontent"/>
    <w:basedOn w:val="DefaultParagraphFont"/>
    <w:rsid w:val="00F26217"/>
  </w:style>
  <w:style w:type="paragraph" w:styleId="NoSpacing">
    <w:name w:val="No Spacing"/>
    <w:uiPriority w:val="1"/>
    <w:qFormat/>
    <w:rsid w:val="00C5292E"/>
    <w:pPr>
      <w:spacing w:after="0" w:line="240" w:lineRule="auto"/>
    </w:pPr>
    <w:rPr>
      <w:rFonts w:asciiTheme="minorHAnsi" w:eastAsiaTheme="minorHAnsi" w:hAnsiTheme="minorHAnsi" w:cstheme="minorBidi"/>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20937/rica.53830" TargetMode="External"/><Relationship Id="rId18" Type="http://schemas.openxmlformats.org/officeDocument/2006/relationships/hyperlink" Target="https://doi.org/10.1016/j.heliyon.2025.e42769"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3390/ijerph19137905" TargetMode="External"/><Relationship Id="rId7" Type="http://schemas.openxmlformats.org/officeDocument/2006/relationships/image" Target="media/image1.jpeg"/><Relationship Id="rId12" Type="http://schemas.openxmlformats.org/officeDocument/2006/relationships/hyperlink" Target="https://doi.org/10.3390/min14090858" TargetMode="External"/><Relationship Id="rId17" Type="http://schemas.openxmlformats.org/officeDocument/2006/relationships/hyperlink" Target="https://doi.org/10.9734/ijecc/2025/v15i4480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eti.2020.100822" TargetMode="External"/><Relationship Id="rId20" Type="http://schemas.openxmlformats.org/officeDocument/2006/relationships/hyperlink" Target="https://doi.org/10.1007/s10653-018-0223-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hemosphere.2020.127835"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atmosenv.2012.04.05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21660/2020.69.22768" TargetMode="External"/><Relationship Id="rId19" Type="http://schemas.openxmlformats.org/officeDocument/2006/relationships/hyperlink" Target="https://doi.org/10.1016/j.toxrep.2025.102109"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07/s11869-021-01115-6"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11</Pages>
  <Words>4200</Words>
  <Characters>23942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VicosH</dc:creator>
  <cp:lastModifiedBy>SDI 1022</cp:lastModifiedBy>
  <cp:revision>8</cp:revision>
  <dcterms:created xsi:type="dcterms:W3CDTF">2026-02-22T22:29:00Z</dcterms:created>
  <dcterms:modified xsi:type="dcterms:W3CDTF">2026-02-25T10:23:00Z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04f62baf46e04cd99e263ad786a47ec3</vt:lpwstr>
  </property>
</Properties>
</file>