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6E1C32" w14:textId="77777777" w:rsidR="008137CA" w:rsidRPr="00C81DE0" w:rsidRDefault="008137CA" w:rsidP="008137CA">
      <w:pPr>
        <w:spacing w:after="0" w:line="240" w:lineRule="auto"/>
        <w:rPr>
          <w:rFonts w:ascii="Times New Roman" w:eastAsia="Times New Roman" w:hAnsi="Times New Roman"/>
          <w:sz w:val="28"/>
          <w:szCs w:val="28"/>
        </w:rPr>
      </w:pPr>
      <w:r w:rsidRPr="002F5AD9">
        <w:rPr>
          <w:rFonts w:ascii="Times New Roman" w:eastAsia="Times New Roman" w:hAnsi="Times New Roman"/>
          <w:sz w:val="28"/>
          <w:szCs w:val="28"/>
          <w:highlight w:val="yellow"/>
        </w:rPr>
        <w:t>Factors and Barriers Influencing Nutritional Outcomes: A Caregiver-Reported Analysis of Malnutrition in Children Under Five</w:t>
      </w:r>
    </w:p>
    <w:p w14:paraId="225F5F5F" w14:textId="77777777" w:rsidR="00284FB7" w:rsidRPr="00487C30" w:rsidRDefault="00284FB7" w:rsidP="00284FB7">
      <w:pPr>
        <w:pStyle w:val="NormalWeb"/>
        <w:spacing w:line="360" w:lineRule="auto"/>
        <w:rPr>
          <w:rStyle w:val="Strong"/>
          <w:rFonts w:ascii="Arial" w:hAnsi="Arial" w:cs="Arial"/>
        </w:rPr>
      </w:pPr>
    </w:p>
    <w:p w14:paraId="20EDFE58" w14:textId="77777777" w:rsidR="00284FB7" w:rsidRDefault="00284FB7" w:rsidP="00284FB7">
      <w:pPr>
        <w:spacing w:line="360" w:lineRule="auto"/>
        <w:rPr>
          <w:rFonts w:ascii="Arial" w:hAnsi="Arial" w:cs="Arial"/>
          <w:sz w:val="24"/>
          <w:szCs w:val="24"/>
        </w:rPr>
      </w:pPr>
    </w:p>
    <w:p w14:paraId="65433EC2" w14:textId="4B36189E" w:rsidR="00284FB7" w:rsidRPr="00487C30" w:rsidRDefault="00284FB7" w:rsidP="00284FB7">
      <w:pPr>
        <w:spacing w:before="100" w:beforeAutospacing="1" w:after="100" w:afterAutospacing="1" w:line="360" w:lineRule="auto"/>
        <w:jc w:val="both"/>
        <w:rPr>
          <w:rFonts w:ascii="Arial" w:eastAsia="Times New Roman" w:hAnsi="Arial" w:cs="Arial"/>
          <w:sz w:val="24"/>
          <w:szCs w:val="24"/>
        </w:rPr>
      </w:pPr>
      <w:r w:rsidRPr="00487C30">
        <w:rPr>
          <w:rFonts w:ascii="Arial" w:eastAsia="Times New Roman" w:hAnsi="Arial" w:cs="Arial"/>
          <w:b/>
          <w:bCs/>
          <w:sz w:val="24"/>
          <w:szCs w:val="24"/>
        </w:rPr>
        <w:t xml:space="preserve"> </w:t>
      </w:r>
      <w:r w:rsidR="000F63B8">
        <w:rPr>
          <w:rFonts w:ascii="Arial" w:eastAsia="Times New Roman" w:hAnsi="Arial" w:cs="Arial"/>
          <w:b/>
          <w:bCs/>
          <w:sz w:val="24"/>
          <w:szCs w:val="24"/>
        </w:rPr>
        <w:t>Abstract</w:t>
      </w:r>
      <w:r w:rsidRPr="00487C30">
        <w:rPr>
          <w:rFonts w:ascii="Arial" w:eastAsia="Times New Roman" w:hAnsi="Arial" w:cs="Arial"/>
          <w:b/>
          <w:bCs/>
          <w:sz w:val="24"/>
          <w:szCs w:val="24"/>
        </w:rPr>
        <w:t xml:space="preserve"> </w:t>
      </w:r>
      <w:r w:rsidRPr="00487C30">
        <w:rPr>
          <w:rFonts w:ascii="Arial" w:eastAsia="Times New Roman" w:hAnsi="Arial" w:cs="Arial"/>
          <w:sz w:val="24"/>
          <w:szCs w:val="24"/>
        </w:rPr>
        <w:br/>
      </w:r>
      <w:r w:rsidRPr="00487C30">
        <w:rPr>
          <w:rFonts w:ascii="Arial" w:eastAsia="Times New Roman" w:hAnsi="Arial" w:cs="Arial"/>
          <w:b/>
          <w:bCs/>
          <w:sz w:val="24"/>
          <w:szCs w:val="24"/>
        </w:rPr>
        <w:t>Background:</w:t>
      </w:r>
      <w:r w:rsidRPr="00487C30">
        <w:rPr>
          <w:rFonts w:ascii="Arial" w:eastAsia="Times New Roman" w:hAnsi="Arial" w:cs="Arial"/>
          <w:sz w:val="24"/>
          <w:szCs w:val="24"/>
        </w:rPr>
        <w:t xml:space="preserve"> Child malnutrition, including undernutrition and overweight, remains a major global public health challenge, especially in low- and middle-income countries (LMICs), contributing to high under-five mortality and long-term cognitive, physical, and economic conseque</w:t>
      </w:r>
      <w:r>
        <w:rPr>
          <w:rFonts w:ascii="Arial" w:eastAsia="Times New Roman" w:hAnsi="Arial" w:cs="Arial"/>
          <w:sz w:val="24"/>
          <w:szCs w:val="24"/>
        </w:rPr>
        <w:t xml:space="preserve">nces. Understanding </w:t>
      </w:r>
      <w:r w:rsidRPr="00487C30">
        <w:rPr>
          <w:rFonts w:ascii="Arial" w:eastAsia="Times New Roman" w:hAnsi="Arial" w:cs="Arial"/>
          <w:sz w:val="24"/>
          <w:szCs w:val="24"/>
        </w:rPr>
        <w:t>barriers and intervention readiness at the local level is critical to inform targeted programs.</w:t>
      </w:r>
    </w:p>
    <w:p w14:paraId="5FCB974B" w14:textId="77777777" w:rsidR="00284FB7" w:rsidRPr="00487C30" w:rsidRDefault="00284FB7" w:rsidP="00284FB7">
      <w:pPr>
        <w:spacing w:before="100" w:beforeAutospacing="1" w:after="100" w:afterAutospacing="1" w:line="360" w:lineRule="auto"/>
        <w:jc w:val="both"/>
        <w:rPr>
          <w:rFonts w:ascii="Arial" w:eastAsia="Times New Roman" w:hAnsi="Arial" w:cs="Arial"/>
          <w:sz w:val="24"/>
          <w:szCs w:val="24"/>
        </w:rPr>
      </w:pPr>
      <w:r w:rsidRPr="00487C30">
        <w:rPr>
          <w:rFonts w:ascii="Arial" w:eastAsia="Times New Roman" w:hAnsi="Arial" w:cs="Arial"/>
          <w:b/>
          <w:bCs/>
          <w:sz w:val="24"/>
          <w:szCs w:val="24"/>
        </w:rPr>
        <w:t>Objectives:</w:t>
      </w:r>
      <w:r w:rsidRPr="00487C30">
        <w:rPr>
          <w:rFonts w:ascii="Arial" w:eastAsia="Times New Roman" w:hAnsi="Arial" w:cs="Arial"/>
          <w:sz w:val="24"/>
          <w:szCs w:val="24"/>
        </w:rPr>
        <w:t xml:space="preserve"> To identify key caregiver barriers to adequate nutrition and to determine willingness to participate in nutrition education programs.</w:t>
      </w:r>
    </w:p>
    <w:p w14:paraId="2077EF51" w14:textId="26B275CC" w:rsidR="00284FB7" w:rsidRPr="00487C30" w:rsidRDefault="00284FB7" w:rsidP="00284FB7">
      <w:pPr>
        <w:spacing w:before="100" w:beforeAutospacing="1" w:after="100" w:afterAutospacing="1" w:line="360" w:lineRule="auto"/>
        <w:jc w:val="both"/>
        <w:rPr>
          <w:rFonts w:ascii="Arial" w:eastAsia="Times New Roman" w:hAnsi="Arial" w:cs="Arial"/>
          <w:sz w:val="24"/>
          <w:szCs w:val="24"/>
        </w:rPr>
      </w:pPr>
      <w:r w:rsidRPr="00487C30">
        <w:rPr>
          <w:rFonts w:ascii="Arial" w:eastAsia="Times New Roman" w:hAnsi="Arial" w:cs="Arial"/>
          <w:b/>
          <w:bCs/>
          <w:sz w:val="24"/>
          <w:szCs w:val="24"/>
        </w:rPr>
        <w:t>Methods:</w:t>
      </w:r>
      <w:r w:rsidRPr="00487C30">
        <w:rPr>
          <w:rFonts w:ascii="Arial" w:eastAsia="Times New Roman" w:hAnsi="Arial" w:cs="Arial"/>
          <w:sz w:val="24"/>
          <w:szCs w:val="24"/>
        </w:rPr>
        <w:t xml:space="preserve"> A cross-sectional study of 96 caregivers of children under </w:t>
      </w:r>
      <w:r>
        <w:rPr>
          <w:rFonts w:ascii="Arial" w:eastAsia="Times New Roman" w:hAnsi="Arial" w:cs="Arial"/>
          <w:sz w:val="24"/>
          <w:szCs w:val="24"/>
        </w:rPr>
        <w:t>5 years old</w:t>
      </w:r>
      <w:r w:rsidRPr="00487C30">
        <w:rPr>
          <w:rFonts w:ascii="Arial" w:eastAsia="Times New Roman" w:hAnsi="Arial" w:cs="Arial"/>
          <w:sz w:val="24"/>
          <w:szCs w:val="24"/>
        </w:rPr>
        <w:t xml:space="preserve"> was conducted at </w:t>
      </w:r>
      <w:proofErr w:type="spellStart"/>
      <w:r w:rsidRPr="00487C30">
        <w:rPr>
          <w:rFonts w:ascii="Arial" w:eastAsia="Times New Roman" w:hAnsi="Arial" w:cs="Arial"/>
          <w:sz w:val="24"/>
          <w:szCs w:val="24"/>
        </w:rPr>
        <w:t>Ijitimai</w:t>
      </w:r>
      <w:proofErr w:type="spellEnd"/>
      <w:r w:rsidRPr="00487C30">
        <w:rPr>
          <w:rFonts w:ascii="Arial" w:eastAsia="Times New Roman" w:hAnsi="Arial" w:cs="Arial"/>
          <w:sz w:val="24"/>
          <w:szCs w:val="24"/>
        </w:rPr>
        <w:t xml:space="preserve"> District Hospital. Data were collected </w:t>
      </w:r>
      <w:r w:rsidR="00C75314">
        <w:rPr>
          <w:rFonts w:ascii="Arial" w:eastAsia="Times New Roman" w:hAnsi="Arial" w:cs="Arial"/>
          <w:sz w:val="24"/>
          <w:szCs w:val="24"/>
        </w:rPr>
        <w:t>using structured questionnaires on sociodemographic characteristics, feeding practices, barriers to child feeding,</w:t>
      </w:r>
      <w:r w:rsidR="008137CA" w:rsidRPr="00C9733F">
        <w:rPr>
          <w:rFonts w:ascii="Arial" w:hAnsi="Arial" w:cs="Arial"/>
          <w:highlight w:val="yellow"/>
        </w:rPr>
        <w:t xml:space="preserve"> and</w:t>
      </w:r>
      <w:r w:rsidR="008137CA" w:rsidRPr="00D90B88">
        <w:rPr>
          <w:rFonts w:ascii="Arial" w:eastAsia="Times New Roman" w:hAnsi="Arial" w:cs="Arial"/>
          <w:sz w:val="24"/>
          <w:szCs w:val="24"/>
          <w:highlight w:val="cyan"/>
        </w:rPr>
        <w:t xml:space="preserve"> </w:t>
      </w:r>
      <w:r w:rsidR="008137CA" w:rsidRPr="00584548">
        <w:rPr>
          <w:rFonts w:ascii="Arial" w:eastAsia="Times New Roman" w:hAnsi="Arial" w:cs="Arial"/>
          <w:sz w:val="24"/>
          <w:szCs w:val="24"/>
          <w:highlight w:val="yellow"/>
        </w:rPr>
        <w:t>nutritional status</w:t>
      </w:r>
      <w:r w:rsidRPr="00584548">
        <w:rPr>
          <w:rFonts w:ascii="Arial" w:eastAsia="Times New Roman" w:hAnsi="Arial" w:cs="Arial"/>
          <w:sz w:val="24"/>
          <w:szCs w:val="24"/>
          <w:highlight w:val="yellow"/>
        </w:rPr>
        <w:t>.</w:t>
      </w:r>
      <w:r w:rsidRPr="00487C30">
        <w:rPr>
          <w:rFonts w:ascii="Arial" w:eastAsia="Times New Roman" w:hAnsi="Arial" w:cs="Arial"/>
          <w:sz w:val="24"/>
          <w:szCs w:val="24"/>
        </w:rPr>
        <w:t xml:space="preserve"> Descriptive statistics </w:t>
      </w:r>
      <w:r>
        <w:rPr>
          <w:rFonts w:ascii="Arial" w:eastAsia="Times New Roman" w:hAnsi="Arial" w:cs="Arial"/>
          <w:sz w:val="24"/>
          <w:szCs w:val="24"/>
        </w:rPr>
        <w:t>summarized participant characteristics; chi-square and likelihood-ratio</w:t>
      </w:r>
      <w:r w:rsidRPr="00487C30">
        <w:rPr>
          <w:rFonts w:ascii="Arial" w:eastAsia="Times New Roman" w:hAnsi="Arial" w:cs="Arial"/>
          <w:sz w:val="24"/>
          <w:szCs w:val="24"/>
        </w:rPr>
        <w:t xml:space="preserve"> tests examined associations between variables.</w:t>
      </w:r>
    </w:p>
    <w:p w14:paraId="3424AC73" w14:textId="275DCC95" w:rsidR="00284FB7" w:rsidRPr="00487C30" w:rsidRDefault="00284FB7" w:rsidP="00284FB7">
      <w:pPr>
        <w:spacing w:before="100" w:beforeAutospacing="1" w:after="100" w:afterAutospacing="1" w:line="360" w:lineRule="auto"/>
        <w:jc w:val="both"/>
        <w:rPr>
          <w:rFonts w:ascii="Arial" w:eastAsia="Times New Roman" w:hAnsi="Arial" w:cs="Arial"/>
          <w:sz w:val="24"/>
          <w:szCs w:val="24"/>
        </w:rPr>
      </w:pPr>
      <w:r w:rsidRPr="00487C30">
        <w:rPr>
          <w:rFonts w:ascii="Arial" w:eastAsia="Times New Roman" w:hAnsi="Arial" w:cs="Arial"/>
          <w:b/>
          <w:bCs/>
          <w:sz w:val="24"/>
          <w:szCs w:val="24"/>
        </w:rPr>
        <w:t>Results:</w:t>
      </w:r>
      <w:r w:rsidRPr="00487C30">
        <w:rPr>
          <w:rFonts w:ascii="Arial" w:eastAsia="Times New Roman" w:hAnsi="Arial" w:cs="Arial"/>
          <w:sz w:val="24"/>
          <w:szCs w:val="24"/>
        </w:rPr>
        <w:t xml:space="preserve"> Malnutrition prevalence was 16.7%, with underweight (9.4%) and wasting (5.2%) </w:t>
      </w:r>
      <w:r w:rsidR="00C75314">
        <w:rPr>
          <w:rFonts w:ascii="Arial" w:eastAsia="Times New Roman" w:hAnsi="Arial" w:cs="Arial"/>
          <w:sz w:val="24"/>
          <w:szCs w:val="24"/>
        </w:rPr>
        <w:t xml:space="preserve">being the </w:t>
      </w:r>
      <w:r w:rsidRPr="00487C30">
        <w:rPr>
          <w:rFonts w:ascii="Arial" w:eastAsia="Times New Roman" w:hAnsi="Arial" w:cs="Arial"/>
          <w:sz w:val="24"/>
          <w:szCs w:val="24"/>
        </w:rPr>
        <w:t xml:space="preserve">most common; stunting was 2.1%. Most caregivers (83.3%) were unaware of their child’s nutritional status. Malnutrition was significantly associated with </w:t>
      </w:r>
      <w:r>
        <w:rPr>
          <w:rFonts w:ascii="Arial" w:eastAsia="Times New Roman" w:hAnsi="Arial" w:cs="Arial"/>
          <w:sz w:val="24"/>
          <w:szCs w:val="24"/>
        </w:rPr>
        <w:t>the type of complementary foods (χ² = 34.46, p &lt; 0.001), LR = 29.67 (p &lt; 0.001), and previous malnutrition diagnosis (χ² = 42.91, p &lt; 0.001),</w:t>
      </w:r>
      <w:r w:rsidRPr="005D3E10">
        <w:rPr>
          <w:rFonts w:ascii="Arial" w:hAnsi="Arial" w:cs="Arial"/>
          <w:sz w:val="24"/>
          <w:szCs w:val="24"/>
        </w:rPr>
        <w:t xml:space="preserve"> </w:t>
      </w:r>
      <w:r w:rsidRPr="00487C30">
        <w:rPr>
          <w:rFonts w:ascii="Arial" w:hAnsi="Arial" w:cs="Arial"/>
          <w:sz w:val="24"/>
          <w:szCs w:val="24"/>
        </w:rPr>
        <w:t>LR = 29.67 (p &lt; 0.001)</w:t>
      </w:r>
      <w:r w:rsidRPr="00487C30">
        <w:rPr>
          <w:rFonts w:ascii="Arial" w:eastAsia="Times New Roman" w:hAnsi="Arial" w:cs="Arial"/>
          <w:sz w:val="24"/>
          <w:szCs w:val="24"/>
        </w:rPr>
        <w:t>. Primary barriers included lack of knowledge (41.7%) and financial constraints (24.0%). Most caregivers (95.8%) were willing to participate in nutrition training.</w:t>
      </w:r>
    </w:p>
    <w:p w14:paraId="7DF89030" w14:textId="77777777" w:rsidR="00284FB7" w:rsidRPr="00487C30" w:rsidRDefault="00284FB7" w:rsidP="00284FB7">
      <w:pPr>
        <w:spacing w:before="100" w:beforeAutospacing="1" w:after="100" w:afterAutospacing="1" w:line="360" w:lineRule="auto"/>
        <w:jc w:val="both"/>
        <w:rPr>
          <w:rFonts w:ascii="Arial" w:eastAsia="Times New Roman" w:hAnsi="Arial" w:cs="Arial"/>
          <w:sz w:val="24"/>
          <w:szCs w:val="24"/>
        </w:rPr>
      </w:pPr>
      <w:r w:rsidRPr="00487C30">
        <w:rPr>
          <w:rFonts w:ascii="Arial" w:eastAsia="Times New Roman" w:hAnsi="Arial" w:cs="Arial"/>
          <w:b/>
          <w:bCs/>
          <w:sz w:val="24"/>
          <w:szCs w:val="24"/>
        </w:rPr>
        <w:t>Conclusion:</w:t>
      </w:r>
      <w:r w:rsidRPr="00487C30">
        <w:rPr>
          <w:rFonts w:ascii="Arial" w:eastAsia="Times New Roman" w:hAnsi="Arial" w:cs="Arial"/>
          <w:sz w:val="24"/>
          <w:szCs w:val="24"/>
        </w:rPr>
        <w:t xml:space="preserve"> While overall prevalence was lower than national estimates, underweight and wasting persist. Dietary quality and prior nutritional vulnerability are key determinants. Caregiver knowledge alone does not predict nutritional outcomes.</w:t>
      </w:r>
    </w:p>
    <w:p w14:paraId="43C08E87" w14:textId="5CEBDE63" w:rsidR="00284FB7" w:rsidRPr="00487C30" w:rsidRDefault="00284FB7" w:rsidP="00284FB7">
      <w:pPr>
        <w:spacing w:before="100" w:beforeAutospacing="1" w:after="100" w:afterAutospacing="1" w:line="360" w:lineRule="auto"/>
        <w:jc w:val="both"/>
        <w:rPr>
          <w:rFonts w:ascii="Arial" w:eastAsia="Times New Roman" w:hAnsi="Arial" w:cs="Arial"/>
          <w:sz w:val="24"/>
          <w:szCs w:val="24"/>
        </w:rPr>
      </w:pPr>
      <w:r w:rsidRPr="00487C30">
        <w:rPr>
          <w:rFonts w:ascii="Arial" w:eastAsia="Times New Roman" w:hAnsi="Arial" w:cs="Arial"/>
          <w:b/>
          <w:bCs/>
          <w:sz w:val="24"/>
          <w:szCs w:val="24"/>
        </w:rPr>
        <w:lastRenderedPageBreak/>
        <w:t>Recommendations:</w:t>
      </w:r>
      <w:r w:rsidRPr="00487C30">
        <w:rPr>
          <w:rFonts w:ascii="Arial" w:eastAsia="Times New Roman" w:hAnsi="Arial" w:cs="Arial"/>
          <w:sz w:val="24"/>
          <w:szCs w:val="24"/>
        </w:rPr>
        <w:t xml:space="preserve"> Implement community-based nutrition education </w:t>
      </w:r>
      <w:r w:rsidR="00C75314">
        <w:rPr>
          <w:rFonts w:ascii="Arial" w:eastAsia="Times New Roman" w:hAnsi="Arial" w:cs="Arial"/>
          <w:sz w:val="24"/>
          <w:szCs w:val="24"/>
        </w:rPr>
        <w:t>emphasizing dietary diversity, coupled with structural support (food security and social protection)</w:t>
      </w:r>
      <w:r w:rsidRPr="00487C30">
        <w:rPr>
          <w:rFonts w:ascii="Arial" w:eastAsia="Times New Roman" w:hAnsi="Arial" w:cs="Arial"/>
          <w:sz w:val="24"/>
          <w:szCs w:val="24"/>
        </w:rPr>
        <w:t xml:space="preserve"> and routine growth monitoring to prevent recurrence.</w:t>
      </w:r>
    </w:p>
    <w:p w14:paraId="4D28AC15" w14:textId="77777777" w:rsidR="00284FB7" w:rsidRPr="00487C30" w:rsidRDefault="00284FB7" w:rsidP="00284FB7">
      <w:pPr>
        <w:spacing w:line="360" w:lineRule="auto"/>
        <w:jc w:val="both"/>
        <w:rPr>
          <w:rFonts w:ascii="Arial" w:hAnsi="Arial" w:cs="Arial"/>
          <w:sz w:val="24"/>
          <w:szCs w:val="24"/>
        </w:rPr>
      </w:pPr>
      <w:r w:rsidRPr="00487C30">
        <w:rPr>
          <w:rStyle w:val="Strong"/>
          <w:rFonts w:ascii="Arial" w:hAnsi="Arial" w:cs="Arial"/>
          <w:sz w:val="24"/>
          <w:szCs w:val="24"/>
        </w:rPr>
        <w:t>Keywords:</w:t>
      </w:r>
      <w:r w:rsidRPr="00487C30">
        <w:rPr>
          <w:rFonts w:ascii="Arial" w:hAnsi="Arial" w:cs="Arial"/>
          <w:sz w:val="24"/>
          <w:szCs w:val="24"/>
        </w:rPr>
        <w:t xml:space="preserve"> </w:t>
      </w:r>
      <w:r w:rsidRPr="00487C30">
        <w:rPr>
          <w:rStyle w:val="Strong"/>
          <w:rFonts w:ascii="Arial" w:hAnsi="Arial" w:cs="Arial"/>
          <w:sz w:val="24"/>
          <w:szCs w:val="24"/>
        </w:rPr>
        <w:t>Keywords:</w:t>
      </w:r>
      <w:r w:rsidRPr="00487C30">
        <w:rPr>
          <w:rFonts w:ascii="Arial" w:hAnsi="Arial" w:cs="Arial"/>
          <w:sz w:val="24"/>
          <w:szCs w:val="24"/>
        </w:rPr>
        <w:t xml:space="preserve"> Child, Preschool; Malnutrition; Wasting Syndrome; Growth Disorders; Dietary Intake; Nutrition Therapy; Health Education; Zanzibar; Developing Countries</w:t>
      </w:r>
    </w:p>
    <w:p w14:paraId="2C5E6FB5" w14:textId="77777777" w:rsidR="00284FB7" w:rsidRPr="00487C30" w:rsidRDefault="00284FB7" w:rsidP="00284FB7">
      <w:pPr>
        <w:spacing w:line="360" w:lineRule="auto"/>
        <w:rPr>
          <w:rFonts w:ascii="Arial" w:hAnsi="Arial" w:cs="Arial"/>
          <w:sz w:val="24"/>
          <w:szCs w:val="24"/>
        </w:rPr>
      </w:pPr>
    </w:p>
    <w:p w14:paraId="3DF03092" w14:textId="77777777" w:rsidR="00284FB7" w:rsidRPr="00487C30" w:rsidRDefault="00284FB7" w:rsidP="00284FB7">
      <w:pPr>
        <w:spacing w:line="360" w:lineRule="auto"/>
        <w:rPr>
          <w:rFonts w:ascii="Arial" w:hAnsi="Arial" w:cs="Arial"/>
          <w:b/>
          <w:sz w:val="24"/>
          <w:szCs w:val="24"/>
        </w:rPr>
      </w:pPr>
    </w:p>
    <w:p w14:paraId="42842542" w14:textId="77777777" w:rsidR="00284FB7" w:rsidRPr="00487C30" w:rsidRDefault="00284FB7" w:rsidP="00284FB7">
      <w:pPr>
        <w:spacing w:line="360" w:lineRule="auto"/>
        <w:rPr>
          <w:rFonts w:ascii="Arial" w:hAnsi="Arial" w:cs="Arial"/>
          <w:b/>
          <w:sz w:val="24"/>
          <w:szCs w:val="24"/>
        </w:rPr>
      </w:pPr>
    </w:p>
    <w:p w14:paraId="6296351C" w14:textId="77777777" w:rsidR="00284FB7" w:rsidRPr="00487C30" w:rsidRDefault="00284FB7" w:rsidP="00284FB7">
      <w:pPr>
        <w:spacing w:line="360" w:lineRule="auto"/>
        <w:rPr>
          <w:rFonts w:ascii="Arial" w:hAnsi="Arial" w:cs="Arial"/>
          <w:b/>
          <w:sz w:val="24"/>
          <w:szCs w:val="24"/>
        </w:rPr>
      </w:pPr>
      <w:r w:rsidRPr="00487C30">
        <w:rPr>
          <w:rFonts w:ascii="Arial" w:hAnsi="Arial" w:cs="Arial"/>
          <w:b/>
          <w:sz w:val="24"/>
          <w:szCs w:val="24"/>
        </w:rPr>
        <w:t>Introduction</w:t>
      </w:r>
    </w:p>
    <w:p w14:paraId="37804EBC" w14:textId="352F907C" w:rsidR="00284FB7" w:rsidRPr="00487C30" w:rsidRDefault="00284FB7" w:rsidP="00284FB7">
      <w:pPr>
        <w:pStyle w:val="NormalWeb"/>
        <w:spacing w:line="360" w:lineRule="auto"/>
        <w:jc w:val="both"/>
        <w:rPr>
          <w:rFonts w:ascii="Arial" w:hAnsi="Arial" w:cs="Arial"/>
        </w:rPr>
      </w:pPr>
      <w:r w:rsidRPr="00487C30">
        <w:rPr>
          <w:rFonts w:ascii="Arial" w:hAnsi="Arial" w:cs="Arial"/>
        </w:rPr>
        <w:t>Child malnutrition, encompassing under nutrition (stunting, wasting, and underweight) alongside the rising burden of overweight, remains one of the most pressing global public health challenges, particularly in low- and middle-income countries, where it contributes to nearly half of all deaths among children under 5 years of age and exerts profound long-term effects on cognitive development, physical growth, and economic productivity</w:t>
      </w:r>
      <w:r w:rsidRPr="00487C30">
        <w:rPr>
          <w:rFonts w:ascii="Arial" w:hAnsi="Arial" w:cs="Arial"/>
        </w:rPr>
        <w:fldChar w:fldCharType="begin" w:fldLock="1"/>
      </w:r>
      <w:r w:rsidR="008137CA">
        <w:rPr>
          <w:rFonts w:ascii="Arial" w:hAnsi="Arial" w:cs="Arial"/>
        </w:rPr>
        <w:instrText>ADDIN CSL_CITATION {"citationItems":[{"id":"ITEM-1","itemData":{"DOI":"10.1038/s41598-025-01842-1","ISSN":"20452322","PMID":"40447590","abstract":"Undernutrition among under five children is a significant public health concern and a key factor in child mortality in developing nations. Addressing early childhood health disparities requires increased focus, as these issues are likely to persist into adulthood. This study examined wealth based inequalities in under-five undernutrition across 35 sub-Saharan African countries. This study utilized a total of 202,290 weighted samples from Demographic and Health Survey datasets across 35 sub-Saharan African countries. Data cleaning was performed using MS Excel, followed by extraction and analysis with STATA V.17 software. To assess wealth-related inequalities in undernutrition, the concentration index and curve, along with Wagstaff decomposition analysis, were employed. A p value of less than 0.05 was considered statistically significant. The overall pooled prevalence of undernutrition among children under five in sub-Saharan Africa was found to be 35.5% (95% CI 32.08, 38.88%), with a high heterogeneity (I2 = 99.9%). Prevalence rates varied significantly, ranging from 17.25% in Gabon to 58.57% in Burundi. The concentration index for wealth-related inequality in undernutrition indicated a pro-poor distribution, with a value of CI − 0.1719 (95% CI − 0.179, − 0.165) and a standard error of 0.0037 (p value &lt; 0.0001). The decomposition analysis revealed that factors such as media exposure, access to improved water sources, improved toilet facilities, and maternal education were inversely associated with undernutrition. In contrast, living in rural areas and maternal occupation showed a positive association with undernutrition. Wealth related disparities to undernutrition showed a trend that favored poorer populations. Individuals from lower socioeconomic backgrounds were more likely to experience undernutrition compared to those from higher socioeconomic groups. Key factors contributing to wealth-related inequalities in child undernutrition included media exposure, place of residence, and access to sanitation facilities. The persistence of these inequalities highlights a significant social injustice. To effectively reduce these disparities, it is essential to implement integrated interventions during early life that address the multiple challenges faced by disadvantaged children. Therefore, policies should take into account the distribution of childhood undernutrition across all socioeconomic groups.","author":[{"dropping-particle":"","family":"Anteneh","given":"Rahel Mulatie","non-dropping-particle":"","parse-names":false,"suffix":""},{"dropping-particle":"","family":"Moges","given":"Natnael","non-dropping-particle":"","parse-names":false,"suffix":""},{"dropping-particle":"","family":"Gebeyehu","given":"Asaye Alamneh","non-dropping-particle":"","parse-names":false,"suffix":""},{"dropping-particle":"","family":"Anley","given":"Denekew Tenaw","non-dropping-particle":"","parse-names":false,"suffix":""},{"dropping-particle":"","family":"Chanie","given":"Ermias Sisay","non-dropping-particle":"","parse-names":false,"suffix":""},{"dropping-particle":"","family":"Tsega","given":"Sintayehu Simie","non-dropping-particle":"","parse-names":false,"suffix":""},{"dropping-particle":"","family":"Alemayehu","given":"Ermiyas","non-dropping-particle":"","parse-names":false,"suffix":""},{"dropping-particle":"","family":"Belete","given":"Melaku Ashagrie","non-dropping-particle":"","parse-names":false,"suffix":""},{"dropping-particle":"","family":"Kebede","given":"Natnael","non-dropping-particle":"","parse-names":false,"suffix":""},{"dropping-particle":"","family":"Asmare","given":"Zufan Alamrie","non-dropping-particle":"","parse-names":false,"suffix":""},{"dropping-particle":"","family":"Adugna","given":"Matyas","non-dropping-particle":"","parse-names":false,"suffix":""},{"dropping-particle":"","family":"Gashu","given":"Zekaryas Ewnetu","non-dropping-particle":"","parse-names":false,"suffix":""},{"dropping-particle":"","family":"Dessie","given":"Anteneh Mengist","non-dropping-particle":"","parse-names":false,"suffix":""},{"dropping-particle":"","family":"Zemene","given":"Melkamu Aderajew","non-dropping-particle":"","parse-names":false,"suffix":""}],"container-title":"Scientific Reports","id":"ITEM-1","issue":"1","issued":{"date-parts":[["2025"]]},"page":"1-14","title":"Wealth-related inequalities in undernutrition among under-five children in sub-Saharan Africa","type":"article-journal","volume":"15"},"uris":["http://www.mendeley.com/documents/?uuid=d03189d1-bd16-4446-9494-570264b3778f"]}],"mendeley":{"formattedCitation":"[1]","plainTextFormattedCitation":"[1]","previouslyFormattedCitation":"[1]"},"properties":{"noteIndex":0},"schema":"https://github.com/citation-style-language/schema/raw/master/csl-citation.json"}</w:instrText>
      </w:r>
      <w:r w:rsidRPr="00487C30">
        <w:rPr>
          <w:rFonts w:ascii="Arial" w:hAnsi="Arial" w:cs="Arial"/>
        </w:rPr>
        <w:fldChar w:fldCharType="separate"/>
      </w:r>
      <w:r w:rsidR="008137CA" w:rsidRPr="008137CA">
        <w:rPr>
          <w:rFonts w:ascii="Arial" w:hAnsi="Arial" w:cs="Arial"/>
          <w:noProof/>
        </w:rPr>
        <w:t>[1]</w:t>
      </w:r>
      <w:r w:rsidRPr="00487C30">
        <w:rPr>
          <w:rFonts w:ascii="Arial" w:hAnsi="Arial" w:cs="Arial"/>
        </w:rPr>
        <w:fldChar w:fldCharType="end"/>
      </w:r>
      <w:r w:rsidRPr="00487C30">
        <w:rPr>
          <w:rFonts w:ascii="Arial" w:hAnsi="Arial" w:cs="Arial"/>
        </w:rPr>
        <w:fldChar w:fldCharType="begin" w:fldLock="1"/>
      </w:r>
      <w:r w:rsidR="008137CA">
        <w:rPr>
          <w:rFonts w:ascii="Arial" w:hAnsi="Arial" w:cs="Arial"/>
        </w:rPr>
        <w:instrText>ADDIN CSL_CITATION {"citationItems":[{"id":"ITEM-1","itemData":{"DOI":"10.1016/S0140-6736(21)00394-9","ISSN":"1474547X","PMID":"33691094","abstract":"13 years after the first Lancet Series on maternal and child undernutrition, we reviewed the progress achieved on the basis of global estimates and new analyses of 50 low-income and middle-income countries with national surveys from around 2000 and 2015. The prevalence of childhood stunting has fallen, and linear growth faltering in early life has become less pronounced over time, markedly in middle-income countries but less so in low-income countries. Stunting and wasting remain public health problems in low-income countries, where 4·7% of children are simultaneously affected by both, a condition associated with a 4·8-times increase in mortality. New evidence shows that stunting and wasting might already be present at birth, and that the incidence of both conditions peaks in the first 6 months of life. Global low birthweight prevalence declined slowly at about 1·0% a year. Knowledge has accumulated on the short-term and long-term consequences of child undernutrition and on its adverse effect on adult human capital. Existing data on vitamin A deficiency among children suggest persisting high prevalence in Africa and south Asia. Zinc deficiency affects close to half of all children in the few countries with data. New evidence on the causes of poor growth points towards subclinical inflammation and environmental enteric dysfunction. Among women of reproductive age, the prevalence of low body-mass index has been reduced by half in middle-income countries, but trends in short stature prevalence are less evident. Both conditions are associated with poor outcomes for mothers and their children, whereas data on gestational weight gain are scarce. Data on the micronutrient status of women are conspicuously scarce, which constitutes an unacceptable data gap. Prevalence of anaemia in women remains high and unabated in many countries. Social inequalities are evident for many forms of undernutrition in women and children, suggesting a key role for poverty and low education, and reinforcing the need for multisectoral actions to accelerate progress. Despite little progress in some areas, maternal and child undernutrition remains a major global health concern, particularly as improvements since 2000 might be offset by the COVID-19 pandemic.","author":[{"dropping-particle":"","family":"Victora","given":"Cesar G.","non-dropping-particle":"","parse-names":false,"suffix":""},{"dropping-particle":"","family":"Christian","given":"Parul","non-dropping-particle":"","parse-names":false,"suffix":""},{"dropping-particle":"","family":"Vidaletti","given":"Luis Paulo","non-dropping-particle":"","parse-names":false,"suffix":""},{"dropping-particle":"","family":"Gatica-Domínguez","given":"Giovanna","non-dropping-particle":"","parse-names":false,"suffix":""},{"dropping-particle":"","family":"Menon","given":"Purnima","non-dropping-particle":"","parse-names":false,"suffix":""},{"dropping-particle":"","family":"Black","given":"Robert E.","non-dropping-particle":"","parse-names":false,"suffix":""}],"container-title":"The Lancet","id":"ITEM-1","issue":"10282","issued":{"date-parts":[["2021"]]},"page":"1388-1399","title":"Revisiting maternal and child undernutrition in low-income and middle-income countries: variable progress towards an unfinished agenda","type":"article-journal","volume":"397"},"uris":["http://www.mendeley.com/documents/?uuid=e2945609-d68e-4bd1-9a1e-aa049bf9f90f"]}],"mendeley":{"formattedCitation":"[2]","plainTextFormattedCitation":"[2]","previouslyFormattedCitation":"[2]"},"properties":{"noteIndex":0},"schema":"https://github.com/citation-style-language/schema/raw/master/csl-citation.json"}</w:instrText>
      </w:r>
      <w:r w:rsidRPr="00487C30">
        <w:rPr>
          <w:rFonts w:ascii="Arial" w:hAnsi="Arial" w:cs="Arial"/>
        </w:rPr>
        <w:fldChar w:fldCharType="separate"/>
      </w:r>
      <w:r w:rsidR="008137CA" w:rsidRPr="008137CA">
        <w:rPr>
          <w:rFonts w:ascii="Arial" w:hAnsi="Arial" w:cs="Arial"/>
          <w:noProof/>
        </w:rPr>
        <w:t>[2]</w:t>
      </w:r>
      <w:r w:rsidRPr="00487C30">
        <w:rPr>
          <w:rFonts w:ascii="Arial" w:hAnsi="Arial" w:cs="Arial"/>
        </w:rPr>
        <w:fldChar w:fldCharType="end"/>
      </w:r>
      <w:r w:rsidRPr="00487C30">
        <w:rPr>
          <w:rFonts w:ascii="Arial" w:hAnsi="Arial" w:cs="Arial"/>
        </w:rPr>
        <w:fldChar w:fldCharType="begin" w:fldLock="1"/>
      </w:r>
      <w:r w:rsidR="008137CA">
        <w:rPr>
          <w:rFonts w:ascii="Arial" w:hAnsi="Arial" w:cs="Arial"/>
        </w:rPr>
        <w:instrText>ADDIN CSL_CITATION {"citationItems":[{"id":"ITEM-1","itemData":{"ISBN":"9789264183902","abstract":"In recent years, there has been a steady change in trends of delivery patterns worldwide. The overall increase in Caesarean section rates with the decline of vaginal deliveries also raises many growing concerns. Caesarean deliveries have proven to increase the risk of maternal and infant morbidity. 1 Similarly, Organisation for Economic Cooperation and Development (OECD) reports a significantly increased risk of obstetric trauma with instrumental deliveries. 2 These trends, including sharp differentials between public and private hospitals, are expected to worsen in view of the unparalleled rapid development of private health sector. OBJECTIVE: This study aims to shed light on the influence of private practice on modes of deliveries in Malaysia as compared to public hospitals by estimating the relative risk of Caesarean sections and instrumental deliveries in both sectors. METHOD: Data was obtained from the National Healthcare Establishments and Workforce Survey (NHEWS) 2010. The survey sampled 315 hospitals in Malaysia that provided obstetrics services, of which 133 were public and 182 were private hospitals. Data obtained was compared to the NHEWS 2008-09. 3 Poisson regression was used to generate the relative risk. RESULTS: A total of 504,104 deliveries were reported in 2010. The overall vaginal delivery rate was 72.6% and instrumental delivery rate was 5.4%. The total lower segment Caesarean section rate in Malaysia increased from 20.8% in 2008-09 to 21.9% in 2010. The relative risk of private patients, compared with patients in public hospitals, to undergo Caesarean and instrumental delivery was 1.789 (95 % CI 1.767 to 1.812) and 4.503 (95% CI 4.397 to 4.612) respectively. (Figure 1) CONCLUSION: This first study locally demonstrated the association of private practice with significantly higher Caesarean sections and instrumental deliveries which could lead to infant and maternal implications with unclear benefits. There is also marked variations of practice between the different states in Malaysia. Further studies are required to explore the different case-mix of both sectors to substantiate this statement to set future national standards and improvement of obstetrics services in the country. REFERENCES: 1. Villar et al.,World Health Organization 2005 Global Survey on Maternal and Perinatal Health Research Group. Maternal and neonatal individual risks and benefits associated with cesarean delivery: multicentre prospective study.","author":[{"dropping-particle":"","family":"World Health Organization (WHO)","given":"","non-dropping-particle":"","parse-names":false,"suffix":""},{"dropping-particle":"","family":"Organisation for Economic Co-operation and Development (OECD)","given":"","non-dropping-particle":"","parse-names":false,"suffix":""}],"id":"ITEM-1","issued":{"date-parts":[["2024"]]},"title":"Health at a glance: Asia/Pacific 2024","type":"book"},"uris":["http://www.mendeley.com/documents/?uuid=8e7d04d4-71e5-47c6-9c7d-a999c2e37817"]}],"mendeley":{"formattedCitation":"[3]","plainTextFormattedCitation":"[3]","previouslyFormattedCitation":"[3]"},"properties":{"noteIndex":0},"schema":"https://github.com/citation-style-language/schema/raw/master/csl-citation.json"}</w:instrText>
      </w:r>
      <w:r w:rsidRPr="00487C30">
        <w:rPr>
          <w:rFonts w:ascii="Arial" w:hAnsi="Arial" w:cs="Arial"/>
        </w:rPr>
        <w:fldChar w:fldCharType="separate"/>
      </w:r>
      <w:r w:rsidR="008137CA" w:rsidRPr="008137CA">
        <w:rPr>
          <w:rFonts w:ascii="Arial" w:hAnsi="Arial" w:cs="Arial"/>
          <w:noProof/>
        </w:rPr>
        <w:t>[3]</w:t>
      </w:r>
      <w:r w:rsidRPr="00487C30">
        <w:rPr>
          <w:rFonts w:ascii="Arial" w:hAnsi="Arial" w:cs="Arial"/>
        </w:rPr>
        <w:fldChar w:fldCharType="end"/>
      </w:r>
      <w:r w:rsidRPr="00487C30">
        <w:rPr>
          <w:rFonts w:ascii="Arial" w:hAnsi="Arial" w:cs="Arial"/>
        </w:rPr>
        <w:t xml:space="preserve">. According to the latest UNICEF, WHO, and World Bank Group Joint Child Malnutrition Estimates (JME) released in 2025, which provide modeled trends from 2000 to 2024, the global prevalence of stunting (low height-for-age) stood at 23.2% in 2024, affecting 150.2 million children under 5 years, reflecting a steady but insufficient decline from previous decades, with boys more affected than girls across regions and the highest burdens persisting in South Asia and sub-Saharan Africa </w:t>
      </w:r>
      <w:r w:rsidRPr="00487C30">
        <w:rPr>
          <w:rFonts w:ascii="Arial" w:hAnsi="Arial" w:cs="Arial"/>
        </w:rPr>
        <w:fldChar w:fldCharType="begin" w:fldLock="1"/>
      </w:r>
      <w:r w:rsidR="008137CA">
        <w:rPr>
          <w:rFonts w:ascii="Arial" w:hAnsi="Arial" w:cs="Arial"/>
        </w:rPr>
        <w:instrText>ADDIN CSL_CITATION {"citationItems":[{"id":"ITEM-1","itemData":{"abstract":"These new estimates supersede former analyses and results published by UNICEF, WHO and the World Bank Group Stunting affected an estimated 22.0 per cent or 149.2 million children under 5 globally in 2020* STUNTING 149.2 million In 2020,* wasting continued to threaten the lives of an estimated 6.7 per cent or 45.4 million children under 5 globally WASTING 45.4 million","author":[{"dropping-particle":"","family":"UNICEF","given":"","non-dropping-particle":"","parse-names":false,"suffix":""},{"dropping-particle":"","family":"others","given":"","non-dropping-particle":"","parse-names":false,"suffix":""}],"container-title":"WHO/World Bank Group Joint Child Malnutrition Estimates","id":"ITEM-1","issued":{"date-parts":[["2016"]]},"page":"1-24","title":"Levels and Trends in Child Malnutrition: UNICEF","type":"article-journal"},"uris":["http://www.mendeley.com/documents/?uuid=a2011808-524a-45ab-ad13-ec530506de54"]}],"mendeley":{"formattedCitation":"[4]","plainTextFormattedCitation":"[4]","previouslyFormattedCitation":"[4]"},"properties":{"noteIndex":0},"schema":"https://github.com/citation-style-language/schema/raw/master/csl-citation.json"}</w:instrText>
      </w:r>
      <w:r w:rsidRPr="00487C30">
        <w:rPr>
          <w:rFonts w:ascii="Arial" w:hAnsi="Arial" w:cs="Arial"/>
        </w:rPr>
        <w:fldChar w:fldCharType="separate"/>
      </w:r>
      <w:r w:rsidR="008137CA" w:rsidRPr="008137CA">
        <w:rPr>
          <w:rFonts w:ascii="Arial" w:hAnsi="Arial" w:cs="Arial"/>
          <w:noProof/>
        </w:rPr>
        <w:t>[4]</w:t>
      </w:r>
      <w:r w:rsidRPr="00487C30">
        <w:rPr>
          <w:rFonts w:ascii="Arial" w:hAnsi="Arial" w:cs="Arial"/>
        </w:rPr>
        <w:fldChar w:fldCharType="end"/>
      </w:r>
      <w:r w:rsidRPr="00487C30">
        <w:rPr>
          <w:rFonts w:ascii="Arial" w:hAnsi="Arial" w:cs="Arial"/>
        </w:rPr>
        <w:t>. Concurrently, wasting (low weight-for-height) affected 6.6% of children globally (42.8 million), including 1.9% with severe wasting (12.2 million), while overweight (weight-for-height &gt; +2 SD) impacted 35.5 million children, with increasing trends in regions such as East Asia and the Pacific, Latin America and the Caribbean, and parts of Africa, exacerbating the emerging double</w:t>
      </w:r>
      <w:r>
        <w:rPr>
          <w:rFonts w:ascii="Arial" w:hAnsi="Arial" w:cs="Arial"/>
        </w:rPr>
        <w:t xml:space="preserve"> burden of malnutrition </w:t>
      </w:r>
      <w:r w:rsidRPr="00487C30">
        <w:rPr>
          <w:rFonts w:ascii="Arial" w:hAnsi="Arial" w:cs="Arial"/>
        </w:rPr>
        <w:fldChar w:fldCharType="begin" w:fldLock="1"/>
      </w:r>
      <w:r w:rsidR="008137CA">
        <w:rPr>
          <w:rFonts w:ascii="Arial" w:hAnsi="Arial" w:cs="Arial"/>
        </w:rPr>
        <w:instrText>ADDIN CSL_CITATION {"citationItems":[{"id":"ITEM-1","itemData":{"DOI":"10.1001/jamanetworkopen.2020.3386","ISSN":"25743805","PMID":"32320037","abstract":"Importance: Evidence on the relative importance of various factors associated with child anthropometric failures (ie, stunting, underweight, and wasting) and their heterogeneity across countries can inform global and national health agendas. Objective: To assess the relative significance of factors associated with child anthropometric failures in 35 low- and middle-income countries (LMICs). Design, Setting, and Participants: This cross-sectional study of 299353 children who were born singleton and aged 12 to 59 months with nonpregnant mothers and valid anthropometric measures assessed the strengths of associations of 26 factors with child stunting, underweight, and wasting, using Demographic and Health Surveys (2007-2018) from 35 LMICs. Data analysis was conducted from July 2019 to February 2020. Exposures: A total of 9 direct factors (ie, dietary diversity score; breastfeeding initiation; vitamin A supplements; use of iodized salt; infectious disease in past 2 weeks; oral rehydration therapy for children with diarrhea; care seeking for suspected pneumonia; full vaccination; and indoor pollution) and 17 indirect factors (household wealth; maternal and paternal education; maternal and paternal height and body mass index; maternal autonomy for health care, movement, and money; water source; sanitation facility; stool disposal; antenatal care; skilled birth attendant at delivery; family planning needs; and maternal marriage age) were assessed. Main Outcomes and Measures: Three anthropometric failure outcomes were constructed based on the 2006 World Health Organization child growth standards: stunting (height-for-age z score less than -2 standard deviations [SDs]), underweight (weight-for-age z score less than -2 SDs), and wasting (weight-for-height z score less than -2 SDs). Results: Among the 299353 children aged 12 to 59 months included in the analysis, 38.8% (95% CI, 38.6%-38.9%) had stunting, 27.5% (95% CI, 27.3%-27.6%) had underweight, and 12.9% (95% CI, 12.8%-13.0%) had wasting. In the pooled sample, short maternal height was the strongest factor associated with child stunting (odds ratio [OR], 4.7; 95% CI, 4.5-5.0; P &lt;.001), followed by lack of maternal education (OR, 1.9; 95% CI, 1.8-2.0; P &lt;.001), poorest household wealth (OR, 1.7; 95% CI,1.6-1.8; P &lt;.001), and low maternal body mass index (OR, 1.6; 95% CI, 1.6-1.7; P &lt;.001). Short paternal height was also significantly associated with higher odds of stunting (OR, 1.9; 95% CI, 1.7-2.2; P &lt;.001). C…","author":[{"dropping-particle":"","family":"Li","given":"Zhihui","non-dropping-particle":"","parse-names":false,"suffix":""},{"dropping-particle":"","family":"Kim","given":"Rockli","non-dropping-particle":"","parse-names":false,"suffix":""},{"dropping-particle":"","family":"Vollmer","given":"Sebastian","non-dropping-particle":"","parse-names":false,"suffix":""},{"dropping-particle":"V.","family":"Subramanian","given":"S.","non-dropping-particle":"","parse-names":false,"suffix":""}],"container-title":"JAMA Network Open","id":"ITEM-1","issue":"4","issued":{"date-parts":[["2020"]]},"page":"1-18","title":"Factors Associated with Child Stunting, Wasting, and Underweight in 35 Low- And Middle-Income Countries","type":"article-journal","volume":"3"},"uris":["http://www.mendeley.com/documents/?uuid=90f88427-7983-4f42-834f-4989467e03fb"]}],"mendeley":{"formattedCitation":"[5]","plainTextFormattedCitation":"[5]","previouslyFormattedCitation":"[5]"},"properties":{"noteIndex":0},"schema":"https://github.com/citation-style-language/schema/raw/master/csl-citation.json"}</w:instrText>
      </w:r>
      <w:r w:rsidRPr="00487C30">
        <w:rPr>
          <w:rFonts w:ascii="Arial" w:hAnsi="Arial" w:cs="Arial"/>
        </w:rPr>
        <w:fldChar w:fldCharType="separate"/>
      </w:r>
      <w:r w:rsidR="008137CA" w:rsidRPr="008137CA">
        <w:rPr>
          <w:rFonts w:ascii="Arial" w:hAnsi="Arial" w:cs="Arial"/>
          <w:noProof/>
        </w:rPr>
        <w:t>[5]</w:t>
      </w:r>
      <w:r w:rsidRPr="00487C30">
        <w:rPr>
          <w:rFonts w:ascii="Arial" w:hAnsi="Arial" w:cs="Arial"/>
        </w:rPr>
        <w:fldChar w:fldCharType="end"/>
      </w:r>
      <w:r>
        <w:rPr>
          <w:rFonts w:ascii="Arial" w:hAnsi="Arial" w:cs="Arial"/>
        </w:rPr>
        <w:t>.</w:t>
      </w:r>
    </w:p>
    <w:p w14:paraId="50595AC9" w14:textId="7106FFC3" w:rsidR="00284FB7" w:rsidRPr="00487C30" w:rsidRDefault="00284FB7" w:rsidP="00284FB7">
      <w:pPr>
        <w:pStyle w:val="NormalWeb"/>
        <w:spacing w:line="360" w:lineRule="auto"/>
        <w:jc w:val="both"/>
        <w:rPr>
          <w:rFonts w:ascii="Arial" w:hAnsi="Arial" w:cs="Arial"/>
        </w:rPr>
      </w:pPr>
      <w:r w:rsidRPr="00487C30">
        <w:rPr>
          <w:rFonts w:ascii="Arial" w:hAnsi="Arial" w:cs="Arial"/>
        </w:rPr>
        <w:t xml:space="preserve">These persistent high levels of child malnutrition underscore the world's off-track trajectory toward the World Health Assembly 2025 targets and the extended 2030 </w:t>
      </w:r>
      <w:r w:rsidRPr="00487C30">
        <w:rPr>
          <w:rFonts w:ascii="Arial" w:hAnsi="Arial" w:cs="Arial"/>
        </w:rPr>
        <w:lastRenderedPageBreak/>
        <w:t>Sustainable Development Goal (SDG) 2.2 targets, with only about 28% of countries on track to halve stunting by 2030 and even fewer (17%) projected to meet the overweight target of ≤3% prevalence</w:t>
      </w:r>
      <w:r w:rsidRPr="00487C30">
        <w:rPr>
          <w:rFonts w:ascii="Arial" w:hAnsi="Arial" w:cs="Arial"/>
        </w:rPr>
        <w:fldChar w:fldCharType="begin" w:fldLock="1"/>
      </w:r>
      <w:r w:rsidR="008137CA">
        <w:rPr>
          <w:rFonts w:ascii="Arial" w:hAnsi="Arial" w:cs="Arial"/>
        </w:rPr>
        <w:instrText>ADDIN CSL_CITATION {"citationItems":[{"id":"ITEM-1","itemData":{"author":[{"dropping-particle":"","family":"Moramarco","given":"Stefania","non-dropping-particle":"","parse-names":false,"suffix":""},{"dropping-particle":"","family":"Buonomo","given":"Ersilia","non-dropping-particle":"","parse-names":false,"suffix":""},{"dropping-particle":"","family":"Andreoli","given":"Angela","non-dropping-particle":"","parse-names":false,"suffix":""}],"id":"ITEM-1","issued":{"date-parts":[["2025"]]},"page":"1-22","title":"Tackling Global Malnutrition and Hunger in the Final Push Toward the 2030 Agenda","type":"article-journal"},"uris":["http://www.mendeley.com/documents/?uuid=123a4b56-be6b-4b87-8a4b-5ac250a93624"]}],"mendeley":{"formattedCitation":"[6]","plainTextFormattedCitation":"[6]","previouslyFormattedCitation":"[6]"},"properties":{"noteIndex":0},"schema":"https://github.com/citation-style-language/schema/raw/master/csl-citation.json"}</w:instrText>
      </w:r>
      <w:r w:rsidRPr="00487C30">
        <w:rPr>
          <w:rFonts w:ascii="Arial" w:hAnsi="Arial" w:cs="Arial"/>
        </w:rPr>
        <w:fldChar w:fldCharType="separate"/>
      </w:r>
      <w:r w:rsidR="008137CA" w:rsidRPr="008137CA">
        <w:rPr>
          <w:rFonts w:ascii="Arial" w:hAnsi="Arial" w:cs="Arial"/>
          <w:noProof/>
        </w:rPr>
        <w:t>[6]</w:t>
      </w:r>
      <w:r w:rsidRPr="00487C30">
        <w:rPr>
          <w:rFonts w:ascii="Arial" w:hAnsi="Arial" w:cs="Arial"/>
        </w:rPr>
        <w:fldChar w:fldCharType="end"/>
      </w:r>
      <w:r w:rsidRPr="00487C30">
        <w:rPr>
          <w:rFonts w:ascii="Arial" w:hAnsi="Arial" w:cs="Arial"/>
        </w:rPr>
        <w:fldChar w:fldCharType="begin" w:fldLock="1"/>
      </w:r>
      <w:r w:rsidR="008137CA">
        <w:rPr>
          <w:rFonts w:ascii="Arial" w:hAnsi="Arial" w:cs="Arial"/>
        </w:rPr>
        <w:instrText>ADDIN CSL_CITATION {"citationItems":[{"id":"ITEM-1","itemData":{"author":[{"dropping-particle":"","family":"World Health Organization","given":"","non-dropping-particle":"","parse-names":false,"suffix":""}],"container-title":"World Health Organization","id":"ITEM-1","issued":{"date-parts":[["2024"]]},"page":"2025-2030","title":"2025-2030 World Health Assembly global maternal, infant and young child nutrition targets and proposal for process indicators forward","type":"article-journal"},"uris":["http://www.mendeley.com/documents/?uuid=fc513627-6e3e-4a7a-8a59-d5357c3fb7ca"]}],"mendeley":{"formattedCitation":"[7]","plainTextFormattedCitation":"[7]","previouslyFormattedCitation":"[7]"},"properties":{"noteIndex":0},"schema":"https://github.com/citation-style-language/schema/raw/master/csl-citation.json"}</w:instrText>
      </w:r>
      <w:r w:rsidRPr="00487C30">
        <w:rPr>
          <w:rFonts w:ascii="Arial" w:hAnsi="Arial" w:cs="Arial"/>
        </w:rPr>
        <w:fldChar w:fldCharType="separate"/>
      </w:r>
      <w:r w:rsidR="008137CA" w:rsidRPr="008137CA">
        <w:rPr>
          <w:rFonts w:ascii="Arial" w:hAnsi="Arial" w:cs="Arial"/>
          <w:noProof/>
        </w:rPr>
        <w:t>[7]</w:t>
      </w:r>
      <w:r w:rsidRPr="00487C30">
        <w:rPr>
          <w:rFonts w:ascii="Arial" w:hAnsi="Arial" w:cs="Arial"/>
        </w:rPr>
        <w:fldChar w:fldCharType="end"/>
      </w:r>
      <w:r w:rsidRPr="00487C30">
        <w:rPr>
          <w:rFonts w:ascii="Arial" w:hAnsi="Arial" w:cs="Arial"/>
        </w:rPr>
        <w:t xml:space="preserve">. Suboptimal infant and young child feeding practices, including low rates of exclusive breastfeeding for the first 6 months and timely, adequate complementary feeding thereafter, serve as key proximal determinants, driven by multifaceted barriers such as socio-cultural norms (e.g., </w:t>
      </w:r>
      <w:proofErr w:type="spellStart"/>
      <w:r w:rsidRPr="00487C30">
        <w:rPr>
          <w:rFonts w:ascii="Arial" w:hAnsi="Arial" w:cs="Arial"/>
        </w:rPr>
        <w:t>prelacteal</w:t>
      </w:r>
      <w:proofErr w:type="spellEnd"/>
      <w:r w:rsidRPr="00487C30">
        <w:rPr>
          <w:rFonts w:ascii="Arial" w:hAnsi="Arial" w:cs="Arial"/>
        </w:rPr>
        <w:t xml:space="preserve"> feeding and discarding colostrum), maternal workload and employment constraints, poverty and food insecurity limiting dietary diversity, insufficient health system support and counseling, gender inequities, and aggressive marketi</w:t>
      </w:r>
      <w:r w:rsidR="00B2764B">
        <w:rPr>
          <w:rFonts w:ascii="Arial" w:hAnsi="Arial" w:cs="Arial"/>
        </w:rPr>
        <w:t xml:space="preserve">ng of breast-milk substitutes </w:t>
      </w:r>
      <w:r w:rsidRPr="00487C30">
        <w:rPr>
          <w:rFonts w:ascii="Arial" w:hAnsi="Arial" w:cs="Arial"/>
        </w:rPr>
        <w:fldChar w:fldCharType="begin" w:fldLock="1"/>
      </w:r>
      <w:r w:rsidR="008137CA">
        <w:rPr>
          <w:rFonts w:ascii="Arial" w:hAnsi="Arial" w:cs="Arial"/>
        </w:rPr>
        <w:instrText>ADDIN CSL_CITATION {"citationItems":[{"id":"ITEM-1","itemData":{"DOI":"10.32394/rpzh.2022.0234","ISSN":"00357715","PMID":"36546875","abstract":"Objectives. To examine the current complementary feeding practices among infants and young children aged 6 to 23 months in India, and factors influencing these practices at child, parental, household and community levels. Material and methods. Data on 74,095 last-born children aged 6 to 23 months used in this study were obtained from the 2015 India Demographic and Health Survey (IDHS). Complementary feeding indicators (timely introduction of complementary foods to infants aged 6 to 8 months old, minimum meal frequency, minimum dietary diversity, and minimum acceptable diets) were estimated, and their associated factors were identified using descriptive and multivariate (logistic regression) analyses. Results. The prevalence of the timely introduction of complementary foods to infants aged 6 to 8 months was 45.1%. The proportion of children between ages 6 to 23 months who received the minimum meal frequency, minimum dietary diversity and minimum acceptable diets were 36%, 21% and 9.1%, respectively. Findings from the multivariate analyses revealed that mothers of infants delivered at home, mothers who had no antenatal check-up, mothers who are Hindus, mothers living in rural areas or those from the Western/Northern geographical regions of India were at higher risk of suboptimal complementary feeding practices. Conclusions. Our findings indicate that, among other factors, achieving the recommended four or more antenatal visits was consistently associated with improved complementary feeding practices. Thus, policies that ensure increased coverage and quality of antenatal check-up could improve complementary feeding practices of mothers in India, and help towards achieving sustainable development goal 2, targeted at eradicating hunger and malnutrition.","author":[{"dropping-particle":"","family":"Idowu","given":"Adejoke M.","non-dropping-particle":"","parse-names":false,"suffix":""},{"dropping-particle":"","family":"Kayode","given":"Gbenga A.","non-dropping-particle":"","parse-names":false,"suffix":""},{"dropping-particle":"","family":"Adekanmbi","given":"Victor T.","non-dropping-particle":"","parse-names":false,"suffix":""}],"container-title":"Roczniki Panstwowego Zakladu Higieny / Annals of the National Institute of Hygiene","id":"ITEM-1","issue":"4","issued":{"date-parts":[["2022"]]},"page":"403-411","title":"Factors Associated With Suboptimal Complementary Feeding Practices Among Mothers of Infants and Young Children in India","type":"article-journal","volume":"73"},"uris":["http://www.mendeley.com/documents/?uuid=87b8600f-f8ae-41ed-95ee-dd4dbf61106e"]}],"mendeley":{"formattedCitation":"[8]","plainTextFormattedCitation":"[8]","previouslyFormattedCitation":"[8]"},"properties":{"noteIndex":0},"schema":"https://github.com/citation-style-language/schema/raw/master/csl-citation.json"}</w:instrText>
      </w:r>
      <w:r w:rsidRPr="00487C30">
        <w:rPr>
          <w:rFonts w:ascii="Arial" w:hAnsi="Arial" w:cs="Arial"/>
        </w:rPr>
        <w:fldChar w:fldCharType="separate"/>
      </w:r>
      <w:r w:rsidR="008137CA" w:rsidRPr="008137CA">
        <w:rPr>
          <w:rFonts w:ascii="Arial" w:hAnsi="Arial" w:cs="Arial"/>
          <w:noProof/>
        </w:rPr>
        <w:t>[8]</w:t>
      </w:r>
      <w:r w:rsidRPr="00487C30">
        <w:rPr>
          <w:rFonts w:ascii="Arial" w:hAnsi="Arial" w:cs="Arial"/>
        </w:rPr>
        <w:fldChar w:fldCharType="end"/>
      </w:r>
      <w:r w:rsidRPr="00487C30">
        <w:rPr>
          <w:rFonts w:ascii="Arial" w:hAnsi="Arial" w:cs="Arial"/>
        </w:rPr>
        <w:fldChar w:fldCharType="begin" w:fldLock="1"/>
      </w:r>
      <w:r w:rsidR="008137CA">
        <w:rPr>
          <w:rFonts w:ascii="Arial" w:hAnsi="Arial" w:cs="Arial"/>
        </w:rPr>
        <w:instrText>ADDIN CSL_CITATION {"citationItems":[{"id":"ITEM-1","itemData":{"DOI":"10.1186/s13052-023-01517-5","ISSN":"18247288","PMID":"37658407","abstract":"Background: Inadequate breastfeeding and complementary feeding practices are key determinants of child malnutrition and impact one-third of the under-five mortality rate worldwide. The district of Namuno in Cabo Delgado (Mozambique) has been long registering a high prevalence of acute malnutrition. To date, no data exists about Infant and Young Child Feeding (IYCF) practices in the area. The current pilot study explores the feeding practices among children aged 0–23 months in Namuno and sets out its main drivers. Methods: This cross-sectional study was realized between August and September 2019 and drew on questionnaires for mothers/caregivers of children aged 0 to 23 months. We computed IYCF indicators and correlated them with mothers’/caregivers' school attendance, delivery setting, and distance between home and the place where livelihood activities took place (workplace), using univariate and multivariate (age-adjusted) logistic regression analysis. Results: The survey was data derived from a sample of 632 mothers/caregivers. 62% of 0–23-month-old children received colostrum whilst only 31% of 0–5 months babies were on exclusive breastfeeding (EBF). Among 6–23 months old children, 17% consumed foods and beverages from at least five out of eight defined food groups, 31% received a minimum frequency of meals, and 23% had a minimum acceptable diet. Data revealed a positive correlation between early initiation of breastfeeding and delivery in a maternity ward (OR 6.9, CI 3.2–16.1, p-value &lt; 0.001). No difference in the IYCF indicators between female and male babies was detected. Conclusions: In the Namuno district, IYCF practices did not fulfill WHO/UNICEF’s indicators and recommendations. This suggests that efforts should be focused on EBF-enabling interventions to improve children’s dietary consumption patterns.","author":[{"dropping-particle":"","family":"Marroda","given":"Kodak Raúl","non-dropping-particle":"","parse-names":false,"suffix":""},{"dropping-particle":"","family":"Berti","given":"Cristiana","non-dropping-particle":"","parse-names":false,"suffix":""},{"dropping-particle":"","family":"Vecchia","given":"Adriano","non-dropping-particle":"La","parse-names":false,"suffix":""},{"dropping-particle":"","family":"Agostoni","given":"Carlo","non-dropping-particle":"","parse-names":false,"suffix":""},{"dropping-particle":"","family":"Baroni","given":"Bruno Nazim","non-dropping-particle":"","parse-names":false,"suffix":""},{"dropping-particle":"","family":"Bettocchi","given":"Silvia","non-dropping-particle":"","parse-names":false,"suffix":""},{"dropping-particle":"","family":"Baglioni","given":"Mattia","non-dropping-particle":"","parse-names":false,"suffix":""}],"container-title":"Italian Journal of Pediatrics","id":"ITEM-1","issue":"1","issued":{"date-parts":[["2023"]]},"page":"1-11","publisher":"BioMed Central","title":"Infant and Young Child Feeding practices up to 23 months in Namuno District, Cabo Delgado, Mozambique","type":"article-journal","volume":"49"},"uris":["http://www.mendeley.com/documents/?uuid=e2698837-59b4-4629-9ec3-4da87a4a7bb8"]}],"mendeley":{"formattedCitation":"[9]","plainTextFormattedCitation":"[9]","previouslyFormattedCitation":"[9]"},"properties":{"noteIndex":0},"schema":"https://github.com/citation-style-language/schema/raw/master/csl-citation.json"}</w:instrText>
      </w:r>
      <w:r w:rsidRPr="00487C30">
        <w:rPr>
          <w:rFonts w:ascii="Arial" w:hAnsi="Arial" w:cs="Arial"/>
        </w:rPr>
        <w:fldChar w:fldCharType="separate"/>
      </w:r>
      <w:r w:rsidR="008137CA" w:rsidRPr="008137CA">
        <w:rPr>
          <w:rFonts w:ascii="Arial" w:hAnsi="Arial" w:cs="Arial"/>
          <w:noProof/>
        </w:rPr>
        <w:t>[9]</w:t>
      </w:r>
      <w:r w:rsidRPr="00487C30">
        <w:rPr>
          <w:rFonts w:ascii="Arial" w:hAnsi="Arial" w:cs="Arial"/>
        </w:rPr>
        <w:fldChar w:fldCharType="end"/>
      </w:r>
      <w:r w:rsidR="00B2764B">
        <w:rPr>
          <w:rFonts w:ascii="Arial" w:hAnsi="Arial" w:cs="Arial"/>
        </w:rPr>
        <w:t>.</w:t>
      </w:r>
    </w:p>
    <w:p w14:paraId="0EFCBEB8" w14:textId="4ACFCB8F" w:rsidR="00284FB7" w:rsidRDefault="00284FB7" w:rsidP="000F0E35">
      <w:pPr>
        <w:pStyle w:val="NormalWeb"/>
        <w:spacing w:line="360" w:lineRule="auto"/>
        <w:jc w:val="both"/>
        <w:rPr>
          <w:rFonts w:ascii="Arial" w:hAnsi="Arial" w:cs="Arial"/>
        </w:rPr>
      </w:pPr>
      <w:r w:rsidRPr="00487C30">
        <w:rPr>
          <w:rFonts w:ascii="Arial" w:hAnsi="Arial" w:cs="Arial"/>
        </w:rPr>
        <w:t xml:space="preserve">Addressing these issues requires urgent scaling of high-impact, evidence-based nutrition-specific and nutrition-sensitive interventions, including breastfeeding promotion, micronutrient supplementation, community-based management of acute malnutrition, and </w:t>
      </w:r>
      <w:proofErr w:type="spellStart"/>
      <w:r w:rsidRPr="00487C30">
        <w:rPr>
          <w:rFonts w:ascii="Arial" w:hAnsi="Arial" w:cs="Arial"/>
        </w:rPr>
        <w:t>multisectoral</w:t>
      </w:r>
      <w:proofErr w:type="spellEnd"/>
      <w:r w:rsidRPr="00487C30">
        <w:rPr>
          <w:rFonts w:ascii="Arial" w:hAnsi="Arial" w:cs="Arial"/>
        </w:rPr>
        <w:t xml:space="preserve"> approaches </w:t>
      </w:r>
      <w:r w:rsidR="00535842">
        <w:rPr>
          <w:rFonts w:ascii="Arial" w:hAnsi="Arial" w:cs="Arial"/>
        </w:rPr>
        <w:t xml:space="preserve">that strengthen food systems </w:t>
      </w:r>
      <w:r w:rsidRPr="00487C30">
        <w:rPr>
          <w:rFonts w:ascii="Arial" w:hAnsi="Arial" w:cs="Arial"/>
        </w:rPr>
        <w:t xml:space="preserve">and social protection </w:t>
      </w:r>
      <w:r w:rsidRPr="00487C30">
        <w:rPr>
          <w:rFonts w:ascii="Arial" w:hAnsi="Arial" w:cs="Arial"/>
        </w:rPr>
        <w:fldChar w:fldCharType="begin" w:fldLock="1"/>
      </w:r>
      <w:r w:rsidR="008137CA">
        <w:rPr>
          <w:rFonts w:ascii="Arial" w:hAnsi="Arial" w:cs="Arial"/>
        </w:rPr>
        <w:instrText>ADDIN CSL_CITATION {"citationItems":[{"id":"ITEM-1","itemData":{"DOI":"10.6133/apjcn.202512","ISSN":"0964-7058","abstract":"Background and Objectives: A balanced diet is critical for health, enhancing immune function and reducing disease risk. Bangladesh's National Nutrition Policy (NNP) focuses on achieving optimal nutrition through secure access to nutritious food across life stages, emphasizing marginalized groups such as mothers, adolescents, and children. Earlier efforts, like the Nutrition Action Plan (1997-2010), addressed maternal and child nutrition but lacked multi-sectoral integration. The revised NNP (2015) employs a collaborative approach, promoting dietary diversity and high-quality food intake. Policies such as the Food Policy Plan of Action (2008-2015) and the Bangladesh National Food and Nutrition Security Policy (2021-2030) further support Sustainable Development Goals (SDGs). Methods and Study Design: Key nutrition-related policies, including NNP 2015, the Food Policy Plan of Action, and the 8th Five-Year Plan, were reviewed. Special attention was given to maternal and child nutrition interventions, particularly Integrated Management of Childhood Illness (IMCI) services and Severe Acute Malnutrition (SAM) management through Community-based Management of Acute Malnutrition (CMAM). Facility readiness and the availability of Ready-to-Use Therapeutic Foods (RUTF) were also assessed. Results: The NNP 2015 advances multi-sectoral strategies, prioritizing marginalized groups and promoting diet diversity. Policies emphasize food and nutrition security, but challenges persist in SAM management, especially in remote areas. Limited facility readiness and inadequate RUTF provision hinder CMAM program effectiveness. Conclusions: To address gaps, strengthening multi-sectoral collaboration, enhancing facility readiness, and ensuring RUTF availability in CMAM programs are crucial. Focused efforts in underserved regions are essential for improving nutritional outcomes and achieving SDG targets.","author":[{"dropping-particle":"","family":"Huq","given":"Sayeeda","non-dropping-particle":"","parse-names":false,"suffix":""},{"dropping-particle":"","family":"Naila","given":"Nurun Nahar","non-dropping-particle":"","parse-names":false,"suffix":""},{"dropping-particle":"","family":"Alam","given":"Aklima","non-dropping-particle":"","parse-names":false,"suffix":""},{"dropping-particle":"","family":"Karmakar","given":"Gobinda","non-dropping-particle":"","parse-names":false,"suffix":""},{"dropping-particle":"","family":"Hossain","given":"Md Iqbal","non-dropping-particle":"","parse-names":false,"suffix":""},{"dropping-particle":"","family":"Islam","given":"M Munirul","non-dropping-particle":"","parse-names":false,"suffix":""},{"dropping-particle":"","family":"Mahfuz","given":"Mustafa","non-dropping-particle":"","parse-names":false,"suffix":""},{"dropping-particle":"","family":"Siddique","given":"Md Abu Bakr","non-dropping-particle":"","parse-names":false,"suffix":""},{"dropping-particle":"","family":"Abebe","given":"Kiross Tefera","non-dropping-particle":"","parse-names":false,"suffix":""},{"dropping-particle":"","family":"Sultana","given":"Anjuman Ara","non-dropping-particle":"","parse-names":false,"suffix":""},{"dropping-particle":"","family":"Chowdhury","given":"Monzur Al Murshed","non-dropping-particle":"","parse-names":false,"suffix":""},{"dropping-particle":"","family":"Sharma","given":"Deepika","non-dropping-particle":"","parse-names":false,"suffix":""},{"dropping-particle":"","family":"Ahmed","given":"Tahmeed","non-dropping-particle":"","parse-names":false,"suffix":""}],"container-title":"Asia Pacific Journal of Clinical Nutrition","id":"ITEM-1","issue":"</w:instrText>
      </w:r>
      <w:r w:rsidR="008137CA">
        <w:rPr>
          <w:rFonts w:ascii="MS Gothic" w:eastAsia="MS Gothic" w:hAnsi="MS Gothic" w:cs="MS Gothic" w:hint="eastAsia"/>
        </w:rPr>
        <w:instrText>預刊文章</w:instrText>
      </w:r>
      <w:r w:rsidR="008137CA">
        <w:rPr>
          <w:rFonts w:ascii="Arial" w:hAnsi="Arial" w:cs="Arial"/>
        </w:rPr>
        <w:instrText>","issued":{"date-parts":[["2025"]]},"page":"1-20","title":"Review of national policies and programs targeting improvement of wasting among under-five years old children in Bangladesh","type":"article-journal","volume":"34"},"uris":["http://www.mendeley.com/documents/?uuid=72641596-21ed-4781-a700-00c08744ac6c"]}],"mendeley":{"formattedCitation":"[10]","plainTextFormattedCitation":"[10]","previouslyFormattedCitation":"[10]"},"properties":{"noteIndex":0},"schema":"https://github.com/citation-style-language/schema/raw/master/csl-citation.json"}</w:instrText>
      </w:r>
      <w:r w:rsidRPr="00487C30">
        <w:rPr>
          <w:rFonts w:ascii="Arial" w:hAnsi="Arial" w:cs="Arial"/>
        </w:rPr>
        <w:fldChar w:fldCharType="separate"/>
      </w:r>
      <w:r w:rsidR="008137CA" w:rsidRPr="008137CA">
        <w:rPr>
          <w:rFonts w:ascii="Arial" w:hAnsi="Arial" w:cs="Arial"/>
          <w:noProof/>
        </w:rPr>
        <w:t>[10]</w:t>
      </w:r>
      <w:r w:rsidRPr="00487C30">
        <w:rPr>
          <w:rFonts w:ascii="Arial" w:hAnsi="Arial" w:cs="Arial"/>
        </w:rPr>
        <w:fldChar w:fldCharType="end"/>
      </w:r>
      <w:r w:rsidR="00457FD3">
        <w:rPr>
          <w:rFonts w:ascii="Arial" w:hAnsi="Arial" w:cs="Arial"/>
        </w:rPr>
        <w:fldChar w:fldCharType="begin" w:fldLock="1"/>
      </w:r>
      <w:r w:rsidR="008137CA">
        <w:rPr>
          <w:rFonts w:ascii="Arial" w:hAnsi="Arial" w:cs="Arial"/>
        </w:rPr>
        <w:instrText>ADDIN CSL_CITATION {"citationItems":[{"id":"ITEM-1","itemData":{"author":[{"dropping-particle":"","family":"Stakeholders","given":"Key","non-dropping-particle":"","parse-names":false,"suffix":""},{"dropping-particle":"","family":"Frumence","given":"Gasto","non-dropping-particle":"","parse-names":false,"suffix":""},{"dropping-particle":"","family":"Jin","given":"Yannan","non-dropping-particle":"","parse-names":false,"suffix":""},{"dropping-particle":"","family":"Kasangala","given":"Amalberga","non-dropping-particle":"","parse-names":false,"suffix":""},{"dropping-particle":"","family":"Bakar","given":"Saidah","non-dropping-particle":"","parse-names":false,"suffix":""},{"dropping-particle":"","family":"Mahiti","given":"Gladys Reuben","non-dropping-particle":"","parse-names":false,"suffix":""},{"dropping-particle":"","family":"Ochieng","given":"Bertha","non-dropping-particle":"","parse-names":false,"suffix":""}],"id":"ITEM-1","issued":{"date-parts":[["2024"]]},"page":"1-21","title":"A Systems Approach in the Prevention of Undernutrition among Children under Five in Tanzania : Perspectives from","type":"article-journal"},"uris":["http://www.mendeley.com/documents/?uuid=71f30a73-648c-459a-ab4b-457692eb2469"]}],"mendeley":{"formattedCitation":"[11]","plainTextFormattedCitation":"[11]","previouslyFormattedCitation":"[11]"},"properties":{"noteIndex":0},"schema":"https://github.com/citation-style-language/schema/raw/master/csl-citation.json"}</w:instrText>
      </w:r>
      <w:r w:rsidR="00457FD3">
        <w:rPr>
          <w:rFonts w:ascii="Arial" w:hAnsi="Arial" w:cs="Arial"/>
        </w:rPr>
        <w:fldChar w:fldCharType="separate"/>
      </w:r>
      <w:r w:rsidR="008137CA" w:rsidRPr="008137CA">
        <w:rPr>
          <w:rFonts w:ascii="Arial" w:hAnsi="Arial" w:cs="Arial"/>
          <w:noProof/>
        </w:rPr>
        <w:t>[11]</w:t>
      </w:r>
      <w:r w:rsidR="00457FD3">
        <w:rPr>
          <w:rFonts w:ascii="Arial" w:hAnsi="Arial" w:cs="Arial"/>
        </w:rPr>
        <w:fldChar w:fldCharType="end"/>
      </w:r>
      <w:r w:rsidR="00457FD3">
        <w:rPr>
          <w:rFonts w:ascii="Arial" w:hAnsi="Arial" w:cs="Arial"/>
        </w:rPr>
        <w:fldChar w:fldCharType="begin" w:fldLock="1"/>
      </w:r>
      <w:r w:rsidR="008137CA">
        <w:rPr>
          <w:rFonts w:ascii="Arial" w:hAnsi="Arial" w:cs="Arial"/>
        </w:rPr>
        <w:instrText>ADDIN CSL_CITATION {"citationItems":[{"id":"ITEM-1","itemData":{"DOI":"10.9734/jammr/2021/v33i1330963","abstract":"Breastfeeding (BF) has been a proven means of providing young infants with the nutrients required for healthy growth and development. The process has also been known to reduce common childhood infections, which are the causes of high mortality and morbidity.  Hence in achieving the best practice of BF, both knowledge and techniques are essential. Therefore, the study aims to assess the knowledge and practice on BF among mothers whose children were admitted at Mnazi Mmoja Hospital, Zanzibar. The study was a cross-sectional descriptive hospital-based carried out in the pediatric ward of MMH from April 2020 to July 2020 after approval by the hospital's health and ethics committee. Questionnaires were deployed to interview all consenting participants who were mothers aged from 18 to 50 years, breastfeeding a child, and having at least one previous child who had been breastfed earlier (Above 2 years) at the time of the study.  Selected questions were used to assess and categorized a total of 199 mothers who were recruited into the study as those with knowledge, those without knowledge on Exclusive breastfeeding (EBF), breastfeeding (BF) for 2 years, and breastfeeding techniques (BFT). Data were analyzed using Statistical Package for Social Sciences version 16. Differences at P &lt; 0.05 were considered significant. About 76.9% of the mothers studied had knowledge of EBF, while 65% had knowledge of BF for two years. A total of 42 (21.1%) had children below 6 months and were still BF, with the remaining 157(78.9%) having children above 6 months. Among the 157, only 58 (37%) practice EBF for 6 months. Also, 130 (65.3%) mothers breastfed their children up to 2 years in their previous child's upbringing. Most of them (42%) stopped because they became pregnant. The breastfeeding technique (BFT) was affected by the mother's age but not education level, as more of the older mothers had good positions and attachments than the younger ones. On overall techniques, 58.5% had good attachment compared to 49.7% who had proper position. Although most mothers were aware of the knowledge of EBF for 6 months, the practice is still low. However, older mothers, particularly the age group 31-40, have good BFT compared to younger mothers. There is a need for more education on EBF, BF, and BFT among women during Antenatal Clinic (ANC) and after delivery during the monthly clinic.","author":[{"dropping-particle":"","family":"Said","given":"Fat-hiya Abdallah","non-dropping-particle":"","parse-names":false,"suffix":""},{"dropping-particle":"","family":"Okafor","given":"Chukwuma J.","non-dropping-particle":"","parse-names":false,"suffix":""},{"dropping-particle":"","family":"Yusuf","given":"Said Ali","non-dropping-particle":"","parse-names":false,"suffix":""},{"dropping-particle":"","family":"Ali","given":"Amina A.","non-dropping-particle":"","parse-names":false,"suffix":""},{"dropping-particle":"","family":"Abeid","given":"Khamis A.","non-dropping-particle":"","parse-names":false,"suffix":""},{"dropping-particle":"","family":"Mahmoud","given":"Salma Abdi","non-dropping-particle":"","parse-names":false,"suffix":""},{"dropping-particle":"","family":"Chukwuani","given":"Ufuoma","non-dropping-particle":"","parse-names":false,"suffix":""},{"dropping-particle":"","family":"Hussein","given":"Ayan Ahmed","non-dropping-particle":"","parse-names":false,"suffix":""},{"dropping-particle":"","family":"Khamis","given":"Sabahi Salum","non-dropping-particle":"","parse-names":false,"suffix":""},{"dropping-particle":"","family":"Hamid","given":"Amina Abdi","non-dropping-particle":"","parse-names":false,"suffix":""}],"container-title":"Journal of Advances in Medicine and Medical Research","id":"ITEM-1","issue":"13","issued":{"date-parts":[["2021"]]},"page":"124-133","title":"Knowledge Levels and Practice Regarding Breastfeeding among Mothers with Children under 2 Years Admitted in the Pediatric Ward at Mnazi Mmoja Hospital, Zanzibar","type":"article-journal","volume":"33"},"uris":["http://www.mendeley.com/documents/?uuid=344cacb2-c57c-4f7d-a365-69289c14ce5e"]}],"mendeley":{"formattedCitation":"[12]","plainTextFormattedCitation":"[12]","previouslyFormattedCitation":"[12]"},"properties":{"noteIndex":0},"schema":"https://github.com/citation-style-language/schema/raw/master/csl-citation.json"}</w:instrText>
      </w:r>
      <w:r w:rsidR="00457FD3">
        <w:rPr>
          <w:rFonts w:ascii="Arial" w:hAnsi="Arial" w:cs="Arial"/>
        </w:rPr>
        <w:fldChar w:fldCharType="separate"/>
      </w:r>
      <w:r w:rsidR="008137CA" w:rsidRPr="008137CA">
        <w:rPr>
          <w:rFonts w:ascii="Arial" w:hAnsi="Arial" w:cs="Arial"/>
          <w:noProof/>
        </w:rPr>
        <w:t>[12]</w:t>
      </w:r>
      <w:r w:rsidR="00457FD3">
        <w:rPr>
          <w:rFonts w:ascii="Arial" w:hAnsi="Arial" w:cs="Arial"/>
        </w:rPr>
        <w:fldChar w:fldCharType="end"/>
      </w:r>
      <w:r w:rsidRPr="00487C30">
        <w:rPr>
          <w:rFonts w:ascii="Arial" w:hAnsi="Arial" w:cs="Arial"/>
        </w:rPr>
        <w:t xml:space="preserve">. Enhanced intervention readiness, supported by frameworks such as the updated Investment Framework for Nutrition, holds promise for substantial health and economic gains, though challenges in funding, coordination, and data availability must be </w:t>
      </w:r>
      <w:r w:rsidR="00C75314">
        <w:rPr>
          <w:rFonts w:ascii="Arial" w:hAnsi="Arial" w:cs="Arial"/>
        </w:rPr>
        <w:t xml:space="preserve">addressed through regular monitoring and community-engaged action </w:t>
      </w:r>
      <w:r w:rsidR="00457FD3">
        <w:rPr>
          <w:rFonts w:ascii="Arial" w:hAnsi="Arial" w:cs="Arial"/>
        </w:rPr>
        <w:fldChar w:fldCharType="begin" w:fldLock="1"/>
      </w:r>
      <w:r w:rsidR="008137CA">
        <w:rPr>
          <w:rFonts w:ascii="Arial" w:hAnsi="Arial" w:cs="Arial"/>
        </w:rPr>
        <w:instrText>ADDIN CSL_CITATION {"citationItems":[{"id":"ITEM-1","itemData":{"DOI":"10.54660/.ijmrge.2020.1.3.244-271","abstract":"The persistent challenge of nutritional inequity in low-income communities demands innovative, evidence-based intervention frameworks that leverage contemporary data analytics capabilities. This study presents a comprehensive framework for developing and implementing data-driven nutrition interventions specifically designed for high-risk, low-income populations across diverse geographic contexts. The framework integrates multiple analytical methodologies, including predictive modeling, geospatial analysis, community participatory approaches, and real-time monitoring systems to address systemic barriers to nutritional access and health equity. Drawing from extensive literature on community health interventions (Kingsley et al., 2020), chronic disease management (Stellefson et al., 2013), and data analytics applications in healthcare (Nwaimo et al., 2019), this research establishes a structured methodology for identifying vulnerable populations, assessing nutritional risks, and designing culturally appropriate interventions. The framework incorporates six key analytical domains: community needs assessment and risk stratification, intervention design and resource allocation, implementation pathway optimization, monitoring and evaluation mechanisms, sustainability and scalability considerations, and continuous quality improvement processes. Particular emphasis is placed on addressing social determinants of health, including food insecurity, environmental contamination (Onyekachi et al., 2020), healthcare access barriers, and systemic inequities that disproportionately affect marginalized communities (Geronimus et al., 2020). The proposed framework demonstrates applicability across urban and rural settings, accommodates diverse cultural contexts, and provides actionable guidance for public health practitioners, policymakers, and community organizations. By integrating machine learning forecasting algorithms (Fasasi et al., 2020), predictive analytics (Abass et al., 2019), and community engagement principles (Wallerstein et al., 2015), this framework offers a replicable model for reducing nutritional disparities and improving health outcomes in underserved populations. The research contributes to emerging scholarship on precision public health, health equity interventions, and data-driven decision-making in community health programming, providing both theoretical foundations and practical implementation strategies for addressing one of the most pressing publi…","author":[{"dropping-particle":"","family":"Gado","given":"Pamela","non-dropping-particle":"","parse-names":false,"suffix":""},{"dropping-particle":"","family":"Oparah","given":"Stephanie Onyekachi","non-dropping-particle":"","parse-names":false,"suffix":""},{"dropping-particle":"","family":"Ezeh","given":"Funmi Eko","non-dropping-particle":"","parse-names":false,"suffix":""},{"dropping-particle":"","family":"Gbaraba","given":"Stephen Vure","non-dropping-particle":"","parse-names":false,"suffix":""},{"dropping-particle":"","family":"Adeleke","given":"Adeyeni Suliat","non-dropping-particle":"","parse-names":false,"suffix":""},{"dropping-particle":"","family":"Omotayo","given":"Olufunke","non-dropping-particle":"","parse-names":false,"suffix":""}],"container-title":"International Journal of Multidisciplinary Research and Growth Evaluation","id":"ITEM-1","issue":"3","issued":{"date-parts":[["2020"]]},"page":"244-271","title":"Framework for Developing Data-Driven Nutrition Interventions Targeting High-Risk Low-Income Communities Nationwide","type":"article-journal","volume":"1"},"uris":["http://www.mendeley.com/documents/?uuid=128fb4cd-17bf-432f-9903-49af8556a8e9"]}],"mendeley":{"formattedCitation":"[13]","plainTextFormattedCitation":"[13]","previouslyFormattedCitation":"[13]"},"properties":{"noteIndex":0},"schema":"https://github.com/citation-style-language/schema/raw/master/csl-citation.json"}</w:instrText>
      </w:r>
      <w:r w:rsidR="00457FD3">
        <w:rPr>
          <w:rFonts w:ascii="Arial" w:hAnsi="Arial" w:cs="Arial"/>
        </w:rPr>
        <w:fldChar w:fldCharType="separate"/>
      </w:r>
      <w:r w:rsidR="008137CA" w:rsidRPr="008137CA">
        <w:rPr>
          <w:rFonts w:ascii="Arial" w:hAnsi="Arial" w:cs="Arial"/>
          <w:noProof/>
        </w:rPr>
        <w:t>[13]</w:t>
      </w:r>
      <w:r w:rsidR="00457FD3">
        <w:rPr>
          <w:rFonts w:ascii="Arial" w:hAnsi="Arial" w:cs="Arial"/>
        </w:rPr>
        <w:fldChar w:fldCharType="end"/>
      </w:r>
      <w:r w:rsidRPr="00487C30">
        <w:rPr>
          <w:rFonts w:ascii="Arial" w:hAnsi="Arial" w:cs="Arial"/>
        </w:rPr>
        <w:t xml:space="preserve"> </w:t>
      </w:r>
      <w:r w:rsidR="00457FD3">
        <w:rPr>
          <w:rFonts w:ascii="Arial" w:hAnsi="Arial" w:cs="Arial"/>
        </w:rPr>
        <w:fldChar w:fldCharType="begin" w:fldLock="1"/>
      </w:r>
      <w:r w:rsidR="008137CA">
        <w:rPr>
          <w:rFonts w:ascii="Arial" w:hAnsi="Arial" w:cs="Arial"/>
        </w:rPr>
        <w:instrText>ADDIN CSL_CITATION {"citationItems":[{"id":"ITEM-1","itemData":{"DOI":"10.1093/nutrit/nuaf031","author":[{"dropping-particle":"","family":"Khan","given":"Amira","non-dropping-particle":"","parse-names":false,"suffix":""},{"dropping-particle":"","family":"Carducci","given":"Bianca","non-dropping-particle":"","parse-names":false,"suffix":""},{"dropping-particle":"","family":"Oviya","given":"","non-dropping-particle":"","parse-names":false,"suffix":""},{"dropping-particle":"","family":"Bhutta","given":"Zulfiqar","non-dropping-particle":"","parse-names":false,"suffix":""}],"container-title":"Nutrition Reviews","id":"ITEM-1","issued":{"date-parts":[["2025","4","13"]]},"page":"1-19","title":"Evidence on Strategies for Integrating Nutrition Interventions with Health and Immunization Systems in Conflict-affected Areas of Low-and Lower-middle-income Settings-A Systematic Review","type":"article-journal","volume":"83"},"uris":["http://www.mendeley.com/documents/?uuid=0c379a07-e504-4745-b3dc-43f7f363993d"]}],"mendeley":{"formattedCitation":"[14]","plainTextFormattedCitation":"[14]","previouslyFormattedCitation":"[14]"},"properties":{"noteIndex":0},"schema":"https://github.com/citation-style-language/schema/raw/master/csl-citation.json"}</w:instrText>
      </w:r>
      <w:r w:rsidR="00457FD3">
        <w:rPr>
          <w:rFonts w:ascii="Arial" w:hAnsi="Arial" w:cs="Arial"/>
        </w:rPr>
        <w:fldChar w:fldCharType="separate"/>
      </w:r>
      <w:r w:rsidR="008137CA" w:rsidRPr="008137CA">
        <w:rPr>
          <w:rFonts w:ascii="Arial" w:hAnsi="Arial" w:cs="Arial"/>
          <w:noProof/>
        </w:rPr>
        <w:t>[14]</w:t>
      </w:r>
      <w:r w:rsidR="00457FD3">
        <w:rPr>
          <w:rFonts w:ascii="Arial" w:hAnsi="Arial" w:cs="Arial"/>
        </w:rPr>
        <w:fldChar w:fldCharType="end"/>
      </w:r>
      <w:r w:rsidRPr="00487C30">
        <w:rPr>
          <w:rFonts w:ascii="Arial" w:hAnsi="Arial" w:cs="Arial"/>
        </w:rPr>
        <w:t>.</w:t>
      </w:r>
    </w:p>
    <w:p w14:paraId="47C9D777" w14:textId="63564821" w:rsidR="002D59BA" w:rsidRPr="00C4220B" w:rsidRDefault="008137CA" w:rsidP="000F0E35">
      <w:pPr>
        <w:spacing w:line="360" w:lineRule="auto"/>
        <w:jc w:val="both"/>
        <w:rPr>
          <w:rFonts w:ascii="Arial" w:hAnsi="Arial" w:cs="Arial"/>
          <w:sz w:val="24"/>
          <w:szCs w:val="24"/>
        </w:rPr>
      </w:pPr>
      <w:r w:rsidRPr="00C4220B">
        <w:rPr>
          <w:rFonts w:ascii="Arial" w:hAnsi="Arial" w:cs="Arial"/>
          <w:highlight w:val="yellow"/>
        </w:rPr>
        <w:t>Children under five years of age are a priority population for nutrition research because this period encompasses the “first 1,000 days,</w:t>
      </w:r>
      <w:r>
        <w:rPr>
          <w:rFonts w:ascii="Arial" w:hAnsi="Arial" w:cs="Arial"/>
          <w:highlight w:val="yellow"/>
        </w:rPr>
        <w:fldChar w:fldCharType="begin" w:fldLock="1"/>
      </w:r>
      <w:r w:rsidR="002D59BA">
        <w:rPr>
          <w:rFonts w:ascii="Arial" w:hAnsi="Arial" w:cs="Arial"/>
          <w:highlight w:val="yellow"/>
        </w:rPr>
        <w:instrText>ADDIN CSL_CITATION {"citationItems":[{"id":"ITEM-1","itemData":{"DOI":"10.1038/s41598-025-01842-1","ISSN":"20452322","PMID":"40447590","abstract":"Undernutrition among under five children is a significant public health concern and a key factor in child mortality in developing nations. Addressing early childhood health disparities requires increased focus, as these issues are likely to persist into adulthood. This study examined wealth based inequalities in under-five undernutrition across 35 sub-Saharan African countries. This study utilized a total of 202,290 weighted samples from Demographic and Health Survey datasets across 35 sub-Saharan African countries. Data cleaning was performed using MS Excel, followed by extraction and analysis with STATA V.17 software. To assess wealth-related inequalities in undernutrition, the concentration index and curve, along with Wagstaff decomposition analysis, were employed. A p value of less than 0.05 was considered statistically significant. The overall pooled prevalence of undernutrition among children under five in sub-Saharan Africa was found to be 35.5% (95% CI 32.08, 38.88%), with a high heterogeneity (I2 = 99.9%). Prevalence rates varied significantly, ranging from 17.25% in Gabon to 58.57% in Burundi. The concentration index for wealth-related inequality in undernutrition indicated a pro-poor distribution, with a value of CI − 0.1719 (95% CI − 0.179, − 0.165) and a standard error of 0.0037 (p value &lt; 0.0001). The decomposition analysis revealed that factors such as media exposure, access to improved water sources, improved toilet facilities, and maternal education were inversely associated with undernutrition. In contrast, living in rural areas and maternal occupation showed a positive association with undernutrition. Wealth related disparities to undernutrition showed a trend that favored poorer populations. Individuals from lower socioeconomic backgrounds were more likely to experience undernutrition compared to those from higher socioeconomic groups. Key factors contributing to wealth-related inequalities in child undernutrition included media exposure, place of residence, and access to sanitation facilities. The persistence of these inequalities highlights a significant social injustice. To effectively reduce these disparities, it is essential to implement integrated interventions during early life that address the multiple challenges faced by disadvantaged children. Therefore, policies should take into account the distribution of childhood undernutrition across all socioeconomic groups.","author":[{"dropping-particle":"","family":"Anteneh","given":"Rahel Mulatie","non-dropping-particle":"","parse-names":false,"suffix":""},{"dropping-particle":"","family":"Moges","given":"Natnael","non-dropping-particle":"","parse-names":false,"suffix":""},{"dropping-particle":"","family":"Gebeyehu","given":"Asaye Alamneh","non-dropping-particle":"","parse-names":false,"suffix":""},{"dropping-particle":"","family":"Anley","given":"Denekew Tenaw","non-dropping-particle":"","parse-names":false,"suffix":""},{"dropping-particle":"","family":"Chanie","given":"Ermias Sisay","non-dropping-particle":"","parse-names":false,"suffix":""},{"dropping-particle":"","family":"Tsega","given":"Sintayehu Simie","non-dropping-particle":"","parse-names":false,"suffix":""},{"dropping-particle":"","family":"Alemayehu","given":"Ermiyas","non-dropping-particle":"","parse-names":false,"suffix":""},{"dropping-particle":"","family":"Belete","given":"Melaku Ashagrie","non-dropping-particle":"","parse-names":false,"suffix":""},{"dropping-particle":"","family":"Kebede","given":"Natnael","non-dropping-particle":"","parse-names":false,"suffix":""},{"dropping-particle":"","family":"Asmare","given":"Zufan Alamrie","non-dropping-particle":"","parse-names":false,"suffix":""},{"dropping-particle":"","family":"Adugna","given":"Matyas","non-dropping-particle":"","parse-names":false,"suffix":""},{"dropping-particle":"","family":"Gashu","given":"Zekaryas Ewnetu","non-dropping-particle":"","parse-names":false,"suffix":""},{"dropping-particle":"","family":"Dessie","given":"Anteneh Mengist","non-dropping-particle":"","parse-names":false,"suffix":""},{"dropping-particle":"","family":"Zemene","given":"Melkamu Aderajew","non-dropping-particle":"","parse-names":false,"suffix":""}],"container-title":"Scientific Reports","id":"ITEM-1","issue":"1","issued":{"date-parts":[["2025"]]},"page":"1-14","title":"Wealth-related inequalities in undernutrition among under-five children in sub-Saharan Africa","type":"article-journal","volume":"15"},"uris":["http://www.mendeley.com/documents/?uuid=d03189d1-bd16-4446-9494-570264b3778f"]}],"mendeley":{"formattedCitation":"[1]","plainTextFormattedCitation":"[1]","previouslyFormattedCitation":"[1]"},"properties":{"noteIndex":0},"schema":"https://github.com/citation-style-language/schema/raw/master/csl-citation.json"}</w:instrText>
      </w:r>
      <w:r>
        <w:rPr>
          <w:rFonts w:ascii="Arial" w:hAnsi="Arial" w:cs="Arial"/>
          <w:highlight w:val="yellow"/>
        </w:rPr>
        <w:fldChar w:fldCharType="separate"/>
      </w:r>
      <w:r w:rsidRPr="008137CA">
        <w:rPr>
          <w:rFonts w:ascii="Arial" w:hAnsi="Arial" w:cs="Arial"/>
          <w:noProof/>
          <w:highlight w:val="yellow"/>
        </w:rPr>
        <w:t>[1]</w:t>
      </w:r>
      <w:r>
        <w:rPr>
          <w:rFonts w:ascii="Arial" w:hAnsi="Arial" w:cs="Arial"/>
          <w:highlight w:val="yellow"/>
        </w:rPr>
        <w:fldChar w:fldCharType="end"/>
      </w:r>
      <w:r>
        <w:rPr>
          <w:rFonts w:ascii="Arial" w:hAnsi="Arial" w:cs="Arial"/>
          <w:highlight w:val="yellow"/>
        </w:rPr>
        <w:t xml:space="preserve"> </w:t>
      </w:r>
      <w:r w:rsidRPr="00C4220B">
        <w:rPr>
          <w:rFonts w:ascii="Arial" w:hAnsi="Arial" w:cs="Arial"/>
          <w:highlight w:val="yellow"/>
        </w:rPr>
        <w:t xml:space="preserve">early childhood represents a critical period of rapid growth and neurodevelopment during which nutritional deficiencies can result in long-term and often irreversible consequences. According to the World Health Organization and major analyses published in </w:t>
      </w:r>
      <w:r w:rsidRPr="00C4220B">
        <w:rPr>
          <w:rStyle w:val="Emphasis"/>
          <w:rFonts w:ascii="Arial" w:hAnsi="Arial" w:cs="Arial"/>
          <w:highlight w:val="yellow"/>
        </w:rPr>
        <w:t>The Lancet</w:t>
      </w:r>
      <w:r w:rsidRPr="00C4220B">
        <w:rPr>
          <w:rFonts w:ascii="Arial" w:hAnsi="Arial" w:cs="Arial"/>
          <w:highlight w:val="yellow"/>
        </w:rPr>
        <w:t>, u</w:t>
      </w:r>
      <w:r w:rsidR="00C75314">
        <w:rPr>
          <w:rFonts w:ascii="Arial" w:hAnsi="Arial" w:cs="Arial"/>
          <w:highlight w:val="yellow"/>
        </w:rPr>
        <w:t xml:space="preserve">ndernutrition in this age group, </w:t>
      </w:r>
      <w:r w:rsidRPr="00C4220B">
        <w:rPr>
          <w:rFonts w:ascii="Arial" w:hAnsi="Arial" w:cs="Arial"/>
          <w:highlight w:val="yellow"/>
        </w:rPr>
        <w:t>including stunting, wasting,</w:t>
      </w:r>
      <w:r w:rsidR="00C75314">
        <w:rPr>
          <w:rFonts w:ascii="Arial" w:hAnsi="Arial" w:cs="Arial"/>
          <w:highlight w:val="yellow"/>
        </w:rPr>
        <w:t xml:space="preserve"> and micronutrient deficiencies, </w:t>
      </w:r>
      <w:r w:rsidRPr="00C4220B">
        <w:rPr>
          <w:rFonts w:ascii="Arial" w:hAnsi="Arial" w:cs="Arial"/>
          <w:highlight w:val="yellow"/>
        </w:rPr>
        <w:t xml:space="preserve">remains a leading cause of preventable morbidity, mortality, and impaired cognitive development globally </w:t>
      </w:r>
      <w:r w:rsidRPr="00C4220B">
        <w:rPr>
          <w:rFonts w:ascii="Arial" w:hAnsi="Arial" w:cs="Arial"/>
          <w:highlight w:val="yellow"/>
        </w:rPr>
        <w:fldChar w:fldCharType="begin" w:fldLock="1"/>
      </w:r>
      <w:r w:rsidR="002D59BA">
        <w:rPr>
          <w:rFonts w:ascii="Arial" w:hAnsi="Arial" w:cs="Arial"/>
          <w:highlight w:val="yellow"/>
        </w:rPr>
        <w:instrText>ADDIN CSL_CITATION {"citationItems":[{"id":"ITEM-1","itemData":{"author":[{"dropping-particle":"","family":"Elegbeleye","given":"James Ayokunle","non-dropping-particle":"","parse-names":false,"suffix":""},{"dropping-particle":"","family":"Fayemi","given":"Olanrewaju E","non-dropping-particle":"","parse-names":false,"suffix":""},{"dropping-particle":"","family":"Selorm","given":"Wisdom","non-dropping-particle":"","parse-names":false,"suffix":""},{"dropping-particle":"","family":"Agbemavor","given":"Kofi","non-dropping-particle":"","parse-names":false,"suffix":""},{"dropping-particle":"","family":"Krishnamoorthy","given":"Srinivasan","non-dropping-particle":"","parse-names":false,"suffix":""},{"dropping-particle":"","family":"Adebowale","given":"Olalekan J","non-dropping-particle":"","parse-names":false,"suffix":""},{"dropping-particle":"","family":"Adeyanju","given":"Adeyemi Ayotunde","non-dropping-particle":"","parse-names":false,"suffix":""},{"dropping-particle":"","family":"Mkhabela","given":"Busisiwe","non-dropping-particle":"","parse-names":false,"suffix":""},{"dropping-particle":"","family":"Bamidele","given":"Oluwaseun Peter","non-dropping-particle":"","parse-names":false,"suffix":""}],"id":"ITEM-1","issued":{"date-parts":[["2025"]]},"page":"1-25","title":"Beyond Calories : Addressing Micronutrient Deficiencies in the World ’ s Most Vulnerable Communities — A Review","type":"article-journal"},"uris":["http://www.mendeley.com/documents/?uuid=b809dd27-c237-4317-95c6-3dd64bad6e6b","http://www.mendeley.com/documents/?uuid=beab817d-becf-42aa-8f2e-f2ba1357b131"]}],"mendeley":{"formattedCitation":"[15]","plainTextFormattedCitation":"[15]","previouslyFormattedCitation":"[15]"},"properties":{"noteIndex":0},"schema":"https://github.com/citation-style-language/schema/raw/master/csl-citation.json"}</w:instrText>
      </w:r>
      <w:r w:rsidRPr="00C4220B">
        <w:rPr>
          <w:rFonts w:ascii="Arial" w:hAnsi="Arial" w:cs="Arial"/>
          <w:highlight w:val="yellow"/>
        </w:rPr>
        <w:fldChar w:fldCharType="separate"/>
      </w:r>
      <w:r w:rsidRPr="008137CA">
        <w:rPr>
          <w:rFonts w:ascii="Arial" w:hAnsi="Arial" w:cs="Arial"/>
          <w:noProof/>
          <w:highlight w:val="yellow"/>
        </w:rPr>
        <w:t>[15]</w:t>
      </w:r>
      <w:r w:rsidRPr="00C4220B">
        <w:rPr>
          <w:rFonts w:ascii="Arial" w:hAnsi="Arial" w:cs="Arial"/>
          <w:highlight w:val="yellow"/>
        </w:rPr>
        <w:fldChar w:fldCharType="end"/>
      </w:r>
      <w:r w:rsidRPr="00C4220B">
        <w:rPr>
          <w:rFonts w:ascii="Arial" w:hAnsi="Arial" w:cs="Arial"/>
          <w:highlight w:val="yellow"/>
        </w:rPr>
        <w:t xml:space="preserve">. Poor nutritional status in early life is strongly associated with increased susceptibility to infection, delayed developmental outcomes, and reduced human capital in adulthood. Evidence from nutrition research further indicates that caregiver knowledge, feeding practices, and structural constraints such as food insecurity and limited access to health </w:t>
      </w:r>
      <w:r w:rsidR="002D59BA" w:rsidRPr="00C4220B">
        <w:rPr>
          <w:rFonts w:ascii="Arial" w:hAnsi="Arial" w:cs="Arial"/>
          <w:sz w:val="24"/>
          <w:szCs w:val="24"/>
          <w:highlight w:val="yellow"/>
        </w:rPr>
        <w:t>services are key determinants of child nutrition</w:t>
      </w:r>
      <w:r w:rsidR="002D59BA">
        <w:rPr>
          <w:rFonts w:ascii="Arial" w:hAnsi="Arial" w:cs="Arial"/>
          <w:sz w:val="24"/>
          <w:szCs w:val="24"/>
          <w:highlight w:val="yellow"/>
        </w:rPr>
        <w:t xml:space="preserve"> </w:t>
      </w:r>
      <w:r w:rsidR="002D59BA">
        <w:rPr>
          <w:rFonts w:ascii="Arial" w:hAnsi="Arial" w:cs="Arial"/>
          <w:sz w:val="24"/>
          <w:szCs w:val="24"/>
          <w:highlight w:val="yellow"/>
        </w:rPr>
        <w:fldChar w:fldCharType="begin" w:fldLock="1"/>
      </w:r>
      <w:r w:rsidR="002D59BA">
        <w:rPr>
          <w:rFonts w:ascii="Arial" w:hAnsi="Arial" w:cs="Arial"/>
          <w:sz w:val="24"/>
          <w:szCs w:val="24"/>
          <w:highlight w:val="yellow"/>
        </w:rPr>
        <w:instrText>ADDIN CSL_CITATION {"citationItems":[{"id":"ITEM-1","itemData":{"abstract":"These new estimates supersede former analyses and results published by UNICEF, WHO and the World Bank Group Stunting affected an estimated 22.0 per cent or 149.2 million children under 5 globally in 2020* STUNTING 149.2 million In 2020,* wasting continued to threaten the lives of an estimated 6.7 per cent or 45.4 million children under 5 globally WASTING 45.4 million","author":[{"dropping-particle":"","family":"UNICEF","given":"","non-dropping-particle":"","parse-names":false,"suffix":""},{"dropping-particle":"","family":"others","given":"","non-dropping-particle":"","parse-names":false,"suffix":""}],"container-title":"WHO/World Bank Group Joint Child Malnutrition Estimates","id":"ITEM-1","issued":{"date-parts":[["2016"]]},"page":"1-24","title":"Levels and Trends in Child Malnutrition: UNICEF","type":"article-journal"},"uris":["http://www.mendeley.com/documents/?uuid=a2011808-524a-45ab-ad13-ec530506de54"]}],"mendeley":{"formattedCitation":"[4]","plainTextFormattedCitation":"[4]","previouslyFormattedCitation":"[4]"},"properties":{"noteIndex":0},"schema":"https://github.com/citation-style-language/schema/raw/master/csl-citation.json"}</w:instrText>
      </w:r>
      <w:r w:rsidR="002D59BA">
        <w:rPr>
          <w:rFonts w:ascii="Arial" w:hAnsi="Arial" w:cs="Arial"/>
          <w:sz w:val="24"/>
          <w:szCs w:val="24"/>
          <w:highlight w:val="yellow"/>
        </w:rPr>
        <w:fldChar w:fldCharType="separate"/>
      </w:r>
      <w:r w:rsidR="002D59BA" w:rsidRPr="002D59BA">
        <w:rPr>
          <w:rFonts w:ascii="Arial" w:hAnsi="Arial" w:cs="Arial"/>
          <w:noProof/>
          <w:sz w:val="24"/>
          <w:szCs w:val="24"/>
          <w:highlight w:val="yellow"/>
        </w:rPr>
        <w:t>[4]</w:t>
      </w:r>
      <w:r w:rsidR="002D59BA">
        <w:rPr>
          <w:rFonts w:ascii="Arial" w:hAnsi="Arial" w:cs="Arial"/>
          <w:sz w:val="24"/>
          <w:szCs w:val="24"/>
          <w:highlight w:val="yellow"/>
        </w:rPr>
        <w:fldChar w:fldCharType="end"/>
      </w:r>
      <w:r w:rsidR="002D59BA" w:rsidRPr="00C4220B">
        <w:rPr>
          <w:rFonts w:ascii="Arial" w:hAnsi="Arial" w:cs="Arial"/>
          <w:sz w:val="24"/>
          <w:szCs w:val="24"/>
          <w:highlight w:val="yellow"/>
        </w:rPr>
        <w:fldChar w:fldCharType="begin" w:fldLock="1"/>
      </w:r>
      <w:r w:rsidR="002D59BA">
        <w:rPr>
          <w:rFonts w:ascii="Arial" w:hAnsi="Arial" w:cs="Arial"/>
          <w:sz w:val="24"/>
          <w:szCs w:val="24"/>
          <w:highlight w:val="yellow"/>
        </w:rPr>
        <w:instrText>ADDIN CSL_CITATION {"citationItems":[{"id":"ITEM-1","itemData":{"author":[{"dropping-particle":"","family":"Wang","given":"Rong","non-dropping-particle":"","parse-names":false,"suffix":""},{"dropping-particle":"","family":"Zahid","given":"Feroz","non-dropping-particle":"","parse-names":false,"suffix":""},{"dropping-particle":"","family":"Akram","given":"Shahla","non-dropping-particle":"","parse-names":false,"suffix":""},{"dropping-particle":"","family":"Jan","given":"Sajjad Ahmad","non-dropping-particle":"","parse-names":false,"suffix":""}],"id":"ITEM-1","issued":{"date-parts":[["2025"]]},"page":"1-13","title":"What keeps children small , thin , and weak ?: exploring the early childhood impacts of socioeconomic disadvantages in Pakistan","type":"article-journal"},"uris":["http://www.mendeley.com/documents/?uuid=5738d079-d764-40b3-9903-04a5500c5d01","http://www.mendeley.com/documents/?uuid=44db9329-46fa-4b29-9e3f-66e5bccb3a4a"]}],"mendeley":{"formattedCitation":"[16]","plainTextFormattedCitation":"[16]","previouslyFormattedCitation":"[16]"},"properties":{"noteIndex":0},"schema":"https://github.com/citation-style-language/schema/raw/master/csl-citation.json"}</w:instrText>
      </w:r>
      <w:r w:rsidR="002D59BA" w:rsidRPr="00C4220B">
        <w:rPr>
          <w:rFonts w:ascii="Arial" w:hAnsi="Arial" w:cs="Arial"/>
          <w:sz w:val="24"/>
          <w:szCs w:val="24"/>
          <w:highlight w:val="yellow"/>
        </w:rPr>
        <w:fldChar w:fldCharType="separate"/>
      </w:r>
      <w:r w:rsidR="002D59BA" w:rsidRPr="002D59BA">
        <w:rPr>
          <w:rFonts w:ascii="Arial" w:hAnsi="Arial" w:cs="Arial"/>
          <w:noProof/>
          <w:sz w:val="24"/>
          <w:szCs w:val="24"/>
          <w:highlight w:val="yellow"/>
        </w:rPr>
        <w:t>[16]</w:t>
      </w:r>
      <w:r w:rsidR="002D59BA" w:rsidRPr="00C4220B">
        <w:rPr>
          <w:rFonts w:ascii="Arial" w:hAnsi="Arial" w:cs="Arial"/>
          <w:sz w:val="24"/>
          <w:szCs w:val="24"/>
          <w:highlight w:val="yellow"/>
        </w:rPr>
        <w:fldChar w:fldCharType="end"/>
      </w:r>
      <w:r w:rsidR="002D59BA" w:rsidRPr="00C4220B">
        <w:rPr>
          <w:rFonts w:ascii="Arial" w:hAnsi="Arial" w:cs="Arial"/>
          <w:sz w:val="24"/>
          <w:szCs w:val="24"/>
          <w:highlight w:val="yellow"/>
        </w:rPr>
        <w:t>. Examining caregiver-reported barriers to adequate nutrition among children under five is therefore essential for informing targeted, context-appropriate interventions and for supporting global efforts to reduce childhood malnutrition</w:t>
      </w:r>
    </w:p>
    <w:p w14:paraId="4AEA7251" w14:textId="15DC9431" w:rsidR="008137CA" w:rsidRPr="00487C30" w:rsidRDefault="008137CA" w:rsidP="000F0E35">
      <w:pPr>
        <w:pStyle w:val="NormalWeb"/>
        <w:spacing w:line="360" w:lineRule="auto"/>
        <w:jc w:val="both"/>
        <w:rPr>
          <w:rFonts w:ascii="Arial" w:hAnsi="Arial" w:cs="Arial"/>
        </w:rPr>
      </w:pPr>
    </w:p>
    <w:p w14:paraId="112D4953" w14:textId="6C8568C2" w:rsidR="00284FB7" w:rsidRPr="00487C30" w:rsidRDefault="00284FB7" w:rsidP="00284FB7">
      <w:pPr>
        <w:spacing w:before="100" w:beforeAutospacing="1" w:after="100" w:afterAutospacing="1" w:line="360" w:lineRule="auto"/>
        <w:jc w:val="both"/>
        <w:rPr>
          <w:rFonts w:ascii="Arial" w:eastAsia="Times New Roman" w:hAnsi="Arial" w:cs="Arial"/>
          <w:sz w:val="24"/>
          <w:szCs w:val="24"/>
        </w:rPr>
      </w:pPr>
      <w:r w:rsidRPr="00487C30">
        <w:rPr>
          <w:rFonts w:ascii="Arial" w:eastAsia="Times New Roman" w:hAnsi="Arial" w:cs="Arial"/>
          <w:b/>
          <w:bCs/>
          <w:sz w:val="24"/>
          <w:szCs w:val="24"/>
        </w:rPr>
        <w:t>Objectives</w:t>
      </w:r>
      <w:r w:rsidRPr="00487C30">
        <w:rPr>
          <w:rFonts w:ascii="Arial" w:eastAsia="Times New Roman" w:hAnsi="Arial" w:cs="Arial"/>
          <w:sz w:val="24"/>
          <w:szCs w:val="24"/>
        </w:rPr>
        <w:br/>
      </w:r>
      <w:r w:rsidR="002D59BA" w:rsidRPr="00377AE6">
        <w:rPr>
          <w:rFonts w:ascii="Arial" w:eastAsia="Times New Roman" w:hAnsi="Arial" w:cs="Arial"/>
          <w:sz w:val="24"/>
          <w:szCs w:val="24"/>
        </w:rPr>
        <w:t xml:space="preserve">The study population was caregivers of children </w:t>
      </w:r>
      <w:r w:rsidR="002D59BA" w:rsidRPr="007F04BB">
        <w:rPr>
          <w:rFonts w:ascii="Arial" w:eastAsia="Times New Roman" w:hAnsi="Arial" w:cs="Arial"/>
          <w:sz w:val="24"/>
          <w:szCs w:val="24"/>
          <w:highlight w:val="yellow"/>
        </w:rPr>
        <w:t>under five years</w:t>
      </w:r>
      <w:r w:rsidR="002D59BA" w:rsidRPr="007F04BB">
        <w:rPr>
          <w:rFonts w:ascii="Arial" w:eastAsia="Times New Roman" w:hAnsi="Arial" w:cs="Arial"/>
          <w:color w:val="C00000"/>
          <w:sz w:val="24"/>
          <w:szCs w:val="24"/>
          <w:highlight w:val="yellow"/>
        </w:rPr>
        <w:t xml:space="preserve"> </w:t>
      </w:r>
      <w:r w:rsidR="002D59BA" w:rsidRPr="007F04BB">
        <w:rPr>
          <w:rFonts w:ascii="Arial" w:eastAsia="Times New Roman" w:hAnsi="Arial" w:cs="Arial"/>
          <w:sz w:val="24"/>
          <w:szCs w:val="24"/>
          <w:highlight w:val="yellow"/>
        </w:rPr>
        <w:t>attending</w:t>
      </w:r>
      <w:r w:rsidR="002D59BA">
        <w:rPr>
          <w:rFonts w:ascii="Arial" w:eastAsia="Times New Roman" w:hAnsi="Arial" w:cs="Arial"/>
          <w:sz w:val="24"/>
          <w:szCs w:val="24"/>
          <w:highlight w:val="yellow"/>
        </w:rPr>
        <w:t xml:space="preserve"> the </w:t>
      </w:r>
      <w:proofErr w:type="spellStart"/>
      <w:r w:rsidR="002D59BA">
        <w:rPr>
          <w:rFonts w:ascii="Arial" w:eastAsia="Times New Roman" w:hAnsi="Arial" w:cs="Arial"/>
          <w:sz w:val="24"/>
          <w:szCs w:val="24"/>
          <w:highlight w:val="yellow"/>
        </w:rPr>
        <w:t>p</w:t>
      </w:r>
      <w:r w:rsidR="00D622CD">
        <w:rPr>
          <w:rFonts w:ascii="Arial" w:eastAsia="Times New Roman" w:hAnsi="Arial" w:cs="Arial"/>
          <w:sz w:val="24"/>
          <w:szCs w:val="24"/>
          <w:highlight w:val="yellow"/>
        </w:rPr>
        <w:t>a</w:t>
      </w:r>
      <w:r w:rsidR="002D59BA">
        <w:rPr>
          <w:rFonts w:ascii="Arial" w:eastAsia="Times New Roman" w:hAnsi="Arial" w:cs="Arial"/>
          <w:sz w:val="24"/>
          <w:szCs w:val="24"/>
          <w:highlight w:val="yellow"/>
        </w:rPr>
        <w:t>ediatric</w:t>
      </w:r>
      <w:proofErr w:type="spellEnd"/>
      <w:r w:rsidR="002D59BA">
        <w:rPr>
          <w:rFonts w:ascii="Arial" w:eastAsia="Times New Roman" w:hAnsi="Arial" w:cs="Arial"/>
          <w:sz w:val="24"/>
          <w:szCs w:val="24"/>
          <w:highlight w:val="yellow"/>
        </w:rPr>
        <w:t xml:space="preserve"> ward</w:t>
      </w:r>
      <w:r w:rsidR="002D59BA" w:rsidRPr="007F04BB">
        <w:rPr>
          <w:rFonts w:ascii="Arial" w:eastAsia="Times New Roman" w:hAnsi="Arial" w:cs="Arial"/>
          <w:sz w:val="24"/>
          <w:szCs w:val="24"/>
          <w:highlight w:val="yellow"/>
        </w:rPr>
        <w:t xml:space="preserve"> at </w:t>
      </w:r>
      <w:proofErr w:type="spellStart"/>
      <w:r w:rsidR="002D59BA" w:rsidRPr="007F04BB">
        <w:rPr>
          <w:rFonts w:ascii="Arial" w:eastAsia="Times New Roman" w:hAnsi="Arial" w:cs="Arial"/>
          <w:sz w:val="24"/>
          <w:szCs w:val="24"/>
          <w:highlight w:val="yellow"/>
        </w:rPr>
        <w:t>Ijitimai</w:t>
      </w:r>
      <w:proofErr w:type="spellEnd"/>
      <w:r w:rsidR="002D59BA" w:rsidRPr="007F04BB">
        <w:rPr>
          <w:rFonts w:ascii="Arial" w:eastAsia="Times New Roman" w:hAnsi="Arial" w:cs="Arial"/>
          <w:sz w:val="24"/>
          <w:szCs w:val="24"/>
          <w:highlight w:val="yellow"/>
        </w:rPr>
        <w:t xml:space="preserve"> District Hospital</w:t>
      </w:r>
      <w:r w:rsidRPr="00487C30">
        <w:rPr>
          <w:rFonts w:ascii="Arial" w:eastAsia="Times New Roman" w:hAnsi="Arial" w:cs="Arial"/>
          <w:sz w:val="24"/>
          <w:szCs w:val="24"/>
        </w:rPr>
        <w:t xml:space="preserve">. It also sought to identify key barriers </w:t>
      </w:r>
      <w:r>
        <w:rPr>
          <w:rFonts w:ascii="Arial" w:eastAsia="Times New Roman" w:hAnsi="Arial" w:cs="Arial"/>
          <w:sz w:val="24"/>
          <w:szCs w:val="24"/>
        </w:rPr>
        <w:t>to caregivers' provision of</w:t>
      </w:r>
      <w:r w:rsidRPr="00487C30">
        <w:rPr>
          <w:rFonts w:ascii="Arial" w:eastAsia="Times New Roman" w:hAnsi="Arial" w:cs="Arial"/>
          <w:sz w:val="24"/>
          <w:szCs w:val="24"/>
        </w:rPr>
        <w:t xml:space="preserve"> adequate nutrition and to determine caregivers’ willingness to participate in nutrition education </w:t>
      </w:r>
      <w:proofErr w:type="spellStart"/>
      <w:r w:rsidRPr="00487C30">
        <w:rPr>
          <w:rFonts w:ascii="Arial" w:eastAsia="Times New Roman" w:hAnsi="Arial" w:cs="Arial"/>
          <w:sz w:val="24"/>
          <w:szCs w:val="24"/>
        </w:rPr>
        <w:t>programmes</w:t>
      </w:r>
      <w:proofErr w:type="spellEnd"/>
      <w:r w:rsidRPr="00487C30">
        <w:rPr>
          <w:rFonts w:ascii="Arial" w:eastAsia="Times New Roman" w:hAnsi="Arial" w:cs="Arial"/>
          <w:sz w:val="24"/>
          <w:szCs w:val="24"/>
        </w:rPr>
        <w:t>.</w:t>
      </w:r>
    </w:p>
    <w:p w14:paraId="1162BCA3" w14:textId="77777777" w:rsidR="00284FB7" w:rsidRPr="00487C30" w:rsidRDefault="00284FB7" w:rsidP="00284FB7">
      <w:pPr>
        <w:spacing w:before="100" w:beforeAutospacing="1" w:after="100" w:afterAutospacing="1" w:line="360" w:lineRule="auto"/>
        <w:jc w:val="both"/>
        <w:rPr>
          <w:rFonts w:ascii="Arial" w:eastAsia="Times New Roman" w:hAnsi="Arial" w:cs="Arial"/>
          <w:sz w:val="24"/>
          <w:szCs w:val="24"/>
        </w:rPr>
      </w:pPr>
      <w:r w:rsidRPr="00487C30">
        <w:rPr>
          <w:rFonts w:ascii="Arial" w:eastAsia="Times New Roman" w:hAnsi="Arial" w:cs="Arial"/>
          <w:b/>
          <w:bCs/>
          <w:sz w:val="24"/>
          <w:szCs w:val="24"/>
        </w:rPr>
        <w:t>Methods</w:t>
      </w:r>
      <w:r w:rsidRPr="00487C30">
        <w:rPr>
          <w:rFonts w:ascii="Arial" w:eastAsia="Times New Roman" w:hAnsi="Arial" w:cs="Arial"/>
          <w:sz w:val="24"/>
          <w:szCs w:val="24"/>
        </w:rPr>
        <w:br/>
        <w:t xml:space="preserve">A cross-sectional study design was employed, with data collected at a single point in time. The study was conducted at </w:t>
      </w:r>
      <w:proofErr w:type="spellStart"/>
      <w:r w:rsidRPr="00487C30">
        <w:rPr>
          <w:rFonts w:ascii="Arial" w:eastAsia="Times New Roman" w:hAnsi="Arial" w:cs="Arial"/>
          <w:sz w:val="24"/>
          <w:szCs w:val="24"/>
        </w:rPr>
        <w:t>Ijitimai</w:t>
      </w:r>
      <w:proofErr w:type="spellEnd"/>
      <w:r w:rsidRPr="00487C30">
        <w:rPr>
          <w:rFonts w:ascii="Arial" w:eastAsia="Times New Roman" w:hAnsi="Arial" w:cs="Arial"/>
          <w:sz w:val="24"/>
          <w:szCs w:val="24"/>
        </w:rPr>
        <w:t xml:space="preserve"> District Hospital, a district-level health facility located in </w:t>
      </w:r>
      <w:proofErr w:type="spellStart"/>
      <w:r w:rsidRPr="00487C30">
        <w:rPr>
          <w:rFonts w:ascii="Arial" w:eastAsia="Times New Roman" w:hAnsi="Arial" w:cs="Arial"/>
          <w:sz w:val="24"/>
          <w:szCs w:val="24"/>
        </w:rPr>
        <w:t>Mwanakwerekwe</w:t>
      </w:r>
      <w:proofErr w:type="spellEnd"/>
      <w:r w:rsidRPr="00487C30">
        <w:rPr>
          <w:rFonts w:ascii="Arial" w:eastAsia="Times New Roman" w:hAnsi="Arial" w:cs="Arial"/>
          <w:sz w:val="24"/>
          <w:szCs w:val="24"/>
        </w:rPr>
        <w:t xml:space="preserve">, Zanzibar, within the </w:t>
      </w:r>
      <w:proofErr w:type="spellStart"/>
      <w:r w:rsidRPr="00487C30">
        <w:rPr>
          <w:rFonts w:ascii="Arial" w:eastAsia="Times New Roman" w:hAnsi="Arial" w:cs="Arial"/>
          <w:sz w:val="24"/>
          <w:szCs w:val="24"/>
        </w:rPr>
        <w:t>paediatrics</w:t>
      </w:r>
      <w:proofErr w:type="spellEnd"/>
      <w:r w:rsidRPr="00487C30">
        <w:rPr>
          <w:rFonts w:ascii="Arial" w:eastAsia="Times New Roman" w:hAnsi="Arial" w:cs="Arial"/>
          <w:sz w:val="24"/>
          <w:szCs w:val="24"/>
        </w:rPr>
        <w:t xml:space="preserve"> ward.</w:t>
      </w:r>
    </w:p>
    <w:p w14:paraId="13EB77A2" w14:textId="012FC0B9" w:rsidR="00284FB7" w:rsidRPr="00487C30" w:rsidRDefault="00284FB7" w:rsidP="00284FB7">
      <w:pPr>
        <w:spacing w:before="100" w:beforeAutospacing="1" w:after="100" w:afterAutospacing="1" w:line="360" w:lineRule="auto"/>
        <w:jc w:val="both"/>
        <w:rPr>
          <w:rFonts w:ascii="Arial" w:eastAsia="Times New Roman" w:hAnsi="Arial" w:cs="Arial"/>
          <w:sz w:val="24"/>
          <w:szCs w:val="24"/>
        </w:rPr>
      </w:pPr>
      <w:r w:rsidRPr="00377AE6">
        <w:rPr>
          <w:rFonts w:ascii="Arial" w:eastAsia="Times New Roman" w:hAnsi="Arial" w:cs="Arial"/>
          <w:sz w:val="24"/>
          <w:szCs w:val="24"/>
        </w:rPr>
        <w:t xml:space="preserve">The study population was caregivers of children under five years attending </w:t>
      </w:r>
      <w:proofErr w:type="spellStart"/>
      <w:r w:rsidRPr="00377AE6">
        <w:rPr>
          <w:rFonts w:ascii="Arial" w:eastAsia="Times New Roman" w:hAnsi="Arial" w:cs="Arial"/>
          <w:sz w:val="24"/>
          <w:szCs w:val="24"/>
        </w:rPr>
        <w:t>Ijitimai</w:t>
      </w:r>
      <w:proofErr w:type="spellEnd"/>
      <w:r w:rsidRPr="00377AE6">
        <w:rPr>
          <w:rFonts w:ascii="Arial" w:eastAsia="Times New Roman" w:hAnsi="Arial" w:cs="Arial"/>
          <w:sz w:val="24"/>
          <w:szCs w:val="24"/>
        </w:rPr>
        <w:t xml:space="preserve"> District Hospital.</w:t>
      </w:r>
      <w:r w:rsidRPr="00487C30">
        <w:rPr>
          <w:rFonts w:ascii="Arial" w:eastAsia="Times New Roman" w:hAnsi="Arial" w:cs="Arial"/>
          <w:sz w:val="24"/>
          <w:szCs w:val="24"/>
        </w:rPr>
        <w:t xml:space="preserve"> The independent variables included maternal education level, maternal feeding practices, and </w:t>
      </w:r>
      <w:r w:rsidR="00C75314">
        <w:rPr>
          <w:rFonts w:ascii="Arial" w:eastAsia="Times New Roman" w:hAnsi="Arial" w:cs="Arial"/>
          <w:sz w:val="24"/>
          <w:szCs w:val="24"/>
        </w:rPr>
        <w:t>socioeconomic status, while the dependent variables were</w:t>
      </w:r>
      <w:r w:rsidRPr="00487C30">
        <w:rPr>
          <w:rFonts w:ascii="Arial" w:eastAsia="Times New Roman" w:hAnsi="Arial" w:cs="Arial"/>
          <w:sz w:val="24"/>
          <w:szCs w:val="24"/>
        </w:rPr>
        <w:t xml:space="preserve"> the prevalence of malnutrition among children under five years </w:t>
      </w:r>
      <w:r w:rsidRPr="00377AE6">
        <w:rPr>
          <w:rFonts w:ascii="Arial" w:eastAsia="Times New Roman" w:hAnsi="Arial" w:cs="Arial"/>
          <w:sz w:val="24"/>
          <w:szCs w:val="24"/>
        </w:rPr>
        <w:t>of age, caregivers’ reported malnutrition, challenges faced in Child Feeding, and willingness to participate</w:t>
      </w:r>
      <w:r w:rsidRPr="00487C30">
        <w:rPr>
          <w:rFonts w:ascii="Arial" w:eastAsia="Times New Roman" w:hAnsi="Arial" w:cs="Arial"/>
          <w:bCs/>
          <w:color w:val="000000"/>
          <w:sz w:val="24"/>
          <w:szCs w:val="24"/>
        </w:rPr>
        <w:t xml:space="preserve"> in Training</w:t>
      </w:r>
      <w:r w:rsidRPr="00487C30">
        <w:rPr>
          <w:rFonts w:ascii="Arial" w:eastAsia="Times New Roman" w:hAnsi="Arial" w:cs="Arial"/>
          <w:sz w:val="24"/>
          <w:szCs w:val="24"/>
        </w:rPr>
        <w:t xml:space="preserve">. The study population caregivers of children under five years attending </w:t>
      </w:r>
      <w:proofErr w:type="spellStart"/>
      <w:r w:rsidRPr="00487C30">
        <w:rPr>
          <w:rFonts w:ascii="Arial" w:eastAsia="Times New Roman" w:hAnsi="Arial" w:cs="Arial"/>
          <w:sz w:val="24"/>
          <w:szCs w:val="24"/>
        </w:rPr>
        <w:t>Ijitimai</w:t>
      </w:r>
      <w:proofErr w:type="spellEnd"/>
      <w:r w:rsidRPr="00487C30">
        <w:rPr>
          <w:rFonts w:ascii="Arial" w:eastAsia="Times New Roman" w:hAnsi="Arial" w:cs="Arial"/>
          <w:sz w:val="24"/>
          <w:szCs w:val="24"/>
        </w:rPr>
        <w:t xml:space="preserve"> District Hospital. This group was selected because caregivers are directly responsible for child care and feeding and are therefore </w:t>
      </w:r>
      <w:r>
        <w:rPr>
          <w:rFonts w:ascii="Arial" w:eastAsia="Times New Roman" w:hAnsi="Arial" w:cs="Arial"/>
          <w:sz w:val="24"/>
          <w:szCs w:val="24"/>
        </w:rPr>
        <w:t>well-positioned</w:t>
      </w:r>
      <w:r w:rsidRPr="00487C30">
        <w:rPr>
          <w:rFonts w:ascii="Arial" w:eastAsia="Times New Roman" w:hAnsi="Arial" w:cs="Arial"/>
          <w:sz w:val="24"/>
          <w:szCs w:val="24"/>
        </w:rPr>
        <w:t xml:space="preserve"> to provide information relevant to the study objectives.</w:t>
      </w:r>
    </w:p>
    <w:p w14:paraId="4B594117" w14:textId="6D2FB290" w:rsidR="00284FB7" w:rsidRPr="00487C30" w:rsidRDefault="00284FB7" w:rsidP="00284FB7">
      <w:pPr>
        <w:spacing w:before="100" w:beforeAutospacing="1" w:after="100" w:afterAutospacing="1" w:line="360" w:lineRule="auto"/>
        <w:jc w:val="both"/>
        <w:rPr>
          <w:rFonts w:ascii="Arial" w:eastAsia="Times New Roman" w:hAnsi="Arial" w:cs="Arial"/>
          <w:sz w:val="24"/>
          <w:szCs w:val="24"/>
        </w:rPr>
      </w:pPr>
      <w:r w:rsidRPr="00487C30">
        <w:rPr>
          <w:rFonts w:ascii="Arial" w:eastAsia="Times New Roman" w:hAnsi="Arial" w:cs="Arial"/>
          <w:sz w:val="24"/>
          <w:szCs w:val="24"/>
        </w:rPr>
        <w:t xml:space="preserve">The sample size was calculated using Fisher’s formula, assuming a malnutrition prevalence of 6.7%. The formula applied was </w:t>
      </w:r>
      <w:r w:rsidRPr="00487C30">
        <w:rPr>
          <w:rFonts w:ascii="Arial" w:eastAsia="Times New Roman" w:hAnsi="Arial" w:cs="Arial"/>
          <w:i/>
          <w:iCs/>
          <w:sz w:val="24"/>
          <w:szCs w:val="24"/>
        </w:rPr>
        <w:t>n</w:t>
      </w:r>
      <w:r w:rsidRPr="00487C30">
        <w:rPr>
          <w:rFonts w:ascii="Arial" w:eastAsia="Times New Roman" w:hAnsi="Arial" w:cs="Arial"/>
          <w:sz w:val="24"/>
          <w:szCs w:val="24"/>
        </w:rPr>
        <w:t xml:space="preserve"> = Z²P(1 − P)/d², where </w:t>
      </w:r>
      <w:r w:rsidRPr="00487C30">
        <w:rPr>
          <w:rFonts w:ascii="Arial" w:eastAsia="Times New Roman" w:hAnsi="Arial" w:cs="Arial"/>
          <w:i/>
          <w:iCs/>
          <w:sz w:val="24"/>
          <w:szCs w:val="24"/>
        </w:rPr>
        <w:t>n</w:t>
      </w:r>
      <w:r w:rsidRPr="00487C30">
        <w:rPr>
          <w:rFonts w:ascii="Arial" w:eastAsia="Times New Roman" w:hAnsi="Arial" w:cs="Arial"/>
          <w:sz w:val="24"/>
          <w:szCs w:val="24"/>
        </w:rPr>
        <w:t xml:space="preserve"> is the minimum required sample size, </w:t>
      </w:r>
      <w:r w:rsidRPr="00487C30">
        <w:rPr>
          <w:rFonts w:ascii="Arial" w:eastAsia="Times New Roman" w:hAnsi="Arial" w:cs="Arial"/>
          <w:i/>
          <w:iCs/>
          <w:sz w:val="24"/>
          <w:szCs w:val="24"/>
        </w:rPr>
        <w:t>Z</w:t>
      </w:r>
      <w:r w:rsidRPr="00487C30">
        <w:rPr>
          <w:rFonts w:ascii="Arial" w:eastAsia="Times New Roman" w:hAnsi="Arial" w:cs="Arial"/>
          <w:sz w:val="24"/>
          <w:szCs w:val="24"/>
        </w:rPr>
        <w:t xml:space="preserve"> corresponds to the 95% confidence level (1.96), </w:t>
      </w:r>
      <w:r w:rsidRPr="00487C30">
        <w:rPr>
          <w:rFonts w:ascii="Arial" w:eastAsia="Times New Roman" w:hAnsi="Arial" w:cs="Arial"/>
          <w:i/>
          <w:iCs/>
          <w:sz w:val="24"/>
          <w:szCs w:val="24"/>
        </w:rPr>
        <w:t>P</w:t>
      </w:r>
      <w:r w:rsidRPr="00487C30">
        <w:rPr>
          <w:rFonts w:ascii="Arial" w:eastAsia="Times New Roman" w:hAnsi="Arial" w:cs="Arial"/>
          <w:sz w:val="24"/>
          <w:szCs w:val="24"/>
        </w:rPr>
        <w:t xml:space="preserve"> is the expected prevalence (0.067</w:t>
      </w:r>
      <w:r w:rsidRPr="00377AE6">
        <w:rPr>
          <w:rFonts w:ascii="Arial" w:eastAsia="Times New Roman" w:hAnsi="Arial" w:cs="Arial"/>
          <w:sz w:val="24"/>
          <w:szCs w:val="24"/>
        </w:rPr>
        <w:t>)</w:t>
      </w:r>
      <w:r w:rsidRPr="00377AE6">
        <w:rPr>
          <w:rFonts w:ascii="Arial" w:eastAsia="Times New Roman" w:hAnsi="Arial" w:cs="Arial"/>
          <w:sz w:val="24"/>
          <w:szCs w:val="24"/>
        </w:rPr>
        <w:fldChar w:fldCharType="begin" w:fldLock="1"/>
      </w:r>
      <w:r w:rsidR="002D59BA">
        <w:rPr>
          <w:rFonts w:ascii="Arial" w:eastAsia="Times New Roman" w:hAnsi="Arial" w:cs="Arial"/>
          <w:sz w:val="24"/>
          <w:szCs w:val="24"/>
        </w:rPr>
        <w:instrText>ADDIN CSL_CITATION {"citationItems":[{"id":"ITEM-1","itemData":{"author":[{"dropping-particle":"","family":"Republic","given":"United","non-dropping-particle":"","parse-names":false,"suffix":""}],"id":"ITEM-1","issue":"June 2019","issued":{"date-parts":[["2018"]]},"page":"1-8","title":"Survey 2018 Summary of Key Findings Nutrition","type":"article-journal"},"uris":["http://www.mendeley.com/documents/?uuid=e88a18ef-57eb-4346-a5f0-405df3ecfc39"]}],"mendeley":{"formattedCitation":"[17]","plainTextFormattedCitation":"[17]","previouslyFormattedCitation":"[17]"},"properties":{"noteIndex":0},"schema":"https://github.com/citation-style-language/schema/raw/master/csl-citation.json"}</w:instrText>
      </w:r>
      <w:r w:rsidRPr="00377AE6">
        <w:rPr>
          <w:rFonts w:ascii="Arial" w:eastAsia="Times New Roman" w:hAnsi="Arial" w:cs="Arial"/>
          <w:sz w:val="24"/>
          <w:szCs w:val="24"/>
        </w:rPr>
        <w:fldChar w:fldCharType="separate"/>
      </w:r>
      <w:r w:rsidR="002D59BA" w:rsidRPr="002D59BA">
        <w:rPr>
          <w:rFonts w:ascii="Arial" w:eastAsia="Times New Roman" w:hAnsi="Arial" w:cs="Arial"/>
          <w:noProof/>
          <w:sz w:val="24"/>
          <w:szCs w:val="24"/>
        </w:rPr>
        <w:t>[17]</w:t>
      </w:r>
      <w:r w:rsidRPr="00377AE6">
        <w:rPr>
          <w:rFonts w:ascii="Arial" w:eastAsia="Times New Roman" w:hAnsi="Arial" w:cs="Arial"/>
          <w:sz w:val="24"/>
          <w:szCs w:val="24"/>
        </w:rPr>
        <w:fldChar w:fldCharType="end"/>
      </w:r>
      <w:r w:rsidRPr="00377AE6">
        <w:rPr>
          <w:rFonts w:ascii="Arial" w:eastAsia="Times New Roman" w:hAnsi="Arial" w:cs="Arial"/>
          <w:sz w:val="24"/>
          <w:szCs w:val="24"/>
        </w:rPr>
        <w:t>,</w:t>
      </w:r>
      <w:r w:rsidRPr="00487C30">
        <w:rPr>
          <w:rFonts w:ascii="Arial" w:eastAsia="Times New Roman" w:hAnsi="Arial" w:cs="Arial"/>
          <w:sz w:val="24"/>
          <w:szCs w:val="24"/>
        </w:rPr>
        <w:t xml:space="preserve"> </w:t>
      </w:r>
      <w:r w:rsidRPr="00487C30">
        <w:rPr>
          <w:rFonts w:ascii="Arial" w:eastAsia="Times New Roman" w:hAnsi="Arial" w:cs="Arial"/>
          <w:i/>
          <w:iCs/>
          <w:sz w:val="24"/>
          <w:szCs w:val="24"/>
        </w:rPr>
        <w:t>q</w:t>
      </w:r>
      <w:r w:rsidRPr="00487C30">
        <w:rPr>
          <w:rFonts w:ascii="Arial" w:eastAsia="Times New Roman" w:hAnsi="Arial" w:cs="Arial"/>
          <w:sz w:val="24"/>
          <w:szCs w:val="24"/>
        </w:rPr>
        <w:t xml:space="preserve"> equals 1 − </w:t>
      </w:r>
      <w:r w:rsidRPr="00487C30">
        <w:rPr>
          <w:rFonts w:ascii="Arial" w:eastAsia="Times New Roman" w:hAnsi="Arial" w:cs="Arial"/>
          <w:i/>
          <w:iCs/>
          <w:sz w:val="24"/>
          <w:szCs w:val="24"/>
        </w:rPr>
        <w:t>P</w:t>
      </w:r>
      <w:r w:rsidRPr="00487C30">
        <w:rPr>
          <w:rFonts w:ascii="Arial" w:eastAsia="Times New Roman" w:hAnsi="Arial" w:cs="Arial"/>
          <w:sz w:val="24"/>
          <w:szCs w:val="24"/>
        </w:rPr>
        <w:t xml:space="preserve">, and </w:t>
      </w:r>
      <w:r w:rsidRPr="00487C30">
        <w:rPr>
          <w:rFonts w:ascii="Arial" w:eastAsia="Times New Roman" w:hAnsi="Arial" w:cs="Arial"/>
          <w:i/>
          <w:iCs/>
          <w:sz w:val="24"/>
          <w:szCs w:val="24"/>
        </w:rPr>
        <w:t>d</w:t>
      </w:r>
      <w:r w:rsidRPr="00487C30">
        <w:rPr>
          <w:rFonts w:ascii="Arial" w:eastAsia="Times New Roman" w:hAnsi="Arial" w:cs="Arial"/>
          <w:sz w:val="24"/>
          <w:szCs w:val="24"/>
        </w:rPr>
        <w:t xml:space="preserve"> is the margin of error (0.05). This calculation yielded a minimum sample size of 96 participants, which was adopted for the study.</w:t>
      </w:r>
    </w:p>
    <w:p w14:paraId="3A22F4E2" w14:textId="05C4DE00" w:rsidR="00284FB7" w:rsidRPr="00487C30" w:rsidRDefault="002D59BA" w:rsidP="00284FB7">
      <w:pPr>
        <w:spacing w:before="100" w:beforeAutospacing="1" w:after="100" w:afterAutospacing="1" w:line="360" w:lineRule="auto"/>
        <w:jc w:val="both"/>
        <w:rPr>
          <w:rFonts w:ascii="Arial" w:eastAsia="Times New Roman" w:hAnsi="Arial" w:cs="Arial"/>
          <w:sz w:val="24"/>
          <w:szCs w:val="24"/>
        </w:rPr>
      </w:pPr>
      <w:r w:rsidRPr="00487C30">
        <w:rPr>
          <w:rFonts w:ascii="Arial" w:eastAsia="Times New Roman" w:hAnsi="Arial" w:cs="Arial"/>
          <w:sz w:val="24"/>
          <w:szCs w:val="24"/>
        </w:rPr>
        <w:t>Eligibility criteria included mothers or primary caregivers</w:t>
      </w:r>
      <w:r>
        <w:rPr>
          <w:rFonts w:ascii="Arial" w:eastAsia="Times New Roman" w:hAnsi="Arial" w:cs="Arial"/>
          <w:sz w:val="24"/>
          <w:szCs w:val="24"/>
        </w:rPr>
        <w:t xml:space="preserve"> </w:t>
      </w:r>
      <w:r w:rsidRPr="00796E3E">
        <w:rPr>
          <w:rFonts w:ascii="Arial" w:eastAsia="Times New Roman" w:hAnsi="Arial" w:cs="Arial"/>
          <w:sz w:val="24"/>
          <w:szCs w:val="24"/>
        </w:rPr>
        <w:t xml:space="preserve">(fathers or grandparents) </w:t>
      </w:r>
      <w:r>
        <w:rPr>
          <w:rFonts w:ascii="Arial" w:eastAsia="Times New Roman" w:hAnsi="Arial" w:cs="Arial"/>
          <w:sz w:val="24"/>
          <w:szCs w:val="24"/>
        </w:rPr>
        <w:t>of children younger than 5</w:t>
      </w:r>
      <w:r w:rsidRPr="00487C30">
        <w:rPr>
          <w:rFonts w:ascii="Arial" w:eastAsia="Times New Roman" w:hAnsi="Arial" w:cs="Arial"/>
          <w:sz w:val="24"/>
          <w:szCs w:val="24"/>
        </w:rPr>
        <w:t xml:space="preserve"> </w:t>
      </w:r>
      <w:r w:rsidRPr="007F04BB">
        <w:rPr>
          <w:rFonts w:ascii="Arial" w:eastAsia="Times New Roman" w:hAnsi="Arial" w:cs="Arial"/>
          <w:sz w:val="24"/>
          <w:szCs w:val="24"/>
          <w:highlight w:val="yellow"/>
        </w:rPr>
        <w:t xml:space="preserve">years </w:t>
      </w:r>
      <w:r>
        <w:rPr>
          <w:rFonts w:ascii="Arial" w:eastAsia="Times New Roman" w:hAnsi="Arial" w:cs="Arial"/>
          <w:color w:val="C00000"/>
          <w:sz w:val="24"/>
          <w:szCs w:val="24"/>
          <w:highlight w:val="yellow"/>
        </w:rPr>
        <w:t>attending the</w:t>
      </w:r>
      <w:r>
        <w:rPr>
          <w:rFonts w:ascii="Arial" w:eastAsia="Times New Roman" w:hAnsi="Arial" w:cs="Arial"/>
          <w:color w:val="C00000"/>
          <w:sz w:val="24"/>
          <w:szCs w:val="24"/>
          <w:highlight w:val="yellow"/>
        </w:rPr>
        <w:t xml:space="preserve"> </w:t>
      </w:r>
      <w:proofErr w:type="spellStart"/>
      <w:r>
        <w:rPr>
          <w:rFonts w:ascii="Arial" w:eastAsia="Times New Roman" w:hAnsi="Arial" w:cs="Arial"/>
          <w:color w:val="C00000"/>
          <w:sz w:val="24"/>
          <w:szCs w:val="24"/>
          <w:highlight w:val="yellow"/>
        </w:rPr>
        <w:t>p</w:t>
      </w:r>
      <w:r w:rsidR="00D622CD">
        <w:rPr>
          <w:rFonts w:ascii="Arial" w:eastAsia="Times New Roman" w:hAnsi="Arial" w:cs="Arial"/>
          <w:color w:val="C00000"/>
          <w:sz w:val="24"/>
          <w:szCs w:val="24"/>
          <w:highlight w:val="yellow"/>
        </w:rPr>
        <w:t>a</w:t>
      </w:r>
      <w:r>
        <w:rPr>
          <w:rFonts w:ascii="Arial" w:eastAsia="Times New Roman" w:hAnsi="Arial" w:cs="Arial"/>
          <w:color w:val="C00000"/>
          <w:sz w:val="24"/>
          <w:szCs w:val="24"/>
          <w:highlight w:val="yellow"/>
        </w:rPr>
        <w:t>ediatric</w:t>
      </w:r>
      <w:proofErr w:type="spellEnd"/>
      <w:r>
        <w:rPr>
          <w:rFonts w:ascii="Arial" w:eastAsia="Times New Roman" w:hAnsi="Arial" w:cs="Arial"/>
          <w:color w:val="C00000"/>
          <w:sz w:val="24"/>
          <w:szCs w:val="24"/>
          <w:highlight w:val="yellow"/>
        </w:rPr>
        <w:t xml:space="preserve"> </w:t>
      </w:r>
      <w:r w:rsidRPr="009002A0">
        <w:rPr>
          <w:rFonts w:ascii="Arial" w:eastAsia="Times New Roman" w:hAnsi="Arial" w:cs="Arial"/>
          <w:color w:val="C00000"/>
          <w:sz w:val="24"/>
          <w:szCs w:val="24"/>
          <w:highlight w:val="yellow"/>
        </w:rPr>
        <w:t>ward</w:t>
      </w:r>
      <w:r w:rsidRPr="00487C30">
        <w:rPr>
          <w:rFonts w:ascii="Arial" w:eastAsia="Times New Roman" w:hAnsi="Arial" w:cs="Arial"/>
          <w:sz w:val="24"/>
          <w:szCs w:val="24"/>
        </w:rPr>
        <w:t xml:space="preserve"> who were willing and able to provide informed consent. Caregivers of children aged </w:t>
      </w:r>
      <w:r>
        <w:rPr>
          <w:rFonts w:ascii="Arial" w:eastAsia="Times New Roman" w:hAnsi="Arial" w:cs="Arial"/>
          <w:sz w:val="24"/>
          <w:szCs w:val="24"/>
        </w:rPr>
        <w:t xml:space="preserve">5 years or older </w:t>
      </w:r>
      <w:r w:rsidR="00C75314">
        <w:rPr>
          <w:rFonts w:ascii="Arial" w:eastAsia="Times New Roman" w:hAnsi="Arial" w:cs="Arial"/>
          <w:sz w:val="24"/>
          <w:szCs w:val="24"/>
          <w:highlight w:val="yellow"/>
        </w:rPr>
        <w:t>attending the</w:t>
      </w:r>
      <w:r>
        <w:rPr>
          <w:rFonts w:ascii="Arial" w:eastAsia="Times New Roman" w:hAnsi="Arial" w:cs="Arial"/>
          <w:color w:val="C00000"/>
          <w:sz w:val="24"/>
          <w:szCs w:val="24"/>
          <w:highlight w:val="yellow"/>
        </w:rPr>
        <w:t xml:space="preserve"> </w:t>
      </w:r>
      <w:proofErr w:type="spellStart"/>
      <w:r>
        <w:rPr>
          <w:rFonts w:ascii="Arial" w:eastAsia="Times New Roman" w:hAnsi="Arial" w:cs="Arial"/>
          <w:color w:val="C00000"/>
          <w:sz w:val="24"/>
          <w:szCs w:val="24"/>
          <w:highlight w:val="yellow"/>
        </w:rPr>
        <w:t>p</w:t>
      </w:r>
      <w:r w:rsidR="00D622CD">
        <w:rPr>
          <w:rFonts w:ascii="Arial" w:eastAsia="Times New Roman" w:hAnsi="Arial" w:cs="Arial"/>
          <w:color w:val="C00000"/>
          <w:sz w:val="24"/>
          <w:szCs w:val="24"/>
          <w:highlight w:val="yellow"/>
        </w:rPr>
        <w:t>a</w:t>
      </w:r>
      <w:r>
        <w:rPr>
          <w:rFonts w:ascii="Arial" w:eastAsia="Times New Roman" w:hAnsi="Arial" w:cs="Arial"/>
          <w:color w:val="C00000"/>
          <w:sz w:val="24"/>
          <w:szCs w:val="24"/>
          <w:highlight w:val="yellow"/>
        </w:rPr>
        <w:t>ediatric</w:t>
      </w:r>
      <w:proofErr w:type="spellEnd"/>
      <w:r>
        <w:rPr>
          <w:rFonts w:ascii="Arial" w:eastAsia="Times New Roman" w:hAnsi="Arial" w:cs="Arial"/>
          <w:color w:val="C00000"/>
          <w:sz w:val="24"/>
          <w:szCs w:val="24"/>
          <w:highlight w:val="yellow"/>
        </w:rPr>
        <w:t xml:space="preserve"> </w:t>
      </w:r>
      <w:r w:rsidRPr="009002A0">
        <w:rPr>
          <w:rFonts w:ascii="Arial" w:eastAsia="Times New Roman" w:hAnsi="Arial" w:cs="Arial"/>
          <w:color w:val="C00000"/>
          <w:sz w:val="24"/>
          <w:szCs w:val="24"/>
          <w:highlight w:val="yellow"/>
        </w:rPr>
        <w:t>ward</w:t>
      </w:r>
      <w:r>
        <w:rPr>
          <w:rFonts w:ascii="Arial" w:eastAsia="Times New Roman" w:hAnsi="Arial" w:cs="Arial"/>
          <w:sz w:val="24"/>
          <w:szCs w:val="24"/>
        </w:rPr>
        <w:t>, and those unable or unwilling to provide informed consent due to language barriers or cognitive impairment,</w:t>
      </w:r>
      <w:r w:rsidRPr="00487C30">
        <w:rPr>
          <w:rFonts w:ascii="Arial" w:eastAsia="Times New Roman" w:hAnsi="Arial" w:cs="Arial"/>
          <w:sz w:val="24"/>
          <w:szCs w:val="24"/>
        </w:rPr>
        <w:t xml:space="preserve"> were excluded</w:t>
      </w:r>
      <w:r w:rsidR="00284FB7" w:rsidRPr="00487C30">
        <w:rPr>
          <w:rFonts w:ascii="Arial" w:eastAsia="Times New Roman" w:hAnsi="Arial" w:cs="Arial"/>
          <w:sz w:val="24"/>
          <w:szCs w:val="24"/>
        </w:rPr>
        <w:t xml:space="preserve">. Participants were recruited </w:t>
      </w:r>
      <w:r w:rsidR="00C75314">
        <w:rPr>
          <w:rFonts w:ascii="Arial" w:eastAsia="Times New Roman" w:hAnsi="Arial" w:cs="Arial"/>
          <w:sz w:val="24"/>
          <w:szCs w:val="24"/>
        </w:rPr>
        <w:t xml:space="preserve">via </w:t>
      </w:r>
      <w:r w:rsidR="00C75314">
        <w:rPr>
          <w:rFonts w:ascii="Arial" w:eastAsia="Times New Roman" w:hAnsi="Arial" w:cs="Arial"/>
          <w:sz w:val="24"/>
          <w:szCs w:val="24"/>
        </w:rPr>
        <w:lastRenderedPageBreak/>
        <w:t xml:space="preserve">convenience sampling: eligible caregivers who were readily accessible at the hospital and who </w:t>
      </w:r>
      <w:r w:rsidR="00284FB7" w:rsidRPr="00487C30">
        <w:rPr>
          <w:rFonts w:ascii="Arial" w:eastAsia="Times New Roman" w:hAnsi="Arial" w:cs="Arial"/>
          <w:sz w:val="24"/>
          <w:szCs w:val="24"/>
        </w:rPr>
        <w:t>consented to participate were enrolled.</w:t>
      </w:r>
    </w:p>
    <w:p w14:paraId="6A1960A9" w14:textId="3D204C76" w:rsidR="00284FB7" w:rsidRPr="00487C30" w:rsidRDefault="00284FB7" w:rsidP="00284FB7">
      <w:pPr>
        <w:spacing w:before="100" w:beforeAutospacing="1" w:after="100" w:afterAutospacing="1" w:line="360" w:lineRule="auto"/>
        <w:jc w:val="both"/>
        <w:rPr>
          <w:rFonts w:ascii="Arial" w:eastAsia="Times New Roman" w:hAnsi="Arial" w:cs="Arial"/>
          <w:sz w:val="24"/>
          <w:szCs w:val="24"/>
        </w:rPr>
      </w:pPr>
      <w:r w:rsidRPr="00487C30">
        <w:rPr>
          <w:rFonts w:ascii="Arial" w:eastAsia="Times New Roman" w:hAnsi="Arial" w:cs="Arial"/>
          <w:sz w:val="24"/>
          <w:szCs w:val="24"/>
        </w:rPr>
        <w:t>Data were collected using a structured</w:t>
      </w:r>
      <w:r>
        <w:rPr>
          <w:rFonts w:ascii="Arial" w:eastAsia="Times New Roman" w:hAnsi="Arial" w:cs="Arial"/>
          <w:sz w:val="24"/>
          <w:szCs w:val="24"/>
        </w:rPr>
        <w:t>,</w:t>
      </w:r>
      <w:r w:rsidRPr="00487C30">
        <w:rPr>
          <w:rFonts w:ascii="Arial" w:eastAsia="Times New Roman" w:hAnsi="Arial" w:cs="Arial"/>
          <w:sz w:val="24"/>
          <w:szCs w:val="24"/>
        </w:rPr>
        <w:t xml:space="preserve"> adapted questionnaire</w:t>
      </w:r>
      <w:r w:rsidR="00133CDC">
        <w:rPr>
          <w:rFonts w:ascii="Arial" w:eastAsia="Times New Roman" w:hAnsi="Arial" w:cs="Arial"/>
          <w:sz w:val="24"/>
          <w:szCs w:val="24"/>
        </w:rPr>
        <w:t xml:space="preserve"> </w:t>
      </w:r>
      <w:r w:rsidR="00133CDC">
        <w:rPr>
          <w:rFonts w:ascii="Arial" w:eastAsia="Times New Roman" w:hAnsi="Arial" w:cs="Arial"/>
          <w:sz w:val="24"/>
          <w:szCs w:val="24"/>
        </w:rPr>
        <w:fldChar w:fldCharType="begin" w:fldLock="1"/>
      </w:r>
      <w:r w:rsidR="002D59BA">
        <w:rPr>
          <w:rFonts w:ascii="Arial" w:eastAsia="Times New Roman" w:hAnsi="Arial" w:cs="Arial"/>
          <w:sz w:val="24"/>
          <w:szCs w:val="24"/>
        </w:rPr>
        <w:instrText>ADDIN CSL_CITATION {"citationItems":[{"id":"ITEM-1","itemData":{"author":[{"dropping-particle":"","family":"Niraula","given":"Dipesh Sharma","non-dropping-particle":"","parse-names":false,"suffix":""},{"dropping-particle":"","family":"Patil","given":"Harsha","non-dropping-particle":"","parse-names":false,"suffix":""},{"dropping-particle":"","family":"Rijal","given":"Nimananda","non-dropping-particle":"","parse-names":false,"suffix":""}],"id":"ITEM-1","issue":"2","issued":{"date-parts":[["2023"]]},"page":"1-6","title":"Malnutrition of Nursery schools ’ Children of Elite Secondary School of Birendranagar Malnutrition of Nursery schools ’ Children of Elite Secondary School of Birendranagar Municipality , Nepal","type":"article-journal"},"uris":["http://www.mendeley.com/documents/?uuid=b34ee6b5-e283-4897-83a8-b45eba742d98"]}],"mendeley":{"formattedCitation":"[18]","plainTextFormattedCitation":"[18]","previouslyFormattedCitation":"[18]"},"properties":{"noteIndex":0},"schema":"https://github.com/citation-style-language/schema/raw/master/csl-citation.json"}</w:instrText>
      </w:r>
      <w:r w:rsidR="00133CDC">
        <w:rPr>
          <w:rFonts w:ascii="Arial" w:eastAsia="Times New Roman" w:hAnsi="Arial" w:cs="Arial"/>
          <w:sz w:val="24"/>
          <w:szCs w:val="24"/>
        </w:rPr>
        <w:fldChar w:fldCharType="separate"/>
      </w:r>
      <w:r w:rsidR="002D59BA" w:rsidRPr="002D59BA">
        <w:rPr>
          <w:rFonts w:ascii="Arial" w:eastAsia="Times New Roman" w:hAnsi="Arial" w:cs="Arial"/>
          <w:noProof/>
          <w:sz w:val="24"/>
          <w:szCs w:val="24"/>
        </w:rPr>
        <w:t>[18]</w:t>
      </w:r>
      <w:r w:rsidR="00133CDC">
        <w:rPr>
          <w:rFonts w:ascii="Arial" w:eastAsia="Times New Roman" w:hAnsi="Arial" w:cs="Arial"/>
          <w:sz w:val="24"/>
          <w:szCs w:val="24"/>
        </w:rPr>
        <w:fldChar w:fldCharType="end"/>
      </w:r>
      <w:r w:rsidR="00133CDC">
        <w:rPr>
          <w:rFonts w:ascii="Arial" w:eastAsia="Times New Roman" w:hAnsi="Arial" w:cs="Arial"/>
          <w:sz w:val="24"/>
          <w:szCs w:val="24"/>
        </w:rPr>
        <w:fldChar w:fldCharType="begin" w:fldLock="1"/>
      </w:r>
      <w:r w:rsidR="002D59BA">
        <w:rPr>
          <w:rFonts w:ascii="Arial" w:eastAsia="Times New Roman" w:hAnsi="Arial" w:cs="Arial"/>
          <w:sz w:val="24"/>
          <w:szCs w:val="24"/>
        </w:rPr>
        <w:instrText>ADDIN CSL_CITATION {"citationItems":[{"id":"ITEM-1","itemData":{"DOI":"10.52403/ijhsr.20240939","abstract":"Background and Objective: In spite of the recognition of the impact of optimal Infant and Young Child Feeding (IYCF) practices and Child Survival Strategies (CSS) for child health, Nigeria still remains one of the five countries that account for about 50% of under-five mortality in the world. This study was therefore conducted to assess the knowledge and practice of mothers on child feeding practices and child survival strategies in Ibadan. Method: This descriptive cross-sectional study was done using a structured interviewer administered questionnaire to obtain information from 960 mothers of under-five children recruited from three Local Government Areas of Ibadan. Information was collected on mother’s socio-demographic characteristics, knowledge and practice of breastfeeding, complementary feeding, growth monitoring, oral rehydration therapy, immunization, food fortification, female education and vitamin A supplementation. Data analysis was done using SPSS version 21. Result: Majority of the mothers got information regarding child nutrition and care from hospitals (85.9%). 44.5% of respondents practiced exclusive breast feeding. Only 51.5% of mothers practiced the recommended age of complementary food introduction at 6 months. Of all respondents, 74.5% had an average knowledge, 19.5% had good knowledge and only 6.0% poor knowledge of IYCF while 39.7% had poor practice and 60.3% had good practice of IYCF. For CSS, 71.4% had average knowledge, 10.4% had good knowledge and 18.2% poor knowledge while 10.2% had poor practice and 89.8% had good practice of CSS. Conclusion: Knowledge of IYCF was higher than practice while level of practice of CSS was higher than its knowledge. Only education and source of information had a statistical significance with both IYCF and CSS. Although respondents demonstrated adequate practice of most of the components of CSS, there were gaps in knowledge, which was the direct opposite for IYCF. Also, the study reaffirms the importance of education and source of information in the knowledge and practice of IYCF and CSS. Key words: Child survival, Child Feeding, Mothers, Knowledge, Practice","author":[{"dropping-particle":"","family":"Muyide","given":"Abimbola Magret","non-dropping-particle":"","parse-names":false,"suffix":""},{"dropping-particle":"","family":"Sanusi","given":"Rasaki Ajani","non-dropping-particle":"","parse-names":false,"suffix":""}],"container-title":"International Journal of Health Sciences and Research","id":"ITEM-1","issue":"9","issued":{"date-parts":[["2024"]]},"page":"293-304","title":"Knowledge and Practice of Mothers on Child Feeding Practices and Child Survival Strategies in Ibadan","type":"article-journal","volume":"14"},"uris":["http://www.mendeley.com/documents/?uuid=371ef355-877f-4a02-b368-94be2c26cf06"]}],"mendeley":{"formattedCitation":"[19]","plainTextFormattedCitation":"[19]","previouslyFormattedCitation":"[19]"},"properties":{"noteIndex":0},"schema":"https://github.com/citation-style-language/schema/raw/master/csl-citation.json"}</w:instrText>
      </w:r>
      <w:r w:rsidR="00133CDC">
        <w:rPr>
          <w:rFonts w:ascii="Arial" w:eastAsia="Times New Roman" w:hAnsi="Arial" w:cs="Arial"/>
          <w:sz w:val="24"/>
          <w:szCs w:val="24"/>
        </w:rPr>
        <w:fldChar w:fldCharType="separate"/>
      </w:r>
      <w:r w:rsidR="002D59BA" w:rsidRPr="002D59BA">
        <w:rPr>
          <w:rFonts w:ascii="Arial" w:eastAsia="Times New Roman" w:hAnsi="Arial" w:cs="Arial"/>
          <w:noProof/>
          <w:sz w:val="24"/>
          <w:szCs w:val="24"/>
        </w:rPr>
        <w:t>[19]</w:t>
      </w:r>
      <w:r w:rsidR="00133CDC">
        <w:rPr>
          <w:rFonts w:ascii="Arial" w:eastAsia="Times New Roman" w:hAnsi="Arial" w:cs="Arial"/>
          <w:sz w:val="24"/>
          <w:szCs w:val="24"/>
        </w:rPr>
        <w:fldChar w:fldCharType="end"/>
      </w:r>
      <w:r>
        <w:rPr>
          <w:rFonts w:ascii="Arial" w:eastAsia="Times New Roman" w:hAnsi="Arial" w:cs="Arial"/>
          <w:sz w:val="24"/>
          <w:szCs w:val="24"/>
        </w:rPr>
        <w:t xml:space="preserve"> that captured information on maternal education, feeding practices, </w:t>
      </w:r>
      <w:r w:rsidR="0080734F">
        <w:rPr>
          <w:rFonts w:ascii="Arial" w:eastAsia="Times New Roman" w:hAnsi="Arial" w:cs="Arial"/>
          <w:sz w:val="24"/>
          <w:szCs w:val="24"/>
        </w:rPr>
        <w:t xml:space="preserve">socio-economic characteristics, </w:t>
      </w:r>
      <w:r w:rsidR="0080734F" w:rsidRPr="00C9733F">
        <w:rPr>
          <w:rFonts w:ascii="Arial" w:hAnsi="Arial" w:cs="Arial"/>
          <w:highlight w:val="yellow"/>
        </w:rPr>
        <w:t>barriers to child feeding and</w:t>
      </w:r>
      <w:r w:rsidR="0080734F">
        <w:rPr>
          <w:rFonts w:ascii="Arial" w:hAnsi="Arial" w:cs="Arial"/>
          <w:b/>
        </w:rPr>
        <w:t xml:space="preserve"> </w:t>
      </w:r>
      <w:r w:rsidR="0080734F">
        <w:rPr>
          <w:rFonts w:ascii="Arial" w:eastAsia="Times New Roman" w:hAnsi="Arial" w:cs="Arial"/>
          <w:sz w:val="24"/>
          <w:szCs w:val="24"/>
        </w:rPr>
        <w:t>the nutritional status of children under 5</w:t>
      </w:r>
      <w:r w:rsidR="0080734F" w:rsidRPr="00487C30">
        <w:rPr>
          <w:rFonts w:ascii="Arial" w:eastAsia="Times New Roman" w:hAnsi="Arial" w:cs="Arial"/>
          <w:sz w:val="24"/>
          <w:szCs w:val="24"/>
        </w:rPr>
        <w:t xml:space="preserve"> yea</w:t>
      </w:r>
      <w:r w:rsidR="0080734F">
        <w:rPr>
          <w:rFonts w:ascii="Arial" w:eastAsia="Times New Roman" w:hAnsi="Arial" w:cs="Arial"/>
          <w:sz w:val="24"/>
          <w:szCs w:val="24"/>
        </w:rPr>
        <w:t>rs</w:t>
      </w:r>
      <w:r w:rsidR="0080734F" w:rsidRPr="00B9382F">
        <w:rPr>
          <w:rFonts w:ascii="Arial" w:eastAsia="Times New Roman" w:hAnsi="Arial" w:cs="Arial"/>
          <w:color w:val="C00000"/>
          <w:sz w:val="24"/>
          <w:szCs w:val="24"/>
          <w:highlight w:val="yellow"/>
        </w:rPr>
        <w:t xml:space="preserve"> </w:t>
      </w:r>
      <w:r w:rsidR="00C75314">
        <w:rPr>
          <w:rFonts w:ascii="Arial" w:eastAsia="Times New Roman" w:hAnsi="Arial" w:cs="Arial"/>
          <w:sz w:val="24"/>
          <w:szCs w:val="24"/>
          <w:highlight w:val="yellow"/>
        </w:rPr>
        <w:t>attending the</w:t>
      </w:r>
      <w:r w:rsidR="0080734F">
        <w:rPr>
          <w:rFonts w:ascii="Arial" w:eastAsia="Times New Roman" w:hAnsi="Arial" w:cs="Arial"/>
          <w:color w:val="C00000"/>
          <w:sz w:val="24"/>
          <w:szCs w:val="24"/>
          <w:highlight w:val="yellow"/>
        </w:rPr>
        <w:t xml:space="preserve"> </w:t>
      </w:r>
      <w:proofErr w:type="spellStart"/>
      <w:r w:rsidR="00D622CD">
        <w:rPr>
          <w:rFonts w:ascii="Arial" w:eastAsia="Times New Roman" w:hAnsi="Arial" w:cs="Arial"/>
          <w:color w:val="C00000"/>
          <w:sz w:val="24"/>
          <w:szCs w:val="24"/>
          <w:highlight w:val="yellow"/>
        </w:rPr>
        <w:t>paediatrics</w:t>
      </w:r>
      <w:proofErr w:type="spellEnd"/>
      <w:r w:rsidR="0080734F">
        <w:rPr>
          <w:rFonts w:ascii="Arial" w:eastAsia="Times New Roman" w:hAnsi="Arial" w:cs="Arial"/>
          <w:color w:val="C00000"/>
          <w:sz w:val="24"/>
          <w:szCs w:val="24"/>
          <w:highlight w:val="yellow"/>
        </w:rPr>
        <w:t xml:space="preserve"> </w:t>
      </w:r>
      <w:r w:rsidR="00D622CD">
        <w:rPr>
          <w:rFonts w:ascii="Arial" w:eastAsia="Times New Roman" w:hAnsi="Arial" w:cs="Arial"/>
          <w:color w:val="C00000"/>
          <w:sz w:val="24"/>
          <w:szCs w:val="24"/>
        </w:rPr>
        <w:t>clinic</w:t>
      </w:r>
      <w:r w:rsidR="0080734F">
        <w:rPr>
          <w:rFonts w:ascii="Arial" w:eastAsia="Times New Roman" w:hAnsi="Arial" w:cs="Arial"/>
          <w:color w:val="C00000"/>
          <w:sz w:val="24"/>
          <w:szCs w:val="24"/>
        </w:rPr>
        <w:t>.</w:t>
      </w:r>
      <w:r w:rsidR="00AD467F">
        <w:rPr>
          <w:rFonts w:ascii="Arial" w:eastAsia="Times New Roman" w:hAnsi="Arial" w:cs="Arial"/>
          <w:sz w:val="24"/>
          <w:szCs w:val="24"/>
        </w:rPr>
        <w:t xml:space="preserve"> Data were entered and analyz</w:t>
      </w:r>
      <w:r w:rsidRPr="00487C30">
        <w:rPr>
          <w:rFonts w:ascii="Arial" w:eastAsia="Times New Roman" w:hAnsi="Arial" w:cs="Arial"/>
          <w:sz w:val="24"/>
          <w:szCs w:val="24"/>
        </w:rPr>
        <w:t xml:space="preserve">ed using SPSS version 23. Descriptive statistics, including frequencies, percentages, </w:t>
      </w:r>
      <w:r w:rsidR="00AD467F">
        <w:rPr>
          <w:rFonts w:ascii="Arial" w:eastAsia="Times New Roman" w:hAnsi="Arial" w:cs="Arial"/>
          <w:sz w:val="24"/>
          <w:szCs w:val="24"/>
        </w:rPr>
        <w:t>and means, were used to summariz</w:t>
      </w:r>
      <w:r w:rsidRPr="00487C30">
        <w:rPr>
          <w:rFonts w:ascii="Arial" w:eastAsia="Times New Roman" w:hAnsi="Arial" w:cs="Arial"/>
          <w:sz w:val="24"/>
          <w:szCs w:val="24"/>
        </w:rPr>
        <w:t>e participant characteristics and key variables. Inferential analyses, including chi-square tests and correlation analyses, were performed to assess associations between maternal education, feeding practices, socio-economic status, and childhood malnutrition.</w:t>
      </w:r>
    </w:p>
    <w:p w14:paraId="6A9E1613" w14:textId="77777777" w:rsidR="00284FB7" w:rsidRPr="00487C30" w:rsidRDefault="00284FB7" w:rsidP="00284FB7">
      <w:pPr>
        <w:spacing w:before="100" w:beforeAutospacing="1" w:after="100" w:afterAutospacing="1" w:line="360" w:lineRule="auto"/>
        <w:jc w:val="both"/>
        <w:rPr>
          <w:rFonts w:ascii="Arial" w:eastAsia="Times New Roman" w:hAnsi="Arial" w:cs="Arial"/>
          <w:sz w:val="24"/>
          <w:szCs w:val="24"/>
        </w:rPr>
      </w:pPr>
      <w:r>
        <w:rPr>
          <w:rFonts w:ascii="Arial" w:eastAsia="Times New Roman" w:hAnsi="Arial" w:cs="Arial"/>
          <w:sz w:val="24"/>
          <w:szCs w:val="24"/>
        </w:rPr>
        <w:t>Permission</w:t>
      </w:r>
      <w:r w:rsidRPr="00487C30">
        <w:rPr>
          <w:rFonts w:ascii="Arial" w:eastAsia="Times New Roman" w:hAnsi="Arial" w:cs="Arial"/>
          <w:sz w:val="24"/>
          <w:szCs w:val="24"/>
        </w:rPr>
        <w:t xml:space="preserve"> was obtained from the Research Committee of the School of Health and Medical Sciences</w:t>
      </w:r>
      <w:r w:rsidR="00AD467F">
        <w:rPr>
          <w:rFonts w:ascii="Arial" w:eastAsia="Times New Roman" w:hAnsi="Arial" w:cs="Arial"/>
          <w:sz w:val="24"/>
          <w:szCs w:val="24"/>
        </w:rPr>
        <w:t xml:space="preserve"> at the</w:t>
      </w:r>
      <w:r w:rsidRPr="00487C30">
        <w:rPr>
          <w:rFonts w:ascii="Arial" w:eastAsia="Times New Roman" w:hAnsi="Arial" w:cs="Arial"/>
          <w:sz w:val="24"/>
          <w:szCs w:val="24"/>
        </w:rPr>
        <w:t xml:space="preserve"> State University of Zanzibar, and ethical clearance was granted by the </w:t>
      </w:r>
      <w:r w:rsidRPr="00377AE6">
        <w:rPr>
          <w:rFonts w:ascii="Arial" w:eastAsia="Times New Roman" w:hAnsi="Arial" w:cs="Arial"/>
          <w:sz w:val="24"/>
          <w:szCs w:val="24"/>
        </w:rPr>
        <w:t>Zanzibar</w:t>
      </w:r>
      <w:r>
        <w:rPr>
          <w:rFonts w:ascii="Arial" w:eastAsia="Times New Roman" w:hAnsi="Arial" w:cs="Arial"/>
          <w:sz w:val="24"/>
          <w:szCs w:val="24"/>
        </w:rPr>
        <w:t xml:space="preserve"> Health and Research Institute.</w:t>
      </w:r>
      <w:r w:rsidRPr="00487C30">
        <w:rPr>
          <w:rFonts w:ascii="Arial" w:eastAsia="Times New Roman" w:hAnsi="Arial" w:cs="Arial"/>
          <w:b/>
          <w:color w:val="FF0000"/>
          <w:sz w:val="24"/>
          <w:szCs w:val="24"/>
        </w:rPr>
        <w:t xml:space="preserve"> </w:t>
      </w:r>
      <w:r w:rsidRPr="00487C30">
        <w:rPr>
          <w:rFonts w:ascii="Arial" w:eastAsia="Times New Roman" w:hAnsi="Arial" w:cs="Arial"/>
          <w:sz w:val="24"/>
          <w:szCs w:val="24"/>
        </w:rPr>
        <w:t>Confidentiality was ensured by excluding personal identifiers from the questionnaires. Participation was voluntary, and written informed consent was obtained from all participants prior to data collection.</w:t>
      </w:r>
    </w:p>
    <w:p w14:paraId="4DC1B935" w14:textId="77777777" w:rsidR="00284FB7" w:rsidRPr="00487C30" w:rsidRDefault="00284FB7" w:rsidP="00284FB7">
      <w:pPr>
        <w:spacing w:line="360" w:lineRule="auto"/>
        <w:jc w:val="both"/>
        <w:rPr>
          <w:rFonts w:ascii="Arial" w:hAnsi="Arial" w:cs="Arial"/>
          <w:b/>
          <w:sz w:val="24"/>
          <w:szCs w:val="24"/>
        </w:rPr>
      </w:pPr>
      <w:r w:rsidRPr="00487C30">
        <w:rPr>
          <w:rFonts w:ascii="Arial" w:hAnsi="Arial" w:cs="Arial"/>
          <w:b/>
          <w:sz w:val="24"/>
          <w:szCs w:val="24"/>
        </w:rPr>
        <w:t>Results</w:t>
      </w:r>
    </w:p>
    <w:p w14:paraId="1BEB0C15" w14:textId="77777777" w:rsidR="00284FB7" w:rsidRPr="00487C30" w:rsidRDefault="00284FB7" w:rsidP="00284FB7">
      <w:pPr>
        <w:pStyle w:val="NormalWeb"/>
        <w:spacing w:line="360" w:lineRule="auto"/>
        <w:jc w:val="both"/>
        <w:rPr>
          <w:rFonts w:ascii="Arial" w:hAnsi="Arial" w:cs="Arial"/>
        </w:rPr>
      </w:pPr>
      <w:r w:rsidRPr="00487C30">
        <w:rPr>
          <w:rFonts w:ascii="Arial" w:hAnsi="Arial" w:cs="Arial"/>
        </w:rPr>
        <w:t>Among the 96 children inclu</w:t>
      </w:r>
      <w:r w:rsidR="00AD467F">
        <w:rPr>
          <w:rFonts w:ascii="Arial" w:hAnsi="Arial" w:cs="Arial"/>
        </w:rPr>
        <w:t xml:space="preserve">ded in the study, 80 (83.3%) were reported as not malnourished, while 16 </w:t>
      </w:r>
      <w:r w:rsidRPr="00487C30">
        <w:rPr>
          <w:rFonts w:ascii="Arial" w:hAnsi="Arial" w:cs="Arial"/>
        </w:rPr>
        <w:t xml:space="preserve">(16.7%) were classified as </w:t>
      </w:r>
      <w:r w:rsidRPr="00487C30">
        <w:rPr>
          <w:rStyle w:val="Strong"/>
          <w:rFonts w:ascii="Arial" w:hAnsi="Arial" w:cs="Arial"/>
          <w:b w:val="0"/>
        </w:rPr>
        <w:t>malnourished</w:t>
      </w:r>
      <w:r w:rsidRPr="00487C30">
        <w:rPr>
          <w:rFonts w:ascii="Arial" w:hAnsi="Arial" w:cs="Arial"/>
        </w:rPr>
        <w:t xml:space="preserve">. This indicates that malnutrition affects a relatively small but significant proportion of the population attending </w:t>
      </w:r>
      <w:proofErr w:type="spellStart"/>
      <w:r w:rsidRPr="00487C30">
        <w:rPr>
          <w:rFonts w:ascii="Arial" w:hAnsi="Arial" w:cs="Arial"/>
        </w:rPr>
        <w:t>Ijitimai</w:t>
      </w:r>
      <w:proofErr w:type="spellEnd"/>
      <w:r w:rsidRPr="00487C30">
        <w:rPr>
          <w:rFonts w:ascii="Arial" w:hAnsi="Arial" w:cs="Arial"/>
        </w:rPr>
        <w:t xml:space="preserve"> District Hospital.</w:t>
      </w:r>
      <w:r w:rsidR="00AD467F">
        <w:rPr>
          <w:rFonts w:ascii="Arial" w:hAnsi="Arial" w:cs="Arial"/>
        </w:rPr>
        <w:t xml:space="preserve"> </w:t>
      </w:r>
      <w:r>
        <w:rPr>
          <w:rFonts w:ascii="Arial" w:hAnsi="Arial" w:cs="Arial"/>
        </w:rPr>
        <w:t>Among the types of malnutrition, underweight was the most common, affecting 9 children (9.4%), followed by wasting (low weight-for-height) in 5 children (5.2%)</w:t>
      </w:r>
      <w:r w:rsidRPr="00487C30">
        <w:rPr>
          <w:rFonts w:ascii="Arial" w:hAnsi="Arial" w:cs="Arial"/>
        </w:rPr>
        <w:t xml:space="preserve"> and </w:t>
      </w:r>
      <w:r w:rsidRPr="00487C30">
        <w:rPr>
          <w:rStyle w:val="Strong"/>
          <w:rFonts w:ascii="Arial" w:hAnsi="Arial" w:cs="Arial"/>
          <w:b w:val="0"/>
        </w:rPr>
        <w:t>stunting</w:t>
      </w:r>
      <w:r w:rsidRPr="00487C30">
        <w:rPr>
          <w:rFonts w:ascii="Arial" w:hAnsi="Arial" w:cs="Arial"/>
        </w:rPr>
        <w:t xml:space="preserve"> (low height-</w:t>
      </w:r>
      <w:r w:rsidR="00AD467F">
        <w:rPr>
          <w:rFonts w:ascii="Arial" w:hAnsi="Arial" w:cs="Arial"/>
        </w:rPr>
        <w:t>for-age) in 2 children (2.1%). The large proportion of cases (80, 83.3%) classified as not malnourished indicates</w:t>
      </w:r>
      <w:r w:rsidRPr="00487C30">
        <w:rPr>
          <w:rFonts w:ascii="Arial" w:hAnsi="Arial" w:cs="Arial"/>
        </w:rPr>
        <w:t xml:space="preserve"> either that the caregiver was unaware of the child’s nutritional status or that these children did not meet criteria for malnutrition.</w:t>
      </w:r>
    </w:p>
    <w:p w14:paraId="233B55B3" w14:textId="77777777" w:rsidR="00284FB7" w:rsidRDefault="00284FB7" w:rsidP="00284FB7">
      <w:pPr>
        <w:pStyle w:val="NormalWeb"/>
        <w:spacing w:line="360" w:lineRule="auto"/>
        <w:jc w:val="both"/>
        <w:rPr>
          <w:rFonts w:ascii="Arial" w:hAnsi="Arial" w:cs="Arial"/>
        </w:rPr>
      </w:pPr>
      <w:r>
        <w:rPr>
          <w:rFonts w:ascii="Arial" w:hAnsi="Arial" w:cs="Arial"/>
        </w:rPr>
        <w:br/>
        <w:t xml:space="preserve">These results indicate that underweight and wasting are the predominant forms of malnutrition in this setting, whereas stunting appears less common. The relatively low </w:t>
      </w:r>
      <w:r>
        <w:rPr>
          <w:rFonts w:ascii="Arial" w:hAnsi="Arial" w:cs="Arial"/>
        </w:rPr>
        <w:lastRenderedPageBreak/>
        <w:t xml:space="preserve">prevalence of malnutrition (16.7%) may reflect either successful health and nutrition interventions in the area or under-detection due to reliance on caregiver reporting. </w:t>
      </w:r>
    </w:p>
    <w:p w14:paraId="36538639" w14:textId="77777777" w:rsidR="00284FB7" w:rsidRPr="00487C30" w:rsidRDefault="00284FB7" w:rsidP="00284FB7">
      <w:pPr>
        <w:pStyle w:val="NormalWeb"/>
        <w:spacing w:line="360" w:lineRule="auto"/>
        <w:rPr>
          <w:rFonts w:ascii="Arial" w:hAnsi="Arial" w:cs="Arial"/>
          <w:b/>
        </w:rPr>
      </w:pPr>
      <w:r>
        <w:rPr>
          <w:rFonts w:ascii="Arial" w:hAnsi="Arial" w:cs="Arial"/>
          <w:b/>
        </w:rPr>
        <w:t>Figure 1: Frequency</w:t>
      </w:r>
      <w:r w:rsidRPr="00487C30">
        <w:rPr>
          <w:rFonts w:ascii="Arial" w:hAnsi="Arial" w:cs="Arial"/>
          <w:b/>
        </w:rPr>
        <w:t xml:space="preserve"> of malnutrition in </w:t>
      </w:r>
      <w:r>
        <w:rPr>
          <w:rFonts w:ascii="Arial" w:hAnsi="Arial" w:cs="Arial"/>
          <w:b/>
        </w:rPr>
        <w:t>children</w:t>
      </w:r>
      <w:r w:rsidRPr="00487C30">
        <w:rPr>
          <w:rFonts w:ascii="Arial" w:hAnsi="Arial" w:cs="Arial"/>
          <w:b/>
        </w:rPr>
        <w:t xml:space="preserve"> under 5 years at </w:t>
      </w:r>
      <w:proofErr w:type="spellStart"/>
      <w:r w:rsidRPr="00487C30">
        <w:rPr>
          <w:rFonts w:ascii="Arial" w:hAnsi="Arial" w:cs="Arial"/>
          <w:b/>
        </w:rPr>
        <w:t>Jitimai</w:t>
      </w:r>
      <w:proofErr w:type="spellEnd"/>
      <w:r w:rsidRPr="00487C30">
        <w:rPr>
          <w:rFonts w:ascii="Arial" w:hAnsi="Arial" w:cs="Arial"/>
          <w:b/>
        </w:rPr>
        <w:t xml:space="preserve"> </w:t>
      </w:r>
      <w:r>
        <w:rPr>
          <w:rFonts w:ascii="Arial" w:hAnsi="Arial" w:cs="Arial"/>
          <w:b/>
        </w:rPr>
        <w:t>District</w:t>
      </w:r>
      <w:r w:rsidRPr="00487C30">
        <w:rPr>
          <w:rFonts w:ascii="Arial" w:hAnsi="Arial" w:cs="Arial"/>
          <w:b/>
        </w:rPr>
        <w:t xml:space="preserve"> Hospital, Zanzibar </w:t>
      </w:r>
    </w:p>
    <w:p w14:paraId="3D511C83" w14:textId="77777777" w:rsidR="00284FB7" w:rsidRPr="00487C30" w:rsidRDefault="00284FB7" w:rsidP="00284FB7">
      <w:pPr>
        <w:pStyle w:val="NormalWeb"/>
        <w:spacing w:line="360" w:lineRule="auto"/>
        <w:rPr>
          <w:rFonts w:ascii="Arial" w:hAnsi="Arial" w:cs="Arial"/>
        </w:rPr>
      </w:pPr>
      <w:r w:rsidRPr="003B00B2">
        <w:rPr>
          <w:noProof/>
        </w:rPr>
        <w:drawing>
          <wp:inline distT="0" distB="0" distL="0" distR="0" wp14:anchorId="6EBD0392" wp14:editId="643EDA1E">
            <wp:extent cx="5779770" cy="3907790"/>
            <wp:effectExtent l="0" t="0" r="11430" b="16510"/>
            <wp:docPr id="3"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BBFA554" w14:textId="77777777" w:rsidR="00284FB7" w:rsidRPr="00487C30" w:rsidRDefault="00284FB7" w:rsidP="00284FB7">
      <w:pPr>
        <w:pStyle w:val="NormalWeb"/>
        <w:spacing w:line="360" w:lineRule="auto"/>
        <w:rPr>
          <w:rFonts w:ascii="Arial" w:hAnsi="Arial" w:cs="Arial"/>
        </w:rPr>
      </w:pPr>
    </w:p>
    <w:p w14:paraId="32367C41" w14:textId="77777777" w:rsidR="00284FB7" w:rsidRPr="00487C30" w:rsidRDefault="00284FB7" w:rsidP="00284FB7">
      <w:pPr>
        <w:pStyle w:val="NormalWeb"/>
        <w:spacing w:line="360" w:lineRule="auto"/>
        <w:rPr>
          <w:rFonts w:ascii="Arial" w:hAnsi="Arial" w:cs="Arial"/>
        </w:rPr>
      </w:pPr>
      <w:r w:rsidRPr="00487C30">
        <w:rPr>
          <w:rFonts w:ascii="Arial" w:hAnsi="Arial" w:cs="Arial"/>
        </w:rPr>
        <w:t>Factors associated with the type of malnutrition</w:t>
      </w:r>
    </w:p>
    <w:p w14:paraId="6F49A373" w14:textId="77777777" w:rsidR="00284FB7" w:rsidRPr="00487C30" w:rsidRDefault="00284FB7" w:rsidP="00284FB7">
      <w:pPr>
        <w:pStyle w:val="NormalWeb"/>
        <w:spacing w:line="360" w:lineRule="auto"/>
        <w:jc w:val="both"/>
        <w:rPr>
          <w:rFonts w:ascii="Arial" w:hAnsi="Arial" w:cs="Arial"/>
        </w:rPr>
      </w:pPr>
      <w:r w:rsidRPr="00487C30">
        <w:rPr>
          <w:rFonts w:ascii="Arial" w:hAnsi="Arial" w:cs="Arial"/>
        </w:rPr>
        <w:t xml:space="preserve">No statistically significant associations were observed between child malnutrition and receipt of nutrition education, source of nutrition information, timing of complementary feeding initiation, breastfeeding frequency, meal frequency, health-seeking </w:t>
      </w:r>
      <w:proofErr w:type="spellStart"/>
      <w:r>
        <w:rPr>
          <w:rFonts w:ascii="Arial" w:hAnsi="Arial" w:cs="Arial"/>
        </w:rPr>
        <w:t>behaviour</w:t>
      </w:r>
      <w:proofErr w:type="spellEnd"/>
      <w:r w:rsidRPr="00487C30">
        <w:rPr>
          <w:rFonts w:ascii="Arial" w:hAnsi="Arial" w:cs="Arial"/>
        </w:rPr>
        <w:t xml:space="preserve">, perceived feeding challenges, interest in nutrition training, or receipt of formal nutrition management training (all </w:t>
      </w:r>
      <w:r w:rsidRPr="00487C30">
        <w:rPr>
          <w:rStyle w:val="Emphasis"/>
          <w:rFonts w:ascii="Arial" w:hAnsi="Arial" w:cs="Arial"/>
        </w:rPr>
        <w:t>p</w:t>
      </w:r>
      <w:r w:rsidRPr="00487C30">
        <w:rPr>
          <w:rFonts w:ascii="Arial" w:hAnsi="Arial" w:cs="Arial"/>
        </w:rPr>
        <w:t xml:space="preserve"> &gt; 0.05). These findings suggest that, within this sample, </w:t>
      </w:r>
      <w:r w:rsidRPr="00487C30">
        <w:rPr>
          <w:rFonts w:ascii="Arial" w:hAnsi="Arial" w:cs="Arial"/>
        </w:rPr>
        <w:lastRenderedPageBreak/>
        <w:t>knowledge-based indicators and reported caregiving practices were not independently associated with nutritional status.</w:t>
      </w:r>
    </w:p>
    <w:p w14:paraId="77106ACF" w14:textId="77777777" w:rsidR="00284FB7" w:rsidRPr="00487C30" w:rsidRDefault="00284FB7" w:rsidP="00284FB7">
      <w:pPr>
        <w:pStyle w:val="NormalWeb"/>
        <w:spacing w:line="360" w:lineRule="auto"/>
        <w:jc w:val="both"/>
        <w:rPr>
          <w:rFonts w:ascii="Arial" w:hAnsi="Arial" w:cs="Arial"/>
        </w:rPr>
      </w:pPr>
      <w:r w:rsidRPr="00487C30">
        <w:rPr>
          <w:rFonts w:ascii="Arial" w:hAnsi="Arial" w:cs="Arial"/>
        </w:rPr>
        <w:t xml:space="preserve">In contrast, </w:t>
      </w:r>
      <w:r w:rsidRPr="00487C30">
        <w:rPr>
          <w:rStyle w:val="Strong"/>
          <w:rFonts w:ascii="Arial" w:hAnsi="Arial" w:cs="Arial"/>
          <w:b w:val="0"/>
        </w:rPr>
        <w:t>the type of complementary food provided was strongly associated with malnutrition</w:t>
      </w:r>
      <w:r w:rsidRPr="00487C30">
        <w:rPr>
          <w:rFonts w:ascii="Arial" w:hAnsi="Arial" w:cs="Arial"/>
          <w:b/>
        </w:rPr>
        <w:t xml:space="preserve"> </w:t>
      </w:r>
      <w:r w:rsidRPr="00487C30">
        <w:rPr>
          <w:rFonts w:ascii="Arial" w:hAnsi="Arial" w:cs="Arial"/>
        </w:rPr>
        <w:t xml:space="preserve">(χ² = 34.46; </w:t>
      </w:r>
      <w:r w:rsidRPr="00487C30">
        <w:rPr>
          <w:rStyle w:val="Emphasis"/>
          <w:rFonts w:ascii="Arial" w:hAnsi="Arial" w:cs="Arial"/>
        </w:rPr>
        <w:t>p</w:t>
      </w:r>
      <w:r w:rsidRPr="00487C30">
        <w:rPr>
          <w:rFonts w:ascii="Arial" w:hAnsi="Arial" w:cs="Arial"/>
        </w:rPr>
        <w:t xml:space="preserve"> &lt; 0.001; likelihood ratio </w:t>
      </w:r>
      <w:r w:rsidRPr="00487C30">
        <w:rPr>
          <w:rStyle w:val="Emphasis"/>
          <w:rFonts w:ascii="Arial" w:hAnsi="Arial" w:cs="Arial"/>
        </w:rPr>
        <w:t>p</w:t>
      </w:r>
      <w:r w:rsidRPr="00487C30">
        <w:rPr>
          <w:rFonts w:ascii="Arial" w:hAnsi="Arial" w:cs="Arial"/>
        </w:rPr>
        <w:t xml:space="preserve"> &lt; 0.001). Children receiving less diverse or nutritionally inadequate complementary diets were more likely to be underweight or wasted, indicating the central role of dietary quality in determining nutritional outcomes. Knowledge of the recommended duration of exclusive breastfeeding showed a borderline association by Pearson’s chi-square (</w:t>
      </w:r>
      <w:r w:rsidRPr="00487C30">
        <w:rPr>
          <w:rStyle w:val="Emphasis"/>
          <w:rFonts w:ascii="Arial" w:hAnsi="Arial" w:cs="Arial"/>
        </w:rPr>
        <w:t>p</w:t>
      </w:r>
      <w:r w:rsidRPr="00487C30">
        <w:rPr>
          <w:rFonts w:ascii="Arial" w:hAnsi="Arial" w:cs="Arial"/>
        </w:rPr>
        <w:t xml:space="preserve"> = 0.097) and reached statistical significance using the likelihood ratio test (</w:t>
      </w:r>
      <w:r w:rsidRPr="00487C30">
        <w:rPr>
          <w:rStyle w:val="Emphasis"/>
          <w:rFonts w:ascii="Arial" w:hAnsi="Arial" w:cs="Arial"/>
        </w:rPr>
        <w:t>p</w:t>
      </w:r>
      <w:r w:rsidRPr="00487C30">
        <w:rPr>
          <w:rFonts w:ascii="Arial" w:hAnsi="Arial" w:cs="Arial"/>
        </w:rPr>
        <w:t xml:space="preserve"> = 0.016), suggesting a potential relationship that may be sensitive to sparse cell counts.</w:t>
      </w:r>
    </w:p>
    <w:p w14:paraId="4BDE871A" w14:textId="77777777" w:rsidR="00284FB7" w:rsidRPr="00487C30" w:rsidRDefault="00284FB7" w:rsidP="00284FB7">
      <w:pPr>
        <w:pStyle w:val="NormalWeb"/>
        <w:spacing w:line="360" w:lineRule="auto"/>
        <w:jc w:val="both"/>
        <w:rPr>
          <w:rFonts w:ascii="Arial" w:hAnsi="Arial" w:cs="Arial"/>
        </w:rPr>
      </w:pPr>
      <w:r w:rsidRPr="00487C30">
        <w:rPr>
          <w:rFonts w:ascii="Arial" w:hAnsi="Arial" w:cs="Arial"/>
        </w:rPr>
        <w:t xml:space="preserve">A </w:t>
      </w:r>
      <w:r w:rsidRPr="00487C30">
        <w:rPr>
          <w:rStyle w:val="Strong"/>
          <w:rFonts w:ascii="Arial" w:hAnsi="Arial" w:cs="Arial"/>
          <w:b w:val="0"/>
        </w:rPr>
        <w:t>highly significant association was observed between a previous diagnosis of malnutrition and current nutritional status</w:t>
      </w:r>
      <w:r w:rsidRPr="00487C30">
        <w:rPr>
          <w:rFonts w:ascii="Arial" w:hAnsi="Arial" w:cs="Arial"/>
        </w:rPr>
        <w:t xml:space="preserve"> (χ² = 42.91; </w:t>
      </w:r>
      <w:r w:rsidRPr="00487C30">
        <w:rPr>
          <w:rStyle w:val="Emphasis"/>
          <w:rFonts w:ascii="Arial" w:hAnsi="Arial" w:cs="Arial"/>
        </w:rPr>
        <w:t>p</w:t>
      </w:r>
      <w:r w:rsidRPr="00487C30">
        <w:rPr>
          <w:rFonts w:ascii="Arial" w:hAnsi="Arial" w:cs="Arial"/>
        </w:rPr>
        <w:t xml:space="preserve"> &lt; 0.001; likelihood ratio </w:t>
      </w:r>
      <w:r w:rsidRPr="00487C30">
        <w:rPr>
          <w:rStyle w:val="Emphasis"/>
          <w:rFonts w:ascii="Arial" w:hAnsi="Arial" w:cs="Arial"/>
        </w:rPr>
        <w:t>p</w:t>
      </w:r>
      <w:r w:rsidRPr="00487C30">
        <w:rPr>
          <w:rFonts w:ascii="Arial" w:hAnsi="Arial" w:cs="Arial"/>
        </w:rPr>
        <w:t xml:space="preserve"> &lt; 0.001). Children with a history of malnutrition were substantially more likely to present with ongoing undernutrition, underscoring the persistence and recurrence of malnutrition in early childhood.</w:t>
      </w:r>
    </w:p>
    <w:p w14:paraId="32F1CCAF" w14:textId="3E3B26A3" w:rsidR="00284FB7" w:rsidRPr="00487C30" w:rsidRDefault="00284FB7" w:rsidP="00284FB7">
      <w:pPr>
        <w:pStyle w:val="NormalWeb"/>
        <w:spacing w:line="360" w:lineRule="auto"/>
        <w:rPr>
          <w:rFonts w:ascii="Arial" w:hAnsi="Arial" w:cs="Arial"/>
          <w:b/>
        </w:rPr>
      </w:pPr>
      <w:r w:rsidRPr="00487C30">
        <w:rPr>
          <w:rFonts w:ascii="Arial" w:hAnsi="Arial" w:cs="Arial"/>
          <w:b/>
        </w:rPr>
        <w:t>Table 1</w:t>
      </w:r>
      <w:r>
        <w:rPr>
          <w:rFonts w:ascii="Arial" w:hAnsi="Arial" w:cs="Arial"/>
          <w:b/>
        </w:rPr>
        <w:t>:</w:t>
      </w:r>
      <w:r w:rsidRPr="00487C30">
        <w:rPr>
          <w:rFonts w:ascii="Arial" w:hAnsi="Arial" w:cs="Arial"/>
          <w:b/>
        </w:rPr>
        <w:t xml:space="preserve"> Factors associated with the type of malnutrition </w:t>
      </w:r>
      <w:r w:rsidR="00C75314">
        <w:rPr>
          <w:rFonts w:ascii="Arial" w:hAnsi="Arial" w:cs="Arial"/>
          <w:b/>
        </w:rPr>
        <w:t xml:space="preserve">in </w:t>
      </w:r>
      <w:r w:rsidR="0080734F" w:rsidRPr="00B9382F">
        <w:rPr>
          <w:rFonts w:ascii="Arial" w:hAnsi="Arial" w:cs="Arial"/>
          <w:b/>
          <w:highlight w:val="yellow"/>
        </w:rPr>
        <w:t>children under 5 years</w:t>
      </w:r>
      <w:r w:rsidR="0080734F" w:rsidRPr="00487C30">
        <w:rPr>
          <w:rFonts w:ascii="Arial" w:hAnsi="Arial" w:cs="Arial"/>
          <w:b/>
        </w:rPr>
        <w:t xml:space="preserve"> </w:t>
      </w:r>
      <w:r w:rsidRPr="00487C30">
        <w:rPr>
          <w:rFonts w:ascii="Arial" w:hAnsi="Arial" w:cs="Arial"/>
          <w:b/>
        </w:rPr>
        <w:t xml:space="preserve">at </w:t>
      </w:r>
      <w:proofErr w:type="spellStart"/>
      <w:r w:rsidRPr="00487C30">
        <w:rPr>
          <w:rFonts w:ascii="Arial" w:hAnsi="Arial" w:cs="Arial"/>
          <w:b/>
        </w:rPr>
        <w:t>Jitimai</w:t>
      </w:r>
      <w:proofErr w:type="spellEnd"/>
      <w:r w:rsidRPr="00487C30">
        <w:rPr>
          <w:rFonts w:ascii="Arial" w:hAnsi="Arial" w:cs="Arial"/>
          <w:b/>
        </w:rPr>
        <w:t xml:space="preserve"> </w:t>
      </w:r>
      <w:r>
        <w:rPr>
          <w:rFonts w:ascii="Arial" w:hAnsi="Arial" w:cs="Arial"/>
          <w:b/>
        </w:rPr>
        <w:t>District</w:t>
      </w:r>
      <w:r w:rsidRPr="00487C30">
        <w:rPr>
          <w:rFonts w:ascii="Arial" w:hAnsi="Arial" w:cs="Arial"/>
          <w:b/>
        </w:rPr>
        <w:t xml:space="preserve"> Hospital, Zanzibar </w:t>
      </w:r>
    </w:p>
    <w:p w14:paraId="0146200F" w14:textId="77777777" w:rsidR="00284FB7" w:rsidRPr="00487C30" w:rsidRDefault="00284FB7" w:rsidP="00284FB7">
      <w:pPr>
        <w:spacing w:line="360" w:lineRule="auto"/>
        <w:rPr>
          <w:rFonts w:ascii="Arial" w:hAnsi="Arial" w:cs="Arial"/>
          <w:sz w:val="24"/>
          <w:szCs w:val="24"/>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35"/>
        <w:gridCol w:w="1054"/>
        <w:gridCol w:w="1032"/>
        <w:gridCol w:w="1206"/>
        <w:gridCol w:w="1343"/>
        <w:gridCol w:w="1780"/>
      </w:tblGrid>
      <w:tr w:rsidR="00284FB7" w:rsidRPr="00487C30" w14:paraId="502A4120" w14:textId="77777777" w:rsidTr="00BC66C9">
        <w:trPr>
          <w:tblHeader/>
          <w:tblCellSpacing w:w="15" w:type="dxa"/>
        </w:trPr>
        <w:tc>
          <w:tcPr>
            <w:tcW w:w="2890" w:type="dxa"/>
            <w:vAlign w:val="center"/>
            <w:hideMark/>
          </w:tcPr>
          <w:p w14:paraId="7A4881B0" w14:textId="77777777" w:rsidR="00284FB7" w:rsidRPr="00487C30" w:rsidRDefault="00284FB7" w:rsidP="00BC66C9">
            <w:pPr>
              <w:spacing w:line="360" w:lineRule="auto"/>
              <w:jc w:val="center"/>
              <w:rPr>
                <w:rFonts w:ascii="Arial" w:hAnsi="Arial" w:cs="Arial"/>
                <w:b/>
                <w:bCs/>
                <w:sz w:val="24"/>
                <w:szCs w:val="24"/>
              </w:rPr>
            </w:pPr>
            <w:r w:rsidRPr="00487C30">
              <w:rPr>
                <w:rFonts w:ascii="Arial" w:hAnsi="Arial" w:cs="Arial"/>
                <w:b/>
                <w:bCs/>
                <w:sz w:val="24"/>
                <w:szCs w:val="24"/>
              </w:rPr>
              <w:t>Factors associated with malnutrition</w:t>
            </w:r>
          </w:p>
        </w:tc>
        <w:tc>
          <w:tcPr>
            <w:tcW w:w="985" w:type="dxa"/>
            <w:vAlign w:val="center"/>
            <w:hideMark/>
          </w:tcPr>
          <w:p w14:paraId="4AA43D84" w14:textId="77777777" w:rsidR="00284FB7" w:rsidRPr="00487C30" w:rsidRDefault="00284FB7" w:rsidP="00BC66C9">
            <w:pPr>
              <w:spacing w:line="360" w:lineRule="auto"/>
              <w:jc w:val="center"/>
              <w:rPr>
                <w:rFonts w:ascii="Arial" w:hAnsi="Arial" w:cs="Arial"/>
                <w:b/>
                <w:bCs/>
                <w:sz w:val="24"/>
                <w:szCs w:val="24"/>
              </w:rPr>
            </w:pPr>
            <w:r w:rsidRPr="00487C30">
              <w:rPr>
                <w:rFonts w:ascii="Arial" w:hAnsi="Arial" w:cs="Arial"/>
                <w:b/>
                <w:bCs/>
                <w:sz w:val="24"/>
                <w:szCs w:val="24"/>
              </w:rPr>
              <w:t>Stunting n (%)</w:t>
            </w:r>
          </w:p>
        </w:tc>
        <w:tc>
          <w:tcPr>
            <w:tcW w:w="0" w:type="auto"/>
            <w:vAlign w:val="center"/>
            <w:hideMark/>
          </w:tcPr>
          <w:p w14:paraId="19D8CAA5" w14:textId="77777777" w:rsidR="00284FB7" w:rsidRPr="00487C30" w:rsidRDefault="00284FB7" w:rsidP="00BC66C9">
            <w:pPr>
              <w:spacing w:line="360" w:lineRule="auto"/>
              <w:jc w:val="center"/>
              <w:rPr>
                <w:rFonts w:ascii="Arial" w:hAnsi="Arial" w:cs="Arial"/>
                <w:b/>
                <w:bCs/>
                <w:sz w:val="24"/>
                <w:szCs w:val="24"/>
              </w:rPr>
            </w:pPr>
            <w:r w:rsidRPr="00487C30">
              <w:rPr>
                <w:rFonts w:ascii="Arial" w:hAnsi="Arial" w:cs="Arial"/>
                <w:b/>
                <w:bCs/>
                <w:sz w:val="24"/>
                <w:szCs w:val="24"/>
              </w:rPr>
              <w:t>Under</w:t>
            </w:r>
          </w:p>
          <w:p w14:paraId="2CE2DFAE" w14:textId="77777777" w:rsidR="00284FB7" w:rsidRPr="00487C30" w:rsidRDefault="00284FB7" w:rsidP="00BC66C9">
            <w:pPr>
              <w:spacing w:line="360" w:lineRule="auto"/>
              <w:jc w:val="center"/>
              <w:rPr>
                <w:rFonts w:ascii="Arial" w:hAnsi="Arial" w:cs="Arial"/>
                <w:b/>
                <w:bCs/>
                <w:sz w:val="24"/>
                <w:szCs w:val="24"/>
              </w:rPr>
            </w:pPr>
            <w:r w:rsidRPr="00487C30">
              <w:rPr>
                <w:rFonts w:ascii="Arial" w:hAnsi="Arial" w:cs="Arial"/>
                <w:b/>
                <w:bCs/>
                <w:sz w:val="24"/>
                <w:szCs w:val="24"/>
              </w:rPr>
              <w:t>weight n (%)</w:t>
            </w:r>
          </w:p>
        </w:tc>
        <w:tc>
          <w:tcPr>
            <w:tcW w:w="0" w:type="auto"/>
            <w:vAlign w:val="center"/>
            <w:hideMark/>
          </w:tcPr>
          <w:p w14:paraId="16ABD17B" w14:textId="77777777" w:rsidR="00284FB7" w:rsidRPr="00487C30" w:rsidRDefault="00284FB7" w:rsidP="00BC66C9">
            <w:pPr>
              <w:spacing w:line="360" w:lineRule="auto"/>
              <w:jc w:val="center"/>
              <w:rPr>
                <w:rFonts w:ascii="Arial" w:hAnsi="Arial" w:cs="Arial"/>
                <w:b/>
                <w:bCs/>
                <w:sz w:val="24"/>
                <w:szCs w:val="24"/>
              </w:rPr>
            </w:pPr>
            <w:r w:rsidRPr="00487C30">
              <w:rPr>
                <w:rFonts w:ascii="Arial" w:hAnsi="Arial" w:cs="Arial"/>
                <w:b/>
                <w:bCs/>
                <w:sz w:val="24"/>
                <w:szCs w:val="24"/>
              </w:rPr>
              <w:t>Wasting n (%)</w:t>
            </w:r>
          </w:p>
        </w:tc>
        <w:tc>
          <w:tcPr>
            <w:tcW w:w="0" w:type="auto"/>
            <w:vAlign w:val="center"/>
            <w:hideMark/>
          </w:tcPr>
          <w:p w14:paraId="58902929" w14:textId="77777777" w:rsidR="00284FB7" w:rsidRPr="00487C30" w:rsidRDefault="00284FB7" w:rsidP="00BC66C9">
            <w:pPr>
              <w:spacing w:line="360" w:lineRule="auto"/>
              <w:jc w:val="center"/>
              <w:rPr>
                <w:rFonts w:ascii="Arial" w:hAnsi="Arial" w:cs="Arial"/>
                <w:b/>
                <w:bCs/>
                <w:sz w:val="24"/>
                <w:szCs w:val="24"/>
              </w:rPr>
            </w:pPr>
            <w:r w:rsidRPr="00487C30">
              <w:rPr>
                <w:rFonts w:ascii="Arial" w:hAnsi="Arial" w:cs="Arial"/>
                <w:b/>
                <w:bCs/>
                <w:sz w:val="24"/>
                <w:szCs w:val="24"/>
              </w:rPr>
              <w:t>Chi-square (p-value)</w:t>
            </w:r>
          </w:p>
        </w:tc>
        <w:tc>
          <w:tcPr>
            <w:tcW w:w="0" w:type="auto"/>
            <w:vAlign w:val="center"/>
            <w:hideMark/>
          </w:tcPr>
          <w:p w14:paraId="2D87DCB1" w14:textId="77777777" w:rsidR="00284FB7" w:rsidRPr="00487C30" w:rsidRDefault="00284FB7" w:rsidP="00BC66C9">
            <w:pPr>
              <w:spacing w:line="360" w:lineRule="auto"/>
              <w:jc w:val="center"/>
              <w:rPr>
                <w:rFonts w:ascii="Arial" w:hAnsi="Arial" w:cs="Arial"/>
                <w:b/>
                <w:bCs/>
                <w:sz w:val="24"/>
                <w:szCs w:val="24"/>
              </w:rPr>
            </w:pPr>
            <w:r w:rsidRPr="00487C30">
              <w:rPr>
                <w:rFonts w:ascii="Arial" w:hAnsi="Arial" w:cs="Arial"/>
                <w:b/>
                <w:bCs/>
                <w:sz w:val="24"/>
                <w:szCs w:val="24"/>
              </w:rPr>
              <w:t>Likelihood ratio (p-value)</w:t>
            </w:r>
          </w:p>
        </w:tc>
      </w:tr>
      <w:tr w:rsidR="00284FB7" w:rsidRPr="00487C30" w14:paraId="6BB5157F" w14:textId="77777777" w:rsidTr="00BC66C9">
        <w:trPr>
          <w:tblCellSpacing w:w="15" w:type="dxa"/>
        </w:trPr>
        <w:tc>
          <w:tcPr>
            <w:tcW w:w="2890" w:type="dxa"/>
            <w:vAlign w:val="center"/>
            <w:hideMark/>
          </w:tcPr>
          <w:p w14:paraId="001145C4" w14:textId="77777777" w:rsidR="00284FB7" w:rsidRPr="00487C30" w:rsidRDefault="00284FB7" w:rsidP="00BC66C9">
            <w:pPr>
              <w:spacing w:line="360" w:lineRule="auto"/>
              <w:rPr>
                <w:rFonts w:ascii="Arial" w:hAnsi="Arial" w:cs="Arial"/>
                <w:sz w:val="24"/>
                <w:szCs w:val="24"/>
              </w:rPr>
            </w:pPr>
            <w:r w:rsidRPr="00487C30">
              <w:rPr>
                <w:rStyle w:val="Strong"/>
                <w:rFonts w:ascii="Arial" w:hAnsi="Arial" w:cs="Arial"/>
                <w:sz w:val="24"/>
                <w:szCs w:val="24"/>
              </w:rPr>
              <w:t>Received nutrition education</w:t>
            </w:r>
          </w:p>
        </w:tc>
        <w:tc>
          <w:tcPr>
            <w:tcW w:w="985" w:type="dxa"/>
            <w:vAlign w:val="center"/>
            <w:hideMark/>
          </w:tcPr>
          <w:p w14:paraId="31AE1B37" w14:textId="77777777" w:rsidR="00284FB7" w:rsidRPr="00487C30" w:rsidRDefault="00284FB7" w:rsidP="00BC66C9">
            <w:pPr>
              <w:spacing w:line="360" w:lineRule="auto"/>
              <w:rPr>
                <w:rFonts w:ascii="Arial" w:hAnsi="Arial" w:cs="Arial"/>
                <w:sz w:val="24"/>
                <w:szCs w:val="24"/>
              </w:rPr>
            </w:pPr>
            <w:r w:rsidRPr="00487C30">
              <w:rPr>
                <w:rFonts w:ascii="Arial" w:hAnsi="Arial" w:cs="Arial"/>
                <w:sz w:val="24"/>
                <w:szCs w:val="24"/>
              </w:rPr>
              <w:t>2 (2.1)</w:t>
            </w:r>
          </w:p>
        </w:tc>
        <w:tc>
          <w:tcPr>
            <w:tcW w:w="0" w:type="auto"/>
            <w:vAlign w:val="center"/>
            <w:hideMark/>
          </w:tcPr>
          <w:p w14:paraId="7F56CA7F" w14:textId="77777777" w:rsidR="00284FB7" w:rsidRPr="00487C30" w:rsidRDefault="00284FB7" w:rsidP="00BC66C9">
            <w:pPr>
              <w:spacing w:line="360" w:lineRule="auto"/>
              <w:rPr>
                <w:rFonts w:ascii="Arial" w:hAnsi="Arial" w:cs="Arial"/>
                <w:sz w:val="24"/>
                <w:szCs w:val="24"/>
              </w:rPr>
            </w:pPr>
            <w:r w:rsidRPr="00487C30">
              <w:rPr>
                <w:rFonts w:ascii="Arial" w:hAnsi="Arial" w:cs="Arial"/>
                <w:sz w:val="24"/>
                <w:szCs w:val="24"/>
              </w:rPr>
              <w:t>9 (9.4)</w:t>
            </w:r>
          </w:p>
        </w:tc>
        <w:tc>
          <w:tcPr>
            <w:tcW w:w="0" w:type="auto"/>
            <w:vAlign w:val="center"/>
            <w:hideMark/>
          </w:tcPr>
          <w:p w14:paraId="3FA3567C" w14:textId="77777777" w:rsidR="00284FB7" w:rsidRPr="00487C30" w:rsidRDefault="00284FB7" w:rsidP="00BC66C9">
            <w:pPr>
              <w:spacing w:line="360" w:lineRule="auto"/>
              <w:rPr>
                <w:rFonts w:ascii="Arial" w:hAnsi="Arial" w:cs="Arial"/>
                <w:sz w:val="24"/>
                <w:szCs w:val="24"/>
              </w:rPr>
            </w:pPr>
            <w:r w:rsidRPr="00487C30">
              <w:rPr>
                <w:rFonts w:ascii="Arial" w:hAnsi="Arial" w:cs="Arial"/>
                <w:sz w:val="24"/>
                <w:szCs w:val="24"/>
              </w:rPr>
              <w:t>5 (5.2)</w:t>
            </w:r>
          </w:p>
        </w:tc>
        <w:tc>
          <w:tcPr>
            <w:tcW w:w="0" w:type="auto"/>
            <w:vAlign w:val="center"/>
            <w:hideMark/>
          </w:tcPr>
          <w:p w14:paraId="78399FB2" w14:textId="77777777" w:rsidR="00284FB7" w:rsidRPr="00487C30" w:rsidRDefault="00284FB7" w:rsidP="00BC66C9">
            <w:pPr>
              <w:spacing w:line="360" w:lineRule="auto"/>
              <w:rPr>
                <w:rFonts w:ascii="Arial" w:hAnsi="Arial" w:cs="Arial"/>
                <w:sz w:val="24"/>
                <w:szCs w:val="24"/>
              </w:rPr>
            </w:pPr>
            <w:r w:rsidRPr="00487C30">
              <w:rPr>
                <w:rFonts w:ascii="Arial" w:hAnsi="Arial" w:cs="Arial"/>
                <w:sz w:val="24"/>
                <w:szCs w:val="24"/>
              </w:rPr>
              <w:t>χ² = 2.09 (p = 0.554)</w:t>
            </w:r>
          </w:p>
        </w:tc>
        <w:tc>
          <w:tcPr>
            <w:tcW w:w="0" w:type="auto"/>
            <w:vAlign w:val="center"/>
            <w:hideMark/>
          </w:tcPr>
          <w:p w14:paraId="55B068E6" w14:textId="77777777" w:rsidR="00284FB7" w:rsidRPr="00487C30" w:rsidRDefault="00284FB7" w:rsidP="00BC66C9">
            <w:pPr>
              <w:spacing w:line="360" w:lineRule="auto"/>
              <w:rPr>
                <w:rFonts w:ascii="Arial" w:hAnsi="Arial" w:cs="Arial"/>
                <w:sz w:val="24"/>
                <w:szCs w:val="24"/>
              </w:rPr>
            </w:pPr>
            <w:r w:rsidRPr="00487C30">
              <w:rPr>
                <w:rFonts w:ascii="Arial" w:hAnsi="Arial" w:cs="Arial"/>
                <w:sz w:val="24"/>
                <w:szCs w:val="24"/>
              </w:rPr>
              <w:t>LR = 2.83 (p = 0.418)</w:t>
            </w:r>
          </w:p>
        </w:tc>
      </w:tr>
      <w:tr w:rsidR="00284FB7" w:rsidRPr="00487C30" w14:paraId="32053D65" w14:textId="77777777" w:rsidTr="00BC66C9">
        <w:trPr>
          <w:tblCellSpacing w:w="15" w:type="dxa"/>
        </w:trPr>
        <w:tc>
          <w:tcPr>
            <w:tcW w:w="2890" w:type="dxa"/>
            <w:vAlign w:val="center"/>
            <w:hideMark/>
          </w:tcPr>
          <w:p w14:paraId="1D069017" w14:textId="77777777" w:rsidR="00284FB7" w:rsidRPr="00487C30" w:rsidRDefault="00284FB7" w:rsidP="00BC66C9">
            <w:pPr>
              <w:spacing w:line="360" w:lineRule="auto"/>
              <w:rPr>
                <w:rFonts w:ascii="Arial" w:hAnsi="Arial" w:cs="Arial"/>
                <w:sz w:val="24"/>
                <w:szCs w:val="24"/>
              </w:rPr>
            </w:pPr>
            <w:r w:rsidRPr="00487C30">
              <w:rPr>
                <w:rStyle w:val="Strong"/>
                <w:rFonts w:ascii="Arial" w:hAnsi="Arial" w:cs="Arial"/>
                <w:sz w:val="24"/>
                <w:szCs w:val="24"/>
              </w:rPr>
              <w:t>Source of nutrition education</w:t>
            </w:r>
          </w:p>
        </w:tc>
        <w:tc>
          <w:tcPr>
            <w:tcW w:w="985" w:type="dxa"/>
            <w:vAlign w:val="center"/>
            <w:hideMark/>
          </w:tcPr>
          <w:p w14:paraId="1FD28C03" w14:textId="77777777" w:rsidR="00284FB7" w:rsidRPr="00487C30" w:rsidRDefault="00284FB7" w:rsidP="00BC66C9">
            <w:pPr>
              <w:spacing w:line="360" w:lineRule="auto"/>
              <w:rPr>
                <w:rFonts w:ascii="Arial" w:hAnsi="Arial" w:cs="Arial"/>
                <w:sz w:val="24"/>
                <w:szCs w:val="24"/>
              </w:rPr>
            </w:pPr>
            <w:r w:rsidRPr="00487C30">
              <w:rPr>
                <w:rFonts w:ascii="Arial" w:hAnsi="Arial" w:cs="Arial"/>
                <w:sz w:val="24"/>
                <w:szCs w:val="24"/>
              </w:rPr>
              <w:t>2 (2.1)</w:t>
            </w:r>
          </w:p>
        </w:tc>
        <w:tc>
          <w:tcPr>
            <w:tcW w:w="0" w:type="auto"/>
            <w:vAlign w:val="center"/>
            <w:hideMark/>
          </w:tcPr>
          <w:p w14:paraId="6B5217C5" w14:textId="77777777" w:rsidR="00284FB7" w:rsidRPr="00487C30" w:rsidRDefault="00284FB7" w:rsidP="00BC66C9">
            <w:pPr>
              <w:spacing w:line="360" w:lineRule="auto"/>
              <w:rPr>
                <w:rFonts w:ascii="Arial" w:hAnsi="Arial" w:cs="Arial"/>
                <w:sz w:val="24"/>
                <w:szCs w:val="24"/>
              </w:rPr>
            </w:pPr>
            <w:r w:rsidRPr="00487C30">
              <w:rPr>
                <w:rFonts w:ascii="Arial" w:hAnsi="Arial" w:cs="Arial"/>
                <w:sz w:val="24"/>
                <w:szCs w:val="24"/>
              </w:rPr>
              <w:t>9 (9.4)</w:t>
            </w:r>
          </w:p>
        </w:tc>
        <w:tc>
          <w:tcPr>
            <w:tcW w:w="0" w:type="auto"/>
            <w:vAlign w:val="center"/>
            <w:hideMark/>
          </w:tcPr>
          <w:p w14:paraId="4766C1C0" w14:textId="77777777" w:rsidR="00284FB7" w:rsidRPr="00487C30" w:rsidRDefault="00284FB7" w:rsidP="00BC66C9">
            <w:pPr>
              <w:spacing w:line="360" w:lineRule="auto"/>
              <w:rPr>
                <w:rFonts w:ascii="Arial" w:hAnsi="Arial" w:cs="Arial"/>
                <w:sz w:val="24"/>
                <w:szCs w:val="24"/>
              </w:rPr>
            </w:pPr>
            <w:r w:rsidRPr="00487C30">
              <w:rPr>
                <w:rFonts w:ascii="Arial" w:hAnsi="Arial" w:cs="Arial"/>
                <w:sz w:val="24"/>
                <w:szCs w:val="24"/>
              </w:rPr>
              <w:t>5 (5.2)</w:t>
            </w:r>
          </w:p>
        </w:tc>
        <w:tc>
          <w:tcPr>
            <w:tcW w:w="0" w:type="auto"/>
            <w:vAlign w:val="center"/>
            <w:hideMark/>
          </w:tcPr>
          <w:p w14:paraId="4C23ACDB" w14:textId="77777777" w:rsidR="00284FB7" w:rsidRPr="00487C30" w:rsidRDefault="00284FB7" w:rsidP="00BC66C9">
            <w:pPr>
              <w:spacing w:line="360" w:lineRule="auto"/>
              <w:rPr>
                <w:rFonts w:ascii="Arial" w:hAnsi="Arial" w:cs="Arial"/>
                <w:sz w:val="24"/>
                <w:szCs w:val="24"/>
              </w:rPr>
            </w:pPr>
            <w:r w:rsidRPr="00487C30">
              <w:rPr>
                <w:rFonts w:ascii="Arial" w:hAnsi="Arial" w:cs="Arial"/>
                <w:sz w:val="24"/>
                <w:szCs w:val="24"/>
              </w:rPr>
              <w:t>χ² = 8.59 (p = 0.738)</w:t>
            </w:r>
          </w:p>
        </w:tc>
        <w:tc>
          <w:tcPr>
            <w:tcW w:w="0" w:type="auto"/>
            <w:vAlign w:val="center"/>
            <w:hideMark/>
          </w:tcPr>
          <w:p w14:paraId="0FAB19B0" w14:textId="77777777" w:rsidR="00284FB7" w:rsidRPr="00487C30" w:rsidRDefault="00284FB7" w:rsidP="00BC66C9">
            <w:pPr>
              <w:spacing w:line="360" w:lineRule="auto"/>
              <w:rPr>
                <w:rFonts w:ascii="Arial" w:hAnsi="Arial" w:cs="Arial"/>
                <w:sz w:val="24"/>
                <w:szCs w:val="24"/>
              </w:rPr>
            </w:pPr>
            <w:r w:rsidRPr="00487C30">
              <w:rPr>
                <w:rFonts w:ascii="Arial" w:hAnsi="Arial" w:cs="Arial"/>
                <w:sz w:val="24"/>
                <w:szCs w:val="24"/>
              </w:rPr>
              <w:t>LR = 11.63 (p = 0.476)</w:t>
            </w:r>
          </w:p>
        </w:tc>
      </w:tr>
      <w:tr w:rsidR="00284FB7" w:rsidRPr="00487C30" w14:paraId="5400164F" w14:textId="77777777" w:rsidTr="00BC66C9">
        <w:trPr>
          <w:tblCellSpacing w:w="15" w:type="dxa"/>
        </w:trPr>
        <w:tc>
          <w:tcPr>
            <w:tcW w:w="2890" w:type="dxa"/>
            <w:vAlign w:val="center"/>
            <w:hideMark/>
          </w:tcPr>
          <w:p w14:paraId="0E1117F9" w14:textId="77777777" w:rsidR="00284FB7" w:rsidRPr="00487C30" w:rsidRDefault="00284FB7" w:rsidP="00BC66C9">
            <w:pPr>
              <w:spacing w:line="360" w:lineRule="auto"/>
              <w:rPr>
                <w:rFonts w:ascii="Arial" w:hAnsi="Arial" w:cs="Arial"/>
                <w:sz w:val="24"/>
                <w:szCs w:val="24"/>
              </w:rPr>
            </w:pPr>
            <w:r w:rsidRPr="00487C30">
              <w:rPr>
                <w:rStyle w:val="Strong"/>
                <w:rFonts w:ascii="Arial" w:hAnsi="Arial" w:cs="Arial"/>
                <w:sz w:val="24"/>
                <w:szCs w:val="24"/>
              </w:rPr>
              <w:lastRenderedPageBreak/>
              <w:t>Correct timing of complementary feeding</w:t>
            </w:r>
          </w:p>
        </w:tc>
        <w:tc>
          <w:tcPr>
            <w:tcW w:w="985" w:type="dxa"/>
            <w:vAlign w:val="center"/>
            <w:hideMark/>
          </w:tcPr>
          <w:p w14:paraId="40D15B7D" w14:textId="77777777" w:rsidR="00284FB7" w:rsidRPr="00487C30" w:rsidRDefault="00284FB7" w:rsidP="00BC66C9">
            <w:pPr>
              <w:spacing w:line="360" w:lineRule="auto"/>
              <w:rPr>
                <w:rFonts w:ascii="Arial" w:hAnsi="Arial" w:cs="Arial"/>
                <w:sz w:val="24"/>
                <w:szCs w:val="24"/>
              </w:rPr>
            </w:pPr>
            <w:r w:rsidRPr="00487C30">
              <w:rPr>
                <w:rFonts w:ascii="Arial" w:hAnsi="Arial" w:cs="Arial"/>
                <w:sz w:val="24"/>
                <w:szCs w:val="24"/>
              </w:rPr>
              <w:t>2 (2.1)</w:t>
            </w:r>
          </w:p>
        </w:tc>
        <w:tc>
          <w:tcPr>
            <w:tcW w:w="0" w:type="auto"/>
            <w:vAlign w:val="center"/>
            <w:hideMark/>
          </w:tcPr>
          <w:p w14:paraId="3AAF8E72" w14:textId="77777777" w:rsidR="00284FB7" w:rsidRPr="00487C30" w:rsidRDefault="00284FB7" w:rsidP="00BC66C9">
            <w:pPr>
              <w:spacing w:line="360" w:lineRule="auto"/>
              <w:rPr>
                <w:rFonts w:ascii="Arial" w:hAnsi="Arial" w:cs="Arial"/>
                <w:sz w:val="24"/>
                <w:szCs w:val="24"/>
              </w:rPr>
            </w:pPr>
            <w:r w:rsidRPr="00487C30">
              <w:rPr>
                <w:rFonts w:ascii="Arial" w:hAnsi="Arial" w:cs="Arial"/>
                <w:sz w:val="24"/>
                <w:szCs w:val="24"/>
              </w:rPr>
              <w:t>9 (9.4)</w:t>
            </w:r>
          </w:p>
        </w:tc>
        <w:tc>
          <w:tcPr>
            <w:tcW w:w="0" w:type="auto"/>
            <w:vAlign w:val="center"/>
            <w:hideMark/>
          </w:tcPr>
          <w:p w14:paraId="7BF8828D" w14:textId="77777777" w:rsidR="00284FB7" w:rsidRPr="00487C30" w:rsidRDefault="00284FB7" w:rsidP="00BC66C9">
            <w:pPr>
              <w:spacing w:line="360" w:lineRule="auto"/>
              <w:rPr>
                <w:rFonts w:ascii="Arial" w:hAnsi="Arial" w:cs="Arial"/>
                <w:sz w:val="24"/>
                <w:szCs w:val="24"/>
              </w:rPr>
            </w:pPr>
            <w:r w:rsidRPr="00487C30">
              <w:rPr>
                <w:rFonts w:ascii="Arial" w:hAnsi="Arial" w:cs="Arial"/>
                <w:sz w:val="24"/>
                <w:szCs w:val="24"/>
              </w:rPr>
              <w:t>5 (5.2)</w:t>
            </w:r>
          </w:p>
        </w:tc>
        <w:tc>
          <w:tcPr>
            <w:tcW w:w="0" w:type="auto"/>
            <w:vAlign w:val="center"/>
            <w:hideMark/>
          </w:tcPr>
          <w:p w14:paraId="07B564F2" w14:textId="77777777" w:rsidR="00284FB7" w:rsidRPr="00487C30" w:rsidRDefault="00284FB7" w:rsidP="00BC66C9">
            <w:pPr>
              <w:spacing w:line="360" w:lineRule="auto"/>
              <w:rPr>
                <w:rFonts w:ascii="Arial" w:hAnsi="Arial" w:cs="Arial"/>
                <w:sz w:val="24"/>
                <w:szCs w:val="24"/>
              </w:rPr>
            </w:pPr>
            <w:r w:rsidRPr="00487C30">
              <w:rPr>
                <w:rFonts w:ascii="Arial" w:hAnsi="Arial" w:cs="Arial"/>
                <w:sz w:val="24"/>
                <w:szCs w:val="24"/>
              </w:rPr>
              <w:t>χ² = 8.02 (p = 0.532)</w:t>
            </w:r>
          </w:p>
        </w:tc>
        <w:tc>
          <w:tcPr>
            <w:tcW w:w="0" w:type="auto"/>
            <w:vAlign w:val="center"/>
            <w:hideMark/>
          </w:tcPr>
          <w:p w14:paraId="54EE45FE" w14:textId="77777777" w:rsidR="00284FB7" w:rsidRPr="00487C30" w:rsidRDefault="00284FB7" w:rsidP="00BC66C9">
            <w:pPr>
              <w:spacing w:line="360" w:lineRule="auto"/>
              <w:rPr>
                <w:rFonts w:ascii="Arial" w:hAnsi="Arial" w:cs="Arial"/>
                <w:sz w:val="24"/>
                <w:szCs w:val="24"/>
              </w:rPr>
            </w:pPr>
            <w:r w:rsidRPr="00487C30">
              <w:rPr>
                <w:rFonts w:ascii="Arial" w:hAnsi="Arial" w:cs="Arial"/>
                <w:sz w:val="24"/>
                <w:szCs w:val="24"/>
              </w:rPr>
              <w:t>LR = 12.27 (p = 0.198)</w:t>
            </w:r>
          </w:p>
        </w:tc>
      </w:tr>
      <w:tr w:rsidR="00284FB7" w:rsidRPr="00487C30" w14:paraId="3BB4C0A7" w14:textId="77777777" w:rsidTr="00BC66C9">
        <w:trPr>
          <w:tblCellSpacing w:w="15" w:type="dxa"/>
        </w:trPr>
        <w:tc>
          <w:tcPr>
            <w:tcW w:w="2890" w:type="dxa"/>
            <w:vAlign w:val="center"/>
            <w:hideMark/>
          </w:tcPr>
          <w:p w14:paraId="2264CA44" w14:textId="77777777" w:rsidR="00284FB7" w:rsidRPr="00487C30" w:rsidRDefault="00284FB7" w:rsidP="00BC66C9">
            <w:pPr>
              <w:spacing w:line="360" w:lineRule="auto"/>
              <w:rPr>
                <w:rFonts w:ascii="Arial" w:hAnsi="Arial" w:cs="Arial"/>
                <w:sz w:val="24"/>
                <w:szCs w:val="24"/>
              </w:rPr>
            </w:pPr>
            <w:r w:rsidRPr="00487C30">
              <w:rPr>
                <w:rStyle w:val="Strong"/>
                <w:rFonts w:ascii="Arial" w:hAnsi="Arial" w:cs="Arial"/>
                <w:sz w:val="24"/>
                <w:szCs w:val="24"/>
              </w:rPr>
              <w:t>Knowledge of exclusive breastfeeding duration</w:t>
            </w:r>
          </w:p>
        </w:tc>
        <w:tc>
          <w:tcPr>
            <w:tcW w:w="985" w:type="dxa"/>
            <w:vAlign w:val="center"/>
            <w:hideMark/>
          </w:tcPr>
          <w:p w14:paraId="0FB045F5" w14:textId="77777777" w:rsidR="00284FB7" w:rsidRPr="00487C30" w:rsidRDefault="00284FB7" w:rsidP="00BC66C9">
            <w:pPr>
              <w:spacing w:line="360" w:lineRule="auto"/>
              <w:rPr>
                <w:rFonts w:ascii="Arial" w:hAnsi="Arial" w:cs="Arial"/>
                <w:sz w:val="24"/>
                <w:szCs w:val="24"/>
              </w:rPr>
            </w:pPr>
            <w:r w:rsidRPr="00487C30">
              <w:rPr>
                <w:rFonts w:ascii="Arial" w:hAnsi="Arial" w:cs="Arial"/>
                <w:sz w:val="24"/>
                <w:szCs w:val="24"/>
              </w:rPr>
              <w:t>2 (2.1)</w:t>
            </w:r>
          </w:p>
        </w:tc>
        <w:tc>
          <w:tcPr>
            <w:tcW w:w="0" w:type="auto"/>
            <w:vAlign w:val="center"/>
            <w:hideMark/>
          </w:tcPr>
          <w:p w14:paraId="787884C5" w14:textId="77777777" w:rsidR="00284FB7" w:rsidRPr="00487C30" w:rsidRDefault="00284FB7" w:rsidP="00BC66C9">
            <w:pPr>
              <w:spacing w:line="360" w:lineRule="auto"/>
              <w:rPr>
                <w:rFonts w:ascii="Arial" w:hAnsi="Arial" w:cs="Arial"/>
                <w:sz w:val="24"/>
                <w:szCs w:val="24"/>
              </w:rPr>
            </w:pPr>
            <w:r w:rsidRPr="00487C30">
              <w:rPr>
                <w:rFonts w:ascii="Arial" w:hAnsi="Arial" w:cs="Arial"/>
                <w:sz w:val="24"/>
                <w:szCs w:val="24"/>
              </w:rPr>
              <w:t>9 (9.4)</w:t>
            </w:r>
          </w:p>
        </w:tc>
        <w:tc>
          <w:tcPr>
            <w:tcW w:w="0" w:type="auto"/>
            <w:vAlign w:val="center"/>
            <w:hideMark/>
          </w:tcPr>
          <w:p w14:paraId="428A5F52" w14:textId="77777777" w:rsidR="00284FB7" w:rsidRPr="00487C30" w:rsidRDefault="00284FB7" w:rsidP="00BC66C9">
            <w:pPr>
              <w:spacing w:line="360" w:lineRule="auto"/>
              <w:rPr>
                <w:rFonts w:ascii="Arial" w:hAnsi="Arial" w:cs="Arial"/>
                <w:sz w:val="24"/>
                <w:szCs w:val="24"/>
              </w:rPr>
            </w:pPr>
            <w:r w:rsidRPr="00487C30">
              <w:rPr>
                <w:rFonts w:ascii="Arial" w:hAnsi="Arial" w:cs="Arial"/>
                <w:sz w:val="24"/>
                <w:szCs w:val="24"/>
              </w:rPr>
              <w:t>5 (5.2)</w:t>
            </w:r>
          </w:p>
        </w:tc>
        <w:tc>
          <w:tcPr>
            <w:tcW w:w="0" w:type="auto"/>
            <w:vAlign w:val="center"/>
            <w:hideMark/>
          </w:tcPr>
          <w:p w14:paraId="51779A0A" w14:textId="77777777" w:rsidR="00284FB7" w:rsidRPr="00487C30" w:rsidRDefault="00284FB7" w:rsidP="00BC66C9">
            <w:pPr>
              <w:spacing w:line="360" w:lineRule="auto"/>
              <w:rPr>
                <w:rFonts w:ascii="Arial" w:hAnsi="Arial" w:cs="Arial"/>
                <w:sz w:val="24"/>
                <w:szCs w:val="24"/>
              </w:rPr>
            </w:pPr>
            <w:r w:rsidRPr="00487C30">
              <w:rPr>
                <w:rFonts w:ascii="Arial" w:hAnsi="Arial" w:cs="Arial"/>
                <w:sz w:val="24"/>
                <w:szCs w:val="24"/>
              </w:rPr>
              <w:t>χ² = 10.73 (p = 0.097)</w:t>
            </w:r>
          </w:p>
        </w:tc>
        <w:tc>
          <w:tcPr>
            <w:tcW w:w="0" w:type="auto"/>
            <w:vAlign w:val="center"/>
            <w:hideMark/>
          </w:tcPr>
          <w:p w14:paraId="745D55E2" w14:textId="77777777" w:rsidR="00284FB7" w:rsidRPr="00487C30" w:rsidRDefault="00284FB7" w:rsidP="00BC66C9">
            <w:pPr>
              <w:spacing w:line="360" w:lineRule="auto"/>
              <w:rPr>
                <w:rFonts w:ascii="Arial" w:hAnsi="Arial" w:cs="Arial"/>
                <w:sz w:val="24"/>
                <w:szCs w:val="24"/>
              </w:rPr>
            </w:pPr>
            <w:r w:rsidRPr="00487C30">
              <w:rPr>
                <w:rFonts w:ascii="Arial" w:hAnsi="Arial" w:cs="Arial"/>
                <w:sz w:val="24"/>
                <w:szCs w:val="24"/>
              </w:rPr>
              <w:t>LR = 15.69 (p = 0.016)*</w:t>
            </w:r>
          </w:p>
        </w:tc>
      </w:tr>
      <w:tr w:rsidR="00284FB7" w:rsidRPr="00487C30" w14:paraId="6DFEB971" w14:textId="77777777" w:rsidTr="00BC66C9">
        <w:trPr>
          <w:tblCellSpacing w:w="15" w:type="dxa"/>
        </w:trPr>
        <w:tc>
          <w:tcPr>
            <w:tcW w:w="2890" w:type="dxa"/>
            <w:vAlign w:val="center"/>
            <w:hideMark/>
          </w:tcPr>
          <w:p w14:paraId="204FA2C2" w14:textId="77777777" w:rsidR="00284FB7" w:rsidRPr="00487C30" w:rsidRDefault="00284FB7" w:rsidP="00BC66C9">
            <w:pPr>
              <w:spacing w:line="360" w:lineRule="auto"/>
              <w:rPr>
                <w:rFonts w:ascii="Arial" w:hAnsi="Arial" w:cs="Arial"/>
                <w:sz w:val="24"/>
                <w:szCs w:val="24"/>
              </w:rPr>
            </w:pPr>
            <w:r w:rsidRPr="00487C30">
              <w:rPr>
                <w:rStyle w:val="Strong"/>
                <w:rFonts w:ascii="Arial" w:hAnsi="Arial" w:cs="Arial"/>
                <w:sz w:val="24"/>
                <w:szCs w:val="24"/>
              </w:rPr>
              <w:t>Breastfeeding frequency per day</w:t>
            </w:r>
          </w:p>
        </w:tc>
        <w:tc>
          <w:tcPr>
            <w:tcW w:w="985" w:type="dxa"/>
            <w:vAlign w:val="center"/>
            <w:hideMark/>
          </w:tcPr>
          <w:p w14:paraId="2A23A905" w14:textId="77777777" w:rsidR="00284FB7" w:rsidRPr="00487C30" w:rsidRDefault="00284FB7" w:rsidP="00BC66C9">
            <w:pPr>
              <w:spacing w:line="360" w:lineRule="auto"/>
              <w:rPr>
                <w:rFonts w:ascii="Arial" w:hAnsi="Arial" w:cs="Arial"/>
                <w:sz w:val="24"/>
                <w:szCs w:val="24"/>
              </w:rPr>
            </w:pPr>
            <w:r w:rsidRPr="00487C30">
              <w:rPr>
                <w:rFonts w:ascii="Arial" w:hAnsi="Arial" w:cs="Arial"/>
                <w:sz w:val="24"/>
                <w:szCs w:val="24"/>
              </w:rPr>
              <w:t>2 (2.1)</w:t>
            </w:r>
          </w:p>
        </w:tc>
        <w:tc>
          <w:tcPr>
            <w:tcW w:w="0" w:type="auto"/>
            <w:vAlign w:val="center"/>
            <w:hideMark/>
          </w:tcPr>
          <w:p w14:paraId="3517F5AA" w14:textId="77777777" w:rsidR="00284FB7" w:rsidRPr="00487C30" w:rsidRDefault="00284FB7" w:rsidP="00BC66C9">
            <w:pPr>
              <w:spacing w:line="360" w:lineRule="auto"/>
              <w:rPr>
                <w:rFonts w:ascii="Arial" w:hAnsi="Arial" w:cs="Arial"/>
                <w:sz w:val="24"/>
                <w:szCs w:val="24"/>
              </w:rPr>
            </w:pPr>
            <w:r w:rsidRPr="00487C30">
              <w:rPr>
                <w:rFonts w:ascii="Arial" w:hAnsi="Arial" w:cs="Arial"/>
                <w:sz w:val="24"/>
                <w:szCs w:val="24"/>
              </w:rPr>
              <w:t>9 (9.4)</w:t>
            </w:r>
          </w:p>
        </w:tc>
        <w:tc>
          <w:tcPr>
            <w:tcW w:w="0" w:type="auto"/>
            <w:vAlign w:val="center"/>
            <w:hideMark/>
          </w:tcPr>
          <w:p w14:paraId="73385438" w14:textId="77777777" w:rsidR="00284FB7" w:rsidRPr="00487C30" w:rsidRDefault="00284FB7" w:rsidP="00BC66C9">
            <w:pPr>
              <w:spacing w:line="360" w:lineRule="auto"/>
              <w:rPr>
                <w:rFonts w:ascii="Arial" w:hAnsi="Arial" w:cs="Arial"/>
                <w:sz w:val="24"/>
                <w:szCs w:val="24"/>
              </w:rPr>
            </w:pPr>
            <w:r w:rsidRPr="00487C30">
              <w:rPr>
                <w:rFonts w:ascii="Arial" w:hAnsi="Arial" w:cs="Arial"/>
                <w:sz w:val="24"/>
                <w:szCs w:val="24"/>
              </w:rPr>
              <w:t>5 (5.2)</w:t>
            </w:r>
          </w:p>
        </w:tc>
        <w:tc>
          <w:tcPr>
            <w:tcW w:w="0" w:type="auto"/>
            <w:vAlign w:val="center"/>
            <w:hideMark/>
          </w:tcPr>
          <w:p w14:paraId="5303E3E6" w14:textId="77777777" w:rsidR="00284FB7" w:rsidRPr="00487C30" w:rsidRDefault="00284FB7" w:rsidP="00BC66C9">
            <w:pPr>
              <w:spacing w:line="360" w:lineRule="auto"/>
              <w:rPr>
                <w:rFonts w:ascii="Arial" w:hAnsi="Arial" w:cs="Arial"/>
                <w:sz w:val="24"/>
                <w:szCs w:val="24"/>
              </w:rPr>
            </w:pPr>
            <w:r w:rsidRPr="00487C30">
              <w:rPr>
                <w:rFonts w:ascii="Arial" w:hAnsi="Arial" w:cs="Arial"/>
                <w:sz w:val="24"/>
                <w:szCs w:val="24"/>
              </w:rPr>
              <w:t>χ² = 13.07 (p = 0.159)</w:t>
            </w:r>
          </w:p>
        </w:tc>
        <w:tc>
          <w:tcPr>
            <w:tcW w:w="0" w:type="auto"/>
            <w:vAlign w:val="center"/>
            <w:hideMark/>
          </w:tcPr>
          <w:p w14:paraId="574ADCA0" w14:textId="77777777" w:rsidR="00284FB7" w:rsidRPr="00487C30" w:rsidRDefault="00284FB7" w:rsidP="00BC66C9">
            <w:pPr>
              <w:spacing w:line="360" w:lineRule="auto"/>
              <w:rPr>
                <w:rFonts w:ascii="Arial" w:hAnsi="Arial" w:cs="Arial"/>
                <w:sz w:val="24"/>
                <w:szCs w:val="24"/>
              </w:rPr>
            </w:pPr>
            <w:r w:rsidRPr="00487C30">
              <w:rPr>
                <w:rFonts w:ascii="Arial" w:hAnsi="Arial" w:cs="Arial"/>
                <w:sz w:val="24"/>
                <w:szCs w:val="24"/>
              </w:rPr>
              <w:t>LR = 14.33 (p = 0.111)</w:t>
            </w:r>
          </w:p>
        </w:tc>
      </w:tr>
      <w:tr w:rsidR="00284FB7" w:rsidRPr="00487C30" w14:paraId="4DA5A443" w14:textId="77777777" w:rsidTr="00BC66C9">
        <w:trPr>
          <w:tblCellSpacing w:w="15" w:type="dxa"/>
        </w:trPr>
        <w:tc>
          <w:tcPr>
            <w:tcW w:w="2890" w:type="dxa"/>
            <w:vAlign w:val="center"/>
            <w:hideMark/>
          </w:tcPr>
          <w:p w14:paraId="601D23A7" w14:textId="77777777" w:rsidR="00284FB7" w:rsidRPr="00487C30" w:rsidRDefault="00284FB7" w:rsidP="00BC66C9">
            <w:pPr>
              <w:spacing w:line="360" w:lineRule="auto"/>
              <w:rPr>
                <w:rFonts w:ascii="Arial" w:hAnsi="Arial" w:cs="Arial"/>
                <w:sz w:val="24"/>
                <w:szCs w:val="24"/>
              </w:rPr>
            </w:pPr>
            <w:r w:rsidRPr="00487C30">
              <w:rPr>
                <w:rStyle w:val="Strong"/>
                <w:rFonts w:ascii="Arial" w:hAnsi="Arial" w:cs="Arial"/>
                <w:sz w:val="24"/>
                <w:szCs w:val="24"/>
              </w:rPr>
              <w:t>Type of complementary food given</w:t>
            </w:r>
          </w:p>
        </w:tc>
        <w:tc>
          <w:tcPr>
            <w:tcW w:w="985" w:type="dxa"/>
            <w:vAlign w:val="center"/>
            <w:hideMark/>
          </w:tcPr>
          <w:p w14:paraId="58EDA465" w14:textId="77777777" w:rsidR="00284FB7" w:rsidRPr="00487C30" w:rsidRDefault="00284FB7" w:rsidP="00BC66C9">
            <w:pPr>
              <w:spacing w:line="360" w:lineRule="auto"/>
              <w:rPr>
                <w:rFonts w:ascii="Arial" w:hAnsi="Arial" w:cs="Arial"/>
                <w:sz w:val="24"/>
                <w:szCs w:val="24"/>
              </w:rPr>
            </w:pPr>
            <w:r w:rsidRPr="00487C30">
              <w:rPr>
                <w:rFonts w:ascii="Arial" w:hAnsi="Arial" w:cs="Arial"/>
                <w:sz w:val="24"/>
                <w:szCs w:val="24"/>
              </w:rPr>
              <w:t>2 (2.1)</w:t>
            </w:r>
          </w:p>
        </w:tc>
        <w:tc>
          <w:tcPr>
            <w:tcW w:w="0" w:type="auto"/>
            <w:vAlign w:val="center"/>
            <w:hideMark/>
          </w:tcPr>
          <w:p w14:paraId="2FC891A8" w14:textId="77777777" w:rsidR="00284FB7" w:rsidRPr="00487C30" w:rsidRDefault="00284FB7" w:rsidP="00BC66C9">
            <w:pPr>
              <w:spacing w:line="360" w:lineRule="auto"/>
              <w:rPr>
                <w:rFonts w:ascii="Arial" w:hAnsi="Arial" w:cs="Arial"/>
                <w:sz w:val="24"/>
                <w:szCs w:val="24"/>
              </w:rPr>
            </w:pPr>
            <w:r w:rsidRPr="00487C30">
              <w:rPr>
                <w:rFonts w:ascii="Arial" w:hAnsi="Arial" w:cs="Arial"/>
                <w:sz w:val="24"/>
                <w:szCs w:val="24"/>
              </w:rPr>
              <w:t>9 (9.4)</w:t>
            </w:r>
          </w:p>
        </w:tc>
        <w:tc>
          <w:tcPr>
            <w:tcW w:w="0" w:type="auto"/>
            <w:vAlign w:val="center"/>
            <w:hideMark/>
          </w:tcPr>
          <w:p w14:paraId="3C88A124" w14:textId="77777777" w:rsidR="00284FB7" w:rsidRPr="00487C30" w:rsidRDefault="00284FB7" w:rsidP="00BC66C9">
            <w:pPr>
              <w:spacing w:line="360" w:lineRule="auto"/>
              <w:rPr>
                <w:rFonts w:ascii="Arial" w:hAnsi="Arial" w:cs="Arial"/>
                <w:sz w:val="24"/>
                <w:szCs w:val="24"/>
              </w:rPr>
            </w:pPr>
            <w:r w:rsidRPr="00487C30">
              <w:rPr>
                <w:rFonts w:ascii="Arial" w:hAnsi="Arial" w:cs="Arial"/>
                <w:sz w:val="24"/>
                <w:szCs w:val="24"/>
              </w:rPr>
              <w:t>5 (5.2)</w:t>
            </w:r>
          </w:p>
        </w:tc>
        <w:tc>
          <w:tcPr>
            <w:tcW w:w="0" w:type="auto"/>
            <w:vAlign w:val="center"/>
            <w:hideMark/>
          </w:tcPr>
          <w:p w14:paraId="609AA403" w14:textId="77777777" w:rsidR="00284FB7" w:rsidRPr="00487C30" w:rsidRDefault="00284FB7" w:rsidP="00BC66C9">
            <w:pPr>
              <w:spacing w:line="360" w:lineRule="auto"/>
              <w:rPr>
                <w:rFonts w:ascii="Arial" w:hAnsi="Arial" w:cs="Arial"/>
                <w:sz w:val="24"/>
                <w:szCs w:val="24"/>
              </w:rPr>
            </w:pPr>
            <w:r w:rsidRPr="00487C30">
              <w:rPr>
                <w:rFonts w:ascii="Arial" w:hAnsi="Arial" w:cs="Arial"/>
                <w:sz w:val="24"/>
                <w:szCs w:val="24"/>
              </w:rPr>
              <w:t>χ² = 34.46 (p &lt; 0.001)*</w:t>
            </w:r>
          </w:p>
        </w:tc>
        <w:tc>
          <w:tcPr>
            <w:tcW w:w="0" w:type="auto"/>
            <w:vAlign w:val="center"/>
            <w:hideMark/>
          </w:tcPr>
          <w:p w14:paraId="2793014D" w14:textId="77777777" w:rsidR="00284FB7" w:rsidRPr="00487C30" w:rsidRDefault="00284FB7" w:rsidP="00BC66C9">
            <w:pPr>
              <w:spacing w:line="360" w:lineRule="auto"/>
              <w:rPr>
                <w:rFonts w:ascii="Arial" w:hAnsi="Arial" w:cs="Arial"/>
                <w:sz w:val="24"/>
                <w:szCs w:val="24"/>
              </w:rPr>
            </w:pPr>
            <w:r w:rsidRPr="00487C30">
              <w:rPr>
                <w:rFonts w:ascii="Arial" w:hAnsi="Arial" w:cs="Arial"/>
                <w:sz w:val="24"/>
                <w:szCs w:val="24"/>
              </w:rPr>
              <w:t>LR = 29.67 (p &lt; 0.001)*</w:t>
            </w:r>
          </w:p>
        </w:tc>
      </w:tr>
      <w:tr w:rsidR="00284FB7" w:rsidRPr="00487C30" w14:paraId="640122F8" w14:textId="77777777" w:rsidTr="00BC66C9">
        <w:trPr>
          <w:tblCellSpacing w:w="15" w:type="dxa"/>
        </w:trPr>
        <w:tc>
          <w:tcPr>
            <w:tcW w:w="2890" w:type="dxa"/>
            <w:vAlign w:val="center"/>
            <w:hideMark/>
          </w:tcPr>
          <w:p w14:paraId="669B8E81" w14:textId="77777777" w:rsidR="00284FB7" w:rsidRPr="00487C30" w:rsidRDefault="00284FB7" w:rsidP="00BC66C9">
            <w:pPr>
              <w:spacing w:line="360" w:lineRule="auto"/>
              <w:rPr>
                <w:rFonts w:ascii="Arial" w:hAnsi="Arial" w:cs="Arial"/>
                <w:sz w:val="24"/>
                <w:szCs w:val="24"/>
              </w:rPr>
            </w:pPr>
            <w:r w:rsidRPr="00487C30">
              <w:rPr>
                <w:rStyle w:val="Strong"/>
                <w:rFonts w:ascii="Arial" w:hAnsi="Arial" w:cs="Arial"/>
                <w:sz w:val="24"/>
                <w:szCs w:val="24"/>
              </w:rPr>
              <w:t>Meal frequency per day</w:t>
            </w:r>
          </w:p>
        </w:tc>
        <w:tc>
          <w:tcPr>
            <w:tcW w:w="985" w:type="dxa"/>
            <w:vAlign w:val="center"/>
            <w:hideMark/>
          </w:tcPr>
          <w:p w14:paraId="78B6E7D7" w14:textId="77777777" w:rsidR="00284FB7" w:rsidRPr="00487C30" w:rsidRDefault="00284FB7" w:rsidP="00BC66C9">
            <w:pPr>
              <w:spacing w:line="360" w:lineRule="auto"/>
              <w:rPr>
                <w:rFonts w:ascii="Arial" w:hAnsi="Arial" w:cs="Arial"/>
                <w:sz w:val="24"/>
                <w:szCs w:val="24"/>
              </w:rPr>
            </w:pPr>
            <w:r w:rsidRPr="00487C30">
              <w:rPr>
                <w:rFonts w:ascii="Arial" w:hAnsi="Arial" w:cs="Arial"/>
                <w:sz w:val="24"/>
                <w:szCs w:val="24"/>
              </w:rPr>
              <w:t>2 (2.1)</w:t>
            </w:r>
          </w:p>
        </w:tc>
        <w:tc>
          <w:tcPr>
            <w:tcW w:w="0" w:type="auto"/>
            <w:vAlign w:val="center"/>
            <w:hideMark/>
          </w:tcPr>
          <w:p w14:paraId="1BE92269" w14:textId="77777777" w:rsidR="00284FB7" w:rsidRPr="00487C30" w:rsidRDefault="00284FB7" w:rsidP="00BC66C9">
            <w:pPr>
              <w:spacing w:line="360" w:lineRule="auto"/>
              <w:rPr>
                <w:rFonts w:ascii="Arial" w:hAnsi="Arial" w:cs="Arial"/>
                <w:sz w:val="24"/>
                <w:szCs w:val="24"/>
              </w:rPr>
            </w:pPr>
            <w:r w:rsidRPr="00487C30">
              <w:rPr>
                <w:rFonts w:ascii="Arial" w:hAnsi="Arial" w:cs="Arial"/>
                <w:sz w:val="24"/>
                <w:szCs w:val="24"/>
              </w:rPr>
              <w:t>9 (9.4)</w:t>
            </w:r>
          </w:p>
        </w:tc>
        <w:tc>
          <w:tcPr>
            <w:tcW w:w="0" w:type="auto"/>
            <w:vAlign w:val="center"/>
            <w:hideMark/>
          </w:tcPr>
          <w:p w14:paraId="59D9E0FF" w14:textId="77777777" w:rsidR="00284FB7" w:rsidRPr="00487C30" w:rsidRDefault="00284FB7" w:rsidP="00BC66C9">
            <w:pPr>
              <w:spacing w:line="360" w:lineRule="auto"/>
              <w:rPr>
                <w:rFonts w:ascii="Arial" w:hAnsi="Arial" w:cs="Arial"/>
                <w:sz w:val="24"/>
                <w:szCs w:val="24"/>
              </w:rPr>
            </w:pPr>
            <w:r w:rsidRPr="00487C30">
              <w:rPr>
                <w:rFonts w:ascii="Arial" w:hAnsi="Arial" w:cs="Arial"/>
                <w:sz w:val="24"/>
                <w:szCs w:val="24"/>
              </w:rPr>
              <w:t>5 (5.2)</w:t>
            </w:r>
          </w:p>
        </w:tc>
        <w:tc>
          <w:tcPr>
            <w:tcW w:w="0" w:type="auto"/>
            <w:vAlign w:val="center"/>
            <w:hideMark/>
          </w:tcPr>
          <w:p w14:paraId="16998216" w14:textId="77777777" w:rsidR="00284FB7" w:rsidRPr="00487C30" w:rsidRDefault="00284FB7" w:rsidP="00BC66C9">
            <w:pPr>
              <w:spacing w:line="360" w:lineRule="auto"/>
              <w:rPr>
                <w:rFonts w:ascii="Arial" w:hAnsi="Arial" w:cs="Arial"/>
                <w:sz w:val="24"/>
                <w:szCs w:val="24"/>
              </w:rPr>
            </w:pPr>
            <w:r w:rsidRPr="00487C30">
              <w:rPr>
                <w:rFonts w:ascii="Arial" w:hAnsi="Arial" w:cs="Arial"/>
                <w:sz w:val="24"/>
                <w:szCs w:val="24"/>
              </w:rPr>
              <w:t>χ² = 17.67 (p = 0.126)</w:t>
            </w:r>
          </w:p>
        </w:tc>
        <w:tc>
          <w:tcPr>
            <w:tcW w:w="0" w:type="auto"/>
            <w:vAlign w:val="center"/>
            <w:hideMark/>
          </w:tcPr>
          <w:p w14:paraId="1A204B9A" w14:textId="77777777" w:rsidR="00284FB7" w:rsidRPr="00487C30" w:rsidRDefault="00284FB7" w:rsidP="00BC66C9">
            <w:pPr>
              <w:spacing w:line="360" w:lineRule="auto"/>
              <w:rPr>
                <w:rFonts w:ascii="Arial" w:hAnsi="Arial" w:cs="Arial"/>
                <w:sz w:val="24"/>
                <w:szCs w:val="24"/>
              </w:rPr>
            </w:pPr>
            <w:r w:rsidRPr="00487C30">
              <w:rPr>
                <w:rFonts w:ascii="Arial" w:hAnsi="Arial" w:cs="Arial"/>
                <w:sz w:val="24"/>
                <w:szCs w:val="24"/>
              </w:rPr>
              <w:t>LR = 11.18 (p = 0.513)</w:t>
            </w:r>
          </w:p>
        </w:tc>
      </w:tr>
      <w:tr w:rsidR="00284FB7" w:rsidRPr="00487C30" w14:paraId="175563F8" w14:textId="77777777" w:rsidTr="00BC66C9">
        <w:trPr>
          <w:tblCellSpacing w:w="15" w:type="dxa"/>
        </w:trPr>
        <w:tc>
          <w:tcPr>
            <w:tcW w:w="2890" w:type="dxa"/>
            <w:vAlign w:val="center"/>
            <w:hideMark/>
          </w:tcPr>
          <w:p w14:paraId="1AA75DA3" w14:textId="77777777" w:rsidR="00284FB7" w:rsidRPr="00487C30" w:rsidRDefault="00284FB7" w:rsidP="00BC66C9">
            <w:pPr>
              <w:spacing w:line="360" w:lineRule="auto"/>
              <w:rPr>
                <w:rFonts w:ascii="Arial" w:hAnsi="Arial" w:cs="Arial"/>
                <w:sz w:val="24"/>
                <w:szCs w:val="24"/>
              </w:rPr>
            </w:pPr>
            <w:r w:rsidRPr="00487C30">
              <w:rPr>
                <w:rStyle w:val="Strong"/>
                <w:rFonts w:ascii="Arial" w:hAnsi="Arial" w:cs="Arial"/>
                <w:sz w:val="24"/>
                <w:szCs w:val="24"/>
              </w:rPr>
              <w:t>Previous diagnosis of malnutrition</w:t>
            </w:r>
          </w:p>
        </w:tc>
        <w:tc>
          <w:tcPr>
            <w:tcW w:w="985" w:type="dxa"/>
            <w:vAlign w:val="center"/>
            <w:hideMark/>
          </w:tcPr>
          <w:p w14:paraId="21BFEC04" w14:textId="77777777" w:rsidR="00284FB7" w:rsidRPr="00487C30" w:rsidRDefault="00284FB7" w:rsidP="00BC66C9">
            <w:pPr>
              <w:spacing w:line="360" w:lineRule="auto"/>
              <w:rPr>
                <w:rFonts w:ascii="Arial" w:hAnsi="Arial" w:cs="Arial"/>
                <w:sz w:val="24"/>
                <w:szCs w:val="24"/>
              </w:rPr>
            </w:pPr>
            <w:r w:rsidRPr="00487C30">
              <w:rPr>
                <w:rFonts w:ascii="Arial" w:hAnsi="Arial" w:cs="Arial"/>
                <w:sz w:val="24"/>
                <w:szCs w:val="24"/>
              </w:rPr>
              <w:t>2 (2.1)</w:t>
            </w:r>
          </w:p>
        </w:tc>
        <w:tc>
          <w:tcPr>
            <w:tcW w:w="0" w:type="auto"/>
            <w:vAlign w:val="center"/>
            <w:hideMark/>
          </w:tcPr>
          <w:p w14:paraId="5ACE18F6" w14:textId="77777777" w:rsidR="00284FB7" w:rsidRPr="00487C30" w:rsidRDefault="00284FB7" w:rsidP="00BC66C9">
            <w:pPr>
              <w:spacing w:line="360" w:lineRule="auto"/>
              <w:rPr>
                <w:rFonts w:ascii="Arial" w:hAnsi="Arial" w:cs="Arial"/>
                <w:sz w:val="24"/>
                <w:szCs w:val="24"/>
              </w:rPr>
            </w:pPr>
            <w:r w:rsidRPr="00487C30">
              <w:rPr>
                <w:rFonts w:ascii="Arial" w:hAnsi="Arial" w:cs="Arial"/>
                <w:sz w:val="24"/>
                <w:szCs w:val="24"/>
              </w:rPr>
              <w:t>9 (9.4)</w:t>
            </w:r>
          </w:p>
        </w:tc>
        <w:tc>
          <w:tcPr>
            <w:tcW w:w="0" w:type="auto"/>
            <w:vAlign w:val="center"/>
            <w:hideMark/>
          </w:tcPr>
          <w:p w14:paraId="2FA08875" w14:textId="77777777" w:rsidR="00284FB7" w:rsidRPr="00487C30" w:rsidRDefault="00284FB7" w:rsidP="00BC66C9">
            <w:pPr>
              <w:spacing w:line="360" w:lineRule="auto"/>
              <w:rPr>
                <w:rFonts w:ascii="Arial" w:hAnsi="Arial" w:cs="Arial"/>
                <w:sz w:val="24"/>
                <w:szCs w:val="24"/>
              </w:rPr>
            </w:pPr>
            <w:r w:rsidRPr="00487C30">
              <w:rPr>
                <w:rFonts w:ascii="Arial" w:hAnsi="Arial" w:cs="Arial"/>
                <w:sz w:val="24"/>
                <w:szCs w:val="24"/>
              </w:rPr>
              <w:t>5 (5.2)</w:t>
            </w:r>
          </w:p>
        </w:tc>
        <w:tc>
          <w:tcPr>
            <w:tcW w:w="0" w:type="auto"/>
            <w:vAlign w:val="center"/>
            <w:hideMark/>
          </w:tcPr>
          <w:p w14:paraId="3C9FCA58" w14:textId="77777777" w:rsidR="00284FB7" w:rsidRPr="00487C30" w:rsidRDefault="00284FB7" w:rsidP="00BC66C9">
            <w:pPr>
              <w:spacing w:line="360" w:lineRule="auto"/>
              <w:rPr>
                <w:rFonts w:ascii="Arial" w:hAnsi="Arial" w:cs="Arial"/>
                <w:sz w:val="24"/>
                <w:szCs w:val="24"/>
              </w:rPr>
            </w:pPr>
            <w:r w:rsidRPr="00487C30">
              <w:rPr>
                <w:rFonts w:ascii="Arial" w:hAnsi="Arial" w:cs="Arial"/>
                <w:sz w:val="24"/>
                <w:szCs w:val="24"/>
              </w:rPr>
              <w:t>χ² = 42.91 (p &lt; 0.001)*</w:t>
            </w:r>
          </w:p>
        </w:tc>
        <w:tc>
          <w:tcPr>
            <w:tcW w:w="0" w:type="auto"/>
            <w:vAlign w:val="center"/>
            <w:hideMark/>
          </w:tcPr>
          <w:p w14:paraId="592263A4" w14:textId="77777777" w:rsidR="00284FB7" w:rsidRPr="00487C30" w:rsidRDefault="00284FB7" w:rsidP="00BC66C9">
            <w:pPr>
              <w:spacing w:line="360" w:lineRule="auto"/>
              <w:rPr>
                <w:rFonts w:ascii="Arial" w:hAnsi="Arial" w:cs="Arial"/>
                <w:sz w:val="24"/>
                <w:szCs w:val="24"/>
              </w:rPr>
            </w:pPr>
            <w:r w:rsidRPr="00487C30">
              <w:rPr>
                <w:rFonts w:ascii="Arial" w:hAnsi="Arial" w:cs="Arial"/>
                <w:sz w:val="24"/>
                <w:szCs w:val="24"/>
              </w:rPr>
              <w:t>LR = 36.71 (p &lt; 0.001)*</w:t>
            </w:r>
          </w:p>
        </w:tc>
      </w:tr>
      <w:tr w:rsidR="00284FB7" w:rsidRPr="00487C30" w14:paraId="341061A5" w14:textId="77777777" w:rsidTr="00BC66C9">
        <w:trPr>
          <w:tblCellSpacing w:w="15" w:type="dxa"/>
        </w:trPr>
        <w:tc>
          <w:tcPr>
            <w:tcW w:w="2890" w:type="dxa"/>
            <w:vAlign w:val="center"/>
            <w:hideMark/>
          </w:tcPr>
          <w:p w14:paraId="41E8EF52" w14:textId="77777777" w:rsidR="00284FB7" w:rsidRPr="00487C30" w:rsidRDefault="00284FB7" w:rsidP="00BC66C9">
            <w:pPr>
              <w:spacing w:line="360" w:lineRule="auto"/>
              <w:rPr>
                <w:rFonts w:ascii="Arial" w:hAnsi="Arial" w:cs="Arial"/>
                <w:sz w:val="24"/>
                <w:szCs w:val="24"/>
              </w:rPr>
            </w:pPr>
            <w:r w:rsidRPr="00487C30">
              <w:rPr>
                <w:rStyle w:val="Strong"/>
                <w:rFonts w:ascii="Arial" w:hAnsi="Arial" w:cs="Arial"/>
                <w:sz w:val="24"/>
                <w:szCs w:val="24"/>
              </w:rPr>
              <w:t>Frequency of childhood infections</w:t>
            </w:r>
          </w:p>
        </w:tc>
        <w:tc>
          <w:tcPr>
            <w:tcW w:w="985" w:type="dxa"/>
            <w:vAlign w:val="center"/>
            <w:hideMark/>
          </w:tcPr>
          <w:p w14:paraId="2031E88B" w14:textId="77777777" w:rsidR="00284FB7" w:rsidRPr="00487C30" w:rsidRDefault="00284FB7" w:rsidP="00BC66C9">
            <w:pPr>
              <w:spacing w:line="360" w:lineRule="auto"/>
              <w:rPr>
                <w:rFonts w:ascii="Arial" w:hAnsi="Arial" w:cs="Arial"/>
                <w:sz w:val="24"/>
                <w:szCs w:val="24"/>
              </w:rPr>
            </w:pPr>
            <w:r w:rsidRPr="00487C30">
              <w:rPr>
                <w:rFonts w:ascii="Arial" w:hAnsi="Arial" w:cs="Arial"/>
                <w:sz w:val="24"/>
                <w:szCs w:val="24"/>
              </w:rPr>
              <w:t>2 (2.1)</w:t>
            </w:r>
          </w:p>
        </w:tc>
        <w:tc>
          <w:tcPr>
            <w:tcW w:w="0" w:type="auto"/>
            <w:vAlign w:val="center"/>
            <w:hideMark/>
          </w:tcPr>
          <w:p w14:paraId="35B2E879" w14:textId="77777777" w:rsidR="00284FB7" w:rsidRPr="00487C30" w:rsidRDefault="00284FB7" w:rsidP="00BC66C9">
            <w:pPr>
              <w:spacing w:line="360" w:lineRule="auto"/>
              <w:rPr>
                <w:rFonts w:ascii="Arial" w:hAnsi="Arial" w:cs="Arial"/>
                <w:sz w:val="24"/>
                <w:szCs w:val="24"/>
              </w:rPr>
            </w:pPr>
            <w:r w:rsidRPr="00487C30">
              <w:rPr>
                <w:rFonts w:ascii="Arial" w:hAnsi="Arial" w:cs="Arial"/>
                <w:sz w:val="24"/>
                <w:szCs w:val="24"/>
              </w:rPr>
              <w:t>9 (9.4)</w:t>
            </w:r>
          </w:p>
        </w:tc>
        <w:tc>
          <w:tcPr>
            <w:tcW w:w="0" w:type="auto"/>
            <w:vAlign w:val="center"/>
            <w:hideMark/>
          </w:tcPr>
          <w:p w14:paraId="2B8D4AD7" w14:textId="77777777" w:rsidR="00284FB7" w:rsidRPr="00487C30" w:rsidRDefault="00284FB7" w:rsidP="00BC66C9">
            <w:pPr>
              <w:spacing w:line="360" w:lineRule="auto"/>
              <w:rPr>
                <w:rFonts w:ascii="Arial" w:hAnsi="Arial" w:cs="Arial"/>
                <w:sz w:val="24"/>
                <w:szCs w:val="24"/>
              </w:rPr>
            </w:pPr>
            <w:r w:rsidRPr="00487C30">
              <w:rPr>
                <w:rFonts w:ascii="Arial" w:hAnsi="Arial" w:cs="Arial"/>
                <w:sz w:val="24"/>
                <w:szCs w:val="24"/>
              </w:rPr>
              <w:t>5 (5.2)</w:t>
            </w:r>
          </w:p>
        </w:tc>
        <w:tc>
          <w:tcPr>
            <w:tcW w:w="0" w:type="auto"/>
            <w:vAlign w:val="center"/>
            <w:hideMark/>
          </w:tcPr>
          <w:p w14:paraId="667CEE9F" w14:textId="77777777" w:rsidR="00284FB7" w:rsidRPr="00487C30" w:rsidRDefault="00284FB7" w:rsidP="00BC66C9">
            <w:pPr>
              <w:spacing w:line="360" w:lineRule="auto"/>
              <w:rPr>
                <w:rFonts w:ascii="Arial" w:hAnsi="Arial" w:cs="Arial"/>
                <w:sz w:val="24"/>
                <w:szCs w:val="24"/>
              </w:rPr>
            </w:pPr>
            <w:r w:rsidRPr="00487C30">
              <w:rPr>
                <w:rFonts w:ascii="Arial" w:hAnsi="Arial" w:cs="Arial"/>
                <w:sz w:val="24"/>
                <w:szCs w:val="24"/>
              </w:rPr>
              <w:t>χ² = 4.67 (p = 0.586)</w:t>
            </w:r>
          </w:p>
        </w:tc>
        <w:tc>
          <w:tcPr>
            <w:tcW w:w="0" w:type="auto"/>
            <w:vAlign w:val="center"/>
            <w:hideMark/>
          </w:tcPr>
          <w:p w14:paraId="61DB45C4" w14:textId="77777777" w:rsidR="00284FB7" w:rsidRPr="00487C30" w:rsidRDefault="00284FB7" w:rsidP="00BC66C9">
            <w:pPr>
              <w:spacing w:line="360" w:lineRule="auto"/>
              <w:rPr>
                <w:rFonts w:ascii="Arial" w:hAnsi="Arial" w:cs="Arial"/>
                <w:sz w:val="24"/>
                <w:szCs w:val="24"/>
              </w:rPr>
            </w:pPr>
            <w:r w:rsidRPr="00487C30">
              <w:rPr>
                <w:rFonts w:ascii="Arial" w:hAnsi="Arial" w:cs="Arial"/>
                <w:sz w:val="24"/>
                <w:szCs w:val="24"/>
              </w:rPr>
              <w:t>LR = 5.25 (p = 0.513)</w:t>
            </w:r>
          </w:p>
        </w:tc>
      </w:tr>
      <w:tr w:rsidR="00284FB7" w:rsidRPr="00487C30" w14:paraId="4AE96C16" w14:textId="77777777" w:rsidTr="00BC66C9">
        <w:trPr>
          <w:tblCellSpacing w:w="15" w:type="dxa"/>
        </w:trPr>
        <w:tc>
          <w:tcPr>
            <w:tcW w:w="2890" w:type="dxa"/>
            <w:vAlign w:val="center"/>
            <w:hideMark/>
          </w:tcPr>
          <w:p w14:paraId="737ED0ED" w14:textId="77777777" w:rsidR="00284FB7" w:rsidRPr="00487C30" w:rsidRDefault="00284FB7" w:rsidP="00BC66C9">
            <w:pPr>
              <w:spacing w:line="360" w:lineRule="auto"/>
              <w:rPr>
                <w:rFonts w:ascii="Arial" w:hAnsi="Arial" w:cs="Arial"/>
                <w:sz w:val="24"/>
                <w:szCs w:val="24"/>
              </w:rPr>
            </w:pPr>
            <w:r w:rsidRPr="00487C30">
              <w:rPr>
                <w:rStyle w:val="Strong"/>
                <w:rFonts w:ascii="Arial" w:hAnsi="Arial" w:cs="Arial"/>
                <w:sz w:val="24"/>
                <w:szCs w:val="24"/>
              </w:rPr>
              <w:t xml:space="preserve">Health-seeking </w:t>
            </w:r>
            <w:proofErr w:type="spellStart"/>
            <w:r>
              <w:rPr>
                <w:rStyle w:val="Strong"/>
                <w:rFonts w:ascii="Arial" w:hAnsi="Arial" w:cs="Arial"/>
                <w:sz w:val="24"/>
                <w:szCs w:val="24"/>
              </w:rPr>
              <w:t>behaviour</w:t>
            </w:r>
            <w:proofErr w:type="spellEnd"/>
            <w:r w:rsidRPr="00487C30">
              <w:rPr>
                <w:rStyle w:val="Strong"/>
                <w:rFonts w:ascii="Arial" w:hAnsi="Arial" w:cs="Arial"/>
                <w:sz w:val="24"/>
                <w:szCs w:val="24"/>
              </w:rPr>
              <w:t xml:space="preserve"> for child illness</w:t>
            </w:r>
          </w:p>
        </w:tc>
        <w:tc>
          <w:tcPr>
            <w:tcW w:w="985" w:type="dxa"/>
            <w:vAlign w:val="center"/>
            <w:hideMark/>
          </w:tcPr>
          <w:p w14:paraId="63221A11" w14:textId="77777777" w:rsidR="00284FB7" w:rsidRPr="00487C30" w:rsidRDefault="00284FB7" w:rsidP="00BC66C9">
            <w:pPr>
              <w:spacing w:line="360" w:lineRule="auto"/>
              <w:rPr>
                <w:rFonts w:ascii="Arial" w:hAnsi="Arial" w:cs="Arial"/>
                <w:sz w:val="24"/>
                <w:szCs w:val="24"/>
              </w:rPr>
            </w:pPr>
            <w:r w:rsidRPr="00487C30">
              <w:rPr>
                <w:rFonts w:ascii="Arial" w:hAnsi="Arial" w:cs="Arial"/>
                <w:sz w:val="24"/>
                <w:szCs w:val="24"/>
              </w:rPr>
              <w:t>2 (2.1)</w:t>
            </w:r>
          </w:p>
        </w:tc>
        <w:tc>
          <w:tcPr>
            <w:tcW w:w="0" w:type="auto"/>
            <w:vAlign w:val="center"/>
            <w:hideMark/>
          </w:tcPr>
          <w:p w14:paraId="2E4EF5B0" w14:textId="77777777" w:rsidR="00284FB7" w:rsidRPr="00487C30" w:rsidRDefault="00284FB7" w:rsidP="00BC66C9">
            <w:pPr>
              <w:spacing w:line="360" w:lineRule="auto"/>
              <w:rPr>
                <w:rFonts w:ascii="Arial" w:hAnsi="Arial" w:cs="Arial"/>
                <w:sz w:val="24"/>
                <w:szCs w:val="24"/>
              </w:rPr>
            </w:pPr>
            <w:r w:rsidRPr="00487C30">
              <w:rPr>
                <w:rFonts w:ascii="Arial" w:hAnsi="Arial" w:cs="Arial"/>
                <w:sz w:val="24"/>
                <w:szCs w:val="24"/>
              </w:rPr>
              <w:t>9 (9.4)</w:t>
            </w:r>
          </w:p>
        </w:tc>
        <w:tc>
          <w:tcPr>
            <w:tcW w:w="0" w:type="auto"/>
            <w:vAlign w:val="center"/>
            <w:hideMark/>
          </w:tcPr>
          <w:p w14:paraId="26342FEA" w14:textId="77777777" w:rsidR="00284FB7" w:rsidRPr="00487C30" w:rsidRDefault="00284FB7" w:rsidP="00BC66C9">
            <w:pPr>
              <w:spacing w:line="360" w:lineRule="auto"/>
              <w:rPr>
                <w:rFonts w:ascii="Arial" w:hAnsi="Arial" w:cs="Arial"/>
                <w:sz w:val="24"/>
                <w:szCs w:val="24"/>
              </w:rPr>
            </w:pPr>
            <w:r w:rsidRPr="00487C30">
              <w:rPr>
                <w:rFonts w:ascii="Arial" w:hAnsi="Arial" w:cs="Arial"/>
                <w:sz w:val="24"/>
                <w:szCs w:val="24"/>
              </w:rPr>
              <w:t>5 (5.2)</w:t>
            </w:r>
          </w:p>
        </w:tc>
        <w:tc>
          <w:tcPr>
            <w:tcW w:w="0" w:type="auto"/>
            <w:vAlign w:val="center"/>
            <w:hideMark/>
          </w:tcPr>
          <w:p w14:paraId="3B1EE8B8" w14:textId="77777777" w:rsidR="00284FB7" w:rsidRPr="00487C30" w:rsidRDefault="00284FB7" w:rsidP="00BC66C9">
            <w:pPr>
              <w:spacing w:line="360" w:lineRule="auto"/>
              <w:rPr>
                <w:rFonts w:ascii="Arial" w:hAnsi="Arial" w:cs="Arial"/>
                <w:sz w:val="24"/>
                <w:szCs w:val="24"/>
              </w:rPr>
            </w:pPr>
            <w:r w:rsidRPr="00487C30">
              <w:rPr>
                <w:rFonts w:ascii="Arial" w:hAnsi="Arial" w:cs="Arial"/>
                <w:sz w:val="24"/>
                <w:szCs w:val="24"/>
              </w:rPr>
              <w:t>χ² = 0.20 (p = 0.977)</w:t>
            </w:r>
          </w:p>
        </w:tc>
        <w:tc>
          <w:tcPr>
            <w:tcW w:w="0" w:type="auto"/>
            <w:vAlign w:val="center"/>
            <w:hideMark/>
          </w:tcPr>
          <w:p w14:paraId="2BD2A3FA" w14:textId="77777777" w:rsidR="00284FB7" w:rsidRPr="00487C30" w:rsidRDefault="00284FB7" w:rsidP="00BC66C9">
            <w:pPr>
              <w:spacing w:line="360" w:lineRule="auto"/>
              <w:rPr>
                <w:rFonts w:ascii="Arial" w:hAnsi="Arial" w:cs="Arial"/>
                <w:sz w:val="24"/>
                <w:szCs w:val="24"/>
              </w:rPr>
            </w:pPr>
            <w:r w:rsidRPr="00487C30">
              <w:rPr>
                <w:rFonts w:ascii="Arial" w:hAnsi="Arial" w:cs="Arial"/>
                <w:sz w:val="24"/>
                <w:szCs w:val="24"/>
              </w:rPr>
              <w:t>LR = 0.37 (p = 0.947)</w:t>
            </w:r>
          </w:p>
        </w:tc>
      </w:tr>
      <w:tr w:rsidR="00284FB7" w:rsidRPr="00487C30" w14:paraId="158DB8F0" w14:textId="77777777" w:rsidTr="00BC66C9">
        <w:trPr>
          <w:tblCellSpacing w:w="15" w:type="dxa"/>
        </w:trPr>
        <w:tc>
          <w:tcPr>
            <w:tcW w:w="2890" w:type="dxa"/>
            <w:vAlign w:val="center"/>
            <w:hideMark/>
          </w:tcPr>
          <w:p w14:paraId="77E45FA8" w14:textId="77777777" w:rsidR="00284FB7" w:rsidRPr="00487C30" w:rsidRDefault="00284FB7" w:rsidP="00BC66C9">
            <w:pPr>
              <w:spacing w:line="360" w:lineRule="auto"/>
              <w:rPr>
                <w:rFonts w:ascii="Arial" w:hAnsi="Arial" w:cs="Arial"/>
                <w:sz w:val="24"/>
                <w:szCs w:val="24"/>
              </w:rPr>
            </w:pPr>
            <w:r w:rsidRPr="00487C30">
              <w:rPr>
                <w:rStyle w:val="Strong"/>
                <w:rFonts w:ascii="Arial" w:hAnsi="Arial" w:cs="Arial"/>
                <w:sz w:val="24"/>
                <w:szCs w:val="24"/>
              </w:rPr>
              <w:t>Major challenges to child feeding</w:t>
            </w:r>
          </w:p>
        </w:tc>
        <w:tc>
          <w:tcPr>
            <w:tcW w:w="985" w:type="dxa"/>
            <w:vAlign w:val="center"/>
            <w:hideMark/>
          </w:tcPr>
          <w:p w14:paraId="0F369DCE" w14:textId="77777777" w:rsidR="00284FB7" w:rsidRPr="00487C30" w:rsidRDefault="00284FB7" w:rsidP="00BC66C9">
            <w:pPr>
              <w:spacing w:line="360" w:lineRule="auto"/>
              <w:rPr>
                <w:rFonts w:ascii="Arial" w:hAnsi="Arial" w:cs="Arial"/>
                <w:sz w:val="24"/>
                <w:szCs w:val="24"/>
              </w:rPr>
            </w:pPr>
            <w:r w:rsidRPr="00487C30">
              <w:rPr>
                <w:rFonts w:ascii="Arial" w:hAnsi="Arial" w:cs="Arial"/>
                <w:sz w:val="24"/>
                <w:szCs w:val="24"/>
              </w:rPr>
              <w:t>2 (2.1)</w:t>
            </w:r>
          </w:p>
        </w:tc>
        <w:tc>
          <w:tcPr>
            <w:tcW w:w="0" w:type="auto"/>
            <w:vAlign w:val="center"/>
            <w:hideMark/>
          </w:tcPr>
          <w:p w14:paraId="3D509F5C" w14:textId="77777777" w:rsidR="00284FB7" w:rsidRPr="00487C30" w:rsidRDefault="00284FB7" w:rsidP="00BC66C9">
            <w:pPr>
              <w:spacing w:line="360" w:lineRule="auto"/>
              <w:rPr>
                <w:rFonts w:ascii="Arial" w:hAnsi="Arial" w:cs="Arial"/>
                <w:sz w:val="24"/>
                <w:szCs w:val="24"/>
              </w:rPr>
            </w:pPr>
            <w:r w:rsidRPr="00487C30">
              <w:rPr>
                <w:rFonts w:ascii="Arial" w:hAnsi="Arial" w:cs="Arial"/>
                <w:sz w:val="24"/>
                <w:szCs w:val="24"/>
              </w:rPr>
              <w:t>9 (9.4)</w:t>
            </w:r>
          </w:p>
        </w:tc>
        <w:tc>
          <w:tcPr>
            <w:tcW w:w="0" w:type="auto"/>
            <w:vAlign w:val="center"/>
            <w:hideMark/>
          </w:tcPr>
          <w:p w14:paraId="58FE56C0" w14:textId="77777777" w:rsidR="00284FB7" w:rsidRPr="00487C30" w:rsidRDefault="00284FB7" w:rsidP="00BC66C9">
            <w:pPr>
              <w:spacing w:line="360" w:lineRule="auto"/>
              <w:rPr>
                <w:rFonts w:ascii="Arial" w:hAnsi="Arial" w:cs="Arial"/>
                <w:sz w:val="24"/>
                <w:szCs w:val="24"/>
              </w:rPr>
            </w:pPr>
            <w:r w:rsidRPr="00487C30">
              <w:rPr>
                <w:rFonts w:ascii="Arial" w:hAnsi="Arial" w:cs="Arial"/>
                <w:sz w:val="24"/>
                <w:szCs w:val="24"/>
              </w:rPr>
              <w:t>5 (5.2)</w:t>
            </w:r>
          </w:p>
        </w:tc>
        <w:tc>
          <w:tcPr>
            <w:tcW w:w="0" w:type="auto"/>
            <w:vAlign w:val="center"/>
            <w:hideMark/>
          </w:tcPr>
          <w:p w14:paraId="3052E4C9" w14:textId="77777777" w:rsidR="00284FB7" w:rsidRPr="00487C30" w:rsidRDefault="00284FB7" w:rsidP="00BC66C9">
            <w:pPr>
              <w:spacing w:line="360" w:lineRule="auto"/>
              <w:rPr>
                <w:rFonts w:ascii="Arial" w:hAnsi="Arial" w:cs="Arial"/>
                <w:sz w:val="24"/>
                <w:szCs w:val="24"/>
              </w:rPr>
            </w:pPr>
            <w:r w:rsidRPr="00487C30">
              <w:rPr>
                <w:rFonts w:ascii="Arial" w:hAnsi="Arial" w:cs="Arial"/>
                <w:sz w:val="24"/>
                <w:szCs w:val="24"/>
              </w:rPr>
              <w:t>χ² = 4.55 (p = 0.971)</w:t>
            </w:r>
          </w:p>
        </w:tc>
        <w:tc>
          <w:tcPr>
            <w:tcW w:w="0" w:type="auto"/>
            <w:vAlign w:val="center"/>
            <w:hideMark/>
          </w:tcPr>
          <w:p w14:paraId="771FAF1C" w14:textId="77777777" w:rsidR="00284FB7" w:rsidRPr="00487C30" w:rsidRDefault="00284FB7" w:rsidP="00BC66C9">
            <w:pPr>
              <w:spacing w:line="360" w:lineRule="auto"/>
              <w:rPr>
                <w:rFonts w:ascii="Arial" w:hAnsi="Arial" w:cs="Arial"/>
                <w:sz w:val="24"/>
                <w:szCs w:val="24"/>
              </w:rPr>
            </w:pPr>
            <w:r w:rsidRPr="00487C30">
              <w:rPr>
                <w:rFonts w:ascii="Arial" w:hAnsi="Arial" w:cs="Arial"/>
                <w:sz w:val="24"/>
                <w:szCs w:val="24"/>
              </w:rPr>
              <w:t>LR = 5.66 (p = 0.932)</w:t>
            </w:r>
          </w:p>
        </w:tc>
      </w:tr>
      <w:tr w:rsidR="00284FB7" w:rsidRPr="00487C30" w14:paraId="19F170FC" w14:textId="77777777" w:rsidTr="00BC66C9">
        <w:trPr>
          <w:tblCellSpacing w:w="15" w:type="dxa"/>
        </w:trPr>
        <w:tc>
          <w:tcPr>
            <w:tcW w:w="2890" w:type="dxa"/>
            <w:vAlign w:val="center"/>
            <w:hideMark/>
          </w:tcPr>
          <w:p w14:paraId="78FC9B16" w14:textId="77777777" w:rsidR="00284FB7" w:rsidRPr="00487C30" w:rsidRDefault="00284FB7" w:rsidP="00BC66C9">
            <w:pPr>
              <w:spacing w:line="360" w:lineRule="auto"/>
              <w:rPr>
                <w:rFonts w:ascii="Arial" w:hAnsi="Arial" w:cs="Arial"/>
                <w:sz w:val="24"/>
                <w:szCs w:val="24"/>
              </w:rPr>
            </w:pPr>
            <w:r w:rsidRPr="00487C30">
              <w:rPr>
                <w:rStyle w:val="Strong"/>
                <w:rFonts w:ascii="Arial" w:hAnsi="Arial" w:cs="Arial"/>
                <w:sz w:val="24"/>
                <w:szCs w:val="24"/>
              </w:rPr>
              <w:t>Interest in nutrition training programs</w:t>
            </w:r>
          </w:p>
        </w:tc>
        <w:tc>
          <w:tcPr>
            <w:tcW w:w="985" w:type="dxa"/>
            <w:vAlign w:val="center"/>
            <w:hideMark/>
          </w:tcPr>
          <w:p w14:paraId="0DD69B46" w14:textId="77777777" w:rsidR="00284FB7" w:rsidRPr="00487C30" w:rsidRDefault="00284FB7" w:rsidP="00BC66C9">
            <w:pPr>
              <w:spacing w:line="360" w:lineRule="auto"/>
              <w:rPr>
                <w:rFonts w:ascii="Arial" w:hAnsi="Arial" w:cs="Arial"/>
                <w:sz w:val="24"/>
                <w:szCs w:val="24"/>
              </w:rPr>
            </w:pPr>
            <w:r w:rsidRPr="00487C30">
              <w:rPr>
                <w:rFonts w:ascii="Arial" w:hAnsi="Arial" w:cs="Arial"/>
                <w:sz w:val="24"/>
                <w:szCs w:val="24"/>
              </w:rPr>
              <w:t>2 (2.1)</w:t>
            </w:r>
          </w:p>
        </w:tc>
        <w:tc>
          <w:tcPr>
            <w:tcW w:w="0" w:type="auto"/>
            <w:vAlign w:val="center"/>
            <w:hideMark/>
          </w:tcPr>
          <w:p w14:paraId="7D0F7EB4" w14:textId="77777777" w:rsidR="00284FB7" w:rsidRPr="00487C30" w:rsidRDefault="00284FB7" w:rsidP="00BC66C9">
            <w:pPr>
              <w:spacing w:line="360" w:lineRule="auto"/>
              <w:rPr>
                <w:rFonts w:ascii="Arial" w:hAnsi="Arial" w:cs="Arial"/>
                <w:sz w:val="24"/>
                <w:szCs w:val="24"/>
              </w:rPr>
            </w:pPr>
            <w:r w:rsidRPr="00487C30">
              <w:rPr>
                <w:rFonts w:ascii="Arial" w:hAnsi="Arial" w:cs="Arial"/>
                <w:sz w:val="24"/>
                <w:szCs w:val="24"/>
              </w:rPr>
              <w:t>9 (9.4)</w:t>
            </w:r>
          </w:p>
        </w:tc>
        <w:tc>
          <w:tcPr>
            <w:tcW w:w="0" w:type="auto"/>
            <w:vAlign w:val="center"/>
            <w:hideMark/>
          </w:tcPr>
          <w:p w14:paraId="567CBB05" w14:textId="77777777" w:rsidR="00284FB7" w:rsidRPr="00487C30" w:rsidRDefault="00284FB7" w:rsidP="00BC66C9">
            <w:pPr>
              <w:spacing w:line="360" w:lineRule="auto"/>
              <w:rPr>
                <w:rFonts w:ascii="Arial" w:hAnsi="Arial" w:cs="Arial"/>
                <w:sz w:val="24"/>
                <w:szCs w:val="24"/>
              </w:rPr>
            </w:pPr>
            <w:r w:rsidRPr="00487C30">
              <w:rPr>
                <w:rFonts w:ascii="Arial" w:hAnsi="Arial" w:cs="Arial"/>
                <w:sz w:val="24"/>
                <w:szCs w:val="24"/>
              </w:rPr>
              <w:t>5 (5.2)</w:t>
            </w:r>
          </w:p>
        </w:tc>
        <w:tc>
          <w:tcPr>
            <w:tcW w:w="0" w:type="auto"/>
            <w:vAlign w:val="center"/>
            <w:hideMark/>
          </w:tcPr>
          <w:p w14:paraId="0A1FA3EF" w14:textId="77777777" w:rsidR="00284FB7" w:rsidRPr="00487C30" w:rsidRDefault="00284FB7" w:rsidP="00BC66C9">
            <w:pPr>
              <w:spacing w:line="360" w:lineRule="auto"/>
              <w:rPr>
                <w:rFonts w:ascii="Arial" w:hAnsi="Arial" w:cs="Arial"/>
                <w:sz w:val="24"/>
                <w:szCs w:val="24"/>
              </w:rPr>
            </w:pPr>
            <w:r w:rsidRPr="00487C30">
              <w:rPr>
                <w:rFonts w:ascii="Arial" w:hAnsi="Arial" w:cs="Arial"/>
                <w:sz w:val="24"/>
                <w:szCs w:val="24"/>
              </w:rPr>
              <w:t>χ² = 0.84 (p = 0.841)</w:t>
            </w:r>
          </w:p>
        </w:tc>
        <w:tc>
          <w:tcPr>
            <w:tcW w:w="0" w:type="auto"/>
            <w:vAlign w:val="center"/>
            <w:hideMark/>
          </w:tcPr>
          <w:p w14:paraId="7AE0B7A0" w14:textId="77777777" w:rsidR="00284FB7" w:rsidRPr="00487C30" w:rsidRDefault="00284FB7" w:rsidP="00BC66C9">
            <w:pPr>
              <w:spacing w:line="360" w:lineRule="auto"/>
              <w:rPr>
                <w:rFonts w:ascii="Arial" w:hAnsi="Arial" w:cs="Arial"/>
                <w:sz w:val="24"/>
                <w:szCs w:val="24"/>
              </w:rPr>
            </w:pPr>
            <w:r w:rsidRPr="00487C30">
              <w:rPr>
                <w:rFonts w:ascii="Arial" w:hAnsi="Arial" w:cs="Arial"/>
                <w:sz w:val="24"/>
                <w:szCs w:val="24"/>
              </w:rPr>
              <w:t>LR = 1.49 (p = 0.684)</w:t>
            </w:r>
          </w:p>
        </w:tc>
      </w:tr>
      <w:tr w:rsidR="00284FB7" w:rsidRPr="00487C30" w14:paraId="157B4BEA" w14:textId="77777777" w:rsidTr="00BC66C9">
        <w:trPr>
          <w:tblCellSpacing w:w="15" w:type="dxa"/>
        </w:trPr>
        <w:tc>
          <w:tcPr>
            <w:tcW w:w="2890" w:type="dxa"/>
            <w:vAlign w:val="center"/>
            <w:hideMark/>
          </w:tcPr>
          <w:p w14:paraId="5E8830C3" w14:textId="77777777" w:rsidR="00284FB7" w:rsidRPr="00487C30" w:rsidRDefault="00284FB7" w:rsidP="00BC66C9">
            <w:pPr>
              <w:spacing w:line="360" w:lineRule="auto"/>
              <w:rPr>
                <w:rFonts w:ascii="Arial" w:hAnsi="Arial" w:cs="Arial"/>
                <w:sz w:val="24"/>
                <w:szCs w:val="24"/>
              </w:rPr>
            </w:pPr>
            <w:r w:rsidRPr="00487C30">
              <w:rPr>
                <w:rStyle w:val="Strong"/>
                <w:rFonts w:ascii="Arial" w:hAnsi="Arial" w:cs="Arial"/>
                <w:sz w:val="24"/>
                <w:szCs w:val="24"/>
              </w:rPr>
              <w:lastRenderedPageBreak/>
              <w:t>Received formal nutrition management training</w:t>
            </w:r>
          </w:p>
        </w:tc>
        <w:tc>
          <w:tcPr>
            <w:tcW w:w="985" w:type="dxa"/>
            <w:vAlign w:val="center"/>
            <w:hideMark/>
          </w:tcPr>
          <w:p w14:paraId="29C3920A" w14:textId="77777777" w:rsidR="00284FB7" w:rsidRPr="00487C30" w:rsidRDefault="00284FB7" w:rsidP="00BC66C9">
            <w:pPr>
              <w:spacing w:line="360" w:lineRule="auto"/>
              <w:rPr>
                <w:rFonts w:ascii="Arial" w:hAnsi="Arial" w:cs="Arial"/>
                <w:sz w:val="24"/>
                <w:szCs w:val="24"/>
              </w:rPr>
            </w:pPr>
            <w:r w:rsidRPr="00487C30">
              <w:rPr>
                <w:rFonts w:ascii="Arial" w:hAnsi="Arial" w:cs="Arial"/>
                <w:sz w:val="24"/>
                <w:szCs w:val="24"/>
              </w:rPr>
              <w:t>2 (2.1)</w:t>
            </w:r>
          </w:p>
        </w:tc>
        <w:tc>
          <w:tcPr>
            <w:tcW w:w="0" w:type="auto"/>
            <w:vAlign w:val="center"/>
            <w:hideMark/>
          </w:tcPr>
          <w:p w14:paraId="4EC6645F" w14:textId="77777777" w:rsidR="00284FB7" w:rsidRPr="00487C30" w:rsidRDefault="00284FB7" w:rsidP="00BC66C9">
            <w:pPr>
              <w:spacing w:line="360" w:lineRule="auto"/>
              <w:rPr>
                <w:rFonts w:ascii="Arial" w:hAnsi="Arial" w:cs="Arial"/>
                <w:sz w:val="24"/>
                <w:szCs w:val="24"/>
              </w:rPr>
            </w:pPr>
            <w:r w:rsidRPr="00487C30">
              <w:rPr>
                <w:rFonts w:ascii="Arial" w:hAnsi="Arial" w:cs="Arial"/>
                <w:sz w:val="24"/>
                <w:szCs w:val="24"/>
              </w:rPr>
              <w:t>9 (9.4)</w:t>
            </w:r>
          </w:p>
        </w:tc>
        <w:tc>
          <w:tcPr>
            <w:tcW w:w="0" w:type="auto"/>
            <w:vAlign w:val="center"/>
            <w:hideMark/>
          </w:tcPr>
          <w:p w14:paraId="2C056914" w14:textId="77777777" w:rsidR="00284FB7" w:rsidRPr="00487C30" w:rsidRDefault="00284FB7" w:rsidP="00BC66C9">
            <w:pPr>
              <w:spacing w:line="360" w:lineRule="auto"/>
              <w:rPr>
                <w:rFonts w:ascii="Arial" w:hAnsi="Arial" w:cs="Arial"/>
                <w:sz w:val="24"/>
                <w:szCs w:val="24"/>
              </w:rPr>
            </w:pPr>
            <w:r w:rsidRPr="00487C30">
              <w:rPr>
                <w:rFonts w:ascii="Arial" w:hAnsi="Arial" w:cs="Arial"/>
                <w:sz w:val="24"/>
                <w:szCs w:val="24"/>
              </w:rPr>
              <w:t>5 (5.2)</w:t>
            </w:r>
          </w:p>
        </w:tc>
        <w:tc>
          <w:tcPr>
            <w:tcW w:w="0" w:type="auto"/>
            <w:vAlign w:val="center"/>
            <w:hideMark/>
          </w:tcPr>
          <w:p w14:paraId="669CF290" w14:textId="77777777" w:rsidR="00284FB7" w:rsidRPr="00487C30" w:rsidRDefault="00284FB7" w:rsidP="00BC66C9">
            <w:pPr>
              <w:spacing w:line="360" w:lineRule="auto"/>
              <w:rPr>
                <w:rFonts w:ascii="Arial" w:hAnsi="Arial" w:cs="Arial"/>
                <w:sz w:val="24"/>
                <w:szCs w:val="24"/>
              </w:rPr>
            </w:pPr>
            <w:r w:rsidRPr="00487C30">
              <w:rPr>
                <w:rFonts w:ascii="Arial" w:hAnsi="Arial" w:cs="Arial"/>
                <w:sz w:val="24"/>
                <w:szCs w:val="24"/>
              </w:rPr>
              <w:t>χ² = 3.07 (p = 0.800)</w:t>
            </w:r>
          </w:p>
        </w:tc>
        <w:tc>
          <w:tcPr>
            <w:tcW w:w="0" w:type="auto"/>
            <w:vAlign w:val="center"/>
            <w:hideMark/>
          </w:tcPr>
          <w:p w14:paraId="2E127766" w14:textId="77777777" w:rsidR="00284FB7" w:rsidRPr="00487C30" w:rsidRDefault="00284FB7" w:rsidP="00BC66C9">
            <w:pPr>
              <w:spacing w:line="360" w:lineRule="auto"/>
              <w:rPr>
                <w:rFonts w:ascii="Arial" w:hAnsi="Arial" w:cs="Arial"/>
                <w:sz w:val="24"/>
                <w:szCs w:val="24"/>
              </w:rPr>
            </w:pPr>
            <w:r w:rsidRPr="00487C30">
              <w:rPr>
                <w:rFonts w:ascii="Arial" w:hAnsi="Arial" w:cs="Arial"/>
                <w:sz w:val="24"/>
                <w:szCs w:val="24"/>
              </w:rPr>
              <w:t>LR = 5.00 (p = 0.544)</w:t>
            </w:r>
          </w:p>
        </w:tc>
      </w:tr>
      <w:tr w:rsidR="00284FB7" w:rsidRPr="00487C30" w14:paraId="6FD66EB8" w14:textId="77777777" w:rsidTr="00BC66C9">
        <w:trPr>
          <w:tblCellSpacing w:w="15" w:type="dxa"/>
        </w:trPr>
        <w:tc>
          <w:tcPr>
            <w:tcW w:w="2890" w:type="dxa"/>
            <w:vAlign w:val="center"/>
            <w:hideMark/>
          </w:tcPr>
          <w:p w14:paraId="361C0AE7" w14:textId="77777777" w:rsidR="00284FB7" w:rsidRPr="00487C30" w:rsidRDefault="00284FB7" w:rsidP="00BC66C9">
            <w:pPr>
              <w:spacing w:line="360" w:lineRule="auto"/>
              <w:rPr>
                <w:rFonts w:ascii="Arial" w:hAnsi="Arial" w:cs="Arial"/>
                <w:sz w:val="24"/>
                <w:szCs w:val="24"/>
              </w:rPr>
            </w:pPr>
            <w:r w:rsidRPr="00487C30">
              <w:rPr>
                <w:rStyle w:val="Strong"/>
                <w:rFonts w:ascii="Arial" w:hAnsi="Arial" w:cs="Arial"/>
                <w:sz w:val="24"/>
                <w:szCs w:val="24"/>
              </w:rPr>
              <w:t>Provision of nutrition education to caregivers</w:t>
            </w:r>
          </w:p>
        </w:tc>
        <w:tc>
          <w:tcPr>
            <w:tcW w:w="985" w:type="dxa"/>
            <w:vAlign w:val="center"/>
            <w:hideMark/>
          </w:tcPr>
          <w:p w14:paraId="6CDB10EA" w14:textId="77777777" w:rsidR="00284FB7" w:rsidRPr="00487C30" w:rsidRDefault="00284FB7" w:rsidP="00BC66C9">
            <w:pPr>
              <w:spacing w:line="360" w:lineRule="auto"/>
              <w:rPr>
                <w:rFonts w:ascii="Arial" w:hAnsi="Arial" w:cs="Arial"/>
                <w:sz w:val="24"/>
                <w:szCs w:val="24"/>
              </w:rPr>
            </w:pPr>
            <w:r w:rsidRPr="00487C30">
              <w:rPr>
                <w:rFonts w:ascii="Arial" w:hAnsi="Arial" w:cs="Arial"/>
                <w:sz w:val="24"/>
                <w:szCs w:val="24"/>
              </w:rPr>
              <w:t>2 (2.1)</w:t>
            </w:r>
          </w:p>
        </w:tc>
        <w:tc>
          <w:tcPr>
            <w:tcW w:w="0" w:type="auto"/>
            <w:vAlign w:val="center"/>
            <w:hideMark/>
          </w:tcPr>
          <w:p w14:paraId="2B24C869" w14:textId="77777777" w:rsidR="00284FB7" w:rsidRPr="00487C30" w:rsidRDefault="00284FB7" w:rsidP="00BC66C9">
            <w:pPr>
              <w:spacing w:line="360" w:lineRule="auto"/>
              <w:rPr>
                <w:rFonts w:ascii="Arial" w:hAnsi="Arial" w:cs="Arial"/>
                <w:sz w:val="24"/>
                <w:szCs w:val="24"/>
              </w:rPr>
            </w:pPr>
            <w:r w:rsidRPr="00487C30">
              <w:rPr>
                <w:rFonts w:ascii="Arial" w:hAnsi="Arial" w:cs="Arial"/>
                <w:sz w:val="24"/>
                <w:szCs w:val="24"/>
              </w:rPr>
              <w:t>9 (9.4)</w:t>
            </w:r>
          </w:p>
        </w:tc>
        <w:tc>
          <w:tcPr>
            <w:tcW w:w="0" w:type="auto"/>
            <w:vAlign w:val="center"/>
            <w:hideMark/>
          </w:tcPr>
          <w:p w14:paraId="3D293119" w14:textId="77777777" w:rsidR="00284FB7" w:rsidRPr="00487C30" w:rsidRDefault="00284FB7" w:rsidP="00BC66C9">
            <w:pPr>
              <w:spacing w:line="360" w:lineRule="auto"/>
              <w:rPr>
                <w:rFonts w:ascii="Arial" w:hAnsi="Arial" w:cs="Arial"/>
                <w:sz w:val="24"/>
                <w:szCs w:val="24"/>
              </w:rPr>
            </w:pPr>
            <w:r w:rsidRPr="00487C30">
              <w:rPr>
                <w:rFonts w:ascii="Arial" w:hAnsi="Arial" w:cs="Arial"/>
                <w:sz w:val="24"/>
                <w:szCs w:val="24"/>
              </w:rPr>
              <w:t>5 (5.2)</w:t>
            </w:r>
          </w:p>
        </w:tc>
        <w:tc>
          <w:tcPr>
            <w:tcW w:w="0" w:type="auto"/>
            <w:vAlign w:val="center"/>
            <w:hideMark/>
          </w:tcPr>
          <w:p w14:paraId="704D5476" w14:textId="77777777" w:rsidR="00284FB7" w:rsidRPr="00487C30" w:rsidRDefault="00284FB7" w:rsidP="00BC66C9">
            <w:pPr>
              <w:spacing w:line="360" w:lineRule="auto"/>
              <w:rPr>
                <w:rFonts w:ascii="Arial" w:hAnsi="Arial" w:cs="Arial"/>
                <w:sz w:val="24"/>
                <w:szCs w:val="24"/>
              </w:rPr>
            </w:pPr>
            <w:r w:rsidRPr="00487C30">
              <w:rPr>
                <w:rFonts w:ascii="Arial" w:hAnsi="Arial" w:cs="Arial"/>
                <w:sz w:val="24"/>
                <w:szCs w:val="24"/>
              </w:rPr>
              <w:t>χ² = 4.71 (p = 0.967)</w:t>
            </w:r>
          </w:p>
        </w:tc>
        <w:tc>
          <w:tcPr>
            <w:tcW w:w="0" w:type="auto"/>
            <w:vAlign w:val="center"/>
            <w:hideMark/>
          </w:tcPr>
          <w:p w14:paraId="61AE1E8A" w14:textId="77777777" w:rsidR="00284FB7" w:rsidRPr="00487C30" w:rsidRDefault="00284FB7" w:rsidP="00BC66C9">
            <w:pPr>
              <w:spacing w:line="360" w:lineRule="auto"/>
              <w:rPr>
                <w:rFonts w:ascii="Arial" w:hAnsi="Arial" w:cs="Arial"/>
                <w:sz w:val="24"/>
                <w:szCs w:val="24"/>
              </w:rPr>
            </w:pPr>
            <w:r w:rsidRPr="00487C30">
              <w:rPr>
                <w:rFonts w:ascii="Arial" w:hAnsi="Arial" w:cs="Arial"/>
                <w:sz w:val="24"/>
                <w:szCs w:val="24"/>
              </w:rPr>
              <w:t>LR = 7.41 (p = 0.829)</w:t>
            </w:r>
          </w:p>
        </w:tc>
      </w:tr>
    </w:tbl>
    <w:p w14:paraId="106279D7" w14:textId="77777777" w:rsidR="00284FB7" w:rsidRPr="00487C30" w:rsidRDefault="00284FB7" w:rsidP="00284FB7">
      <w:pPr>
        <w:pStyle w:val="Heading3"/>
        <w:spacing w:line="360" w:lineRule="auto"/>
        <w:rPr>
          <w:rFonts w:ascii="Arial" w:hAnsi="Arial" w:cs="Arial"/>
        </w:rPr>
      </w:pPr>
    </w:p>
    <w:p w14:paraId="2CE8DD49" w14:textId="77777777" w:rsidR="00284FB7" w:rsidRPr="00487C30" w:rsidRDefault="00284FB7" w:rsidP="00284FB7">
      <w:pPr>
        <w:pStyle w:val="Heading3"/>
        <w:spacing w:line="360" w:lineRule="auto"/>
        <w:rPr>
          <w:rFonts w:ascii="Arial" w:hAnsi="Arial" w:cs="Arial"/>
          <w:color w:val="auto"/>
        </w:rPr>
      </w:pPr>
      <w:r w:rsidRPr="00487C30">
        <w:rPr>
          <w:rFonts w:ascii="Arial" w:hAnsi="Arial" w:cs="Arial"/>
          <w:color w:val="auto"/>
        </w:rPr>
        <w:t>Barriers and Interventions</w:t>
      </w:r>
    </w:p>
    <w:p w14:paraId="7C7E0B7D" w14:textId="637716AD" w:rsidR="00284FB7" w:rsidRPr="00487C30" w:rsidRDefault="00284FB7" w:rsidP="00284FB7">
      <w:pPr>
        <w:pStyle w:val="NormalWeb"/>
        <w:spacing w:line="360" w:lineRule="auto"/>
        <w:jc w:val="both"/>
        <w:rPr>
          <w:rFonts w:ascii="Arial" w:hAnsi="Arial" w:cs="Arial"/>
        </w:rPr>
      </w:pPr>
      <w:r w:rsidRPr="00487C30">
        <w:rPr>
          <w:rFonts w:ascii="Arial" w:hAnsi="Arial" w:cs="Arial"/>
        </w:rPr>
        <w:t xml:space="preserve">Among the 96 respondents, the most frequently reported challenge to appropriate child feeding was </w:t>
      </w:r>
      <w:r w:rsidRPr="00487C30">
        <w:rPr>
          <w:rStyle w:val="Strong"/>
          <w:rFonts w:ascii="Arial" w:hAnsi="Arial" w:cs="Arial"/>
          <w:b w:val="0"/>
        </w:rPr>
        <w:t>lack of knowledge</w:t>
      </w:r>
      <w:r w:rsidRPr="00487C30">
        <w:rPr>
          <w:rFonts w:ascii="Arial" w:hAnsi="Arial" w:cs="Arial"/>
        </w:rPr>
        <w:t xml:space="preserve">, cited by 41.7% (n = 40) of caregivers. This was followed by </w:t>
      </w:r>
      <w:r w:rsidRPr="00487C30">
        <w:rPr>
          <w:rStyle w:val="Strong"/>
          <w:rFonts w:ascii="Arial" w:hAnsi="Arial" w:cs="Arial"/>
          <w:b w:val="0"/>
        </w:rPr>
        <w:t>financial constraints</w:t>
      </w:r>
      <w:r w:rsidRPr="00487C30">
        <w:rPr>
          <w:rFonts w:ascii="Arial" w:hAnsi="Arial" w:cs="Arial"/>
        </w:rPr>
        <w:t xml:space="preserve">, reported by 24.0% (n = 23). Nearly </w:t>
      </w:r>
      <w:r w:rsidR="00C75314">
        <w:rPr>
          <w:rFonts w:ascii="Arial" w:hAnsi="Arial" w:cs="Arial"/>
        </w:rPr>
        <w:t xml:space="preserve">one-third of respondents (30.2%, n = 29) reported no challenges, suggesting </w:t>
      </w:r>
      <w:r w:rsidRPr="00487C30">
        <w:rPr>
          <w:rFonts w:ascii="Arial" w:hAnsi="Arial" w:cs="Arial"/>
        </w:rPr>
        <w:t>they perceived their child-feeding practices as adequate</w:t>
      </w:r>
      <w:r w:rsidRPr="00487C30">
        <w:rPr>
          <w:rFonts w:ascii="Arial" w:hAnsi="Arial" w:cs="Arial"/>
          <w:b/>
        </w:rPr>
        <w:t xml:space="preserve">. </w:t>
      </w:r>
      <w:r w:rsidRPr="00487C30">
        <w:rPr>
          <w:rStyle w:val="Strong"/>
          <w:rFonts w:ascii="Arial" w:hAnsi="Arial" w:cs="Arial"/>
          <w:b w:val="0"/>
        </w:rPr>
        <w:t>Poor access to nutritious food</w:t>
      </w:r>
      <w:r w:rsidRPr="00487C30">
        <w:rPr>
          <w:rFonts w:ascii="Arial" w:hAnsi="Arial" w:cs="Arial"/>
        </w:rPr>
        <w:t xml:space="preserve"> was reported by 3.1% (n = 3) of caregivers, while </w:t>
      </w:r>
      <w:r w:rsidRPr="00487C30">
        <w:rPr>
          <w:rStyle w:val="Strong"/>
          <w:rFonts w:ascii="Arial" w:hAnsi="Arial" w:cs="Arial"/>
          <w:b w:val="0"/>
        </w:rPr>
        <w:t>cultural beliefs</w:t>
      </w:r>
      <w:r w:rsidRPr="00487C30">
        <w:rPr>
          <w:rFonts w:ascii="Arial" w:hAnsi="Arial" w:cs="Arial"/>
        </w:rPr>
        <w:t xml:space="preserve"> were identified as a barrier by only 1.0% (n = 1).</w:t>
      </w:r>
    </w:p>
    <w:p w14:paraId="0A8BAFAD" w14:textId="77777777" w:rsidR="00284FB7" w:rsidRDefault="00284FB7" w:rsidP="00284FB7">
      <w:pPr>
        <w:pStyle w:val="NormalWeb"/>
        <w:spacing w:line="360" w:lineRule="auto"/>
        <w:jc w:val="both"/>
        <w:rPr>
          <w:rFonts w:ascii="Arial" w:hAnsi="Arial" w:cs="Arial"/>
          <w:b/>
        </w:rPr>
      </w:pPr>
    </w:p>
    <w:p w14:paraId="2BDF3DAA" w14:textId="77777777" w:rsidR="00284FB7" w:rsidRDefault="00284FB7" w:rsidP="00284FB7">
      <w:pPr>
        <w:pStyle w:val="NormalWeb"/>
        <w:spacing w:line="360" w:lineRule="auto"/>
        <w:jc w:val="both"/>
        <w:rPr>
          <w:rFonts w:ascii="Arial" w:hAnsi="Arial" w:cs="Arial"/>
          <w:b/>
        </w:rPr>
      </w:pPr>
    </w:p>
    <w:p w14:paraId="2E4D76FB" w14:textId="77777777" w:rsidR="00284FB7" w:rsidRDefault="00284FB7" w:rsidP="00284FB7">
      <w:pPr>
        <w:pStyle w:val="NormalWeb"/>
        <w:spacing w:line="360" w:lineRule="auto"/>
        <w:jc w:val="both"/>
        <w:rPr>
          <w:rFonts w:ascii="Arial" w:hAnsi="Arial" w:cs="Arial"/>
          <w:b/>
        </w:rPr>
      </w:pPr>
    </w:p>
    <w:p w14:paraId="6CDA34F3" w14:textId="77777777" w:rsidR="00284FB7" w:rsidRDefault="00284FB7" w:rsidP="00284FB7">
      <w:pPr>
        <w:pStyle w:val="NormalWeb"/>
        <w:spacing w:line="360" w:lineRule="auto"/>
        <w:jc w:val="both"/>
        <w:rPr>
          <w:rFonts w:ascii="Arial" w:hAnsi="Arial" w:cs="Arial"/>
          <w:b/>
        </w:rPr>
      </w:pPr>
    </w:p>
    <w:p w14:paraId="0A2E5035" w14:textId="77777777" w:rsidR="00284FB7" w:rsidRDefault="00284FB7" w:rsidP="00284FB7">
      <w:pPr>
        <w:pStyle w:val="NormalWeb"/>
        <w:spacing w:line="360" w:lineRule="auto"/>
        <w:jc w:val="both"/>
        <w:rPr>
          <w:rFonts w:ascii="Arial" w:hAnsi="Arial" w:cs="Arial"/>
          <w:b/>
        </w:rPr>
      </w:pPr>
    </w:p>
    <w:p w14:paraId="2DC7B388" w14:textId="77777777" w:rsidR="00284FB7" w:rsidRDefault="00284FB7" w:rsidP="00284FB7">
      <w:pPr>
        <w:pStyle w:val="NormalWeb"/>
        <w:spacing w:line="360" w:lineRule="auto"/>
        <w:jc w:val="both"/>
        <w:rPr>
          <w:rFonts w:ascii="Arial" w:hAnsi="Arial" w:cs="Arial"/>
          <w:b/>
        </w:rPr>
      </w:pPr>
    </w:p>
    <w:p w14:paraId="613F3DAC" w14:textId="77777777" w:rsidR="00284FB7" w:rsidRPr="00487C30" w:rsidRDefault="00284FB7" w:rsidP="00284FB7">
      <w:pPr>
        <w:pStyle w:val="NormalWeb"/>
        <w:spacing w:line="360" w:lineRule="auto"/>
        <w:rPr>
          <w:rFonts w:ascii="Arial" w:hAnsi="Arial" w:cs="Arial"/>
          <w:b/>
        </w:rPr>
      </w:pPr>
      <w:r w:rsidRPr="00487C30">
        <w:rPr>
          <w:rFonts w:ascii="Arial" w:hAnsi="Arial" w:cs="Arial"/>
          <w:b/>
        </w:rPr>
        <w:lastRenderedPageBreak/>
        <w:t xml:space="preserve">Figure 2. Barriers to child feeding and willingness to participate in nutrition training among caregivers at </w:t>
      </w:r>
      <w:proofErr w:type="spellStart"/>
      <w:r w:rsidRPr="00487C30">
        <w:rPr>
          <w:rFonts w:ascii="Arial" w:hAnsi="Arial" w:cs="Arial"/>
          <w:b/>
        </w:rPr>
        <w:t>Jitimai</w:t>
      </w:r>
      <w:proofErr w:type="spellEnd"/>
      <w:r w:rsidRPr="00487C30">
        <w:rPr>
          <w:rFonts w:ascii="Arial" w:hAnsi="Arial" w:cs="Arial"/>
          <w:b/>
        </w:rPr>
        <w:t xml:space="preserve"> District Hospital</w:t>
      </w:r>
      <w:r>
        <w:rPr>
          <w:rFonts w:ascii="Arial" w:hAnsi="Arial" w:cs="Arial"/>
          <w:b/>
        </w:rPr>
        <w:t xml:space="preserve">, Zanzibar </w:t>
      </w:r>
      <w:r w:rsidRPr="00487C30">
        <w:rPr>
          <w:rFonts w:ascii="Arial" w:hAnsi="Arial" w:cs="Arial"/>
          <w:b/>
        </w:rPr>
        <w:t>(N = 96).</w:t>
      </w:r>
    </w:p>
    <w:p w14:paraId="522DE472" w14:textId="77777777" w:rsidR="00284FB7" w:rsidRPr="00487C30" w:rsidRDefault="00284FB7" w:rsidP="00284FB7">
      <w:pPr>
        <w:pStyle w:val="NormalWeb"/>
        <w:spacing w:line="360" w:lineRule="auto"/>
        <w:rPr>
          <w:rFonts w:ascii="Arial" w:hAnsi="Arial" w:cs="Arial"/>
        </w:rPr>
      </w:pPr>
      <w:r w:rsidRPr="00487C30">
        <w:rPr>
          <w:rFonts w:ascii="Arial" w:hAnsi="Arial" w:cs="Arial"/>
          <w:noProof/>
        </w:rPr>
        <w:drawing>
          <wp:inline distT="0" distB="0" distL="0" distR="0" wp14:anchorId="5A42A842" wp14:editId="4A3DD361">
            <wp:extent cx="4984750" cy="3373120"/>
            <wp:effectExtent l="0" t="0" r="6350" b="17780"/>
            <wp:docPr id="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5A1D802" w14:textId="77777777" w:rsidR="00284FB7" w:rsidRPr="00487C30" w:rsidRDefault="00284FB7" w:rsidP="00284FB7">
      <w:pPr>
        <w:pStyle w:val="NormalWeb"/>
        <w:spacing w:line="360" w:lineRule="auto"/>
        <w:jc w:val="both"/>
        <w:rPr>
          <w:rFonts w:ascii="Arial" w:hAnsi="Arial" w:cs="Arial"/>
        </w:rPr>
      </w:pPr>
      <w:r>
        <w:rPr>
          <w:rFonts w:ascii="Arial" w:hAnsi="Arial" w:cs="Arial"/>
        </w:rPr>
        <w:t>Regarding</w:t>
      </w:r>
      <w:r w:rsidRPr="00487C30">
        <w:rPr>
          <w:rFonts w:ascii="Arial" w:hAnsi="Arial" w:cs="Arial"/>
        </w:rPr>
        <w:t xml:space="preserve"> potential interventions, an overwhelming majority of caregivers (95.8%, n = 92) expressed </w:t>
      </w:r>
      <w:r w:rsidRPr="00487C30">
        <w:rPr>
          <w:rStyle w:val="Strong"/>
          <w:rFonts w:ascii="Arial" w:hAnsi="Arial" w:cs="Arial"/>
          <w:b w:val="0"/>
        </w:rPr>
        <w:t>willingness to participate in nutrition training programs</w:t>
      </w:r>
      <w:r w:rsidRPr="00487C30">
        <w:rPr>
          <w:rFonts w:ascii="Arial" w:hAnsi="Arial" w:cs="Arial"/>
        </w:rPr>
        <w:t>, whereas only 4.2% (n = 4) reported no interest. This finding indicates a high level of receptiveness among caregivers to interventions aimed at improving knowledge and practices related to child nutrition.</w:t>
      </w:r>
    </w:p>
    <w:p w14:paraId="6CE8A276" w14:textId="77777777" w:rsidR="00284FB7" w:rsidRPr="00487C30" w:rsidRDefault="00284FB7" w:rsidP="00284FB7">
      <w:pPr>
        <w:pStyle w:val="NormalWeb"/>
        <w:spacing w:line="360" w:lineRule="auto"/>
        <w:rPr>
          <w:rFonts w:ascii="Arial" w:hAnsi="Arial" w:cs="Arial"/>
          <w:b/>
        </w:rPr>
      </w:pPr>
      <w:r w:rsidRPr="00487C30">
        <w:rPr>
          <w:rFonts w:ascii="Arial" w:hAnsi="Arial" w:cs="Arial"/>
          <w:b/>
        </w:rPr>
        <w:t>Figure 3</w:t>
      </w:r>
      <w:r>
        <w:rPr>
          <w:rFonts w:ascii="Arial" w:hAnsi="Arial" w:cs="Arial"/>
          <w:b/>
        </w:rPr>
        <w:t xml:space="preserve">: Willingness to participate in nutrition training among caregivers at </w:t>
      </w:r>
      <w:proofErr w:type="spellStart"/>
      <w:r>
        <w:rPr>
          <w:rFonts w:ascii="Arial" w:hAnsi="Arial" w:cs="Arial"/>
          <w:b/>
        </w:rPr>
        <w:t>Jitimai</w:t>
      </w:r>
      <w:proofErr w:type="spellEnd"/>
      <w:r>
        <w:rPr>
          <w:rFonts w:ascii="Arial" w:hAnsi="Arial" w:cs="Arial"/>
          <w:b/>
        </w:rPr>
        <w:t xml:space="preserve"> District Hospital,</w:t>
      </w:r>
      <w:r w:rsidRPr="00487C30">
        <w:rPr>
          <w:rFonts w:ascii="Arial" w:hAnsi="Arial" w:cs="Arial"/>
          <w:b/>
        </w:rPr>
        <w:t xml:space="preserve"> Zanzibar (N = 96).</w:t>
      </w:r>
    </w:p>
    <w:p w14:paraId="33AD6BA0" w14:textId="77777777" w:rsidR="00284FB7" w:rsidRPr="00487C30" w:rsidRDefault="00284FB7" w:rsidP="00284FB7">
      <w:pPr>
        <w:spacing w:line="360" w:lineRule="auto"/>
        <w:rPr>
          <w:rFonts w:ascii="Arial" w:hAnsi="Arial" w:cs="Arial"/>
          <w:sz w:val="24"/>
          <w:szCs w:val="24"/>
        </w:rPr>
      </w:pPr>
      <w:r w:rsidRPr="00487C30">
        <w:rPr>
          <w:rFonts w:ascii="Arial" w:hAnsi="Arial" w:cs="Arial"/>
          <w:noProof/>
          <w:sz w:val="24"/>
          <w:szCs w:val="24"/>
        </w:rPr>
        <w:lastRenderedPageBreak/>
        <w:drawing>
          <wp:inline distT="0" distB="0" distL="0" distR="0" wp14:anchorId="40E2FD31" wp14:editId="5F18092E">
            <wp:extent cx="4571365" cy="2742565"/>
            <wp:effectExtent l="0" t="0" r="635" b="635"/>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F069C30" w14:textId="77777777" w:rsidR="00284FB7" w:rsidRPr="00487C30" w:rsidRDefault="00284FB7" w:rsidP="00284FB7">
      <w:pPr>
        <w:pStyle w:val="Heading3"/>
        <w:spacing w:line="360" w:lineRule="auto"/>
        <w:rPr>
          <w:rStyle w:val="Strong"/>
          <w:rFonts w:ascii="Arial" w:hAnsi="Arial" w:cs="Arial"/>
          <w:b w:val="0"/>
          <w:bCs w:val="0"/>
        </w:rPr>
      </w:pPr>
    </w:p>
    <w:p w14:paraId="5BA2A6B7" w14:textId="77777777" w:rsidR="00284FB7" w:rsidRPr="00487C30" w:rsidRDefault="00284FB7" w:rsidP="00284FB7">
      <w:pPr>
        <w:pStyle w:val="Heading3"/>
        <w:spacing w:line="360" w:lineRule="auto"/>
        <w:rPr>
          <w:rFonts w:ascii="Arial" w:hAnsi="Arial" w:cs="Arial"/>
        </w:rPr>
      </w:pPr>
      <w:r w:rsidRPr="00487C30">
        <w:rPr>
          <w:rStyle w:val="Strong"/>
          <w:rFonts w:ascii="Arial" w:hAnsi="Arial" w:cs="Arial"/>
          <w:bCs w:val="0"/>
        </w:rPr>
        <w:t>Discussion</w:t>
      </w:r>
    </w:p>
    <w:p w14:paraId="09E2AD0D" w14:textId="2A2285CC" w:rsidR="00284FB7" w:rsidRPr="00487C30" w:rsidRDefault="00284FB7" w:rsidP="00284FB7">
      <w:pPr>
        <w:pStyle w:val="NormalWeb"/>
        <w:spacing w:line="360" w:lineRule="auto"/>
        <w:jc w:val="both"/>
        <w:rPr>
          <w:rFonts w:ascii="Arial" w:hAnsi="Arial" w:cs="Arial"/>
        </w:rPr>
      </w:pPr>
      <w:r w:rsidRPr="00487C30">
        <w:rPr>
          <w:rFonts w:ascii="Arial" w:hAnsi="Arial" w:cs="Arial"/>
        </w:rPr>
        <w:t xml:space="preserve">In this study of 96 </w:t>
      </w:r>
      <w:r w:rsidR="0080734F" w:rsidRPr="00B9382F">
        <w:rPr>
          <w:rFonts w:ascii="Arial" w:hAnsi="Arial" w:cs="Arial"/>
          <w:highlight w:val="yellow"/>
        </w:rPr>
        <w:t xml:space="preserve">children under five </w:t>
      </w:r>
      <w:r w:rsidR="0080734F">
        <w:rPr>
          <w:rFonts w:ascii="Arial" w:hAnsi="Arial" w:cs="Arial"/>
          <w:highlight w:val="yellow"/>
        </w:rPr>
        <w:t xml:space="preserve">years </w:t>
      </w:r>
      <w:r w:rsidR="0080734F" w:rsidRPr="00B9382F">
        <w:rPr>
          <w:rFonts w:ascii="Arial" w:hAnsi="Arial" w:cs="Arial"/>
          <w:highlight w:val="yellow"/>
        </w:rPr>
        <w:t>attending</w:t>
      </w:r>
      <w:r w:rsidR="0080734F" w:rsidRPr="00487C30">
        <w:rPr>
          <w:rFonts w:ascii="Arial" w:hAnsi="Arial" w:cs="Arial"/>
        </w:rPr>
        <w:t xml:space="preserve"> </w:t>
      </w:r>
      <w:proofErr w:type="spellStart"/>
      <w:r w:rsidRPr="00487C30">
        <w:rPr>
          <w:rFonts w:ascii="Arial" w:hAnsi="Arial" w:cs="Arial"/>
        </w:rPr>
        <w:t>Ijitimai</w:t>
      </w:r>
      <w:proofErr w:type="spellEnd"/>
      <w:r w:rsidRPr="00487C30">
        <w:rPr>
          <w:rFonts w:ascii="Arial" w:hAnsi="Arial" w:cs="Arial"/>
        </w:rPr>
        <w:t xml:space="preserve"> District Hospital, </w:t>
      </w:r>
      <w:r w:rsidRPr="00487C30">
        <w:rPr>
          <w:rStyle w:val="Strong"/>
          <w:rFonts w:ascii="Arial" w:hAnsi="Arial" w:cs="Arial"/>
          <w:b w:val="0"/>
        </w:rPr>
        <w:t>16.7</w:t>
      </w:r>
      <w:r w:rsidRPr="00487C30">
        <w:rPr>
          <w:rStyle w:val="Strong"/>
          <w:rFonts w:ascii="Arial" w:hAnsi="Arial" w:cs="Arial"/>
        </w:rPr>
        <w:t>%</w:t>
      </w:r>
      <w:r w:rsidRPr="00487C30">
        <w:rPr>
          <w:rFonts w:ascii="Arial" w:hAnsi="Arial" w:cs="Arial"/>
        </w:rPr>
        <w:t xml:space="preserve"> were classified as malnourished, while the majority (83.3%) were reported as not malnourished. Among children with malnutrition, </w:t>
      </w:r>
      <w:r w:rsidRPr="00487C30">
        <w:rPr>
          <w:rStyle w:val="Strong"/>
          <w:rFonts w:ascii="Arial" w:hAnsi="Arial" w:cs="Arial"/>
          <w:b w:val="0"/>
        </w:rPr>
        <w:t>underweight</w:t>
      </w:r>
      <w:r w:rsidRPr="00487C30">
        <w:rPr>
          <w:rFonts w:ascii="Arial" w:hAnsi="Arial" w:cs="Arial"/>
          <w:b/>
        </w:rPr>
        <w:t xml:space="preserve"> </w:t>
      </w:r>
      <w:r w:rsidRPr="00487C30">
        <w:rPr>
          <w:rFonts w:ascii="Arial" w:hAnsi="Arial" w:cs="Arial"/>
        </w:rPr>
        <w:t xml:space="preserve">was the most prevalent form (9.4%), followed by </w:t>
      </w:r>
      <w:r w:rsidRPr="00487C30">
        <w:rPr>
          <w:rStyle w:val="Strong"/>
          <w:rFonts w:ascii="Arial" w:hAnsi="Arial" w:cs="Arial"/>
          <w:b w:val="0"/>
        </w:rPr>
        <w:t>wasting</w:t>
      </w:r>
      <w:r w:rsidRPr="00487C30">
        <w:rPr>
          <w:rFonts w:ascii="Arial" w:hAnsi="Arial" w:cs="Arial"/>
        </w:rPr>
        <w:t xml:space="preserve"> (5.2%) and </w:t>
      </w:r>
      <w:r w:rsidRPr="00487C30">
        <w:rPr>
          <w:rStyle w:val="Strong"/>
          <w:rFonts w:ascii="Arial" w:hAnsi="Arial" w:cs="Arial"/>
          <w:b w:val="0"/>
        </w:rPr>
        <w:t>stunting</w:t>
      </w:r>
      <w:r w:rsidRPr="00487C30">
        <w:rPr>
          <w:rFonts w:ascii="Arial" w:hAnsi="Arial" w:cs="Arial"/>
          <w:b/>
        </w:rPr>
        <w:t xml:space="preserve"> </w:t>
      </w:r>
      <w:r w:rsidRPr="00487C30">
        <w:rPr>
          <w:rFonts w:ascii="Arial" w:hAnsi="Arial" w:cs="Arial"/>
        </w:rPr>
        <w:t xml:space="preserve">(2.1%). </w:t>
      </w:r>
      <w:r w:rsidRPr="008F269F">
        <w:rPr>
          <w:rFonts w:ascii="Arial" w:hAnsi="Arial" w:cs="Arial"/>
        </w:rPr>
        <w:t xml:space="preserve">A high proportion of no-malnutrition responses (83.3%) </w:t>
      </w:r>
      <w:r w:rsidR="00535842">
        <w:rPr>
          <w:rFonts w:ascii="Arial" w:hAnsi="Arial" w:cs="Arial"/>
        </w:rPr>
        <w:t>suggests that caregiver awareness of the child's nutritional status may</w:t>
      </w:r>
      <w:r>
        <w:rPr>
          <w:rFonts w:ascii="Arial" w:hAnsi="Arial" w:cs="Arial"/>
        </w:rPr>
        <w:t xml:space="preserve"> be</w:t>
      </w:r>
      <w:r w:rsidRPr="00487C30">
        <w:rPr>
          <w:rFonts w:ascii="Arial" w:hAnsi="Arial" w:cs="Arial"/>
        </w:rPr>
        <w:t xml:space="preserve"> limited, which may contribute to under</w:t>
      </w:r>
      <w:r>
        <w:rPr>
          <w:rFonts w:ascii="Arial" w:hAnsi="Arial" w:cs="Arial"/>
        </w:rPr>
        <w:t>-</w:t>
      </w:r>
      <w:r w:rsidRPr="00487C30">
        <w:rPr>
          <w:rFonts w:ascii="Arial" w:hAnsi="Arial" w:cs="Arial"/>
        </w:rPr>
        <w:t>reporting of malnutrition</w:t>
      </w:r>
      <w:r>
        <w:rPr>
          <w:rFonts w:ascii="Arial" w:hAnsi="Arial" w:cs="Arial"/>
        </w:rPr>
        <w:t xml:space="preserve"> </w:t>
      </w:r>
      <w:r w:rsidRPr="00284FB7">
        <w:rPr>
          <w:rFonts w:ascii="Arial" w:hAnsi="Arial" w:cs="Arial"/>
        </w:rPr>
        <w:fldChar w:fldCharType="begin" w:fldLock="1"/>
      </w:r>
      <w:r w:rsidR="002D59BA">
        <w:rPr>
          <w:rFonts w:ascii="Arial" w:hAnsi="Arial" w:cs="Arial"/>
        </w:rPr>
        <w:instrText>ADDIN CSL_CITATION {"citationItems":[{"id":"ITEM-1","itemData":{"author":[{"dropping-particle":"","family":"Okafor","given":"Chukwuma J","non-dropping-particle":"","parse-names":false,"suffix":""},{"dropping-particle":"","family":"Juma","given":"Harith","non-dropping-particle":"","parse-names":false,"suffix":""},{"dropping-particle":"","family":"Isidro","given":"Rodolfo","non-dropping-particle":"","parse-names":false,"suffix":""},{"dropping-particle":"","family":"Bayard","given":"Bosch","non-dropping-particle":"","parse-names":false,"suffix":""},{"dropping-particle":"","family":"Millo","given":"Diane","non-dropping-particle":"","parse-names":false,"suffix":""},{"dropping-particle":"","family":"Said","given":"Fat-hiya Abdallah","non-dropping-particle":"","parse-names":false,"suffix":""},{"dropping-particle":"","family":"Blanco","given":"Amaya","non-dropping-particle":"","parse-names":false,"suffix":""}],"id":"ITEM-1","issue":"2","issued":{"date-parts":[["2026"]]},"page":"1-12","title":"Knowledge and Feeding Practices as Correlates of Caregiver-reported Childhood Malnutrition : A Cross- sectional Study in Zanzibar","type":"article-journal","volume":"16"},"uris":["http://www.mendeley.com/documents/?uuid=28e14aea-33e0-4d4c-869f-8721a85cec21"]}],"mendeley":{"formattedCitation":"[20]","plainTextFormattedCitation":"[20]","previouslyFormattedCitation":"[20]"},"properties":{"noteIndex":0},"schema":"https://github.com/citation-style-language/schema/raw/master/csl-citation.json"}</w:instrText>
      </w:r>
      <w:r w:rsidRPr="00284FB7">
        <w:rPr>
          <w:rFonts w:ascii="Arial" w:hAnsi="Arial" w:cs="Arial"/>
        </w:rPr>
        <w:fldChar w:fldCharType="separate"/>
      </w:r>
      <w:r w:rsidR="002D59BA" w:rsidRPr="002D59BA">
        <w:rPr>
          <w:rFonts w:ascii="Arial" w:hAnsi="Arial" w:cs="Arial"/>
          <w:noProof/>
        </w:rPr>
        <w:t>[20]</w:t>
      </w:r>
      <w:r w:rsidRPr="00284FB7">
        <w:rPr>
          <w:rFonts w:ascii="Arial" w:hAnsi="Arial" w:cs="Arial"/>
        </w:rPr>
        <w:fldChar w:fldCharType="end"/>
      </w:r>
      <w:r w:rsidRPr="00284FB7">
        <w:rPr>
          <w:rFonts w:ascii="Arial" w:hAnsi="Arial" w:cs="Arial"/>
        </w:rPr>
        <w:t>.</w:t>
      </w:r>
      <w:r>
        <w:rPr>
          <w:rFonts w:ascii="Arial" w:hAnsi="Arial" w:cs="Arial"/>
        </w:rPr>
        <w:t xml:space="preserve"> Compared with</w:t>
      </w:r>
      <w:r w:rsidRPr="00487C30">
        <w:rPr>
          <w:rFonts w:ascii="Arial" w:hAnsi="Arial" w:cs="Arial"/>
        </w:rPr>
        <w:t xml:space="preserve"> other regions, the observed </w:t>
      </w:r>
      <w:r w:rsidR="00C75314">
        <w:rPr>
          <w:rFonts w:ascii="Arial" w:hAnsi="Arial" w:cs="Arial"/>
        </w:rPr>
        <w:t>prevalence of malnutrition</w:t>
      </w:r>
      <w:r w:rsidRPr="00487C30">
        <w:rPr>
          <w:rFonts w:ascii="Arial" w:hAnsi="Arial" w:cs="Arial"/>
        </w:rPr>
        <w:t xml:space="preserve"> in this study is relatively low. </w:t>
      </w:r>
      <w:r>
        <w:rPr>
          <w:rFonts w:ascii="Arial" w:hAnsi="Arial" w:cs="Arial"/>
        </w:rPr>
        <w:t>These results are not aligned with other reports from Tanzania;</w:t>
      </w:r>
      <w:r w:rsidRPr="00487C30">
        <w:rPr>
          <w:rFonts w:ascii="Arial" w:hAnsi="Arial" w:cs="Arial"/>
        </w:rPr>
        <w:t xml:space="preserve"> the national estimates indicate stunting prevalence of approximately 30–34% and underweight prevalence around 14% among children under five, with wasting affecting about 5–10% of children</w:t>
      </w:r>
      <w:r>
        <w:rPr>
          <w:rFonts w:ascii="Arial" w:hAnsi="Arial" w:cs="Arial"/>
        </w:rPr>
        <w:t xml:space="preserve"> </w:t>
      </w:r>
      <w:r w:rsidRPr="00487C30">
        <w:rPr>
          <w:rFonts w:ascii="Arial" w:hAnsi="Arial" w:cs="Arial"/>
        </w:rPr>
        <w:fldChar w:fldCharType="begin" w:fldLock="1"/>
      </w:r>
      <w:r w:rsidR="002D59BA">
        <w:rPr>
          <w:rFonts w:ascii="Arial" w:hAnsi="Arial" w:cs="Arial"/>
        </w:rPr>
        <w:instrText>ADDIN CSL_CITATION {"citationItems":[{"id":"ITEM-1","itemData":{"DOI":"10.3390/tropicalmed9050096","ISSN":"24146366","abstract":"Childhood undernutrition is a major issue in low- and middle-income countries, affecting the health, well-being, and educational outcomes of schoolchildren. This study aimed to assess the prevalence and associated factors of stunting, wasting, and underweight among schoolchildren in peri-urban areas in the south-eastern part of Tanzania. A cross-sectional study was conducted involving 930 children aged 6–12 years from four primary schools from July to August 2019. The WHO Anthro Survey Analyzer was employed to estimate the prevalence of stunting, wasting, and underweight, while logistic regression analyses examined sociodemographic background, malaria infection, anaemia, anthropometric measures, and dietary diversity score as potential factors. The prevalence of stunting, wasting, underweight, overweight, and obesity was 11.8%, 4.3%, 3.9%, 11.1%, and 2.0%, respectively. Overall, 1.5% of the children had malaria, as determined by rapid diagnostic tests, and 0.4% had severe anaemia. Univariate analysis indicated higher odds of undernutrition among children aged 9–12 compared to their younger peers. Stunting was more common among children with low and medium dietary diversity. Anaemia was found in 11.2% of schoolchildren, and severe anaemia was associated with wasting. Multivariate analysis revealed that age and low dietary diversity were significantly associated with undernutrition. These findings emphasise the need for school-based health and nutrition programmes targeting children beyond the age of 5 to improve their nutritional status and mitigate potential adverse effects on health, cognition, and academic achievement. Regular assessment of the nutritional status of schoolchildren is warranted.","author":[{"dropping-particle":"","family":"Minja","given":"Elihaika G.","non-dropping-particle":"","parse-names":false,"suffix":""},{"dropping-particle":"","family":"Mrimi","given":"Emmanuel C.","non-dropping-particle":"","parse-names":false,"suffix":""},{"dropping-particle":"","family":"Mponzi","given":"Winfrida P.","non-dropping-particle":"","parse-names":false,"suffix":""},{"dropping-particle":"","family":"Mollel","given":"Getrud J.","non-dropping-particle":"","parse-names":false,"suffix":""},{"dropping-particle":"","family":"Lang","given":"Christin","non-dropping-particle":"","parse-names":false,"suffix":""},{"dropping-particle":"","family":"Beckmann","given":"Johanna","non-dropping-particle":"","parse-names":false,"suffix":""},{"dropping-particle":"","family":"Gerber","given":"Markus","non-dropping-particle":"","parse-names":false,"suffix":""},{"dropping-particle":"","family":"Pühse","given":"Uwe","non-dropping-particle":"","parse-names":false,"suffix":""},{"dropping-particle":"","family":"Long","given":"Kurt Z.","non-dropping-particle":"","parse-names":false,"suffix":""},{"dropping-particle":"","family":"Masanja","given":"Honorati","non-dropping-particle":"","parse-names":false,"suffix":""},{"dropping-particle":"","family":"Okumu","given":"Fredros O.","non-dropping-particle":"","parse-names":false,"suffix":""},{"dropping-particle":"","family":"Finda","given":"Marceline F.","non-dropping-particle":"","parse-names":false,"suffix":""},{"dropping-particle":"","family":"Utzinger","given":"Jürg","non-dropping-particle":"","parse-names":false,"suffix":""}],"container-title":"Tropical Medicine and Infectious Disease","id":"ITEM-1","issue":"5","issued":{"date-parts":[["2024"]]},"page":"1-15","title":"Prevalence and Determinants of Undernutrition in Schoolchildren in the Kilombero District, South-Eastern Tanzania","type":"article-journal","volume":"9"},"uris":["http://www.mendeley.com/documents/?uuid=1b5bae17-7f3f-4326-927a-55b70b348c37"]}],"mendeley":{"formattedCitation":"[21]","plainTextFormattedCitation":"[21]","previouslyFormattedCitation":"[21]"},"properties":{"noteIndex":0},"schema":"https://github.com/citation-style-language/schema/raw/master/csl-citation.json"}</w:instrText>
      </w:r>
      <w:r w:rsidRPr="00487C30">
        <w:rPr>
          <w:rFonts w:ascii="Arial" w:hAnsi="Arial" w:cs="Arial"/>
        </w:rPr>
        <w:fldChar w:fldCharType="separate"/>
      </w:r>
      <w:r w:rsidR="002D59BA" w:rsidRPr="002D59BA">
        <w:rPr>
          <w:rFonts w:ascii="Arial" w:hAnsi="Arial" w:cs="Arial"/>
          <w:noProof/>
        </w:rPr>
        <w:t>[21]</w:t>
      </w:r>
      <w:r w:rsidRPr="00487C30">
        <w:rPr>
          <w:rFonts w:ascii="Arial" w:hAnsi="Arial" w:cs="Arial"/>
        </w:rPr>
        <w:fldChar w:fldCharType="end"/>
      </w:r>
      <w:r w:rsidRPr="00487C30">
        <w:rPr>
          <w:rFonts w:ascii="Arial" w:hAnsi="Arial" w:cs="Arial"/>
        </w:rPr>
        <w:t>. Similarly, in Ethiopia, stunting and underweight prevalence remain high, at 38% and 23%, respectively</w:t>
      </w:r>
      <w:r w:rsidRPr="00487C30">
        <w:rPr>
          <w:rFonts w:ascii="Arial" w:hAnsi="Arial" w:cs="Arial"/>
        </w:rPr>
        <w:fldChar w:fldCharType="begin" w:fldLock="1"/>
      </w:r>
      <w:r w:rsidR="002D59BA">
        <w:rPr>
          <w:rFonts w:ascii="Arial" w:hAnsi="Arial" w:cs="Arial"/>
        </w:rPr>
        <w:instrText>ADDIN CSL_CITATION {"citationItems":[{"id":"ITEM-1","itemData":{"DOI":"10.5334/aogh.3432","ISSN":"22149996","PMID":"34824992","abstract":"Background: According to the Ethiopian Mini Demographic Health survey (EMDHS) of 2019, about 37% of children under five years of age are stunted. Data are scarce on stunting in the study area. Objective: This study was aimed to assess the prevalence and factors associated with stunting in among children under five years of age in southern Ethiopia. Method: A community-based cross-sectional study was conducted among 660 randomly selected under five child-mother pairs. The study was conducted from December 1 to 30, 2018 using a structured pretested questionnaire and anthropometric measurement tools. A simple random sampling technique was used to select study participants. Data were entered into EpiData version 3.1 and analyzed by Statistical Package for the Social Sciences (SPSS) version 20 and Emergency Nutrition Assessment (ENA) for Standardizing Monitoring and Assessment of Relief and Transition (SMART) 2011 software. Variables with P-value &lt; 0.25 during the bivariate were entered into multivariable logistic regression analysis and significant association with stunting was declared at P-value &lt; 0.05 with 95% CI. Result: Prevalence of stunting among children under five years of age was 37.7%. Factors: family size less than five [AOR = 0.59; 95% CI (0.37, 0.97)], age less than 11 months [AOR = 0.17; 95% CI (0.08, 0.4)] and rich wealth status [AOR = 0.46; 95% CI (0.27, 0.79)] had a protective effect, while source of drinking water like river water [AOR = 5.11; 95% CI (1.6, 16.4)], presence of two or more under five children in the household [AOR = 1.72; 95% CI (1.07, 2.77)], undiversified diet [AOR = 1.82; (1.17, 2.83)] and household food insecurity [AOR = 1.83; 95% CI (1.13, 2.96)] increased the risk of stunting. Conclusion and recommendation: The prevalence of stunting was high. Child age, family size, number of children under five years of age in the household, wealth status, source of drinking water, undiversified diet, and household food insecurity were associated with stunting. Thus, efforts should be made to improve nutritional status through strengthening of nutrition education, promotion of different family planning methods to limit the family size, involvment in different income generating activities to improve wealth status, securing of household food, use of improved sources of water, and nutrition education to diversify child diet. Further longitudinal study is recommended for researchers.","author":[{"dropping-particle":"","family":"Mengesha","given":"Asres","non-dropping-particle":"","parse-names":false,"suffix":""},{"dropping-particle":"","family":"Hailu","given":"Samrawit","non-dropping-particle":"","parse-names":false,"suffix":""},{"dropping-particle":"","family":"Birhane","given":"Mahlet","non-dropping-particle":"","parse-names":false,"suffix":""},{"dropping-particle":"","family":"Belay","given":"Moges Mareg","non-dropping-particle":"","parse-names":false,"suffix":""}],"container-title":"Annals of Global Health","id":"ITEM-1","issue":"1","issued":{"date-parts":[["2021"]]},"page":"1-14","title":"The prevalence of stunting and associated factors among children under five years of age in southern ethiopia: Community based cross-sectional study","type":"article-journal","volume":"87"},"uris":["http://www.mendeley.com/documents/?uuid=7277195e-2a29-4692-aead-8b88f8825d08"]}],"mendeley":{"formattedCitation":"[22]","plainTextFormattedCitation":"[22]","previouslyFormattedCitation":"[22]"},"properties":{"noteIndex":0},"schema":"https://github.com/citation-style-language/schema/raw/master/csl-citation.json"}</w:instrText>
      </w:r>
      <w:r w:rsidRPr="00487C30">
        <w:rPr>
          <w:rFonts w:ascii="Arial" w:hAnsi="Arial" w:cs="Arial"/>
        </w:rPr>
        <w:fldChar w:fldCharType="separate"/>
      </w:r>
      <w:r w:rsidR="002D59BA" w:rsidRPr="002D59BA">
        <w:rPr>
          <w:rFonts w:ascii="Arial" w:hAnsi="Arial" w:cs="Arial"/>
          <w:noProof/>
        </w:rPr>
        <w:t>[22]</w:t>
      </w:r>
      <w:r w:rsidRPr="00487C30">
        <w:rPr>
          <w:rFonts w:ascii="Arial" w:hAnsi="Arial" w:cs="Arial"/>
        </w:rPr>
        <w:fldChar w:fldCharType="end"/>
      </w:r>
      <w:r w:rsidRPr="00487C30">
        <w:rPr>
          <w:rFonts w:ascii="Arial" w:hAnsi="Arial" w:cs="Arial"/>
        </w:rPr>
        <w:t xml:space="preserve">. In contrast, global averages report stunting in 23.2% of children under five and wasting in 6.6% </w:t>
      </w:r>
      <w:r w:rsidRPr="00487C30">
        <w:rPr>
          <w:rFonts w:ascii="Arial" w:hAnsi="Arial" w:cs="Arial"/>
        </w:rPr>
        <w:fldChar w:fldCharType="begin" w:fldLock="1"/>
      </w:r>
      <w:r w:rsidR="002D59BA">
        <w:rPr>
          <w:rFonts w:ascii="Arial" w:hAnsi="Arial" w:cs="Arial"/>
        </w:rPr>
        <w:instrText>ADDIN CSL_CITATION {"citationItems":[{"id":"ITEM-1","itemData":{"author":[{"dropping-particle":"","family":"United Nations","given":"","non-dropping-particle":"","parse-names":false,"suffix":""}],"id":"ITEM-1","issue":"April","issued":{"date-parts":[["2024"]]},"page":"1-10","title":"The Sustainable Development Goals Extended Report 2023- Goal 2: Zero Hunger","type":"article-journal"},"uris":["http://www.mendeley.com/documents/?uuid=c1940428-a1ae-4d2f-bee0-dc26e6fa3770"]}],"mendeley":{"formattedCitation":"[23]","plainTextFormattedCitation":"[23]","previouslyFormattedCitation":"[23]"},"properties":{"noteIndex":0},"schema":"https://github.com/citation-style-language/schema/raw/master/csl-citation.json"}</w:instrText>
      </w:r>
      <w:r w:rsidRPr="00487C30">
        <w:rPr>
          <w:rFonts w:ascii="Arial" w:hAnsi="Arial" w:cs="Arial"/>
        </w:rPr>
        <w:fldChar w:fldCharType="separate"/>
      </w:r>
      <w:r w:rsidR="002D59BA" w:rsidRPr="002D59BA">
        <w:rPr>
          <w:rFonts w:ascii="Arial" w:hAnsi="Arial" w:cs="Arial"/>
          <w:noProof/>
        </w:rPr>
        <w:t>[23]</w:t>
      </w:r>
      <w:r w:rsidRPr="00487C30">
        <w:rPr>
          <w:rFonts w:ascii="Arial" w:hAnsi="Arial" w:cs="Arial"/>
        </w:rPr>
        <w:fldChar w:fldCharType="end"/>
      </w:r>
      <w:r w:rsidRPr="00487C30">
        <w:rPr>
          <w:rFonts w:ascii="Arial" w:hAnsi="Arial" w:cs="Arial"/>
        </w:rPr>
        <w:fldChar w:fldCharType="begin" w:fldLock="1"/>
      </w:r>
      <w:r w:rsidR="002D59BA">
        <w:rPr>
          <w:rFonts w:ascii="Arial" w:hAnsi="Arial" w:cs="Arial"/>
        </w:rPr>
        <w:instrText>ADDIN CSL_CITATION {"citationItems":[{"id":"ITEM-1","itemData":{"DOI":"10.3389/fnut.2024.1452963","ISSN":"2296861X","abstract":"Background: Wasting, stunting, and underweight in children are complex health challenges shaped by a combination of immediate, underlying, and systemic factors. Even though copious data demonstrates that the causation routes for stunting and wasting are similar, little is known about the correlations between the diseases in low- and middle-income nations. Objective: The objective of this study is to evaluate the factors that concurrently affect wasting, stunting, and underweight in &lt;5-year-olds with severe acute malnutrition (SAM). Method: This review adhered to the Preferred Reporting Items for Systematic Reviews and Meta-Analyses (PRISMA) guidelines. We searched every electronic database that was available, from the medRxiv pre-print site, PubMed, MEDLINE, EMBASE, Cochrane Library, Web of Science, PsycINFO, CINAHL, Google Scholar, and Scopus, in addition to the Science Direct search engine. We considered research conducted in low- and middle-income nations on &lt;5-year-olds with SAM. The Newcastle Ottawa Scale was used to assess the quality of the studies. Results: After screening and selecting 12 eligible studies, 1,434,207 records were included for analysis. The prevalence of factors influencing concurrent wasting, stunting, and being underweight was 26.42% in low-middle -income countries (LMI). The prevalence was higher in men, with wasting, stunting, and underweight at 14.2, 4.1, and 27.6%, respectively. Unprotected drinking water was associated with stunting [odds ratio = 0.68; 95CI (0.50, 0.92)]. Being male is another factor (aOR = 2.04, 95% CI: 1.13, 3.68). Lack of prenatal care follow-up was associated with a lower risk of wasting (OR = 2.20, 95% CI: 1.04, 4.64), while low birth weight (&lt;2.5 kg), diarrhea, having a younger child, and being from a poor household were associated with wasting, stunting, and underweight. Other factors included body mass index (BMI) for age aOR = 2.11, 95% CI: (0.07, 0.895); maternal education: stunting [aOR = 1.52, 95% CI: (0.09, 0.89)], underweight [aOR = 1.97, 95% CI: (0.01, 0.73)], and open defecation, stunting [aOR = 1.62, 95% CI: (0.06, 0.32)], underweight [aOR = 1.92, 95% CI: (0.042, 0.257)]). Likelihood of being underweight increased with birth order (second born, aOR = 1.92, 95% CI 1.09–3.36; third born, aOR = 6.77, 95% CI 2.00–22.82). Conclusion: Inadequate dietary intake, illness, food insecurity, poor maternal and child care, poor hygiene and sanitation, and healthcare inaccessibility contribute to SAM.","author":[{"dropping-particle":"","family":"Dassie","given":"Godana Arero","non-dropping-particle":"","parse-names":false,"suffix":""},{"dropping-particle":"","family":"Chala Fantaye","given":"Tesfaye","non-dropping-particle":"","parse-names":false,"suffix":""},{"dropping-particle":"","family":"Charkos","given":"Tesfaye Getachew","non-dropping-particle":"","parse-names":false,"suffix":""},{"dropping-particle":"","family":"Sento Erba","given":"Midhakso","non-dropping-particle":"","parse-names":false,"suffix":""},{"dropping-particle":"","family":"Balcha Tolosa","given":"Fufa","non-dropping-particle":"","parse-names":false,"suffix":""}],"container-title":"Frontiers in Nutrition","id":"ITEM-1","issue":"December","issued":{"date-parts":[["2024"]]},"page":"1-11","title":"Factors influencing concurrent wasting, stunting, and underweight among children under five who suffered from severe acute malnutrition in low- and middle-income countries: a systematic review","type":"article-journal","volume":"11"},"uris":["http://www.mendeley.com/documents/?uuid=891ab4c2-585a-4491-a3ff-1aa86c5bca19"]}],"mendeley":{"formattedCitation":"[24]","plainTextFormattedCitation":"[24]","previouslyFormattedCitation":"[24]"},"properties":{"noteIndex":0},"schema":"https://github.com/citation-style-language/schema/raw/master/csl-citation.json"}</w:instrText>
      </w:r>
      <w:r w:rsidRPr="00487C30">
        <w:rPr>
          <w:rFonts w:ascii="Arial" w:hAnsi="Arial" w:cs="Arial"/>
        </w:rPr>
        <w:fldChar w:fldCharType="separate"/>
      </w:r>
      <w:r w:rsidR="002D59BA" w:rsidRPr="002D59BA">
        <w:rPr>
          <w:rFonts w:ascii="Arial" w:hAnsi="Arial" w:cs="Arial"/>
          <w:noProof/>
        </w:rPr>
        <w:t>[24]</w:t>
      </w:r>
      <w:r w:rsidRPr="00487C30">
        <w:rPr>
          <w:rFonts w:ascii="Arial" w:hAnsi="Arial" w:cs="Arial"/>
        </w:rPr>
        <w:fldChar w:fldCharType="end"/>
      </w:r>
      <w:r w:rsidRPr="00487C30">
        <w:rPr>
          <w:rFonts w:ascii="Arial" w:hAnsi="Arial" w:cs="Arial"/>
        </w:rPr>
        <w:t>.</w:t>
      </w:r>
    </w:p>
    <w:p w14:paraId="581574C8" w14:textId="77777777" w:rsidR="00284FB7" w:rsidRPr="00487C30" w:rsidRDefault="00284FB7" w:rsidP="00284FB7">
      <w:pPr>
        <w:pStyle w:val="NormalWeb"/>
        <w:spacing w:line="360" w:lineRule="auto"/>
        <w:jc w:val="both"/>
        <w:rPr>
          <w:rFonts w:ascii="Arial" w:hAnsi="Arial" w:cs="Arial"/>
        </w:rPr>
      </w:pPr>
      <w:r w:rsidRPr="00487C30">
        <w:rPr>
          <w:rFonts w:ascii="Arial" w:hAnsi="Arial" w:cs="Arial"/>
        </w:rPr>
        <w:t xml:space="preserve">Compared with </w:t>
      </w:r>
      <w:r w:rsidRPr="00487C30">
        <w:rPr>
          <w:rStyle w:val="Strong"/>
          <w:rFonts w:ascii="Arial" w:hAnsi="Arial" w:cs="Arial"/>
          <w:b w:val="0"/>
        </w:rPr>
        <w:t>high-income countries</w:t>
      </w:r>
      <w:r w:rsidRPr="00487C30">
        <w:rPr>
          <w:rFonts w:ascii="Arial" w:hAnsi="Arial" w:cs="Arial"/>
        </w:rPr>
        <w:t xml:space="preserve">, where undernutrition among children under five is typically below 5%, the burden observed in </w:t>
      </w:r>
      <w:proofErr w:type="spellStart"/>
      <w:r w:rsidRPr="00487C30">
        <w:rPr>
          <w:rFonts w:ascii="Arial" w:hAnsi="Arial" w:cs="Arial"/>
        </w:rPr>
        <w:t>Ijitimai</w:t>
      </w:r>
      <w:proofErr w:type="spellEnd"/>
      <w:r w:rsidRPr="00487C30">
        <w:rPr>
          <w:rFonts w:ascii="Arial" w:hAnsi="Arial" w:cs="Arial"/>
        </w:rPr>
        <w:t xml:space="preserve"> reflects the ongoing nutritional challenges in low- and middle-income settings. The predominance of underweight and wasting in this study aligns with trends in many LMICs, where </w:t>
      </w:r>
      <w:r w:rsidRPr="00487C30">
        <w:rPr>
          <w:rStyle w:val="Strong"/>
          <w:rFonts w:ascii="Arial" w:hAnsi="Arial" w:cs="Arial"/>
          <w:b w:val="0"/>
        </w:rPr>
        <w:t>acute forms of malnutrition</w:t>
      </w:r>
      <w:r w:rsidRPr="00487C30">
        <w:rPr>
          <w:rFonts w:ascii="Arial" w:hAnsi="Arial" w:cs="Arial"/>
          <w:b/>
        </w:rPr>
        <w:t xml:space="preserve"> </w:t>
      </w:r>
      <w:r w:rsidRPr="00487C30">
        <w:rPr>
          <w:rFonts w:ascii="Arial" w:hAnsi="Arial" w:cs="Arial"/>
        </w:rPr>
        <w:lastRenderedPageBreak/>
        <w:t>are often more detectable than chronic stunting, possibly reflecting short-term food insecurity or inadequate feeding practices.</w:t>
      </w:r>
    </w:p>
    <w:p w14:paraId="4A2E0B2D" w14:textId="77777777" w:rsidR="00284FB7" w:rsidRPr="00487C30" w:rsidRDefault="00284FB7" w:rsidP="00284FB7">
      <w:pPr>
        <w:pStyle w:val="NormalWeb"/>
        <w:spacing w:line="360" w:lineRule="auto"/>
        <w:jc w:val="both"/>
        <w:rPr>
          <w:rFonts w:ascii="Arial" w:hAnsi="Arial" w:cs="Arial"/>
        </w:rPr>
      </w:pPr>
      <w:r w:rsidRPr="00487C30">
        <w:rPr>
          <w:rFonts w:ascii="Arial" w:hAnsi="Arial" w:cs="Arial"/>
        </w:rPr>
        <w:t xml:space="preserve">The lower overall prevalence observed in this study compared with regional surveys may be attributable to </w:t>
      </w:r>
      <w:r w:rsidR="00535842">
        <w:rPr>
          <w:rFonts w:ascii="Arial" w:hAnsi="Arial" w:cs="Arial"/>
        </w:rPr>
        <w:t>health facility-based sampling, which may preferentially capture children who access</w:t>
      </w:r>
      <w:r w:rsidRPr="00487C30">
        <w:rPr>
          <w:rFonts w:ascii="Arial" w:hAnsi="Arial" w:cs="Arial"/>
        </w:rPr>
        <w:t xml:space="preserve"> care, or to reliance on caregiver-reported nutritional status rather than anthropometric measurements. Nevertheless, these findings highlight the need for </w:t>
      </w:r>
      <w:r w:rsidRPr="00487C30">
        <w:rPr>
          <w:rStyle w:val="Strong"/>
          <w:rFonts w:ascii="Arial" w:hAnsi="Arial" w:cs="Arial"/>
          <w:b w:val="0"/>
        </w:rPr>
        <w:t>routine growth monitoring, nutrition education, and targeted interventions</w:t>
      </w:r>
      <w:r w:rsidRPr="00487C30">
        <w:rPr>
          <w:rFonts w:ascii="Arial" w:hAnsi="Arial" w:cs="Arial"/>
        </w:rPr>
        <w:t>, particularly for underweight and wasted children, to reduce the burden of malnutrition and support early identification and management.</w:t>
      </w:r>
    </w:p>
    <w:p w14:paraId="636F941D" w14:textId="7A347274" w:rsidR="00284FB7" w:rsidRPr="00487C30" w:rsidRDefault="00284FB7" w:rsidP="00284FB7">
      <w:pPr>
        <w:pStyle w:val="NormalWeb"/>
        <w:spacing w:line="360" w:lineRule="auto"/>
        <w:jc w:val="both"/>
        <w:rPr>
          <w:rFonts w:ascii="Arial" w:hAnsi="Arial" w:cs="Arial"/>
        </w:rPr>
      </w:pPr>
      <w:r w:rsidRPr="00487C30">
        <w:rPr>
          <w:rFonts w:ascii="Arial" w:hAnsi="Arial" w:cs="Arial"/>
        </w:rPr>
        <w:t xml:space="preserve">Overall, while the prevalence in this study is lower than regional estimates, it underscores persistent disparities in child nutrition across low and </w:t>
      </w:r>
      <w:r>
        <w:rPr>
          <w:rFonts w:ascii="Arial" w:hAnsi="Arial" w:cs="Arial"/>
        </w:rPr>
        <w:t>middle-income</w:t>
      </w:r>
      <w:r w:rsidRPr="00487C30">
        <w:rPr>
          <w:rFonts w:ascii="Arial" w:hAnsi="Arial" w:cs="Arial"/>
        </w:rPr>
        <w:t xml:space="preserve"> countries and reinforces the importance of </w:t>
      </w:r>
      <w:r w:rsidRPr="00487C30">
        <w:rPr>
          <w:rStyle w:val="Strong"/>
          <w:rFonts w:ascii="Arial" w:hAnsi="Arial" w:cs="Arial"/>
          <w:b w:val="0"/>
        </w:rPr>
        <w:t xml:space="preserve">caregiver awareness and </w:t>
      </w:r>
      <w:r>
        <w:rPr>
          <w:rStyle w:val="Strong"/>
          <w:rFonts w:ascii="Arial" w:hAnsi="Arial" w:cs="Arial"/>
          <w:b w:val="0"/>
        </w:rPr>
        <w:t>evidence-based</w:t>
      </w:r>
      <w:r w:rsidRPr="00487C30">
        <w:rPr>
          <w:rStyle w:val="Strong"/>
          <w:rFonts w:ascii="Arial" w:hAnsi="Arial" w:cs="Arial"/>
          <w:b w:val="0"/>
        </w:rPr>
        <w:t xml:space="preserve"> nutrition programs </w:t>
      </w:r>
      <w:r w:rsidR="00BC66C9">
        <w:rPr>
          <w:rStyle w:val="Strong"/>
          <w:rFonts w:ascii="Arial" w:hAnsi="Arial" w:cs="Arial"/>
          <w:b w:val="0"/>
        </w:rPr>
        <w:fldChar w:fldCharType="begin" w:fldLock="1"/>
      </w:r>
      <w:r w:rsidR="002D59BA">
        <w:rPr>
          <w:rStyle w:val="Strong"/>
          <w:rFonts w:ascii="Arial" w:hAnsi="Arial" w:cs="Arial"/>
          <w:b w:val="0"/>
        </w:rPr>
        <w:instrText>ADDIN CSL_CITATION {"citationItems":[{"id":"ITEM-1","itemData":{"DOI":"10.3389/fpubh.2025.1654403","ISSN":"2296-2565 (Electronic)","PMID":"40893207","abstract":"INTRODUCTION: In developing countries like Pakistan, the prevalence of  malnutrition embodies a multifaceted development challenge, intricately linked to structural inequalities, with disproportionate burdens among socioeconomically and geographically disadvantaged populations. METHODS: Drawing on the most recent Pakistan Demographic and Health Survey (2017-18), this study examines the magnitude of child undernutrition disparities across wealth quintiles and geographic regions. This study employs the Concentration Index (CI) with decomposition analysis, alongside Oaxaca-Blinder decomposition as robust. RESULTS: The results of the concentration index reveal that child undernutrition in Pakistan is deeply rooted in socioeconomic disparities, with household wealth contributing the largest share (45.6%) to overall inequality. The negative values of both relative and absolute CI confirm a pronounced pro-poor concentration of malnutrition. Regional disparities also play a significant role, with Sindh, Khyber Pakhtunkhwa, Balochistan, and FATA jointly accounting for 12.9% of inequality. Notably, maternal illiteracy emerges as a critical determinant, explaining 24.1% of the observed nutritional inequity. The results of the OaxacaBlinder decomposition disclose a pronounced wealth gap in child malnutrition, with poor households experiencing a 25.5 percentage point higher likelihood of malnutrition compared to their wealthier counterparts. Approximately 65% of the explained disparity is attributed to household wealth status, maternal education, and geographic region, underscoring the structural nature of nutritional inequalities in Pakistan. CONCLUSION: The study concludes that child malnutrition in Pakistan is fundamentally a structural equity issue. Addressing this issue requires multisectoral policy interventions focused on economic empowerment, regional development, and girls' education to break the intergenerational cycle of undernutrition. Moreover, Pakistan's extreme concentration of wealth and regional marginalization create distinct disparities that standard regional models do not fully capture. The dominance of wealth and regional factors, accounting for 65% of the explained gap, highlights the need for structural solutions, such as wealth redistribution and provincial equity funds, rather than isolated health interventions.","author":[{"dropping-particle":"","family":"Tan","given":"Lijing","non-dropping-particle":"","parse-names":false,"suffix":""},{"dropping-particle":"","family":"Shahid","given":"Muhammad","non-dropping-particle":"","parse-names":false,"suffix":""},{"dropping-particle":"","family":"Song","given":"Jiayi","non-dropping-particle":"","parse-names":false,"suffix":""},{"dropping-particle":"","family":"Muhammad Naveed","given":"Hafiz","non-dropping-particle":"","parse-names":false,"suffix":""},{"dropping-particle":"","family":"Khan","given":"Itbar","non-dropping-particle":"","parse-names":false,"suffix":""}],"container-title":"Frontiers in public health","id":"ITEM-1","issued":{"date-parts":[["2025"]]},"language":"eng","page":"1654403","publisher-place":"Switzerland","title":"Wealth and regional disparities in child undernutrition: insights from national  demographic and health survey.","type":"article-journal","volume":"13"},"uris":["http://www.mendeley.com/documents/?uuid=aa7e6588-ca76-436a-a9af-ff92677db92c"]}],"mendeley":{"formattedCitation":"[25]","plainTextFormattedCitation":"[25]","previouslyFormattedCitation":"[25]"},"properties":{"noteIndex":0},"schema":"https://github.com/citation-style-language/schema/raw/master/csl-citation.json"}</w:instrText>
      </w:r>
      <w:r w:rsidR="00BC66C9">
        <w:rPr>
          <w:rStyle w:val="Strong"/>
          <w:rFonts w:ascii="Arial" w:hAnsi="Arial" w:cs="Arial"/>
          <w:b w:val="0"/>
        </w:rPr>
        <w:fldChar w:fldCharType="separate"/>
      </w:r>
      <w:r w:rsidR="002D59BA" w:rsidRPr="002D59BA">
        <w:rPr>
          <w:rStyle w:val="Strong"/>
          <w:rFonts w:ascii="Arial" w:hAnsi="Arial" w:cs="Arial"/>
          <w:b w:val="0"/>
          <w:noProof/>
        </w:rPr>
        <w:t>[25]</w:t>
      </w:r>
      <w:r w:rsidR="00BC66C9">
        <w:rPr>
          <w:rStyle w:val="Strong"/>
          <w:rFonts w:ascii="Arial" w:hAnsi="Arial" w:cs="Arial"/>
          <w:b w:val="0"/>
        </w:rPr>
        <w:fldChar w:fldCharType="end"/>
      </w:r>
      <w:r w:rsidR="00CD1F3F">
        <w:rPr>
          <w:rStyle w:val="Strong"/>
          <w:rFonts w:ascii="Arial" w:hAnsi="Arial" w:cs="Arial"/>
        </w:rPr>
        <w:t xml:space="preserve">. </w:t>
      </w:r>
      <w:r w:rsidRPr="00487C30">
        <w:rPr>
          <w:rFonts w:ascii="Arial" w:hAnsi="Arial" w:cs="Arial"/>
        </w:rPr>
        <w:t>In the present study, most caregiver reported socio</w:t>
      </w:r>
      <w:r w:rsidRPr="00487C30">
        <w:rPr>
          <w:rFonts w:ascii="Arial" w:hAnsi="Arial" w:cs="Arial"/>
        </w:rPr>
        <w:noBreakHyphen/>
        <w:t>demographic and feeding practice variables including receipt of nutrition education, source of nutrition information, timing of complementary feeding initiation, breastfeeding frequency, meal frequency, health</w:t>
      </w:r>
      <w:r w:rsidRPr="00487C30">
        <w:rPr>
          <w:rFonts w:ascii="Arial" w:hAnsi="Arial" w:cs="Arial"/>
        </w:rPr>
        <w:noBreakHyphen/>
        <w:t xml:space="preserve">seeking behavior, perceived feeding challenges, interest in nutrition training, and prior nutrition management training were </w:t>
      </w:r>
      <w:r w:rsidRPr="00487C30">
        <w:rPr>
          <w:rStyle w:val="Strong"/>
          <w:rFonts w:ascii="Arial" w:hAnsi="Arial" w:cs="Arial"/>
          <w:b w:val="0"/>
        </w:rPr>
        <w:t>not statistically significantly associated</w:t>
      </w:r>
      <w:r w:rsidRPr="00487C30">
        <w:rPr>
          <w:rFonts w:ascii="Arial" w:hAnsi="Arial" w:cs="Arial"/>
        </w:rPr>
        <w:t xml:space="preserve"> with the type of malnutrition (all </w:t>
      </w:r>
      <w:r w:rsidRPr="00487C30">
        <w:rPr>
          <w:rStyle w:val="Emphasis"/>
          <w:rFonts w:ascii="Arial" w:hAnsi="Arial" w:cs="Arial"/>
        </w:rPr>
        <w:t>p</w:t>
      </w:r>
      <w:r w:rsidRPr="00487C30">
        <w:rPr>
          <w:rFonts w:ascii="Arial" w:hAnsi="Arial" w:cs="Arial"/>
        </w:rPr>
        <w:t xml:space="preserve"> &gt; 0.05). These findings suggest that </w:t>
      </w:r>
      <w:r>
        <w:rPr>
          <w:rStyle w:val="Strong"/>
          <w:rFonts w:ascii="Arial" w:hAnsi="Arial" w:cs="Arial"/>
          <w:b w:val="0"/>
        </w:rPr>
        <w:t>knowledge-based indicators and self-reported</w:t>
      </w:r>
      <w:r w:rsidRPr="00487C30">
        <w:rPr>
          <w:rStyle w:val="Strong"/>
          <w:rFonts w:ascii="Arial" w:hAnsi="Arial" w:cs="Arial"/>
          <w:b w:val="0"/>
        </w:rPr>
        <w:t xml:space="preserve"> caregiving </w:t>
      </w:r>
      <w:proofErr w:type="spellStart"/>
      <w:r w:rsidRPr="00487C30">
        <w:rPr>
          <w:rStyle w:val="Strong"/>
          <w:rFonts w:ascii="Arial" w:hAnsi="Arial" w:cs="Arial"/>
          <w:b w:val="0"/>
        </w:rPr>
        <w:t>behaviours</w:t>
      </w:r>
      <w:proofErr w:type="spellEnd"/>
      <w:r w:rsidRPr="00487C30">
        <w:rPr>
          <w:rStyle w:val="Strong"/>
          <w:rFonts w:ascii="Arial" w:hAnsi="Arial" w:cs="Arial"/>
          <w:b w:val="0"/>
        </w:rPr>
        <w:t xml:space="preserve"> alone may not </w:t>
      </w:r>
      <w:r>
        <w:rPr>
          <w:rStyle w:val="Strong"/>
          <w:rFonts w:ascii="Arial" w:hAnsi="Arial" w:cs="Arial"/>
          <w:b w:val="0"/>
        </w:rPr>
        <w:t>adequately capture dietary quality or the underlying determinants of malnutrition in</w:t>
      </w:r>
      <w:r w:rsidRPr="00487C30">
        <w:rPr>
          <w:rFonts w:ascii="Arial" w:hAnsi="Arial" w:cs="Arial"/>
        </w:rPr>
        <w:t xml:space="preserve"> this study population. Similar patterns have been reported in other </w:t>
      </w:r>
      <w:r>
        <w:rPr>
          <w:rFonts w:ascii="Arial" w:hAnsi="Arial" w:cs="Arial"/>
        </w:rPr>
        <w:t>low-income</w:t>
      </w:r>
      <w:r w:rsidRPr="00487C30">
        <w:rPr>
          <w:rFonts w:ascii="Arial" w:hAnsi="Arial" w:cs="Arial"/>
        </w:rPr>
        <w:t xml:space="preserve"> settings, where household knowledge did not uniformly translate into improved child nutritional outcomes in the absence of broader structural support such as food security and resource avail</w:t>
      </w:r>
      <w:r>
        <w:rPr>
          <w:rFonts w:ascii="Arial" w:hAnsi="Arial" w:cs="Arial"/>
        </w:rPr>
        <w:t xml:space="preserve">ability </w:t>
      </w:r>
      <w:r w:rsidRPr="00487C30">
        <w:rPr>
          <w:rFonts w:ascii="Arial" w:hAnsi="Arial" w:cs="Arial"/>
        </w:rPr>
        <w:fldChar w:fldCharType="begin" w:fldLock="1"/>
      </w:r>
      <w:r w:rsidR="002D59BA">
        <w:rPr>
          <w:rFonts w:ascii="Arial" w:hAnsi="Arial" w:cs="Arial"/>
        </w:rPr>
        <w:instrText>ADDIN CSL_CITATION {"citationItems":[{"id":"ITEM-1","itemData":{"DOI":"10.1080/16549716.2025.2581454","ISSN":"16549880","PMID":"41294054","abstract":"Background: Undernutrition remains a significant global health challenge, particularly among children &lt;5 years of age. Despite efforts to combat this issue, millions of children worldwide, especially in low-income countries such as Rwanda, continue to suffer from undernutrition, which adversely affects their health, growth, and development. Objective: This study aimed to explore and analyse the factors contributing to the persistence of undernutrition among children &lt;5 years of age in Rwanda that are not adequately addressed by existing community interventions. Methods: A participatory research design with the open-space meeting method was used to collect the primary data. Eight open-space meetings were conducted in two selected districts in the Northern Province of Rwanda. A total of 194 participants, including community health workers, parents/caregivers, and healthcare professionals, participated in discussions. Thematic analysis using Atlas.ti software was used to analyse the qualitative data. Results: The findings revealed a complex interplay of factors contributing to the persistence of undernutrition among children &lt;5 years of age in Rwanda. Key factors identified included conflicts among parents, limited involvement of male parents in childcare, the mental health status of children, inexperienced home caregivers, and inadequate family planning practices. Conclusion: Despite concerted efforts by governmental and non-governmental organizations, undernutrition among children &lt;5 years of age remains a pressing issue in Rwanda. This study highlights specific household-related factors not adequately targeted by existing interventions and proposes potential strategies to address them effectively, aiming to reduce undernutrition among children &lt;5 years in Rwanda.","author":[{"dropping-particle":"","family":"Mukeshimana","given":"Madeleine","non-dropping-particle":"","parse-names":false,"suffix":""},{"dropping-particle":"","family":"Ntakirutimana","given":"Theoneste","non-dropping-particle":"","parse-names":false,"suffix":""},{"dropping-particle":"","family":"Ishimwe Bazakare","given":"Marie Laetitia","non-dropping-particle":"","parse-names":false,"suffix":""},{"dropping-particle":"","family":"Krantz","given":"Gunilla","non-dropping-particle":"","parse-names":false,"suffix":""}],"container-title":"Global Health Action","id":"ITEM-1","issue":"1","issued":{"date-parts":[["2025"]]},"publisher":"Taylor &amp; Francis","title":"Factors contributing to the persistence of undernutrition among children under 5 years of age in Rwanda: a community participatory qualitative study","type":"article-journal","volume":"18"},"uris":["http://www.mendeley.com/documents/?uuid=c829be6d-0cf7-470c-9119-7ac2a1b3e18a"]}],"mendeley":{"formattedCitation":"[26]","plainTextFormattedCitation":"[26]","previouslyFormattedCitation":"[26]"},"properties":{"noteIndex":0},"schema":"https://github.com/citation-style-language/schema/raw/master/csl-citation.json"}</w:instrText>
      </w:r>
      <w:r w:rsidRPr="00487C30">
        <w:rPr>
          <w:rFonts w:ascii="Arial" w:hAnsi="Arial" w:cs="Arial"/>
        </w:rPr>
        <w:fldChar w:fldCharType="separate"/>
      </w:r>
      <w:r w:rsidR="002D59BA" w:rsidRPr="002D59BA">
        <w:rPr>
          <w:rFonts w:ascii="Arial" w:hAnsi="Arial" w:cs="Arial"/>
          <w:noProof/>
        </w:rPr>
        <w:t>[26]</w:t>
      </w:r>
      <w:r w:rsidRPr="00487C30">
        <w:rPr>
          <w:rFonts w:ascii="Arial" w:hAnsi="Arial" w:cs="Arial"/>
        </w:rPr>
        <w:fldChar w:fldCharType="end"/>
      </w:r>
      <w:r>
        <w:rPr>
          <w:rFonts w:ascii="Arial" w:hAnsi="Arial" w:cs="Arial"/>
        </w:rPr>
        <w:t>.</w:t>
      </w:r>
    </w:p>
    <w:p w14:paraId="4A920369" w14:textId="627278BF" w:rsidR="00284FB7" w:rsidRPr="00487C30" w:rsidRDefault="00284FB7" w:rsidP="00284FB7">
      <w:pPr>
        <w:pStyle w:val="NormalWeb"/>
        <w:spacing w:line="360" w:lineRule="auto"/>
        <w:jc w:val="both"/>
        <w:rPr>
          <w:rFonts w:ascii="Arial" w:hAnsi="Arial" w:cs="Arial"/>
        </w:rPr>
      </w:pPr>
      <w:r w:rsidRPr="00487C30">
        <w:rPr>
          <w:rFonts w:ascii="Arial" w:hAnsi="Arial" w:cs="Arial"/>
        </w:rPr>
        <w:t xml:space="preserve">For example, a large cohort study in </w:t>
      </w:r>
      <w:r w:rsidRPr="00487C30">
        <w:rPr>
          <w:rStyle w:val="Strong"/>
          <w:rFonts w:ascii="Arial" w:hAnsi="Arial" w:cs="Arial"/>
          <w:b w:val="0"/>
        </w:rPr>
        <w:t>urban Tanzania</w:t>
      </w:r>
      <w:r w:rsidRPr="00487C30">
        <w:rPr>
          <w:rFonts w:ascii="Arial" w:hAnsi="Arial" w:cs="Arial"/>
        </w:rPr>
        <w:t xml:space="preserve"> documented that inappropriate complementary feeding practices, particularly </w:t>
      </w:r>
      <w:r w:rsidR="0080734F" w:rsidRPr="0080734F">
        <w:rPr>
          <w:rFonts w:ascii="Arial" w:hAnsi="Arial" w:cs="Arial"/>
          <w:color w:val="212121"/>
          <w:highlight w:val="yellow"/>
          <w:shd w:val="clear" w:color="auto" w:fill="FFFFFF"/>
        </w:rPr>
        <w:t>e</w:t>
      </w:r>
      <w:r w:rsidRPr="0080734F">
        <w:rPr>
          <w:rFonts w:ascii="Arial" w:hAnsi="Arial" w:cs="Arial"/>
          <w:color w:val="212121"/>
          <w:highlight w:val="yellow"/>
          <w:shd w:val="clear" w:color="auto" w:fill="FFFFFF"/>
        </w:rPr>
        <w:t>arly</w:t>
      </w:r>
      <w:r w:rsidRPr="00487C30">
        <w:rPr>
          <w:rFonts w:ascii="Arial" w:hAnsi="Arial" w:cs="Arial"/>
          <w:color w:val="212121"/>
          <w:shd w:val="clear" w:color="auto" w:fill="FFFFFF"/>
        </w:rPr>
        <w:t xml:space="preserve"> introduction of complementary food at age 0-1 month was statistically significantly associated with higher risks of wasting and underweight (ARR 2.9, 95%CI 1.3-6.3; and ARR 2.6, 95% CI 1.3-5.1</w:t>
      </w:r>
      <w:r>
        <w:rPr>
          <w:rFonts w:ascii="Arial" w:hAnsi="Arial" w:cs="Arial"/>
          <w:color w:val="212121"/>
          <w:shd w:val="clear" w:color="auto" w:fill="FFFFFF"/>
        </w:rPr>
        <w:t>,</w:t>
      </w:r>
      <w:r w:rsidRPr="00487C30">
        <w:rPr>
          <w:rFonts w:ascii="Arial" w:hAnsi="Arial" w:cs="Arial"/>
          <w:color w:val="212121"/>
          <w:shd w:val="clear" w:color="auto" w:fill="FFFFFF"/>
        </w:rPr>
        <w:t xml:space="preserve"> respectively</w:t>
      </w:r>
      <w:r w:rsidR="00535842">
        <w:rPr>
          <w:rFonts w:ascii="Arial" w:hAnsi="Arial" w:cs="Arial"/>
          <w:color w:val="212121"/>
          <w:shd w:val="clear" w:color="auto" w:fill="FFFFFF"/>
        </w:rPr>
        <w:t xml:space="preserve"> </w:t>
      </w:r>
      <w:r w:rsidRPr="00487C30">
        <w:rPr>
          <w:rFonts w:ascii="Arial" w:hAnsi="Arial" w:cs="Arial"/>
          <w:color w:val="212121"/>
          <w:shd w:val="clear" w:color="auto" w:fill="FFFFFF"/>
        </w:rPr>
        <w:fldChar w:fldCharType="begin" w:fldLock="1"/>
      </w:r>
      <w:r w:rsidR="002D59BA">
        <w:rPr>
          <w:rFonts w:ascii="Arial" w:hAnsi="Arial" w:cs="Arial"/>
          <w:color w:val="212121"/>
          <w:shd w:val="clear" w:color="auto" w:fill="FFFFFF"/>
        </w:rPr>
        <w:instrText>ADDIN CSL_CITATION {"citationItems":[{"id":"ITEM-1","itemData":{"DOI":"10.1371/journal.pone.0250562","ISBN":"1111111111","ISSN":"19326203","PMID":"33983950","abstract":"Introduction Childhood undernutrition is a major public health problem especially in low and middleincome countries (LMIC). The prevalence of early introduction of complementary feeding, low meal frequency, and low dietary diversity are frequent in LMICs. The effect of inappropriate complementary feeding practices on the nutritional status of children is not well documented in East African countries including Tanzania. Therefore, this study aimed at determining the effect of inappropriate complementary feeding practices on the nutritional status of children aged 6-24 months in urban Moshi, Tanzania. Methodology A retrospective cohort study was done using the Pasua and Majengo cohorts of motherchild pairs in urban Moshi who were enrolled from 2002 to 2017. About 3355 mother-child pairs were included in the analysis. Appropriate complementary feeding practices were assessed using WHO IYFP indicators such as age at introduction of solid, semi-solid, or soft foods, minimum dietary diversity, and minimum meal frequency. Nutritional status (stunting, wasting, and underweight) was determined. Multilevel modeling was applied to obtain the effect of inappropriate complementary feeding practices on the nutritional status of children and to account for the clustering effect of mothers and children and the correlation of repeated measures within each child. Results Majority of the children (91.2%) were given soft/semi-solid/solid foods before six months of age, 40.3percent had low meal frequency, and 74percent had low dietary diversity. Early introduction of complementary food at age 0-1 month was statistically significantly associated with higher risks of wasting and underweight (ARR 2.9, 95%CI 1.3-6.3; and ARR 2.6, 95% CI 1.3-5.1 respectively). Children with low minimum meal frequency had higher risks of stunting, wasting, and underweight (ARR 2.9, 95%CI 2.3-3.6; ARR 1.9, 95%CI 1.5-2.5 and ARR 1.9, 95%CI 1.5-2.4 respectively). Children with low minimum dietary diversity were more likely to be stunted than is the case with their peers who received the minimum dietary diversity (ARR 1.3, 95% CI 1.01-1.6). Conclusion There were a high proportion of children, which were fed inappropriately; Inappropriate complementary feeding practices predisposed children to undernutrition. Our study supports the introduction of complementary feeding, providing minimum dietary diversity, and minimum feeding frequency at six months of age as important in improving the nutritional sta…","author":[{"dropping-particle":"","family":"Masuke","given":"Rachel","non-dropping-particle":"","parse-names":false,"suffix":""},{"dropping-particle":"","family":"Msuya","given":"Sia E.","non-dropping-particle":"","parse-names":false,"suffix":""},{"dropping-particle":"","family":"Mahande","given":"Johnson M.","non-dropping-particle":"","parse-names":false,"suffix":""},{"dropping-particle":"","family":"Diarz","given":"Ester J.","non-dropping-particle":"","parse-names":false,"suffix":""},{"dropping-particle":"","family":"Stray-Pedersen","given":"Babill","non-dropping-particle":"","parse-names":false,"suffix":""},{"dropping-particle":"","family":"Jahanpour","given":"Ola","non-dropping-particle":"","parse-names":false,"suffix":""},{"dropping-particle":"","family":"Mgongo","given":"Melina","non-dropping-particle":"","parse-names":false,"suffix":""}],"container-title":"PLoS ONE","id":"ITEM-1","issue":"5 May","issued":{"date-parts":[["2021"]]},"page":"1-16","title":"Effect of inappropriate complementary feeding practices on the nutritional status of children aged 6-24 months in urban Moshi, Northern Tanzania: Cohort study","type":"article-journal","volume":"16"},"uris":["http://www.mendeley.com/documents/?uuid=501ddd5b-ae27-4101-bb0c-b47a9b268b70"]}],"mendeley":{"formattedCitation":"[27]","plainTextFormattedCitation":"[27]","previouslyFormattedCitation":"[27]"},"properties":{"noteIndex":0},"schema":"https://github.com/citation-style-language/schema/raw/master/csl-citation.json"}</w:instrText>
      </w:r>
      <w:r w:rsidRPr="00487C30">
        <w:rPr>
          <w:rFonts w:ascii="Arial" w:hAnsi="Arial" w:cs="Arial"/>
          <w:color w:val="212121"/>
          <w:shd w:val="clear" w:color="auto" w:fill="FFFFFF"/>
        </w:rPr>
        <w:fldChar w:fldCharType="separate"/>
      </w:r>
      <w:r w:rsidR="002D59BA" w:rsidRPr="002D59BA">
        <w:rPr>
          <w:rFonts w:ascii="Arial" w:hAnsi="Arial" w:cs="Arial"/>
          <w:noProof/>
          <w:color w:val="212121"/>
          <w:shd w:val="clear" w:color="auto" w:fill="FFFFFF"/>
        </w:rPr>
        <w:t>[27]</w:t>
      </w:r>
      <w:r w:rsidRPr="00487C30">
        <w:rPr>
          <w:rFonts w:ascii="Arial" w:hAnsi="Arial" w:cs="Arial"/>
          <w:color w:val="212121"/>
          <w:shd w:val="clear" w:color="auto" w:fill="FFFFFF"/>
        </w:rPr>
        <w:fldChar w:fldCharType="end"/>
      </w:r>
      <w:r w:rsidRPr="00487C30">
        <w:rPr>
          <w:rFonts w:ascii="Arial" w:hAnsi="Arial" w:cs="Arial"/>
        </w:rPr>
        <w:t>.</w:t>
      </w:r>
      <w:r>
        <w:rPr>
          <w:rFonts w:ascii="Arial" w:hAnsi="Arial" w:cs="Arial"/>
        </w:rPr>
        <w:t xml:space="preserve"> </w:t>
      </w:r>
      <w:r w:rsidRPr="00487C30">
        <w:rPr>
          <w:rFonts w:ascii="Arial" w:hAnsi="Arial" w:cs="Arial"/>
        </w:rPr>
        <w:t xml:space="preserve">This supports the interpretation that </w:t>
      </w:r>
      <w:r w:rsidRPr="00487C30">
        <w:rPr>
          <w:rStyle w:val="Strong"/>
          <w:rFonts w:ascii="Arial" w:hAnsi="Arial" w:cs="Arial"/>
          <w:b w:val="0"/>
        </w:rPr>
        <w:t xml:space="preserve">proximal feeding quality metrics, such as actual dietary diversity and appropriate timing of complementary feeding, may be more reliable </w:t>
      </w:r>
      <w:r w:rsidRPr="00487C30">
        <w:rPr>
          <w:rStyle w:val="Strong"/>
          <w:rFonts w:ascii="Arial" w:hAnsi="Arial" w:cs="Arial"/>
          <w:b w:val="0"/>
        </w:rPr>
        <w:lastRenderedPageBreak/>
        <w:t xml:space="preserve">predictors of malnutrition than </w:t>
      </w:r>
      <w:r>
        <w:rPr>
          <w:rStyle w:val="Strong"/>
          <w:rFonts w:ascii="Arial" w:hAnsi="Arial" w:cs="Arial"/>
          <w:b w:val="0"/>
        </w:rPr>
        <w:t>self-reported</w:t>
      </w:r>
      <w:r w:rsidRPr="00487C30">
        <w:rPr>
          <w:rStyle w:val="Strong"/>
          <w:rFonts w:ascii="Arial" w:hAnsi="Arial" w:cs="Arial"/>
          <w:b w:val="0"/>
        </w:rPr>
        <w:t xml:space="preserve"> knowledge or exposure to nutrition messaging</w:t>
      </w:r>
      <w:r>
        <w:rPr>
          <w:rStyle w:val="Strong"/>
          <w:rFonts w:ascii="Arial" w:hAnsi="Arial" w:cs="Arial"/>
        </w:rPr>
        <w:t xml:space="preserve"> </w:t>
      </w:r>
      <w:r w:rsidRPr="00487C30">
        <w:rPr>
          <w:rStyle w:val="Strong"/>
          <w:rFonts w:ascii="Arial" w:hAnsi="Arial" w:cs="Arial"/>
        </w:rPr>
        <w:fldChar w:fldCharType="begin" w:fldLock="1"/>
      </w:r>
      <w:r w:rsidR="002D59BA">
        <w:rPr>
          <w:rStyle w:val="Strong"/>
          <w:rFonts w:ascii="Arial" w:hAnsi="Arial" w:cs="Arial"/>
        </w:rPr>
        <w:instrText>ADDIN CSL_CITATION {"citationItems":[{"id":"ITEM-1","itemData":{"DOI":"10.3389/fnut.2021.714232","ISSN":"2296861X","abstract":"Introduction: Appropriate complementary foods have been found to provide infants and young children with nutritional needs for their growth and development. In the absence of a randomized control trial (RCT), this study used observational data to evaluate the effect of appropriate complementary feeding practices on the nutritional status of children aged 6–23 months in Malawi using a propensity score matching statistical technique. Methods: Data on 4,722 children aged 6 to 23 months from the 2015–16 Malawi Demographic and Health Survey (MDHS) were analyzed. Appropriate complementary feeding practices were assessed using the core indicators recommended by the World Health Organization (WHO)/United Nations Children's Fund (UNICEF), and consist of the introduction of complementary feeding, minimum dietary diversity, minimum meal frequency and minimum acceptable diet based on a dietary intake during a most recent 24-h period. Results: The prevalence of stunting (height-for-age z-score &lt; −2 SD) was 31.9% (95% CI: 29.3%, 34.6%), wasting (weight-for-height z-score &lt; −2 SD) 3.5% (95% CI: 2.6%, 4.7%) and underweight (weight-for-age z-score &lt; −2 SD) 9.9% (95% CI: 8.4%, 11.8%). Of the 4,722 children, 7.7% (95% CI: 6.9%, 8.5%) were provided appropriate complementary foods. Appropriate complementary feeding practices were found to result in significant decrease in stunting (OR = 0.7, 95% CI: 0.4, 0.95). They also resulted in the decrease of wasting (OR = 0.4, 95% CI: 0.1, 1.7) and underweight (OR = 0.6, 95% CI: 0.2, 1.7). Conclusion: Appropriate complementary feeding practices resulted in a reduction of stunting, wasting, and underweight among children 6 to 23 months of age in Malawi. We recommend the continued provision of appropriate complementary foods to infants and young children to ensure that the diet has adequate nutritional needs for their healthy growth.","author":[{"dropping-particle":"","family":"Twabi","given":"Halima S.","non-dropping-particle":"","parse-names":false,"suffix":""},{"dropping-particle":"","family":"Manda","given":"Samuel O.M.","non-dropping-particle":"","parse-names":false,"suffix":""},{"dropping-particle":"","family":"Small","given":"Dylan S.","non-dropping-particle":"","parse-names":false,"suffix":""}],"container-title":"Frontiers in Nutrition","id":"ITEM-1","issue":"November","issued":{"date-parts":[["2021"]]},"title":"Evaluating the Effect of Appropriate Complementary Feeding Practices on Child Growth in Malawi Using Cross-Sectional Data: An Application of Propensity Score Matching","type":"article-journal","volume":"8"},"uris":["http://www.mendeley.com/documents/?uuid=0432f101-5188-4e5d-8239-985ad9f8b9b8"]}],"mendeley":{"formattedCitation":"[28]","plainTextFormattedCitation":"[28]","previouslyFormattedCitation":"[28]"},"properties":{"noteIndex":0},"schema":"https://github.com/citation-style-language/schema/raw/master/csl-citation.json"}</w:instrText>
      </w:r>
      <w:r w:rsidRPr="00487C30">
        <w:rPr>
          <w:rStyle w:val="Strong"/>
          <w:rFonts w:ascii="Arial" w:hAnsi="Arial" w:cs="Arial"/>
        </w:rPr>
        <w:fldChar w:fldCharType="separate"/>
      </w:r>
      <w:r w:rsidR="002D59BA" w:rsidRPr="002D59BA">
        <w:rPr>
          <w:rStyle w:val="Strong"/>
          <w:rFonts w:ascii="Arial" w:hAnsi="Arial" w:cs="Arial"/>
          <w:b w:val="0"/>
          <w:noProof/>
        </w:rPr>
        <w:t>[28]</w:t>
      </w:r>
      <w:r w:rsidRPr="00487C30">
        <w:rPr>
          <w:rStyle w:val="Strong"/>
          <w:rFonts w:ascii="Arial" w:hAnsi="Arial" w:cs="Arial"/>
        </w:rPr>
        <w:fldChar w:fldCharType="end"/>
      </w:r>
      <w:r>
        <w:rPr>
          <w:rStyle w:val="Strong"/>
          <w:rFonts w:ascii="Arial" w:hAnsi="Arial" w:cs="Arial"/>
        </w:rPr>
        <w:t>.</w:t>
      </w:r>
    </w:p>
    <w:p w14:paraId="5E99BC0B" w14:textId="19C8953F" w:rsidR="00284FB7" w:rsidRPr="00487C30" w:rsidRDefault="00284FB7" w:rsidP="00284FB7">
      <w:pPr>
        <w:pStyle w:val="NormalWeb"/>
        <w:spacing w:line="360" w:lineRule="auto"/>
        <w:jc w:val="both"/>
        <w:rPr>
          <w:rFonts w:ascii="Arial" w:hAnsi="Arial" w:cs="Arial"/>
        </w:rPr>
      </w:pPr>
      <w:r w:rsidRPr="00487C30">
        <w:rPr>
          <w:rFonts w:ascii="Arial" w:hAnsi="Arial" w:cs="Arial"/>
        </w:rPr>
        <w:t xml:space="preserve">In contrast, your study identified a </w:t>
      </w:r>
      <w:r w:rsidRPr="00487C30">
        <w:rPr>
          <w:rStyle w:val="Strong"/>
          <w:rFonts w:ascii="Arial" w:hAnsi="Arial" w:cs="Arial"/>
          <w:b w:val="0"/>
        </w:rPr>
        <w:t>strong</w:t>
      </w:r>
      <w:r w:rsidRPr="00487C30">
        <w:rPr>
          <w:rStyle w:val="Strong"/>
          <w:rFonts w:ascii="Arial" w:hAnsi="Arial" w:cs="Arial"/>
        </w:rPr>
        <w:t xml:space="preserve"> </w:t>
      </w:r>
      <w:r w:rsidRPr="00487C30">
        <w:rPr>
          <w:rStyle w:val="Strong"/>
          <w:rFonts w:ascii="Arial" w:hAnsi="Arial" w:cs="Arial"/>
          <w:b w:val="0"/>
        </w:rPr>
        <w:t>association between the type of complementary foods provided and malnutrition</w:t>
      </w:r>
      <w:r w:rsidRPr="00487C30">
        <w:rPr>
          <w:rFonts w:ascii="Arial" w:hAnsi="Arial" w:cs="Arial"/>
        </w:rPr>
        <w:t xml:space="preserve"> (χ² = 34.46; </w:t>
      </w:r>
      <w:r w:rsidRPr="00487C30">
        <w:rPr>
          <w:rStyle w:val="Emphasis"/>
          <w:rFonts w:ascii="Arial" w:hAnsi="Arial" w:cs="Arial"/>
        </w:rPr>
        <w:t>p</w:t>
      </w:r>
      <w:r w:rsidRPr="00487C30">
        <w:rPr>
          <w:rFonts w:ascii="Arial" w:hAnsi="Arial" w:cs="Arial"/>
        </w:rPr>
        <w:t xml:space="preserve"> &lt; 0.001; likelihood ratio </w:t>
      </w:r>
      <w:r w:rsidRPr="00487C30">
        <w:rPr>
          <w:rStyle w:val="Emphasis"/>
          <w:rFonts w:ascii="Arial" w:hAnsi="Arial" w:cs="Arial"/>
        </w:rPr>
        <w:t>p</w:t>
      </w:r>
      <w:r w:rsidRPr="00487C30">
        <w:rPr>
          <w:rFonts w:ascii="Arial" w:hAnsi="Arial" w:cs="Arial"/>
        </w:rPr>
        <w:t xml:space="preserve"> &lt; 0.001). This finding is consiste</w:t>
      </w:r>
      <w:r w:rsidR="00C75314">
        <w:rPr>
          <w:rFonts w:ascii="Arial" w:hAnsi="Arial" w:cs="Arial"/>
        </w:rPr>
        <w:t>nt with evidence from both low and middle-income countries, in which</w:t>
      </w:r>
      <w:r w:rsidRPr="00487C30">
        <w:rPr>
          <w:rFonts w:ascii="Arial" w:hAnsi="Arial" w:cs="Arial"/>
        </w:rPr>
        <w:t xml:space="preserve"> </w:t>
      </w:r>
      <w:r w:rsidRPr="00487C30">
        <w:rPr>
          <w:rStyle w:val="Strong"/>
          <w:rFonts w:ascii="Arial" w:hAnsi="Arial" w:cs="Arial"/>
          <w:b w:val="0"/>
        </w:rPr>
        <w:t>diet quality and diversity have emerged as key determinants of child nutritional status</w:t>
      </w:r>
      <w:r w:rsidRPr="00487C30">
        <w:rPr>
          <w:rFonts w:ascii="Arial" w:hAnsi="Arial" w:cs="Arial"/>
        </w:rPr>
        <w:t xml:space="preserve">. In rural South Africa, for instance, low dietary diversity was </w:t>
      </w:r>
      <w:r w:rsidR="00C75314">
        <w:rPr>
          <w:rFonts w:ascii="Arial" w:hAnsi="Arial" w:cs="Arial"/>
        </w:rPr>
        <w:t xml:space="preserve">associated with stunting and underweight, whereas increased consumption of diverse foods (including animal-source foods and fruits/vegetables) was protective against undernutrition and was </w:t>
      </w:r>
      <w:r>
        <w:rPr>
          <w:rFonts w:ascii="Arial" w:hAnsi="Arial" w:cs="Arial"/>
        </w:rPr>
        <w:t>also associated with overweight/obesity</w:t>
      </w:r>
      <w:r w:rsidRPr="00487C30">
        <w:rPr>
          <w:rFonts w:ascii="Arial" w:hAnsi="Arial" w:cs="Arial"/>
        </w:rPr>
        <w:t xml:space="preserve">, reflecting a dual burden of malnutrition in the same population. </w:t>
      </w:r>
      <w:r w:rsidRPr="00487C30">
        <w:rPr>
          <w:rFonts w:ascii="Arial" w:hAnsi="Arial" w:cs="Arial"/>
        </w:rPr>
        <w:fldChar w:fldCharType="begin" w:fldLock="1"/>
      </w:r>
      <w:r w:rsidR="002D59BA">
        <w:rPr>
          <w:rFonts w:ascii="Arial" w:hAnsi="Arial" w:cs="Arial"/>
        </w:rPr>
        <w:instrText>ADDIN CSL_CITATION {"citationItems":[{"id":"ITEM-1","itemData":{"DOI":"10.3390/nu17111919","ISSN":"20726643","PMID":"40507190","abstract":"Objective: The aim of this study was to assess complementary feeding practices and dietary diversity in relation to the nutritional status of children under five attending health facilities in the Thabazimbi sub-district, Limpopo Province. Methods: A cross-sectional study was conducted among 409 mother–child pairs. Data on socio-demographics, feeding practices, and anthropometry were collected using validated tools. Nutritional status was assessed using WHO growth standards, and dietary diversity was evaluated using WHO infant and young child feeding (IYCF) indicators and a 24 h dietary recall. Associations were analyzed using prevalence ratios in STATA 18. Results: Among 409 children (median age: 18 months, IQR: 12–24), 38% were stunted, 13% were underweight, 5% were thin, and 17% were overweight/obese. Exclusive breastfeeding was reported in 27%, and only 24% met the minimum dietary diversity (DDS ≥ 4). Complementary feeding practices varied significantly by maternal age, with mixed feeding more common among older mothers and younger mothers more likely to receive feeding advice (p = 0.001). Stunting was associated with being a boy (PR = 1.27; 95% CI: 1.00–1.61), age &gt; 24 months (PR = 0.33; 95% CI: 0.16–0.65), and DDS ≥ 4 (PR = 0.72; 95% CI: 0.52–0.99). Underweight was more prevalent among boys (PR = 2.40; 95% CI: 1.40–4.11), but less likely in children with DDS ≥ 4 (PR = 0.43; 95% CI: 0.20–0.92) and those from spouse-headed households (PR = 0.33; 95% CI: 0.13–0.87). Thinness was associated with DDS ≥ 4 (PR = 2.70; 95% CI: 1.13–6.45) and age 12–24 months (PR = 2.80; 95% CI: 1.02–7.64). Overweight/obesity was linked to age 12–24 months (PR = 1.94; 95% CI: 1.25–3.03) and household income &gt; ZAR 15,000 (PR = 4.09; 95% CI: 2.33–7.17). Conclusions: Complementary feeding and dietary diversity deficits contribute significantly to the dual burden of malnutrition in rural Limpopo, highlighting the need for targeted, context-specific nutrition interventions.","author":[{"dropping-particle":"","family":"Mafhungo","given":"Tshilidzi","non-dropping-particle":"","parse-names":false,"suffix":""},{"dropping-particle":"","family":"Cele","given":"Lindiwe Priscilla","non-dropping-particle":"","parse-names":false,"suffix":""},{"dropping-particle":"","family":"Mathibe","given":"Mmampedi","non-dropping-particle":"","parse-names":false,"suffix":""},{"dropping-particle":"","family":"Modjadji","given":"Perpetua","non-dropping-particle":"","parse-names":false,"suffix":""}],"container-title":"Nutrients ","id":"ITEM-1","issue":"11","issued":{"date-parts":[["2025"]]},"page":"1-19","title":"Nutritional Challenges Among Children Under Five in Limpopo Province, South Africa: Complementary Feeding Practices and Dietary Diversity Deficits","type":"article-journal","volume":"17"},"uris":["http://www.mendeley.com/documents/?uuid=930d58be-f8c8-43cb-b1ce-f4dd4c54bc10"]}],"mendeley":{"formattedCitation":"[29]","plainTextFormattedCitation":"[29]","previouslyFormattedCitation":"[29]"},"properties":{"noteIndex":0},"schema":"https://github.com/citation-style-language/schema/raw/master/csl-citation.json"}</w:instrText>
      </w:r>
      <w:r w:rsidRPr="00487C30">
        <w:rPr>
          <w:rFonts w:ascii="Arial" w:hAnsi="Arial" w:cs="Arial"/>
        </w:rPr>
        <w:fldChar w:fldCharType="separate"/>
      </w:r>
      <w:r w:rsidR="002D59BA" w:rsidRPr="002D59BA">
        <w:rPr>
          <w:rFonts w:ascii="Arial" w:hAnsi="Arial" w:cs="Arial"/>
          <w:noProof/>
        </w:rPr>
        <w:t>[29]</w:t>
      </w:r>
      <w:r w:rsidRPr="00487C30">
        <w:rPr>
          <w:rFonts w:ascii="Arial" w:hAnsi="Arial" w:cs="Arial"/>
        </w:rPr>
        <w:fldChar w:fldCharType="end"/>
      </w:r>
      <w:r w:rsidR="00CD1F3F">
        <w:rPr>
          <w:rFonts w:ascii="Arial" w:hAnsi="Arial" w:cs="Arial"/>
        </w:rPr>
        <w:t>.</w:t>
      </w:r>
      <w:r w:rsidRPr="00487C30">
        <w:rPr>
          <w:rFonts w:ascii="Arial" w:hAnsi="Arial" w:cs="Arial"/>
        </w:rPr>
        <w:t xml:space="preserve"> Similarly, analyses from Southeast Asia (e.g., Vietnam) demonstrated that meeting minimum dietary diversity and acceptable diet thresholds was associated with, </w:t>
      </w:r>
      <w:proofErr w:type="gramStart"/>
      <w:r w:rsidRPr="00487C30">
        <w:rPr>
          <w:rFonts w:ascii="Arial" w:hAnsi="Arial" w:cs="Arial"/>
        </w:rPr>
        <w:t>Continued</w:t>
      </w:r>
      <w:proofErr w:type="gramEnd"/>
      <w:r w:rsidRPr="00487C30">
        <w:rPr>
          <w:rFonts w:ascii="Arial" w:hAnsi="Arial" w:cs="Arial"/>
        </w:rPr>
        <w:t xml:space="preserve"> breastfeeding (12–23 months) reduced the odds of being underweight [0.50 (0.27, 0.92)] and of having low serum zinc [0.70 (0.52, 0.96), reinforcing the central role of dietary adequacy beyond mere feeding frequency or breastfeeding status </w:t>
      </w:r>
      <w:r w:rsidRPr="00487C30">
        <w:rPr>
          <w:rFonts w:ascii="Arial" w:hAnsi="Arial" w:cs="Arial"/>
        </w:rPr>
        <w:fldChar w:fldCharType="begin" w:fldLock="1"/>
      </w:r>
      <w:r w:rsidR="002D59BA">
        <w:rPr>
          <w:rFonts w:ascii="Arial" w:hAnsi="Arial" w:cs="Arial"/>
        </w:rPr>
        <w:instrText>ADDIN CSL_CITATION {"citationItems":[{"id":"ITEM-1","itemData":{"DOI":"10.3390/nu16193240","ISSN":"20726643","PMID":"39408208","abstract":"Background/Objectives: Optimal infant and young child feeding (IYCF) practices are crucial to addressing the double burden of malnutrition (DBM), encompassing undernutrition (including micronutrient deficiencies) and overnutrition. This study examined the demographic and socioeconomic determinants of IYCF practices, and their impacts on the DBM among 2039 Vietnamese children aged 6–23 months from the General Nutrition Survey 2020. Methods: Thirteen IYCF indicators recommended by the WHO/UNICEF were evaluated. Associations between IYCF indicators and outcome variables were assessed using logistic regressions. Results: The prevalence of stunting, underweight, and overweight subjects was 10.9%, 5.6%, and 3.1%, respectively. Low serum zinc affected 56.7% of children, while 14.3% had low serum retinol, 31.2% had anemia, and 34.6% had iron deficiency (ID). Only 36.7% of children achieved minimum dietary diversity (MDD), and 29.0% achieved the minimum acceptable diet (MAD). Children from the younger age group (6–11 months), ethnic minorities, those living in rural/mountainous regions, and poorer wealth quintiles had reduced odds of meeting IYCF criteria, including MDD and MAD. Infants meeting MDD had reduced odds of stunting [adjusted odds ratio (95% confidence intervals): 0.61 (0.41, 0.92)], and ID [0.69 (0.54, 0.88)]. Children meeting MAD had reduced odds of anemia [0.72 (0.57, 0.91)], ID [0.66 (0.52, 0.84)], and low serum retinol [0.63 (0.41, 0.99)]. Continued breastfeeding (12–23 months) reduced the odds of being underweight [0.50 (0.27, 0.92)] and of having low serum zinc [0.70 (0.52, 0.96)]. Adequate minimum milk feeding frequency had increased odds of being overweight [3.33 (1.01, 11.09)]. Conclusions: Suboptimal IYCF practices were significant predictors of the DBM among Vietnamese children, with evident age-specific, geographical, and socioeconomic disparities.","author":[{"dropping-particle":"","family":"Tan","given":"Pui Yee","non-dropping-particle":"","parse-names":false,"suffix":""},{"dropping-particle":"","family":"Som","given":"Somphos Vicheth","non-dropping-particle":"","parse-names":false,"suffix":""},{"dropping-particle":"","family":"Nguyen","given":"Son Duy","non-dropping-particle":"","parse-names":false,"suffix":""},{"dropping-particle":"","family":"Tran","given":"Do Tranh","non-dropping-particle":"","parse-names":false,"suffix":""},{"dropping-particle":"","family":"Tran","given":"Nga Thuy","non-dropping-particle":"","parse-names":false,"suffix":""},{"dropping-particle":"","family":"Tran","given":"Van Khanh","non-dropping-particle":"","parse-names":false,"suffix":""},{"dropping-particle":"","family":"Dye","given":"Louise","non-dropping-particle":"","parse-names":false,"suffix":""},{"dropping-particle":"","family":"Moore","given":"J. Bernadette","non-dropping-particle":"","parse-names":false,"suffix":""},{"dropping-particle":"","family":"Caton","given":"Samantha","non-dropping-particle":"","parse-names":false,"suffix":""},{"dropping-particle":"","family":"Ensaff","given":"Hannah","non-dropping-particle":"","parse-names":false,"suffix":""},{"dropping-particle":"","family":"Lin","given":"Xiaodong","non-dropping-particle":"","parse-names":false,"suffix":""},{"dropping-particle":"","family":"Smith","given":"Geoffry","non-dropping-particle":"","parse-names":false,"suffix":""},{"dropping-particle":"","family":"Chan","given":"Pauline","non-dropping-particle":"","parse-names":false,"suffix":""},{"dropping-particle":"","family":"Gong","given":"Yun Yun","non-dropping-particle":"","parse-names":false,"suffix":""}],"container-title":"Nutrients ","id":"ITEM-1","issue":"19","issued":{"date-parts":[["2024"]]},"page":"1-16","title":"The Role of Complementary Feeding Practices in Addressing the Double Burden of Malnutrition among Children Aged 6–23 Months: Insight from the Vietnamese General Nutrition Survey 2020","type":"article-journal","volume":"16"},"uris":["http://www.mendeley.com/documents/?uuid=45a7311c-94be-4788-b2c5-dbc0dd267c64"]}],"mendeley":{"formattedCitation":"[30]","plainTextFormattedCitation":"[30]","previouslyFormattedCitation":"[30]"},"properties":{"noteIndex":0},"schema":"https://github.com/citation-style-language/schema/raw/master/csl-citation.json"}</w:instrText>
      </w:r>
      <w:r w:rsidRPr="00487C30">
        <w:rPr>
          <w:rFonts w:ascii="Arial" w:hAnsi="Arial" w:cs="Arial"/>
        </w:rPr>
        <w:fldChar w:fldCharType="separate"/>
      </w:r>
      <w:r w:rsidR="002D59BA" w:rsidRPr="002D59BA">
        <w:rPr>
          <w:rFonts w:ascii="Arial" w:hAnsi="Arial" w:cs="Arial"/>
          <w:noProof/>
        </w:rPr>
        <w:t>[30]</w:t>
      </w:r>
      <w:r w:rsidRPr="00487C30">
        <w:rPr>
          <w:rFonts w:ascii="Arial" w:hAnsi="Arial" w:cs="Arial"/>
        </w:rPr>
        <w:fldChar w:fldCharType="end"/>
      </w:r>
      <w:r w:rsidRPr="00487C30">
        <w:rPr>
          <w:rFonts w:ascii="Arial" w:hAnsi="Arial" w:cs="Arial"/>
        </w:rPr>
        <w:t>.</w:t>
      </w:r>
    </w:p>
    <w:p w14:paraId="4ACFD739" w14:textId="75308F16" w:rsidR="00284FB7" w:rsidRPr="00487C30" w:rsidRDefault="00284FB7" w:rsidP="00284FB7">
      <w:pPr>
        <w:pStyle w:val="NormalWeb"/>
        <w:spacing w:line="360" w:lineRule="auto"/>
        <w:jc w:val="both"/>
        <w:rPr>
          <w:rFonts w:ascii="Arial" w:hAnsi="Arial" w:cs="Arial"/>
        </w:rPr>
      </w:pPr>
      <w:r w:rsidRPr="00487C30">
        <w:rPr>
          <w:rFonts w:ascii="Arial" w:hAnsi="Arial" w:cs="Arial"/>
        </w:rPr>
        <w:t xml:space="preserve">The borderline association observed between knowledge of the recommended duration of exclusive breastfeeding and malnutrition (Pearson </w:t>
      </w:r>
      <w:r w:rsidRPr="00487C30">
        <w:rPr>
          <w:rStyle w:val="Emphasis"/>
          <w:rFonts w:ascii="Arial" w:hAnsi="Arial" w:cs="Arial"/>
        </w:rPr>
        <w:t>p</w:t>
      </w:r>
      <w:r w:rsidRPr="00487C30">
        <w:rPr>
          <w:rFonts w:ascii="Arial" w:hAnsi="Arial" w:cs="Arial"/>
        </w:rPr>
        <w:t xml:space="preserve"> = 0.097; likelihood ratio </w:t>
      </w:r>
      <w:r w:rsidRPr="00487C30">
        <w:rPr>
          <w:rStyle w:val="Emphasis"/>
          <w:rFonts w:ascii="Arial" w:hAnsi="Arial" w:cs="Arial"/>
        </w:rPr>
        <w:t>p</w:t>
      </w:r>
      <w:r w:rsidRPr="00487C30">
        <w:rPr>
          <w:rFonts w:ascii="Arial" w:hAnsi="Arial" w:cs="Arial"/>
        </w:rPr>
        <w:t xml:space="preserve"> = 0.016) may reflect </w:t>
      </w:r>
      <w:r w:rsidRPr="00487C30">
        <w:rPr>
          <w:rStyle w:val="Strong"/>
          <w:rFonts w:ascii="Arial" w:hAnsi="Arial" w:cs="Arial"/>
          <w:b w:val="0"/>
        </w:rPr>
        <w:t xml:space="preserve">limitations in statistical power due to sparse </w:t>
      </w:r>
      <w:r>
        <w:rPr>
          <w:rStyle w:val="Strong"/>
          <w:rFonts w:ascii="Arial" w:hAnsi="Arial" w:cs="Arial"/>
          <w:b w:val="0"/>
        </w:rPr>
        <w:t>cell counts in the contingency table</w:t>
      </w:r>
      <w:r w:rsidRPr="00487C30">
        <w:rPr>
          <w:rFonts w:ascii="Arial" w:hAnsi="Arial" w:cs="Arial"/>
        </w:rPr>
        <w:t xml:space="preserve">. However, global evidence remains mixed: while exclusive breastfeeding is widely </w:t>
      </w:r>
      <w:r w:rsidR="00786C06">
        <w:rPr>
          <w:rFonts w:ascii="Arial" w:hAnsi="Arial" w:cs="Arial"/>
        </w:rPr>
        <w:t>recogniz</w:t>
      </w:r>
      <w:bookmarkStart w:id="0" w:name="_GoBack"/>
      <w:bookmarkEnd w:id="0"/>
      <w:r w:rsidR="00786C06">
        <w:rPr>
          <w:rFonts w:ascii="Arial" w:hAnsi="Arial" w:cs="Arial"/>
        </w:rPr>
        <w:t xml:space="preserve">ed for its immunological and developmental benefits, its isolated impact on long-term anthropometric status varies with concurrent quality of complementary feeding </w:t>
      </w:r>
      <w:r>
        <w:rPr>
          <w:rFonts w:ascii="Arial" w:hAnsi="Arial" w:cs="Arial"/>
        </w:rPr>
        <w:t xml:space="preserve">and household food security </w:t>
      </w:r>
      <w:r w:rsidR="008602BD">
        <w:rPr>
          <w:rFonts w:ascii="Arial" w:hAnsi="Arial" w:cs="Arial"/>
        </w:rPr>
        <w:fldChar w:fldCharType="begin" w:fldLock="1"/>
      </w:r>
      <w:r w:rsidR="002D59BA">
        <w:rPr>
          <w:rFonts w:ascii="Arial" w:hAnsi="Arial" w:cs="Arial"/>
        </w:rPr>
        <w:instrText>ADDIN CSL_CITATION {"citationItems":[{"id":"ITEM-1","itemData":{"DOI":"10.56294/saludcyt20252382","abstract":"Introduction: lactogenic agents are used by breastfeeding mothers in Saudi Arabia to enhance milk production, influenced by maternal knowledge, cultural practices, family advice, and professional guidance. Evidence on their use and outcomes is limited.\r\nObjective: to explore factors affecting lactogenic agent use and the role of nursing support in promoting safe, effective lactation practices in Saudi Arabia and Arab countries.\r\nMethod: a systematic search following PRISMA 2020 guidelines was conducted in PubMed, Scopus, Web of Science, CINAHL, Cochrane Library, IMEMR, and Arab World Research Source for studies from 2000 to March 2025. Cross-sectional, cohort, quasi-experimental, and mixed-methods studies were included. Data extraction and quality appraisal were independently performed by two reviewers.\r\nResults: thirteen studies involving ~4,200 mothers aged 18–40 years were included. Exclusive breastfeeding at six months ranged from 20–42 %. Herbal galactagogues, mainly fenugreek, anise, and black seed, were most used; pharmacological agents were rare. Determinants of use included perceived milk insufficiency, maternal knowledge and self-efficacy, family advice, social media exposure, delivery mode, and workplace constraints. Nurse-led counseling and structured postpartum education improved maternal self-efficacy and breastfeeding duration. Adverse effects were infrequent and mild.\r\nConclusions: lactogenic agent use is widespread, but evidence for efficacy is limited. Exclusive breastfeeding continuation depends on maternal self-efficacy, professional support, and structural factors. Nurses play a pivotal role in providing evidence-based guidance to optimize breastfeeding outcomes.","author":[{"dropping-particle":"","family":"Elsaid","given":"Donia","non-dropping-particle":"","parse-names":false,"suffix":""},{"dropping-particle":"","family":"Zaghamir","given":"Fathi","non-dropping-particle":"","parse-names":false,"suffix":""}],"id":"ITEM-1","issued":{"date-parts":[["2025"]]},"title":"Key Factors and Practices Shaping Lactating Mothers ’ Use of Lactogenic Agents for Infant Health : A Nursing Perspective in Saudi Arabia and Arab Countries Factores y prácticas clave que influyen en el uso de agentes lactogénicos por madres lactantes para","type":"article-journal"},"uris":["http://www.mendeley.com/documents/?uuid=9fbffa5f-b89c-4ab8-aeb1-258be5f50119"]}],"mendeley":{"formattedCitation":"[31]","plainTextFormattedCitation":"[31]","previouslyFormattedCitation":"[31]"},"properties":{"noteIndex":0},"schema":"https://github.com/citation-style-language/schema/raw/master/csl-citation.json"}</w:instrText>
      </w:r>
      <w:r w:rsidR="008602BD">
        <w:rPr>
          <w:rFonts w:ascii="Arial" w:hAnsi="Arial" w:cs="Arial"/>
        </w:rPr>
        <w:fldChar w:fldCharType="separate"/>
      </w:r>
      <w:r w:rsidR="002D59BA" w:rsidRPr="002D59BA">
        <w:rPr>
          <w:rFonts w:ascii="Arial" w:hAnsi="Arial" w:cs="Arial"/>
          <w:noProof/>
        </w:rPr>
        <w:t>[31]</w:t>
      </w:r>
      <w:r w:rsidR="008602BD">
        <w:rPr>
          <w:rFonts w:ascii="Arial" w:hAnsi="Arial" w:cs="Arial"/>
        </w:rPr>
        <w:fldChar w:fldCharType="end"/>
      </w:r>
      <w:r w:rsidRPr="00487C30">
        <w:rPr>
          <w:rFonts w:ascii="Arial" w:hAnsi="Arial" w:cs="Arial"/>
        </w:rPr>
        <w:fldChar w:fldCharType="begin" w:fldLock="1"/>
      </w:r>
      <w:r w:rsidR="002D59BA">
        <w:rPr>
          <w:rFonts w:ascii="Arial" w:hAnsi="Arial" w:cs="Arial"/>
        </w:rPr>
        <w:instrText>ADDIN CSL_CITATION {"citationItems":[{"id":"ITEM-1","itemData":{"DOI":"10.58723/ijhrd.v3i2.373","abstract":"Background: The nutritional status of toddlers serves as a key marker of their overall health and development, influencing cognitive abilities, immune function, and long-term productivity. Exclusive breastfeeding in the first six months is essential for supporting and enhancing nutritional well-being during early childhood. Nevertheless, public understanding of the critical benefits of exclusive breastfeeding is still limited.Aims: This study aimed to analyze the relationship between exclusive breastfeeding and the nutritional status of toddlers in the working area of Dawe Public Health Center, Kudus Regency.Methods: This study employed a quantitative analytic approach with a cross-sectional design. A total of 71 mothers with toddlers were selected through random sampling. Exclusive breastfeeding served as the independent variable, while the toddler’s nutritional status was the dependent variable, measured using the Kartu Menuju Sehat (KMS) growth chart. Data collection was conducted through questionnaires and document analysis, and the results were analyzed using the chi-square statistical test.Results: The results of the analysis revealed a statistically significant association between exclusive breastfeeding and toddlers' nutritional status, as evidenced by a p-value of 0.001 (p &lt; 0.05). This suggests that toddlers who were exclusively breastfed were more likely to exhibit better nutritional outcomes.Conclusion: A significant correlation exists between exclusive breastfeeding and the nutritional status of toddlers. Consequently, it is essential to enhance health education efforts for mothers regarding the benefits of exclusive breastfeeding. In addition, ongoing support from healthcare providers is crucial to increase awareness and promote better exclusive breastfeeding practices within the community.","author":[{"dropping-particle":"","family":"Riza Yanti","given":"","non-dropping-particle":"","parse-names":false,"suffix":""},{"dropping-particle":"","family":"Umi Faridah","given":"","non-dropping-particle":"","parse-names":false,"suffix":""},{"dropping-particle":"","family":"Muhamad Jauhar","given":"","non-dropping-particle":"","parse-names":false,"suffix":""}],"container-title":"Indonesian Journal of Health Research and Development","id":"ITEM-1","issue":"2","issued":{"date-parts":[["2025"]]},"page":"85-93","title":"Exclusive Breastfeeding and Nutritional Status of Toddlers in a Community Health Center","type":"article-journal","volume":"3"},"uris":["http://www.mendeley.com/documents/?uuid=194269e3-97d2-47fa-9365-fda329394912"]}],"mendeley":{"formattedCitation":"[32]","plainTextFormattedCitation":"[32]","previouslyFormattedCitation":"[32]"},"properties":{"noteIndex":0},"schema":"https://github.com/citation-style-language/schema/raw/master/csl-citation.json"}</w:instrText>
      </w:r>
      <w:r w:rsidRPr="00487C30">
        <w:rPr>
          <w:rFonts w:ascii="Arial" w:hAnsi="Arial" w:cs="Arial"/>
        </w:rPr>
        <w:fldChar w:fldCharType="separate"/>
      </w:r>
      <w:r w:rsidR="002D59BA" w:rsidRPr="002D59BA">
        <w:rPr>
          <w:rFonts w:ascii="Arial" w:hAnsi="Arial" w:cs="Arial"/>
          <w:noProof/>
        </w:rPr>
        <w:t>[32]</w:t>
      </w:r>
      <w:r w:rsidRPr="00487C30">
        <w:rPr>
          <w:rFonts w:ascii="Arial" w:hAnsi="Arial" w:cs="Arial"/>
        </w:rPr>
        <w:fldChar w:fldCharType="end"/>
      </w:r>
      <w:r w:rsidRPr="00487C30">
        <w:rPr>
          <w:rFonts w:ascii="Arial" w:hAnsi="Arial" w:cs="Arial"/>
        </w:rPr>
        <w:fldChar w:fldCharType="begin" w:fldLock="1"/>
      </w:r>
      <w:r w:rsidR="002D59BA">
        <w:rPr>
          <w:rFonts w:ascii="Arial" w:hAnsi="Arial" w:cs="Arial"/>
        </w:rPr>
        <w:instrText>ADDIN CSL_CITATION {"citationItems":[{"id":"ITEM-1","itemData":{"DOI":"10.20473/amnt.v8i2SP.2024.1-8","ISSN":"25809776","abstract":"Background: Wasting, an acute nutritional deficiency, is assessed using weight-for-height with a z-score of &lt;-2SD from growth standards. The prevalence of wasting in Puskesmas Kendit is 14.31%, with Kukusan Village at 29%.Objectives: This study examined the correlation between exclusive breastfeeding, Complementary Feeding (CF), infectious diseases, and wasting in young children.Methods: Conducted with a cross-sectional design, the study sampled 51 toddlers through simple random sampling and analyzed the data using Spearman's correlation.Results: Findings revealed no significant correlation between exclusive breastfeeding and wasting (p-value=0.105). However, there was a significant correlation between CF and wasting (p-value=0.026). Nutrient intake, including energy (p-value&lt;0.001), protein (p-value&lt;0.001), fat (p-value=0.002), and carbohydrates (p-value=0.025), was significantly correlated with wasting, as was the presence of infectious diseases (p-value=0.001).Conclusions: While exclusive breastfeeding tends to reduce wasting, appropriate CF and adequate intake of energy, protein, fat, and carbohydrates are associated with a lower prevalence of wasting. Recommended actions include improving exclusive breastfeeding practices,enhancing the quality of CF, and increasing preventive measures for infectious diseases.","author":[{"dropping-particle":"","family":"Intiyati","given":"Ani","non-dropping-particle":"","parse-names":false,"suffix":""},{"dropping-particle":"","family":"Putri","given":"Rany Dwi Yuliana","non-dropping-particle":"","parse-names":false,"suffix":""},{"dropping-particle":"","family":"Edi","given":"Imam Sarwo","non-dropping-particle":"","parse-names":false,"suffix":""},{"dropping-particle":"","family":"Taufiqurrahman","given":"Taufiqurrahman","non-dropping-particle":"","parse-names":false,"suffix":""},{"dropping-particle":"","family":"Soesanti","given":"Inne","non-dropping-particle":"","parse-names":false,"suffix":""},{"dropping-particle":"","family":"Pengge","given":"Nuning Marina","non-dropping-particle":"","parse-names":false,"suffix":""},{"dropping-particle":"","family":"Shofiya","given":"Dian","non-dropping-particle":"","parse-names":false,"suffix":""}],"container-title":"Amerta Nutrition","id":"ITEM-1","issue":"2SP","issued":{"date-parts":[["2024"]]},"page":"1-8","title":"Correlation between Exclusive Breastfeeding, Complementary Feeding, Infectious Disease with Wasting among Toddlers: a Cross-Sectional Study","type":"article-journal","volume":"8"},"uris":["http://www.mendeley.com/documents/?uuid=62d8518c-13d3-4660-96a5-3f8139b3b778"]}],"mendeley":{"formattedCitation":"[33]","plainTextFormattedCitation":"[33]","previouslyFormattedCitation":"[33]"},"properties":{"noteIndex":0},"schema":"https://github.com/citation-style-language/schema/raw/master/csl-citation.json"}</w:instrText>
      </w:r>
      <w:r w:rsidRPr="00487C30">
        <w:rPr>
          <w:rFonts w:ascii="Arial" w:hAnsi="Arial" w:cs="Arial"/>
        </w:rPr>
        <w:fldChar w:fldCharType="separate"/>
      </w:r>
      <w:r w:rsidR="002D59BA" w:rsidRPr="002D59BA">
        <w:rPr>
          <w:rFonts w:ascii="Arial" w:hAnsi="Arial" w:cs="Arial"/>
          <w:noProof/>
        </w:rPr>
        <w:t>[33]</w:t>
      </w:r>
      <w:r w:rsidRPr="00487C30">
        <w:rPr>
          <w:rFonts w:ascii="Arial" w:hAnsi="Arial" w:cs="Arial"/>
        </w:rPr>
        <w:fldChar w:fldCharType="end"/>
      </w:r>
      <w:r w:rsidRPr="00487C30">
        <w:rPr>
          <w:rFonts w:ascii="Arial" w:hAnsi="Arial" w:cs="Arial"/>
        </w:rPr>
        <w:fldChar w:fldCharType="begin" w:fldLock="1"/>
      </w:r>
      <w:r w:rsidR="002D59BA">
        <w:rPr>
          <w:rFonts w:ascii="Arial" w:hAnsi="Arial" w:cs="Arial"/>
        </w:rPr>
        <w:instrText>ADDIN CSL_CITATION {"citationItems":[{"id":"ITEM-1","itemData":{"DOI":"10.25259/aujmsr_10_2025","abstract":"Exclusive breastfeeding (EBF) is a critical practice for ensuring optimal child development, yet its global adoption varies significantly. The World Health Organization recommends EBF for the first 6 months to support infant health and development, and this guidance is reinforced by global policy recommendations. Despite these recommendations, the practice of EBF varies widely across regions. This article highlights the global trends and challenges of EBF, with a particular focus on Nigeria, where EBF rates remain low due to various barriers. Furthermore, the article delves into the developmental milestones of children, emphasizing how EBF supports physical, cognitive, mental, and social growth. It underscores the importance of EBF in promoting a child’s overall well-being and development. By examining both global and local perspectives, the article aims to inform and encourage more effective breastfeeding practices and policies to enhance child health worldwide. In conclusion, EBF supports cognitive, physical, emotional, and social growth, laying a foundation for lifelong health and well-being. Strong advocacy efforts, especially in Nigeria, are needed to promote EBF and enhance child health outcomes.","author":[{"dropping-particle":"","family":"Araba","given":"Muminat Tolulope","non-dropping-particle":"","parse-names":false,"suffix":""},{"dropping-particle":"","family":"Okoro","given":"Esther Chiamaka","non-dropping-particle":"","parse-names":false,"suffix":""},{"dropping-particle":"","family":"Abubakar","given":"Ibrahim Ahmad","non-dropping-particle":"","parse-names":false,"suffix":""},{"dropping-particle":"","family":"Gbonjubola","given":"Yusuff Tunde","non-dropping-particle":"","parse-names":false,"suffix":""}],"container-title":"Adesh University Journal of Medical Sciences &amp; Research","id":"ITEM-1","issue":"1","issued":{"date-parts":[["2025"]]},"page":"16-20","title":"Assessing the impact of exclusive breastfeeding on child development","type":"article-journal","volume":"7"},"uris":["http://www.mendeley.com/documents/?uuid=833d159f-0a83-449a-9f23-483ff1b279c8"]}],"mendeley":{"formattedCitation":"[34]","plainTextFormattedCitation":"[34]","previouslyFormattedCitation":"[34]"},"properties":{"noteIndex":0},"schema":"https://github.com/citation-style-language/schema/raw/master/csl-citation.json"}</w:instrText>
      </w:r>
      <w:r w:rsidRPr="00487C30">
        <w:rPr>
          <w:rFonts w:ascii="Arial" w:hAnsi="Arial" w:cs="Arial"/>
        </w:rPr>
        <w:fldChar w:fldCharType="separate"/>
      </w:r>
      <w:r w:rsidR="002D59BA" w:rsidRPr="002D59BA">
        <w:rPr>
          <w:rFonts w:ascii="Arial" w:hAnsi="Arial" w:cs="Arial"/>
          <w:noProof/>
        </w:rPr>
        <w:t>[34]</w:t>
      </w:r>
      <w:r w:rsidRPr="00487C30">
        <w:rPr>
          <w:rFonts w:ascii="Arial" w:hAnsi="Arial" w:cs="Arial"/>
        </w:rPr>
        <w:fldChar w:fldCharType="end"/>
      </w:r>
      <w:r>
        <w:rPr>
          <w:rFonts w:ascii="Arial" w:hAnsi="Arial" w:cs="Arial"/>
        </w:rPr>
        <w:t>.</w:t>
      </w:r>
    </w:p>
    <w:p w14:paraId="22808EC2" w14:textId="796B5535" w:rsidR="00284FB7" w:rsidRPr="00487C30" w:rsidRDefault="00284FB7" w:rsidP="00284FB7">
      <w:pPr>
        <w:pStyle w:val="NormalWeb"/>
        <w:spacing w:line="360" w:lineRule="auto"/>
        <w:jc w:val="both"/>
        <w:rPr>
          <w:rFonts w:ascii="Arial" w:hAnsi="Arial" w:cs="Arial"/>
        </w:rPr>
      </w:pPr>
      <w:r w:rsidRPr="00487C30">
        <w:rPr>
          <w:rFonts w:ascii="Arial" w:hAnsi="Arial" w:cs="Arial"/>
        </w:rPr>
        <w:t xml:space="preserve">A highly significant association was found between a </w:t>
      </w:r>
      <w:r w:rsidRPr="00487C30">
        <w:rPr>
          <w:rStyle w:val="Strong"/>
          <w:rFonts w:ascii="Arial" w:hAnsi="Arial" w:cs="Arial"/>
          <w:b w:val="0"/>
        </w:rPr>
        <w:t>previous diagnosis of malnutrition and current nutritional status</w:t>
      </w:r>
      <w:r w:rsidRPr="00487C30">
        <w:rPr>
          <w:rFonts w:ascii="Arial" w:hAnsi="Arial" w:cs="Arial"/>
          <w:b/>
        </w:rPr>
        <w:t xml:space="preserve"> </w:t>
      </w:r>
      <w:r w:rsidRPr="00487C30">
        <w:rPr>
          <w:rFonts w:ascii="Arial" w:hAnsi="Arial" w:cs="Arial"/>
        </w:rPr>
        <w:t xml:space="preserve">(χ² = 42.91; </w:t>
      </w:r>
      <w:r w:rsidRPr="00487C30">
        <w:rPr>
          <w:rStyle w:val="Emphasis"/>
          <w:rFonts w:ascii="Arial" w:hAnsi="Arial" w:cs="Arial"/>
        </w:rPr>
        <w:t>p</w:t>
      </w:r>
      <w:r w:rsidRPr="00487C30">
        <w:rPr>
          <w:rFonts w:ascii="Arial" w:hAnsi="Arial" w:cs="Arial"/>
        </w:rPr>
        <w:t xml:space="preserve"> &lt; 0.001; likelihood ratio </w:t>
      </w:r>
      <w:r w:rsidRPr="00487C30">
        <w:rPr>
          <w:rStyle w:val="Emphasis"/>
          <w:rFonts w:ascii="Arial" w:hAnsi="Arial" w:cs="Arial"/>
        </w:rPr>
        <w:t>p</w:t>
      </w:r>
      <w:r w:rsidRPr="00487C30">
        <w:rPr>
          <w:rFonts w:ascii="Arial" w:hAnsi="Arial" w:cs="Arial"/>
        </w:rPr>
        <w:t xml:space="preserve"> &lt; 0.001), highlighting the </w:t>
      </w:r>
      <w:r w:rsidRPr="00487C30">
        <w:rPr>
          <w:rStyle w:val="Strong"/>
          <w:rFonts w:ascii="Arial" w:hAnsi="Arial" w:cs="Arial"/>
          <w:b w:val="0"/>
        </w:rPr>
        <w:t xml:space="preserve">persistence and recurrence of </w:t>
      </w:r>
      <w:r>
        <w:rPr>
          <w:rStyle w:val="Strong"/>
          <w:rFonts w:ascii="Arial" w:hAnsi="Arial" w:cs="Arial"/>
          <w:b w:val="0"/>
        </w:rPr>
        <w:t>undernutrition</w:t>
      </w:r>
      <w:r w:rsidRPr="00487C30">
        <w:rPr>
          <w:rFonts w:ascii="Arial" w:hAnsi="Arial" w:cs="Arial"/>
        </w:rPr>
        <w:t xml:space="preserve"> among vulnerable children. This pattern mirrors broader global findings that once </w:t>
      </w:r>
      <w:r>
        <w:rPr>
          <w:rFonts w:ascii="Arial" w:hAnsi="Arial" w:cs="Arial"/>
        </w:rPr>
        <w:t>undernutrition is established</w:t>
      </w:r>
      <w:r w:rsidR="00C75314">
        <w:rPr>
          <w:rFonts w:ascii="Arial" w:hAnsi="Arial" w:cs="Arial"/>
        </w:rPr>
        <w:t>, particularly in early childhood,</w:t>
      </w:r>
      <w:r>
        <w:rPr>
          <w:rFonts w:ascii="Arial" w:hAnsi="Arial" w:cs="Arial"/>
        </w:rPr>
        <w:t xml:space="preserve"> </w:t>
      </w:r>
      <w:r w:rsidRPr="00487C30">
        <w:rPr>
          <w:rFonts w:ascii="Arial" w:hAnsi="Arial" w:cs="Arial"/>
        </w:rPr>
        <w:t xml:space="preserve">children are at increased risk of ongoing growth faltering unless underlying determinants (e.g., chronic food insecurity, repeated infection, and poverty) are addressed. This persistence is also observed in </w:t>
      </w:r>
      <w:r>
        <w:rPr>
          <w:rFonts w:ascii="Arial" w:hAnsi="Arial" w:cs="Arial"/>
        </w:rPr>
        <w:t>middle-income</w:t>
      </w:r>
      <w:r w:rsidRPr="00487C30">
        <w:rPr>
          <w:rFonts w:ascii="Arial" w:hAnsi="Arial" w:cs="Arial"/>
        </w:rPr>
        <w:t xml:space="preserve"> contexts; for example, in </w:t>
      </w:r>
      <w:r w:rsidRPr="00487C30">
        <w:rPr>
          <w:rFonts w:ascii="Arial" w:hAnsi="Arial" w:cs="Arial"/>
        </w:rPr>
        <w:lastRenderedPageBreak/>
        <w:t>Malaysia, socioeconomic disparities</w:t>
      </w:r>
      <w:r>
        <w:rPr>
          <w:rFonts w:ascii="Arial" w:hAnsi="Arial" w:cs="Arial"/>
        </w:rPr>
        <w:t>,</w:t>
      </w:r>
      <w:r w:rsidRPr="00487C30">
        <w:rPr>
          <w:rFonts w:ascii="Arial" w:hAnsi="Arial" w:cs="Arial"/>
        </w:rPr>
        <w:t xml:space="preserve"> including low household income and poor diet quality</w:t>
      </w:r>
      <w:r>
        <w:rPr>
          <w:rFonts w:ascii="Arial" w:hAnsi="Arial" w:cs="Arial"/>
        </w:rPr>
        <w:t>,</w:t>
      </w:r>
      <w:r w:rsidRPr="00487C30">
        <w:rPr>
          <w:rFonts w:ascii="Arial" w:hAnsi="Arial" w:cs="Arial"/>
        </w:rPr>
        <w:t xml:space="preserve"> were associated with greater risks of suboptimal growth outcomes</w:t>
      </w:r>
      <w:r w:rsidR="00CD1F3F">
        <w:rPr>
          <w:rFonts w:ascii="Arial" w:hAnsi="Arial" w:cs="Arial"/>
        </w:rPr>
        <w:t xml:space="preserve"> </w:t>
      </w:r>
      <w:r w:rsidRPr="00487C30">
        <w:rPr>
          <w:rFonts w:ascii="Arial" w:hAnsi="Arial" w:cs="Arial"/>
        </w:rPr>
        <w:fldChar w:fldCharType="begin" w:fldLock="1"/>
      </w:r>
      <w:r w:rsidR="002D59BA">
        <w:rPr>
          <w:rFonts w:ascii="Arial" w:hAnsi="Arial" w:cs="Arial"/>
        </w:rPr>
        <w:instrText>ADDIN CSL_CITATION {"citationItems":[{"id":"ITEM-1","itemData":{"DOI":"10.3389/fpubh.2025.1709696","author":[{"dropping-particle":"","family":"Siew","given":"Jasmine","non-dropping-particle":"","parse-names":false,"suffix":""},{"dropping-particle":"","family":"Chia","given":"Min","non-dropping-particle":"","parse-names":false,"suffix":""},{"dropping-particle":"","family":"Lim","given":"See Meng","non-dropping-particle":"","parse-names":false,"suffix":""},{"dropping-particle":"","family":"Sameeha","given":"Mohd Jamil","non-dropping-particle":"","parse-names":false,"suffix":""},{"dropping-particle":"","family":"Wong","given":"Jyh Eiin","non-dropping-particle":"","parse-names":false,"suffix":""},{"dropping-particle":"","family":"Khouw","given":"Ilse","non-dropping-particle":"","parse-names":false,"suffix":""},{"dropping-particle":"","family":"Poh","given":"Bee Koon","non-dropping-particle":"","parse-names":false,"suffix":""}],"id":"ITEM-1","issue":"December","issued":{"date-parts":[["2025"]]},"page":"1-13","title":"Socioeconomic disparities and its association with food security , diet quality , and growth among Malaysian children aged 6 months","type":"article-journal"},"uris":["http://www.mendeley.com/documents/?uuid=30f4f093-787c-4d86-98c1-13065b210465"]}],"mendeley":{"formattedCitation":"[35]","plainTextFormattedCitation":"[35]","previouslyFormattedCitation":"[35]"},"properties":{"noteIndex":0},"schema":"https://github.com/citation-style-language/schema/raw/master/csl-citation.json"}</w:instrText>
      </w:r>
      <w:r w:rsidRPr="00487C30">
        <w:rPr>
          <w:rFonts w:ascii="Arial" w:hAnsi="Arial" w:cs="Arial"/>
        </w:rPr>
        <w:fldChar w:fldCharType="separate"/>
      </w:r>
      <w:r w:rsidR="002D59BA" w:rsidRPr="002D59BA">
        <w:rPr>
          <w:rFonts w:ascii="Arial" w:hAnsi="Arial" w:cs="Arial"/>
          <w:noProof/>
        </w:rPr>
        <w:t>[35]</w:t>
      </w:r>
      <w:r w:rsidRPr="00487C30">
        <w:rPr>
          <w:rFonts w:ascii="Arial" w:hAnsi="Arial" w:cs="Arial"/>
        </w:rPr>
        <w:fldChar w:fldCharType="end"/>
      </w:r>
      <w:r w:rsidRPr="00487C30">
        <w:rPr>
          <w:rFonts w:ascii="Arial" w:hAnsi="Arial" w:cs="Arial"/>
        </w:rPr>
        <w:t xml:space="preserve"> </w:t>
      </w:r>
      <w:r w:rsidRPr="00487C30">
        <w:rPr>
          <w:rFonts w:ascii="Arial" w:hAnsi="Arial" w:cs="Arial"/>
        </w:rPr>
        <w:fldChar w:fldCharType="begin" w:fldLock="1"/>
      </w:r>
      <w:r w:rsidR="002D59BA">
        <w:rPr>
          <w:rFonts w:ascii="Arial" w:hAnsi="Arial" w:cs="Arial"/>
        </w:rPr>
        <w:instrText>ADDIN CSL_CITATION {"citationItems":[{"id":"ITEM-1","itemData":{"DOI":"10.1016/S2352-4642(23)00339-5","ISSN":"23524642","PMID":"38368896","abstract":"Background: Research on long-term outcomes of severe childhood malnutrition is scarce. Existing evidence suggests potential associations with cardiometabolic disease and impaired cognition. We aimed to assess outcomes in adolescents who were exposed to severe childhood malnutrition compared with peers not exposed to severe childhood malnutrition. Methods: In Long-term Outcomes after Severe Childhood Malnutrition (LOCSM), we followed up adolescents who had 15 years earlier received treatment for severe childhood malnutrition at Queen Elizabeth Central Hospital in Blantyre, Malawi. Adolescents with previous severe childhood malnutrition included in LOCSM had participated in an earlier follow-up study (ChroSAM) at 7 years after treatment for severe childhood malnutrition, where they were compared to siblings and age-matched children in the community without previous severe childhood malnutrition. We measured anthropometry, body composition, strength, glucose tolerance, cognition, behaviour, and mental health during follow-up visits between Sept 9, 2021, and July 22, 2022, comparing outcomes in adolescents exposed to previous severe childhood malnutrition with unexposed siblings and adolescents from the community assessed previously (for ChroSAM) and newly recruited during current follow-up. We used a linear regression model to adjust for age, sex, disability, HIV, and socioeconomic status. This study is registered with the International Standard Randomised Controlled Trial Number Registry (ISRCTN17238083). Findings: We followed up 168 previously malnourished adolescents (median age 17·1 years [IQR 16·5 to 18·0]), alongside 123 siblings (18·2 years [15·0 to 20·5]), and 89 community adolescents (17·1 years [16·3 to 18·1]). Since last measured 8 years previously, mean height-for-age Z (HAZ) scores had improved in previously malnourished adolescents (difference 0·33 [95% CI 0·20 to 0·46]) and siblings (0·32 [0·09 to 0·55]), but not in community adolescents (difference –0·01 [–0·24 to 0·23]). Previously malnourished adolescents had sustained lower HAZ scores compared with siblings (adjusted difference –0·32 [–0·58 to –0·05]) and community adolescents (–0·21 [–0·52 to 0·10]). The adjusted difference in hand-grip strength between previously malnourished adolescents and community adolescents was –2·0 kg (–4·2 to 0·3). For child behaviour checklist internalising symptom scores, the adjusted difference for previously malnourished adolescents was 2·8 (0·0 to 5·5) com…","author":[{"dropping-particle":"","family":"Kirolos","given":"Amir","non-dropping-particle":"","parse-names":false,"suffix":""},{"dropping-particle":"","family":"Harawa","given":"Philliness P.","non-dropping-particle":"","parse-names":false,"suffix":""},{"dropping-particle":"","family":"Chimowa","given":"Takondwa","non-dropping-particle":"","parse-names":false,"suffix":""},{"dropping-particle":"","family":"Divala","given":"Oscar","non-dropping-particle":"","parse-names":false,"suffix":""},{"dropping-particle":"","family":"Freyne","given":"Bridget","non-dropping-particle":"","parse-names":false,"suffix":""},{"dropping-particle":"","family":"Jones","given":"Angus G.","non-dropping-particle":"","parse-names":false,"suffix":""},{"dropping-particle":"","family":"Lelijveld","given":"Natasha","non-dropping-particle":"","parse-names":false,"suffix":""},{"dropping-particle":"","family":"Lissauer","given":"Samantha","non-dropping-particle":"","parse-names":false,"suffix":""},{"dropping-particle":"","family":"Maleta","given":"Kenneth","non-dropping-particle":"","parse-names":false,"suffix":""},{"dropping-particle":"","family":"Gladstone","given":"Melissa J.","non-dropping-particle":"","parse-names":false,"suffix":""},{"dropping-particle":"","family":"Kerac","given":"Marko","non-dropping-particle":"","parse-names":false,"suffix":""},{"dropping-particle":"","family":"Abera","given":"Mubarek","non-dropping-particle":"","parse-names":false,"suffix":""},{"dropping-particle":"","family":"Ameya","given":"Gemechu","non-dropping-particle":"","parse-names":false,"suffix":""},{"dropping-particle":"","family":"Anujo","given":"Kenneth","non-dropping-particle":"","parse-names":false,"suffix":""},{"dropping-particle":"","family":"Arefayine","given":"Melkamu","non-dropping-particle":"","parse-names":false,"suffix":""},{"dropping-particle":"","family":"Girma","given":"Tsinuel","non-dropping-particle":"","parse-names":false,"suffix":""},{"dropping-particle":"","family":"Gonzales","given":"Gerard Bryan","non-dropping-particle":"","parse-names":false,"suffix":""},{"dropping-particle":"","family":"Olga","given":"Laurentya","non-dropping-particle":"","parse-names":false,"suffix":""},{"dropping-particle":"","family":"McKenzie","given":"Kimberley","non-dropping-particle":"","parse-names":false,"suffix":""},{"dropping-particle":"","family":"Thompson","given":"Debbie","non-dropping-particle":"","parse-names":false,"suffix":""},{"dropping-particle":"","family":"Wells","given":"Jonathan C.","non-dropping-particle":"","parse-names":false,"suffix":""}],"container-title":"The Lancet Child and Adolescent Health","id":"ITEM-1","issue":"4","issued":{"date-parts":[["2024"]]},"page":"280-289","title":"Long-term outcomes after severe childhood malnutrition in adolescents in Malawi (LOSCM): a prospective observational cohort study","type":"article-journal","volume":"8"},"uris":["http://www.mendeley.com/documents/?uuid=b72bb393-b697-4d01-9cd1-1e75acb232d3"]}],"mendeley":{"formattedCitation":"[36]","plainTextFormattedCitation":"[36]","previouslyFormattedCitation":"[36]"},"properties":{"noteIndex":0},"schema":"https://github.com/citation-style-language/schema/raw/master/csl-citation.json"}</w:instrText>
      </w:r>
      <w:r w:rsidRPr="00487C30">
        <w:rPr>
          <w:rFonts w:ascii="Arial" w:hAnsi="Arial" w:cs="Arial"/>
        </w:rPr>
        <w:fldChar w:fldCharType="separate"/>
      </w:r>
      <w:r w:rsidR="002D59BA" w:rsidRPr="002D59BA">
        <w:rPr>
          <w:rFonts w:ascii="Arial" w:hAnsi="Arial" w:cs="Arial"/>
          <w:noProof/>
        </w:rPr>
        <w:t>[36]</w:t>
      </w:r>
      <w:r w:rsidRPr="00487C30">
        <w:rPr>
          <w:rFonts w:ascii="Arial" w:hAnsi="Arial" w:cs="Arial"/>
        </w:rPr>
        <w:fldChar w:fldCharType="end"/>
      </w:r>
      <w:r>
        <w:rPr>
          <w:rFonts w:ascii="Arial" w:hAnsi="Arial" w:cs="Arial"/>
        </w:rPr>
        <w:t>.</w:t>
      </w:r>
    </w:p>
    <w:p w14:paraId="38F17547" w14:textId="165668BB" w:rsidR="00284FB7" w:rsidRPr="00487C30" w:rsidRDefault="00284FB7" w:rsidP="00284FB7">
      <w:pPr>
        <w:pStyle w:val="NormalWeb"/>
        <w:spacing w:line="360" w:lineRule="auto"/>
        <w:jc w:val="both"/>
        <w:rPr>
          <w:rFonts w:ascii="Arial" w:hAnsi="Arial" w:cs="Arial"/>
        </w:rPr>
      </w:pPr>
      <w:r>
        <w:rPr>
          <w:rFonts w:ascii="Arial" w:hAnsi="Arial" w:cs="Arial"/>
        </w:rPr>
        <w:t>Compared with high-income settings, in low-income settings</w:t>
      </w:r>
      <w:r w:rsidR="00C75314">
        <w:rPr>
          <w:rFonts w:ascii="Arial" w:hAnsi="Arial" w:cs="Arial"/>
        </w:rPr>
        <w:t>,</w:t>
      </w:r>
      <w:r>
        <w:rPr>
          <w:rFonts w:ascii="Arial" w:hAnsi="Arial" w:cs="Arial"/>
        </w:rPr>
        <w:t xml:space="preserve"> </w:t>
      </w:r>
      <w:r>
        <w:rPr>
          <w:rStyle w:val="Strong"/>
          <w:rFonts w:ascii="Arial" w:hAnsi="Arial" w:cs="Arial"/>
          <w:b w:val="0"/>
        </w:rPr>
        <w:t xml:space="preserve">dietary quality remains central to nutritional outcomes, but the manifestations of malnutrition shift toward </w:t>
      </w:r>
      <w:proofErr w:type="spellStart"/>
      <w:r>
        <w:rPr>
          <w:rStyle w:val="Strong"/>
          <w:rFonts w:ascii="Arial" w:hAnsi="Arial" w:cs="Arial"/>
          <w:b w:val="0"/>
        </w:rPr>
        <w:t>overnutrition</w:t>
      </w:r>
      <w:proofErr w:type="spellEnd"/>
      <w:r>
        <w:rPr>
          <w:rStyle w:val="Strong"/>
          <w:rFonts w:ascii="Arial" w:hAnsi="Arial" w:cs="Arial"/>
          <w:b w:val="0"/>
        </w:rPr>
        <w:t xml:space="preserve"> and diet-related non-communicable</w:t>
      </w:r>
      <w:r w:rsidRPr="00487C30">
        <w:rPr>
          <w:rStyle w:val="Strong"/>
          <w:rFonts w:ascii="Arial" w:hAnsi="Arial" w:cs="Arial"/>
          <w:b w:val="0"/>
        </w:rPr>
        <w:t xml:space="preserve"> diseases</w:t>
      </w:r>
      <w:r w:rsidRPr="00487C30">
        <w:rPr>
          <w:rFonts w:ascii="Arial" w:hAnsi="Arial" w:cs="Arial"/>
          <w:b/>
        </w:rPr>
        <w:t>.</w:t>
      </w:r>
      <w:r w:rsidRPr="00487C30">
        <w:rPr>
          <w:rFonts w:ascii="Arial" w:hAnsi="Arial" w:cs="Arial"/>
        </w:rPr>
        <w:t xml:space="preserve"> Global trends now indicate that in many </w:t>
      </w:r>
      <w:r>
        <w:rPr>
          <w:rFonts w:ascii="Arial" w:hAnsi="Arial" w:cs="Arial"/>
        </w:rPr>
        <w:t>high-income countries, obesity prevalence among children has surpassed underweight, driven largely by ultra-processed</w:t>
      </w:r>
      <w:r w:rsidRPr="00487C30">
        <w:rPr>
          <w:rFonts w:ascii="Arial" w:hAnsi="Arial" w:cs="Arial"/>
        </w:rPr>
        <w:t xml:space="preserve"> foods and obesogenic environments </w:t>
      </w:r>
      <w:r w:rsidRPr="00487C30">
        <w:rPr>
          <w:rFonts w:ascii="Arial" w:hAnsi="Arial" w:cs="Arial"/>
        </w:rPr>
        <w:fldChar w:fldCharType="begin" w:fldLock="1"/>
      </w:r>
      <w:r w:rsidR="002D59BA">
        <w:rPr>
          <w:rFonts w:ascii="Arial" w:hAnsi="Arial" w:cs="Arial"/>
        </w:rPr>
        <w:instrText>ADDIN CSL_CITATION {"citationItems":[{"id":"ITEM-1","itemData":{"DOI":"10.1007/s13679-023-00527-y","ISSN":"21624968","PMID":"37779155","abstract":"Purpose of Review: To provide an update on current obesity prevalence trends and summarize the available evidence suggesting a possible plateau or stabilization in obesity rates after the previous sudden global rise. Recent Findings: The escalating global obesity epidemic represents one of the most serious public health challenges. There have been some indications that in high-income populations, the rate of obesity increase in adults has been stabilized after the decade 2000–2010, suggesting a possible plateau. Current evidence also suggests that obesity rates have been stabilized in children and adolescents of most economically advanced countries since 2000, which is possibly related to healthier dietary habits and increased levels of physical activity. On the other hand, there is a steady uninterrupted rise in low-income nations, and the universal trend is obesity escalation rather than slowdown, mainly driven by sharp increases in the obesity prevalence of low-income populations. Furthermore, an increasing number of high- and middle-income countries are currently experiencing an epidemic of severe obesity. In high-income populations, severe obesity is expected to double its prevalence from 10 to 20% between 2020 and 2035, posing an enormous threat for healthcare systems. Even if transiently stabilized, the obesity prevalence remains globally at unacceptably high levels, and there is no guarantee that the current stability (if any) will be maintained for long. Summary: In this review, we explore the underlying drivers of the global obesity epidemic; we provide possible explanations for the reported slowdown of the obesity rates in some countries; and we overall take a critical perspective on the obesity plateau hypothesis, emphasizing the urgent need for immediate effective actions at population and regional level in order to halt the alarming obesity escalation and its serious health risks.","author":[{"dropping-particle":"","family":"Koliaki","given":"Chrysi","non-dropping-particle":"","parse-names":false,"suffix":""},{"dropping-particle":"","family":"Dalamaga","given":"Maria","non-dropping-particle":"","parse-names":false,"suffix":""},{"dropping-particle":"","family":"Liatis","given":"Stavros","non-dropping-particle":"","parse-names":false,"suffix":""}],"container-title":"Current Obesity Reports","id":"ITEM-1","issue":"4","issued":{"date-parts":[["2023"]]},"page":"514-527","title":"Update on the Obesity Epidemic: After the Sudden Rise, Is the Upward Trajectory Beginning to Flatten?","type":"article-journal","volume":"12"},"uris":["http://www.mendeley.com/documents/?uuid=24097e32-bd0f-431e-936e-7356268727bc"]}],"mendeley":{"formattedCitation":"[37]","plainTextFormattedCitation":"[37]","previouslyFormattedCitation":"[37]"},"properties":{"noteIndex":0},"schema":"https://github.com/citation-style-language/schema/raw/master/csl-citation.json"}</w:instrText>
      </w:r>
      <w:r w:rsidRPr="00487C30">
        <w:rPr>
          <w:rFonts w:ascii="Arial" w:hAnsi="Arial" w:cs="Arial"/>
        </w:rPr>
        <w:fldChar w:fldCharType="separate"/>
      </w:r>
      <w:r w:rsidR="002D59BA" w:rsidRPr="002D59BA">
        <w:rPr>
          <w:rFonts w:ascii="Arial" w:hAnsi="Arial" w:cs="Arial"/>
          <w:noProof/>
        </w:rPr>
        <w:t>[37]</w:t>
      </w:r>
      <w:r w:rsidRPr="00487C30">
        <w:rPr>
          <w:rFonts w:ascii="Arial" w:hAnsi="Arial" w:cs="Arial"/>
        </w:rPr>
        <w:fldChar w:fldCharType="end"/>
      </w:r>
      <w:r w:rsidRPr="00487C30">
        <w:rPr>
          <w:rFonts w:ascii="Arial" w:hAnsi="Arial" w:cs="Arial"/>
        </w:rPr>
        <w:t>. This divergence underscores that</w:t>
      </w:r>
      <w:r w:rsidR="00C75314">
        <w:rPr>
          <w:rFonts w:ascii="Arial" w:hAnsi="Arial" w:cs="Arial"/>
        </w:rPr>
        <w:t>, although the nature of malnutrition varies by setting, dietary quality and diversity remain consistent determinants, whether the burden manifests</w:t>
      </w:r>
      <w:r w:rsidRPr="00487C30">
        <w:rPr>
          <w:rFonts w:ascii="Arial" w:hAnsi="Arial" w:cs="Arial"/>
        </w:rPr>
        <w:t xml:space="preserve"> as underweight and wasting in </w:t>
      </w:r>
      <w:r>
        <w:rPr>
          <w:rFonts w:ascii="Arial" w:hAnsi="Arial" w:cs="Arial"/>
        </w:rPr>
        <w:t>low-income</w:t>
      </w:r>
      <w:r w:rsidRPr="00487C30">
        <w:rPr>
          <w:rFonts w:ascii="Arial" w:hAnsi="Arial" w:cs="Arial"/>
        </w:rPr>
        <w:t xml:space="preserve"> contexts or as overweight and o</w:t>
      </w:r>
      <w:r>
        <w:rPr>
          <w:rFonts w:ascii="Arial" w:hAnsi="Arial" w:cs="Arial"/>
        </w:rPr>
        <w:t xml:space="preserve">besity in wealthier populations </w:t>
      </w:r>
      <w:r w:rsidRPr="00487C30">
        <w:rPr>
          <w:rFonts w:ascii="Arial" w:hAnsi="Arial" w:cs="Arial"/>
        </w:rPr>
        <w:fldChar w:fldCharType="begin" w:fldLock="1"/>
      </w:r>
      <w:r w:rsidR="002D59BA">
        <w:rPr>
          <w:rFonts w:ascii="Arial" w:hAnsi="Arial" w:cs="Arial"/>
        </w:rPr>
        <w:instrText>ADDIN CSL_CITATION {"citationItems":[{"id":"ITEM-1","itemData":{"DOI":"10.1016/j.glt.2025.04.008","ISSN":"25897918","abstract":"Background: The double burden of malnutrition (DBM) in sub-Saharan Africa is a pressing public health issue, particularly among children under five years old. DBM encompasses both undernutrition (stunting) and overnutrition (overweight) within the same population, often shaped by socio-economic disparities. Addressing DBM in early childhood is vital, as malnutrition can lead to long-term health, cognitive, and developmental challenges. Methods: Using nationally representative data from the Demographic and Health Surveys (DHS) across 20 sub-Saharan African countries, this study examines temporal socio-economic inequalities in DBM. Countries include Zimbabwe, Kenya, Nigeria, and Mozambique, among others. DBM was defined using anthropometric measures, while socio-economic status (SES) was categorized as poor, middle, or rich. Temporal trends were analyzed, and inequalities were quantified using Erreygers Normalized Concentration Indices (ENCI) and Theil indices to explore within- and between-group disparities by SES and urban/rural residence. Results: DBM prevalence across countries ranged from 0.2 % to 4.6 %. Declines were noted in Zimbabwe and Kenya. Socio-economic inequalities were significant, with overnutrition increasingly concentrated in wealthier households, while undernutrition remained prevalent among poorer populations. Theil index analyses revealed within-group disparities as the primary drivers of overall inequality, particularly in urban wealthier populations, though rural and low-SES groups also contributed significantly in countries like Senegal and Mali. Conclusion: DBM is still present in sub-Saharan Africa and is driven by socio-economic inequalities. Targeted interventions focusing on improving access to nutritious food, healthcare, and education for vulnerable populations, particularly in rural and low-SES groups, are essential to reduce malnutrition disparities.","author":[{"dropping-particle":"","family":"Lukwa","given":"Akim Tafadzwa","non-dropping-particle":"","parse-names":false,"suffix":""},{"dropping-particle":"","family":"Okova","given":"Denis","non-dropping-particle":"","parse-names":false,"suffix":""},{"dropping-particle":"","family":"Bodzo","given":"Paidamoyo","non-dropping-particle":"","parse-names":false,"suffix":""},{"dropping-particle":"","family":"Maseko","given":"Sikelela Charles","non-dropping-particle":"","parse-names":false,"suffix":""},{"dropping-particle":"","family":"Bhebe","given":"Melisa","non-dropping-particle":"","parse-names":false,"suffix":""},{"dropping-particle":"","family":"Akinsolu","given":"Folahanmi Tomiwa","non-dropping-particle":"","parse-names":false,"suffix":""},{"dropping-particle":"","family":"Olunike","given":"Abodunrin","non-dropping-particle":"","parse-names":false,"suffix":""},{"dropping-particle":"","family":"Nzeribe","given":"Emmanuella","non-dropping-particle":"","parse-names":false,"suffix":""},{"dropping-particle":"","family":"Siya","given":"Aggrey","non-dropping-particle":"","parse-names":false,"suffix":""},{"dropping-particle":"","family":"Nyabunze","given":"Admire","non-dropping-particle":"","parse-names":false,"suffix":""},{"dropping-particle":"","family":"Hongoro","given":"Charles","non-dropping-particle":"","parse-names":false,"suffix":""},{"dropping-particle":"","family":"Chiwire","given":"Plaxcedes","non-dropping-particle":"","parse-names":false,"suffix":""}],"container-title":"Global Transitions","id":"ITEM-1","issued":{"date-parts":[["2025"]]},"page":"262-275","publisher":"The Authors","title":"Temporal socio-economic inequalities in the double burden of malnutrition (DBM) among under-five Children: An analysis of within- and between-group disparities in 20 sub-Saharan African countries (2004–2024)","type":"article-journal","volume":"7"},"uris":["http://www.mendeley.com/documents/?uuid=a491d288-0842-4c7d-bc82-b1ae041b32fe"]}],"mendeley":{"formattedCitation":"[38]","plainTextFormattedCitation":"[38]","previouslyFormattedCitation":"[38]"},"properties":{"noteIndex":0},"schema":"https://github.com/citation-style-language/schema/raw/master/csl-citation.json"}</w:instrText>
      </w:r>
      <w:r w:rsidRPr="00487C30">
        <w:rPr>
          <w:rFonts w:ascii="Arial" w:hAnsi="Arial" w:cs="Arial"/>
        </w:rPr>
        <w:fldChar w:fldCharType="separate"/>
      </w:r>
      <w:r w:rsidR="002D59BA" w:rsidRPr="002D59BA">
        <w:rPr>
          <w:rFonts w:ascii="Arial" w:hAnsi="Arial" w:cs="Arial"/>
          <w:noProof/>
        </w:rPr>
        <w:t>[38]</w:t>
      </w:r>
      <w:r w:rsidRPr="00487C30">
        <w:rPr>
          <w:rFonts w:ascii="Arial" w:hAnsi="Arial" w:cs="Arial"/>
        </w:rPr>
        <w:fldChar w:fldCharType="end"/>
      </w:r>
      <w:r w:rsidRPr="00487C30">
        <w:rPr>
          <w:rFonts w:ascii="Arial" w:hAnsi="Arial" w:cs="Arial"/>
        </w:rPr>
        <w:fldChar w:fldCharType="begin" w:fldLock="1"/>
      </w:r>
      <w:r w:rsidR="002D59BA">
        <w:rPr>
          <w:rFonts w:ascii="Arial" w:hAnsi="Arial" w:cs="Arial"/>
        </w:rPr>
        <w:instrText>ADDIN CSL_CITATION {"citationItems":[{"id":"ITEM-1","itemData":{"author":[{"dropping-particle":"","family":"Caleyachetty","given":"R","non-dropping-particle":"","parse-names":false,"suffix":""}],"id":"ITEM-1","issued":{"date-parts":[["0"]]},"title":"The Double Burden of Undernutrition and Overnutrition in Children and Adolescents Epidemiological aspects &amp; Nutritional deficiencies","type":"article-journal"},"uris":["http://www.mendeley.com/documents/?uuid=34bc4a6f-d2e0-473b-a2a1-57162fbf96c3"]}],"mendeley":{"formattedCitation":"[39]","plainTextFormattedCitation":"[39]","previouslyFormattedCitation":"[39]"},"properties":{"noteIndex":0},"schema":"https://github.com/citation-style-language/schema/raw/master/csl-citation.json"}</w:instrText>
      </w:r>
      <w:r w:rsidRPr="00487C30">
        <w:rPr>
          <w:rFonts w:ascii="Arial" w:hAnsi="Arial" w:cs="Arial"/>
        </w:rPr>
        <w:fldChar w:fldCharType="separate"/>
      </w:r>
      <w:r w:rsidR="002D59BA" w:rsidRPr="002D59BA">
        <w:rPr>
          <w:rFonts w:ascii="Arial" w:hAnsi="Arial" w:cs="Arial"/>
          <w:noProof/>
        </w:rPr>
        <w:t>[39]</w:t>
      </w:r>
      <w:r w:rsidRPr="00487C30">
        <w:rPr>
          <w:rFonts w:ascii="Arial" w:hAnsi="Arial" w:cs="Arial"/>
        </w:rPr>
        <w:fldChar w:fldCharType="end"/>
      </w:r>
      <w:r>
        <w:rPr>
          <w:rFonts w:ascii="Arial" w:hAnsi="Arial" w:cs="Arial"/>
        </w:rPr>
        <w:t>.</w:t>
      </w:r>
      <w:r w:rsidRPr="00487C30">
        <w:rPr>
          <w:rFonts w:ascii="Arial" w:hAnsi="Arial" w:cs="Arial"/>
        </w:rPr>
        <w:t xml:space="preserve"> </w:t>
      </w:r>
    </w:p>
    <w:p w14:paraId="222D059A" w14:textId="0CC4A684" w:rsidR="00284FB7" w:rsidRPr="00487C30" w:rsidRDefault="00284FB7" w:rsidP="00284FB7">
      <w:pPr>
        <w:pStyle w:val="NormalWeb"/>
        <w:spacing w:line="360" w:lineRule="auto"/>
        <w:jc w:val="both"/>
        <w:rPr>
          <w:rFonts w:ascii="Arial" w:hAnsi="Arial" w:cs="Arial"/>
        </w:rPr>
      </w:pPr>
      <w:r w:rsidRPr="00487C30">
        <w:rPr>
          <w:rFonts w:ascii="Arial" w:hAnsi="Arial" w:cs="Arial"/>
        </w:rPr>
        <w:t xml:space="preserve">Collectively, these findings emphasize that </w:t>
      </w:r>
      <w:r w:rsidRPr="00487C30">
        <w:rPr>
          <w:rStyle w:val="Strong"/>
          <w:rFonts w:ascii="Arial" w:hAnsi="Arial" w:cs="Arial"/>
          <w:b w:val="0"/>
        </w:rPr>
        <w:t>simple exposure to nutrition information or general feeding practices may not adequately capture the complex drivers of malnutrition</w:t>
      </w:r>
      <w:r w:rsidRPr="00487C30">
        <w:rPr>
          <w:rFonts w:ascii="Arial" w:hAnsi="Arial" w:cs="Arial"/>
        </w:rPr>
        <w:t>. Instead</w:t>
      </w:r>
      <w:r w:rsidRPr="00487C30">
        <w:rPr>
          <w:rFonts w:ascii="Arial" w:hAnsi="Arial" w:cs="Arial"/>
          <w:b/>
        </w:rPr>
        <w:t xml:space="preserve">, </w:t>
      </w:r>
      <w:r w:rsidRPr="00487C30">
        <w:rPr>
          <w:rStyle w:val="Strong"/>
          <w:rFonts w:ascii="Arial" w:hAnsi="Arial" w:cs="Arial"/>
          <w:b w:val="0"/>
        </w:rPr>
        <w:t>complementary food quality, diversity, and prior nutritional vulnerability</w:t>
      </w:r>
      <w:r w:rsidRPr="00487C30">
        <w:rPr>
          <w:rFonts w:ascii="Arial" w:hAnsi="Arial" w:cs="Arial"/>
          <w:b/>
        </w:rPr>
        <w:t xml:space="preserve"> </w:t>
      </w:r>
      <w:r w:rsidRPr="00487C30">
        <w:rPr>
          <w:rFonts w:ascii="Arial" w:hAnsi="Arial" w:cs="Arial"/>
        </w:rPr>
        <w:t xml:space="preserve">align more closely with measurable nutritional outcomes, particularly in </w:t>
      </w:r>
      <w:r>
        <w:rPr>
          <w:rFonts w:ascii="Arial" w:hAnsi="Arial" w:cs="Arial"/>
        </w:rPr>
        <w:t>low-resource settings where food insecurity and limited access to diverse, nutrient-dense</w:t>
      </w:r>
      <w:r w:rsidRPr="00487C30">
        <w:rPr>
          <w:rFonts w:ascii="Arial" w:hAnsi="Arial" w:cs="Arial"/>
        </w:rPr>
        <w:t xml:space="preserve"> foods persist. Interventions should therefore </w:t>
      </w:r>
      <w:r w:rsidR="00C75314">
        <w:rPr>
          <w:rFonts w:ascii="Arial" w:hAnsi="Arial" w:cs="Arial"/>
        </w:rPr>
        <w:t xml:space="preserve">prioritize enhancing dietary diversity and improving access to nutrient-dense complementary foods, alongside broader structural supports, such as household food security </w:t>
      </w:r>
      <w:proofErr w:type="spellStart"/>
      <w:r w:rsidR="00C75314">
        <w:rPr>
          <w:rFonts w:ascii="Arial" w:hAnsi="Arial" w:cs="Arial"/>
        </w:rPr>
        <w:t>programmes</w:t>
      </w:r>
      <w:proofErr w:type="spellEnd"/>
      <w:r w:rsidR="00C75314">
        <w:rPr>
          <w:rFonts w:ascii="Arial" w:hAnsi="Arial" w:cs="Arial"/>
        </w:rPr>
        <w:t xml:space="preserve"> and community-based nutrition counselling, in alignment</w:t>
      </w:r>
      <w:r w:rsidRPr="00487C30">
        <w:rPr>
          <w:rFonts w:ascii="Arial" w:hAnsi="Arial" w:cs="Arial"/>
        </w:rPr>
        <w:t xml:space="preserve"> with WHO Infant and Young Child Feeding (IYCF) guidelines.</w:t>
      </w:r>
    </w:p>
    <w:p w14:paraId="343CB27F" w14:textId="77777777" w:rsidR="00284FB7" w:rsidRPr="00487C30" w:rsidRDefault="00284FB7" w:rsidP="00284FB7">
      <w:pPr>
        <w:pStyle w:val="Heading3"/>
        <w:spacing w:line="360" w:lineRule="auto"/>
        <w:jc w:val="both"/>
        <w:rPr>
          <w:rFonts w:ascii="Arial" w:hAnsi="Arial" w:cs="Arial"/>
          <w:color w:val="auto"/>
        </w:rPr>
      </w:pPr>
      <w:r w:rsidRPr="00487C30">
        <w:rPr>
          <w:rStyle w:val="Strong"/>
          <w:rFonts w:ascii="Arial" w:hAnsi="Arial" w:cs="Arial"/>
          <w:b w:val="0"/>
          <w:bCs w:val="0"/>
          <w:color w:val="auto"/>
        </w:rPr>
        <w:t xml:space="preserve">Barriers to Optimal Child Feeding and Intervention Readiness </w:t>
      </w:r>
    </w:p>
    <w:p w14:paraId="17988BE7" w14:textId="3D1956A6" w:rsidR="00284FB7" w:rsidRPr="00487C30" w:rsidRDefault="00284FB7" w:rsidP="00284FB7">
      <w:pPr>
        <w:pStyle w:val="NormalWeb"/>
        <w:spacing w:line="360" w:lineRule="auto"/>
        <w:jc w:val="both"/>
        <w:rPr>
          <w:rFonts w:ascii="Arial" w:hAnsi="Arial" w:cs="Arial"/>
        </w:rPr>
      </w:pPr>
      <w:r w:rsidRPr="00487C30">
        <w:rPr>
          <w:rFonts w:ascii="Arial" w:hAnsi="Arial" w:cs="Arial"/>
        </w:rPr>
        <w:t xml:space="preserve">In this study, caregivers identified </w:t>
      </w:r>
      <w:r w:rsidRPr="00487C30">
        <w:rPr>
          <w:rStyle w:val="Strong"/>
          <w:rFonts w:ascii="Arial" w:hAnsi="Arial" w:cs="Arial"/>
          <w:b w:val="0"/>
        </w:rPr>
        <w:t>lack of knowledge (41.7%)</w:t>
      </w:r>
      <w:r w:rsidRPr="00487C30">
        <w:rPr>
          <w:rFonts w:ascii="Arial" w:hAnsi="Arial" w:cs="Arial"/>
          <w:b/>
        </w:rPr>
        <w:t xml:space="preserve"> </w:t>
      </w:r>
      <w:r w:rsidRPr="00487C30">
        <w:rPr>
          <w:rFonts w:ascii="Arial" w:hAnsi="Arial" w:cs="Arial"/>
        </w:rPr>
        <w:t>and</w:t>
      </w:r>
      <w:r w:rsidRPr="00487C30">
        <w:rPr>
          <w:rFonts w:ascii="Arial" w:hAnsi="Arial" w:cs="Arial"/>
          <w:b/>
        </w:rPr>
        <w:t xml:space="preserve"> </w:t>
      </w:r>
      <w:r w:rsidRPr="00487C30">
        <w:rPr>
          <w:rStyle w:val="Strong"/>
          <w:rFonts w:ascii="Arial" w:hAnsi="Arial" w:cs="Arial"/>
          <w:b w:val="0"/>
        </w:rPr>
        <w:t>financial constraints (24.0%)</w:t>
      </w:r>
      <w:r w:rsidRPr="00487C30">
        <w:rPr>
          <w:rFonts w:ascii="Arial" w:hAnsi="Arial" w:cs="Arial"/>
          <w:b/>
        </w:rPr>
        <w:t xml:space="preserve"> </w:t>
      </w:r>
      <w:r w:rsidRPr="00487C30">
        <w:rPr>
          <w:rFonts w:ascii="Arial" w:hAnsi="Arial" w:cs="Arial"/>
        </w:rPr>
        <w:t xml:space="preserve">as the primary barriers to optimal child feeding, with smaller proportions reporting </w:t>
      </w:r>
      <w:r w:rsidRPr="00487C30">
        <w:rPr>
          <w:rStyle w:val="Strong"/>
          <w:rFonts w:ascii="Arial" w:hAnsi="Arial" w:cs="Arial"/>
          <w:b w:val="0"/>
        </w:rPr>
        <w:t>poor access to nutritious food (3.1%)</w:t>
      </w:r>
      <w:r w:rsidRPr="00487C30">
        <w:rPr>
          <w:rFonts w:ascii="Arial" w:hAnsi="Arial" w:cs="Arial"/>
        </w:rPr>
        <w:t xml:space="preserve"> and </w:t>
      </w:r>
      <w:r w:rsidRPr="00487C30">
        <w:rPr>
          <w:rStyle w:val="Strong"/>
          <w:rFonts w:ascii="Arial" w:hAnsi="Arial" w:cs="Arial"/>
          <w:b w:val="0"/>
        </w:rPr>
        <w:t>cultural beliefs (1.0%)</w:t>
      </w:r>
      <w:r w:rsidRPr="00487C30">
        <w:rPr>
          <w:rFonts w:ascii="Arial" w:hAnsi="Arial" w:cs="Arial"/>
          <w:b/>
        </w:rPr>
        <w:t>.</w:t>
      </w:r>
      <w:r w:rsidRPr="00487C30">
        <w:rPr>
          <w:rFonts w:ascii="Arial" w:hAnsi="Arial" w:cs="Arial"/>
        </w:rPr>
        <w:t xml:space="preserve"> Nearly one</w:t>
      </w:r>
      <w:r w:rsidRPr="00487C30">
        <w:rPr>
          <w:rFonts w:ascii="Arial" w:hAnsi="Arial" w:cs="Arial"/>
        </w:rPr>
        <w:noBreakHyphen/>
        <w:t xml:space="preserve">third (30.2%) indicated no feeding challenges. Importantly, an overwhelming majority (95.8%) expressed willingness to participate in nutrition training programs, indicating high readiness for </w:t>
      </w:r>
      <w:proofErr w:type="spellStart"/>
      <w:r w:rsidR="00C75314">
        <w:rPr>
          <w:rFonts w:ascii="Arial" w:hAnsi="Arial" w:cs="Arial"/>
          <w:highlight w:val="yellow"/>
        </w:rPr>
        <w:t>behavioural</w:t>
      </w:r>
      <w:proofErr w:type="spellEnd"/>
      <w:r w:rsidR="0080734F" w:rsidRPr="00A457C7">
        <w:rPr>
          <w:rFonts w:ascii="Arial" w:hAnsi="Arial" w:cs="Arial"/>
          <w:highlight w:val="yellow"/>
        </w:rPr>
        <w:t xml:space="preserve"> and</w:t>
      </w:r>
      <w:r w:rsidR="0080734F" w:rsidRPr="00487C30">
        <w:rPr>
          <w:rFonts w:ascii="Arial" w:hAnsi="Arial" w:cs="Arial"/>
        </w:rPr>
        <w:t xml:space="preserve"> </w:t>
      </w:r>
      <w:r w:rsidRPr="00487C30">
        <w:rPr>
          <w:rFonts w:ascii="Arial" w:hAnsi="Arial" w:cs="Arial"/>
        </w:rPr>
        <w:t>educational interventions.</w:t>
      </w:r>
    </w:p>
    <w:p w14:paraId="523BE79F" w14:textId="5745B0F3" w:rsidR="00284FB7" w:rsidRPr="00487C30" w:rsidRDefault="00284FB7" w:rsidP="00284FB7">
      <w:pPr>
        <w:pStyle w:val="NormalWeb"/>
        <w:spacing w:line="360" w:lineRule="auto"/>
        <w:jc w:val="both"/>
        <w:rPr>
          <w:rFonts w:ascii="Arial" w:hAnsi="Arial" w:cs="Arial"/>
        </w:rPr>
      </w:pPr>
      <w:r w:rsidRPr="00487C30">
        <w:rPr>
          <w:rFonts w:ascii="Arial" w:hAnsi="Arial" w:cs="Arial"/>
        </w:rPr>
        <w:lastRenderedPageBreak/>
        <w:t xml:space="preserve">These findings align with global evidence demonstrating that </w:t>
      </w:r>
      <w:r w:rsidRPr="00487C30">
        <w:rPr>
          <w:rStyle w:val="Strong"/>
          <w:rFonts w:ascii="Arial" w:hAnsi="Arial" w:cs="Arial"/>
          <w:b w:val="0"/>
        </w:rPr>
        <w:t>multiple, interlinked barriers</w:t>
      </w:r>
      <w:r w:rsidRPr="00487C30">
        <w:rPr>
          <w:rFonts w:ascii="Arial" w:hAnsi="Arial" w:cs="Arial"/>
        </w:rPr>
        <w:t xml:space="preserve"> influence child feeding practices across diverse settings. In several low</w:t>
      </w:r>
      <w:r w:rsidRPr="00487C30">
        <w:rPr>
          <w:rFonts w:ascii="Arial" w:hAnsi="Arial" w:cs="Arial"/>
        </w:rPr>
        <w:noBreakHyphen/>
        <w:t xml:space="preserve"> and </w:t>
      </w:r>
      <w:r>
        <w:rPr>
          <w:rFonts w:ascii="Arial" w:hAnsi="Arial" w:cs="Arial"/>
        </w:rPr>
        <w:t>middle-income</w:t>
      </w:r>
      <w:r w:rsidRPr="00487C30">
        <w:rPr>
          <w:rFonts w:ascii="Arial" w:hAnsi="Arial" w:cs="Arial"/>
        </w:rPr>
        <w:t xml:space="preserve"> countries</w:t>
      </w:r>
      <w:r w:rsidRPr="00487C30">
        <w:rPr>
          <w:rFonts w:ascii="Arial" w:hAnsi="Arial" w:cs="Arial"/>
          <w:b/>
        </w:rPr>
        <w:t xml:space="preserve">, </w:t>
      </w:r>
      <w:r w:rsidRPr="00487C30">
        <w:rPr>
          <w:rStyle w:val="Strong"/>
          <w:rFonts w:ascii="Arial" w:hAnsi="Arial" w:cs="Arial"/>
          <w:b w:val="0"/>
        </w:rPr>
        <w:t>financial barriers and inadequate caregiver knowledge</w:t>
      </w:r>
      <w:r w:rsidRPr="00487C30">
        <w:rPr>
          <w:rFonts w:ascii="Arial" w:hAnsi="Arial" w:cs="Arial"/>
        </w:rPr>
        <w:t xml:space="preserve"> are among the most frequently reported obstacles to meeting children’s dietary needs. For example, recent UNICEF rapid assessments in Africa and South Asia found that </w:t>
      </w:r>
      <w:r w:rsidRPr="00487C30">
        <w:rPr>
          <w:rStyle w:val="Strong"/>
          <w:rFonts w:ascii="Arial" w:hAnsi="Arial" w:cs="Arial"/>
          <w:b w:val="0"/>
        </w:rPr>
        <w:t>financial constraints were the most common barrier to feeding young children</w:t>
      </w:r>
      <w:r w:rsidRPr="00487C30">
        <w:rPr>
          <w:rStyle w:val="Strong"/>
          <w:rFonts w:ascii="Arial" w:hAnsi="Arial" w:cs="Arial"/>
        </w:rPr>
        <w:fldChar w:fldCharType="begin" w:fldLock="1"/>
      </w:r>
      <w:r w:rsidR="002D59BA">
        <w:rPr>
          <w:rStyle w:val="Strong"/>
          <w:rFonts w:ascii="Arial" w:hAnsi="Arial" w:cs="Arial"/>
        </w:rPr>
        <w:instrText>ADDIN CSL_CITATION {"citationItems":[{"id":"ITEM-1","itemData":{"DOI":"10.18356/9789211065275","abstract":"child food poverty","container-title":"2024 Child Nutrition Report","id":"ITEM-1","issued":{"date-parts":[["2024"]]},"title":"2024 Child Nutrition Report","type":"article-journal"},"uris":["http://www.mendeley.com/documents/?uuid=c9e5830c-a73c-4a3d-b087-e0b1382e4b05"]}],"mendeley":{"formattedCitation":"[40]","plainTextFormattedCitation":"[40]","previouslyFormattedCitation":"[40]"},"properties":{"noteIndex":0},"schema":"https://github.com/citation-style-language/schema/raw/master/csl-citation.json"}</w:instrText>
      </w:r>
      <w:r w:rsidRPr="00487C30">
        <w:rPr>
          <w:rStyle w:val="Strong"/>
          <w:rFonts w:ascii="Arial" w:hAnsi="Arial" w:cs="Arial"/>
        </w:rPr>
        <w:fldChar w:fldCharType="separate"/>
      </w:r>
      <w:r w:rsidR="002D59BA" w:rsidRPr="002D59BA">
        <w:rPr>
          <w:rStyle w:val="Strong"/>
          <w:rFonts w:ascii="Arial" w:hAnsi="Arial" w:cs="Arial"/>
          <w:b w:val="0"/>
          <w:noProof/>
        </w:rPr>
        <w:t>[40]</w:t>
      </w:r>
      <w:r w:rsidRPr="00487C30">
        <w:rPr>
          <w:rStyle w:val="Strong"/>
          <w:rFonts w:ascii="Arial" w:hAnsi="Arial" w:cs="Arial"/>
        </w:rPr>
        <w:fldChar w:fldCharType="end"/>
      </w:r>
      <w:r w:rsidRPr="00487C30">
        <w:rPr>
          <w:rFonts w:ascii="Arial" w:hAnsi="Arial" w:cs="Arial"/>
        </w:rPr>
        <w:t xml:space="preserve">, with income limitations severely restricting access to adequate and diverse diets. </w:t>
      </w:r>
      <w:r w:rsidR="00C75314">
        <w:rPr>
          <w:rFonts w:ascii="Arial" w:hAnsi="Arial" w:cs="Arial"/>
        </w:rPr>
        <w:t xml:space="preserve">At many sites, a large proportion of caregivers reported insufficient money or resources as the primary reason their children could not eat enough or a diverse range of </w:t>
      </w:r>
      <w:r w:rsidRPr="00487C30">
        <w:rPr>
          <w:rFonts w:ascii="Arial" w:hAnsi="Arial" w:cs="Arial"/>
        </w:rPr>
        <w:t xml:space="preserve">foods, and inadequate knowledge and limited caregiver agency </w:t>
      </w:r>
      <w:r>
        <w:rPr>
          <w:rFonts w:ascii="Arial" w:hAnsi="Arial" w:cs="Arial"/>
        </w:rPr>
        <w:t xml:space="preserve">were also prominent constraints </w:t>
      </w:r>
      <w:r w:rsidRPr="00487C30">
        <w:rPr>
          <w:rFonts w:ascii="Arial" w:hAnsi="Arial" w:cs="Arial"/>
        </w:rPr>
        <w:fldChar w:fldCharType="begin" w:fldLock="1"/>
      </w:r>
      <w:r w:rsidR="002D59BA">
        <w:rPr>
          <w:rFonts w:ascii="Arial" w:hAnsi="Arial" w:cs="Arial"/>
        </w:rPr>
        <w:instrText>ADDIN CSL_CITATION {"citationItems":[{"id":"ITEM-1","itemData":{"DOI":"10.3389/fpubh.2025.1709696","author":[{"dropping-particle":"","family":"Siew","given":"Jasmine","non-dropping-particle":"","parse-names":false,"suffix":""},{"dropping-particle":"","family":"Chia","given":"Min","non-dropping-particle":"","parse-names":false,"suffix":""},{"dropping-particle":"","family":"Lim","given":"See Meng","non-dropping-particle":"","parse-names":false,"suffix":""},{"dropping-particle":"","family":"Sameeha","given":"Mohd Jamil","non-dropping-particle":"","parse-names":false,"suffix":""},{"dropping-particle":"","family":"Wong","given":"Jyh Eiin","non-dropping-particle":"","parse-names":false,"suffix":""},{"dropping-particle":"","family":"Khouw","given":"Ilse","non-dropping-particle":"","parse-names":false,"suffix":""},{"dropping-particle":"","family":"Poh","given":"Bee Koon","non-dropping-particle":"","parse-names":false,"suffix":""}],"id":"ITEM-1","issue":"December","issued":{"date-parts":[["2025"]]},"page":"1-13","title":"Socioeconomic disparities and its association with food security , diet quality , and growth among Malaysian children aged 6 months","type":"article-journal"},"uris":["http://www.mendeley.com/documents/?uuid=30f4f093-787c-4d86-98c1-13065b210465"]}],"mendeley":{"formattedCitation":"[35]","plainTextFormattedCitation":"[35]","previouslyFormattedCitation":"[35]"},"properties":{"noteIndex":0},"schema":"https://github.com/citation-style-language/schema/raw/master/csl-citation.json"}</w:instrText>
      </w:r>
      <w:r w:rsidRPr="00487C30">
        <w:rPr>
          <w:rFonts w:ascii="Arial" w:hAnsi="Arial" w:cs="Arial"/>
        </w:rPr>
        <w:fldChar w:fldCharType="separate"/>
      </w:r>
      <w:r w:rsidR="002D59BA" w:rsidRPr="002D59BA">
        <w:rPr>
          <w:rFonts w:ascii="Arial" w:hAnsi="Arial" w:cs="Arial"/>
          <w:noProof/>
        </w:rPr>
        <w:t>[35]</w:t>
      </w:r>
      <w:r w:rsidRPr="00487C30">
        <w:rPr>
          <w:rFonts w:ascii="Arial" w:hAnsi="Arial" w:cs="Arial"/>
        </w:rPr>
        <w:fldChar w:fldCharType="end"/>
      </w:r>
      <w:r w:rsidRPr="00487C30">
        <w:rPr>
          <w:rFonts w:ascii="Arial" w:hAnsi="Arial" w:cs="Arial"/>
        </w:rPr>
        <w:fldChar w:fldCharType="begin" w:fldLock="1"/>
      </w:r>
      <w:r w:rsidR="002D59BA">
        <w:rPr>
          <w:rFonts w:ascii="Arial" w:hAnsi="Arial" w:cs="Arial"/>
        </w:rPr>
        <w:instrText>ADDIN CSL_CITATION {"citationItems":[{"id":"ITEM-1","itemData":{"DOI":"10.4162/nrp.2025.19.5.815","ISSN":"20056168","abstract":"BACKGROUND/OBJECTIVES: Healthy eating supports mental clarity, physical development, and focus in the classroom. However, government policy, cultural customs, education, family income, and food access, influence children's nutrition, which in turn affects school-age children's growth, development, and academic achievement. This study aimed to explore the barriers and facilitators influencing the nutritional and dietary intake of school-age children in urban low-income settings in Addis Ababa, Ethiopia. SUBJECTS/METHODS: A total of 10 schools (6 public and 4 private) from 2 subcities in Addis Ababa participated in a qualitative phenomenological study conducted in May 2024. Focus group discussions, key informant interviews (KIIs), and in-depth interviews (IDIs) with 92 participants were used to gather data. A total of 77 participants (41 male, 36 female) participated in 6 focus groups, 10 IDIs, and 5 KIIs from the Ministry of Agriculture, Ministry of Education, Save the Children, Water, Sanitation and Hygiene (WASH), and Ethiopian Public Health Institute (EPHI). Using MAXQDA software, native language data were transcribed, translated, and then thematically analyzed. RESULTS: Two major themes emerged from the study's findings. The fisrt one is barriers to healthy nutrition and dietary intake in school-aged children, including lack of awareness, inadequate and unhealthy dietary practices, financial hardship and time constraints within households, parental lack of awareness, food accessibility issues, poor infrastructure, and inconsistent policies. These factors were described as potential contributors to challenges in children's nutrition. The second one is facilitators, which include school meal programs, community engagement, family support, physical activity, and policy support for healthy eating, all of which are seen as promoting healthier dietary behaviors and possibly improving children's focus and participation in school activities. CONCLUSION: Several factors influence children's diet and nutrition. Improving children's nutritional and general well-being requires focused nutrition education, policy interventions, and the utilization of coordinators.","author":[{"dropping-particle":"","family":"Adugna","given":"Yimer Mihretie","non-dropping-particle":"","parse-names":false,"suffix":""},{"dropping-particle":"","family":"Ayelign","given":"Abebe","non-dropping-particle":"","parse-names":false,"suffix":""},{"dropping-particle":"","family":"Zerfu","given":"Tadesse","non-dropping-particle":"","parse-names":false,"suffix":""}],"container-title":"Nutrition Research and Practice","id":"ITEM-1","issue":"5","issued":{"date-parts":[["2025"]]},"page":"815-838","title":"Exploring the barriers and facilitators of nutrition and dietary intake among school-aged children in the urban low-income setting of Addis Ababa","type":"article-journal","volume":"19"},"uris":["http://www.mendeley.com/documents/?uuid=a48c0825-fa3e-4329-8f40-a4cae4299f4f"]}],"mendeley":{"formattedCitation":"[41]","plainTextFormattedCitation":"[41]","previouslyFormattedCitation":"[41]"},"properties":{"noteIndex":0},"schema":"https://github.com/citation-style-language/schema/raw/master/csl-citation.json"}</w:instrText>
      </w:r>
      <w:r w:rsidRPr="00487C30">
        <w:rPr>
          <w:rFonts w:ascii="Arial" w:hAnsi="Arial" w:cs="Arial"/>
        </w:rPr>
        <w:fldChar w:fldCharType="separate"/>
      </w:r>
      <w:r w:rsidR="002D59BA" w:rsidRPr="002D59BA">
        <w:rPr>
          <w:rFonts w:ascii="Arial" w:hAnsi="Arial" w:cs="Arial"/>
          <w:noProof/>
        </w:rPr>
        <w:t>[41]</w:t>
      </w:r>
      <w:r w:rsidRPr="00487C30">
        <w:rPr>
          <w:rFonts w:ascii="Arial" w:hAnsi="Arial" w:cs="Arial"/>
        </w:rPr>
        <w:fldChar w:fldCharType="end"/>
      </w:r>
      <w:r>
        <w:rPr>
          <w:rFonts w:ascii="Arial" w:hAnsi="Arial" w:cs="Arial"/>
        </w:rPr>
        <w:t>.</w:t>
      </w:r>
      <w:r w:rsidRPr="00487C30">
        <w:rPr>
          <w:rFonts w:ascii="Arial" w:hAnsi="Arial" w:cs="Arial"/>
        </w:rPr>
        <w:t xml:space="preserve"> </w:t>
      </w:r>
    </w:p>
    <w:p w14:paraId="5F319C45" w14:textId="1C68EDD4" w:rsidR="00284FB7" w:rsidRPr="00487C30" w:rsidRDefault="00284FB7" w:rsidP="00284FB7">
      <w:pPr>
        <w:pStyle w:val="NormalWeb"/>
        <w:spacing w:line="360" w:lineRule="auto"/>
        <w:jc w:val="both"/>
        <w:rPr>
          <w:rFonts w:ascii="Arial" w:hAnsi="Arial" w:cs="Arial"/>
        </w:rPr>
      </w:pPr>
      <w:r w:rsidRPr="00487C30">
        <w:rPr>
          <w:rFonts w:ascii="Arial" w:hAnsi="Arial" w:cs="Arial"/>
        </w:rPr>
        <w:t xml:space="preserve">Similarly, in </w:t>
      </w:r>
      <w:r>
        <w:rPr>
          <w:rFonts w:ascii="Arial" w:hAnsi="Arial" w:cs="Arial"/>
        </w:rPr>
        <w:t>low-income urban contexts such as Ethiopia, economic hardship</w:t>
      </w:r>
      <w:r w:rsidR="00CD1F3F">
        <w:rPr>
          <w:rFonts w:ascii="Arial" w:hAnsi="Arial" w:cs="Arial"/>
        </w:rPr>
        <w:t>, lack of food affordability</w:t>
      </w:r>
      <w:r w:rsidR="00C75314">
        <w:rPr>
          <w:rFonts w:ascii="Arial" w:hAnsi="Arial" w:cs="Arial"/>
        </w:rPr>
        <w:t xml:space="preserve"> [42], and limited maternal time contribute to reliance on cheaper, nutrient-poor foods, thereby undermining dietary quality and child nutrition </w:t>
      </w:r>
      <w:r w:rsidRPr="00487C30">
        <w:rPr>
          <w:rFonts w:ascii="Arial" w:hAnsi="Arial" w:cs="Arial"/>
        </w:rPr>
        <w:fldChar w:fldCharType="begin" w:fldLock="1"/>
      </w:r>
      <w:r w:rsidR="002D59BA">
        <w:rPr>
          <w:rFonts w:ascii="Arial" w:hAnsi="Arial" w:cs="Arial"/>
        </w:rPr>
        <w:instrText>ADDIN CSL_CITATION {"citationItems":[{"id":"ITEM-1","itemData":{"DOI":"10.4162/nrp.2025.19.5.815","ISSN":"20056168","abstract":"BACKGROUND/OBJECTIVES: Healthy eating supports mental clarity, physical development, and focus in the classroom. However, government policy, cultural customs, education, family income, and food access, influence children's nutrition, which in turn affects school-age children's growth, development, and academic achievement. This study aimed to explore the barriers and facilitators influencing the nutritional and dietary intake of school-age children in urban low-income settings in Addis Ababa, Ethiopia. SUBJECTS/METHODS: A total of 10 schools (6 public and 4 private) from 2 subcities in Addis Ababa participated in a qualitative phenomenological study conducted in May 2024. Focus group discussions, key informant interviews (KIIs), and in-depth interviews (IDIs) with 92 participants were used to gather data. A total of 77 participants (41 male, 36 female) participated in 6 focus groups, 10 IDIs, and 5 KIIs from the Ministry of Agriculture, Ministry of Education, Save the Children, Water, Sanitation and Hygiene (WASH), and Ethiopian Public Health Institute (EPHI). Using MAXQDA software, native language data were transcribed, translated, and then thematically analyzed. RESULTS: Two major themes emerged from the study's findings. The fisrt one is barriers to healthy nutrition and dietary intake in school-aged children, including lack of awareness, inadequate and unhealthy dietary practices, financial hardship and time constraints within households, parental lack of awareness, food accessibility issues, poor infrastructure, and inconsistent policies. These factors were described as potential contributors to challenges in children's nutrition. The second one is facilitators, which include school meal programs, community engagement, family support, physical activity, and policy support for healthy eating, all of which are seen as promoting healthier dietary behaviors and possibly improving children's focus and participation in school activities. CONCLUSION: Several factors influence children's diet and nutrition. Improving children's nutritional and general well-being requires focused nutrition education, policy interventions, and the utilization of coordinators.","author":[{"dropping-particle":"","family":"Adugna","given":"Yimer Mihretie","non-dropping-particle":"","parse-names":false,"suffix":""},{"dropping-particle":"","family":"Ayelign","given":"Abebe","non-dropping-particle":"","parse-names":false,"suffix":""},{"dropping-particle":"","family":"Zerfu","given":"Tadesse","non-dropping-particle":"","parse-names":false,"suffix":""}],"container-title":"Nutrition Research and Practice","id":"ITEM-1","issue":"5","issued":{"date-parts":[["2025"]]},"page":"815-838","title":"Exploring the barriers and facilitators of nutrition and dietary intake among school-aged children in the urban low-income setting of Addis Ababa","type":"article-journal","volume":"19"},"uris":["http://www.mendeley.com/documents/?uuid=a48c0825-fa3e-4329-8f40-a4cae4299f4f"]}],"mendeley":{"formattedCitation":"[41]","plainTextFormattedCitation":"[41]","previouslyFormattedCitation":"[41]"},"properties":{"noteIndex":0},"schema":"https://github.com/citation-style-language/schema/raw/master/csl-citation.json"}</w:instrText>
      </w:r>
      <w:r w:rsidRPr="00487C30">
        <w:rPr>
          <w:rFonts w:ascii="Arial" w:hAnsi="Arial" w:cs="Arial"/>
        </w:rPr>
        <w:fldChar w:fldCharType="separate"/>
      </w:r>
      <w:r w:rsidR="002D59BA" w:rsidRPr="002D59BA">
        <w:rPr>
          <w:rFonts w:ascii="Arial" w:hAnsi="Arial" w:cs="Arial"/>
          <w:noProof/>
        </w:rPr>
        <w:t>[41]</w:t>
      </w:r>
      <w:r w:rsidRPr="00487C30">
        <w:rPr>
          <w:rFonts w:ascii="Arial" w:hAnsi="Arial" w:cs="Arial"/>
        </w:rPr>
        <w:fldChar w:fldCharType="end"/>
      </w:r>
      <w:r w:rsidRPr="00487C30">
        <w:rPr>
          <w:rFonts w:ascii="Arial" w:hAnsi="Arial" w:cs="Arial"/>
        </w:rPr>
        <w:t xml:space="preserve">.  The consistency of these findings across </w:t>
      </w:r>
      <w:r w:rsidR="00C75314">
        <w:rPr>
          <w:rFonts w:ascii="Arial" w:hAnsi="Arial" w:cs="Arial"/>
        </w:rPr>
        <w:t>African LMICs underscores the pervasive role of socioeconomic constraints in shaping feeding practices, particularly when</w:t>
      </w:r>
      <w:r w:rsidRPr="00487C30">
        <w:rPr>
          <w:rFonts w:ascii="Arial" w:hAnsi="Arial" w:cs="Arial"/>
        </w:rPr>
        <w:t xml:space="preserve"> household income is insufficie</w:t>
      </w:r>
      <w:r>
        <w:rPr>
          <w:rFonts w:ascii="Arial" w:hAnsi="Arial" w:cs="Arial"/>
        </w:rPr>
        <w:t xml:space="preserve">nt to purchase nutritious foods </w:t>
      </w:r>
      <w:r w:rsidRPr="00487C30">
        <w:rPr>
          <w:rFonts w:ascii="Arial" w:hAnsi="Arial" w:cs="Arial"/>
        </w:rPr>
        <w:fldChar w:fldCharType="begin" w:fldLock="1"/>
      </w:r>
      <w:r w:rsidR="002D59BA">
        <w:rPr>
          <w:rFonts w:ascii="Arial" w:hAnsi="Arial" w:cs="Arial"/>
        </w:rPr>
        <w:instrText>ADDIN CSL_CITATION {"citationItems":[{"id":"ITEM-1","itemData":{"DOI":"10.3390/nu17213355","ISSN":"20726643","PMID":"41228428","abstract":"Background: Socioeconomic factors may influence maternal nutrition knowledge (MNK), which directly affects the nutritional status of children under five. This study aims to explore the importance of socioeconomic factors associated with MNK and nutritional status. Methods: This cross-sectional study focused on mothers of children aged 36–59 months (n = 657). A structured questionnaire was employed to collect data on socioeconomic factors. Anthropometric measurements were taken to assess nutritional status. The Boruta algorithm, implemented using R Studio version R.4.5.1, was used to identify the most important socioeconomic factors associated with MNK and nutrition status. Results: The analysis revealed that socioeconomic status (SES) emerged as an important factor associated with MNK and nutrition status, particularly stunting and wasting. However, SES was not confirmed as an important factor associated with underweight. This study uncovered a bidirectional relationship between child nutrition outcomes; underweight was found to be an important factor related to stunting and wasting, whereas stunting and wasting were important factors for underweight. Furthermore, infant and young child feeding (IYCF) indicators, such as weaning practices and exclusive breastfeeding (BF), were found to be important factors for stunting and wasting. Conclusions: The interlinkage among forms of undernutrition, where each nutritional outcome is related to other outcomes, underscores the importance of comprehensively addressing child undernutrition, rather than focusing on single outcomes independently. Moreover, the association between SES and MNK, wasting, and stunting supports approaches based on holistic and multi-sectoral strategies to reduce poverty by WASH programs, promote IYCF practices, and improve healthcare access by providing health insurance coverage.","author":[{"dropping-particle":"","family":"Alristina","given":"Arie Dwi","non-dropping-particle":"","parse-names":false,"suffix":""},{"dropping-particle":"","family":"Laili","given":"Rizky Dzariyani","non-dropping-particle":"","parse-names":false,"suffix":""},{"dropping-particle":"","family":"Nagy","given":"Éva","non-dropping-particle":"","parse-names":false,"suffix":""},{"dropping-particle":"","family":"Feith","given":"Helga Judit","non-dropping-particle":"","parse-names":false,"suffix":""}],"container-title":"Nutrients ","id":"ITEM-1","issue":"21","issued":{"date-parts":[["2025"]]},"page":"1-21","title":"The Importance of Socioeconomic Factors Associated with Maternal Nutrition Knowledge and Undernutrition Among Children Under Five","type":"article-journal","volume":"17"},"uris":["http://www.mendeley.com/documents/?uuid=eb939fff-ee98-4a3b-9d49-59e41a6a7858"]}],"mendeley":{"formattedCitation":"[43]","plainTextFormattedCitation":"[43]","previouslyFormattedCitation":"[43]"},"properties":{"noteIndex":0},"schema":"https://github.com/citation-style-language/schema/raw/master/csl-citation.json"}</w:instrText>
      </w:r>
      <w:r w:rsidRPr="00487C30">
        <w:rPr>
          <w:rFonts w:ascii="Arial" w:hAnsi="Arial" w:cs="Arial"/>
        </w:rPr>
        <w:fldChar w:fldCharType="separate"/>
      </w:r>
      <w:r w:rsidR="002D59BA" w:rsidRPr="002D59BA">
        <w:rPr>
          <w:rFonts w:ascii="Arial" w:hAnsi="Arial" w:cs="Arial"/>
          <w:noProof/>
        </w:rPr>
        <w:t>[43]</w:t>
      </w:r>
      <w:r w:rsidRPr="00487C30">
        <w:rPr>
          <w:rFonts w:ascii="Arial" w:hAnsi="Arial" w:cs="Arial"/>
        </w:rPr>
        <w:fldChar w:fldCharType="end"/>
      </w:r>
      <w:r w:rsidRPr="00487C30">
        <w:rPr>
          <w:rFonts w:ascii="Arial" w:hAnsi="Arial" w:cs="Arial"/>
        </w:rPr>
        <w:fldChar w:fldCharType="begin" w:fldLock="1"/>
      </w:r>
      <w:r w:rsidR="002D59BA">
        <w:rPr>
          <w:rFonts w:ascii="Arial" w:hAnsi="Arial" w:cs="Arial"/>
        </w:rPr>
        <w:instrText xml:space="preserve">ADDIN CSL_CITATION {"citationItems":[{"id":"ITEM-1","itemData":{"DOI":"10.1093/jn/nxab088","ISSN":"15416100","PMID":"33847352","abstract":"Background: Adequate complementary feeding practices in early childhood contribute to better food preferences and health outcomes throughout the life course. Objectives: The aim of this study was to describe patterns and socioeconomic inequalities in complementary feeding practices among children aged 6-23 mo in 80 low-and middle-income countries. Methods: We analyzed national surveys carried out since 2010. Complementary feeding indicators for children aged 6-23 mo included minimum dietary diversity (MDD), minimum meal frequency (MMF), and minimum acceptable diet (MAD). Between-and within-country inequalities were documented using relative (wealth deciles), gross domestic product (GDP) per capita, and absolute (estimated household income) socioeconomic indicators. Statistical analyses included calculation of the slope index of inequality, Pearson correlation and linear regression, and scatter diagrams. Results: Only 21.3%, 56.2%, and 10.1% of the 80 countries showed prevalence levels &gt;50% for MDD, MMF, and MAD, respectively. Western &amp; Central Africa showed the lowest prevalence for all indicators, whereas the highest for MDD and MAD was Latin America &amp; Caribbean, and for MMF it was East Asia &amp; the Pacific. Log GDP per capita was positively associated with MDD (R2 = 48.5%), MMF (28.2%), and MAD (41.4%). Pro-rich within-country inequalities were observed in most countries for the 3 indicators; pro-poor inequalities were observed in 2 countries for MMF, and in none for the other 2 indicators. Breast milk was the only type of food with a pro-poor distribution, whereas animal-source foods (dairy products, flesh foods, and eggs) showed the most pronounced pro-rich inequality. Dietary diversity improved sharply when absolute annual household incomes exceeded </w:instrText>
      </w:r>
      <w:r w:rsidR="002D59BA">
        <w:rPr>
          <w:rFonts w:ascii="Cambria Math" w:hAnsi="Cambria Math" w:cs="Cambria Math"/>
        </w:rPr>
        <w:instrText>∼</w:instrText>
      </w:r>
      <w:r w:rsidR="002D59BA">
        <w:rPr>
          <w:rFonts w:ascii="Arial" w:hAnsi="Arial" w:cs="Arial"/>
        </w:rPr>
        <w:instrText>US 20,000. All 3 dietary indicators improved by age and no consistent differences were observed between boys and girls. Conclusions: Monitoring complementary feeding indicators across the world and implementing policies and programs to reduce wealth-related inequalities are essential to achieve optimal child nutrition.","author":[{"dropping-particle":"","family":"Gatica-Domínguez","given":"Giovanna","non-dropping-particle":"","parse-names":false,"suffix":""},{"dropping-particle":"","family":"Neves","given":"Paulo A.R.","non-dropping-particle":"","parse-names":false,"suffix":""},{"dropping-particle":"","family":"Barros","given":"Aluísio J.D.","non-dropping-particle":"","parse-names":false,"suffix":""},{"dropping-particle":"","family":"Victora","given":"Cesar G.","non-dropping-particle":"","parse-names":false,"suffix":""}],"container-title":"Journal of Nutrition","id":"ITEM-1","issue":"7","issued":{"date-parts":[["2021"]]},"page":"1956-1964","publisher":"Oxford University Press","title":"Complementary Feeding Practices in 80 Low-and Middle-Income Countries: Prevalence of and Socioeconomic Inequalities in Dietary Diversity, Meal Frequency, and Dietary Adequacy","type":"article-journal","volume":"151"},"uris":["http://www.mendeley.com/documents/?uuid=bf4ff6c1-af5a-4690-9f25-c7476f287155"]}],"mendeley":{"formattedCitation":"[44]","plainTextFormattedCitation":"[44]","previouslyFormattedCitation":"[44]"},"properties":{"noteIndex":0},"schema":"https://github.com/citation-style-language/schema/raw/master/csl-citation.json"}</w:instrText>
      </w:r>
      <w:r w:rsidRPr="00487C30">
        <w:rPr>
          <w:rFonts w:ascii="Arial" w:hAnsi="Arial" w:cs="Arial"/>
        </w:rPr>
        <w:fldChar w:fldCharType="separate"/>
      </w:r>
      <w:r w:rsidR="002D59BA" w:rsidRPr="002D59BA">
        <w:rPr>
          <w:rFonts w:ascii="Arial" w:hAnsi="Arial" w:cs="Arial"/>
          <w:noProof/>
        </w:rPr>
        <w:t>[44]</w:t>
      </w:r>
      <w:r w:rsidRPr="00487C30">
        <w:rPr>
          <w:rFonts w:ascii="Arial" w:hAnsi="Arial" w:cs="Arial"/>
        </w:rPr>
        <w:fldChar w:fldCharType="end"/>
      </w:r>
      <w:r>
        <w:rPr>
          <w:rFonts w:ascii="Arial" w:hAnsi="Arial" w:cs="Arial"/>
        </w:rPr>
        <w:t>.</w:t>
      </w:r>
      <w:r w:rsidRPr="00487C30">
        <w:rPr>
          <w:rFonts w:ascii="Arial" w:hAnsi="Arial" w:cs="Arial"/>
        </w:rPr>
        <w:t xml:space="preserve"> </w:t>
      </w:r>
    </w:p>
    <w:p w14:paraId="0D44F749" w14:textId="309FB056" w:rsidR="00284FB7" w:rsidRPr="00487C30" w:rsidRDefault="00284FB7" w:rsidP="00284FB7">
      <w:pPr>
        <w:pStyle w:val="NormalWeb"/>
        <w:spacing w:line="360" w:lineRule="auto"/>
        <w:jc w:val="both"/>
        <w:rPr>
          <w:rFonts w:ascii="Arial" w:hAnsi="Arial" w:cs="Arial"/>
        </w:rPr>
      </w:pPr>
      <w:r w:rsidRPr="00487C30">
        <w:rPr>
          <w:rFonts w:ascii="Arial" w:hAnsi="Arial" w:cs="Arial"/>
        </w:rPr>
        <w:t xml:space="preserve">Research in </w:t>
      </w:r>
      <w:r w:rsidR="00C75314">
        <w:rPr>
          <w:rStyle w:val="Strong"/>
          <w:rFonts w:ascii="Arial" w:hAnsi="Arial" w:cs="Arial"/>
          <w:b w:val="0"/>
        </w:rPr>
        <w:t>middle-income</w:t>
      </w:r>
      <w:r w:rsidRPr="00B2381A">
        <w:rPr>
          <w:rStyle w:val="Strong"/>
          <w:rFonts w:ascii="Arial" w:hAnsi="Arial" w:cs="Arial"/>
          <w:b w:val="0"/>
        </w:rPr>
        <w:t xml:space="preserve"> countries</w:t>
      </w:r>
      <w:r w:rsidRPr="00487C30">
        <w:rPr>
          <w:rFonts w:ascii="Arial" w:hAnsi="Arial" w:cs="Arial"/>
        </w:rPr>
        <w:t xml:space="preserve"> reveals comparable dynamics, although with additional complexity due to socioeconomic heterogeneity. In Malaysia, for example, socioeconomic disparities were strongly associated with diet quality and growth outcomes, with children from </w:t>
      </w:r>
      <w:r>
        <w:rPr>
          <w:rFonts w:ascii="Arial" w:hAnsi="Arial" w:cs="Arial"/>
        </w:rPr>
        <w:t>low-income families experiencing poorer diet quality, greater food insecurity, and higher undernutrition risk compared with better-off</w:t>
      </w:r>
      <w:r w:rsidRPr="00487C30">
        <w:rPr>
          <w:rFonts w:ascii="Arial" w:hAnsi="Arial" w:cs="Arial"/>
        </w:rPr>
        <w:t xml:space="preserve"> counterparts</w:t>
      </w:r>
      <w:r w:rsidRPr="00487C30">
        <w:rPr>
          <w:rFonts w:ascii="Arial" w:hAnsi="Arial" w:cs="Arial"/>
        </w:rPr>
        <w:fldChar w:fldCharType="begin" w:fldLock="1"/>
      </w:r>
      <w:r w:rsidR="002D59BA">
        <w:rPr>
          <w:rFonts w:ascii="Arial" w:hAnsi="Arial" w:cs="Arial"/>
        </w:rPr>
        <w:instrText>ADDIN CSL_CITATION {"citationItems":[{"id":"ITEM-1","itemData":{"abstract":"Food affordability in Malaysia is increasingly shaped by urbanisation, wage structures, and market dynamics. With nearly 80 percent of Malaysians now residing in urban areas, access to food is no longer determined by availability but by affordability. Unlike rural households that may engage in subsistence farming, urban residents must purchase all their food, making income levels the key determinant of food security. While Malaysia benefits from relatively low food prices due to open trade policies and government subsidies, low wages and income inequality continue to limit many households' ability to afford adequate and nutritious food.","author":[{"dropping-particle":"","family":"Rabi","given":"Amjad","non-dropping-particle":"","parse-names":false,"suffix":""},{"dropping-particle":"","family":"Mansor","given":"Norma","non-dropping-particle":"","parse-names":false,"suffix":""}],"container-title":"SWRC Working Paper Series","id":"ITEM-1","issue":"March","issued":{"date-parts":[["2025"]]},"page":"1-15","title":"Food Affordability in Malaysia: When Markets and Money Decide What to Eat","type":"article-journal","volume":"WP2025/1"},"uris":["http://www.mendeley.com/documents/?uuid=8c67c5fd-b5f3-4e23-955d-5ed8af2452fc"]}],"mendeley":{"formattedCitation":"[45]","plainTextFormattedCitation":"[45]","previouslyFormattedCitation":"[45]"},"properties":{"noteIndex":0},"schema":"https://github.com/citation-style-language/schema/raw/master/csl-citation.json"}</w:instrText>
      </w:r>
      <w:r w:rsidRPr="00487C30">
        <w:rPr>
          <w:rFonts w:ascii="Arial" w:hAnsi="Arial" w:cs="Arial"/>
        </w:rPr>
        <w:fldChar w:fldCharType="separate"/>
      </w:r>
      <w:r w:rsidR="002D59BA" w:rsidRPr="002D59BA">
        <w:rPr>
          <w:rFonts w:ascii="Arial" w:hAnsi="Arial" w:cs="Arial"/>
          <w:noProof/>
        </w:rPr>
        <w:t>[45]</w:t>
      </w:r>
      <w:r w:rsidRPr="00487C30">
        <w:rPr>
          <w:rFonts w:ascii="Arial" w:hAnsi="Arial" w:cs="Arial"/>
        </w:rPr>
        <w:fldChar w:fldCharType="end"/>
      </w:r>
      <w:r w:rsidRPr="00487C30">
        <w:rPr>
          <w:rFonts w:ascii="Arial" w:hAnsi="Arial" w:cs="Arial"/>
        </w:rPr>
        <w:t xml:space="preserve">.  These findings highlight that </w:t>
      </w:r>
      <w:r w:rsidRPr="00B2381A">
        <w:rPr>
          <w:rStyle w:val="Strong"/>
          <w:rFonts w:ascii="Arial" w:hAnsi="Arial" w:cs="Arial"/>
          <w:b w:val="0"/>
        </w:rPr>
        <w:t>financial constraints transcend geographic boundaries</w:t>
      </w:r>
      <w:r w:rsidRPr="00B2381A">
        <w:rPr>
          <w:rFonts w:ascii="Arial" w:hAnsi="Arial" w:cs="Arial"/>
          <w:b/>
        </w:rPr>
        <w:t>,</w:t>
      </w:r>
      <w:r w:rsidRPr="00487C30">
        <w:rPr>
          <w:rFonts w:ascii="Arial" w:hAnsi="Arial" w:cs="Arial"/>
        </w:rPr>
        <w:t xml:space="preserve"> undermining child nutrition in both low</w:t>
      </w:r>
      <w:r w:rsidRPr="00487C30">
        <w:rPr>
          <w:rFonts w:ascii="Arial" w:hAnsi="Arial" w:cs="Arial"/>
        </w:rPr>
        <w:noBreakHyphen/>
        <w:t xml:space="preserve"> and </w:t>
      </w:r>
      <w:r>
        <w:rPr>
          <w:rFonts w:ascii="Arial" w:hAnsi="Arial" w:cs="Arial"/>
        </w:rPr>
        <w:t xml:space="preserve">middle-income settings, though mechanisms may vary with </w:t>
      </w:r>
      <w:r w:rsidR="0080734F" w:rsidRPr="00D939B1">
        <w:rPr>
          <w:rFonts w:ascii="Arial" w:hAnsi="Arial" w:cs="Arial"/>
          <w:highlight w:val="yellow"/>
        </w:rPr>
        <w:t>urbanization</w:t>
      </w:r>
      <w:r w:rsidR="00AD467F">
        <w:rPr>
          <w:rFonts w:ascii="Arial" w:hAnsi="Arial" w:cs="Arial"/>
        </w:rPr>
        <w:t xml:space="preserve"> and food environments </w:t>
      </w:r>
      <w:r w:rsidRPr="00487C30">
        <w:rPr>
          <w:rFonts w:ascii="Arial" w:hAnsi="Arial" w:cs="Arial"/>
        </w:rPr>
        <w:fldChar w:fldCharType="begin" w:fldLock="1"/>
      </w:r>
      <w:r w:rsidR="002D59BA">
        <w:rPr>
          <w:rFonts w:ascii="Arial" w:hAnsi="Arial" w:cs="Arial"/>
        </w:rPr>
        <w:instrText>ADDIN CSL_CITATION {"citationItems":[{"id":"ITEM-1","itemData":{"DOI":"10.3389/fsufs.2024.1366878","ISSN":"2571581X","abstract":"Food environments are rapidly changing globally, both in developed and developing contexts, contributing to poor dietary habits and environmental concerns. As a result, more than 80% of countries in the world face different forms of malnutrition, while the environment faces further degradation due to unsustainable production and consumption patterns. Understanding food environments in diverse settings via a global lens is critical for facilitating the global transition to sustainable and healthy food environments. A virtual workshop was held with stakeholders from five nations (Germany, Ghana, Malaysia, South Africa, and Tanzania) representing varying levels of development to interrogate global food environment concerns and propose cross cutting thematic areas that may be explored and addressed through policy change and intervention. The workshop initiated a transdisciplinary project to shape food environments for sustainable and healthy diets. The Reference Manual for Convenors of Food Systems Summit Dialogues for United Nations Food Systems Summit (UNFSS) (United Nations, 2020) was used as guidance to ensure that an inclusive mix of stakeholders were invited. The stakeholders included key players from public and private sectors in disciplines of agriculture, agro-forestry, environment and ecology, education, food retail and market, trade and commerce, health care and nutrition. Following the workshop discussion, the findings were analyzed using a general inductive approach. Through triangulation of findings, we identified the common challenges and opportunities for achieving collective nutritional, social and environmental sustainability in the modern food environments, which have become more universal globally. It is evident that research and data are essential for sustainable development of food systems, while Sustainable Development Goal (SDG) 17 – Partnership for the Goals - should be placed at the core of the transformative process. We proposed several research-driven transdisciplinary interventions to facilitate a paradigm shift from the profit logic model over everything else, and to counter the existing policy fragmentation and systemic challenges to making food environments nutrition-sensitive and socially and environmentally sustainable.","author":[{"dropping-particle":"Von","family":"Goh","given":"Ee","non-dropping-particle":"","parse-names":false,"suffix":""},{"dropping-particle":"","family":"Sobratee-Fajurally","given":"Nafiisa","non-dropping-particle":"","parse-names":false,"suffix":""},{"dropping-particle":"","family":"Allegretti","given":"Antonio","non-dropping-particle":"","parse-names":false,"suffix":""},{"dropping-particle":"","family":"Sardeshpande","given":"Mallika","non-dropping-particle":"","parse-names":false,"suffix":""},{"dropping-particle":"","family":"Mustafa","given":"Maysoun","non-dropping-particle":"","parse-names":false,"suffix":""},{"dropping-particle":"","family":"Azam-Ali","given":"Susan Helen","non-dropping-particle":"","parse-names":false,"suffix":""},{"dropping-particle":"","family":"Omari","given":"Rose","non-dropping-particle":"","parse-names":false,"suffix":""},{"dropping-particle":"","family":"Schott","given":"Johanna","non-dropping-particle":"","parse-names":false,"suffix":""},{"dropping-particle":"","family":"Chimonyo","given":"Vimbayi Grace Petrova","non-dropping-particle":"","parse-names":false,"suffix":""},{"dropping-particle":"","family":"Weible","given":"Daniela","non-dropping-particle":"","parse-names":false,"suffix":""},{"dropping-particle":"","family":"Mutalemwa","given":"George","non-dropping-particle":"","parse-names":false,"suffix":""},{"dropping-particle":"","family":"Mabhaudhi","given":"Tafadzwanashe","non-dropping-particle":"","parse-names":false,"suffix":""},{"dropping-particle":"","family":"Massawe","given":"Festo","non-dropping-particle":"","parse-names":false,"suffix":""}],"container-title":"Frontiers in Sustainable Food Systems","id":"ITEM-1","issue":"June","issued":{"date-parts":[["2024"]]},"page":"1-17","title":"Transforming food environments: a global lens on challenges and opportunities for achieving healthy and sustainable diets for all","type":"article-journal","volume":"8"},"uris":["http://www.mendeley.com/documents/?uuid=ea83304d-a75c-44fc-b3f6-e9ce0aa6947c"]}],"mendeley":{"formattedCitation":"[46]","plainTextFormattedCitation":"[46]","previouslyFormattedCitation":"[46]"},"properties":{"noteIndex":0},"schema":"https://github.com/citation-style-language/schema/raw/master/csl-citation.json"}</w:instrText>
      </w:r>
      <w:r w:rsidRPr="00487C30">
        <w:rPr>
          <w:rFonts w:ascii="Arial" w:hAnsi="Arial" w:cs="Arial"/>
        </w:rPr>
        <w:fldChar w:fldCharType="separate"/>
      </w:r>
      <w:r w:rsidR="002D59BA" w:rsidRPr="002D59BA">
        <w:rPr>
          <w:rFonts w:ascii="Arial" w:hAnsi="Arial" w:cs="Arial"/>
          <w:noProof/>
        </w:rPr>
        <w:t>[46]</w:t>
      </w:r>
      <w:r w:rsidRPr="00487C30">
        <w:rPr>
          <w:rFonts w:ascii="Arial" w:hAnsi="Arial" w:cs="Arial"/>
        </w:rPr>
        <w:fldChar w:fldCharType="end"/>
      </w:r>
      <w:r w:rsidRPr="00487C30">
        <w:rPr>
          <w:rFonts w:ascii="Arial" w:hAnsi="Arial" w:cs="Arial"/>
        </w:rPr>
        <w:fldChar w:fldCharType="begin" w:fldLock="1"/>
      </w:r>
      <w:r w:rsidR="002D59BA">
        <w:rPr>
          <w:rFonts w:ascii="Arial" w:hAnsi="Arial" w:cs="Arial"/>
        </w:rPr>
        <w:instrText>ADDIN CSL_CITATION {"citationItems":[{"id":"ITEM-1","itemData":{"author":[{"dropping-particle":"","family":"Governance","given":"Urban","non-dropping-particle":"","parse-names":false,"suffix":""},{"dropping-particle":"","family":"Nutrition","given":"F O R","non-dropping-particle":"","parse-names":false,"suffix":""},{"dropping-particle":"","family":"Factsheet","given":"Programme","non-dropping-particle":"","parse-names":false,"suffix":""}],"container-title":"Gain","id":"ITEM-1","issued":{"date-parts":[["2020"]]},"page":"12","title":"Urban Food Environments in Low- and Middle-Income Countries","type":"article-journal"},"uris":["http://www.mendeley.com/documents/?uuid=6de52d6e-b90a-4d78-8e4c-fd494ae50088"]}],"mendeley":{"formattedCitation":"[47]","plainTextFormattedCitation":"[47]","previouslyFormattedCitation":"[47]"},"properties":{"noteIndex":0},"schema":"https://github.com/citation-style-language/schema/raw/master/csl-citation.json"}</w:instrText>
      </w:r>
      <w:r w:rsidRPr="00487C30">
        <w:rPr>
          <w:rFonts w:ascii="Arial" w:hAnsi="Arial" w:cs="Arial"/>
        </w:rPr>
        <w:fldChar w:fldCharType="separate"/>
      </w:r>
      <w:r w:rsidR="002D59BA" w:rsidRPr="002D59BA">
        <w:rPr>
          <w:rFonts w:ascii="Arial" w:hAnsi="Arial" w:cs="Arial"/>
          <w:noProof/>
        </w:rPr>
        <w:t>[47]</w:t>
      </w:r>
      <w:r w:rsidRPr="00487C30">
        <w:rPr>
          <w:rFonts w:ascii="Arial" w:hAnsi="Arial" w:cs="Arial"/>
        </w:rPr>
        <w:fldChar w:fldCharType="end"/>
      </w:r>
      <w:r w:rsidR="00AD467F">
        <w:rPr>
          <w:rFonts w:ascii="Arial" w:hAnsi="Arial" w:cs="Arial"/>
        </w:rPr>
        <w:t>.</w:t>
      </w:r>
    </w:p>
    <w:p w14:paraId="29CF546F" w14:textId="43D90BB9" w:rsidR="00284FB7" w:rsidRPr="00487C30" w:rsidRDefault="00284FB7" w:rsidP="00284FB7">
      <w:pPr>
        <w:pStyle w:val="NormalWeb"/>
        <w:spacing w:line="360" w:lineRule="auto"/>
        <w:jc w:val="both"/>
        <w:rPr>
          <w:rFonts w:ascii="Arial" w:hAnsi="Arial" w:cs="Arial"/>
        </w:rPr>
      </w:pPr>
      <w:r w:rsidRPr="00487C30">
        <w:rPr>
          <w:rFonts w:ascii="Arial" w:hAnsi="Arial" w:cs="Arial"/>
        </w:rPr>
        <w:t xml:space="preserve">In contrast, </w:t>
      </w:r>
      <w:r>
        <w:rPr>
          <w:rStyle w:val="Strong"/>
          <w:rFonts w:ascii="Arial" w:hAnsi="Arial" w:cs="Arial"/>
          <w:b w:val="0"/>
        </w:rPr>
        <w:t>high-income</w:t>
      </w:r>
      <w:r w:rsidRPr="00B2381A">
        <w:rPr>
          <w:rStyle w:val="Strong"/>
          <w:rFonts w:ascii="Arial" w:hAnsi="Arial" w:cs="Arial"/>
          <w:b w:val="0"/>
        </w:rPr>
        <w:t xml:space="preserve"> countries</w:t>
      </w:r>
      <w:r w:rsidRPr="00487C30">
        <w:rPr>
          <w:rFonts w:ascii="Arial" w:hAnsi="Arial" w:cs="Arial"/>
        </w:rPr>
        <w:t xml:space="preserve"> generally face fewer financial barriers to basic food access, but other forms of barriers can emerge. For example, “food deserts” and unequal access to nutritious options can occur even within wealthy nations, where </w:t>
      </w:r>
      <w:r>
        <w:rPr>
          <w:rFonts w:ascii="Arial" w:hAnsi="Arial" w:cs="Arial"/>
        </w:rPr>
        <w:t>low-income</w:t>
      </w:r>
      <w:r w:rsidRPr="00487C30">
        <w:rPr>
          <w:rFonts w:ascii="Arial" w:hAnsi="Arial" w:cs="Arial"/>
        </w:rPr>
        <w:t xml:space="preserve"> urban communities may have limited </w:t>
      </w:r>
      <w:r>
        <w:rPr>
          <w:rFonts w:ascii="Arial" w:hAnsi="Arial" w:cs="Arial"/>
        </w:rPr>
        <w:t>access to affordable,</w:t>
      </w:r>
      <w:r w:rsidRPr="00487C30">
        <w:rPr>
          <w:rFonts w:ascii="Arial" w:hAnsi="Arial" w:cs="Arial"/>
        </w:rPr>
        <w:t xml:space="preserve"> healthy foods despite broader food security at the national level.  Additionally, cultural preferences and </w:t>
      </w:r>
      <w:r>
        <w:rPr>
          <w:rFonts w:ascii="Arial" w:hAnsi="Arial" w:cs="Arial"/>
        </w:rPr>
        <w:t xml:space="preserve">the marketing of </w:t>
      </w:r>
      <w:r>
        <w:rPr>
          <w:rFonts w:ascii="Arial" w:hAnsi="Arial" w:cs="Arial"/>
        </w:rPr>
        <w:lastRenderedPageBreak/>
        <w:t>processed foods can negatively influence dietary choices, suggesting</w:t>
      </w:r>
      <w:r w:rsidRPr="00487C30">
        <w:rPr>
          <w:rFonts w:ascii="Arial" w:hAnsi="Arial" w:cs="Arial"/>
        </w:rPr>
        <w:t xml:space="preserve"> that barriers to optimal feeding are not solely economic but also </w:t>
      </w:r>
      <w:proofErr w:type="spellStart"/>
      <w:r w:rsidR="000F0E35">
        <w:rPr>
          <w:rFonts w:ascii="Arial" w:hAnsi="Arial" w:cs="Arial"/>
          <w:highlight w:val="yellow"/>
        </w:rPr>
        <w:t>behavioural</w:t>
      </w:r>
      <w:proofErr w:type="spellEnd"/>
      <w:r w:rsidR="0080734F">
        <w:rPr>
          <w:rFonts w:ascii="Arial" w:hAnsi="Arial" w:cs="Arial"/>
        </w:rPr>
        <w:t xml:space="preserve"> </w:t>
      </w:r>
      <w:r w:rsidRPr="00487C30">
        <w:rPr>
          <w:rFonts w:ascii="Arial" w:hAnsi="Arial" w:cs="Arial"/>
        </w:rPr>
        <w:t>and enviro</w:t>
      </w:r>
      <w:r w:rsidR="00B86113">
        <w:rPr>
          <w:rFonts w:ascii="Arial" w:hAnsi="Arial" w:cs="Arial"/>
        </w:rPr>
        <w:t xml:space="preserve">nmental </w:t>
      </w:r>
      <w:r w:rsidRPr="00487C30">
        <w:rPr>
          <w:rFonts w:ascii="Arial" w:hAnsi="Arial" w:cs="Arial"/>
        </w:rPr>
        <w:fldChar w:fldCharType="begin" w:fldLock="1"/>
      </w:r>
      <w:r w:rsidR="002D59BA">
        <w:rPr>
          <w:rFonts w:ascii="Arial" w:hAnsi="Arial" w:cs="Arial"/>
        </w:rPr>
        <w:instrText>ADDIN CSL_CITATION {"citationItems":[{"id":"ITEM-1","itemData":{"DOI":"10.1186/s12992-022-00820-w","ISSN":"17448603","PMID":"35279165","abstract":"Background: Dietary patterns are associated with health outcomes and environment sustainability, having socioeconomic drivers. This ecological study aims to identify dietary patterns in food availability data at the global level using multivariate statistical methodology, to associate the identified dietary patterns with socioeconomic data and to analyze the adequacy of the applied multivariate statistical methods for this purpose. Methods: Principal Component Analysis was applied to median values of times series of food availability data of 172 UN registered countries available at FAOSTAT database in Food Balance Sheets section in a sectional manner, after calculating median values of time series for each food group and country. Principal Components were associated with socioeconomic data available from the World Bank database. Sensitivity analyses were realized to verify the stability of dietary patterns through five different times. Results: Five principal components were identified in the median values of each time series, each characterizing a possible dietary pattern. The first one, a westernized dietary pattern, was composed of energy-dense and processed foods, foods of animal origin, alcoholic beverages, but also, albeit less, by vegetables, fruits and nuts, being associated with income, urbanization and trade liberalization. This westernized pattern was characterized more animal origin and processed foods, such as vegetable oils, alcoholic beverages and stimulants yet preserving unprocessed and regional foods. The other dietary patterns were three agricultural patterns characterized more by regional foods, especially starchy staples, and one coastal dietary pattern composed of fish and seafoods, being associated with GINI index, poverty, and female labor force. Sensitivity analyses demonstrated the stability of dietary patterns. Conclusions: Principal Component Analysis was adequate to identify dietary patterns in food availability data. A westernized dietary pattern was identified, being associated with income, urbanization, and trade liberalization. This association did not occur for the remain of the dietary patterns identified, these being less driven by economic development.","author":[{"dropping-particle":"","family":"Costa","given":"Gabriel Gonçalves","non-dropping-particle":"da","parse-names":false,"suffix":""},{"dropping-particle":"","family":"Conceição Nepomuceno","given":"Giovanna","non-dropping-particle":"da","parse-names":false,"suffix":""},{"dropping-particle":"","family":"Silva Pereira","given":"Alessandra","non-dropping-particle":"da","parse-names":false,"suffix":""},{"dropping-particle":"","family":"Simões","given":"Bruno Francisco Teixeira","non-dropping-particle":"","parse-names":false,"suffix":""}],"container-title":"Globalization and Health","id":"ITEM-1","issue":"1","issued":{"date-parts":[["2022"]]},"page":"1-12","publisher":"BioMed Central","title":"Worldwide dietary patterns and their association with socioeconomic data: an ecological exploratory study","type":"article-journal","volume":"18"},"uris":["http://www.mendeley.com/documents/?uuid=47b9fa2d-2caf-4360-8b6a-b57d5c048548"]}],"mendeley":{"formattedCitation":"[48]","plainTextFormattedCitation":"[48]","previouslyFormattedCitation":"[48]"},"properties":{"noteIndex":0},"schema":"https://github.com/citation-style-language/schema/raw/master/csl-citation.json"}</w:instrText>
      </w:r>
      <w:r w:rsidRPr="00487C30">
        <w:rPr>
          <w:rFonts w:ascii="Arial" w:hAnsi="Arial" w:cs="Arial"/>
        </w:rPr>
        <w:fldChar w:fldCharType="separate"/>
      </w:r>
      <w:r w:rsidR="002D59BA" w:rsidRPr="002D59BA">
        <w:rPr>
          <w:rFonts w:ascii="Arial" w:hAnsi="Arial" w:cs="Arial"/>
          <w:noProof/>
        </w:rPr>
        <w:t>[48]</w:t>
      </w:r>
      <w:r w:rsidRPr="00487C30">
        <w:rPr>
          <w:rFonts w:ascii="Arial" w:hAnsi="Arial" w:cs="Arial"/>
        </w:rPr>
        <w:fldChar w:fldCharType="end"/>
      </w:r>
      <w:r w:rsidRPr="00487C30">
        <w:rPr>
          <w:rFonts w:ascii="Arial" w:hAnsi="Arial" w:cs="Arial"/>
        </w:rPr>
        <w:t xml:space="preserve"> </w:t>
      </w:r>
    </w:p>
    <w:p w14:paraId="11E6E08C" w14:textId="38572ED0" w:rsidR="00284FB7" w:rsidRPr="00487C30" w:rsidRDefault="00284FB7" w:rsidP="00284FB7">
      <w:pPr>
        <w:pStyle w:val="NormalWeb"/>
        <w:spacing w:line="360" w:lineRule="auto"/>
        <w:jc w:val="both"/>
        <w:rPr>
          <w:rFonts w:ascii="Arial" w:hAnsi="Arial" w:cs="Arial"/>
        </w:rPr>
      </w:pPr>
      <w:r w:rsidRPr="00487C30">
        <w:rPr>
          <w:rFonts w:ascii="Arial" w:hAnsi="Arial" w:cs="Arial"/>
        </w:rPr>
        <w:t xml:space="preserve">Across </w:t>
      </w:r>
      <w:r w:rsidRPr="00B2381A">
        <w:rPr>
          <w:rStyle w:val="Strong"/>
          <w:rFonts w:ascii="Arial" w:hAnsi="Arial" w:cs="Arial"/>
          <w:b w:val="0"/>
        </w:rPr>
        <w:t>all income levels</w:t>
      </w:r>
      <w:r w:rsidRPr="00B2381A">
        <w:rPr>
          <w:rFonts w:ascii="Arial" w:hAnsi="Arial" w:cs="Arial"/>
          <w:b/>
        </w:rPr>
        <w:t xml:space="preserve">, </w:t>
      </w:r>
      <w:r w:rsidRPr="00B2381A">
        <w:rPr>
          <w:rStyle w:val="Strong"/>
          <w:rFonts w:ascii="Arial" w:hAnsi="Arial" w:cs="Arial"/>
          <w:b w:val="0"/>
        </w:rPr>
        <w:t>caregiver knowledge and education</w:t>
      </w:r>
      <w:r w:rsidRPr="00487C30">
        <w:rPr>
          <w:rFonts w:ascii="Arial" w:hAnsi="Arial" w:cs="Arial"/>
        </w:rPr>
        <w:t xml:space="preserve"> consistently affect feeding practices. While many caregivers may be aware of general nutrition concepts, specific knowledge gaps, such as understanding appropriate complementary feeding or interpreting feeding guidelines, persist and can compromise </w:t>
      </w:r>
      <w:proofErr w:type="spellStart"/>
      <w:r w:rsidR="000F0E35">
        <w:rPr>
          <w:rFonts w:ascii="Arial" w:hAnsi="Arial" w:cs="Arial"/>
          <w:highlight w:val="yellow"/>
        </w:rPr>
        <w:t>behaviour</w:t>
      </w:r>
      <w:proofErr w:type="spellEnd"/>
      <w:r w:rsidRPr="00487C30">
        <w:rPr>
          <w:rFonts w:ascii="Arial" w:hAnsi="Arial" w:cs="Arial"/>
        </w:rPr>
        <w:t xml:space="preserve"> change, especially when not paired with actionable support. Evidence suggests that </w:t>
      </w:r>
      <w:r w:rsidRPr="00B2381A">
        <w:rPr>
          <w:rStyle w:val="Strong"/>
          <w:rFonts w:ascii="Arial" w:hAnsi="Arial" w:cs="Arial"/>
          <w:b w:val="0"/>
        </w:rPr>
        <w:t>nutrition education alone is often insufficient</w:t>
      </w:r>
      <w:r w:rsidRPr="00B2381A">
        <w:rPr>
          <w:rFonts w:ascii="Arial" w:hAnsi="Arial" w:cs="Arial"/>
          <w:b/>
        </w:rPr>
        <w:t xml:space="preserve"> </w:t>
      </w:r>
      <w:r w:rsidRPr="00487C30">
        <w:rPr>
          <w:rFonts w:ascii="Arial" w:hAnsi="Arial" w:cs="Arial"/>
        </w:rPr>
        <w:t>unless integrated with measures that address economic, access, and cultural de</w:t>
      </w:r>
      <w:r>
        <w:rPr>
          <w:rFonts w:ascii="Arial" w:hAnsi="Arial" w:cs="Arial"/>
        </w:rPr>
        <w:t>terminants simultaneously</w:t>
      </w:r>
      <w:r w:rsidRPr="00487C30">
        <w:rPr>
          <w:rFonts w:ascii="Arial" w:hAnsi="Arial" w:cs="Arial"/>
        </w:rPr>
        <w:fldChar w:fldCharType="begin" w:fldLock="1"/>
      </w:r>
      <w:r w:rsidR="002D59BA">
        <w:rPr>
          <w:rFonts w:ascii="Arial" w:hAnsi="Arial" w:cs="Arial"/>
        </w:rPr>
        <w:instrText>ADDIN CSL_CITATION {"citationItems":[{"id":"ITEM-1","itemData":{"DOI":"10.3389/fnut.2025.1479850","ISSN":"2296861X","abstract":"Worldwide, 1 in 5 children under 5 years experiences undernutrition; most commonly in in low- and middle-income countries. Inadequate nutrient and energy intake places children at risk of stunted growth, which is associated with delayed development, increased mortality, and reduced productivity in adulthood. We investigated global approaches for managing stunting in young children (ages 1–5 years) by reviewing research on nutrition-focused interventions and public health frameworks. Our aim was to identify components of effective nutritional care and monitoring. We screened 1,636 studies, reviewed 207 abstracts and full-texts, and included 9 studies for final analysis. These studies, conducted in China, Colombia, Guatemala, Haiti, India, Mexico (n = 2), Peru, and Vietnam evaluated clinical outcomes such as anthropometrics and dietary intake. Most interventions included caregiver nutrition education (n = 7), but none used routine and frequent nutrition screening; only 4 included frequent follow-ups, 3 assessed breastfeeding frequency, and 4 used macronutrient and micronutrient supplementation when indicated. Economic outcomes were reported in 4 studies, while process and clinical outcomes were commonly reported (n = 7). Based on our review, effecting stunting interventions should include: (i) routine screening of every child for nutritional risk based on WHO and UNICEF guidance, (ii) caregiver-targeted nutrition education (iii) supplementation with macro- and micronutrients as needed, and (iv) regular follow-up to monitor growth and nutritional status. Although the evidence base was small, stringent inclusion criteria focused on community-based, multi-component interventions. This highlights the need for expanded implementation research, particularly in under resourced regions. Comprehensive, multi-level strategies are essential to address the long-term health risks of pediatric undernutrition.","author":[{"dropping-particle":"","family":"Sharn","given":"Amy R.","non-dropping-particle":"","parse-names":false,"suffix":""},{"dropping-particle":"","family":"Oliveros","given":"Elena","non-dropping-particle":"","parse-names":false,"suffix":""},{"dropping-particle":"","family":"Lai","given":"Stephanie","non-dropping-particle":"","parse-names":false,"suffix":""},{"dropping-particle":"","family":"Sanchez","given":"Claudia P.","non-dropping-particle":"","parse-names":false,"suffix":""},{"dropping-particle":"","family":"Villa-Real Guno","given":"Mary Jean","non-dropping-particle":"","parse-names":false,"suffix":""},{"dropping-particle":"","family":"Rojas Montenegro","given":"Clara","non-dropping-particle":"","parse-names":false,"suffix":""}],"container-title":"Frontiers in Nutrition","id":"ITEM-1","issue":"September","issued":{"date-parts":[["2025"]]},"title":"Multi-faceted nutritional interventions are imperative to reduction of stunting among children in low- and middle-income countries","type":"article-journal","volume":"12"},"uris":["http://www.mendeley.com/documents/?uuid=f72e984e-6600-47a9-aea3-6df7ad125030"]}],"mendeley":{"formattedCitation":"[49]","plainTextFormattedCitation":"[49]","previouslyFormattedCitation":"[49]"},"properties":{"noteIndex":0},"schema":"https://github.com/citation-style-language/schema/raw/master/csl-citation.json"}</w:instrText>
      </w:r>
      <w:r w:rsidRPr="00487C30">
        <w:rPr>
          <w:rFonts w:ascii="Arial" w:hAnsi="Arial" w:cs="Arial"/>
        </w:rPr>
        <w:fldChar w:fldCharType="separate"/>
      </w:r>
      <w:r w:rsidR="002D59BA" w:rsidRPr="002D59BA">
        <w:rPr>
          <w:rFonts w:ascii="Arial" w:hAnsi="Arial" w:cs="Arial"/>
          <w:noProof/>
        </w:rPr>
        <w:t>[49]</w:t>
      </w:r>
      <w:r w:rsidRPr="00487C30">
        <w:rPr>
          <w:rFonts w:ascii="Arial" w:hAnsi="Arial" w:cs="Arial"/>
        </w:rPr>
        <w:fldChar w:fldCharType="end"/>
      </w:r>
      <w:r w:rsidRPr="00487C30">
        <w:rPr>
          <w:rFonts w:ascii="Arial" w:hAnsi="Arial" w:cs="Arial"/>
        </w:rPr>
        <w:t xml:space="preserve"> </w:t>
      </w:r>
    </w:p>
    <w:p w14:paraId="61411381" w14:textId="25644126" w:rsidR="00284FB7" w:rsidRPr="00487C30" w:rsidRDefault="00284FB7" w:rsidP="00284FB7">
      <w:pPr>
        <w:pStyle w:val="NormalWeb"/>
        <w:spacing w:line="360" w:lineRule="auto"/>
        <w:jc w:val="both"/>
        <w:rPr>
          <w:rFonts w:ascii="Arial" w:hAnsi="Arial" w:cs="Arial"/>
        </w:rPr>
      </w:pPr>
      <w:r w:rsidRPr="00487C30">
        <w:rPr>
          <w:rFonts w:ascii="Arial" w:hAnsi="Arial" w:cs="Arial"/>
        </w:rPr>
        <w:t>The exceptionally high willingness to engage in nutrition training observed in this study (95.8%) mirrors findings in other contexts</w:t>
      </w:r>
      <w:r w:rsidR="000F0E35">
        <w:rPr>
          <w:rFonts w:ascii="Arial" w:hAnsi="Arial" w:cs="Arial"/>
        </w:rPr>
        <w:t>, in which</w:t>
      </w:r>
      <w:r w:rsidRPr="00487C30">
        <w:rPr>
          <w:rFonts w:ascii="Arial" w:hAnsi="Arial" w:cs="Arial"/>
        </w:rPr>
        <w:t xml:space="preserve"> caregivers express </w:t>
      </w:r>
      <w:r>
        <w:rPr>
          <w:rFonts w:ascii="Arial" w:hAnsi="Arial" w:cs="Arial"/>
        </w:rPr>
        <w:t xml:space="preserve">a </w:t>
      </w:r>
      <w:r w:rsidRPr="00487C30">
        <w:rPr>
          <w:rFonts w:ascii="Arial" w:hAnsi="Arial" w:cs="Arial"/>
        </w:rPr>
        <w:t>strong interest in acquiring new knowledge and skills when supportive interventions are available. This receptiveness suggests a promising entry point for combined interventions</w:t>
      </w:r>
      <w:r>
        <w:rPr>
          <w:rFonts w:ascii="Arial" w:hAnsi="Arial" w:cs="Arial"/>
        </w:rPr>
        <w:t xml:space="preserve">, such as caregiver education linked </w:t>
      </w:r>
      <w:r w:rsidR="000F0E35">
        <w:rPr>
          <w:rFonts w:ascii="Arial" w:hAnsi="Arial" w:cs="Arial"/>
        </w:rPr>
        <w:t>to practical support, food supplementation, or social safety nets, which, in recent systematic reviews, have been shown</w:t>
      </w:r>
      <w:r w:rsidRPr="00487C30">
        <w:rPr>
          <w:rFonts w:ascii="Arial" w:hAnsi="Arial" w:cs="Arial"/>
        </w:rPr>
        <w:t xml:space="preserve"> to yield greater improvements in dietary and growth outcomes than </w:t>
      </w:r>
      <w:r>
        <w:rPr>
          <w:rFonts w:ascii="Arial" w:hAnsi="Arial" w:cs="Arial"/>
        </w:rPr>
        <w:t xml:space="preserve">single-component programs </w:t>
      </w:r>
      <w:r w:rsidRPr="00487C30">
        <w:rPr>
          <w:rFonts w:ascii="Arial" w:hAnsi="Arial" w:cs="Arial"/>
        </w:rPr>
        <w:fldChar w:fldCharType="begin" w:fldLock="1"/>
      </w:r>
      <w:r w:rsidR="002D59BA">
        <w:rPr>
          <w:rFonts w:ascii="Arial" w:hAnsi="Arial" w:cs="Arial"/>
        </w:rPr>
        <w:instrText>ADDIN CSL_CITATION {"citationItems":[{"id":"ITEM-1","itemData":{"DOI":"10.1007/s44187-025-00369-8","ISBN":"0123456789","ISSN":"27314286","abstract":"This study assessed the factors associated with caregiver’s nutritional knowledge, attitude, and practices (KAP) as well as their implication on the nutritional status of children aged 6–24 months old in Soroti and Amuria districts, eastern Uganda. A cross-sectional research design was applied to collect primary data from 408 caregivers of children between 6 and 24 months. Data was collected using questionnaires and analyzed using descriptive and inferential statistics including regression analysis. Anthropometric approaches were used to assess the nutritional status of the reference child. Results showed that there was a generally low level of knowledge on complementary feeding (CF) among caregivers in this study. There was, however generally good attitude of caregivers towards CF. The findings on practices were mixed with both good practices such as feeding the child with colostrum and bad practices such earlier than recommended introduction of complementary foods. From this study, the average time for introduction of complementary foods was 4.4 months. This was less than the recommended 6 months with only 36% of the children being introduced to complementary feeding at the recommended 6 months. Caregiver’s nutritional knowledge was predicted by child’s sex, mother as caregiver and occupation of household head, while, caregiver’s attitude was predicted by household occupation and farming as source of foods in the case caregiver’s attitude. Results on influence knowledge and attitude on child nutritional status shows that attitude is a significant predictor of stunting and wasting, but not underweight, on the other hand, knowledge was not a significant predictor of child nutritional status. The study recommends the need to improve the level of knowledge of caregivers. This could be by introducing child nutrition education through available sources of information.","author":[{"dropping-particle":"","family":"Anyati","given":"Christine","non-dropping-particle":"","parse-names":false,"suffix":""},{"dropping-particle":"","family":"Okello","given":"Daniel Micheal","non-dropping-particle":"","parse-names":false,"suffix":""},{"dropping-particle":"","family":"Mainimo","given":"Edmond Nyuyki","non-dropping-particle":"","parse-names":false,"suffix":""},{"dropping-particle":"","family":"Okello-Uma","given":"Ipolto","non-dropping-particle":"","parse-names":false,"suffix":""}],"container-title":"Discover Food","id":"ITEM-1","issue":"1","issued":{"date-parts":[["2025"]]},"publisher":"Springer International Publishing","title":"Nutritional knowledge, attitude, and practices among caregivers and nutritional status of children 6–24 months: evidence from Amuria and Soroti districts of Uganda","type":"article-journal","volume":"5"},"uris":["http://www.mendeley.com/documents/?uuid=1226b452-03ec-4929-a11b-f9b4379b438a"]}],"mendeley":{"formattedCitation":"[50]","plainTextFormattedCitation":"[50]","previouslyFormattedCitation":"[50]"},"properties":{"noteIndex":0},"schema":"https://github.com/citation-style-language/schema/raw/master/csl-citation.json"}</w:instrText>
      </w:r>
      <w:r w:rsidRPr="00487C30">
        <w:rPr>
          <w:rFonts w:ascii="Arial" w:hAnsi="Arial" w:cs="Arial"/>
        </w:rPr>
        <w:fldChar w:fldCharType="separate"/>
      </w:r>
      <w:r w:rsidR="002D59BA" w:rsidRPr="002D59BA">
        <w:rPr>
          <w:rFonts w:ascii="Arial" w:hAnsi="Arial" w:cs="Arial"/>
          <w:noProof/>
        </w:rPr>
        <w:t>[50]</w:t>
      </w:r>
      <w:r w:rsidRPr="00487C30">
        <w:rPr>
          <w:rFonts w:ascii="Arial" w:hAnsi="Arial" w:cs="Arial"/>
        </w:rPr>
        <w:fldChar w:fldCharType="end"/>
      </w:r>
      <w:r w:rsidRPr="00487C30">
        <w:rPr>
          <w:rFonts w:ascii="Arial" w:hAnsi="Arial" w:cs="Arial"/>
        </w:rPr>
        <w:t xml:space="preserve"> </w:t>
      </w:r>
      <w:r w:rsidRPr="00487C30">
        <w:rPr>
          <w:rFonts w:ascii="Arial" w:hAnsi="Arial" w:cs="Arial"/>
        </w:rPr>
        <w:fldChar w:fldCharType="begin" w:fldLock="1"/>
      </w:r>
      <w:r w:rsidR="002D59BA">
        <w:rPr>
          <w:rFonts w:ascii="Arial" w:hAnsi="Arial" w:cs="Arial"/>
        </w:rPr>
        <w:instrText>ADDIN CSL_CITATION {"citationItems":[{"id":"ITEM-1","itemData":{"DOI":"10.3390/nu16234107","ISSN":"20726643","PMID":"39683501","abstract":"Introduction: The influence of women in shaping household dietary habits is undeniable, with their maternal nutritional knowledge significantly impacting the overall well-being of their families. The study objective was to evaluate the impact of maternal nutritional knowledge on household dietary habits, emphasising the improvement in women’s nutrition knowledge and food-related behaviours. Purpose: This study aimed to assess the immediate and long-term effects of a nutrition education intervention on the nutrition knowledge and food-related behaviours of women. Methodology: A quasi-experimental research design was employed to assess the effects of a Nutrition Education Programme (NEP) on female caregivers’ nutrition knowledge and food-related behaviours. This study followed a four-phase approach: baseline survey, programme formulation, implementation and evaluation. Data were collected at various stages of this study using two measurement tools: a Dietary Diversity Questionnaire and a Nutrition Knowledge Questionnaire. Results: Statistical analysis was performed to answer the research questions and to test the null hypotheses at a significance level of 0.05. The intervention positively affected nutrition knowledge, with the mean percentage increasing from 49.1% to 63.7% and reaching 64.4% at follow-up, indicating long-term knowledge retention. The findings of this study suggest a positive shift towards increased consumption of nutrient-rich food groups. There were significant improvements in the food groups’ consumption of the meat group (7.15 ± 2.35), eggs (1 ± 0), dairy (3.76 ± 1.19), cereal (8.78 ± 2.09), legumes (2.86 ± 0.95) and fats and oils (2.12 ± 0.55). Additionally, the variety of food groups consumed significantly improved (p = 0.012) post-intervention, with an increasing trend in the consumption of a variety of food groups (7–9). Recommendation: Tailored nutrition education (NE) programs, in conjunction with addressing socioeconomic barriers positively impact nutritional behaviours, promote healthier food consumption patterns and assist in long-term knowledge retention in disadvantaged communities.","author":[{"dropping-particle":"","family":"Mangwane","given":"Queen E.M.","non-dropping-particle":"","parse-names":false,"suffix":""},{"dropping-particle":"","family":"Egal","given":"Abdulkadir","non-dropping-particle":"","parse-names":false,"suffix":""},{"dropping-particle":"","family":"Oosthuizen","given":"Delia","non-dropping-particle":"","parse-names":false,"suffix":""}],"container-title":"Nutrients ","id":"ITEM-1","issue":"23","issued":{"date-parts":[["2024"]]},"page":"1-17","title":"Impact of a Nutrition Knowledge Intervention on Knowledge and Food Behaviour of Women Within a Rural Community","type":"article-journal","volume":"16"},"uris":["http://www.mendeley.com/documents/?uuid=3ab8e9b1-aedf-428e-b83a-78b738d3e2ec"]}],"mendeley":{"formattedCitation":"[51]","plainTextFormattedCitation":"[51]","previouslyFormattedCitation":"[51]"},"properties":{"noteIndex":0},"schema":"https://github.com/citation-style-language/schema/raw/master/csl-citation.json"}</w:instrText>
      </w:r>
      <w:r w:rsidRPr="00487C30">
        <w:rPr>
          <w:rFonts w:ascii="Arial" w:hAnsi="Arial" w:cs="Arial"/>
        </w:rPr>
        <w:fldChar w:fldCharType="separate"/>
      </w:r>
      <w:r w:rsidR="002D59BA" w:rsidRPr="002D59BA">
        <w:rPr>
          <w:rFonts w:ascii="Arial" w:hAnsi="Arial" w:cs="Arial"/>
          <w:noProof/>
        </w:rPr>
        <w:t>[51]</w:t>
      </w:r>
      <w:r w:rsidRPr="00487C30">
        <w:rPr>
          <w:rFonts w:ascii="Arial" w:hAnsi="Arial" w:cs="Arial"/>
        </w:rPr>
        <w:fldChar w:fldCharType="end"/>
      </w:r>
      <w:r>
        <w:rPr>
          <w:rFonts w:ascii="Arial" w:hAnsi="Arial" w:cs="Arial"/>
        </w:rPr>
        <w:fldChar w:fldCharType="begin" w:fldLock="1"/>
      </w:r>
      <w:r w:rsidR="002D59BA">
        <w:rPr>
          <w:rFonts w:ascii="Arial" w:hAnsi="Arial" w:cs="Arial"/>
        </w:rPr>
        <w:instrText>ADDIN CSL_CITATION {"citationItems":[{"id":"ITEM-1","itemData":{"DOI":"10.1186/s12913-024-10872-w","ISSN":"1472-6963 (Electronic)","PMID":"38715044","abstract":"BACKGROUND: Globally, a fifth of the children continue to face chronic  undernutrition with a majority of them situated in the Low- and Middle-Income Countries (LMIC). The rising numbers are attributed to aggravating factors like limited nutrition knowledge, poor feeding practices, seasonal food insecurity, and diseases. Interventions targeting behaviour change may reduce the devastating nutrition situation of children in the LMICs. OBJECTIVE: For the co-design of a Behaviour Change Communication (BCC) intervention for young children in rural Kenya, we aimed to identify the experiences, barriers, facilitators, and preferences of caregivers and stakeholders regarding nutrition and health counselling. DESIGN: We employed a qualitative study design and used a semi-structured interview guide. The in-depth interviews were recorded, transcribed, and analysed using content analysis, facilitated by the software NVivo. SETTING: Health and Demographic Surveillance System (HDSS) area in Siaya County, rural Kenya. PARTICIPANTS: We interviewed 30 caregivers of children between 6 and 23 months of age and 29 local stakeholders with experience in implementing nutrition projects in Kenya. RESULTS: Nutrition and health counselling (NHC) was usually conducted in hospital settings with groups of mothers. Barriers to counselling were long queues and delays, long distances and high travel costs, the inapplicability of the counselling content, lack of spousal support, and a high domestic workload. Facilitators included the trust of caregivers in Community Health Volunteers (CHVs) and counselling services offered free of charge. Preferences comprised (1) delivering of counselling by CHVs, (2) offering individual and group counselling, (3) targeting male and female caregivers. CONCLUSION: There is a disconnect between the caregivers' preferences and the services currently offered. Among these families, a successful BCC strategy that employs nutrition and health counselling should apply a community-based communication channel through trusted CHVs, addressing male and female caregivers, and comprising group and individual sessions.","author":[{"dropping-particle":"","family":"Kihagi","given":"Grace Wothaya","non-dropping-particle":"","parse-names":false,"suffix":""},{"dropping-particle":"","family":"Hansen","given":"Lea-Sophie","non-dropping-particle":"","parse-names":false,"suffix":""},{"dropping-particle":"","family":"Agure","given":"Erick","non-dropping-particle":"","parse-names":false,"suffix":""},{"dropping-particle":"","family":"Muok","given":"Erick M O","non-dropping-particle":"","parse-names":false,"suffix":""},{"dropping-particle":"","family":"Mank","given":"Isabel","non-dropping-particle":"","parse-names":false,"suffix":""},{"dropping-particle":"","family":"Danquah","given":"Ina","non-dropping-particle":"","parse-names":false,"suffix":""},{"dropping-particle":"","family":"Sorgho","given":"Raissa","non-dropping-particle":"","parse-names":false,"suffix":""}],"container-title":"BMC health services research","id":"ITEM-1","issue":"1","issued":{"date-parts":[["2024","5"]]},"language":"eng","page":"597","publisher-place":"England","title":"'Counselling is not just providing information': perceptions of caregivers and  stakeholders on the design of nutrition and health counselling interventions for families with young children in rural Kenya.","type":"article-journal","volume":"24"},"uris":["http://www.mendeley.com/documents/?uuid=d422e797-222a-4eb5-825a-e9562233703c"]}],"mendeley":{"formattedCitation":"[52]","plainTextFormattedCitation":"[52]","previouslyFormattedCitation":"[52]"},"properties":{"noteIndex":0},"schema":"https://github.com/citation-style-language/schema/raw/master/csl-citation.json"}</w:instrText>
      </w:r>
      <w:r>
        <w:rPr>
          <w:rFonts w:ascii="Arial" w:hAnsi="Arial" w:cs="Arial"/>
        </w:rPr>
        <w:fldChar w:fldCharType="separate"/>
      </w:r>
      <w:r w:rsidR="002D59BA" w:rsidRPr="002D59BA">
        <w:rPr>
          <w:rFonts w:ascii="Arial" w:hAnsi="Arial" w:cs="Arial"/>
          <w:noProof/>
        </w:rPr>
        <w:t>[52]</w:t>
      </w:r>
      <w:r>
        <w:rPr>
          <w:rFonts w:ascii="Arial" w:hAnsi="Arial" w:cs="Arial"/>
        </w:rPr>
        <w:fldChar w:fldCharType="end"/>
      </w:r>
      <w:r w:rsidRPr="00487C30">
        <w:rPr>
          <w:rFonts w:ascii="Arial" w:hAnsi="Arial" w:cs="Arial"/>
        </w:rPr>
        <w:t>.</w:t>
      </w:r>
    </w:p>
    <w:p w14:paraId="189621FE" w14:textId="449B2745" w:rsidR="00284FB7" w:rsidRPr="00487C30" w:rsidRDefault="00284FB7" w:rsidP="00284FB7">
      <w:pPr>
        <w:pStyle w:val="NormalWeb"/>
        <w:spacing w:line="360" w:lineRule="auto"/>
        <w:jc w:val="both"/>
        <w:rPr>
          <w:rFonts w:ascii="Arial" w:hAnsi="Arial" w:cs="Arial"/>
        </w:rPr>
      </w:pPr>
      <w:r w:rsidRPr="00487C30">
        <w:rPr>
          <w:rFonts w:ascii="Arial" w:hAnsi="Arial" w:cs="Arial"/>
        </w:rPr>
        <w:t xml:space="preserve">Taken together, these global comparisons highlight that </w:t>
      </w:r>
      <w:r w:rsidRPr="00B2381A">
        <w:rPr>
          <w:rStyle w:val="Strong"/>
          <w:rFonts w:ascii="Arial" w:hAnsi="Arial" w:cs="Arial"/>
          <w:b w:val="0"/>
        </w:rPr>
        <w:t>barriers to optimal child feeding are multifaceted and context</w:t>
      </w:r>
      <w:r w:rsidRPr="00B2381A">
        <w:rPr>
          <w:rStyle w:val="Strong"/>
          <w:rFonts w:ascii="Arial" w:hAnsi="Arial" w:cs="Arial"/>
          <w:b w:val="0"/>
        </w:rPr>
        <w:noBreakHyphen/>
        <w:t>dependent</w:t>
      </w:r>
      <w:r w:rsidRPr="00B2381A">
        <w:rPr>
          <w:rFonts w:ascii="Arial" w:hAnsi="Arial" w:cs="Arial"/>
          <w:b/>
        </w:rPr>
        <w:t>.</w:t>
      </w:r>
      <w:r w:rsidRPr="00487C30">
        <w:rPr>
          <w:rFonts w:ascii="Arial" w:hAnsi="Arial" w:cs="Arial"/>
        </w:rPr>
        <w:t xml:space="preserve"> Financial constraints and inadequate knowledge are ubiquitous challenges in low</w:t>
      </w:r>
      <w:r w:rsidRPr="00487C30">
        <w:rPr>
          <w:rFonts w:ascii="Arial" w:hAnsi="Arial" w:cs="Arial"/>
        </w:rPr>
        <w:noBreakHyphen/>
        <w:t xml:space="preserve"> </w:t>
      </w:r>
      <w:r w:rsidR="000F0E35">
        <w:rPr>
          <w:rFonts w:ascii="Arial" w:hAnsi="Arial" w:cs="Arial"/>
        </w:rPr>
        <w:t>- and middle-income settings, whereas high-income contexts may face</w:t>
      </w:r>
      <w:r w:rsidRPr="00487C30">
        <w:rPr>
          <w:rFonts w:ascii="Arial" w:hAnsi="Arial" w:cs="Arial"/>
        </w:rPr>
        <w:t xml:space="preserve"> more nuanced barriers related to food environments and lifestyle factors. Across continents, integrated approaches that pair caregiver edu</w:t>
      </w:r>
      <w:r w:rsidR="000F0E35">
        <w:rPr>
          <w:rFonts w:ascii="Arial" w:hAnsi="Arial" w:cs="Arial"/>
        </w:rPr>
        <w:t xml:space="preserve">cation with structural supports, ranging from improved food affordability to culturally sensitive </w:t>
      </w:r>
      <w:proofErr w:type="spellStart"/>
      <w:r w:rsidR="000F0E35">
        <w:rPr>
          <w:rFonts w:ascii="Arial" w:hAnsi="Arial" w:cs="Arial"/>
        </w:rPr>
        <w:t>behaviour</w:t>
      </w:r>
      <w:proofErr w:type="spellEnd"/>
      <w:r w:rsidR="000F0E35">
        <w:rPr>
          <w:rFonts w:ascii="Arial" w:hAnsi="Arial" w:cs="Arial"/>
        </w:rPr>
        <w:t xml:space="preserve">-change communication, </w:t>
      </w:r>
      <w:r w:rsidRPr="00487C30">
        <w:rPr>
          <w:rFonts w:ascii="Arial" w:hAnsi="Arial" w:cs="Arial"/>
        </w:rPr>
        <w:t>are most likely to enhance caregiving practices and improve child nutrition outcomes.</w:t>
      </w:r>
    </w:p>
    <w:p w14:paraId="52A2D6DA" w14:textId="77777777" w:rsidR="00284FB7" w:rsidRPr="00487C30" w:rsidRDefault="00284FB7" w:rsidP="00284FB7">
      <w:pPr>
        <w:pStyle w:val="NormalWeb"/>
        <w:spacing w:line="360" w:lineRule="auto"/>
        <w:jc w:val="both"/>
        <w:rPr>
          <w:rFonts w:ascii="Arial" w:hAnsi="Arial" w:cs="Arial"/>
        </w:rPr>
      </w:pPr>
      <w:r w:rsidRPr="00487C30">
        <w:rPr>
          <w:rStyle w:val="Strong"/>
          <w:rFonts w:ascii="Arial" w:hAnsi="Arial" w:cs="Arial"/>
        </w:rPr>
        <w:t>Conclusion</w:t>
      </w:r>
      <w:r w:rsidRPr="00487C30">
        <w:rPr>
          <w:rFonts w:ascii="Arial" w:hAnsi="Arial" w:cs="Arial"/>
        </w:rPr>
        <w:br/>
        <w:t xml:space="preserve">The study found that </w:t>
      </w:r>
      <w:r>
        <w:rPr>
          <w:rFonts w:ascii="Arial" w:hAnsi="Arial" w:cs="Arial"/>
        </w:rPr>
        <w:t>nearly one-fifth</w:t>
      </w:r>
      <w:r w:rsidRPr="00487C30">
        <w:rPr>
          <w:rFonts w:ascii="Arial" w:hAnsi="Arial" w:cs="Arial"/>
        </w:rPr>
        <w:t xml:space="preserve"> of children under five attending </w:t>
      </w:r>
      <w:proofErr w:type="spellStart"/>
      <w:r w:rsidRPr="00487C30">
        <w:rPr>
          <w:rFonts w:ascii="Arial" w:hAnsi="Arial" w:cs="Arial"/>
        </w:rPr>
        <w:t>Ijitimai</w:t>
      </w:r>
      <w:proofErr w:type="spellEnd"/>
      <w:r w:rsidRPr="00487C30">
        <w:rPr>
          <w:rFonts w:ascii="Arial" w:hAnsi="Arial" w:cs="Arial"/>
        </w:rPr>
        <w:t xml:space="preserve"> District Hospital were malnourished, with underweight and wasting as the predominant forms. </w:t>
      </w:r>
      <w:r w:rsidRPr="00487C30">
        <w:rPr>
          <w:rFonts w:ascii="Arial" w:hAnsi="Arial" w:cs="Arial"/>
        </w:rPr>
        <w:lastRenderedPageBreak/>
        <w:t>Stunting was less common, likely reflecting the acute rather than chronic nature of malnutrition in this population. The type of complementary foods and a history of previous malnutrition were strongly associated with current nutritional status, whereas caregiver knowledge or self-reported feeding practices were not independently predictive. High caregiver willingness to participate in nutrition training indicates strong readiness for interventions. These findings underscore the persistent vulnerability of children to undernutrition in low-resource settings and highlight the critical role of dietary quality and diversity in preventing malnutrition.</w:t>
      </w:r>
    </w:p>
    <w:p w14:paraId="17B2BE0C" w14:textId="77777777" w:rsidR="009644CB" w:rsidRPr="009644CB" w:rsidRDefault="009644CB" w:rsidP="009644CB">
      <w:pPr>
        <w:keepNext/>
        <w:keepLines/>
        <w:spacing w:before="120" w:after="120" w:line="360" w:lineRule="auto"/>
        <w:jc w:val="both"/>
        <w:outlineLvl w:val="1"/>
        <w:rPr>
          <w:rFonts w:ascii="Times New Roman" w:eastAsia="Times New Roman" w:hAnsi="Times New Roman"/>
          <w:bCs/>
          <w:sz w:val="24"/>
          <w:szCs w:val="24"/>
          <w:highlight w:val="yellow"/>
          <w:lang w:val="en-GB" w:eastAsia="en-IN"/>
        </w:rPr>
      </w:pPr>
      <w:bookmarkStart w:id="1" w:name="_Hlk218867759"/>
      <w:r w:rsidRPr="009644CB">
        <w:rPr>
          <w:rFonts w:ascii="Times New Roman" w:eastAsia="Times New Roman" w:hAnsi="Times New Roman"/>
          <w:bCs/>
          <w:sz w:val="24"/>
          <w:szCs w:val="24"/>
          <w:highlight w:val="yellow"/>
          <w:lang w:val="en-GB" w:eastAsia="en-IN"/>
        </w:rPr>
        <w:t>Disclaimer (Artificial intelligence)</w:t>
      </w:r>
    </w:p>
    <w:p w14:paraId="3F3180AA" w14:textId="77777777" w:rsidR="009644CB" w:rsidRPr="009644CB" w:rsidRDefault="009644CB" w:rsidP="009644CB">
      <w:pPr>
        <w:keepNext/>
        <w:keepLines/>
        <w:spacing w:before="120" w:after="120" w:line="360" w:lineRule="auto"/>
        <w:jc w:val="both"/>
        <w:outlineLvl w:val="1"/>
        <w:rPr>
          <w:rFonts w:ascii="Times New Roman" w:eastAsia="Times New Roman" w:hAnsi="Times New Roman"/>
          <w:bCs/>
          <w:sz w:val="24"/>
          <w:szCs w:val="24"/>
          <w:lang w:val="en-GB" w:eastAsia="en-IN"/>
        </w:rPr>
      </w:pPr>
      <w:r w:rsidRPr="009644CB">
        <w:rPr>
          <w:rFonts w:ascii="Times New Roman" w:eastAsia="Times New Roman" w:hAnsi="Times New Roman"/>
          <w:bCs/>
          <w:sz w:val="24"/>
          <w:szCs w:val="24"/>
          <w:highlight w:val="yellow"/>
          <w:lang w:val="en-GB" w:eastAsia="en-IN"/>
        </w:rPr>
        <w:t>Author(s) hereby declare that NO generative AI technologies such as Large Language Models (</w:t>
      </w:r>
      <w:proofErr w:type="spellStart"/>
      <w:r w:rsidRPr="009644CB">
        <w:rPr>
          <w:rFonts w:ascii="Times New Roman" w:eastAsia="Times New Roman" w:hAnsi="Times New Roman"/>
          <w:bCs/>
          <w:sz w:val="24"/>
          <w:szCs w:val="24"/>
          <w:highlight w:val="yellow"/>
          <w:lang w:val="en-GB" w:eastAsia="en-IN"/>
        </w:rPr>
        <w:t>ChatGPT</w:t>
      </w:r>
      <w:proofErr w:type="spellEnd"/>
      <w:r w:rsidRPr="009644CB">
        <w:rPr>
          <w:rFonts w:ascii="Times New Roman" w:eastAsia="Times New Roman" w:hAnsi="Times New Roman"/>
          <w:bCs/>
          <w:sz w:val="24"/>
          <w:szCs w:val="24"/>
          <w:highlight w:val="yellow"/>
          <w:lang w:val="en-GB" w:eastAsia="en-IN"/>
        </w:rPr>
        <w:t>, COPILOT, etc.) and text-to-image generators have been used during the writing or editing of this manuscript.</w:t>
      </w:r>
      <w:r w:rsidRPr="009644CB">
        <w:rPr>
          <w:rFonts w:ascii="Times New Roman" w:eastAsia="Times New Roman" w:hAnsi="Times New Roman"/>
          <w:bCs/>
          <w:sz w:val="24"/>
          <w:szCs w:val="24"/>
          <w:lang w:val="en-GB" w:eastAsia="en-IN"/>
        </w:rPr>
        <w:t xml:space="preserve"> </w:t>
      </w:r>
    </w:p>
    <w:bookmarkEnd w:id="1"/>
    <w:p w14:paraId="2E19194E" w14:textId="77777777" w:rsidR="00284FB7" w:rsidRPr="00487C30" w:rsidRDefault="00284FB7" w:rsidP="00284FB7">
      <w:pPr>
        <w:pStyle w:val="NormalWeb"/>
        <w:spacing w:line="360" w:lineRule="auto"/>
        <w:jc w:val="both"/>
        <w:rPr>
          <w:rFonts w:ascii="Arial" w:hAnsi="Arial" w:cs="Arial"/>
        </w:rPr>
      </w:pPr>
    </w:p>
    <w:p w14:paraId="13EC9729" w14:textId="77777777" w:rsidR="00B86113" w:rsidRDefault="00B86113" w:rsidP="00284FB7">
      <w:pPr>
        <w:pStyle w:val="NormalWeb"/>
        <w:spacing w:line="360" w:lineRule="auto"/>
        <w:rPr>
          <w:rFonts w:ascii="Arial" w:hAnsi="Arial" w:cs="Arial"/>
          <w:b/>
        </w:rPr>
      </w:pPr>
    </w:p>
    <w:p w14:paraId="766FC0DB" w14:textId="77777777" w:rsidR="00284FB7" w:rsidRPr="00127913" w:rsidRDefault="00284FB7" w:rsidP="00284FB7">
      <w:pPr>
        <w:pStyle w:val="NormalWeb"/>
        <w:spacing w:line="360" w:lineRule="auto"/>
        <w:rPr>
          <w:rFonts w:ascii="Arial" w:hAnsi="Arial" w:cs="Arial"/>
          <w:b/>
        </w:rPr>
      </w:pPr>
      <w:r w:rsidRPr="00127913">
        <w:rPr>
          <w:rFonts w:ascii="Arial" w:hAnsi="Arial" w:cs="Arial"/>
          <w:b/>
        </w:rPr>
        <w:t>References</w:t>
      </w:r>
    </w:p>
    <w:p w14:paraId="0F8820F8" w14:textId="14C65DFD" w:rsidR="002D59BA" w:rsidRPr="002D59BA" w:rsidRDefault="00284FB7" w:rsidP="002D59BA">
      <w:pPr>
        <w:widowControl w:val="0"/>
        <w:autoSpaceDE w:val="0"/>
        <w:autoSpaceDN w:val="0"/>
        <w:adjustRightInd w:val="0"/>
        <w:spacing w:before="100" w:after="100" w:line="240" w:lineRule="auto"/>
        <w:ind w:left="640" w:hanging="640"/>
        <w:rPr>
          <w:rFonts w:ascii="Arial" w:hAnsi="Arial" w:cs="Arial"/>
          <w:noProof/>
          <w:sz w:val="24"/>
          <w:szCs w:val="24"/>
        </w:rPr>
      </w:pPr>
      <w:r w:rsidRPr="00487C30">
        <w:rPr>
          <w:rFonts w:ascii="Arial" w:hAnsi="Arial" w:cs="Arial"/>
        </w:rPr>
        <w:t xml:space="preserve"> </w:t>
      </w:r>
      <w:r w:rsidRPr="00487C30">
        <w:rPr>
          <w:rFonts w:ascii="Arial" w:hAnsi="Arial" w:cs="Arial"/>
        </w:rPr>
        <w:fldChar w:fldCharType="begin" w:fldLock="1"/>
      </w:r>
      <w:r w:rsidRPr="00487C30">
        <w:rPr>
          <w:rFonts w:ascii="Arial" w:hAnsi="Arial" w:cs="Arial"/>
        </w:rPr>
        <w:instrText xml:space="preserve">ADDIN Mendeley Bibliography CSL_BIBLIOGRAPHY </w:instrText>
      </w:r>
      <w:r w:rsidRPr="00487C30">
        <w:rPr>
          <w:rFonts w:ascii="Arial" w:hAnsi="Arial" w:cs="Arial"/>
        </w:rPr>
        <w:fldChar w:fldCharType="separate"/>
      </w:r>
      <w:r w:rsidR="002D59BA" w:rsidRPr="002D59BA">
        <w:rPr>
          <w:rFonts w:ascii="Arial" w:hAnsi="Arial" w:cs="Arial"/>
          <w:noProof/>
          <w:sz w:val="24"/>
          <w:szCs w:val="24"/>
        </w:rPr>
        <w:t>[1]</w:t>
      </w:r>
      <w:r w:rsidR="002D59BA" w:rsidRPr="002D59BA">
        <w:rPr>
          <w:rFonts w:ascii="Arial" w:hAnsi="Arial" w:cs="Arial"/>
          <w:noProof/>
          <w:sz w:val="24"/>
          <w:szCs w:val="24"/>
        </w:rPr>
        <w:tab/>
        <w:t xml:space="preserve">R. M. Anteneh </w:t>
      </w:r>
      <w:r w:rsidR="002D59BA" w:rsidRPr="002D59BA">
        <w:rPr>
          <w:rFonts w:ascii="Arial" w:hAnsi="Arial" w:cs="Arial"/>
          <w:i/>
          <w:iCs/>
          <w:noProof/>
          <w:sz w:val="24"/>
          <w:szCs w:val="24"/>
        </w:rPr>
        <w:t>et al.</w:t>
      </w:r>
      <w:r w:rsidR="002D59BA" w:rsidRPr="002D59BA">
        <w:rPr>
          <w:rFonts w:ascii="Arial" w:hAnsi="Arial" w:cs="Arial"/>
          <w:noProof/>
          <w:sz w:val="24"/>
          <w:szCs w:val="24"/>
        </w:rPr>
        <w:t xml:space="preserve">, “Wealth-related inequalities in undernutrition among under-five children in sub-Saharan Africa,” </w:t>
      </w:r>
      <w:r w:rsidR="002D59BA" w:rsidRPr="002D59BA">
        <w:rPr>
          <w:rFonts w:ascii="Arial" w:hAnsi="Arial" w:cs="Arial"/>
          <w:i/>
          <w:iCs/>
          <w:noProof/>
          <w:sz w:val="24"/>
          <w:szCs w:val="24"/>
        </w:rPr>
        <w:t>Sci. Rep.</w:t>
      </w:r>
      <w:r w:rsidR="002D59BA" w:rsidRPr="002D59BA">
        <w:rPr>
          <w:rFonts w:ascii="Arial" w:hAnsi="Arial" w:cs="Arial"/>
          <w:noProof/>
          <w:sz w:val="24"/>
          <w:szCs w:val="24"/>
        </w:rPr>
        <w:t>, vol. 15, no. 1, pp. 1–14, 2025, doi: 10.1038/s41598-025-01842-1.</w:t>
      </w:r>
    </w:p>
    <w:p w14:paraId="7465800A" w14:textId="77777777" w:rsidR="002D59BA" w:rsidRPr="002D59BA" w:rsidRDefault="002D59BA" w:rsidP="002D59BA">
      <w:pPr>
        <w:widowControl w:val="0"/>
        <w:autoSpaceDE w:val="0"/>
        <w:autoSpaceDN w:val="0"/>
        <w:adjustRightInd w:val="0"/>
        <w:spacing w:before="100" w:after="100" w:line="240" w:lineRule="auto"/>
        <w:ind w:left="640" w:hanging="640"/>
        <w:rPr>
          <w:rFonts w:ascii="Arial" w:hAnsi="Arial" w:cs="Arial"/>
          <w:noProof/>
          <w:sz w:val="24"/>
          <w:szCs w:val="24"/>
        </w:rPr>
      </w:pPr>
      <w:r w:rsidRPr="002D59BA">
        <w:rPr>
          <w:rFonts w:ascii="Arial" w:hAnsi="Arial" w:cs="Arial"/>
          <w:noProof/>
          <w:sz w:val="24"/>
          <w:szCs w:val="24"/>
        </w:rPr>
        <w:t>[2]</w:t>
      </w:r>
      <w:r w:rsidRPr="002D59BA">
        <w:rPr>
          <w:rFonts w:ascii="Arial" w:hAnsi="Arial" w:cs="Arial"/>
          <w:noProof/>
          <w:sz w:val="24"/>
          <w:szCs w:val="24"/>
        </w:rPr>
        <w:tab/>
        <w:t xml:space="preserve">C. G. Victora, P. Christian, L. P. Vidaletti, G. Gatica-Domínguez, P. Menon, and R. E. Black, “Revisiting maternal and child undernutrition in low-income and middle-income countries: variable progress towards an unfinished agenda,” </w:t>
      </w:r>
      <w:r w:rsidRPr="002D59BA">
        <w:rPr>
          <w:rFonts w:ascii="Arial" w:hAnsi="Arial" w:cs="Arial"/>
          <w:i/>
          <w:iCs/>
          <w:noProof/>
          <w:sz w:val="24"/>
          <w:szCs w:val="24"/>
        </w:rPr>
        <w:t>Lancet</w:t>
      </w:r>
      <w:r w:rsidRPr="002D59BA">
        <w:rPr>
          <w:rFonts w:ascii="Arial" w:hAnsi="Arial" w:cs="Arial"/>
          <w:noProof/>
          <w:sz w:val="24"/>
          <w:szCs w:val="24"/>
        </w:rPr>
        <w:t>, vol. 397, no. 10282, pp. 1388–1399, 2021, doi: 10.1016/S0140-6736(21)00394-9.</w:t>
      </w:r>
    </w:p>
    <w:p w14:paraId="74EDF771" w14:textId="77777777" w:rsidR="002D59BA" w:rsidRPr="002D59BA" w:rsidRDefault="002D59BA" w:rsidP="002D59BA">
      <w:pPr>
        <w:widowControl w:val="0"/>
        <w:autoSpaceDE w:val="0"/>
        <w:autoSpaceDN w:val="0"/>
        <w:adjustRightInd w:val="0"/>
        <w:spacing w:before="100" w:after="100" w:line="240" w:lineRule="auto"/>
        <w:ind w:left="640" w:hanging="640"/>
        <w:rPr>
          <w:rFonts w:ascii="Arial" w:hAnsi="Arial" w:cs="Arial"/>
          <w:noProof/>
          <w:sz w:val="24"/>
          <w:szCs w:val="24"/>
        </w:rPr>
      </w:pPr>
      <w:r w:rsidRPr="002D59BA">
        <w:rPr>
          <w:rFonts w:ascii="Arial" w:hAnsi="Arial" w:cs="Arial"/>
          <w:noProof/>
          <w:sz w:val="24"/>
          <w:szCs w:val="24"/>
        </w:rPr>
        <w:t>[3]</w:t>
      </w:r>
      <w:r w:rsidRPr="002D59BA">
        <w:rPr>
          <w:rFonts w:ascii="Arial" w:hAnsi="Arial" w:cs="Arial"/>
          <w:noProof/>
          <w:sz w:val="24"/>
          <w:szCs w:val="24"/>
        </w:rPr>
        <w:tab/>
        <w:t xml:space="preserve">World Health Organization (WHO) and Organisation for Economic Co-operation and Development (OECD), </w:t>
      </w:r>
      <w:r w:rsidRPr="002D59BA">
        <w:rPr>
          <w:rFonts w:ascii="Arial" w:hAnsi="Arial" w:cs="Arial"/>
          <w:i/>
          <w:iCs/>
          <w:noProof/>
          <w:sz w:val="24"/>
          <w:szCs w:val="24"/>
        </w:rPr>
        <w:t>Health at a glance: Asia/Pacific 2024</w:t>
      </w:r>
      <w:r w:rsidRPr="002D59BA">
        <w:rPr>
          <w:rFonts w:ascii="Arial" w:hAnsi="Arial" w:cs="Arial"/>
          <w:noProof/>
          <w:sz w:val="24"/>
          <w:szCs w:val="24"/>
        </w:rPr>
        <w:t>. 2024.</w:t>
      </w:r>
    </w:p>
    <w:p w14:paraId="683A94F9" w14:textId="77777777" w:rsidR="002D59BA" w:rsidRPr="002D59BA" w:rsidRDefault="002D59BA" w:rsidP="002D59BA">
      <w:pPr>
        <w:widowControl w:val="0"/>
        <w:autoSpaceDE w:val="0"/>
        <w:autoSpaceDN w:val="0"/>
        <w:adjustRightInd w:val="0"/>
        <w:spacing w:before="100" w:after="100" w:line="240" w:lineRule="auto"/>
        <w:ind w:left="640" w:hanging="640"/>
        <w:rPr>
          <w:rFonts w:ascii="Arial" w:hAnsi="Arial" w:cs="Arial"/>
          <w:noProof/>
          <w:sz w:val="24"/>
          <w:szCs w:val="24"/>
        </w:rPr>
      </w:pPr>
      <w:r w:rsidRPr="002D59BA">
        <w:rPr>
          <w:rFonts w:ascii="Arial" w:hAnsi="Arial" w:cs="Arial"/>
          <w:noProof/>
          <w:sz w:val="24"/>
          <w:szCs w:val="24"/>
        </w:rPr>
        <w:t>[4]</w:t>
      </w:r>
      <w:r w:rsidRPr="002D59BA">
        <w:rPr>
          <w:rFonts w:ascii="Arial" w:hAnsi="Arial" w:cs="Arial"/>
          <w:noProof/>
          <w:sz w:val="24"/>
          <w:szCs w:val="24"/>
        </w:rPr>
        <w:tab/>
        <w:t xml:space="preserve">UNICEF and others, “Levels and Trends in Child Malnutrition: UNICEF,” </w:t>
      </w:r>
      <w:r w:rsidRPr="002D59BA">
        <w:rPr>
          <w:rFonts w:ascii="Arial" w:hAnsi="Arial" w:cs="Arial"/>
          <w:i/>
          <w:iCs/>
          <w:noProof/>
          <w:sz w:val="24"/>
          <w:szCs w:val="24"/>
        </w:rPr>
        <w:t>WHO/World Bank Gr. Jt. Child Malnutrition Estim.</w:t>
      </w:r>
      <w:r w:rsidRPr="002D59BA">
        <w:rPr>
          <w:rFonts w:ascii="Arial" w:hAnsi="Arial" w:cs="Arial"/>
          <w:noProof/>
          <w:sz w:val="24"/>
          <w:szCs w:val="24"/>
        </w:rPr>
        <w:t>, pp. 1–24, 2016.</w:t>
      </w:r>
    </w:p>
    <w:p w14:paraId="2A71F617" w14:textId="77777777" w:rsidR="002D59BA" w:rsidRPr="002D59BA" w:rsidRDefault="002D59BA" w:rsidP="002D59BA">
      <w:pPr>
        <w:widowControl w:val="0"/>
        <w:autoSpaceDE w:val="0"/>
        <w:autoSpaceDN w:val="0"/>
        <w:adjustRightInd w:val="0"/>
        <w:spacing w:before="100" w:after="100" w:line="240" w:lineRule="auto"/>
        <w:ind w:left="640" w:hanging="640"/>
        <w:rPr>
          <w:rFonts w:ascii="Arial" w:hAnsi="Arial" w:cs="Arial"/>
          <w:noProof/>
          <w:sz w:val="24"/>
          <w:szCs w:val="24"/>
        </w:rPr>
      </w:pPr>
      <w:r w:rsidRPr="002D59BA">
        <w:rPr>
          <w:rFonts w:ascii="Arial" w:hAnsi="Arial" w:cs="Arial"/>
          <w:noProof/>
          <w:sz w:val="24"/>
          <w:szCs w:val="24"/>
        </w:rPr>
        <w:t>[5]</w:t>
      </w:r>
      <w:r w:rsidRPr="002D59BA">
        <w:rPr>
          <w:rFonts w:ascii="Arial" w:hAnsi="Arial" w:cs="Arial"/>
          <w:noProof/>
          <w:sz w:val="24"/>
          <w:szCs w:val="24"/>
        </w:rPr>
        <w:tab/>
        <w:t xml:space="preserve">Z. Li, R. Kim, S. Vollmer, and S. V. Subramanian, “Factors Associated with Child Stunting, Wasting, and Underweight in 35 Low- And Middle-Income Countries,” </w:t>
      </w:r>
      <w:r w:rsidRPr="002D59BA">
        <w:rPr>
          <w:rFonts w:ascii="Arial" w:hAnsi="Arial" w:cs="Arial"/>
          <w:i/>
          <w:iCs/>
          <w:noProof/>
          <w:sz w:val="24"/>
          <w:szCs w:val="24"/>
        </w:rPr>
        <w:t>JAMA Netw. Open</w:t>
      </w:r>
      <w:r w:rsidRPr="002D59BA">
        <w:rPr>
          <w:rFonts w:ascii="Arial" w:hAnsi="Arial" w:cs="Arial"/>
          <w:noProof/>
          <w:sz w:val="24"/>
          <w:szCs w:val="24"/>
        </w:rPr>
        <w:t>, vol. 3, no. 4, pp. 1–18, 2020, doi: 10.1001/jamanetworkopen.2020.3386.</w:t>
      </w:r>
    </w:p>
    <w:p w14:paraId="70FA9DD4" w14:textId="77777777" w:rsidR="002D59BA" w:rsidRPr="002D59BA" w:rsidRDefault="002D59BA" w:rsidP="002D59BA">
      <w:pPr>
        <w:widowControl w:val="0"/>
        <w:autoSpaceDE w:val="0"/>
        <w:autoSpaceDN w:val="0"/>
        <w:adjustRightInd w:val="0"/>
        <w:spacing w:before="100" w:after="100" w:line="240" w:lineRule="auto"/>
        <w:ind w:left="640" w:hanging="640"/>
        <w:rPr>
          <w:rFonts w:ascii="Arial" w:hAnsi="Arial" w:cs="Arial"/>
          <w:noProof/>
          <w:sz w:val="24"/>
          <w:szCs w:val="24"/>
        </w:rPr>
      </w:pPr>
      <w:r w:rsidRPr="002D59BA">
        <w:rPr>
          <w:rFonts w:ascii="Arial" w:hAnsi="Arial" w:cs="Arial"/>
          <w:noProof/>
          <w:sz w:val="24"/>
          <w:szCs w:val="24"/>
        </w:rPr>
        <w:t>[6]</w:t>
      </w:r>
      <w:r w:rsidRPr="002D59BA">
        <w:rPr>
          <w:rFonts w:ascii="Arial" w:hAnsi="Arial" w:cs="Arial"/>
          <w:noProof/>
          <w:sz w:val="24"/>
          <w:szCs w:val="24"/>
        </w:rPr>
        <w:tab/>
        <w:t xml:space="preserve">S. Moramarco, E. Buonomo, and A. Andreoli, “Tackling Global Malnutrition and </w:t>
      </w:r>
      <w:r w:rsidRPr="002D59BA">
        <w:rPr>
          <w:rFonts w:ascii="Arial" w:hAnsi="Arial" w:cs="Arial"/>
          <w:noProof/>
          <w:sz w:val="24"/>
          <w:szCs w:val="24"/>
        </w:rPr>
        <w:lastRenderedPageBreak/>
        <w:t>Hunger in the Final Push Toward the 2030 Agenda,” pp. 1–22, 2025.</w:t>
      </w:r>
    </w:p>
    <w:p w14:paraId="5985C72C" w14:textId="77777777" w:rsidR="002D59BA" w:rsidRPr="002D59BA" w:rsidRDefault="002D59BA" w:rsidP="002D59BA">
      <w:pPr>
        <w:widowControl w:val="0"/>
        <w:autoSpaceDE w:val="0"/>
        <w:autoSpaceDN w:val="0"/>
        <w:adjustRightInd w:val="0"/>
        <w:spacing w:before="100" w:after="100" w:line="240" w:lineRule="auto"/>
        <w:ind w:left="640" w:hanging="640"/>
        <w:rPr>
          <w:rFonts w:ascii="Arial" w:hAnsi="Arial" w:cs="Arial"/>
          <w:noProof/>
          <w:sz w:val="24"/>
          <w:szCs w:val="24"/>
        </w:rPr>
      </w:pPr>
      <w:r w:rsidRPr="002D59BA">
        <w:rPr>
          <w:rFonts w:ascii="Arial" w:hAnsi="Arial" w:cs="Arial"/>
          <w:noProof/>
          <w:sz w:val="24"/>
          <w:szCs w:val="24"/>
        </w:rPr>
        <w:t>[7]</w:t>
      </w:r>
      <w:r w:rsidRPr="002D59BA">
        <w:rPr>
          <w:rFonts w:ascii="Arial" w:hAnsi="Arial" w:cs="Arial"/>
          <w:noProof/>
          <w:sz w:val="24"/>
          <w:szCs w:val="24"/>
        </w:rPr>
        <w:tab/>
        <w:t xml:space="preserve">World Health Organization, “2025-2030 World Health Assembly global maternal, infant and young child nutrition targets and proposal for process indicators forward,” </w:t>
      </w:r>
      <w:r w:rsidRPr="002D59BA">
        <w:rPr>
          <w:rFonts w:ascii="Arial" w:hAnsi="Arial" w:cs="Arial"/>
          <w:i/>
          <w:iCs/>
          <w:noProof/>
          <w:sz w:val="24"/>
          <w:szCs w:val="24"/>
        </w:rPr>
        <w:t>World Heal. Organ.</w:t>
      </w:r>
      <w:r w:rsidRPr="002D59BA">
        <w:rPr>
          <w:rFonts w:ascii="Arial" w:hAnsi="Arial" w:cs="Arial"/>
          <w:noProof/>
          <w:sz w:val="24"/>
          <w:szCs w:val="24"/>
        </w:rPr>
        <w:t>, pp. 2025–2030, 2024.</w:t>
      </w:r>
    </w:p>
    <w:p w14:paraId="7C36D83E" w14:textId="77777777" w:rsidR="002D59BA" w:rsidRPr="002D59BA" w:rsidRDefault="002D59BA" w:rsidP="002D59BA">
      <w:pPr>
        <w:widowControl w:val="0"/>
        <w:autoSpaceDE w:val="0"/>
        <w:autoSpaceDN w:val="0"/>
        <w:adjustRightInd w:val="0"/>
        <w:spacing w:before="100" w:after="100" w:line="240" w:lineRule="auto"/>
        <w:ind w:left="640" w:hanging="640"/>
        <w:rPr>
          <w:rFonts w:ascii="Arial" w:hAnsi="Arial" w:cs="Arial"/>
          <w:noProof/>
          <w:sz w:val="24"/>
          <w:szCs w:val="24"/>
        </w:rPr>
      </w:pPr>
      <w:r w:rsidRPr="002D59BA">
        <w:rPr>
          <w:rFonts w:ascii="Arial" w:hAnsi="Arial" w:cs="Arial"/>
          <w:noProof/>
          <w:sz w:val="24"/>
          <w:szCs w:val="24"/>
        </w:rPr>
        <w:t>[8]</w:t>
      </w:r>
      <w:r w:rsidRPr="002D59BA">
        <w:rPr>
          <w:rFonts w:ascii="Arial" w:hAnsi="Arial" w:cs="Arial"/>
          <w:noProof/>
          <w:sz w:val="24"/>
          <w:szCs w:val="24"/>
        </w:rPr>
        <w:tab/>
        <w:t xml:space="preserve">A. M. Idowu, G. A. Kayode, and V. T. Adekanmbi, “Factors Associated With Suboptimal Complementary Feeding Practices Among Mothers of Infants and Young Children in India,” </w:t>
      </w:r>
      <w:r w:rsidRPr="002D59BA">
        <w:rPr>
          <w:rFonts w:ascii="Arial" w:hAnsi="Arial" w:cs="Arial"/>
          <w:i/>
          <w:iCs/>
          <w:noProof/>
          <w:sz w:val="24"/>
          <w:szCs w:val="24"/>
        </w:rPr>
        <w:t>Rocz. Panstw. Zakl. Hig. / Ann. Natl. Inst. Hyg.</w:t>
      </w:r>
      <w:r w:rsidRPr="002D59BA">
        <w:rPr>
          <w:rFonts w:ascii="Arial" w:hAnsi="Arial" w:cs="Arial"/>
          <w:noProof/>
          <w:sz w:val="24"/>
          <w:szCs w:val="24"/>
        </w:rPr>
        <w:t>, vol. 73, no. 4, pp. 403–411, 2022, doi: 10.32394/rpzh.2022.0234.</w:t>
      </w:r>
    </w:p>
    <w:p w14:paraId="5F12CCFD" w14:textId="77777777" w:rsidR="002D59BA" w:rsidRPr="002D59BA" w:rsidRDefault="002D59BA" w:rsidP="002D59BA">
      <w:pPr>
        <w:widowControl w:val="0"/>
        <w:autoSpaceDE w:val="0"/>
        <w:autoSpaceDN w:val="0"/>
        <w:adjustRightInd w:val="0"/>
        <w:spacing w:before="100" w:after="100" w:line="240" w:lineRule="auto"/>
        <w:ind w:left="640" w:hanging="640"/>
        <w:rPr>
          <w:rFonts w:ascii="Arial" w:hAnsi="Arial" w:cs="Arial"/>
          <w:noProof/>
          <w:sz w:val="24"/>
          <w:szCs w:val="24"/>
        </w:rPr>
      </w:pPr>
      <w:r w:rsidRPr="002D59BA">
        <w:rPr>
          <w:rFonts w:ascii="Arial" w:hAnsi="Arial" w:cs="Arial"/>
          <w:noProof/>
          <w:sz w:val="24"/>
          <w:szCs w:val="24"/>
        </w:rPr>
        <w:t>[9]</w:t>
      </w:r>
      <w:r w:rsidRPr="002D59BA">
        <w:rPr>
          <w:rFonts w:ascii="Arial" w:hAnsi="Arial" w:cs="Arial"/>
          <w:noProof/>
          <w:sz w:val="24"/>
          <w:szCs w:val="24"/>
        </w:rPr>
        <w:tab/>
        <w:t xml:space="preserve">K. R. Marroda </w:t>
      </w:r>
      <w:r w:rsidRPr="002D59BA">
        <w:rPr>
          <w:rFonts w:ascii="Arial" w:hAnsi="Arial" w:cs="Arial"/>
          <w:i/>
          <w:iCs/>
          <w:noProof/>
          <w:sz w:val="24"/>
          <w:szCs w:val="24"/>
        </w:rPr>
        <w:t>et al.</w:t>
      </w:r>
      <w:r w:rsidRPr="002D59BA">
        <w:rPr>
          <w:rFonts w:ascii="Arial" w:hAnsi="Arial" w:cs="Arial"/>
          <w:noProof/>
          <w:sz w:val="24"/>
          <w:szCs w:val="24"/>
        </w:rPr>
        <w:t xml:space="preserve">, “Infant and Young Child Feeding practices up to 23 months in Namuno District, Cabo Delgado, Mozambique,” </w:t>
      </w:r>
      <w:r w:rsidRPr="002D59BA">
        <w:rPr>
          <w:rFonts w:ascii="Arial" w:hAnsi="Arial" w:cs="Arial"/>
          <w:i/>
          <w:iCs/>
          <w:noProof/>
          <w:sz w:val="24"/>
          <w:szCs w:val="24"/>
        </w:rPr>
        <w:t>Ital. J. Pediatr.</w:t>
      </w:r>
      <w:r w:rsidRPr="002D59BA">
        <w:rPr>
          <w:rFonts w:ascii="Arial" w:hAnsi="Arial" w:cs="Arial"/>
          <w:noProof/>
          <w:sz w:val="24"/>
          <w:szCs w:val="24"/>
        </w:rPr>
        <w:t>, vol. 49, no. 1, pp. 1–11, 2023, doi: 10.1186/s13052-023-01517-5.</w:t>
      </w:r>
    </w:p>
    <w:p w14:paraId="6F4EF986" w14:textId="77777777" w:rsidR="002D59BA" w:rsidRPr="002D59BA" w:rsidRDefault="002D59BA" w:rsidP="002D59BA">
      <w:pPr>
        <w:widowControl w:val="0"/>
        <w:autoSpaceDE w:val="0"/>
        <w:autoSpaceDN w:val="0"/>
        <w:adjustRightInd w:val="0"/>
        <w:spacing w:before="100" w:after="100" w:line="240" w:lineRule="auto"/>
        <w:ind w:left="640" w:hanging="640"/>
        <w:rPr>
          <w:rFonts w:ascii="Arial" w:hAnsi="Arial" w:cs="Arial"/>
          <w:noProof/>
          <w:sz w:val="24"/>
          <w:szCs w:val="24"/>
        </w:rPr>
      </w:pPr>
      <w:r w:rsidRPr="002D59BA">
        <w:rPr>
          <w:rFonts w:ascii="Arial" w:hAnsi="Arial" w:cs="Arial"/>
          <w:noProof/>
          <w:sz w:val="24"/>
          <w:szCs w:val="24"/>
        </w:rPr>
        <w:t>[10]</w:t>
      </w:r>
      <w:r w:rsidRPr="002D59BA">
        <w:rPr>
          <w:rFonts w:ascii="Arial" w:hAnsi="Arial" w:cs="Arial"/>
          <w:noProof/>
          <w:sz w:val="24"/>
          <w:szCs w:val="24"/>
        </w:rPr>
        <w:tab/>
        <w:t xml:space="preserve">S. Huq </w:t>
      </w:r>
      <w:r w:rsidRPr="002D59BA">
        <w:rPr>
          <w:rFonts w:ascii="Arial" w:hAnsi="Arial" w:cs="Arial"/>
          <w:i/>
          <w:iCs/>
          <w:noProof/>
          <w:sz w:val="24"/>
          <w:szCs w:val="24"/>
        </w:rPr>
        <w:t>et al.</w:t>
      </w:r>
      <w:r w:rsidRPr="002D59BA">
        <w:rPr>
          <w:rFonts w:ascii="Arial" w:hAnsi="Arial" w:cs="Arial"/>
          <w:noProof/>
          <w:sz w:val="24"/>
          <w:szCs w:val="24"/>
        </w:rPr>
        <w:t xml:space="preserve">, “Review of national policies and programs targeting improvement of wasting among under-five years old children in Bangladesh,” </w:t>
      </w:r>
      <w:r w:rsidRPr="002D59BA">
        <w:rPr>
          <w:rFonts w:ascii="Arial" w:hAnsi="Arial" w:cs="Arial"/>
          <w:i/>
          <w:iCs/>
          <w:noProof/>
          <w:sz w:val="24"/>
          <w:szCs w:val="24"/>
        </w:rPr>
        <w:t>Asia Pac. J. Clin. Nutr.</w:t>
      </w:r>
      <w:r w:rsidRPr="002D59BA">
        <w:rPr>
          <w:rFonts w:ascii="Arial" w:hAnsi="Arial" w:cs="Arial"/>
          <w:noProof/>
          <w:sz w:val="24"/>
          <w:szCs w:val="24"/>
        </w:rPr>
        <w:t xml:space="preserve">, vol. 34, no. </w:t>
      </w:r>
      <w:r w:rsidRPr="002D59BA">
        <w:rPr>
          <w:rFonts w:ascii="MS Gothic" w:eastAsia="MS Gothic" w:hAnsi="MS Gothic" w:cs="MS Gothic" w:hint="eastAsia"/>
          <w:noProof/>
          <w:sz w:val="24"/>
          <w:szCs w:val="24"/>
        </w:rPr>
        <w:t>預刊文章</w:t>
      </w:r>
      <w:r w:rsidRPr="002D59BA">
        <w:rPr>
          <w:rFonts w:ascii="Arial" w:hAnsi="Arial" w:cs="Arial"/>
          <w:noProof/>
          <w:sz w:val="24"/>
          <w:szCs w:val="24"/>
        </w:rPr>
        <w:t>, pp. 1–20, 2025, doi: 10.6133/apjcn.202512.</w:t>
      </w:r>
    </w:p>
    <w:p w14:paraId="43C76DEF" w14:textId="77777777" w:rsidR="002D59BA" w:rsidRPr="002D59BA" w:rsidRDefault="002D59BA" w:rsidP="002D59BA">
      <w:pPr>
        <w:widowControl w:val="0"/>
        <w:autoSpaceDE w:val="0"/>
        <w:autoSpaceDN w:val="0"/>
        <w:adjustRightInd w:val="0"/>
        <w:spacing w:before="100" w:after="100" w:line="240" w:lineRule="auto"/>
        <w:ind w:left="640" w:hanging="640"/>
        <w:rPr>
          <w:rFonts w:ascii="Arial" w:hAnsi="Arial" w:cs="Arial"/>
          <w:noProof/>
          <w:sz w:val="24"/>
          <w:szCs w:val="24"/>
        </w:rPr>
      </w:pPr>
      <w:r w:rsidRPr="002D59BA">
        <w:rPr>
          <w:rFonts w:ascii="Arial" w:hAnsi="Arial" w:cs="Arial"/>
          <w:noProof/>
          <w:sz w:val="24"/>
          <w:szCs w:val="24"/>
        </w:rPr>
        <w:t>[11]</w:t>
      </w:r>
      <w:r w:rsidRPr="002D59BA">
        <w:rPr>
          <w:rFonts w:ascii="Arial" w:hAnsi="Arial" w:cs="Arial"/>
          <w:noProof/>
          <w:sz w:val="24"/>
          <w:szCs w:val="24"/>
        </w:rPr>
        <w:tab/>
        <w:t xml:space="preserve">K. Stakeholders </w:t>
      </w:r>
      <w:r w:rsidRPr="002D59BA">
        <w:rPr>
          <w:rFonts w:ascii="Arial" w:hAnsi="Arial" w:cs="Arial"/>
          <w:i/>
          <w:iCs/>
          <w:noProof/>
          <w:sz w:val="24"/>
          <w:szCs w:val="24"/>
        </w:rPr>
        <w:t>et al.</w:t>
      </w:r>
      <w:r w:rsidRPr="002D59BA">
        <w:rPr>
          <w:rFonts w:ascii="Arial" w:hAnsi="Arial" w:cs="Arial"/>
          <w:noProof/>
          <w:sz w:val="24"/>
          <w:szCs w:val="24"/>
        </w:rPr>
        <w:t>, “A Systems Approach in the Prevention of Undernutrition among Children under Five in Tanzania : Perspectives from,” pp. 1–21, 2024.</w:t>
      </w:r>
    </w:p>
    <w:p w14:paraId="54D14529" w14:textId="77777777" w:rsidR="002D59BA" w:rsidRPr="002D59BA" w:rsidRDefault="002D59BA" w:rsidP="002D59BA">
      <w:pPr>
        <w:widowControl w:val="0"/>
        <w:autoSpaceDE w:val="0"/>
        <w:autoSpaceDN w:val="0"/>
        <w:adjustRightInd w:val="0"/>
        <w:spacing w:before="100" w:after="100" w:line="240" w:lineRule="auto"/>
        <w:ind w:left="640" w:hanging="640"/>
        <w:rPr>
          <w:rFonts w:ascii="Arial" w:hAnsi="Arial" w:cs="Arial"/>
          <w:noProof/>
          <w:sz w:val="24"/>
          <w:szCs w:val="24"/>
        </w:rPr>
      </w:pPr>
      <w:r w:rsidRPr="002D59BA">
        <w:rPr>
          <w:rFonts w:ascii="Arial" w:hAnsi="Arial" w:cs="Arial"/>
          <w:noProof/>
          <w:sz w:val="24"/>
          <w:szCs w:val="24"/>
        </w:rPr>
        <w:t>[12]</w:t>
      </w:r>
      <w:r w:rsidRPr="002D59BA">
        <w:rPr>
          <w:rFonts w:ascii="Arial" w:hAnsi="Arial" w:cs="Arial"/>
          <w:noProof/>
          <w:sz w:val="24"/>
          <w:szCs w:val="24"/>
        </w:rPr>
        <w:tab/>
        <w:t xml:space="preserve">F. A. Said </w:t>
      </w:r>
      <w:r w:rsidRPr="002D59BA">
        <w:rPr>
          <w:rFonts w:ascii="Arial" w:hAnsi="Arial" w:cs="Arial"/>
          <w:i/>
          <w:iCs/>
          <w:noProof/>
          <w:sz w:val="24"/>
          <w:szCs w:val="24"/>
        </w:rPr>
        <w:t>et al.</w:t>
      </w:r>
      <w:r w:rsidRPr="002D59BA">
        <w:rPr>
          <w:rFonts w:ascii="Arial" w:hAnsi="Arial" w:cs="Arial"/>
          <w:noProof/>
          <w:sz w:val="24"/>
          <w:szCs w:val="24"/>
        </w:rPr>
        <w:t xml:space="preserve">, “Knowledge Levels and Practice Regarding Breastfeeding among Mothers with Children under 2 Years Admitted in the Pediatric Ward at Mnazi Mmoja Hospital, Zanzibar,” </w:t>
      </w:r>
      <w:r w:rsidRPr="002D59BA">
        <w:rPr>
          <w:rFonts w:ascii="Arial" w:hAnsi="Arial" w:cs="Arial"/>
          <w:i/>
          <w:iCs/>
          <w:noProof/>
          <w:sz w:val="24"/>
          <w:szCs w:val="24"/>
        </w:rPr>
        <w:t>J. Adv. Med. Med. Res.</w:t>
      </w:r>
      <w:r w:rsidRPr="002D59BA">
        <w:rPr>
          <w:rFonts w:ascii="Arial" w:hAnsi="Arial" w:cs="Arial"/>
          <w:noProof/>
          <w:sz w:val="24"/>
          <w:szCs w:val="24"/>
        </w:rPr>
        <w:t>, vol. 33, no. 13, pp. 124–133, 2021, doi: 10.9734/jammr/2021/v33i1330963.</w:t>
      </w:r>
    </w:p>
    <w:p w14:paraId="7B571FD7" w14:textId="77777777" w:rsidR="002D59BA" w:rsidRPr="002D59BA" w:rsidRDefault="002D59BA" w:rsidP="002D59BA">
      <w:pPr>
        <w:widowControl w:val="0"/>
        <w:autoSpaceDE w:val="0"/>
        <w:autoSpaceDN w:val="0"/>
        <w:adjustRightInd w:val="0"/>
        <w:spacing w:before="100" w:after="100" w:line="240" w:lineRule="auto"/>
        <w:ind w:left="640" w:hanging="640"/>
        <w:rPr>
          <w:rFonts w:ascii="Arial" w:hAnsi="Arial" w:cs="Arial"/>
          <w:noProof/>
          <w:sz w:val="24"/>
          <w:szCs w:val="24"/>
        </w:rPr>
      </w:pPr>
      <w:r w:rsidRPr="002D59BA">
        <w:rPr>
          <w:rFonts w:ascii="Arial" w:hAnsi="Arial" w:cs="Arial"/>
          <w:noProof/>
          <w:sz w:val="24"/>
          <w:szCs w:val="24"/>
        </w:rPr>
        <w:t>[13]</w:t>
      </w:r>
      <w:r w:rsidRPr="002D59BA">
        <w:rPr>
          <w:rFonts w:ascii="Arial" w:hAnsi="Arial" w:cs="Arial"/>
          <w:noProof/>
          <w:sz w:val="24"/>
          <w:szCs w:val="24"/>
        </w:rPr>
        <w:tab/>
        <w:t xml:space="preserve">P. Gado, S. O. Oparah, F. E. Ezeh, S. V. Gbaraba, A. S. Adeleke, and O. Omotayo, “Framework for Developing Data-Driven Nutrition Interventions Targeting High-Risk Low-Income Communities Nationwide,” </w:t>
      </w:r>
      <w:r w:rsidRPr="002D59BA">
        <w:rPr>
          <w:rFonts w:ascii="Arial" w:hAnsi="Arial" w:cs="Arial"/>
          <w:i/>
          <w:iCs/>
          <w:noProof/>
          <w:sz w:val="24"/>
          <w:szCs w:val="24"/>
        </w:rPr>
        <w:t>Int. J. Multidiscip. Res. Growth Eval.</w:t>
      </w:r>
      <w:r w:rsidRPr="002D59BA">
        <w:rPr>
          <w:rFonts w:ascii="Arial" w:hAnsi="Arial" w:cs="Arial"/>
          <w:noProof/>
          <w:sz w:val="24"/>
          <w:szCs w:val="24"/>
        </w:rPr>
        <w:t>, vol. 1, no. 3, pp. 244–271, 2020, doi: 10.54660/.ijmrge.2020.1.3.244-271.</w:t>
      </w:r>
    </w:p>
    <w:p w14:paraId="586D752A" w14:textId="77777777" w:rsidR="002D59BA" w:rsidRPr="002D59BA" w:rsidRDefault="002D59BA" w:rsidP="002D59BA">
      <w:pPr>
        <w:widowControl w:val="0"/>
        <w:autoSpaceDE w:val="0"/>
        <w:autoSpaceDN w:val="0"/>
        <w:adjustRightInd w:val="0"/>
        <w:spacing w:before="100" w:after="100" w:line="240" w:lineRule="auto"/>
        <w:ind w:left="640" w:hanging="640"/>
        <w:rPr>
          <w:rFonts w:ascii="Arial" w:hAnsi="Arial" w:cs="Arial"/>
          <w:noProof/>
          <w:sz w:val="24"/>
          <w:szCs w:val="24"/>
        </w:rPr>
      </w:pPr>
      <w:r w:rsidRPr="002D59BA">
        <w:rPr>
          <w:rFonts w:ascii="Arial" w:hAnsi="Arial" w:cs="Arial"/>
          <w:noProof/>
          <w:sz w:val="24"/>
          <w:szCs w:val="24"/>
        </w:rPr>
        <w:t>[14]</w:t>
      </w:r>
      <w:r w:rsidRPr="002D59BA">
        <w:rPr>
          <w:rFonts w:ascii="Arial" w:hAnsi="Arial" w:cs="Arial"/>
          <w:noProof/>
          <w:sz w:val="24"/>
          <w:szCs w:val="24"/>
        </w:rPr>
        <w:tab/>
        <w:t xml:space="preserve">A. Khan, B. Carducci, Oviya, and Z. Bhutta, “Evidence on Strategies for Integrating Nutrition Interventions with Health and Immunization Systems in Conflict-affected Areas of Low-and Lower-middle-income Settings-A Systematic Review,” </w:t>
      </w:r>
      <w:r w:rsidRPr="002D59BA">
        <w:rPr>
          <w:rFonts w:ascii="Arial" w:hAnsi="Arial" w:cs="Arial"/>
          <w:i/>
          <w:iCs/>
          <w:noProof/>
          <w:sz w:val="24"/>
          <w:szCs w:val="24"/>
        </w:rPr>
        <w:t>Nutr. Rev.</w:t>
      </w:r>
      <w:r w:rsidRPr="002D59BA">
        <w:rPr>
          <w:rFonts w:ascii="Arial" w:hAnsi="Arial" w:cs="Arial"/>
          <w:noProof/>
          <w:sz w:val="24"/>
          <w:szCs w:val="24"/>
        </w:rPr>
        <w:t>, vol. 83, pp. 1–19, Apr. 2025, doi: 10.1093/nutrit/nuaf031.</w:t>
      </w:r>
    </w:p>
    <w:p w14:paraId="7A34A20C" w14:textId="77777777" w:rsidR="002D59BA" w:rsidRPr="002D59BA" w:rsidRDefault="002D59BA" w:rsidP="002D59BA">
      <w:pPr>
        <w:widowControl w:val="0"/>
        <w:autoSpaceDE w:val="0"/>
        <w:autoSpaceDN w:val="0"/>
        <w:adjustRightInd w:val="0"/>
        <w:spacing w:before="100" w:after="100" w:line="240" w:lineRule="auto"/>
        <w:ind w:left="640" w:hanging="640"/>
        <w:rPr>
          <w:rFonts w:ascii="Arial" w:hAnsi="Arial" w:cs="Arial"/>
          <w:noProof/>
          <w:sz w:val="24"/>
          <w:szCs w:val="24"/>
        </w:rPr>
      </w:pPr>
      <w:r w:rsidRPr="002D59BA">
        <w:rPr>
          <w:rFonts w:ascii="Arial" w:hAnsi="Arial" w:cs="Arial"/>
          <w:noProof/>
          <w:sz w:val="24"/>
          <w:szCs w:val="24"/>
        </w:rPr>
        <w:t>[15]</w:t>
      </w:r>
      <w:r w:rsidRPr="002D59BA">
        <w:rPr>
          <w:rFonts w:ascii="Arial" w:hAnsi="Arial" w:cs="Arial"/>
          <w:noProof/>
          <w:sz w:val="24"/>
          <w:szCs w:val="24"/>
        </w:rPr>
        <w:tab/>
      </w:r>
      <w:r w:rsidRPr="002D59BA">
        <w:rPr>
          <w:rFonts w:ascii="Arial" w:hAnsi="Arial" w:cs="Arial"/>
          <w:noProof/>
          <w:sz w:val="24"/>
          <w:szCs w:val="24"/>
          <w:highlight w:val="yellow"/>
        </w:rPr>
        <w:t xml:space="preserve">J. A. Elegbeleye </w:t>
      </w:r>
      <w:r w:rsidRPr="002D59BA">
        <w:rPr>
          <w:rFonts w:ascii="Arial" w:hAnsi="Arial" w:cs="Arial"/>
          <w:i/>
          <w:iCs/>
          <w:noProof/>
          <w:sz w:val="24"/>
          <w:szCs w:val="24"/>
          <w:highlight w:val="yellow"/>
        </w:rPr>
        <w:t>et al.</w:t>
      </w:r>
      <w:r w:rsidRPr="002D59BA">
        <w:rPr>
          <w:rFonts w:ascii="Arial" w:hAnsi="Arial" w:cs="Arial"/>
          <w:noProof/>
          <w:sz w:val="24"/>
          <w:szCs w:val="24"/>
          <w:highlight w:val="yellow"/>
        </w:rPr>
        <w:t>, “Beyond Calories : Addressing Micronutrient Deficiencies in the World ’ s Most Vulnerable Communities — A Review,” pp. 1–25, 2025.</w:t>
      </w:r>
    </w:p>
    <w:p w14:paraId="5039A5BD" w14:textId="77777777" w:rsidR="002D59BA" w:rsidRPr="002D59BA" w:rsidRDefault="002D59BA" w:rsidP="002D59BA">
      <w:pPr>
        <w:widowControl w:val="0"/>
        <w:autoSpaceDE w:val="0"/>
        <w:autoSpaceDN w:val="0"/>
        <w:adjustRightInd w:val="0"/>
        <w:spacing w:before="100" w:after="100" w:line="240" w:lineRule="auto"/>
        <w:ind w:left="640" w:hanging="640"/>
        <w:rPr>
          <w:rFonts w:ascii="Arial" w:hAnsi="Arial" w:cs="Arial"/>
          <w:noProof/>
          <w:sz w:val="24"/>
          <w:szCs w:val="24"/>
        </w:rPr>
      </w:pPr>
      <w:r w:rsidRPr="002D59BA">
        <w:rPr>
          <w:rFonts w:ascii="Arial" w:hAnsi="Arial" w:cs="Arial"/>
          <w:noProof/>
          <w:sz w:val="24"/>
          <w:szCs w:val="24"/>
        </w:rPr>
        <w:t>[16]</w:t>
      </w:r>
      <w:r w:rsidRPr="002D59BA">
        <w:rPr>
          <w:rFonts w:ascii="Arial" w:hAnsi="Arial" w:cs="Arial"/>
          <w:noProof/>
          <w:sz w:val="24"/>
          <w:szCs w:val="24"/>
        </w:rPr>
        <w:tab/>
      </w:r>
      <w:r w:rsidRPr="002D59BA">
        <w:rPr>
          <w:rFonts w:ascii="Arial" w:hAnsi="Arial" w:cs="Arial"/>
          <w:noProof/>
          <w:sz w:val="24"/>
          <w:szCs w:val="24"/>
          <w:highlight w:val="yellow"/>
        </w:rPr>
        <w:t>R. Wang, F. Zahid, S. Akram, and S. A. Jan, “What keeps children small , thin , and weak ?: exploring the early childhood impacts of socioeconomic disadvantages in Pakistan,” pp. 1–13, 2025.</w:t>
      </w:r>
    </w:p>
    <w:p w14:paraId="4E981568" w14:textId="77777777" w:rsidR="002D59BA" w:rsidRPr="002D59BA" w:rsidRDefault="002D59BA" w:rsidP="002D59BA">
      <w:pPr>
        <w:widowControl w:val="0"/>
        <w:autoSpaceDE w:val="0"/>
        <w:autoSpaceDN w:val="0"/>
        <w:adjustRightInd w:val="0"/>
        <w:spacing w:before="100" w:after="100" w:line="240" w:lineRule="auto"/>
        <w:ind w:left="640" w:hanging="640"/>
        <w:rPr>
          <w:rFonts w:ascii="Arial" w:hAnsi="Arial" w:cs="Arial"/>
          <w:noProof/>
          <w:sz w:val="24"/>
          <w:szCs w:val="24"/>
        </w:rPr>
      </w:pPr>
      <w:r w:rsidRPr="002D59BA">
        <w:rPr>
          <w:rFonts w:ascii="Arial" w:hAnsi="Arial" w:cs="Arial"/>
          <w:noProof/>
          <w:sz w:val="24"/>
          <w:szCs w:val="24"/>
        </w:rPr>
        <w:t>[17]</w:t>
      </w:r>
      <w:r w:rsidRPr="002D59BA">
        <w:rPr>
          <w:rFonts w:ascii="Arial" w:hAnsi="Arial" w:cs="Arial"/>
          <w:noProof/>
          <w:sz w:val="24"/>
          <w:szCs w:val="24"/>
        </w:rPr>
        <w:tab/>
        <w:t>U. Republic, “Survey 2018 Summary of Key Findings Nutrition,” no. June 2019, pp. 1–8, 2018.</w:t>
      </w:r>
    </w:p>
    <w:p w14:paraId="3B7A1724" w14:textId="77777777" w:rsidR="002D59BA" w:rsidRPr="002D59BA" w:rsidRDefault="002D59BA" w:rsidP="002D59BA">
      <w:pPr>
        <w:widowControl w:val="0"/>
        <w:autoSpaceDE w:val="0"/>
        <w:autoSpaceDN w:val="0"/>
        <w:adjustRightInd w:val="0"/>
        <w:spacing w:before="100" w:after="100" w:line="240" w:lineRule="auto"/>
        <w:ind w:left="640" w:hanging="640"/>
        <w:rPr>
          <w:rFonts w:ascii="Arial" w:hAnsi="Arial" w:cs="Arial"/>
          <w:noProof/>
          <w:sz w:val="24"/>
          <w:szCs w:val="24"/>
        </w:rPr>
      </w:pPr>
      <w:r w:rsidRPr="002D59BA">
        <w:rPr>
          <w:rFonts w:ascii="Arial" w:hAnsi="Arial" w:cs="Arial"/>
          <w:noProof/>
          <w:sz w:val="24"/>
          <w:szCs w:val="24"/>
        </w:rPr>
        <w:t>[18]</w:t>
      </w:r>
      <w:r w:rsidRPr="002D59BA">
        <w:rPr>
          <w:rFonts w:ascii="Arial" w:hAnsi="Arial" w:cs="Arial"/>
          <w:noProof/>
          <w:sz w:val="24"/>
          <w:szCs w:val="24"/>
        </w:rPr>
        <w:tab/>
        <w:t>D. S. Niraula, H. Patil, and N. Rijal, “Malnutrition of Nursery schools ’ Children of Elite Secondary School of Birendranagar Malnutrition of Nursery schools ’ Children of Elite Secondary School of Birendranagar Municipality , Nepal,” no. 2, pp. 1–6, 2023.</w:t>
      </w:r>
    </w:p>
    <w:p w14:paraId="55D68A2E" w14:textId="77777777" w:rsidR="002D59BA" w:rsidRPr="002D59BA" w:rsidRDefault="002D59BA" w:rsidP="002D59BA">
      <w:pPr>
        <w:widowControl w:val="0"/>
        <w:autoSpaceDE w:val="0"/>
        <w:autoSpaceDN w:val="0"/>
        <w:adjustRightInd w:val="0"/>
        <w:spacing w:before="100" w:after="100" w:line="240" w:lineRule="auto"/>
        <w:ind w:left="640" w:hanging="640"/>
        <w:rPr>
          <w:rFonts w:ascii="Arial" w:hAnsi="Arial" w:cs="Arial"/>
          <w:noProof/>
          <w:sz w:val="24"/>
          <w:szCs w:val="24"/>
        </w:rPr>
      </w:pPr>
      <w:r w:rsidRPr="002D59BA">
        <w:rPr>
          <w:rFonts w:ascii="Arial" w:hAnsi="Arial" w:cs="Arial"/>
          <w:noProof/>
          <w:sz w:val="24"/>
          <w:szCs w:val="24"/>
        </w:rPr>
        <w:t>[19]</w:t>
      </w:r>
      <w:r w:rsidRPr="002D59BA">
        <w:rPr>
          <w:rFonts w:ascii="Arial" w:hAnsi="Arial" w:cs="Arial"/>
          <w:noProof/>
          <w:sz w:val="24"/>
          <w:szCs w:val="24"/>
        </w:rPr>
        <w:tab/>
        <w:t xml:space="preserve">A. M. Muyide and R. A. Sanusi, “Knowledge and Practice of Mothers on Child Feeding Practices and Child Survival Strategies in Ibadan,” </w:t>
      </w:r>
      <w:r w:rsidRPr="002D59BA">
        <w:rPr>
          <w:rFonts w:ascii="Arial" w:hAnsi="Arial" w:cs="Arial"/>
          <w:i/>
          <w:iCs/>
          <w:noProof/>
          <w:sz w:val="24"/>
          <w:szCs w:val="24"/>
        </w:rPr>
        <w:t>Int. J. Heal. Sci. Res.</w:t>
      </w:r>
      <w:r w:rsidRPr="002D59BA">
        <w:rPr>
          <w:rFonts w:ascii="Arial" w:hAnsi="Arial" w:cs="Arial"/>
          <w:noProof/>
          <w:sz w:val="24"/>
          <w:szCs w:val="24"/>
        </w:rPr>
        <w:t xml:space="preserve">, </w:t>
      </w:r>
      <w:r w:rsidRPr="002D59BA">
        <w:rPr>
          <w:rFonts w:ascii="Arial" w:hAnsi="Arial" w:cs="Arial"/>
          <w:noProof/>
          <w:sz w:val="24"/>
          <w:szCs w:val="24"/>
        </w:rPr>
        <w:lastRenderedPageBreak/>
        <w:t>vol. 14, no. 9, pp. 293–304, 2024, doi: 10.52403/ijhsr.20240939.</w:t>
      </w:r>
    </w:p>
    <w:p w14:paraId="227FF934" w14:textId="77777777" w:rsidR="002D59BA" w:rsidRPr="002D59BA" w:rsidRDefault="002D59BA" w:rsidP="002D59BA">
      <w:pPr>
        <w:widowControl w:val="0"/>
        <w:autoSpaceDE w:val="0"/>
        <w:autoSpaceDN w:val="0"/>
        <w:adjustRightInd w:val="0"/>
        <w:spacing w:before="100" w:after="100" w:line="240" w:lineRule="auto"/>
        <w:ind w:left="640" w:hanging="640"/>
        <w:rPr>
          <w:rFonts w:ascii="Arial" w:hAnsi="Arial" w:cs="Arial"/>
          <w:noProof/>
          <w:sz w:val="24"/>
          <w:szCs w:val="24"/>
        </w:rPr>
      </w:pPr>
      <w:r w:rsidRPr="002D59BA">
        <w:rPr>
          <w:rFonts w:ascii="Arial" w:hAnsi="Arial" w:cs="Arial"/>
          <w:noProof/>
          <w:sz w:val="24"/>
          <w:szCs w:val="24"/>
        </w:rPr>
        <w:t>[20]</w:t>
      </w:r>
      <w:r w:rsidRPr="002D59BA">
        <w:rPr>
          <w:rFonts w:ascii="Arial" w:hAnsi="Arial" w:cs="Arial"/>
          <w:noProof/>
          <w:sz w:val="24"/>
          <w:szCs w:val="24"/>
        </w:rPr>
        <w:tab/>
        <w:t xml:space="preserve">C. J. Okafor </w:t>
      </w:r>
      <w:r w:rsidRPr="002D59BA">
        <w:rPr>
          <w:rFonts w:ascii="Arial" w:hAnsi="Arial" w:cs="Arial"/>
          <w:i/>
          <w:iCs/>
          <w:noProof/>
          <w:sz w:val="24"/>
          <w:szCs w:val="24"/>
        </w:rPr>
        <w:t>et al.</w:t>
      </w:r>
      <w:r w:rsidRPr="002D59BA">
        <w:rPr>
          <w:rFonts w:ascii="Arial" w:hAnsi="Arial" w:cs="Arial"/>
          <w:noProof/>
          <w:sz w:val="24"/>
          <w:szCs w:val="24"/>
        </w:rPr>
        <w:t>, “Knowledge and Feeding Practices as Correlates of Caregiver-reported Childhood Malnutrition : A Cross- sectional Study in Zanzibar,” vol. 16, no. 2, pp. 1–12, 2026.</w:t>
      </w:r>
    </w:p>
    <w:p w14:paraId="22880859" w14:textId="77777777" w:rsidR="002D59BA" w:rsidRPr="002D59BA" w:rsidRDefault="002D59BA" w:rsidP="002D59BA">
      <w:pPr>
        <w:widowControl w:val="0"/>
        <w:autoSpaceDE w:val="0"/>
        <w:autoSpaceDN w:val="0"/>
        <w:adjustRightInd w:val="0"/>
        <w:spacing w:before="100" w:after="100" w:line="240" w:lineRule="auto"/>
        <w:ind w:left="640" w:hanging="640"/>
        <w:rPr>
          <w:rFonts w:ascii="Arial" w:hAnsi="Arial" w:cs="Arial"/>
          <w:noProof/>
          <w:sz w:val="24"/>
          <w:szCs w:val="24"/>
        </w:rPr>
      </w:pPr>
      <w:r w:rsidRPr="002D59BA">
        <w:rPr>
          <w:rFonts w:ascii="Arial" w:hAnsi="Arial" w:cs="Arial"/>
          <w:noProof/>
          <w:sz w:val="24"/>
          <w:szCs w:val="24"/>
        </w:rPr>
        <w:t>[21]</w:t>
      </w:r>
      <w:r w:rsidRPr="002D59BA">
        <w:rPr>
          <w:rFonts w:ascii="Arial" w:hAnsi="Arial" w:cs="Arial"/>
          <w:noProof/>
          <w:sz w:val="24"/>
          <w:szCs w:val="24"/>
        </w:rPr>
        <w:tab/>
        <w:t xml:space="preserve">E. G. Minja </w:t>
      </w:r>
      <w:r w:rsidRPr="002D59BA">
        <w:rPr>
          <w:rFonts w:ascii="Arial" w:hAnsi="Arial" w:cs="Arial"/>
          <w:i/>
          <w:iCs/>
          <w:noProof/>
          <w:sz w:val="24"/>
          <w:szCs w:val="24"/>
        </w:rPr>
        <w:t>et al.</w:t>
      </w:r>
      <w:r w:rsidRPr="002D59BA">
        <w:rPr>
          <w:rFonts w:ascii="Arial" w:hAnsi="Arial" w:cs="Arial"/>
          <w:noProof/>
          <w:sz w:val="24"/>
          <w:szCs w:val="24"/>
        </w:rPr>
        <w:t xml:space="preserve">, “Prevalence and Determinants of Undernutrition in Schoolchildren in the Kilombero District, South-Eastern Tanzania,” </w:t>
      </w:r>
      <w:r w:rsidRPr="002D59BA">
        <w:rPr>
          <w:rFonts w:ascii="Arial" w:hAnsi="Arial" w:cs="Arial"/>
          <w:i/>
          <w:iCs/>
          <w:noProof/>
          <w:sz w:val="24"/>
          <w:szCs w:val="24"/>
        </w:rPr>
        <w:t>Trop. Med. Infect. Dis.</w:t>
      </w:r>
      <w:r w:rsidRPr="002D59BA">
        <w:rPr>
          <w:rFonts w:ascii="Arial" w:hAnsi="Arial" w:cs="Arial"/>
          <w:noProof/>
          <w:sz w:val="24"/>
          <w:szCs w:val="24"/>
        </w:rPr>
        <w:t>, vol. 9, no. 5, pp. 1–15, 2024, doi: 10.3390/tropicalmed9050096.</w:t>
      </w:r>
    </w:p>
    <w:p w14:paraId="57B50A9C" w14:textId="77777777" w:rsidR="002D59BA" w:rsidRPr="002D59BA" w:rsidRDefault="002D59BA" w:rsidP="002D59BA">
      <w:pPr>
        <w:widowControl w:val="0"/>
        <w:autoSpaceDE w:val="0"/>
        <w:autoSpaceDN w:val="0"/>
        <w:adjustRightInd w:val="0"/>
        <w:spacing w:before="100" w:after="100" w:line="240" w:lineRule="auto"/>
        <w:ind w:left="640" w:hanging="640"/>
        <w:rPr>
          <w:rFonts w:ascii="Arial" w:hAnsi="Arial" w:cs="Arial"/>
          <w:noProof/>
          <w:sz w:val="24"/>
          <w:szCs w:val="24"/>
        </w:rPr>
      </w:pPr>
      <w:r w:rsidRPr="002D59BA">
        <w:rPr>
          <w:rFonts w:ascii="Arial" w:hAnsi="Arial" w:cs="Arial"/>
          <w:noProof/>
          <w:sz w:val="24"/>
          <w:szCs w:val="24"/>
        </w:rPr>
        <w:t>[22]</w:t>
      </w:r>
      <w:r w:rsidRPr="002D59BA">
        <w:rPr>
          <w:rFonts w:ascii="Arial" w:hAnsi="Arial" w:cs="Arial"/>
          <w:noProof/>
          <w:sz w:val="24"/>
          <w:szCs w:val="24"/>
        </w:rPr>
        <w:tab/>
        <w:t xml:space="preserve">A. Mengesha, S. Hailu, M. Birhane, and M. M. Belay, “The prevalence of stunting and associated factors among children under five years of age in southern ethiopia: Community based cross-sectional study,” </w:t>
      </w:r>
      <w:r w:rsidRPr="002D59BA">
        <w:rPr>
          <w:rFonts w:ascii="Arial" w:hAnsi="Arial" w:cs="Arial"/>
          <w:i/>
          <w:iCs/>
          <w:noProof/>
          <w:sz w:val="24"/>
          <w:szCs w:val="24"/>
        </w:rPr>
        <w:t>Ann. Glob. Heal.</w:t>
      </w:r>
      <w:r w:rsidRPr="002D59BA">
        <w:rPr>
          <w:rFonts w:ascii="Arial" w:hAnsi="Arial" w:cs="Arial"/>
          <w:noProof/>
          <w:sz w:val="24"/>
          <w:szCs w:val="24"/>
        </w:rPr>
        <w:t>, vol. 87, no. 1, pp. 1–14, 2021, doi: 10.5334/aogh.3432.</w:t>
      </w:r>
    </w:p>
    <w:p w14:paraId="5764D910" w14:textId="77777777" w:rsidR="002D59BA" w:rsidRPr="002D59BA" w:rsidRDefault="002D59BA" w:rsidP="002D59BA">
      <w:pPr>
        <w:widowControl w:val="0"/>
        <w:autoSpaceDE w:val="0"/>
        <w:autoSpaceDN w:val="0"/>
        <w:adjustRightInd w:val="0"/>
        <w:spacing w:before="100" w:after="100" w:line="240" w:lineRule="auto"/>
        <w:ind w:left="640" w:hanging="640"/>
        <w:rPr>
          <w:rFonts w:ascii="Arial" w:hAnsi="Arial" w:cs="Arial"/>
          <w:noProof/>
          <w:sz w:val="24"/>
          <w:szCs w:val="24"/>
        </w:rPr>
      </w:pPr>
      <w:r w:rsidRPr="002D59BA">
        <w:rPr>
          <w:rFonts w:ascii="Arial" w:hAnsi="Arial" w:cs="Arial"/>
          <w:noProof/>
          <w:sz w:val="24"/>
          <w:szCs w:val="24"/>
        </w:rPr>
        <w:t>[23]</w:t>
      </w:r>
      <w:r w:rsidRPr="002D59BA">
        <w:rPr>
          <w:rFonts w:ascii="Arial" w:hAnsi="Arial" w:cs="Arial"/>
          <w:noProof/>
          <w:sz w:val="24"/>
          <w:szCs w:val="24"/>
        </w:rPr>
        <w:tab/>
        <w:t>United Nations, “The Sustainable Development Goals Extended Report 2023- Goal 2: Zero Hunger,” no. April, pp. 1–10, 2024.</w:t>
      </w:r>
    </w:p>
    <w:p w14:paraId="52E82536" w14:textId="77777777" w:rsidR="002D59BA" w:rsidRPr="002D59BA" w:rsidRDefault="002D59BA" w:rsidP="002D59BA">
      <w:pPr>
        <w:widowControl w:val="0"/>
        <w:autoSpaceDE w:val="0"/>
        <w:autoSpaceDN w:val="0"/>
        <w:adjustRightInd w:val="0"/>
        <w:spacing w:before="100" w:after="100" w:line="240" w:lineRule="auto"/>
        <w:ind w:left="640" w:hanging="640"/>
        <w:rPr>
          <w:rFonts w:ascii="Arial" w:hAnsi="Arial" w:cs="Arial"/>
          <w:noProof/>
          <w:sz w:val="24"/>
          <w:szCs w:val="24"/>
        </w:rPr>
      </w:pPr>
      <w:r w:rsidRPr="002D59BA">
        <w:rPr>
          <w:rFonts w:ascii="Arial" w:hAnsi="Arial" w:cs="Arial"/>
          <w:noProof/>
          <w:sz w:val="24"/>
          <w:szCs w:val="24"/>
        </w:rPr>
        <w:t>[24]</w:t>
      </w:r>
      <w:r w:rsidRPr="002D59BA">
        <w:rPr>
          <w:rFonts w:ascii="Arial" w:hAnsi="Arial" w:cs="Arial"/>
          <w:noProof/>
          <w:sz w:val="24"/>
          <w:szCs w:val="24"/>
        </w:rPr>
        <w:tab/>
        <w:t xml:space="preserve">G. A. Dassie, T. Chala Fantaye, T. G. Charkos, M. Sento Erba, and F. Balcha Tolosa, “Factors influencing concurrent wasting, stunting, and underweight among children under five who suffered from severe acute malnutrition in low- and middle-income countries: a systematic review,” </w:t>
      </w:r>
      <w:r w:rsidRPr="002D59BA">
        <w:rPr>
          <w:rFonts w:ascii="Arial" w:hAnsi="Arial" w:cs="Arial"/>
          <w:i/>
          <w:iCs/>
          <w:noProof/>
          <w:sz w:val="24"/>
          <w:szCs w:val="24"/>
        </w:rPr>
        <w:t>Front. Nutr.</w:t>
      </w:r>
      <w:r w:rsidRPr="002D59BA">
        <w:rPr>
          <w:rFonts w:ascii="Arial" w:hAnsi="Arial" w:cs="Arial"/>
          <w:noProof/>
          <w:sz w:val="24"/>
          <w:szCs w:val="24"/>
        </w:rPr>
        <w:t>, vol. 11, no. December, pp. 1–11, 2024, doi: 10.3389/fnut.2024.1452963.</w:t>
      </w:r>
    </w:p>
    <w:p w14:paraId="2EE85FC3" w14:textId="77777777" w:rsidR="002D59BA" w:rsidRPr="002D59BA" w:rsidRDefault="002D59BA" w:rsidP="002D59BA">
      <w:pPr>
        <w:widowControl w:val="0"/>
        <w:autoSpaceDE w:val="0"/>
        <w:autoSpaceDN w:val="0"/>
        <w:adjustRightInd w:val="0"/>
        <w:spacing w:before="100" w:after="100" w:line="240" w:lineRule="auto"/>
        <w:ind w:left="640" w:hanging="640"/>
        <w:rPr>
          <w:rFonts w:ascii="Arial" w:hAnsi="Arial" w:cs="Arial"/>
          <w:noProof/>
          <w:sz w:val="24"/>
          <w:szCs w:val="24"/>
        </w:rPr>
      </w:pPr>
      <w:r w:rsidRPr="002D59BA">
        <w:rPr>
          <w:rFonts w:ascii="Arial" w:hAnsi="Arial" w:cs="Arial"/>
          <w:noProof/>
          <w:sz w:val="24"/>
          <w:szCs w:val="24"/>
        </w:rPr>
        <w:t>[25]</w:t>
      </w:r>
      <w:r w:rsidRPr="002D59BA">
        <w:rPr>
          <w:rFonts w:ascii="Arial" w:hAnsi="Arial" w:cs="Arial"/>
          <w:noProof/>
          <w:sz w:val="24"/>
          <w:szCs w:val="24"/>
        </w:rPr>
        <w:tab/>
        <w:t xml:space="preserve">L. Tan, M. Shahid, J. Song, H. Muhammad Naveed, and I. Khan, “Wealth and regional disparities in child undernutrition: insights from national  demographic and health survey.,” </w:t>
      </w:r>
      <w:r w:rsidRPr="002D59BA">
        <w:rPr>
          <w:rFonts w:ascii="Arial" w:hAnsi="Arial" w:cs="Arial"/>
          <w:i/>
          <w:iCs/>
          <w:noProof/>
          <w:sz w:val="24"/>
          <w:szCs w:val="24"/>
        </w:rPr>
        <w:t>Front. public Heal.</w:t>
      </w:r>
      <w:r w:rsidRPr="002D59BA">
        <w:rPr>
          <w:rFonts w:ascii="Arial" w:hAnsi="Arial" w:cs="Arial"/>
          <w:noProof/>
          <w:sz w:val="24"/>
          <w:szCs w:val="24"/>
        </w:rPr>
        <w:t>, vol. 13, p. 1654403, 2025, doi: 10.3389/fpubh.2025.1654403.</w:t>
      </w:r>
    </w:p>
    <w:p w14:paraId="23AE78D5" w14:textId="77777777" w:rsidR="002D59BA" w:rsidRPr="002D59BA" w:rsidRDefault="002D59BA" w:rsidP="002D59BA">
      <w:pPr>
        <w:widowControl w:val="0"/>
        <w:autoSpaceDE w:val="0"/>
        <w:autoSpaceDN w:val="0"/>
        <w:adjustRightInd w:val="0"/>
        <w:spacing w:before="100" w:after="100" w:line="240" w:lineRule="auto"/>
        <w:ind w:left="640" w:hanging="640"/>
        <w:rPr>
          <w:rFonts w:ascii="Arial" w:hAnsi="Arial" w:cs="Arial"/>
          <w:noProof/>
          <w:sz w:val="24"/>
          <w:szCs w:val="24"/>
        </w:rPr>
      </w:pPr>
      <w:r w:rsidRPr="002D59BA">
        <w:rPr>
          <w:rFonts w:ascii="Arial" w:hAnsi="Arial" w:cs="Arial"/>
          <w:noProof/>
          <w:sz w:val="24"/>
          <w:szCs w:val="24"/>
        </w:rPr>
        <w:t>[26]</w:t>
      </w:r>
      <w:r w:rsidRPr="002D59BA">
        <w:rPr>
          <w:rFonts w:ascii="Arial" w:hAnsi="Arial" w:cs="Arial"/>
          <w:noProof/>
          <w:sz w:val="24"/>
          <w:szCs w:val="24"/>
        </w:rPr>
        <w:tab/>
        <w:t xml:space="preserve">M. Mukeshimana, T. Ntakirutimana, M. L. Ishimwe Bazakare, and G. Krantz, “Factors contributing to the persistence of undernutrition among children under 5 years of age in Rwanda: a community participatory qualitative study,” </w:t>
      </w:r>
      <w:r w:rsidRPr="002D59BA">
        <w:rPr>
          <w:rFonts w:ascii="Arial" w:hAnsi="Arial" w:cs="Arial"/>
          <w:i/>
          <w:iCs/>
          <w:noProof/>
          <w:sz w:val="24"/>
          <w:szCs w:val="24"/>
        </w:rPr>
        <w:t>Glob. Health Action</w:t>
      </w:r>
      <w:r w:rsidRPr="002D59BA">
        <w:rPr>
          <w:rFonts w:ascii="Arial" w:hAnsi="Arial" w:cs="Arial"/>
          <w:noProof/>
          <w:sz w:val="24"/>
          <w:szCs w:val="24"/>
        </w:rPr>
        <w:t>, vol. 18, no. 1, 2025, doi: 10.1080/16549716.2025.2581454.</w:t>
      </w:r>
    </w:p>
    <w:p w14:paraId="775E57AC" w14:textId="77777777" w:rsidR="002D59BA" w:rsidRPr="002D59BA" w:rsidRDefault="002D59BA" w:rsidP="002D59BA">
      <w:pPr>
        <w:widowControl w:val="0"/>
        <w:autoSpaceDE w:val="0"/>
        <w:autoSpaceDN w:val="0"/>
        <w:adjustRightInd w:val="0"/>
        <w:spacing w:before="100" w:after="100" w:line="240" w:lineRule="auto"/>
        <w:ind w:left="640" w:hanging="640"/>
        <w:rPr>
          <w:rFonts w:ascii="Arial" w:hAnsi="Arial" w:cs="Arial"/>
          <w:noProof/>
          <w:sz w:val="24"/>
          <w:szCs w:val="24"/>
        </w:rPr>
      </w:pPr>
      <w:r w:rsidRPr="002D59BA">
        <w:rPr>
          <w:rFonts w:ascii="Arial" w:hAnsi="Arial" w:cs="Arial"/>
          <w:noProof/>
          <w:sz w:val="24"/>
          <w:szCs w:val="24"/>
        </w:rPr>
        <w:t>[27]</w:t>
      </w:r>
      <w:r w:rsidRPr="002D59BA">
        <w:rPr>
          <w:rFonts w:ascii="Arial" w:hAnsi="Arial" w:cs="Arial"/>
          <w:noProof/>
          <w:sz w:val="24"/>
          <w:szCs w:val="24"/>
        </w:rPr>
        <w:tab/>
        <w:t xml:space="preserve">R. Masuke </w:t>
      </w:r>
      <w:r w:rsidRPr="002D59BA">
        <w:rPr>
          <w:rFonts w:ascii="Arial" w:hAnsi="Arial" w:cs="Arial"/>
          <w:i/>
          <w:iCs/>
          <w:noProof/>
          <w:sz w:val="24"/>
          <w:szCs w:val="24"/>
        </w:rPr>
        <w:t>et al.</w:t>
      </w:r>
      <w:r w:rsidRPr="002D59BA">
        <w:rPr>
          <w:rFonts w:ascii="Arial" w:hAnsi="Arial" w:cs="Arial"/>
          <w:noProof/>
          <w:sz w:val="24"/>
          <w:szCs w:val="24"/>
        </w:rPr>
        <w:t xml:space="preserve">, “Effect of inappropriate complementary feeding practices on the nutritional status of children aged 6-24 months in urban Moshi, Northern Tanzania: Cohort study,” </w:t>
      </w:r>
      <w:r w:rsidRPr="002D59BA">
        <w:rPr>
          <w:rFonts w:ascii="Arial" w:hAnsi="Arial" w:cs="Arial"/>
          <w:i/>
          <w:iCs/>
          <w:noProof/>
          <w:sz w:val="24"/>
          <w:szCs w:val="24"/>
        </w:rPr>
        <w:t>PLoS One</w:t>
      </w:r>
      <w:r w:rsidRPr="002D59BA">
        <w:rPr>
          <w:rFonts w:ascii="Arial" w:hAnsi="Arial" w:cs="Arial"/>
          <w:noProof/>
          <w:sz w:val="24"/>
          <w:szCs w:val="24"/>
        </w:rPr>
        <w:t>, vol. 16, no. 5 May, pp. 1–16, 2021, doi: 10.1371/journal.pone.0250562.</w:t>
      </w:r>
    </w:p>
    <w:p w14:paraId="79564895" w14:textId="77777777" w:rsidR="002D59BA" w:rsidRPr="002D59BA" w:rsidRDefault="002D59BA" w:rsidP="002D59BA">
      <w:pPr>
        <w:widowControl w:val="0"/>
        <w:autoSpaceDE w:val="0"/>
        <w:autoSpaceDN w:val="0"/>
        <w:adjustRightInd w:val="0"/>
        <w:spacing w:before="100" w:after="100" w:line="240" w:lineRule="auto"/>
        <w:ind w:left="640" w:hanging="640"/>
        <w:rPr>
          <w:rFonts w:ascii="Arial" w:hAnsi="Arial" w:cs="Arial"/>
          <w:noProof/>
          <w:sz w:val="24"/>
          <w:szCs w:val="24"/>
        </w:rPr>
      </w:pPr>
      <w:r w:rsidRPr="002D59BA">
        <w:rPr>
          <w:rFonts w:ascii="Arial" w:hAnsi="Arial" w:cs="Arial"/>
          <w:noProof/>
          <w:sz w:val="24"/>
          <w:szCs w:val="24"/>
        </w:rPr>
        <w:t>[28]</w:t>
      </w:r>
      <w:r w:rsidRPr="002D59BA">
        <w:rPr>
          <w:rFonts w:ascii="Arial" w:hAnsi="Arial" w:cs="Arial"/>
          <w:noProof/>
          <w:sz w:val="24"/>
          <w:szCs w:val="24"/>
        </w:rPr>
        <w:tab/>
        <w:t xml:space="preserve">H. S. Twabi, S. O. M. Manda, and D. S. Small, “Evaluating the Effect of Appropriate Complementary Feeding Practices on Child Growth in Malawi Using Cross-Sectional Data: An Application of Propensity Score Matching,” </w:t>
      </w:r>
      <w:r w:rsidRPr="002D59BA">
        <w:rPr>
          <w:rFonts w:ascii="Arial" w:hAnsi="Arial" w:cs="Arial"/>
          <w:i/>
          <w:iCs/>
          <w:noProof/>
          <w:sz w:val="24"/>
          <w:szCs w:val="24"/>
        </w:rPr>
        <w:t>Front. Nutr.</w:t>
      </w:r>
      <w:r w:rsidRPr="002D59BA">
        <w:rPr>
          <w:rFonts w:ascii="Arial" w:hAnsi="Arial" w:cs="Arial"/>
          <w:noProof/>
          <w:sz w:val="24"/>
          <w:szCs w:val="24"/>
        </w:rPr>
        <w:t>, vol. 8, no. November, 2021, doi: 10.3389/fnut.2021.714232.</w:t>
      </w:r>
    </w:p>
    <w:p w14:paraId="7E2B79EE" w14:textId="77777777" w:rsidR="002D59BA" w:rsidRPr="002D59BA" w:rsidRDefault="002D59BA" w:rsidP="002D59BA">
      <w:pPr>
        <w:widowControl w:val="0"/>
        <w:autoSpaceDE w:val="0"/>
        <w:autoSpaceDN w:val="0"/>
        <w:adjustRightInd w:val="0"/>
        <w:spacing w:before="100" w:after="100" w:line="240" w:lineRule="auto"/>
        <w:ind w:left="640" w:hanging="640"/>
        <w:rPr>
          <w:rFonts w:ascii="Arial" w:hAnsi="Arial" w:cs="Arial"/>
          <w:noProof/>
          <w:sz w:val="24"/>
          <w:szCs w:val="24"/>
        </w:rPr>
      </w:pPr>
      <w:r w:rsidRPr="002D59BA">
        <w:rPr>
          <w:rFonts w:ascii="Arial" w:hAnsi="Arial" w:cs="Arial"/>
          <w:noProof/>
          <w:sz w:val="24"/>
          <w:szCs w:val="24"/>
        </w:rPr>
        <w:t>[29]</w:t>
      </w:r>
      <w:r w:rsidRPr="002D59BA">
        <w:rPr>
          <w:rFonts w:ascii="Arial" w:hAnsi="Arial" w:cs="Arial"/>
          <w:noProof/>
          <w:sz w:val="24"/>
          <w:szCs w:val="24"/>
        </w:rPr>
        <w:tab/>
        <w:t xml:space="preserve">T. Mafhungo, L. P. Cele, M. Mathibe, and P. Modjadji, “Nutritional Challenges Among Children Under Five in Limpopo Province, South Africa: Complementary Feeding Practices and Dietary Diversity Deficits,” </w:t>
      </w:r>
      <w:r w:rsidRPr="002D59BA">
        <w:rPr>
          <w:rFonts w:ascii="Arial" w:hAnsi="Arial" w:cs="Arial"/>
          <w:i/>
          <w:iCs/>
          <w:noProof/>
          <w:sz w:val="24"/>
          <w:szCs w:val="24"/>
        </w:rPr>
        <w:t xml:space="preserve">Nutr. </w:t>
      </w:r>
      <w:r w:rsidRPr="002D59BA">
        <w:rPr>
          <w:rFonts w:ascii="Arial" w:hAnsi="Arial" w:cs="Arial"/>
          <w:noProof/>
          <w:sz w:val="24"/>
          <w:szCs w:val="24"/>
        </w:rPr>
        <w:t>, vol. 17, no. 11, pp. 1–19, 2025, doi: 10.3390/nu17111919.</w:t>
      </w:r>
    </w:p>
    <w:p w14:paraId="64F19EC3" w14:textId="77777777" w:rsidR="002D59BA" w:rsidRPr="002D59BA" w:rsidRDefault="002D59BA" w:rsidP="002D59BA">
      <w:pPr>
        <w:widowControl w:val="0"/>
        <w:autoSpaceDE w:val="0"/>
        <w:autoSpaceDN w:val="0"/>
        <w:adjustRightInd w:val="0"/>
        <w:spacing w:before="100" w:after="100" w:line="240" w:lineRule="auto"/>
        <w:ind w:left="640" w:hanging="640"/>
        <w:rPr>
          <w:rFonts w:ascii="Arial" w:hAnsi="Arial" w:cs="Arial"/>
          <w:noProof/>
          <w:sz w:val="24"/>
          <w:szCs w:val="24"/>
        </w:rPr>
      </w:pPr>
      <w:r w:rsidRPr="002D59BA">
        <w:rPr>
          <w:rFonts w:ascii="Arial" w:hAnsi="Arial" w:cs="Arial"/>
          <w:noProof/>
          <w:sz w:val="24"/>
          <w:szCs w:val="24"/>
        </w:rPr>
        <w:t>[30]</w:t>
      </w:r>
      <w:r w:rsidRPr="002D59BA">
        <w:rPr>
          <w:rFonts w:ascii="Arial" w:hAnsi="Arial" w:cs="Arial"/>
          <w:noProof/>
          <w:sz w:val="24"/>
          <w:szCs w:val="24"/>
        </w:rPr>
        <w:tab/>
        <w:t xml:space="preserve">P. Y. Tan </w:t>
      </w:r>
      <w:r w:rsidRPr="002D59BA">
        <w:rPr>
          <w:rFonts w:ascii="Arial" w:hAnsi="Arial" w:cs="Arial"/>
          <w:i/>
          <w:iCs/>
          <w:noProof/>
          <w:sz w:val="24"/>
          <w:szCs w:val="24"/>
        </w:rPr>
        <w:t>et al.</w:t>
      </w:r>
      <w:r w:rsidRPr="002D59BA">
        <w:rPr>
          <w:rFonts w:ascii="Arial" w:hAnsi="Arial" w:cs="Arial"/>
          <w:noProof/>
          <w:sz w:val="24"/>
          <w:szCs w:val="24"/>
        </w:rPr>
        <w:t xml:space="preserve">, “The Role of Complementary Feeding Practices in Addressing the Double Burden of Malnutrition among Children Aged 6–23 Months: Insight from the Vietnamese General Nutrition Survey 2020,” </w:t>
      </w:r>
      <w:r w:rsidRPr="002D59BA">
        <w:rPr>
          <w:rFonts w:ascii="Arial" w:hAnsi="Arial" w:cs="Arial"/>
          <w:i/>
          <w:iCs/>
          <w:noProof/>
          <w:sz w:val="24"/>
          <w:szCs w:val="24"/>
        </w:rPr>
        <w:t xml:space="preserve">Nutr. </w:t>
      </w:r>
      <w:r w:rsidRPr="002D59BA">
        <w:rPr>
          <w:rFonts w:ascii="Arial" w:hAnsi="Arial" w:cs="Arial"/>
          <w:noProof/>
          <w:sz w:val="24"/>
          <w:szCs w:val="24"/>
        </w:rPr>
        <w:t>, vol. 16, no. 19, pp. 1–16, 2024, doi: 10.3390/nu16193240.</w:t>
      </w:r>
    </w:p>
    <w:p w14:paraId="2464900F" w14:textId="77777777" w:rsidR="002D59BA" w:rsidRPr="002D59BA" w:rsidRDefault="002D59BA" w:rsidP="002D59BA">
      <w:pPr>
        <w:widowControl w:val="0"/>
        <w:autoSpaceDE w:val="0"/>
        <w:autoSpaceDN w:val="0"/>
        <w:adjustRightInd w:val="0"/>
        <w:spacing w:before="100" w:after="100" w:line="240" w:lineRule="auto"/>
        <w:ind w:left="640" w:hanging="640"/>
        <w:rPr>
          <w:rFonts w:ascii="Arial" w:hAnsi="Arial" w:cs="Arial"/>
          <w:noProof/>
          <w:sz w:val="24"/>
          <w:szCs w:val="24"/>
        </w:rPr>
      </w:pPr>
      <w:r w:rsidRPr="002D59BA">
        <w:rPr>
          <w:rFonts w:ascii="Arial" w:hAnsi="Arial" w:cs="Arial"/>
          <w:noProof/>
          <w:sz w:val="24"/>
          <w:szCs w:val="24"/>
        </w:rPr>
        <w:lastRenderedPageBreak/>
        <w:t>[31]</w:t>
      </w:r>
      <w:r w:rsidRPr="002D59BA">
        <w:rPr>
          <w:rFonts w:ascii="Arial" w:hAnsi="Arial" w:cs="Arial"/>
          <w:noProof/>
          <w:sz w:val="24"/>
          <w:szCs w:val="24"/>
        </w:rPr>
        <w:tab/>
        <w:t>D. Elsaid and F. Zaghamir, “Key Factors and Practices Shaping Lactating Mothers ’ Use of Lactogenic Agents for Infant Health : A Nursing Perspective in Saudi Arabia and Arab Countries Factores y prácticas clave que influyen en el uso de agentes lactogénicos por madres lactantes para,” 2025, doi: 10.56294/saludcyt20252382.</w:t>
      </w:r>
    </w:p>
    <w:p w14:paraId="40F75489" w14:textId="77777777" w:rsidR="002D59BA" w:rsidRPr="002D59BA" w:rsidRDefault="002D59BA" w:rsidP="002D59BA">
      <w:pPr>
        <w:widowControl w:val="0"/>
        <w:autoSpaceDE w:val="0"/>
        <w:autoSpaceDN w:val="0"/>
        <w:adjustRightInd w:val="0"/>
        <w:spacing w:before="100" w:after="100" w:line="240" w:lineRule="auto"/>
        <w:ind w:left="640" w:hanging="640"/>
        <w:rPr>
          <w:rFonts w:ascii="Arial" w:hAnsi="Arial" w:cs="Arial"/>
          <w:noProof/>
          <w:sz w:val="24"/>
          <w:szCs w:val="24"/>
        </w:rPr>
      </w:pPr>
      <w:r w:rsidRPr="002D59BA">
        <w:rPr>
          <w:rFonts w:ascii="Arial" w:hAnsi="Arial" w:cs="Arial"/>
          <w:noProof/>
          <w:sz w:val="24"/>
          <w:szCs w:val="24"/>
        </w:rPr>
        <w:t>[32]</w:t>
      </w:r>
      <w:r w:rsidRPr="002D59BA">
        <w:rPr>
          <w:rFonts w:ascii="Arial" w:hAnsi="Arial" w:cs="Arial"/>
          <w:noProof/>
          <w:sz w:val="24"/>
          <w:szCs w:val="24"/>
        </w:rPr>
        <w:tab/>
        <w:t xml:space="preserve">Riza Yanti, Umi Faridah, and Muhamad Jauhar, “Exclusive Breastfeeding and Nutritional Status of Toddlers in a Community Health Center,” </w:t>
      </w:r>
      <w:r w:rsidRPr="002D59BA">
        <w:rPr>
          <w:rFonts w:ascii="Arial" w:hAnsi="Arial" w:cs="Arial"/>
          <w:i/>
          <w:iCs/>
          <w:noProof/>
          <w:sz w:val="24"/>
          <w:szCs w:val="24"/>
        </w:rPr>
        <w:t>Indones. J. Heal. Res. Dev.</w:t>
      </w:r>
      <w:r w:rsidRPr="002D59BA">
        <w:rPr>
          <w:rFonts w:ascii="Arial" w:hAnsi="Arial" w:cs="Arial"/>
          <w:noProof/>
          <w:sz w:val="24"/>
          <w:szCs w:val="24"/>
        </w:rPr>
        <w:t>, vol. 3, no. 2, pp. 85–93, 2025, doi: 10.58723/ijhrd.v3i2.373.</w:t>
      </w:r>
    </w:p>
    <w:p w14:paraId="6B72D160" w14:textId="77777777" w:rsidR="002D59BA" w:rsidRPr="002D59BA" w:rsidRDefault="002D59BA" w:rsidP="002D59BA">
      <w:pPr>
        <w:widowControl w:val="0"/>
        <w:autoSpaceDE w:val="0"/>
        <w:autoSpaceDN w:val="0"/>
        <w:adjustRightInd w:val="0"/>
        <w:spacing w:before="100" w:after="100" w:line="240" w:lineRule="auto"/>
        <w:ind w:left="640" w:hanging="640"/>
        <w:rPr>
          <w:rFonts w:ascii="Arial" w:hAnsi="Arial" w:cs="Arial"/>
          <w:noProof/>
          <w:sz w:val="24"/>
          <w:szCs w:val="24"/>
        </w:rPr>
      </w:pPr>
      <w:r w:rsidRPr="002D59BA">
        <w:rPr>
          <w:rFonts w:ascii="Arial" w:hAnsi="Arial" w:cs="Arial"/>
          <w:noProof/>
          <w:sz w:val="24"/>
          <w:szCs w:val="24"/>
        </w:rPr>
        <w:t>[33]</w:t>
      </w:r>
      <w:r w:rsidRPr="002D59BA">
        <w:rPr>
          <w:rFonts w:ascii="Arial" w:hAnsi="Arial" w:cs="Arial"/>
          <w:noProof/>
          <w:sz w:val="24"/>
          <w:szCs w:val="24"/>
        </w:rPr>
        <w:tab/>
        <w:t xml:space="preserve">A. Intiyati </w:t>
      </w:r>
      <w:r w:rsidRPr="002D59BA">
        <w:rPr>
          <w:rFonts w:ascii="Arial" w:hAnsi="Arial" w:cs="Arial"/>
          <w:i/>
          <w:iCs/>
          <w:noProof/>
          <w:sz w:val="24"/>
          <w:szCs w:val="24"/>
        </w:rPr>
        <w:t>et al.</w:t>
      </w:r>
      <w:r w:rsidRPr="002D59BA">
        <w:rPr>
          <w:rFonts w:ascii="Arial" w:hAnsi="Arial" w:cs="Arial"/>
          <w:noProof/>
          <w:sz w:val="24"/>
          <w:szCs w:val="24"/>
        </w:rPr>
        <w:t xml:space="preserve">, “Correlation between Exclusive Breastfeeding, Complementary Feeding, Infectious Disease with Wasting among Toddlers: a Cross-Sectional Study,” </w:t>
      </w:r>
      <w:r w:rsidRPr="002D59BA">
        <w:rPr>
          <w:rFonts w:ascii="Arial" w:hAnsi="Arial" w:cs="Arial"/>
          <w:i/>
          <w:iCs/>
          <w:noProof/>
          <w:sz w:val="24"/>
          <w:szCs w:val="24"/>
        </w:rPr>
        <w:t>Amerta Nutr.</w:t>
      </w:r>
      <w:r w:rsidRPr="002D59BA">
        <w:rPr>
          <w:rFonts w:ascii="Arial" w:hAnsi="Arial" w:cs="Arial"/>
          <w:noProof/>
          <w:sz w:val="24"/>
          <w:szCs w:val="24"/>
        </w:rPr>
        <w:t>, vol. 8, no. 2SP, pp. 1–8, 2024, doi: 10.20473/amnt.v8i2SP.2024.1-8.</w:t>
      </w:r>
    </w:p>
    <w:p w14:paraId="2ED74643" w14:textId="77777777" w:rsidR="002D59BA" w:rsidRPr="002D59BA" w:rsidRDefault="002D59BA" w:rsidP="002D59BA">
      <w:pPr>
        <w:widowControl w:val="0"/>
        <w:autoSpaceDE w:val="0"/>
        <w:autoSpaceDN w:val="0"/>
        <w:adjustRightInd w:val="0"/>
        <w:spacing w:before="100" w:after="100" w:line="240" w:lineRule="auto"/>
        <w:ind w:left="640" w:hanging="640"/>
        <w:rPr>
          <w:rFonts w:ascii="Arial" w:hAnsi="Arial" w:cs="Arial"/>
          <w:noProof/>
          <w:sz w:val="24"/>
          <w:szCs w:val="24"/>
        </w:rPr>
      </w:pPr>
      <w:r w:rsidRPr="002D59BA">
        <w:rPr>
          <w:rFonts w:ascii="Arial" w:hAnsi="Arial" w:cs="Arial"/>
          <w:noProof/>
          <w:sz w:val="24"/>
          <w:szCs w:val="24"/>
        </w:rPr>
        <w:t>[34]</w:t>
      </w:r>
      <w:r w:rsidRPr="002D59BA">
        <w:rPr>
          <w:rFonts w:ascii="Arial" w:hAnsi="Arial" w:cs="Arial"/>
          <w:noProof/>
          <w:sz w:val="24"/>
          <w:szCs w:val="24"/>
        </w:rPr>
        <w:tab/>
        <w:t xml:space="preserve">M. T. Araba, E. C. Okoro, I. A. Abubakar, and Y. T. Gbonjubola, “Assessing the impact of exclusive breastfeeding on child development,” </w:t>
      </w:r>
      <w:r w:rsidRPr="002D59BA">
        <w:rPr>
          <w:rFonts w:ascii="Arial" w:hAnsi="Arial" w:cs="Arial"/>
          <w:i/>
          <w:iCs/>
          <w:noProof/>
          <w:sz w:val="24"/>
          <w:szCs w:val="24"/>
        </w:rPr>
        <w:t>Adesh Univ. J. Med. Sci. Res.</w:t>
      </w:r>
      <w:r w:rsidRPr="002D59BA">
        <w:rPr>
          <w:rFonts w:ascii="Arial" w:hAnsi="Arial" w:cs="Arial"/>
          <w:noProof/>
          <w:sz w:val="24"/>
          <w:szCs w:val="24"/>
        </w:rPr>
        <w:t>, vol. 7, no. 1, pp. 16–20, 2025, doi: 10.25259/aujmsr_10_2025.</w:t>
      </w:r>
    </w:p>
    <w:p w14:paraId="13AF51E2" w14:textId="77777777" w:rsidR="002D59BA" w:rsidRPr="002D59BA" w:rsidRDefault="002D59BA" w:rsidP="002D59BA">
      <w:pPr>
        <w:widowControl w:val="0"/>
        <w:autoSpaceDE w:val="0"/>
        <w:autoSpaceDN w:val="0"/>
        <w:adjustRightInd w:val="0"/>
        <w:spacing w:before="100" w:after="100" w:line="240" w:lineRule="auto"/>
        <w:ind w:left="640" w:hanging="640"/>
        <w:rPr>
          <w:rFonts w:ascii="Arial" w:hAnsi="Arial" w:cs="Arial"/>
          <w:noProof/>
          <w:sz w:val="24"/>
          <w:szCs w:val="24"/>
        </w:rPr>
      </w:pPr>
      <w:r w:rsidRPr="002D59BA">
        <w:rPr>
          <w:rFonts w:ascii="Arial" w:hAnsi="Arial" w:cs="Arial"/>
          <w:noProof/>
          <w:sz w:val="24"/>
          <w:szCs w:val="24"/>
        </w:rPr>
        <w:t>[35]</w:t>
      </w:r>
      <w:r w:rsidRPr="002D59BA">
        <w:rPr>
          <w:rFonts w:ascii="Arial" w:hAnsi="Arial" w:cs="Arial"/>
          <w:noProof/>
          <w:sz w:val="24"/>
          <w:szCs w:val="24"/>
        </w:rPr>
        <w:tab/>
        <w:t xml:space="preserve">J. Siew </w:t>
      </w:r>
      <w:r w:rsidRPr="002D59BA">
        <w:rPr>
          <w:rFonts w:ascii="Arial" w:hAnsi="Arial" w:cs="Arial"/>
          <w:i/>
          <w:iCs/>
          <w:noProof/>
          <w:sz w:val="24"/>
          <w:szCs w:val="24"/>
        </w:rPr>
        <w:t>et al.</w:t>
      </w:r>
      <w:r w:rsidRPr="002D59BA">
        <w:rPr>
          <w:rFonts w:ascii="Arial" w:hAnsi="Arial" w:cs="Arial"/>
          <w:noProof/>
          <w:sz w:val="24"/>
          <w:szCs w:val="24"/>
        </w:rPr>
        <w:t>, “Socioeconomic disparities and its association with food security , diet quality , and growth among Malaysian children aged 6 months,” no. December, pp. 1–13, 2025, doi: 10.3389/fpubh.2025.1709696.</w:t>
      </w:r>
    </w:p>
    <w:p w14:paraId="47E500E6" w14:textId="77777777" w:rsidR="002D59BA" w:rsidRPr="002D59BA" w:rsidRDefault="002D59BA" w:rsidP="002D59BA">
      <w:pPr>
        <w:widowControl w:val="0"/>
        <w:autoSpaceDE w:val="0"/>
        <w:autoSpaceDN w:val="0"/>
        <w:adjustRightInd w:val="0"/>
        <w:spacing w:before="100" w:after="100" w:line="240" w:lineRule="auto"/>
        <w:ind w:left="640" w:hanging="640"/>
        <w:rPr>
          <w:rFonts w:ascii="Arial" w:hAnsi="Arial" w:cs="Arial"/>
          <w:noProof/>
          <w:sz w:val="24"/>
          <w:szCs w:val="24"/>
        </w:rPr>
      </w:pPr>
      <w:r w:rsidRPr="002D59BA">
        <w:rPr>
          <w:rFonts w:ascii="Arial" w:hAnsi="Arial" w:cs="Arial"/>
          <w:noProof/>
          <w:sz w:val="24"/>
          <w:szCs w:val="24"/>
        </w:rPr>
        <w:t>[36]</w:t>
      </w:r>
      <w:r w:rsidRPr="002D59BA">
        <w:rPr>
          <w:rFonts w:ascii="Arial" w:hAnsi="Arial" w:cs="Arial"/>
          <w:noProof/>
          <w:sz w:val="24"/>
          <w:szCs w:val="24"/>
        </w:rPr>
        <w:tab/>
        <w:t xml:space="preserve">A. Kirolos </w:t>
      </w:r>
      <w:r w:rsidRPr="002D59BA">
        <w:rPr>
          <w:rFonts w:ascii="Arial" w:hAnsi="Arial" w:cs="Arial"/>
          <w:i/>
          <w:iCs/>
          <w:noProof/>
          <w:sz w:val="24"/>
          <w:szCs w:val="24"/>
        </w:rPr>
        <w:t>et al.</w:t>
      </w:r>
      <w:r w:rsidRPr="002D59BA">
        <w:rPr>
          <w:rFonts w:ascii="Arial" w:hAnsi="Arial" w:cs="Arial"/>
          <w:noProof/>
          <w:sz w:val="24"/>
          <w:szCs w:val="24"/>
        </w:rPr>
        <w:t xml:space="preserve">, “Long-term outcomes after severe childhood malnutrition in adolescents in Malawi (LOSCM): a prospective observational cohort study,” </w:t>
      </w:r>
      <w:r w:rsidRPr="002D59BA">
        <w:rPr>
          <w:rFonts w:ascii="Arial" w:hAnsi="Arial" w:cs="Arial"/>
          <w:i/>
          <w:iCs/>
          <w:noProof/>
          <w:sz w:val="24"/>
          <w:szCs w:val="24"/>
        </w:rPr>
        <w:t>Lancet Child Adolesc. Heal.</w:t>
      </w:r>
      <w:r w:rsidRPr="002D59BA">
        <w:rPr>
          <w:rFonts w:ascii="Arial" w:hAnsi="Arial" w:cs="Arial"/>
          <w:noProof/>
          <w:sz w:val="24"/>
          <w:szCs w:val="24"/>
        </w:rPr>
        <w:t>, vol. 8, no. 4, pp. 280–289, 2024, doi: 10.1016/S2352-4642(23)00339-5.</w:t>
      </w:r>
    </w:p>
    <w:p w14:paraId="3760616E" w14:textId="77777777" w:rsidR="002D59BA" w:rsidRPr="002D59BA" w:rsidRDefault="002D59BA" w:rsidP="002D59BA">
      <w:pPr>
        <w:widowControl w:val="0"/>
        <w:autoSpaceDE w:val="0"/>
        <w:autoSpaceDN w:val="0"/>
        <w:adjustRightInd w:val="0"/>
        <w:spacing w:before="100" w:after="100" w:line="240" w:lineRule="auto"/>
        <w:ind w:left="640" w:hanging="640"/>
        <w:rPr>
          <w:rFonts w:ascii="Arial" w:hAnsi="Arial" w:cs="Arial"/>
          <w:noProof/>
          <w:sz w:val="24"/>
          <w:szCs w:val="24"/>
        </w:rPr>
      </w:pPr>
      <w:r w:rsidRPr="002D59BA">
        <w:rPr>
          <w:rFonts w:ascii="Arial" w:hAnsi="Arial" w:cs="Arial"/>
          <w:noProof/>
          <w:sz w:val="24"/>
          <w:szCs w:val="24"/>
        </w:rPr>
        <w:t>[37]</w:t>
      </w:r>
      <w:r w:rsidRPr="002D59BA">
        <w:rPr>
          <w:rFonts w:ascii="Arial" w:hAnsi="Arial" w:cs="Arial"/>
          <w:noProof/>
          <w:sz w:val="24"/>
          <w:szCs w:val="24"/>
        </w:rPr>
        <w:tab/>
        <w:t xml:space="preserve">C. Koliaki, M. Dalamaga, and S. Liatis, “Update on the Obesity Epidemic: After the Sudden Rise, Is the Upward Trajectory Beginning to Flatten?,” </w:t>
      </w:r>
      <w:r w:rsidRPr="002D59BA">
        <w:rPr>
          <w:rFonts w:ascii="Arial" w:hAnsi="Arial" w:cs="Arial"/>
          <w:i/>
          <w:iCs/>
          <w:noProof/>
          <w:sz w:val="24"/>
          <w:szCs w:val="24"/>
        </w:rPr>
        <w:t>Curr. Obes. Rep.</w:t>
      </w:r>
      <w:r w:rsidRPr="002D59BA">
        <w:rPr>
          <w:rFonts w:ascii="Arial" w:hAnsi="Arial" w:cs="Arial"/>
          <w:noProof/>
          <w:sz w:val="24"/>
          <w:szCs w:val="24"/>
        </w:rPr>
        <w:t>, vol. 12, no. 4, pp. 514–527, 2023, doi: 10.1007/s13679-023-00527-y.</w:t>
      </w:r>
    </w:p>
    <w:p w14:paraId="078685B1" w14:textId="77777777" w:rsidR="002D59BA" w:rsidRPr="002D59BA" w:rsidRDefault="002D59BA" w:rsidP="002D59BA">
      <w:pPr>
        <w:widowControl w:val="0"/>
        <w:autoSpaceDE w:val="0"/>
        <w:autoSpaceDN w:val="0"/>
        <w:adjustRightInd w:val="0"/>
        <w:spacing w:before="100" w:after="100" w:line="240" w:lineRule="auto"/>
        <w:ind w:left="640" w:hanging="640"/>
        <w:rPr>
          <w:rFonts w:ascii="Arial" w:hAnsi="Arial" w:cs="Arial"/>
          <w:noProof/>
          <w:sz w:val="24"/>
          <w:szCs w:val="24"/>
        </w:rPr>
      </w:pPr>
      <w:r w:rsidRPr="002D59BA">
        <w:rPr>
          <w:rFonts w:ascii="Arial" w:hAnsi="Arial" w:cs="Arial"/>
          <w:noProof/>
          <w:sz w:val="24"/>
          <w:szCs w:val="24"/>
        </w:rPr>
        <w:t>[38]</w:t>
      </w:r>
      <w:r w:rsidRPr="002D59BA">
        <w:rPr>
          <w:rFonts w:ascii="Arial" w:hAnsi="Arial" w:cs="Arial"/>
          <w:noProof/>
          <w:sz w:val="24"/>
          <w:szCs w:val="24"/>
        </w:rPr>
        <w:tab/>
        <w:t xml:space="preserve">A. T. Lukwa </w:t>
      </w:r>
      <w:r w:rsidRPr="002D59BA">
        <w:rPr>
          <w:rFonts w:ascii="Arial" w:hAnsi="Arial" w:cs="Arial"/>
          <w:i/>
          <w:iCs/>
          <w:noProof/>
          <w:sz w:val="24"/>
          <w:szCs w:val="24"/>
        </w:rPr>
        <w:t>et al.</w:t>
      </w:r>
      <w:r w:rsidRPr="002D59BA">
        <w:rPr>
          <w:rFonts w:ascii="Arial" w:hAnsi="Arial" w:cs="Arial"/>
          <w:noProof/>
          <w:sz w:val="24"/>
          <w:szCs w:val="24"/>
        </w:rPr>
        <w:t xml:space="preserve">, “Temporal socio-economic inequalities in the double burden of malnutrition (DBM) among under-five Children: An analysis of within- and between-group disparities in 20 sub-Saharan African countries (2004–2024),” </w:t>
      </w:r>
      <w:r w:rsidRPr="002D59BA">
        <w:rPr>
          <w:rFonts w:ascii="Arial" w:hAnsi="Arial" w:cs="Arial"/>
          <w:i/>
          <w:iCs/>
          <w:noProof/>
          <w:sz w:val="24"/>
          <w:szCs w:val="24"/>
        </w:rPr>
        <w:t>Glob. Transitions</w:t>
      </w:r>
      <w:r w:rsidRPr="002D59BA">
        <w:rPr>
          <w:rFonts w:ascii="Arial" w:hAnsi="Arial" w:cs="Arial"/>
          <w:noProof/>
          <w:sz w:val="24"/>
          <w:szCs w:val="24"/>
        </w:rPr>
        <w:t>, vol. 7, pp. 262–275, 2025, doi: 10.1016/j.glt.2025.04.008.</w:t>
      </w:r>
    </w:p>
    <w:p w14:paraId="4EC38AC7" w14:textId="77777777" w:rsidR="002D59BA" w:rsidRPr="002D59BA" w:rsidRDefault="002D59BA" w:rsidP="002D59BA">
      <w:pPr>
        <w:widowControl w:val="0"/>
        <w:autoSpaceDE w:val="0"/>
        <w:autoSpaceDN w:val="0"/>
        <w:adjustRightInd w:val="0"/>
        <w:spacing w:before="100" w:after="100" w:line="240" w:lineRule="auto"/>
        <w:ind w:left="640" w:hanging="640"/>
        <w:rPr>
          <w:rFonts w:ascii="Arial" w:hAnsi="Arial" w:cs="Arial"/>
          <w:noProof/>
          <w:sz w:val="24"/>
          <w:szCs w:val="24"/>
        </w:rPr>
      </w:pPr>
      <w:r w:rsidRPr="002D59BA">
        <w:rPr>
          <w:rFonts w:ascii="Arial" w:hAnsi="Arial" w:cs="Arial"/>
          <w:noProof/>
          <w:sz w:val="24"/>
          <w:szCs w:val="24"/>
        </w:rPr>
        <w:t>[39]</w:t>
      </w:r>
      <w:r w:rsidRPr="002D59BA">
        <w:rPr>
          <w:rFonts w:ascii="Arial" w:hAnsi="Arial" w:cs="Arial"/>
          <w:noProof/>
          <w:sz w:val="24"/>
          <w:szCs w:val="24"/>
        </w:rPr>
        <w:tab/>
        <w:t>R. Caleyachetty, “The Double Burden of Undernutrition and Overnutrition in Children and Adolescents Epidemiological aspects &amp; Nutritional deficiencies”.</w:t>
      </w:r>
    </w:p>
    <w:p w14:paraId="3EAFC5F7" w14:textId="77777777" w:rsidR="002D59BA" w:rsidRPr="002D59BA" w:rsidRDefault="002D59BA" w:rsidP="002D59BA">
      <w:pPr>
        <w:widowControl w:val="0"/>
        <w:autoSpaceDE w:val="0"/>
        <w:autoSpaceDN w:val="0"/>
        <w:adjustRightInd w:val="0"/>
        <w:spacing w:before="100" w:after="100" w:line="240" w:lineRule="auto"/>
        <w:ind w:left="640" w:hanging="640"/>
        <w:rPr>
          <w:rFonts w:ascii="Arial" w:hAnsi="Arial" w:cs="Arial"/>
          <w:noProof/>
          <w:sz w:val="24"/>
          <w:szCs w:val="24"/>
        </w:rPr>
      </w:pPr>
      <w:r w:rsidRPr="002D59BA">
        <w:rPr>
          <w:rFonts w:ascii="Arial" w:hAnsi="Arial" w:cs="Arial"/>
          <w:noProof/>
          <w:sz w:val="24"/>
          <w:szCs w:val="24"/>
        </w:rPr>
        <w:t>[40]</w:t>
      </w:r>
      <w:r w:rsidRPr="002D59BA">
        <w:rPr>
          <w:rFonts w:ascii="Arial" w:hAnsi="Arial" w:cs="Arial"/>
          <w:noProof/>
          <w:sz w:val="24"/>
          <w:szCs w:val="24"/>
        </w:rPr>
        <w:tab/>
        <w:t xml:space="preserve">“2024 Child Nutrition Report,” </w:t>
      </w:r>
      <w:r w:rsidRPr="002D59BA">
        <w:rPr>
          <w:rFonts w:ascii="Arial" w:hAnsi="Arial" w:cs="Arial"/>
          <w:i/>
          <w:iCs/>
          <w:noProof/>
          <w:sz w:val="24"/>
          <w:szCs w:val="24"/>
        </w:rPr>
        <w:t>2024 Child Nutr. Rep.</w:t>
      </w:r>
      <w:r w:rsidRPr="002D59BA">
        <w:rPr>
          <w:rFonts w:ascii="Arial" w:hAnsi="Arial" w:cs="Arial"/>
          <w:noProof/>
          <w:sz w:val="24"/>
          <w:szCs w:val="24"/>
        </w:rPr>
        <w:t>, 2024, doi: 10.18356/9789211065275.</w:t>
      </w:r>
    </w:p>
    <w:p w14:paraId="784A6E1E" w14:textId="77777777" w:rsidR="002D59BA" w:rsidRPr="002D59BA" w:rsidRDefault="002D59BA" w:rsidP="002D59BA">
      <w:pPr>
        <w:widowControl w:val="0"/>
        <w:autoSpaceDE w:val="0"/>
        <w:autoSpaceDN w:val="0"/>
        <w:adjustRightInd w:val="0"/>
        <w:spacing w:before="100" w:after="100" w:line="240" w:lineRule="auto"/>
        <w:ind w:left="640" w:hanging="640"/>
        <w:rPr>
          <w:rFonts w:ascii="Arial" w:hAnsi="Arial" w:cs="Arial"/>
          <w:noProof/>
          <w:sz w:val="24"/>
          <w:szCs w:val="24"/>
        </w:rPr>
      </w:pPr>
      <w:r w:rsidRPr="002D59BA">
        <w:rPr>
          <w:rFonts w:ascii="Arial" w:hAnsi="Arial" w:cs="Arial"/>
          <w:noProof/>
          <w:sz w:val="24"/>
          <w:szCs w:val="24"/>
        </w:rPr>
        <w:t>[41]</w:t>
      </w:r>
      <w:r w:rsidRPr="002D59BA">
        <w:rPr>
          <w:rFonts w:ascii="Arial" w:hAnsi="Arial" w:cs="Arial"/>
          <w:noProof/>
          <w:sz w:val="24"/>
          <w:szCs w:val="24"/>
        </w:rPr>
        <w:tab/>
        <w:t xml:space="preserve">Y. M. Adugna, A. Ayelign, and T. Zerfu, “Exploring the barriers and facilitators of nutrition and dietary intake among school-aged children in the urban low-income setting of Addis Ababa,” </w:t>
      </w:r>
      <w:r w:rsidRPr="002D59BA">
        <w:rPr>
          <w:rFonts w:ascii="Arial" w:hAnsi="Arial" w:cs="Arial"/>
          <w:i/>
          <w:iCs/>
          <w:noProof/>
          <w:sz w:val="24"/>
          <w:szCs w:val="24"/>
        </w:rPr>
        <w:t>Nutr. Res. Pract.</w:t>
      </w:r>
      <w:r w:rsidRPr="002D59BA">
        <w:rPr>
          <w:rFonts w:ascii="Arial" w:hAnsi="Arial" w:cs="Arial"/>
          <w:noProof/>
          <w:sz w:val="24"/>
          <w:szCs w:val="24"/>
        </w:rPr>
        <w:t>, vol. 19, no. 5, pp. 815–838, 2025, doi: 10.4162/nrp.2025.19.5.815.</w:t>
      </w:r>
    </w:p>
    <w:p w14:paraId="5A6F697C" w14:textId="77777777" w:rsidR="002D59BA" w:rsidRPr="002D59BA" w:rsidRDefault="002D59BA" w:rsidP="002D59BA">
      <w:pPr>
        <w:widowControl w:val="0"/>
        <w:autoSpaceDE w:val="0"/>
        <w:autoSpaceDN w:val="0"/>
        <w:adjustRightInd w:val="0"/>
        <w:spacing w:before="100" w:after="100" w:line="240" w:lineRule="auto"/>
        <w:ind w:left="640" w:hanging="640"/>
        <w:rPr>
          <w:rFonts w:ascii="Arial" w:hAnsi="Arial" w:cs="Arial"/>
          <w:noProof/>
          <w:sz w:val="24"/>
          <w:szCs w:val="24"/>
        </w:rPr>
      </w:pPr>
      <w:r w:rsidRPr="002D59BA">
        <w:rPr>
          <w:rFonts w:ascii="Arial" w:hAnsi="Arial" w:cs="Arial"/>
          <w:noProof/>
          <w:sz w:val="24"/>
          <w:szCs w:val="24"/>
        </w:rPr>
        <w:t>[42]</w:t>
      </w:r>
      <w:r w:rsidRPr="002D59BA">
        <w:rPr>
          <w:rFonts w:ascii="Arial" w:hAnsi="Arial" w:cs="Arial"/>
          <w:noProof/>
          <w:sz w:val="24"/>
          <w:szCs w:val="24"/>
        </w:rPr>
        <w:tab/>
        <w:t xml:space="preserve">Z. Agazhi and M. Mada, “Food poverty and consumption inequality in urban Ethiopia,” </w:t>
      </w:r>
      <w:r w:rsidRPr="002D59BA">
        <w:rPr>
          <w:rFonts w:ascii="Arial" w:hAnsi="Arial" w:cs="Arial"/>
          <w:i/>
          <w:iCs/>
          <w:noProof/>
          <w:sz w:val="24"/>
          <w:szCs w:val="24"/>
        </w:rPr>
        <w:t>Discov. Food</w:t>
      </w:r>
      <w:r w:rsidRPr="002D59BA">
        <w:rPr>
          <w:rFonts w:ascii="Arial" w:hAnsi="Arial" w:cs="Arial"/>
          <w:noProof/>
          <w:sz w:val="24"/>
          <w:szCs w:val="24"/>
        </w:rPr>
        <w:t>, vol. 5, May 2025, doi: 10.1007/s44187-025-00403-9.</w:t>
      </w:r>
    </w:p>
    <w:p w14:paraId="7F2EAC29" w14:textId="77777777" w:rsidR="002D59BA" w:rsidRPr="002D59BA" w:rsidRDefault="002D59BA" w:rsidP="002D59BA">
      <w:pPr>
        <w:widowControl w:val="0"/>
        <w:autoSpaceDE w:val="0"/>
        <w:autoSpaceDN w:val="0"/>
        <w:adjustRightInd w:val="0"/>
        <w:spacing w:before="100" w:after="100" w:line="240" w:lineRule="auto"/>
        <w:ind w:left="640" w:hanging="640"/>
        <w:rPr>
          <w:rFonts w:ascii="Arial" w:hAnsi="Arial" w:cs="Arial"/>
          <w:noProof/>
          <w:sz w:val="24"/>
          <w:szCs w:val="24"/>
        </w:rPr>
      </w:pPr>
      <w:r w:rsidRPr="002D59BA">
        <w:rPr>
          <w:rFonts w:ascii="Arial" w:hAnsi="Arial" w:cs="Arial"/>
          <w:noProof/>
          <w:sz w:val="24"/>
          <w:szCs w:val="24"/>
        </w:rPr>
        <w:t>[43]</w:t>
      </w:r>
      <w:r w:rsidRPr="002D59BA">
        <w:rPr>
          <w:rFonts w:ascii="Arial" w:hAnsi="Arial" w:cs="Arial"/>
          <w:noProof/>
          <w:sz w:val="24"/>
          <w:szCs w:val="24"/>
        </w:rPr>
        <w:tab/>
        <w:t xml:space="preserve">A. D. Alristina, R. D. Laili, É. Nagy, and H. J. Feith, “The Importance of Socioeconomic Factors Associated with Maternal Nutrition Knowledge and Undernutrition Among Children Under Five,” </w:t>
      </w:r>
      <w:r w:rsidRPr="002D59BA">
        <w:rPr>
          <w:rFonts w:ascii="Arial" w:hAnsi="Arial" w:cs="Arial"/>
          <w:i/>
          <w:iCs/>
          <w:noProof/>
          <w:sz w:val="24"/>
          <w:szCs w:val="24"/>
        </w:rPr>
        <w:t xml:space="preserve">Nutr. </w:t>
      </w:r>
      <w:r w:rsidRPr="002D59BA">
        <w:rPr>
          <w:rFonts w:ascii="Arial" w:hAnsi="Arial" w:cs="Arial"/>
          <w:noProof/>
          <w:sz w:val="24"/>
          <w:szCs w:val="24"/>
        </w:rPr>
        <w:t xml:space="preserve">, vol. 17, no. 21, pp. 1–21, </w:t>
      </w:r>
      <w:r w:rsidRPr="002D59BA">
        <w:rPr>
          <w:rFonts w:ascii="Arial" w:hAnsi="Arial" w:cs="Arial"/>
          <w:noProof/>
          <w:sz w:val="24"/>
          <w:szCs w:val="24"/>
        </w:rPr>
        <w:lastRenderedPageBreak/>
        <w:t>2025, doi: 10.3390/nu17213355.</w:t>
      </w:r>
    </w:p>
    <w:p w14:paraId="3C8F933C" w14:textId="77777777" w:rsidR="002D59BA" w:rsidRPr="002D59BA" w:rsidRDefault="002D59BA" w:rsidP="002D59BA">
      <w:pPr>
        <w:widowControl w:val="0"/>
        <w:autoSpaceDE w:val="0"/>
        <w:autoSpaceDN w:val="0"/>
        <w:adjustRightInd w:val="0"/>
        <w:spacing w:before="100" w:after="100" w:line="240" w:lineRule="auto"/>
        <w:ind w:left="640" w:hanging="640"/>
        <w:rPr>
          <w:rFonts w:ascii="Arial" w:hAnsi="Arial" w:cs="Arial"/>
          <w:noProof/>
          <w:sz w:val="24"/>
          <w:szCs w:val="24"/>
        </w:rPr>
      </w:pPr>
      <w:r w:rsidRPr="002D59BA">
        <w:rPr>
          <w:rFonts w:ascii="Arial" w:hAnsi="Arial" w:cs="Arial"/>
          <w:noProof/>
          <w:sz w:val="24"/>
          <w:szCs w:val="24"/>
        </w:rPr>
        <w:t>[44]</w:t>
      </w:r>
      <w:r w:rsidRPr="002D59BA">
        <w:rPr>
          <w:rFonts w:ascii="Arial" w:hAnsi="Arial" w:cs="Arial"/>
          <w:noProof/>
          <w:sz w:val="24"/>
          <w:szCs w:val="24"/>
        </w:rPr>
        <w:tab/>
        <w:t xml:space="preserve">G. Gatica-Domínguez, P. A. R. Neves, A. J. D. Barros, and C. G. Victora, “Complementary Feeding Practices in 80 Low-and Middle-Income Countries: Prevalence of and Socioeconomic Inequalities in Dietary Diversity, Meal Frequency, and Dietary Adequacy,” </w:t>
      </w:r>
      <w:r w:rsidRPr="002D59BA">
        <w:rPr>
          <w:rFonts w:ascii="Arial" w:hAnsi="Arial" w:cs="Arial"/>
          <w:i/>
          <w:iCs/>
          <w:noProof/>
          <w:sz w:val="24"/>
          <w:szCs w:val="24"/>
        </w:rPr>
        <w:t>J. Nutr.</w:t>
      </w:r>
      <w:r w:rsidRPr="002D59BA">
        <w:rPr>
          <w:rFonts w:ascii="Arial" w:hAnsi="Arial" w:cs="Arial"/>
          <w:noProof/>
          <w:sz w:val="24"/>
          <w:szCs w:val="24"/>
        </w:rPr>
        <w:t>, vol. 151, no. 7, pp. 1956–1964, 2021, doi: 10.1093/jn/nxab088.</w:t>
      </w:r>
    </w:p>
    <w:p w14:paraId="6B1045D4" w14:textId="77777777" w:rsidR="002D59BA" w:rsidRPr="002D59BA" w:rsidRDefault="002D59BA" w:rsidP="002D59BA">
      <w:pPr>
        <w:widowControl w:val="0"/>
        <w:autoSpaceDE w:val="0"/>
        <w:autoSpaceDN w:val="0"/>
        <w:adjustRightInd w:val="0"/>
        <w:spacing w:before="100" w:after="100" w:line="240" w:lineRule="auto"/>
        <w:ind w:left="640" w:hanging="640"/>
        <w:rPr>
          <w:rFonts w:ascii="Arial" w:hAnsi="Arial" w:cs="Arial"/>
          <w:noProof/>
          <w:sz w:val="24"/>
          <w:szCs w:val="24"/>
        </w:rPr>
      </w:pPr>
      <w:r w:rsidRPr="002D59BA">
        <w:rPr>
          <w:rFonts w:ascii="Arial" w:hAnsi="Arial" w:cs="Arial"/>
          <w:noProof/>
          <w:sz w:val="24"/>
          <w:szCs w:val="24"/>
        </w:rPr>
        <w:t>[45]</w:t>
      </w:r>
      <w:r w:rsidRPr="002D59BA">
        <w:rPr>
          <w:rFonts w:ascii="Arial" w:hAnsi="Arial" w:cs="Arial"/>
          <w:noProof/>
          <w:sz w:val="24"/>
          <w:szCs w:val="24"/>
        </w:rPr>
        <w:tab/>
        <w:t xml:space="preserve">A. Rabi and N. Mansor, “Food Affordability in Malaysia: When Markets and Money Decide What to Eat,” </w:t>
      </w:r>
      <w:r w:rsidRPr="002D59BA">
        <w:rPr>
          <w:rFonts w:ascii="Arial" w:hAnsi="Arial" w:cs="Arial"/>
          <w:i/>
          <w:iCs/>
          <w:noProof/>
          <w:sz w:val="24"/>
          <w:szCs w:val="24"/>
        </w:rPr>
        <w:t>SWRC Work. Pap. Ser.</w:t>
      </w:r>
      <w:r w:rsidRPr="002D59BA">
        <w:rPr>
          <w:rFonts w:ascii="Arial" w:hAnsi="Arial" w:cs="Arial"/>
          <w:noProof/>
          <w:sz w:val="24"/>
          <w:szCs w:val="24"/>
        </w:rPr>
        <w:t>, vol. WP2025/1, no. March, pp. 1–15, 2025.</w:t>
      </w:r>
    </w:p>
    <w:p w14:paraId="6A53B878" w14:textId="77777777" w:rsidR="002D59BA" w:rsidRPr="002D59BA" w:rsidRDefault="002D59BA" w:rsidP="002D59BA">
      <w:pPr>
        <w:widowControl w:val="0"/>
        <w:autoSpaceDE w:val="0"/>
        <w:autoSpaceDN w:val="0"/>
        <w:adjustRightInd w:val="0"/>
        <w:spacing w:before="100" w:after="100" w:line="240" w:lineRule="auto"/>
        <w:ind w:left="640" w:hanging="640"/>
        <w:rPr>
          <w:rFonts w:ascii="Arial" w:hAnsi="Arial" w:cs="Arial"/>
          <w:noProof/>
          <w:sz w:val="24"/>
          <w:szCs w:val="24"/>
        </w:rPr>
      </w:pPr>
      <w:r w:rsidRPr="002D59BA">
        <w:rPr>
          <w:rFonts w:ascii="Arial" w:hAnsi="Arial" w:cs="Arial"/>
          <w:noProof/>
          <w:sz w:val="24"/>
          <w:szCs w:val="24"/>
        </w:rPr>
        <w:t>[46]</w:t>
      </w:r>
      <w:r w:rsidRPr="002D59BA">
        <w:rPr>
          <w:rFonts w:ascii="Arial" w:hAnsi="Arial" w:cs="Arial"/>
          <w:noProof/>
          <w:sz w:val="24"/>
          <w:szCs w:val="24"/>
        </w:rPr>
        <w:tab/>
        <w:t xml:space="preserve">E. Von Goh </w:t>
      </w:r>
      <w:r w:rsidRPr="002D59BA">
        <w:rPr>
          <w:rFonts w:ascii="Arial" w:hAnsi="Arial" w:cs="Arial"/>
          <w:i/>
          <w:iCs/>
          <w:noProof/>
          <w:sz w:val="24"/>
          <w:szCs w:val="24"/>
        </w:rPr>
        <w:t>et al.</w:t>
      </w:r>
      <w:r w:rsidRPr="002D59BA">
        <w:rPr>
          <w:rFonts w:ascii="Arial" w:hAnsi="Arial" w:cs="Arial"/>
          <w:noProof/>
          <w:sz w:val="24"/>
          <w:szCs w:val="24"/>
        </w:rPr>
        <w:t xml:space="preserve">, “Transforming food environments: a global lens on challenges and opportunities for achieving healthy and sustainable diets for all,” </w:t>
      </w:r>
      <w:r w:rsidRPr="002D59BA">
        <w:rPr>
          <w:rFonts w:ascii="Arial" w:hAnsi="Arial" w:cs="Arial"/>
          <w:i/>
          <w:iCs/>
          <w:noProof/>
          <w:sz w:val="24"/>
          <w:szCs w:val="24"/>
        </w:rPr>
        <w:t>Front. Sustain. Food Syst.</w:t>
      </w:r>
      <w:r w:rsidRPr="002D59BA">
        <w:rPr>
          <w:rFonts w:ascii="Arial" w:hAnsi="Arial" w:cs="Arial"/>
          <w:noProof/>
          <w:sz w:val="24"/>
          <w:szCs w:val="24"/>
        </w:rPr>
        <w:t>, vol. 8, no. June, pp. 1–17, 2024, doi: 10.3389/fsufs.2024.1366878.</w:t>
      </w:r>
    </w:p>
    <w:p w14:paraId="28D8C782" w14:textId="77777777" w:rsidR="002D59BA" w:rsidRPr="002D59BA" w:rsidRDefault="002D59BA" w:rsidP="002D59BA">
      <w:pPr>
        <w:widowControl w:val="0"/>
        <w:autoSpaceDE w:val="0"/>
        <w:autoSpaceDN w:val="0"/>
        <w:adjustRightInd w:val="0"/>
        <w:spacing w:before="100" w:after="100" w:line="240" w:lineRule="auto"/>
        <w:ind w:left="640" w:hanging="640"/>
        <w:rPr>
          <w:rFonts w:ascii="Arial" w:hAnsi="Arial" w:cs="Arial"/>
          <w:noProof/>
          <w:sz w:val="24"/>
          <w:szCs w:val="24"/>
        </w:rPr>
      </w:pPr>
      <w:r w:rsidRPr="002D59BA">
        <w:rPr>
          <w:rFonts w:ascii="Arial" w:hAnsi="Arial" w:cs="Arial"/>
          <w:noProof/>
          <w:sz w:val="24"/>
          <w:szCs w:val="24"/>
        </w:rPr>
        <w:t>[47]</w:t>
      </w:r>
      <w:r w:rsidRPr="002D59BA">
        <w:rPr>
          <w:rFonts w:ascii="Arial" w:hAnsi="Arial" w:cs="Arial"/>
          <w:noProof/>
          <w:sz w:val="24"/>
          <w:szCs w:val="24"/>
        </w:rPr>
        <w:tab/>
        <w:t xml:space="preserve">U. Governance, F. O. R. Nutrition, and P. Factsheet, “Urban Food Environments in Low- and Middle-Income Countries,” </w:t>
      </w:r>
      <w:r w:rsidRPr="002D59BA">
        <w:rPr>
          <w:rFonts w:ascii="Arial" w:hAnsi="Arial" w:cs="Arial"/>
          <w:i/>
          <w:iCs/>
          <w:noProof/>
          <w:sz w:val="24"/>
          <w:szCs w:val="24"/>
        </w:rPr>
        <w:t>Gain</w:t>
      </w:r>
      <w:r w:rsidRPr="002D59BA">
        <w:rPr>
          <w:rFonts w:ascii="Arial" w:hAnsi="Arial" w:cs="Arial"/>
          <w:noProof/>
          <w:sz w:val="24"/>
          <w:szCs w:val="24"/>
        </w:rPr>
        <w:t>, p. 12, 2020.</w:t>
      </w:r>
    </w:p>
    <w:p w14:paraId="1F6A9FFE" w14:textId="77777777" w:rsidR="002D59BA" w:rsidRPr="002D59BA" w:rsidRDefault="002D59BA" w:rsidP="002D59BA">
      <w:pPr>
        <w:widowControl w:val="0"/>
        <w:autoSpaceDE w:val="0"/>
        <w:autoSpaceDN w:val="0"/>
        <w:adjustRightInd w:val="0"/>
        <w:spacing w:before="100" w:after="100" w:line="240" w:lineRule="auto"/>
        <w:ind w:left="640" w:hanging="640"/>
        <w:rPr>
          <w:rFonts w:ascii="Arial" w:hAnsi="Arial" w:cs="Arial"/>
          <w:noProof/>
          <w:sz w:val="24"/>
          <w:szCs w:val="24"/>
        </w:rPr>
      </w:pPr>
      <w:r w:rsidRPr="002D59BA">
        <w:rPr>
          <w:rFonts w:ascii="Arial" w:hAnsi="Arial" w:cs="Arial"/>
          <w:noProof/>
          <w:sz w:val="24"/>
          <w:szCs w:val="24"/>
        </w:rPr>
        <w:t>[48]</w:t>
      </w:r>
      <w:r w:rsidRPr="002D59BA">
        <w:rPr>
          <w:rFonts w:ascii="Arial" w:hAnsi="Arial" w:cs="Arial"/>
          <w:noProof/>
          <w:sz w:val="24"/>
          <w:szCs w:val="24"/>
        </w:rPr>
        <w:tab/>
        <w:t xml:space="preserve">G. G. da Costa, G. da Conceição Nepomuceno, A. da Silva Pereira, and B. F. T. Simões, “Worldwide dietary patterns and their association with socioeconomic data: an ecological exploratory study,” </w:t>
      </w:r>
      <w:r w:rsidRPr="002D59BA">
        <w:rPr>
          <w:rFonts w:ascii="Arial" w:hAnsi="Arial" w:cs="Arial"/>
          <w:i/>
          <w:iCs/>
          <w:noProof/>
          <w:sz w:val="24"/>
          <w:szCs w:val="24"/>
        </w:rPr>
        <w:t>Global. Health</w:t>
      </w:r>
      <w:r w:rsidRPr="002D59BA">
        <w:rPr>
          <w:rFonts w:ascii="Arial" w:hAnsi="Arial" w:cs="Arial"/>
          <w:noProof/>
          <w:sz w:val="24"/>
          <w:szCs w:val="24"/>
        </w:rPr>
        <w:t>, vol. 18, no. 1, pp. 1–12, 2022, doi: 10.1186/s12992-022-00820-w.</w:t>
      </w:r>
    </w:p>
    <w:p w14:paraId="58889DFA" w14:textId="77777777" w:rsidR="002D59BA" w:rsidRPr="002D59BA" w:rsidRDefault="002D59BA" w:rsidP="002D59BA">
      <w:pPr>
        <w:widowControl w:val="0"/>
        <w:autoSpaceDE w:val="0"/>
        <w:autoSpaceDN w:val="0"/>
        <w:adjustRightInd w:val="0"/>
        <w:spacing w:before="100" w:after="100" w:line="240" w:lineRule="auto"/>
        <w:ind w:left="640" w:hanging="640"/>
        <w:rPr>
          <w:rFonts w:ascii="Arial" w:hAnsi="Arial" w:cs="Arial"/>
          <w:noProof/>
          <w:sz w:val="24"/>
          <w:szCs w:val="24"/>
        </w:rPr>
      </w:pPr>
      <w:r w:rsidRPr="002D59BA">
        <w:rPr>
          <w:rFonts w:ascii="Arial" w:hAnsi="Arial" w:cs="Arial"/>
          <w:noProof/>
          <w:sz w:val="24"/>
          <w:szCs w:val="24"/>
        </w:rPr>
        <w:t>[49]</w:t>
      </w:r>
      <w:r w:rsidRPr="002D59BA">
        <w:rPr>
          <w:rFonts w:ascii="Arial" w:hAnsi="Arial" w:cs="Arial"/>
          <w:noProof/>
          <w:sz w:val="24"/>
          <w:szCs w:val="24"/>
        </w:rPr>
        <w:tab/>
        <w:t xml:space="preserve">A. R. Sharn, E. Oliveros, S. Lai, C. P. Sanchez, M. J. Villa-Real Guno, and C. Rojas Montenegro, “Multi-faceted nutritional interventions are imperative to reduction of stunting among children in low- and middle-income countries,” </w:t>
      </w:r>
      <w:r w:rsidRPr="002D59BA">
        <w:rPr>
          <w:rFonts w:ascii="Arial" w:hAnsi="Arial" w:cs="Arial"/>
          <w:i/>
          <w:iCs/>
          <w:noProof/>
          <w:sz w:val="24"/>
          <w:szCs w:val="24"/>
        </w:rPr>
        <w:t>Front. Nutr.</w:t>
      </w:r>
      <w:r w:rsidRPr="002D59BA">
        <w:rPr>
          <w:rFonts w:ascii="Arial" w:hAnsi="Arial" w:cs="Arial"/>
          <w:noProof/>
          <w:sz w:val="24"/>
          <w:szCs w:val="24"/>
        </w:rPr>
        <w:t>, vol. 12, no. September, 2025, doi: 10.3389/fnut.2025.1479850.</w:t>
      </w:r>
    </w:p>
    <w:p w14:paraId="0C215D56" w14:textId="77777777" w:rsidR="002D59BA" w:rsidRPr="002D59BA" w:rsidRDefault="002D59BA" w:rsidP="002D59BA">
      <w:pPr>
        <w:widowControl w:val="0"/>
        <w:autoSpaceDE w:val="0"/>
        <w:autoSpaceDN w:val="0"/>
        <w:adjustRightInd w:val="0"/>
        <w:spacing w:before="100" w:after="100" w:line="240" w:lineRule="auto"/>
        <w:ind w:left="640" w:hanging="640"/>
        <w:rPr>
          <w:rFonts w:ascii="Arial" w:hAnsi="Arial" w:cs="Arial"/>
          <w:noProof/>
          <w:sz w:val="24"/>
          <w:szCs w:val="24"/>
        </w:rPr>
      </w:pPr>
      <w:r w:rsidRPr="002D59BA">
        <w:rPr>
          <w:rFonts w:ascii="Arial" w:hAnsi="Arial" w:cs="Arial"/>
          <w:noProof/>
          <w:sz w:val="24"/>
          <w:szCs w:val="24"/>
        </w:rPr>
        <w:t>[50]</w:t>
      </w:r>
      <w:r w:rsidRPr="002D59BA">
        <w:rPr>
          <w:rFonts w:ascii="Arial" w:hAnsi="Arial" w:cs="Arial"/>
          <w:noProof/>
          <w:sz w:val="24"/>
          <w:szCs w:val="24"/>
        </w:rPr>
        <w:tab/>
        <w:t xml:space="preserve">C. Anyati, D. M. Okello, E. N. Mainimo, and I. Okello-Uma, “Nutritional knowledge, attitude, and practices among caregivers and nutritional status of children 6–24 months: evidence from Amuria and Soroti districts of Uganda,” </w:t>
      </w:r>
      <w:r w:rsidRPr="002D59BA">
        <w:rPr>
          <w:rFonts w:ascii="Arial" w:hAnsi="Arial" w:cs="Arial"/>
          <w:i/>
          <w:iCs/>
          <w:noProof/>
          <w:sz w:val="24"/>
          <w:szCs w:val="24"/>
        </w:rPr>
        <w:t>Discov. Food</w:t>
      </w:r>
      <w:r w:rsidRPr="002D59BA">
        <w:rPr>
          <w:rFonts w:ascii="Arial" w:hAnsi="Arial" w:cs="Arial"/>
          <w:noProof/>
          <w:sz w:val="24"/>
          <w:szCs w:val="24"/>
        </w:rPr>
        <w:t>, vol. 5, no. 1, 2025, doi: 10.1007/s44187-025-00369-8.</w:t>
      </w:r>
    </w:p>
    <w:p w14:paraId="770653BA" w14:textId="77777777" w:rsidR="002D59BA" w:rsidRPr="002D59BA" w:rsidRDefault="002D59BA" w:rsidP="002D59BA">
      <w:pPr>
        <w:widowControl w:val="0"/>
        <w:autoSpaceDE w:val="0"/>
        <w:autoSpaceDN w:val="0"/>
        <w:adjustRightInd w:val="0"/>
        <w:spacing w:before="100" w:after="100" w:line="240" w:lineRule="auto"/>
        <w:ind w:left="640" w:hanging="640"/>
        <w:rPr>
          <w:rFonts w:ascii="Arial" w:hAnsi="Arial" w:cs="Arial"/>
          <w:noProof/>
          <w:sz w:val="24"/>
          <w:szCs w:val="24"/>
        </w:rPr>
      </w:pPr>
      <w:r w:rsidRPr="002D59BA">
        <w:rPr>
          <w:rFonts w:ascii="Arial" w:hAnsi="Arial" w:cs="Arial"/>
          <w:noProof/>
          <w:sz w:val="24"/>
          <w:szCs w:val="24"/>
        </w:rPr>
        <w:t>[51]</w:t>
      </w:r>
      <w:r w:rsidRPr="002D59BA">
        <w:rPr>
          <w:rFonts w:ascii="Arial" w:hAnsi="Arial" w:cs="Arial"/>
          <w:noProof/>
          <w:sz w:val="24"/>
          <w:szCs w:val="24"/>
        </w:rPr>
        <w:tab/>
        <w:t xml:space="preserve">Q. E. M. Mangwane, A. Egal, and D. Oosthuizen, “Impact of a Nutrition Knowledge Intervention on Knowledge and Food Behaviour of Women Within a Rural Community,” </w:t>
      </w:r>
      <w:r w:rsidRPr="002D59BA">
        <w:rPr>
          <w:rFonts w:ascii="Arial" w:hAnsi="Arial" w:cs="Arial"/>
          <w:i/>
          <w:iCs/>
          <w:noProof/>
          <w:sz w:val="24"/>
          <w:szCs w:val="24"/>
        </w:rPr>
        <w:t xml:space="preserve">Nutr. </w:t>
      </w:r>
      <w:r w:rsidRPr="002D59BA">
        <w:rPr>
          <w:rFonts w:ascii="Arial" w:hAnsi="Arial" w:cs="Arial"/>
          <w:noProof/>
          <w:sz w:val="24"/>
          <w:szCs w:val="24"/>
        </w:rPr>
        <w:t>, vol. 16, no. 23, pp. 1–17, 2024, doi: 10.3390/nu16234107.</w:t>
      </w:r>
    </w:p>
    <w:p w14:paraId="48C6FC35" w14:textId="77777777" w:rsidR="002D59BA" w:rsidRPr="002D59BA" w:rsidRDefault="002D59BA" w:rsidP="002D59BA">
      <w:pPr>
        <w:widowControl w:val="0"/>
        <w:autoSpaceDE w:val="0"/>
        <w:autoSpaceDN w:val="0"/>
        <w:adjustRightInd w:val="0"/>
        <w:spacing w:before="100" w:after="100" w:line="240" w:lineRule="auto"/>
        <w:ind w:left="640" w:hanging="640"/>
        <w:rPr>
          <w:rFonts w:ascii="Arial" w:hAnsi="Arial" w:cs="Arial"/>
          <w:noProof/>
          <w:sz w:val="24"/>
        </w:rPr>
      </w:pPr>
      <w:r w:rsidRPr="002D59BA">
        <w:rPr>
          <w:rFonts w:ascii="Arial" w:hAnsi="Arial" w:cs="Arial"/>
          <w:noProof/>
          <w:sz w:val="24"/>
          <w:szCs w:val="24"/>
        </w:rPr>
        <w:t>[52]</w:t>
      </w:r>
      <w:r w:rsidRPr="002D59BA">
        <w:rPr>
          <w:rFonts w:ascii="Arial" w:hAnsi="Arial" w:cs="Arial"/>
          <w:noProof/>
          <w:sz w:val="24"/>
          <w:szCs w:val="24"/>
        </w:rPr>
        <w:tab/>
        <w:t xml:space="preserve">G. W. Kihagi </w:t>
      </w:r>
      <w:r w:rsidRPr="002D59BA">
        <w:rPr>
          <w:rFonts w:ascii="Arial" w:hAnsi="Arial" w:cs="Arial"/>
          <w:i/>
          <w:iCs/>
          <w:noProof/>
          <w:sz w:val="24"/>
          <w:szCs w:val="24"/>
        </w:rPr>
        <w:t>et al.</w:t>
      </w:r>
      <w:r w:rsidRPr="002D59BA">
        <w:rPr>
          <w:rFonts w:ascii="Arial" w:hAnsi="Arial" w:cs="Arial"/>
          <w:noProof/>
          <w:sz w:val="24"/>
          <w:szCs w:val="24"/>
        </w:rPr>
        <w:t xml:space="preserve">, “‘Counselling is not just providing information’: perceptions of caregivers and  stakeholders on the design of nutrition and health counselling interventions for families with young children in rural Kenya.,” </w:t>
      </w:r>
      <w:r w:rsidRPr="002D59BA">
        <w:rPr>
          <w:rFonts w:ascii="Arial" w:hAnsi="Arial" w:cs="Arial"/>
          <w:i/>
          <w:iCs/>
          <w:noProof/>
          <w:sz w:val="24"/>
          <w:szCs w:val="24"/>
        </w:rPr>
        <w:t>BMC Health Serv. Res.</w:t>
      </w:r>
      <w:r w:rsidRPr="002D59BA">
        <w:rPr>
          <w:rFonts w:ascii="Arial" w:hAnsi="Arial" w:cs="Arial"/>
          <w:noProof/>
          <w:sz w:val="24"/>
          <w:szCs w:val="24"/>
        </w:rPr>
        <w:t>, vol. 24, no. 1, p. 597, May 2024, doi: 10.1186/s12913-024-10872-w.</w:t>
      </w:r>
    </w:p>
    <w:p w14:paraId="361E48EA" w14:textId="77777777" w:rsidR="00284FB7" w:rsidRPr="00487C30" w:rsidRDefault="00284FB7" w:rsidP="00284FB7">
      <w:pPr>
        <w:pStyle w:val="NormalWeb"/>
        <w:spacing w:line="360" w:lineRule="auto"/>
        <w:jc w:val="both"/>
        <w:rPr>
          <w:rFonts w:ascii="Arial" w:hAnsi="Arial" w:cs="Arial"/>
        </w:rPr>
      </w:pPr>
      <w:r w:rsidRPr="00487C30">
        <w:rPr>
          <w:rFonts w:ascii="Arial" w:hAnsi="Arial" w:cs="Arial"/>
        </w:rPr>
        <w:fldChar w:fldCharType="end"/>
      </w:r>
    </w:p>
    <w:p w14:paraId="42DFFD91" w14:textId="77777777" w:rsidR="00284FB7" w:rsidRPr="00487C30" w:rsidRDefault="00284FB7" w:rsidP="00284FB7">
      <w:pPr>
        <w:pStyle w:val="NormalWeb"/>
        <w:spacing w:line="360" w:lineRule="auto"/>
        <w:jc w:val="both"/>
        <w:rPr>
          <w:rFonts w:ascii="Arial" w:hAnsi="Arial" w:cs="Arial"/>
        </w:rPr>
      </w:pPr>
    </w:p>
    <w:p w14:paraId="260F853C" w14:textId="77777777" w:rsidR="00284FB7" w:rsidRPr="00487C30" w:rsidRDefault="00284FB7" w:rsidP="00284FB7">
      <w:pPr>
        <w:pStyle w:val="NormalWeb"/>
        <w:spacing w:line="360" w:lineRule="auto"/>
        <w:jc w:val="both"/>
        <w:rPr>
          <w:rFonts w:ascii="Arial" w:hAnsi="Arial" w:cs="Arial"/>
        </w:rPr>
      </w:pPr>
    </w:p>
    <w:p w14:paraId="3C77154E" w14:textId="77777777" w:rsidR="00284FB7" w:rsidRPr="00487C30" w:rsidRDefault="00284FB7" w:rsidP="00284FB7">
      <w:pPr>
        <w:pStyle w:val="NormalWeb"/>
        <w:spacing w:line="360" w:lineRule="auto"/>
        <w:jc w:val="both"/>
        <w:rPr>
          <w:rFonts w:ascii="Arial" w:hAnsi="Arial" w:cs="Arial"/>
        </w:rPr>
      </w:pPr>
    </w:p>
    <w:p w14:paraId="3F792841" w14:textId="77777777" w:rsidR="00284FB7" w:rsidRPr="00487C30" w:rsidRDefault="00284FB7" w:rsidP="00284FB7">
      <w:pPr>
        <w:pStyle w:val="NormalWeb"/>
        <w:spacing w:line="360" w:lineRule="auto"/>
        <w:jc w:val="both"/>
        <w:rPr>
          <w:rFonts w:ascii="Arial" w:hAnsi="Arial" w:cs="Arial"/>
        </w:rPr>
      </w:pPr>
    </w:p>
    <w:p w14:paraId="260A1411" w14:textId="77777777" w:rsidR="00284FB7" w:rsidRPr="00487C30" w:rsidRDefault="00284FB7" w:rsidP="00284FB7">
      <w:pPr>
        <w:pStyle w:val="NormalWeb"/>
        <w:spacing w:line="360" w:lineRule="auto"/>
        <w:rPr>
          <w:rFonts w:ascii="Arial" w:hAnsi="Arial" w:cs="Arial"/>
        </w:rPr>
      </w:pPr>
    </w:p>
    <w:p w14:paraId="6BB08A78" w14:textId="77777777" w:rsidR="004D2AA6" w:rsidRDefault="004D2AA6"/>
    <w:sectPr w:rsidR="004D2AA6">
      <w:headerReference w:type="even" r:id="rId10"/>
      <w:headerReference w:type="default" r:id="rId11"/>
      <w:head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35E996" w14:textId="77777777" w:rsidR="008B6D87" w:rsidRDefault="008B6D87">
      <w:pPr>
        <w:spacing w:after="0" w:line="240" w:lineRule="auto"/>
      </w:pPr>
      <w:r>
        <w:separator/>
      </w:r>
    </w:p>
  </w:endnote>
  <w:endnote w:type="continuationSeparator" w:id="0">
    <w:p w14:paraId="2EF723A0" w14:textId="77777777" w:rsidR="008B6D87" w:rsidRDefault="008B6D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398FF6" w14:textId="77777777" w:rsidR="008B6D87" w:rsidRDefault="008B6D87">
      <w:pPr>
        <w:spacing w:after="0" w:line="240" w:lineRule="auto"/>
      </w:pPr>
      <w:r>
        <w:separator/>
      </w:r>
    </w:p>
  </w:footnote>
  <w:footnote w:type="continuationSeparator" w:id="0">
    <w:p w14:paraId="1FCE3612" w14:textId="77777777" w:rsidR="008B6D87" w:rsidRDefault="008B6D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2692DE" w14:textId="7D6AB670" w:rsidR="008137CA" w:rsidRDefault="008137CA">
    <w:pPr>
      <w:pStyle w:val="Header"/>
    </w:pPr>
    <w:r>
      <w:rPr>
        <w:noProof/>
      </w:rPr>
      <w:pict w14:anchorId="3A44D3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49084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6F06A8" w14:textId="62B46E88" w:rsidR="008137CA" w:rsidRDefault="008137CA">
    <w:pPr>
      <w:pStyle w:val="Header"/>
    </w:pPr>
    <w:r>
      <w:rPr>
        <w:noProof/>
      </w:rPr>
      <w:pict w14:anchorId="34EC27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49084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BB3EDA" w14:textId="0A29C04F" w:rsidR="008137CA" w:rsidRDefault="008137CA">
    <w:pPr>
      <w:pStyle w:val="Header"/>
    </w:pPr>
    <w:r>
      <w:rPr>
        <w:noProof/>
      </w:rPr>
      <w:pict w14:anchorId="365587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49084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FB7"/>
    <w:rsid w:val="00017FC5"/>
    <w:rsid w:val="000F0E35"/>
    <w:rsid w:val="000F63B8"/>
    <w:rsid w:val="00133CDC"/>
    <w:rsid w:val="00284FB7"/>
    <w:rsid w:val="002D59BA"/>
    <w:rsid w:val="002F5AD9"/>
    <w:rsid w:val="003F550F"/>
    <w:rsid w:val="00457FD3"/>
    <w:rsid w:val="004D0A22"/>
    <w:rsid w:val="004D2AA6"/>
    <w:rsid w:val="004E1A6E"/>
    <w:rsid w:val="00535842"/>
    <w:rsid w:val="00584548"/>
    <w:rsid w:val="005E0A12"/>
    <w:rsid w:val="006177FC"/>
    <w:rsid w:val="0063075C"/>
    <w:rsid w:val="00766916"/>
    <w:rsid w:val="00786C06"/>
    <w:rsid w:val="0080734F"/>
    <w:rsid w:val="0081303A"/>
    <w:rsid w:val="008137CA"/>
    <w:rsid w:val="008602BD"/>
    <w:rsid w:val="008954C9"/>
    <w:rsid w:val="008B6D87"/>
    <w:rsid w:val="009644CB"/>
    <w:rsid w:val="00A97DCB"/>
    <w:rsid w:val="00AD467F"/>
    <w:rsid w:val="00AE0B8A"/>
    <w:rsid w:val="00B2764B"/>
    <w:rsid w:val="00B86113"/>
    <w:rsid w:val="00BC66C9"/>
    <w:rsid w:val="00C254D1"/>
    <w:rsid w:val="00C75314"/>
    <w:rsid w:val="00CD1F3F"/>
    <w:rsid w:val="00D14B8D"/>
    <w:rsid w:val="00D622CD"/>
    <w:rsid w:val="00E34023"/>
    <w:rsid w:val="00E9509E"/>
    <w:rsid w:val="00EA1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B805D38"/>
  <w15:chartTrackingRefBased/>
  <w15:docId w15:val="{339E2B6F-BB75-4148-AE57-997664FED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4FB7"/>
    <w:rPr>
      <w:rFonts w:ascii="Calibri" w:eastAsia="Calibri" w:hAnsi="Calibri" w:cs="Times New Roman"/>
    </w:rPr>
  </w:style>
  <w:style w:type="paragraph" w:styleId="Heading1">
    <w:name w:val="heading 1"/>
    <w:basedOn w:val="Normal"/>
    <w:next w:val="Normal"/>
    <w:link w:val="Heading1Char"/>
    <w:uiPriority w:val="9"/>
    <w:qFormat/>
    <w:rsid w:val="00284FB7"/>
    <w:pPr>
      <w:keepNext/>
      <w:keepLines/>
      <w:spacing w:before="240" w:after="0" w:line="276" w:lineRule="auto"/>
      <w:outlineLvl w:val="0"/>
    </w:pPr>
    <w:rPr>
      <w:rFonts w:ascii="Calibri Light" w:eastAsia="Times New Roman" w:hAnsi="Calibri Light"/>
      <w:color w:val="2E74B5"/>
      <w:sz w:val="32"/>
      <w:szCs w:val="32"/>
      <w:lang w:eastAsia="zh-CN"/>
    </w:rPr>
  </w:style>
  <w:style w:type="paragraph" w:styleId="Heading3">
    <w:name w:val="heading 3"/>
    <w:basedOn w:val="Normal"/>
    <w:next w:val="Normal"/>
    <w:link w:val="Heading3Char"/>
    <w:uiPriority w:val="9"/>
    <w:unhideWhenUsed/>
    <w:qFormat/>
    <w:rsid w:val="00284FB7"/>
    <w:pPr>
      <w:keepNext/>
      <w:keepLines/>
      <w:spacing w:before="40" w:after="0" w:line="276" w:lineRule="auto"/>
      <w:outlineLvl w:val="2"/>
    </w:pPr>
    <w:rPr>
      <w:rFonts w:ascii="Calibri Light" w:eastAsia="Times New Roman" w:hAnsi="Calibri Light"/>
      <w:color w:val="1F4E79"/>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4FB7"/>
    <w:rPr>
      <w:rFonts w:ascii="Calibri Light" w:eastAsia="Times New Roman" w:hAnsi="Calibri Light" w:cs="Times New Roman"/>
      <w:color w:val="2E74B5"/>
      <w:sz w:val="32"/>
      <w:szCs w:val="32"/>
      <w:lang w:eastAsia="zh-CN"/>
    </w:rPr>
  </w:style>
  <w:style w:type="character" w:customStyle="1" w:styleId="Heading3Char">
    <w:name w:val="Heading 3 Char"/>
    <w:basedOn w:val="DefaultParagraphFont"/>
    <w:link w:val="Heading3"/>
    <w:uiPriority w:val="9"/>
    <w:rsid w:val="00284FB7"/>
    <w:rPr>
      <w:rFonts w:ascii="Calibri Light" w:eastAsia="Times New Roman" w:hAnsi="Calibri Light" w:cs="Times New Roman"/>
      <w:color w:val="1F4E79"/>
      <w:sz w:val="24"/>
      <w:szCs w:val="24"/>
      <w:lang w:eastAsia="zh-CN"/>
    </w:rPr>
  </w:style>
  <w:style w:type="paragraph" w:styleId="NormalWeb">
    <w:name w:val="Normal (Web)"/>
    <w:basedOn w:val="Normal"/>
    <w:uiPriority w:val="99"/>
    <w:unhideWhenUsed/>
    <w:rsid w:val="00284FB7"/>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284FB7"/>
    <w:rPr>
      <w:b/>
      <w:bCs/>
    </w:rPr>
  </w:style>
  <w:style w:type="character" w:styleId="Emphasis">
    <w:name w:val="Emphasis"/>
    <w:uiPriority w:val="20"/>
    <w:qFormat/>
    <w:rsid w:val="00284FB7"/>
    <w:rPr>
      <w:i/>
      <w:iCs/>
    </w:rPr>
  </w:style>
  <w:style w:type="character" w:styleId="Hyperlink">
    <w:name w:val="Hyperlink"/>
    <w:uiPriority w:val="99"/>
    <w:unhideWhenUsed/>
    <w:rsid w:val="00284FB7"/>
    <w:rPr>
      <w:color w:val="0000FF"/>
      <w:u w:val="single"/>
    </w:rPr>
  </w:style>
  <w:style w:type="paragraph" w:styleId="BodyText2">
    <w:name w:val="Body Text 2"/>
    <w:basedOn w:val="Normal"/>
    <w:link w:val="BodyText2Char"/>
    <w:uiPriority w:val="99"/>
    <w:unhideWhenUsed/>
    <w:rsid w:val="00284FB7"/>
    <w:pPr>
      <w:spacing w:after="120" w:line="480" w:lineRule="auto"/>
    </w:pPr>
  </w:style>
  <w:style w:type="character" w:customStyle="1" w:styleId="BodyText2Char">
    <w:name w:val="Body Text 2 Char"/>
    <w:basedOn w:val="DefaultParagraphFont"/>
    <w:link w:val="BodyText2"/>
    <w:uiPriority w:val="99"/>
    <w:rsid w:val="00284FB7"/>
    <w:rPr>
      <w:rFonts w:ascii="Calibri" w:eastAsia="Calibri" w:hAnsi="Calibri" w:cs="Times New Roman"/>
    </w:rPr>
  </w:style>
  <w:style w:type="paragraph" w:styleId="Header">
    <w:name w:val="header"/>
    <w:basedOn w:val="Normal"/>
    <w:link w:val="HeaderChar"/>
    <w:uiPriority w:val="99"/>
    <w:unhideWhenUsed/>
    <w:rsid w:val="006307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075C"/>
    <w:rPr>
      <w:rFonts w:ascii="Calibri" w:eastAsia="Calibri" w:hAnsi="Calibri" w:cs="Times New Roman"/>
    </w:rPr>
  </w:style>
  <w:style w:type="paragraph" w:styleId="Footer">
    <w:name w:val="footer"/>
    <w:basedOn w:val="Normal"/>
    <w:link w:val="FooterChar"/>
    <w:uiPriority w:val="99"/>
    <w:unhideWhenUsed/>
    <w:rsid w:val="006307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075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spPr>
            <a:solidFill>
              <a:schemeClr val="accent4"/>
            </a:solidFill>
            <a:ln w="9525" cap="flat" cmpd="sng" algn="ctr">
              <a:solidFill>
                <a:schemeClr val="accent1">
                  <a:shade val="95000"/>
                </a:schemeClr>
              </a:solidFill>
              <a:round/>
            </a:ln>
            <a:effectLst/>
          </c:spPr>
          <c:invertIfNegative val="0"/>
          <c:dLbls>
            <c:dLbl>
              <c:idx val="0"/>
              <c:layout>
                <c:manualLayout>
                  <c:x val="-1.7004634478885834E-16"/>
                  <c:y val="0"/>
                </c:manualLayout>
              </c:layout>
              <c:tx>
                <c:rich>
                  <a:bodyPr/>
                  <a:lstStyle/>
                  <a:p>
                    <a:r>
                      <a:rPr lang="en-US"/>
                      <a:t>83.30%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BF7-4A86-8FFF-984AFDA276CC}"/>
                </c:ext>
              </c:extLst>
            </c:dLbl>
            <c:dLbl>
              <c:idx val="1"/>
              <c:tx>
                <c:rich>
                  <a:bodyPr/>
                  <a:lstStyle/>
                  <a:p>
                    <a:r>
                      <a:rPr lang="en-US"/>
                      <a:t>2.1 %</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BF7-4A86-8FFF-984AFDA276CC}"/>
                </c:ext>
              </c:extLst>
            </c:dLbl>
            <c:dLbl>
              <c:idx val="2"/>
              <c:tx>
                <c:rich>
                  <a:bodyPr/>
                  <a:lstStyle/>
                  <a:p>
                    <a:r>
                      <a:rPr lang="en-US"/>
                      <a:t>9.40%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BF7-4A86-8FFF-984AFDA276CC}"/>
                </c:ext>
              </c:extLst>
            </c:dLbl>
            <c:dLbl>
              <c:idx val="3"/>
              <c:tx>
                <c:rich>
                  <a:bodyPr/>
                  <a:lstStyle/>
                  <a:p>
                    <a:r>
                      <a:rPr lang="en-US"/>
                      <a:t>5.20%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BF7-4A86-8FFF-984AFDA276CC}"/>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50000"/>
                        <a:lumOff val="50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Sheet4!$C$27:$C$30</c:f>
              <c:strCache>
                <c:ptCount val="4"/>
                <c:pt idx="0">
                  <c:v>no malnutrition </c:v>
                </c:pt>
                <c:pt idx="1">
                  <c:v>stunting__low_height_for_age</c:v>
                </c:pt>
                <c:pt idx="2">
                  <c:v>underweight__low_weight_for_age</c:v>
                </c:pt>
                <c:pt idx="3">
                  <c:v>wasting__low_weight_for_height</c:v>
                </c:pt>
              </c:strCache>
            </c:strRef>
          </c:cat>
          <c:val>
            <c:numRef>
              <c:f>Sheet4!$D$27:$D$30</c:f>
              <c:numCache>
                <c:formatCode>General</c:formatCode>
                <c:ptCount val="4"/>
                <c:pt idx="0">
                  <c:v>83.3</c:v>
                </c:pt>
                <c:pt idx="1">
                  <c:v>2.1</c:v>
                </c:pt>
                <c:pt idx="2">
                  <c:v>9.4</c:v>
                </c:pt>
                <c:pt idx="3">
                  <c:v>5.2</c:v>
                </c:pt>
              </c:numCache>
            </c:numRef>
          </c:val>
          <c:extLst>
            <c:ext xmlns:c16="http://schemas.microsoft.com/office/drawing/2014/chart" uri="{C3380CC4-5D6E-409C-BE32-E72D297353CC}">
              <c16:uniqueId val="{00000004-ABF7-4A86-8FFF-984AFDA276CC}"/>
            </c:ext>
          </c:extLst>
        </c:ser>
        <c:dLbls>
          <c:showLegendKey val="0"/>
          <c:showVal val="0"/>
          <c:showCatName val="0"/>
          <c:showSerName val="0"/>
          <c:showPercent val="0"/>
          <c:showBubbleSize val="0"/>
        </c:dLbls>
        <c:gapWidth val="100"/>
        <c:axId val="-408950288"/>
        <c:axId val="-408956272"/>
      </c:barChart>
      <c:catAx>
        <c:axId val="-40895028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50000"/>
                    <a:lumOff val="50000"/>
                  </a:schemeClr>
                </a:solidFill>
                <a:latin typeface="Arial" panose="020B0604020202020204" pitchFamily="34" charset="0"/>
                <a:ea typeface="+mn-ea"/>
                <a:cs typeface="Arial" panose="020B0604020202020204" pitchFamily="34" charset="0"/>
              </a:defRPr>
            </a:pPr>
            <a:endParaRPr lang="en-US"/>
          </a:p>
        </c:txPr>
        <c:crossAx val="-408956272"/>
        <c:crosses val="autoZero"/>
        <c:auto val="1"/>
        <c:lblAlgn val="ctr"/>
        <c:lblOffset val="100"/>
        <c:noMultiLvlLbl val="0"/>
      </c:catAx>
      <c:valAx>
        <c:axId val="-40895627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n-US"/>
          </a:p>
        </c:txPr>
        <c:crossAx val="-4089502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Sheet1!$D$21</c:f>
              <c:strCache>
                <c:ptCount val="1"/>
                <c:pt idx="0">
                  <c:v>Percent (%)</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Sheet1!$C$22:$C$26</c:f>
              <c:strCache>
                <c:ptCount val="5"/>
                <c:pt idx="0">
                  <c:v>Lack of knowledge</c:v>
                </c:pt>
                <c:pt idx="1">
                  <c:v>Financial constraints</c:v>
                </c:pt>
                <c:pt idx="2">
                  <c:v>No issue</c:v>
                </c:pt>
                <c:pt idx="3">
                  <c:v>Poor access to nutritious food</c:v>
                </c:pt>
                <c:pt idx="4">
                  <c:v>Cultural beliefs</c:v>
                </c:pt>
              </c:strCache>
            </c:strRef>
          </c:cat>
          <c:val>
            <c:numRef>
              <c:f>Sheet1!$D$22:$D$26</c:f>
              <c:numCache>
                <c:formatCode>0.00%</c:formatCode>
                <c:ptCount val="5"/>
                <c:pt idx="0">
                  <c:v>0.41699999999999998</c:v>
                </c:pt>
                <c:pt idx="1">
                  <c:v>0.24</c:v>
                </c:pt>
                <c:pt idx="2">
                  <c:v>0.30199999999999999</c:v>
                </c:pt>
                <c:pt idx="3">
                  <c:v>3.1E-2</c:v>
                </c:pt>
                <c:pt idx="4">
                  <c:v>0.01</c:v>
                </c:pt>
              </c:numCache>
            </c:numRef>
          </c:val>
          <c:extLst>
            <c:ext xmlns:c16="http://schemas.microsoft.com/office/drawing/2014/chart" uri="{C3380CC4-5D6E-409C-BE32-E72D297353CC}">
              <c16:uniqueId val="{00000000-691B-439B-AEBD-FF0FCEDF6D80}"/>
            </c:ext>
          </c:extLst>
        </c:ser>
        <c:dLbls>
          <c:dLblPos val="inEnd"/>
          <c:showLegendKey val="0"/>
          <c:showVal val="1"/>
          <c:showCatName val="0"/>
          <c:showSerName val="0"/>
          <c:showPercent val="0"/>
          <c:showBubbleSize val="0"/>
        </c:dLbls>
        <c:gapWidth val="100"/>
        <c:overlap val="-24"/>
        <c:axId val="-625376880"/>
        <c:axId val="-625382864"/>
      </c:barChart>
      <c:catAx>
        <c:axId val="-625376880"/>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625382864"/>
        <c:crosses val="autoZero"/>
        <c:auto val="1"/>
        <c:lblAlgn val="ctr"/>
        <c:lblOffset val="100"/>
        <c:noMultiLvlLbl val="0"/>
      </c:catAx>
      <c:valAx>
        <c:axId val="-625382864"/>
        <c:scaling>
          <c:orientation val="minMax"/>
        </c:scaling>
        <c:delete val="0"/>
        <c:axPos val="l"/>
        <c:majorGridlines>
          <c:spPr>
            <a:ln w="9525" cap="flat" cmpd="sng" algn="ctr">
              <a:solidFill>
                <a:schemeClr val="tx2">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6253768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Sheet1!$E$46</c:f>
              <c:strCache>
                <c:ptCount val="1"/>
                <c:pt idx="0">
                  <c:v>Percent (%)</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198-43B5-B11F-D8778065471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198-43B5-B11F-D8778065471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Sheet1!$D$47:$D$48</c:f>
              <c:strCache>
                <c:ptCount val="2"/>
                <c:pt idx="0">
                  <c:v>Yes</c:v>
                </c:pt>
                <c:pt idx="1">
                  <c:v>No</c:v>
                </c:pt>
              </c:strCache>
            </c:strRef>
          </c:cat>
          <c:val>
            <c:numRef>
              <c:f>Sheet1!$E$47:$E$48</c:f>
              <c:numCache>
                <c:formatCode>0.00%</c:formatCode>
                <c:ptCount val="2"/>
                <c:pt idx="0">
                  <c:v>0.95799999999999996</c:v>
                </c:pt>
                <c:pt idx="1">
                  <c:v>4.2000000000000003E-2</c:v>
                </c:pt>
              </c:numCache>
            </c:numRef>
          </c:val>
          <c:extLst>
            <c:ext xmlns:c16="http://schemas.microsoft.com/office/drawing/2014/chart" uri="{C3380CC4-5D6E-409C-BE32-E72D297353CC}">
              <c16:uniqueId val="{00000004-F198-43B5-B11F-D87780654717}"/>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Reversed" id="22">
  <a:schemeClr val="accent2"/>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9">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326CFA2C-00EB-406F-94C3-B9AB81924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22</Pages>
  <Words>29714</Words>
  <Characters>169375</Characters>
  <Application>Microsoft Office Word</Application>
  <DocSecurity>0</DocSecurity>
  <Lines>1411</Lines>
  <Paragraphs>397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CHUKWUMA OKAFOR</dc:creator>
  <cp:keywords/>
  <dc:description/>
  <cp:lastModifiedBy>DR CHUKWUMA OKAFOR</cp:lastModifiedBy>
  <cp:revision>7</cp:revision>
  <dcterms:created xsi:type="dcterms:W3CDTF">2026-02-01T10:01:00Z</dcterms:created>
  <dcterms:modified xsi:type="dcterms:W3CDTF">2026-02-01T10:35:00Z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34c36223-f3ad-44a7-810f-8b794bf08df8</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http://www.zotero.org/styles/chicago-note-bibliography</vt:lpwstr>
  </property>
  <property fmtid="{D5CDD505-2E9C-101B-9397-08002B2CF9AE}" pid="14" name="Mendeley Recent Style Name 5_1">
    <vt:lpwstr>Chicago Manual of Style 17th edition (note)</vt:lpwstr>
  </property>
  <property fmtid="{D5CDD505-2E9C-101B-9397-08002B2CF9AE}" pid="15" name="Mendeley Recent Style Id 6_1">
    <vt:lpwstr>http://www.zotero.org/styles/harvard1</vt:lpwstr>
  </property>
  <property fmtid="{D5CDD505-2E9C-101B-9397-08002B2CF9AE}" pid="16" name="Mendeley Recent Style Name 6_1">
    <vt:lpwstr>Harvard reference format 1 (deprecated)</vt:lpwstr>
  </property>
  <property fmtid="{D5CDD505-2E9C-101B-9397-08002B2CF9AE}" pid="17" name="Mendeley Recent Style Id 7_1">
    <vt:lpwstr>http://www.zotero.org/styles/ieee</vt:lpwstr>
  </property>
  <property fmtid="{D5CDD505-2E9C-101B-9397-08002B2CF9AE}" pid="18" name="Mendeley Recent Style Name 7_1">
    <vt:lpwstr>IEEE</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y fmtid="{D5CDD505-2E9C-101B-9397-08002B2CF9AE}" pid="23" name="Mendeley Document_1">
    <vt:lpwstr>True</vt:lpwstr>
  </property>
  <property fmtid="{D5CDD505-2E9C-101B-9397-08002B2CF9AE}" pid="24" name="Mendeley Unique User Id_1">
    <vt:lpwstr>cccce271-7dd1-3059-84fe-b8fbeaa9ff09</vt:lpwstr>
  </property>
  <property fmtid="{D5CDD505-2E9C-101B-9397-08002B2CF9AE}" pid="25" name="Mendeley Citation Style_1">
    <vt:lpwstr>http://www.zotero.org/styles/ieee</vt:lpwstr>
  </property>
</Properties>
</file>