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26F4F" w14:textId="71780CA0" w:rsidR="005A55E0" w:rsidRDefault="005A55E0" w:rsidP="00CA26EA">
      <w:pPr>
        <w:spacing w:after="0" w:line="360" w:lineRule="auto"/>
        <w:rPr>
          <w:rFonts w:ascii="Times New Roman" w:hAnsi="Times New Roman" w:cs="Times New Roman"/>
          <w:b/>
          <w:bCs/>
        </w:rPr>
      </w:pPr>
      <w:r w:rsidRPr="005A55E0">
        <w:rPr>
          <w:rFonts w:ascii="Times New Roman" w:hAnsi="Times New Roman" w:cs="Times New Roman"/>
          <w:b/>
          <w:bCs/>
        </w:rPr>
        <w:t xml:space="preserve">Economic Viability and Cost Efficiency of </w:t>
      </w:r>
      <w:proofErr w:type="spellStart"/>
      <w:r w:rsidRPr="005A55E0">
        <w:rPr>
          <w:rFonts w:ascii="Times New Roman" w:hAnsi="Times New Roman" w:cs="Times New Roman"/>
          <w:b/>
          <w:bCs/>
        </w:rPr>
        <w:t>Cocodust</w:t>
      </w:r>
      <w:proofErr w:type="spellEnd"/>
      <w:r w:rsidRPr="005A55E0">
        <w:rPr>
          <w:rFonts w:ascii="Times New Roman" w:hAnsi="Times New Roman" w:cs="Times New Roman"/>
          <w:b/>
          <w:bCs/>
        </w:rPr>
        <w:t>-Based Nursery Systems in Vegetable Farming in Bangladesh</w:t>
      </w:r>
    </w:p>
    <w:p w14:paraId="69236375" w14:textId="77777777" w:rsidR="00421E87" w:rsidRDefault="00421E87" w:rsidP="00CA26EA">
      <w:pPr>
        <w:spacing w:after="0" w:line="360" w:lineRule="auto"/>
        <w:rPr>
          <w:rFonts w:ascii="Times New Roman" w:hAnsi="Times New Roman" w:cs="Times New Roman"/>
          <w:b/>
          <w:bCs/>
        </w:rPr>
      </w:pPr>
    </w:p>
    <w:p w14:paraId="7BCC4EBB" w14:textId="2F805400" w:rsidR="006C05BF" w:rsidRPr="006C05BF" w:rsidRDefault="006C05BF" w:rsidP="00CA26EA">
      <w:pPr>
        <w:spacing w:after="0" w:line="360" w:lineRule="auto"/>
        <w:rPr>
          <w:rFonts w:ascii="Times New Roman" w:hAnsi="Times New Roman" w:cs="Times New Roman"/>
          <w:b/>
          <w:bCs/>
        </w:rPr>
      </w:pPr>
      <w:r w:rsidRPr="006C05BF">
        <w:rPr>
          <w:rFonts w:ascii="Times New Roman" w:hAnsi="Times New Roman" w:cs="Times New Roman"/>
          <w:b/>
          <w:bCs/>
        </w:rPr>
        <w:t>Abstract</w:t>
      </w:r>
    </w:p>
    <w:p w14:paraId="450C037D" w14:textId="5C3754B9" w:rsidR="0086198E" w:rsidRPr="0086198E" w:rsidRDefault="00AE76E6" w:rsidP="0086198E">
      <w:pPr>
        <w:pStyle w:val="NormalWeb"/>
        <w:spacing w:before="0" w:beforeAutospacing="0" w:after="0" w:afterAutospacing="0" w:line="360" w:lineRule="auto"/>
        <w:jc w:val="both"/>
      </w:pPr>
      <w:r>
        <w:t>Seedling quality is a critical determinant of productivity, input-use efficiency, and profitability in vegetable farming</w:t>
      </w:r>
      <w:r w:rsidR="002E7761">
        <w:t xml:space="preserve">. However, despite the growing adoption of </w:t>
      </w:r>
      <w:proofErr w:type="spellStart"/>
      <w:r w:rsidR="002E7761" w:rsidRPr="002E7761">
        <w:rPr>
          <w:lang w:val="en-US"/>
        </w:rPr>
        <w:t>cocodust</w:t>
      </w:r>
      <w:proofErr w:type="spellEnd"/>
      <w:r w:rsidR="002E7761" w:rsidRPr="002E7761">
        <w:rPr>
          <w:lang w:val="en-US"/>
        </w:rPr>
        <w:t>-based nurseries</w:t>
      </w:r>
      <w:r w:rsidR="002E7761">
        <w:rPr>
          <w:lang w:val="en-US"/>
        </w:rPr>
        <w:t xml:space="preserve"> </w:t>
      </w:r>
      <w:r>
        <w:t>in Bangladesh</w:t>
      </w:r>
      <w:r w:rsidR="002E7761">
        <w:t xml:space="preserve">, </w:t>
      </w:r>
      <w:r w:rsidR="002E7761" w:rsidRPr="002E7761">
        <w:rPr>
          <w:lang w:val="en-US"/>
        </w:rPr>
        <w:t>their farm-level economic performance remains poorly quantified.</w:t>
      </w:r>
      <w:r>
        <w:t xml:space="preserve"> This study assessed the economic viability of </w:t>
      </w:r>
      <w:proofErr w:type="spellStart"/>
      <w:r>
        <w:t>cocodust</w:t>
      </w:r>
      <w:proofErr w:type="spellEnd"/>
      <w:r>
        <w:t xml:space="preserve"> nursery technology u</w:t>
      </w:r>
      <w:r w:rsidRPr="00BE5044">
        <w:t>sing a farm-level comparative mixed-methods design</w:t>
      </w:r>
      <w:r w:rsidR="0086198E">
        <w:t>.</w:t>
      </w:r>
      <w:r w:rsidRPr="00BE5044">
        <w:t xml:space="preserve"> </w:t>
      </w:r>
      <w:r w:rsidR="0086198E">
        <w:t>D</w:t>
      </w:r>
      <w:r w:rsidRPr="00BE5044">
        <w:t>ata were collected from 80 vegetable farmers selected through stratified random sampling and</w:t>
      </w:r>
      <w:r>
        <w:t xml:space="preserve"> grouped into </w:t>
      </w:r>
      <w:proofErr w:type="spellStart"/>
      <w:r>
        <w:t>cocodust</w:t>
      </w:r>
      <w:proofErr w:type="spellEnd"/>
      <w:r>
        <w:t xml:space="preserve"> </w:t>
      </w:r>
      <w:r w:rsidR="00A82205">
        <w:t>user’s</w:t>
      </w:r>
      <w:r>
        <w:t xml:space="preserve"> vs</w:t>
      </w:r>
      <w:r w:rsidRPr="00BE5044">
        <w:t xml:space="preserve"> traditional nursery users. </w:t>
      </w:r>
      <w:r>
        <w:t>A detailed cost–benefit analysis was conducted and differences between nursery systems were</w:t>
      </w:r>
      <w:r w:rsidRPr="00BE5044">
        <w:t xml:space="preserve"> </w:t>
      </w:r>
      <w:r w:rsidR="0086198E" w:rsidRPr="00BE5044">
        <w:t>analysed</w:t>
      </w:r>
      <w:r w:rsidRPr="00BE5044">
        <w:t xml:space="preserve"> using independent two-sample Welch’s t-tests.</w:t>
      </w:r>
      <w:r>
        <w:t xml:space="preserve"> The results show that </w:t>
      </w:r>
      <w:proofErr w:type="spellStart"/>
      <w:r>
        <w:t>cocodust</w:t>
      </w:r>
      <w:proofErr w:type="spellEnd"/>
      <w:r>
        <w:t>-based nurseries incurred higher seedling costs, increasin</w:t>
      </w:r>
      <w:r w:rsidR="0001077A">
        <w:t>g by approximately 50–90%</w:t>
      </w:r>
      <w:r>
        <w:t xml:space="preserve"> for most crops</w:t>
      </w:r>
      <w:r w:rsidR="0086198E">
        <w:t>.</w:t>
      </w:r>
      <w:r>
        <w:t xml:space="preserve"> </w:t>
      </w:r>
      <w:r w:rsidR="0086198E">
        <w:t>H</w:t>
      </w:r>
      <w:r>
        <w:t>owever, these higher initial costs were more than offset by significant reductions in subsequent input use. Fertilizer</w:t>
      </w:r>
      <w:r w:rsidR="0001077A">
        <w:t xml:space="preserve"> costs declined by 18–38%</w:t>
      </w:r>
      <w:r>
        <w:t>, p</w:t>
      </w:r>
      <w:r w:rsidR="0001077A">
        <w:t xml:space="preserve">esticide costs by up to 33%, </w:t>
      </w:r>
      <w:proofErr w:type="spellStart"/>
      <w:r w:rsidR="0001077A">
        <w:t>labor</w:t>
      </w:r>
      <w:proofErr w:type="spellEnd"/>
      <w:r w:rsidR="0001077A">
        <w:t xml:space="preserve"> costs by 16–40%</w:t>
      </w:r>
      <w:r>
        <w:t xml:space="preserve">, intercultural </w:t>
      </w:r>
      <w:r w:rsidR="0001077A">
        <w:t>operation costs by 30–65%</w:t>
      </w:r>
      <w:r>
        <w:t>, irri</w:t>
      </w:r>
      <w:r w:rsidR="0001077A">
        <w:t>gation costs by up to 22</w:t>
      </w:r>
      <w:r w:rsidR="0086198E">
        <w:t>%</w:t>
      </w:r>
      <w:r>
        <w:t>, an</w:t>
      </w:r>
      <w:r w:rsidR="0001077A">
        <w:t xml:space="preserve">d pole and fence costs by 12–42% </w:t>
      </w:r>
      <w:r>
        <w:t xml:space="preserve">under </w:t>
      </w:r>
      <w:proofErr w:type="spellStart"/>
      <w:r>
        <w:t>cocodust</w:t>
      </w:r>
      <w:proofErr w:type="spellEnd"/>
      <w:r>
        <w:t>-based systems. Consequently, total prod</w:t>
      </w:r>
      <w:r w:rsidR="0001077A">
        <w:t xml:space="preserve">uction costs decreased by 14–24% </w:t>
      </w:r>
      <w:r>
        <w:t>across crops, leading to substantial gains in net profitability. Net profit increased significantly for all vegetables, with improvements rangi</w:t>
      </w:r>
      <w:r w:rsidR="0001077A">
        <w:t>ng from approximately 29</w:t>
      </w:r>
      <w:r w:rsidR="0086198E">
        <w:t>–</w:t>
      </w:r>
      <w:r w:rsidR="0001077A">
        <w:t>60%</w:t>
      </w:r>
      <w:r>
        <w:t xml:space="preserve"> compared with traditional nursery practices. </w:t>
      </w:r>
      <w:r w:rsidR="0086198E" w:rsidRPr="0086198E">
        <w:t xml:space="preserve">Overall, the findings indicate that </w:t>
      </w:r>
      <w:proofErr w:type="spellStart"/>
      <w:r w:rsidR="0086198E" w:rsidRPr="0086198E">
        <w:t>cocodust</w:t>
      </w:r>
      <w:proofErr w:type="spellEnd"/>
      <w:r w:rsidR="0086198E" w:rsidRPr="0086198E">
        <w:t xml:space="preserve"> nursery technology enhances input-use efficiency and reduces total production costs. </w:t>
      </w:r>
      <w:r w:rsidR="0086198E">
        <w:t>This technology</w:t>
      </w:r>
      <w:r w:rsidR="0086198E" w:rsidRPr="0086198E">
        <w:t xml:space="preserve"> also significantly </w:t>
      </w:r>
      <w:proofErr w:type="gramStart"/>
      <w:r w:rsidR="0086198E" w:rsidRPr="0086198E">
        <w:t>improve</w:t>
      </w:r>
      <w:proofErr w:type="gramEnd"/>
      <w:r w:rsidR="0086198E" w:rsidRPr="0086198E">
        <w:t xml:space="preserve"> farm profitability, suggesting a financially viable and scalable option for promoting sustainable vegetable production and income growth among smallholder farmers in Bangladesh.</w:t>
      </w:r>
    </w:p>
    <w:p w14:paraId="79304974" w14:textId="64EA6C3D" w:rsidR="00050949" w:rsidRPr="00050949" w:rsidRDefault="00050949" w:rsidP="0086198E">
      <w:pPr>
        <w:pStyle w:val="NormalWeb"/>
        <w:spacing w:before="0" w:beforeAutospacing="0" w:after="0" w:afterAutospacing="0" w:line="360" w:lineRule="auto"/>
        <w:jc w:val="both"/>
      </w:pPr>
      <w:r w:rsidRPr="00EC6FBF">
        <w:rPr>
          <w:b/>
          <w:bCs/>
        </w:rPr>
        <w:t>Keywords:</w:t>
      </w:r>
      <w:r w:rsidRPr="00050949">
        <w:t xml:space="preserve"> </w:t>
      </w:r>
      <w:proofErr w:type="spellStart"/>
      <w:r w:rsidR="0086198E" w:rsidRPr="0086198E">
        <w:rPr>
          <w:lang w:val="en-US"/>
        </w:rPr>
        <w:t>Cocodust</w:t>
      </w:r>
      <w:proofErr w:type="spellEnd"/>
      <w:r w:rsidR="0086198E" w:rsidRPr="0086198E">
        <w:rPr>
          <w:lang w:val="en-US"/>
        </w:rPr>
        <w:t xml:space="preserve"> nursery; Vegetable farming; Input-use efficiency; Cost–benefit analysis; Bangladesh</w:t>
      </w:r>
      <w:r w:rsidR="0086198E">
        <w:rPr>
          <w:lang w:val="en-US"/>
        </w:rPr>
        <w:t xml:space="preserve"> </w:t>
      </w:r>
    </w:p>
    <w:p w14:paraId="4C250B4E" w14:textId="30CB4298" w:rsidR="00087384" w:rsidRPr="00087384" w:rsidRDefault="000D303D" w:rsidP="00CA26EA">
      <w:pPr>
        <w:spacing w:after="0" w:line="360" w:lineRule="auto"/>
        <w:rPr>
          <w:rFonts w:ascii="Times New Roman" w:hAnsi="Times New Roman" w:cs="Times New Roman"/>
          <w:b/>
          <w:bCs/>
        </w:rPr>
      </w:pPr>
      <w:r>
        <w:rPr>
          <w:rFonts w:ascii="Times New Roman" w:hAnsi="Times New Roman" w:cs="Times New Roman"/>
          <w:b/>
          <w:bCs/>
        </w:rPr>
        <w:t xml:space="preserve">1 </w:t>
      </w:r>
      <w:r w:rsidR="002D0E43">
        <w:rPr>
          <w:rFonts w:ascii="Times New Roman" w:hAnsi="Times New Roman" w:cs="Times New Roman"/>
          <w:b/>
          <w:bCs/>
        </w:rPr>
        <w:t>Introduction</w:t>
      </w:r>
    </w:p>
    <w:p w14:paraId="71DBD06B" w14:textId="6D099507" w:rsidR="00087384" w:rsidRPr="00087384" w:rsidRDefault="00087384" w:rsidP="00CA26EA">
      <w:pPr>
        <w:spacing w:after="0" w:line="360" w:lineRule="auto"/>
        <w:jc w:val="both"/>
        <w:rPr>
          <w:rFonts w:ascii="Times New Roman" w:hAnsi="Times New Roman" w:cs="Times New Roman"/>
        </w:rPr>
      </w:pPr>
      <w:r w:rsidRPr="00087384">
        <w:rPr>
          <w:rFonts w:ascii="Times New Roman" w:hAnsi="Times New Roman" w:cs="Times New Roman"/>
        </w:rPr>
        <w:t xml:space="preserve">Vegetable farming plays a strategically important role in Bangladesh’s agricultural economy by contributing to food and nutritional security, employment generation, and income diversification for smallholder farmers. Vegetables are rich sources of essential micronutrients and vitamins, and their consumption is critical for addressing malnutrition and hidden hunger. In addition, vegetable crops generally offer higher economic returns per unit area compared to cereals, making them an </w:t>
      </w:r>
      <w:r w:rsidRPr="00087384">
        <w:rPr>
          <w:rFonts w:ascii="Times New Roman" w:hAnsi="Times New Roman" w:cs="Times New Roman"/>
        </w:rPr>
        <w:lastRenderedPageBreak/>
        <w:t>attractive option for resource-poor farmers (BBS 2023; FAO 2022). In response to population growth, rapid urbanization, and changing dietary preferences, demand for vegetables in Bangladesh has increased steadily over the past two decades. However, despite favorable market conditions, vegetable productivity and profitability remain below potential.</w:t>
      </w:r>
      <w:r w:rsidR="00352443">
        <w:rPr>
          <w:rFonts w:ascii="Times New Roman" w:hAnsi="Times New Roman" w:cs="Times New Roman"/>
        </w:rPr>
        <w:t xml:space="preserve"> </w:t>
      </w:r>
      <w:r w:rsidRPr="00087384">
        <w:rPr>
          <w:rFonts w:ascii="Times New Roman" w:hAnsi="Times New Roman" w:cs="Times New Roman"/>
        </w:rPr>
        <w:t>One of the major constraints limiting economic productivity in vegetable farming is the use of poor-quality seedlings produced in traditional soil-based nurseries</w:t>
      </w:r>
      <w:r w:rsidR="003A35F0">
        <w:rPr>
          <w:rFonts w:ascii="Times New Roman" w:hAnsi="Times New Roman" w:cs="Times New Roman"/>
        </w:rPr>
        <w:t xml:space="preserve"> (</w:t>
      </w:r>
      <w:r w:rsidR="003A35F0" w:rsidRPr="003A35F0">
        <w:rPr>
          <w:rFonts w:ascii="Times New Roman" w:hAnsi="Times New Roman" w:cs="Times New Roman"/>
        </w:rPr>
        <w:t>Girardin et al., 2004</w:t>
      </w:r>
      <w:r w:rsidR="003A35F0">
        <w:rPr>
          <w:rFonts w:ascii="Times New Roman" w:hAnsi="Times New Roman" w:cs="Times New Roman"/>
        </w:rPr>
        <w:t>)</w:t>
      </w:r>
      <w:r w:rsidRPr="00087384">
        <w:rPr>
          <w:rFonts w:ascii="Times New Roman" w:hAnsi="Times New Roman" w:cs="Times New Roman"/>
        </w:rPr>
        <w:t>. These nurseries are often characterized by poor sanitation, uneven nutrient supply, and high exposure to soil-borne pathogens. As a result, seedlings frequently exhibit weak root systems, non-uniform growth, and high mortality rates after transplanting. Transplant shock is common, leading to yield loss, delayed crop establishment, and increased need for replanting, all of which raise production costs and reduce farm profitability (Hossai</w:t>
      </w:r>
      <w:r w:rsidR="00B60C1A">
        <w:rPr>
          <w:rFonts w:ascii="Times New Roman" w:hAnsi="Times New Roman" w:cs="Times New Roman"/>
        </w:rPr>
        <w:t>n et al. 2019; Islam et al. 2020</w:t>
      </w:r>
      <w:r w:rsidRPr="00087384">
        <w:rPr>
          <w:rFonts w:ascii="Times New Roman" w:hAnsi="Times New Roman" w:cs="Times New Roman"/>
        </w:rPr>
        <w:t>).</w:t>
      </w:r>
      <w:r w:rsidR="0066052F">
        <w:rPr>
          <w:rFonts w:ascii="Times New Roman" w:hAnsi="Times New Roman" w:cs="Times New Roman"/>
        </w:rPr>
        <w:t xml:space="preserve"> </w:t>
      </w:r>
      <w:r w:rsidR="0066052F" w:rsidRPr="0066052F">
        <w:rPr>
          <w:rFonts w:ascii="Times New Roman" w:hAnsi="Times New Roman" w:cs="Times New Roman"/>
        </w:rPr>
        <w:t>Recent studies increasingly emphasize that seedling quality plays a decisive role in determining downstream input-use efficiency, crop resilience, and overall farm profitability, particularly in intensive vegetable systems of developing countries (Savvas &amp; Gruda, 2018</w:t>
      </w:r>
      <w:r w:rsidR="0066052F">
        <w:rPr>
          <w:rFonts w:ascii="Times New Roman" w:hAnsi="Times New Roman" w:cs="Times New Roman"/>
        </w:rPr>
        <w:t>)</w:t>
      </w:r>
      <w:r w:rsidR="0066052F" w:rsidRPr="0066052F">
        <w:rPr>
          <w:rFonts w:ascii="Times New Roman" w:hAnsi="Times New Roman" w:cs="Times New Roman"/>
        </w:rPr>
        <w:t>.</w:t>
      </w:r>
    </w:p>
    <w:p w14:paraId="33427CDD" w14:textId="5D42579B" w:rsidR="00087384" w:rsidRPr="00087384" w:rsidRDefault="00087384" w:rsidP="00CA26EA">
      <w:pPr>
        <w:spacing w:after="0" w:line="360" w:lineRule="auto"/>
        <w:jc w:val="both"/>
        <w:rPr>
          <w:rFonts w:ascii="Times New Roman" w:hAnsi="Times New Roman" w:cs="Times New Roman"/>
        </w:rPr>
      </w:pPr>
      <w:r w:rsidRPr="00087384">
        <w:rPr>
          <w:rFonts w:ascii="Times New Roman" w:hAnsi="Times New Roman" w:cs="Times New Roman"/>
        </w:rPr>
        <w:t>In addition to seedling-related problems, vegetable farmers face rising costs of key inputs such as fertilizers, pesticides, irrigation, and labor. Weak early crop establishment often compels farmers to apply higher doses of agrochemicals to compensate for poor plant vigor and pest susceptibility. Labor-intensive management practices</w:t>
      </w:r>
      <w:r w:rsidR="00352443">
        <w:rPr>
          <w:rFonts w:ascii="Times New Roman" w:hAnsi="Times New Roman" w:cs="Times New Roman"/>
        </w:rPr>
        <w:t xml:space="preserve"> </w:t>
      </w:r>
      <w:r w:rsidRPr="00087384">
        <w:rPr>
          <w:rFonts w:ascii="Times New Roman" w:hAnsi="Times New Roman" w:cs="Times New Roman"/>
        </w:rPr>
        <w:t>including repeated weeding, gap filling, pest control, and staking</w:t>
      </w:r>
      <w:r w:rsidR="0001266B">
        <w:rPr>
          <w:rFonts w:ascii="Times New Roman" w:hAnsi="Times New Roman" w:cs="Times New Roman"/>
        </w:rPr>
        <w:t xml:space="preserve"> </w:t>
      </w:r>
      <w:r w:rsidRPr="00087384">
        <w:rPr>
          <w:rFonts w:ascii="Times New Roman" w:hAnsi="Times New Roman" w:cs="Times New Roman"/>
        </w:rPr>
        <w:t>further increase variable costs. Labor scarcity and rising rural wage rates have intensified this challenge, making labor cost one of the most critical determinants of economic performance in vegetable farming systems (Rahma</w:t>
      </w:r>
      <w:r w:rsidR="00B60C1A">
        <w:rPr>
          <w:rFonts w:ascii="Times New Roman" w:hAnsi="Times New Roman" w:cs="Times New Roman"/>
        </w:rPr>
        <w:t>n et al. 2022</w:t>
      </w:r>
      <w:r w:rsidRPr="00087384">
        <w:rPr>
          <w:rFonts w:ascii="Times New Roman" w:hAnsi="Times New Roman" w:cs="Times New Roman"/>
        </w:rPr>
        <w:t>). Consequently, many farmers experience shrinking profit margins despite high market prices for vegetables.</w:t>
      </w:r>
      <w:r w:rsidR="00352443">
        <w:rPr>
          <w:rFonts w:ascii="Times New Roman" w:hAnsi="Times New Roman" w:cs="Times New Roman"/>
        </w:rPr>
        <w:t xml:space="preserve"> </w:t>
      </w:r>
      <w:r w:rsidRPr="00087384">
        <w:rPr>
          <w:rFonts w:ascii="Times New Roman" w:hAnsi="Times New Roman" w:cs="Times New Roman"/>
        </w:rPr>
        <w:t xml:space="preserve">In recent years, soilless nursery technologies have been promoted as a means to improve seedling quality and enhance production efficiency. Among these, </w:t>
      </w:r>
      <w:proofErr w:type="spellStart"/>
      <w:r w:rsidRPr="00087384">
        <w:rPr>
          <w:rFonts w:ascii="Times New Roman" w:hAnsi="Times New Roman" w:cs="Times New Roman"/>
        </w:rPr>
        <w:t>cocodust</w:t>
      </w:r>
      <w:proofErr w:type="spellEnd"/>
      <w:r w:rsidRPr="00087384">
        <w:rPr>
          <w:rFonts w:ascii="Times New Roman" w:hAnsi="Times New Roman" w:cs="Times New Roman"/>
        </w:rPr>
        <w:t xml:space="preserve">-based nursery systems have gained increasing attention. </w:t>
      </w:r>
      <w:proofErr w:type="spellStart"/>
      <w:r w:rsidRPr="00087384">
        <w:rPr>
          <w:rFonts w:ascii="Times New Roman" w:hAnsi="Times New Roman" w:cs="Times New Roman"/>
        </w:rPr>
        <w:t>Cocodust</w:t>
      </w:r>
      <w:proofErr w:type="spellEnd"/>
      <w:r w:rsidRPr="00087384">
        <w:rPr>
          <w:rFonts w:ascii="Times New Roman" w:hAnsi="Times New Roman" w:cs="Times New Roman"/>
        </w:rPr>
        <w:t>, a biodegradable by-product of coconut husk processing, is widely recognized for its high water-holding capacity, good aeration, low bulk density and pathogen-free nature. These properties create a favorable root-zone environment that promotes rapid and uniform seedling growth, reduces transplant shock, and enhances early crop</w:t>
      </w:r>
      <w:r w:rsidR="00BF6D55">
        <w:rPr>
          <w:rFonts w:ascii="Times New Roman" w:hAnsi="Times New Roman" w:cs="Times New Roman"/>
        </w:rPr>
        <w:t xml:space="preserve"> establishment (Abad et al. 2001; Evans et al. 1996</w:t>
      </w:r>
      <w:r w:rsidRPr="00087384">
        <w:rPr>
          <w:rFonts w:ascii="Times New Roman" w:hAnsi="Times New Roman" w:cs="Times New Roman"/>
        </w:rPr>
        <w:t>).</w:t>
      </w:r>
      <w:r w:rsidR="00352443">
        <w:rPr>
          <w:rFonts w:ascii="Times New Roman" w:hAnsi="Times New Roman" w:cs="Times New Roman"/>
        </w:rPr>
        <w:t xml:space="preserve"> </w:t>
      </w:r>
      <w:r w:rsidR="0066052F" w:rsidRPr="0066052F">
        <w:rPr>
          <w:rFonts w:ascii="Times New Roman" w:hAnsi="Times New Roman" w:cs="Times New Roman"/>
        </w:rPr>
        <w:t xml:space="preserve">More recent empirical evidence demonstrates that </w:t>
      </w:r>
      <w:proofErr w:type="spellStart"/>
      <w:r w:rsidR="0066052F" w:rsidRPr="0066052F">
        <w:rPr>
          <w:rFonts w:ascii="Times New Roman" w:hAnsi="Times New Roman" w:cs="Times New Roman"/>
        </w:rPr>
        <w:t>cocodust</w:t>
      </w:r>
      <w:proofErr w:type="spellEnd"/>
      <w:r w:rsidR="0066052F" w:rsidRPr="0066052F">
        <w:rPr>
          <w:rFonts w:ascii="Times New Roman" w:hAnsi="Times New Roman" w:cs="Times New Roman"/>
        </w:rPr>
        <w:t xml:space="preserve"> and other coir-based growing media improve seedling vigor, nutrient uptake, and yield performance in a range of vegetable crops, including tomato, cucumber, pepper, and lettuce, under both nursery and </w:t>
      </w:r>
      <w:r w:rsidR="0066052F" w:rsidRPr="0066052F">
        <w:rPr>
          <w:rFonts w:ascii="Times New Roman" w:hAnsi="Times New Roman" w:cs="Times New Roman"/>
        </w:rPr>
        <w:lastRenderedPageBreak/>
        <w:t xml:space="preserve">greenhouse conditions (Martins et al., 2023; He et al., 2022; </w:t>
      </w:r>
      <w:proofErr w:type="spellStart"/>
      <w:r w:rsidR="0066052F" w:rsidRPr="0066052F">
        <w:rPr>
          <w:rFonts w:ascii="Times New Roman" w:hAnsi="Times New Roman" w:cs="Times New Roman"/>
        </w:rPr>
        <w:t>Tuckeldoe</w:t>
      </w:r>
      <w:proofErr w:type="spellEnd"/>
      <w:r w:rsidR="0066052F" w:rsidRPr="0066052F">
        <w:rPr>
          <w:rFonts w:ascii="Times New Roman" w:hAnsi="Times New Roman" w:cs="Times New Roman"/>
        </w:rPr>
        <w:t xml:space="preserve"> et al., 2023).</w:t>
      </w:r>
      <w:r w:rsidR="0066052F">
        <w:rPr>
          <w:rFonts w:ascii="Times New Roman" w:hAnsi="Times New Roman" w:cs="Times New Roman"/>
        </w:rPr>
        <w:t xml:space="preserve"> </w:t>
      </w:r>
      <w:r w:rsidRPr="00087384">
        <w:rPr>
          <w:rFonts w:ascii="Times New Roman" w:hAnsi="Times New Roman" w:cs="Times New Roman"/>
        </w:rPr>
        <w:t xml:space="preserve">Empirical studies conducted in different countries have shown that </w:t>
      </w:r>
      <w:proofErr w:type="spellStart"/>
      <w:r w:rsidRPr="00087384">
        <w:rPr>
          <w:rFonts w:ascii="Times New Roman" w:hAnsi="Times New Roman" w:cs="Times New Roman"/>
        </w:rPr>
        <w:t>cocodust</w:t>
      </w:r>
      <w:proofErr w:type="spellEnd"/>
      <w:r w:rsidRPr="00087384">
        <w:rPr>
          <w:rFonts w:ascii="Times New Roman" w:hAnsi="Times New Roman" w:cs="Times New Roman"/>
        </w:rPr>
        <w:t>-based growing media improve nutrient-use efficiency, reduce water requirements, and enhance crop performance compared to soil-based systems (Aba</w:t>
      </w:r>
      <w:r w:rsidR="00BF6D55">
        <w:rPr>
          <w:rFonts w:ascii="Times New Roman" w:hAnsi="Times New Roman" w:cs="Times New Roman"/>
        </w:rPr>
        <w:t>d et al. 2005; Gruda et al. 2019</w:t>
      </w:r>
      <w:r w:rsidRPr="00087384">
        <w:rPr>
          <w:rFonts w:ascii="Times New Roman" w:hAnsi="Times New Roman" w:cs="Times New Roman"/>
        </w:rPr>
        <w:t>). More recent evidence suggests that healthier seedlings produced in soilless media can reduce the need for chemical fertilizers and pesticides by improving plant resilience and nutrient uptake</w:t>
      </w:r>
      <w:r w:rsidR="00BF6D55">
        <w:rPr>
          <w:rFonts w:ascii="Times New Roman" w:hAnsi="Times New Roman" w:cs="Times New Roman"/>
        </w:rPr>
        <w:t xml:space="preserve"> efficiency (Barrett et al. 2016</w:t>
      </w:r>
      <w:r w:rsidRPr="00087384">
        <w:rPr>
          <w:rFonts w:ascii="Times New Roman" w:hAnsi="Times New Roman" w:cs="Times New Roman"/>
        </w:rPr>
        <w:t>). These agronomic advantages imply potential economic benefits through reduced input use and lower production costs.</w:t>
      </w:r>
    </w:p>
    <w:p w14:paraId="712CCCEF" w14:textId="353D2562" w:rsidR="000D303D" w:rsidRDefault="00087384" w:rsidP="00CA26EA">
      <w:pPr>
        <w:spacing w:after="0" w:line="360" w:lineRule="auto"/>
        <w:jc w:val="both"/>
        <w:rPr>
          <w:rFonts w:ascii="Times New Roman" w:hAnsi="Times New Roman" w:cs="Times New Roman"/>
        </w:rPr>
      </w:pPr>
      <w:r w:rsidRPr="00087384">
        <w:rPr>
          <w:rFonts w:ascii="Times New Roman" w:hAnsi="Times New Roman" w:cs="Times New Roman"/>
        </w:rPr>
        <w:t xml:space="preserve">However, adoption of </w:t>
      </w:r>
      <w:proofErr w:type="spellStart"/>
      <w:r w:rsidRPr="00087384">
        <w:rPr>
          <w:rFonts w:ascii="Times New Roman" w:hAnsi="Times New Roman" w:cs="Times New Roman"/>
        </w:rPr>
        <w:t>cocodust</w:t>
      </w:r>
      <w:proofErr w:type="spellEnd"/>
      <w:r w:rsidRPr="00087384">
        <w:rPr>
          <w:rFonts w:ascii="Times New Roman" w:hAnsi="Times New Roman" w:cs="Times New Roman"/>
        </w:rPr>
        <w:t xml:space="preserve"> nurseries by farmers depends largely on economic considerations rather than agronomic performance alone. </w:t>
      </w:r>
      <w:proofErr w:type="spellStart"/>
      <w:r w:rsidRPr="00087384">
        <w:rPr>
          <w:rFonts w:ascii="Times New Roman" w:hAnsi="Times New Roman" w:cs="Times New Roman"/>
        </w:rPr>
        <w:t>Cocodust</w:t>
      </w:r>
      <w:proofErr w:type="spellEnd"/>
      <w:r w:rsidRPr="00087384">
        <w:rPr>
          <w:rFonts w:ascii="Times New Roman" w:hAnsi="Times New Roman" w:cs="Times New Roman"/>
        </w:rPr>
        <w:t xml:space="preserve">-based seedlings typically involve higher upfront costs due to tray-based production, nursery management, and growing media expenses. For smallholder farmers, such initial investments can act as a barrier unless they are compensated by substantial downstream savings and higher profitability. </w:t>
      </w:r>
      <w:r w:rsidR="0066052F" w:rsidRPr="0066052F">
        <w:rPr>
          <w:rFonts w:ascii="Times New Roman" w:hAnsi="Times New Roman" w:cs="Times New Roman"/>
        </w:rPr>
        <w:t xml:space="preserve">Although agronomic benefits of </w:t>
      </w:r>
      <w:proofErr w:type="spellStart"/>
      <w:r w:rsidR="0066052F" w:rsidRPr="0066052F">
        <w:rPr>
          <w:rFonts w:ascii="Times New Roman" w:hAnsi="Times New Roman" w:cs="Times New Roman"/>
        </w:rPr>
        <w:t>cocodust</w:t>
      </w:r>
      <w:proofErr w:type="spellEnd"/>
      <w:r w:rsidR="0066052F" w:rsidRPr="0066052F">
        <w:rPr>
          <w:rFonts w:ascii="Times New Roman" w:hAnsi="Times New Roman" w:cs="Times New Roman"/>
        </w:rPr>
        <w:t xml:space="preserve">-based systems are well documented, recent reviews highlight a persistent lack of farm-level economic evidence linking improved nursery media to measurable reductions in production costs and profitability gains in smallholder vegetable systems </w:t>
      </w:r>
      <w:r w:rsidR="008C4A3F" w:rsidRPr="008C4A3F">
        <w:rPr>
          <w:rFonts w:ascii="Times New Roman" w:hAnsi="Times New Roman" w:cs="Times New Roman"/>
        </w:rPr>
        <w:t>(Mogale &amp; Maluleke, 2025)</w:t>
      </w:r>
      <w:r w:rsidR="0066052F" w:rsidRPr="0066052F">
        <w:rPr>
          <w:rFonts w:ascii="Times New Roman" w:hAnsi="Times New Roman" w:cs="Times New Roman"/>
        </w:rPr>
        <w:t>.</w:t>
      </w:r>
      <w:r w:rsidR="0066052F">
        <w:rPr>
          <w:rFonts w:ascii="Times New Roman" w:hAnsi="Times New Roman" w:cs="Times New Roman"/>
        </w:rPr>
        <w:t xml:space="preserve"> </w:t>
      </w:r>
      <w:r w:rsidRPr="00087384">
        <w:rPr>
          <w:rFonts w:ascii="Times New Roman" w:hAnsi="Times New Roman" w:cs="Times New Roman"/>
        </w:rPr>
        <w:t>In Bangladesh, existing studies on vegetable production economics have largely focused on yield performance, technical efficiency, or gross returns, with limited attention to how improved nursery technologies affect the entire cost structure and net profitability at the farm level (Rahman</w:t>
      </w:r>
      <w:r w:rsidR="00BF6D55">
        <w:rPr>
          <w:rFonts w:ascii="Times New Roman" w:hAnsi="Times New Roman" w:cs="Times New Roman"/>
        </w:rPr>
        <w:t xml:space="preserve"> et al. 2022; </w:t>
      </w:r>
      <w:r w:rsidR="00BF6D55" w:rsidRPr="00BF6D55">
        <w:rPr>
          <w:rFonts w:ascii="Times New Roman" w:hAnsi="Times New Roman" w:cs="Times New Roman"/>
        </w:rPr>
        <w:t xml:space="preserve">Yuan </w:t>
      </w:r>
      <w:r w:rsidR="00BF6D55" w:rsidRPr="00BF6D55">
        <w:rPr>
          <w:rFonts w:ascii="Times New Roman" w:hAnsi="Times New Roman" w:cs="Times New Roman"/>
          <w:i/>
          <w:iCs/>
        </w:rPr>
        <w:t>et al.</w:t>
      </w:r>
      <w:r w:rsidR="00BF6D55" w:rsidRPr="00BF6D55">
        <w:rPr>
          <w:rFonts w:ascii="Times New Roman" w:hAnsi="Times New Roman" w:cs="Times New Roman"/>
        </w:rPr>
        <w:t>, 2025</w:t>
      </w:r>
      <w:r w:rsidRPr="00087384">
        <w:rPr>
          <w:rFonts w:ascii="Times New Roman" w:hAnsi="Times New Roman" w:cs="Times New Roman"/>
        </w:rPr>
        <w:t>).</w:t>
      </w:r>
      <w:r w:rsidR="00352443">
        <w:rPr>
          <w:rFonts w:ascii="Times New Roman" w:hAnsi="Times New Roman" w:cs="Times New Roman"/>
        </w:rPr>
        <w:t xml:space="preserve"> </w:t>
      </w:r>
    </w:p>
    <w:p w14:paraId="6E094F93" w14:textId="5BFC3D40" w:rsidR="006C05BF" w:rsidRPr="006C05BF" w:rsidRDefault="00087384" w:rsidP="00CA26EA">
      <w:pPr>
        <w:spacing w:after="0" w:line="360" w:lineRule="auto"/>
        <w:jc w:val="both"/>
        <w:rPr>
          <w:rFonts w:ascii="Times New Roman" w:hAnsi="Times New Roman" w:cs="Times New Roman"/>
        </w:rPr>
      </w:pPr>
      <w:r w:rsidRPr="00087384">
        <w:rPr>
          <w:rFonts w:ascii="Times New Roman" w:hAnsi="Times New Roman" w:cs="Times New Roman"/>
        </w:rPr>
        <w:t xml:space="preserve">Therefore, there remains a critical gap in empirical evidence regarding the economic productivity and cost–benefit performance of </w:t>
      </w:r>
      <w:proofErr w:type="spellStart"/>
      <w:r w:rsidRPr="00087384">
        <w:rPr>
          <w:rFonts w:ascii="Times New Roman" w:hAnsi="Times New Roman" w:cs="Times New Roman"/>
        </w:rPr>
        <w:t>cocodust</w:t>
      </w:r>
      <w:proofErr w:type="spellEnd"/>
      <w:r w:rsidRPr="00087384">
        <w:rPr>
          <w:rFonts w:ascii="Times New Roman" w:hAnsi="Times New Roman" w:cs="Times New Roman"/>
        </w:rPr>
        <w:t xml:space="preserve"> nursery systems under real farm conditions in Bangladesh. A comprehensive analysis that simultaneously considers input use, total production costs, and profitability across multiple vegetable crops is essential to assess whether </w:t>
      </w:r>
      <w:proofErr w:type="spellStart"/>
      <w:r w:rsidRPr="00087384">
        <w:rPr>
          <w:rFonts w:ascii="Times New Roman" w:hAnsi="Times New Roman" w:cs="Times New Roman"/>
        </w:rPr>
        <w:t>cocodust</w:t>
      </w:r>
      <w:proofErr w:type="spellEnd"/>
      <w:r w:rsidRPr="00087384">
        <w:rPr>
          <w:rFonts w:ascii="Times New Roman" w:hAnsi="Times New Roman" w:cs="Times New Roman"/>
        </w:rPr>
        <w:t xml:space="preserve"> nurseries constitute an economically viable and scalable solution.</w:t>
      </w:r>
      <w:r w:rsidR="000D303D">
        <w:rPr>
          <w:rFonts w:ascii="Times New Roman" w:hAnsi="Times New Roman" w:cs="Times New Roman"/>
        </w:rPr>
        <w:t xml:space="preserve"> </w:t>
      </w:r>
      <w:r w:rsidR="0031033D" w:rsidRPr="0031033D">
        <w:rPr>
          <w:rFonts w:ascii="Times New Roman" w:hAnsi="Times New Roman" w:cs="Times New Roman"/>
        </w:rPr>
        <w:t>Furthermore, while economic analyses of smallholder vegetable production have expanded in recent years, most studies focus on yield, market access, or technical efficiency, with limited attention to how nursery innovations affect the full cost structure and net returns of vegetable farming systems (</w:t>
      </w:r>
      <w:proofErr w:type="spellStart"/>
      <w:r w:rsidR="0031033D" w:rsidRPr="0031033D">
        <w:rPr>
          <w:rFonts w:ascii="Times New Roman" w:hAnsi="Times New Roman" w:cs="Times New Roman"/>
        </w:rPr>
        <w:t>Aliyi</w:t>
      </w:r>
      <w:proofErr w:type="spellEnd"/>
      <w:r w:rsidR="0031033D" w:rsidRPr="0031033D">
        <w:rPr>
          <w:rFonts w:ascii="Times New Roman" w:hAnsi="Times New Roman" w:cs="Times New Roman"/>
        </w:rPr>
        <w:t xml:space="preserve"> et al., 2021; Shrestha et al., 2021).</w:t>
      </w:r>
      <w:r w:rsidR="0031033D">
        <w:rPr>
          <w:rFonts w:ascii="Times New Roman" w:hAnsi="Times New Roman" w:cs="Times New Roman"/>
        </w:rPr>
        <w:t xml:space="preserve"> </w:t>
      </w:r>
      <w:r w:rsidRPr="00087384">
        <w:rPr>
          <w:rFonts w:ascii="Times New Roman" w:hAnsi="Times New Roman" w:cs="Times New Roman"/>
        </w:rPr>
        <w:t xml:space="preserve">Against this background, the present study evaluates the economic viability of </w:t>
      </w:r>
      <w:proofErr w:type="spellStart"/>
      <w:r w:rsidRPr="00087384">
        <w:rPr>
          <w:rFonts w:ascii="Times New Roman" w:hAnsi="Times New Roman" w:cs="Times New Roman"/>
        </w:rPr>
        <w:t>cocodust</w:t>
      </w:r>
      <w:proofErr w:type="spellEnd"/>
      <w:r w:rsidRPr="00087384">
        <w:rPr>
          <w:rFonts w:ascii="Times New Roman" w:hAnsi="Times New Roman" w:cs="Times New Roman"/>
        </w:rPr>
        <w:t>-based nurseries in vegetable farming in Bangladesh. Specifically, the objectives of this study are to: (</w:t>
      </w:r>
      <w:proofErr w:type="spellStart"/>
      <w:r w:rsidRPr="00087384">
        <w:rPr>
          <w:rFonts w:ascii="Times New Roman" w:hAnsi="Times New Roman" w:cs="Times New Roman"/>
        </w:rPr>
        <w:t>i</w:t>
      </w:r>
      <w:proofErr w:type="spellEnd"/>
      <w:r w:rsidRPr="00087384">
        <w:rPr>
          <w:rFonts w:ascii="Times New Roman" w:hAnsi="Times New Roman" w:cs="Times New Roman"/>
        </w:rPr>
        <w:t xml:space="preserve">) compare input use and cost structures between </w:t>
      </w:r>
      <w:proofErr w:type="spellStart"/>
      <w:r w:rsidRPr="00087384">
        <w:rPr>
          <w:rFonts w:ascii="Times New Roman" w:hAnsi="Times New Roman" w:cs="Times New Roman"/>
        </w:rPr>
        <w:t>cocodust</w:t>
      </w:r>
      <w:proofErr w:type="spellEnd"/>
      <w:r w:rsidRPr="00087384">
        <w:rPr>
          <w:rFonts w:ascii="Times New Roman" w:hAnsi="Times New Roman" w:cs="Times New Roman"/>
        </w:rPr>
        <w:t>-based and traditional soil-</w:t>
      </w:r>
      <w:r w:rsidRPr="00087384">
        <w:rPr>
          <w:rFonts w:ascii="Times New Roman" w:hAnsi="Times New Roman" w:cs="Times New Roman"/>
        </w:rPr>
        <w:lastRenderedPageBreak/>
        <w:t xml:space="preserve">based nursery systems; (ii) assess the impact of </w:t>
      </w:r>
      <w:proofErr w:type="spellStart"/>
      <w:r w:rsidRPr="00087384">
        <w:rPr>
          <w:rFonts w:ascii="Times New Roman" w:hAnsi="Times New Roman" w:cs="Times New Roman"/>
        </w:rPr>
        <w:t>cocodust</w:t>
      </w:r>
      <w:proofErr w:type="spellEnd"/>
      <w:r w:rsidRPr="00087384">
        <w:rPr>
          <w:rFonts w:ascii="Times New Roman" w:hAnsi="Times New Roman" w:cs="Times New Roman"/>
        </w:rPr>
        <w:t xml:space="preserve"> nursery adoption on total production costs; and (iii) evaluate differences in economic productivity and profitability in terms of net returns across major vegetable crops. By providing robust farm-level evidence, this study aims to inform farmers, policymakers, and development organizations about the potential role of </w:t>
      </w:r>
      <w:proofErr w:type="spellStart"/>
      <w:r w:rsidRPr="00087384">
        <w:rPr>
          <w:rFonts w:ascii="Times New Roman" w:hAnsi="Times New Roman" w:cs="Times New Roman"/>
        </w:rPr>
        <w:t>cocodust</w:t>
      </w:r>
      <w:proofErr w:type="spellEnd"/>
      <w:r w:rsidRPr="00087384">
        <w:rPr>
          <w:rFonts w:ascii="Times New Roman" w:hAnsi="Times New Roman" w:cs="Times New Roman"/>
        </w:rPr>
        <w:t xml:space="preserve"> nurseries in improving the economic sustainability of vegetable production systems in Bangladesh.</w:t>
      </w:r>
    </w:p>
    <w:p w14:paraId="763EBC53" w14:textId="737E3C5F" w:rsidR="006C05BF" w:rsidRPr="006C05BF" w:rsidRDefault="00432793" w:rsidP="00CA26EA">
      <w:pPr>
        <w:spacing w:after="0" w:line="360" w:lineRule="auto"/>
        <w:rPr>
          <w:rFonts w:ascii="Times New Roman" w:hAnsi="Times New Roman" w:cs="Times New Roman"/>
          <w:b/>
          <w:bCs/>
        </w:rPr>
      </w:pPr>
      <w:r>
        <w:rPr>
          <w:rFonts w:ascii="Times New Roman" w:hAnsi="Times New Roman" w:cs="Times New Roman"/>
          <w:b/>
          <w:bCs/>
        </w:rPr>
        <w:t xml:space="preserve">2 Materials and </w:t>
      </w:r>
      <w:r w:rsidR="006C05BF" w:rsidRPr="006C05BF">
        <w:rPr>
          <w:rFonts w:ascii="Times New Roman" w:hAnsi="Times New Roman" w:cs="Times New Roman"/>
          <w:b/>
          <w:bCs/>
        </w:rPr>
        <w:t>Methods</w:t>
      </w:r>
    </w:p>
    <w:p w14:paraId="5FCBBB27" w14:textId="24DCD10A" w:rsidR="006C05BF" w:rsidRPr="006C05BF" w:rsidRDefault="00432793" w:rsidP="00CA26EA">
      <w:pPr>
        <w:spacing w:after="0" w:line="360" w:lineRule="auto"/>
        <w:rPr>
          <w:rFonts w:ascii="Times New Roman" w:hAnsi="Times New Roman" w:cs="Times New Roman"/>
          <w:b/>
          <w:bCs/>
        </w:rPr>
      </w:pPr>
      <w:r>
        <w:rPr>
          <w:rFonts w:ascii="Times New Roman" w:hAnsi="Times New Roman" w:cs="Times New Roman"/>
          <w:b/>
          <w:bCs/>
        </w:rPr>
        <w:t xml:space="preserve">2.1 </w:t>
      </w:r>
      <w:r w:rsidR="006C05BF" w:rsidRPr="006C05BF">
        <w:rPr>
          <w:rFonts w:ascii="Times New Roman" w:hAnsi="Times New Roman" w:cs="Times New Roman"/>
          <w:b/>
          <w:bCs/>
        </w:rPr>
        <w:t>Study area and sampling</w:t>
      </w:r>
    </w:p>
    <w:p w14:paraId="5DD412C1" w14:textId="572D5223" w:rsidR="00B6362E" w:rsidRDefault="00440D72" w:rsidP="00CA26EA">
      <w:pPr>
        <w:spacing w:after="0" w:line="360" w:lineRule="auto"/>
        <w:jc w:val="both"/>
        <w:rPr>
          <w:rFonts w:ascii="Times New Roman" w:hAnsi="Times New Roman" w:cs="Times New Roman"/>
        </w:rPr>
      </w:pPr>
      <w:r w:rsidRPr="00440D72">
        <w:rPr>
          <w:rFonts w:ascii="Times New Roman" w:hAnsi="Times New Roman" w:cs="Times New Roman"/>
        </w:rPr>
        <w:t xml:space="preserve">The study was carried out in the </w:t>
      </w:r>
      <w:proofErr w:type="spellStart"/>
      <w:r w:rsidRPr="00440D72">
        <w:rPr>
          <w:rFonts w:ascii="Times New Roman" w:hAnsi="Times New Roman" w:cs="Times New Roman"/>
        </w:rPr>
        <w:t>Joypurhat</w:t>
      </w:r>
      <w:proofErr w:type="spellEnd"/>
      <w:r w:rsidRPr="00440D72">
        <w:rPr>
          <w:rFonts w:ascii="Times New Roman" w:hAnsi="Times New Roman" w:cs="Times New Roman"/>
        </w:rPr>
        <w:t xml:space="preserve"> district of northern Bangladesh, which falls within a major vegetable-growing </w:t>
      </w:r>
      <w:r w:rsidR="00894A28">
        <w:rPr>
          <w:rFonts w:ascii="Times New Roman" w:hAnsi="Times New Roman" w:cs="Times New Roman"/>
        </w:rPr>
        <w:t>area</w:t>
      </w:r>
      <w:r w:rsidRPr="00440D72">
        <w:rPr>
          <w:rFonts w:ascii="Times New Roman" w:hAnsi="Times New Roman" w:cs="Times New Roman"/>
        </w:rPr>
        <w:t xml:space="preserve"> of the country. Field investigations were undertaken in three Upazilas</w:t>
      </w:r>
      <w:r>
        <w:rPr>
          <w:rFonts w:ascii="Times New Roman" w:hAnsi="Times New Roman" w:cs="Times New Roman"/>
        </w:rPr>
        <w:t xml:space="preserve"> of </w:t>
      </w:r>
      <w:proofErr w:type="spellStart"/>
      <w:r w:rsidRPr="00440D72">
        <w:rPr>
          <w:rFonts w:ascii="Times New Roman" w:hAnsi="Times New Roman" w:cs="Times New Roman"/>
        </w:rPr>
        <w:t>Joypurhat</w:t>
      </w:r>
      <w:proofErr w:type="spellEnd"/>
      <w:r w:rsidRPr="00440D72">
        <w:rPr>
          <w:rFonts w:ascii="Times New Roman" w:hAnsi="Times New Roman" w:cs="Times New Roman"/>
        </w:rPr>
        <w:t xml:space="preserve"> Sadar, </w:t>
      </w:r>
      <w:proofErr w:type="spellStart"/>
      <w:r w:rsidRPr="00440D72">
        <w:rPr>
          <w:rFonts w:ascii="Times New Roman" w:hAnsi="Times New Roman" w:cs="Times New Roman"/>
        </w:rPr>
        <w:t>Panchbibi</w:t>
      </w:r>
      <w:proofErr w:type="spellEnd"/>
      <w:r w:rsidRPr="00440D72">
        <w:rPr>
          <w:rFonts w:ascii="Times New Roman" w:hAnsi="Times New Roman" w:cs="Times New Roman"/>
        </w:rPr>
        <w:t xml:space="preserve">, and </w:t>
      </w:r>
      <w:proofErr w:type="spellStart"/>
      <w:r w:rsidRPr="00440D72">
        <w:rPr>
          <w:rFonts w:ascii="Times New Roman" w:hAnsi="Times New Roman" w:cs="Times New Roman"/>
        </w:rPr>
        <w:t>Akklepur</w:t>
      </w:r>
      <w:proofErr w:type="spellEnd"/>
      <w:r w:rsidR="00B669CE">
        <w:rPr>
          <w:rFonts w:ascii="Times New Roman" w:hAnsi="Times New Roman" w:cs="Times New Roman"/>
        </w:rPr>
        <w:t xml:space="preserve"> </w:t>
      </w:r>
      <w:r w:rsidRPr="00440D72">
        <w:rPr>
          <w:rFonts w:ascii="Times New Roman" w:hAnsi="Times New Roman" w:cs="Times New Roman"/>
        </w:rPr>
        <w:t xml:space="preserve">covered under the Rural Microenterprise Transformation Project (RMTP). These areas are dominated by smallholder vegetable producers and have experienced notable uptake of </w:t>
      </w:r>
      <w:proofErr w:type="spellStart"/>
      <w:r w:rsidRPr="00440D72">
        <w:rPr>
          <w:rFonts w:ascii="Times New Roman" w:hAnsi="Times New Roman" w:cs="Times New Roman"/>
        </w:rPr>
        <w:t>cocodust</w:t>
      </w:r>
      <w:proofErr w:type="spellEnd"/>
      <w:r w:rsidRPr="00440D72">
        <w:rPr>
          <w:rFonts w:ascii="Times New Roman" w:hAnsi="Times New Roman" w:cs="Times New Roman"/>
        </w:rPr>
        <w:t xml:space="preserve">-based nursery practices. The site was purposively selected because </w:t>
      </w:r>
      <w:proofErr w:type="spellStart"/>
      <w:r w:rsidRPr="00440D72">
        <w:rPr>
          <w:rFonts w:ascii="Times New Roman" w:hAnsi="Times New Roman" w:cs="Times New Roman"/>
        </w:rPr>
        <w:t>cocodust</w:t>
      </w:r>
      <w:proofErr w:type="spellEnd"/>
      <w:r w:rsidRPr="00440D72">
        <w:rPr>
          <w:rFonts w:ascii="Times New Roman" w:hAnsi="Times New Roman" w:cs="Times New Roman"/>
        </w:rPr>
        <w:t xml:space="preserve"> nursery technology has been actively promoted and implemented in the region through the RMTP’s </w:t>
      </w:r>
      <w:r w:rsidRPr="007B4208">
        <w:rPr>
          <w:rFonts w:ascii="Times New Roman" w:hAnsi="Times New Roman" w:cs="Times New Roman"/>
        </w:rPr>
        <w:t>Ecology Friendly Safe Vegetable and Crop Production and Marketing</w:t>
      </w:r>
      <w:r w:rsidRPr="00440D72">
        <w:rPr>
          <w:rFonts w:ascii="Times New Roman" w:hAnsi="Times New Roman" w:cs="Times New Roman"/>
        </w:rPr>
        <w:t xml:space="preserve"> sub-project, facilitated by the JAKAS Foundation. This context provided an appropriate setting to evaluate the economic performance of </w:t>
      </w:r>
      <w:proofErr w:type="spellStart"/>
      <w:r w:rsidRPr="00440D72">
        <w:rPr>
          <w:rFonts w:ascii="Times New Roman" w:hAnsi="Times New Roman" w:cs="Times New Roman"/>
        </w:rPr>
        <w:t>cocodust</w:t>
      </w:r>
      <w:proofErr w:type="spellEnd"/>
      <w:r w:rsidRPr="00440D72">
        <w:rPr>
          <w:rFonts w:ascii="Times New Roman" w:hAnsi="Times New Roman" w:cs="Times New Roman"/>
        </w:rPr>
        <w:t xml:space="preserve"> nurseries under real farm conditions.</w:t>
      </w:r>
    </w:p>
    <w:p w14:paraId="61FED5D2" w14:textId="77777777" w:rsidR="00B6362E" w:rsidRPr="00B6362E" w:rsidRDefault="00B6362E" w:rsidP="00CA26EA">
      <w:pPr>
        <w:spacing w:after="0" w:line="360" w:lineRule="auto"/>
        <w:jc w:val="both"/>
        <w:rPr>
          <w:rFonts w:ascii="Times New Roman" w:hAnsi="Times New Roman" w:cs="Times New Roman"/>
          <w:b/>
          <w:bCs/>
        </w:rPr>
      </w:pPr>
      <w:r w:rsidRPr="00B6362E">
        <w:rPr>
          <w:rFonts w:ascii="Times New Roman" w:hAnsi="Times New Roman" w:cs="Times New Roman"/>
          <w:b/>
          <w:bCs/>
        </w:rPr>
        <w:t xml:space="preserve">2.2 </w:t>
      </w:r>
      <w:r w:rsidRPr="000A5D76">
        <w:rPr>
          <w:rFonts w:ascii="Times New Roman" w:hAnsi="Times New Roman" w:cs="Times New Roman"/>
          <w:b/>
          <w:bCs/>
        </w:rPr>
        <w:t>Research Design and Sample Selection</w:t>
      </w:r>
    </w:p>
    <w:p w14:paraId="75BDBBAF" w14:textId="46E8AB66" w:rsidR="00B6362E" w:rsidRDefault="00B6362E" w:rsidP="00CA26EA">
      <w:pPr>
        <w:spacing w:after="0" w:line="360" w:lineRule="auto"/>
        <w:jc w:val="both"/>
        <w:rPr>
          <w:rFonts w:ascii="Times New Roman" w:hAnsi="Times New Roman" w:cs="Times New Roman"/>
        </w:rPr>
      </w:pPr>
      <w:r w:rsidRPr="00B6362E">
        <w:rPr>
          <w:rFonts w:ascii="Times New Roman" w:hAnsi="Times New Roman" w:cs="Times New Roman"/>
        </w:rPr>
        <w:t xml:space="preserve">The study adopted a </w:t>
      </w:r>
      <w:r w:rsidR="00B54D59">
        <w:rPr>
          <w:rFonts w:ascii="Times New Roman" w:hAnsi="Times New Roman" w:cs="Times New Roman"/>
        </w:rPr>
        <w:t>quantitative</w:t>
      </w:r>
      <w:r w:rsidRPr="00B6362E">
        <w:rPr>
          <w:rFonts w:ascii="Times New Roman" w:hAnsi="Times New Roman" w:cs="Times New Roman"/>
        </w:rPr>
        <w:t xml:space="preserve"> research design to evaluate the economic performance of </w:t>
      </w:r>
      <w:proofErr w:type="spellStart"/>
      <w:r w:rsidRPr="00B6362E">
        <w:rPr>
          <w:rFonts w:ascii="Times New Roman" w:hAnsi="Times New Roman" w:cs="Times New Roman"/>
        </w:rPr>
        <w:t>cocodust</w:t>
      </w:r>
      <w:proofErr w:type="spellEnd"/>
      <w:r w:rsidRPr="00B6362E">
        <w:rPr>
          <w:rFonts w:ascii="Times New Roman" w:hAnsi="Times New Roman" w:cs="Times New Roman"/>
        </w:rPr>
        <w:t>-based nursery technology relative to traditional soil-based nursery practices in vegetable farming. The quantitative component was designed to facilitate a rigorous cost–benefit comparison.</w:t>
      </w:r>
      <w:r>
        <w:rPr>
          <w:rFonts w:ascii="Times New Roman" w:hAnsi="Times New Roman" w:cs="Times New Roman"/>
        </w:rPr>
        <w:t xml:space="preserve"> </w:t>
      </w:r>
      <w:r w:rsidRPr="00B6362E">
        <w:rPr>
          <w:rFonts w:ascii="Times New Roman" w:hAnsi="Times New Roman" w:cs="Times New Roman"/>
        </w:rPr>
        <w:t xml:space="preserve">The study population comprised 80 vegetable farmers, purposively selected and evenly divided into two groups: </w:t>
      </w:r>
      <w:proofErr w:type="spellStart"/>
      <w:r w:rsidRPr="00B6362E">
        <w:rPr>
          <w:rFonts w:ascii="Times New Roman" w:hAnsi="Times New Roman" w:cs="Times New Roman"/>
        </w:rPr>
        <w:t>cocodust</w:t>
      </w:r>
      <w:proofErr w:type="spellEnd"/>
      <w:r w:rsidRPr="00B6362E">
        <w:rPr>
          <w:rFonts w:ascii="Times New Roman" w:hAnsi="Times New Roman" w:cs="Times New Roman"/>
        </w:rPr>
        <w:t xml:space="preserve"> nursery users (n = 40) and traditional nursery users (n = 40). Farmers in the </w:t>
      </w:r>
      <w:proofErr w:type="spellStart"/>
      <w:r w:rsidRPr="00B6362E">
        <w:rPr>
          <w:rFonts w:ascii="Times New Roman" w:hAnsi="Times New Roman" w:cs="Times New Roman"/>
        </w:rPr>
        <w:t>cocodust</w:t>
      </w:r>
      <w:proofErr w:type="spellEnd"/>
      <w:r w:rsidRPr="00B6362E">
        <w:rPr>
          <w:rFonts w:ascii="Times New Roman" w:hAnsi="Times New Roman" w:cs="Times New Roman"/>
        </w:rPr>
        <w:t xml:space="preserve"> group </w:t>
      </w:r>
      <w:r w:rsidR="00F65A6D" w:rsidRPr="00B6362E">
        <w:rPr>
          <w:rFonts w:ascii="Times New Roman" w:hAnsi="Times New Roman" w:cs="Times New Roman"/>
        </w:rPr>
        <w:t>used</w:t>
      </w:r>
      <w:r w:rsidRPr="00B6362E">
        <w:rPr>
          <w:rFonts w:ascii="Times New Roman" w:hAnsi="Times New Roman" w:cs="Times New Roman"/>
        </w:rPr>
        <w:t xml:space="preserve"> </w:t>
      </w:r>
      <w:proofErr w:type="spellStart"/>
      <w:r w:rsidRPr="00B6362E">
        <w:rPr>
          <w:rFonts w:ascii="Times New Roman" w:hAnsi="Times New Roman" w:cs="Times New Roman"/>
        </w:rPr>
        <w:t>cocodust</w:t>
      </w:r>
      <w:proofErr w:type="spellEnd"/>
      <w:r w:rsidRPr="00B6362E">
        <w:rPr>
          <w:rFonts w:ascii="Times New Roman" w:hAnsi="Times New Roman" w:cs="Times New Roman"/>
        </w:rPr>
        <w:t xml:space="preserve">-based seedlings for at least one full production season, ensuring adequate exposure to </w:t>
      </w:r>
      <w:r w:rsidR="00F0167B" w:rsidRPr="00B6362E">
        <w:rPr>
          <w:rFonts w:ascii="Times New Roman" w:hAnsi="Times New Roman" w:cs="Times New Roman"/>
        </w:rPr>
        <w:t>technology</w:t>
      </w:r>
      <w:r w:rsidRPr="00B6362E">
        <w:rPr>
          <w:rFonts w:ascii="Times New Roman" w:hAnsi="Times New Roman" w:cs="Times New Roman"/>
        </w:rPr>
        <w:t xml:space="preserve"> and reliable assessment of economic outcomes. The comparison group consisted of farmers who continued to rely exclusively on conventional soil-based nurseries.</w:t>
      </w:r>
      <w:r w:rsidR="00394739">
        <w:rPr>
          <w:rFonts w:ascii="Times New Roman" w:hAnsi="Times New Roman" w:cs="Times New Roman"/>
        </w:rPr>
        <w:t xml:space="preserve"> </w:t>
      </w:r>
      <w:r w:rsidRPr="00B6362E">
        <w:rPr>
          <w:rFonts w:ascii="Times New Roman" w:hAnsi="Times New Roman" w:cs="Times New Roman"/>
        </w:rPr>
        <w:t xml:space="preserve">A stratified random sampling technique was employed to ensure representation across different farm sizes, income categories, and geographical locations within the study area. Stratification helped minimize selection bias and </w:t>
      </w:r>
      <w:r w:rsidR="00F0167B" w:rsidRPr="00B6362E">
        <w:rPr>
          <w:rFonts w:ascii="Times New Roman" w:hAnsi="Times New Roman" w:cs="Times New Roman"/>
        </w:rPr>
        <w:t>enhance</w:t>
      </w:r>
      <w:r w:rsidRPr="00B6362E">
        <w:rPr>
          <w:rFonts w:ascii="Times New Roman" w:hAnsi="Times New Roman" w:cs="Times New Roman"/>
        </w:rPr>
        <w:t xml:space="preserve"> the comparability of the two groups with respect to socio-economic characteristics. Sampling frames were prepared in close collaboration with field staff of the JAKAS Foundation, who maintain updated farmer databases </w:t>
      </w:r>
      <w:r w:rsidRPr="00B6362E">
        <w:rPr>
          <w:rFonts w:ascii="Times New Roman" w:hAnsi="Times New Roman" w:cs="Times New Roman"/>
        </w:rPr>
        <w:lastRenderedPageBreak/>
        <w:t>under the Rural Microenterprise Transformation Project (RMTP). This approach ensured accuracy in farmer identification and consistency with project implementation records.</w:t>
      </w:r>
    </w:p>
    <w:p w14:paraId="33EB7B15" w14:textId="4D14C0AA" w:rsidR="00406C7C" w:rsidRPr="00406C7C" w:rsidRDefault="00432793" w:rsidP="00CA26EA">
      <w:pPr>
        <w:spacing w:after="0" w:line="360" w:lineRule="auto"/>
        <w:jc w:val="both"/>
        <w:rPr>
          <w:rFonts w:ascii="Times New Roman" w:hAnsi="Times New Roman" w:cs="Times New Roman"/>
          <w:b/>
          <w:bCs/>
        </w:rPr>
      </w:pPr>
      <w:r>
        <w:rPr>
          <w:rFonts w:ascii="Times New Roman" w:hAnsi="Times New Roman" w:cs="Times New Roman"/>
          <w:b/>
          <w:bCs/>
        </w:rPr>
        <w:t xml:space="preserve">2.3 </w:t>
      </w:r>
      <w:r w:rsidR="00406C7C" w:rsidRPr="00406C7C">
        <w:rPr>
          <w:rFonts w:ascii="Times New Roman" w:hAnsi="Times New Roman" w:cs="Times New Roman"/>
          <w:b/>
          <w:bCs/>
        </w:rPr>
        <w:t>Quantitative data collection</w:t>
      </w:r>
    </w:p>
    <w:p w14:paraId="6BDDA819" w14:textId="77777777" w:rsidR="00406C7C" w:rsidRPr="00406C7C" w:rsidRDefault="00406C7C" w:rsidP="00CA26EA">
      <w:pPr>
        <w:spacing w:after="0" w:line="360" w:lineRule="auto"/>
        <w:jc w:val="both"/>
        <w:rPr>
          <w:rFonts w:ascii="Times New Roman" w:hAnsi="Times New Roman" w:cs="Times New Roman"/>
        </w:rPr>
      </w:pPr>
      <w:r w:rsidRPr="00406C7C">
        <w:rPr>
          <w:rFonts w:ascii="Times New Roman" w:hAnsi="Times New Roman" w:cs="Times New Roman"/>
        </w:rPr>
        <w:t xml:space="preserve">Quantitative data were gathered through structured household surveys using a pre-tested digital questionnaire administered via </w:t>
      </w:r>
      <w:proofErr w:type="spellStart"/>
      <w:r w:rsidRPr="00406C7C">
        <w:rPr>
          <w:rFonts w:ascii="Times New Roman" w:hAnsi="Times New Roman" w:cs="Times New Roman"/>
        </w:rPr>
        <w:t>KoboToolbox</w:t>
      </w:r>
      <w:proofErr w:type="spellEnd"/>
      <w:r w:rsidRPr="00406C7C">
        <w:rPr>
          <w:rFonts w:ascii="Times New Roman" w:hAnsi="Times New Roman" w:cs="Times New Roman"/>
        </w:rPr>
        <w:t>. The survey instrument was designed to capture detailed farm-level economic information, including:</w:t>
      </w:r>
    </w:p>
    <w:p w14:paraId="16D7F877" w14:textId="3B32BD29" w:rsidR="00406C7C" w:rsidRPr="00406C7C" w:rsidRDefault="00406C7C" w:rsidP="00CA26EA">
      <w:pPr>
        <w:numPr>
          <w:ilvl w:val="0"/>
          <w:numId w:val="8"/>
        </w:numPr>
        <w:spacing w:after="0" w:line="360" w:lineRule="auto"/>
        <w:jc w:val="both"/>
        <w:rPr>
          <w:rFonts w:ascii="Times New Roman" w:hAnsi="Times New Roman" w:cs="Times New Roman"/>
        </w:rPr>
      </w:pPr>
      <w:r w:rsidRPr="00406C7C">
        <w:rPr>
          <w:rFonts w:ascii="Times New Roman" w:hAnsi="Times New Roman" w:cs="Times New Roman"/>
        </w:rPr>
        <w:t xml:space="preserve">Farm and production characteristics, such as </w:t>
      </w:r>
      <w:r w:rsidR="00F0167B">
        <w:rPr>
          <w:rFonts w:ascii="Times New Roman" w:hAnsi="Times New Roman" w:cs="Times New Roman"/>
        </w:rPr>
        <w:t>i</w:t>
      </w:r>
      <w:r w:rsidRPr="00406C7C">
        <w:rPr>
          <w:rFonts w:ascii="Times New Roman" w:hAnsi="Times New Roman" w:cs="Times New Roman"/>
        </w:rPr>
        <w:t>nput use and cost components, including expenditures on seedlings, fertilizers, pesticides, irrigation, labor, intercultural operations, and structural inputs (e.g., poles and fencing)</w:t>
      </w:r>
    </w:p>
    <w:p w14:paraId="6760EE31" w14:textId="68F133A3" w:rsidR="00406C7C" w:rsidRPr="00406C7C" w:rsidRDefault="00406C7C" w:rsidP="00CA26EA">
      <w:pPr>
        <w:numPr>
          <w:ilvl w:val="0"/>
          <w:numId w:val="8"/>
        </w:numPr>
        <w:spacing w:after="0" w:line="360" w:lineRule="auto"/>
        <w:jc w:val="both"/>
        <w:rPr>
          <w:rFonts w:ascii="Times New Roman" w:hAnsi="Times New Roman" w:cs="Times New Roman"/>
        </w:rPr>
      </w:pPr>
      <w:r w:rsidRPr="00406C7C">
        <w:rPr>
          <w:rFonts w:ascii="Times New Roman" w:hAnsi="Times New Roman" w:cs="Times New Roman"/>
        </w:rPr>
        <w:t>Total production cost per decimal (1 decimal = 0.01 acre), calculated by aggregating all variable and fixed cost components</w:t>
      </w:r>
      <w:r w:rsidR="00DA367F">
        <w:rPr>
          <w:rFonts w:ascii="Times New Roman" w:hAnsi="Times New Roman" w:cs="Times New Roman"/>
        </w:rPr>
        <w:t xml:space="preserve"> </w:t>
      </w:r>
      <w:r w:rsidRPr="00406C7C">
        <w:rPr>
          <w:rFonts w:ascii="Times New Roman" w:hAnsi="Times New Roman" w:cs="Times New Roman"/>
        </w:rPr>
        <w:t>and</w:t>
      </w:r>
    </w:p>
    <w:p w14:paraId="0C9EB355" w14:textId="77777777" w:rsidR="00406C7C" w:rsidRPr="00406C7C" w:rsidRDefault="00406C7C" w:rsidP="00CA26EA">
      <w:pPr>
        <w:numPr>
          <w:ilvl w:val="0"/>
          <w:numId w:val="8"/>
        </w:numPr>
        <w:spacing w:after="0" w:line="360" w:lineRule="auto"/>
        <w:jc w:val="both"/>
        <w:rPr>
          <w:rFonts w:ascii="Times New Roman" w:hAnsi="Times New Roman" w:cs="Times New Roman"/>
        </w:rPr>
      </w:pPr>
      <w:r w:rsidRPr="00406C7C">
        <w:rPr>
          <w:rFonts w:ascii="Times New Roman" w:hAnsi="Times New Roman" w:cs="Times New Roman"/>
        </w:rPr>
        <w:t>Profitability indicators, derived from gross returns and net profit per decimal.</w:t>
      </w:r>
    </w:p>
    <w:p w14:paraId="615BE0F1" w14:textId="39CA6325" w:rsidR="006C05BF" w:rsidRPr="006C05BF" w:rsidRDefault="00432793" w:rsidP="00CA26EA">
      <w:pPr>
        <w:spacing w:after="0" w:line="360" w:lineRule="auto"/>
        <w:rPr>
          <w:rFonts w:ascii="Times New Roman" w:hAnsi="Times New Roman" w:cs="Times New Roman"/>
          <w:b/>
          <w:bCs/>
        </w:rPr>
      </w:pPr>
      <w:r>
        <w:rPr>
          <w:rFonts w:ascii="Times New Roman" w:hAnsi="Times New Roman" w:cs="Times New Roman"/>
          <w:b/>
          <w:bCs/>
        </w:rPr>
        <w:t xml:space="preserve">2.4 </w:t>
      </w:r>
      <w:r w:rsidR="006C05BF" w:rsidRPr="006C05BF">
        <w:rPr>
          <w:rFonts w:ascii="Times New Roman" w:hAnsi="Times New Roman" w:cs="Times New Roman"/>
          <w:b/>
          <w:bCs/>
        </w:rPr>
        <w:t>Crops studied</w:t>
      </w:r>
    </w:p>
    <w:p w14:paraId="6B74E35B" w14:textId="36AD1C9B" w:rsidR="009D6D09" w:rsidRDefault="009D6D09" w:rsidP="00CA26EA">
      <w:pPr>
        <w:spacing w:after="0" w:line="360" w:lineRule="auto"/>
        <w:jc w:val="both"/>
        <w:rPr>
          <w:rFonts w:ascii="Times New Roman" w:hAnsi="Times New Roman" w:cs="Times New Roman"/>
        </w:rPr>
      </w:pPr>
      <w:r w:rsidRPr="009D6D09">
        <w:rPr>
          <w:rFonts w:ascii="Times New Roman" w:hAnsi="Times New Roman" w:cs="Times New Roman"/>
        </w:rPr>
        <w:t>The analysis encompassed eight economically important vegetable crops that are highly sensitive to nursery management practices: tomato (</w:t>
      </w:r>
      <w:r w:rsidRPr="009D6D09">
        <w:rPr>
          <w:rFonts w:ascii="Times New Roman" w:hAnsi="Times New Roman" w:cs="Times New Roman"/>
          <w:i/>
          <w:iCs/>
        </w:rPr>
        <w:t xml:space="preserve">Solanum </w:t>
      </w:r>
      <w:proofErr w:type="spellStart"/>
      <w:r w:rsidRPr="009D6D09">
        <w:rPr>
          <w:rFonts w:ascii="Times New Roman" w:hAnsi="Times New Roman" w:cs="Times New Roman"/>
          <w:i/>
          <w:iCs/>
        </w:rPr>
        <w:t>lycopersicum</w:t>
      </w:r>
      <w:proofErr w:type="spellEnd"/>
      <w:r w:rsidRPr="009D6D09">
        <w:rPr>
          <w:rFonts w:ascii="Times New Roman" w:hAnsi="Times New Roman" w:cs="Times New Roman"/>
        </w:rPr>
        <w:t>), brinjal (</w:t>
      </w:r>
      <w:r w:rsidRPr="009D6D09">
        <w:rPr>
          <w:rFonts w:ascii="Times New Roman" w:hAnsi="Times New Roman" w:cs="Times New Roman"/>
          <w:i/>
          <w:iCs/>
        </w:rPr>
        <w:t>Solanum melongena</w:t>
      </w:r>
      <w:r w:rsidRPr="009D6D09">
        <w:rPr>
          <w:rFonts w:ascii="Times New Roman" w:hAnsi="Times New Roman" w:cs="Times New Roman"/>
        </w:rPr>
        <w:t>), chili (</w:t>
      </w:r>
      <w:r w:rsidRPr="009D6D09">
        <w:rPr>
          <w:rFonts w:ascii="Times New Roman" w:hAnsi="Times New Roman" w:cs="Times New Roman"/>
          <w:i/>
          <w:iCs/>
        </w:rPr>
        <w:t>Capsicum annuum</w:t>
      </w:r>
      <w:r w:rsidRPr="009D6D09">
        <w:rPr>
          <w:rFonts w:ascii="Times New Roman" w:hAnsi="Times New Roman" w:cs="Times New Roman"/>
        </w:rPr>
        <w:t>), cabbage (</w:t>
      </w:r>
      <w:r w:rsidRPr="009D6D09">
        <w:rPr>
          <w:rFonts w:ascii="Times New Roman" w:hAnsi="Times New Roman" w:cs="Times New Roman"/>
          <w:i/>
          <w:iCs/>
        </w:rPr>
        <w:t>Brassica oleracea</w:t>
      </w:r>
      <w:r w:rsidRPr="009D6D09">
        <w:rPr>
          <w:rFonts w:ascii="Times New Roman" w:hAnsi="Times New Roman" w:cs="Times New Roman"/>
        </w:rPr>
        <w:t xml:space="preserve"> var. </w:t>
      </w:r>
      <w:r w:rsidRPr="009D6D09">
        <w:rPr>
          <w:rFonts w:ascii="Times New Roman" w:hAnsi="Times New Roman" w:cs="Times New Roman"/>
          <w:i/>
          <w:iCs/>
        </w:rPr>
        <w:t>capitata</w:t>
      </w:r>
      <w:r w:rsidRPr="009D6D09">
        <w:rPr>
          <w:rFonts w:ascii="Times New Roman" w:hAnsi="Times New Roman" w:cs="Times New Roman"/>
        </w:rPr>
        <w:t>), cauliflower (</w:t>
      </w:r>
      <w:r w:rsidRPr="009D6D09">
        <w:rPr>
          <w:rFonts w:ascii="Times New Roman" w:hAnsi="Times New Roman" w:cs="Times New Roman"/>
          <w:i/>
          <w:iCs/>
        </w:rPr>
        <w:t>Brassica oleracea</w:t>
      </w:r>
      <w:r w:rsidRPr="009D6D09">
        <w:rPr>
          <w:rFonts w:ascii="Times New Roman" w:hAnsi="Times New Roman" w:cs="Times New Roman"/>
        </w:rPr>
        <w:t xml:space="preserve"> var. </w:t>
      </w:r>
      <w:r w:rsidRPr="009D6D09">
        <w:rPr>
          <w:rFonts w:ascii="Times New Roman" w:hAnsi="Times New Roman" w:cs="Times New Roman"/>
          <w:i/>
          <w:iCs/>
        </w:rPr>
        <w:t>botrytis</w:t>
      </w:r>
      <w:r w:rsidRPr="009D6D09">
        <w:rPr>
          <w:rFonts w:ascii="Times New Roman" w:hAnsi="Times New Roman" w:cs="Times New Roman"/>
        </w:rPr>
        <w:t>), bottle gourd (</w:t>
      </w:r>
      <w:r w:rsidRPr="009D6D09">
        <w:rPr>
          <w:rFonts w:ascii="Times New Roman" w:hAnsi="Times New Roman" w:cs="Times New Roman"/>
          <w:i/>
          <w:iCs/>
        </w:rPr>
        <w:t>Lagenaria siceraria</w:t>
      </w:r>
      <w:r w:rsidRPr="009D6D09">
        <w:rPr>
          <w:rFonts w:ascii="Times New Roman" w:hAnsi="Times New Roman" w:cs="Times New Roman"/>
        </w:rPr>
        <w:t>), bitter gourd (</w:t>
      </w:r>
      <w:r w:rsidRPr="009D6D09">
        <w:rPr>
          <w:rFonts w:ascii="Times New Roman" w:hAnsi="Times New Roman" w:cs="Times New Roman"/>
          <w:i/>
          <w:iCs/>
        </w:rPr>
        <w:t xml:space="preserve">Momordica </w:t>
      </w:r>
      <w:proofErr w:type="spellStart"/>
      <w:r w:rsidRPr="009D6D09">
        <w:rPr>
          <w:rFonts w:ascii="Times New Roman" w:hAnsi="Times New Roman" w:cs="Times New Roman"/>
          <w:i/>
          <w:iCs/>
        </w:rPr>
        <w:t>charantia</w:t>
      </w:r>
      <w:proofErr w:type="spellEnd"/>
      <w:r w:rsidRPr="009D6D09">
        <w:rPr>
          <w:rFonts w:ascii="Times New Roman" w:hAnsi="Times New Roman" w:cs="Times New Roman"/>
        </w:rPr>
        <w:t>), and country bean (</w:t>
      </w:r>
      <w:r w:rsidRPr="009D6D09">
        <w:rPr>
          <w:rFonts w:ascii="Times New Roman" w:hAnsi="Times New Roman" w:cs="Times New Roman"/>
          <w:i/>
          <w:iCs/>
        </w:rPr>
        <w:t>Lablab purpureus</w:t>
      </w:r>
      <w:r w:rsidRPr="009D6D09">
        <w:rPr>
          <w:rFonts w:ascii="Times New Roman" w:hAnsi="Times New Roman" w:cs="Times New Roman"/>
        </w:rPr>
        <w:t>). The inclusion of these crops allowed the study to capture a broad spectrum of vegetable production systems, representing multiple plant families</w:t>
      </w:r>
      <w:r w:rsidR="00251F64">
        <w:rPr>
          <w:rFonts w:ascii="Times New Roman" w:hAnsi="Times New Roman" w:cs="Times New Roman"/>
        </w:rPr>
        <w:t xml:space="preserve"> such as </w:t>
      </w:r>
      <w:r w:rsidRPr="009D6D09">
        <w:rPr>
          <w:rFonts w:ascii="Times New Roman" w:hAnsi="Times New Roman" w:cs="Times New Roman"/>
        </w:rPr>
        <w:t>Solanaceae, Brassicaceae, Cucurbitaceae, and Fabaceae</w:t>
      </w:r>
      <w:r w:rsidR="00251F64">
        <w:rPr>
          <w:rFonts w:ascii="Times New Roman" w:hAnsi="Times New Roman" w:cs="Times New Roman"/>
        </w:rPr>
        <w:t xml:space="preserve"> </w:t>
      </w:r>
      <w:r w:rsidRPr="009D6D09">
        <w:rPr>
          <w:rFonts w:ascii="Times New Roman" w:hAnsi="Times New Roman" w:cs="Times New Roman"/>
        </w:rPr>
        <w:t xml:space="preserve">as well as varying growth forms and management requirements. This diversity enhanced the robustness of the economic assessment of </w:t>
      </w:r>
      <w:proofErr w:type="spellStart"/>
      <w:r w:rsidRPr="009D6D09">
        <w:rPr>
          <w:rFonts w:ascii="Times New Roman" w:hAnsi="Times New Roman" w:cs="Times New Roman"/>
        </w:rPr>
        <w:t>cocodust</w:t>
      </w:r>
      <w:proofErr w:type="spellEnd"/>
      <w:r w:rsidRPr="009D6D09">
        <w:rPr>
          <w:rFonts w:ascii="Times New Roman" w:hAnsi="Times New Roman" w:cs="Times New Roman"/>
        </w:rPr>
        <w:t xml:space="preserve"> nursery technology across different crop types.</w:t>
      </w:r>
    </w:p>
    <w:p w14:paraId="30B19070" w14:textId="45928435" w:rsidR="007B749D" w:rsidRPr="00467C09" w:rsidRDefault="00467C09" w:rsidP="00CA26EA">
      <w:pPr>
        <w:spacing w:after="0" w:line="360" w:lineRule="auto"/>
        <w:rPr>
          <w:rFonts w:ascii="Times New Roman" w:eastAsia="Times New Roman" w:hAnsi="Times New Roman"/>
          <w:color w:val="0F1115"/>
          <w:kern w:val="0"/>
        </w:rPr>
      </w:pPr>
      <w:r w:rsidRPr="00444D9B">
        <w:rPr>
          <w:rFonts w:ascii="Times New Roman" w:eastAsia="Times New Roman" w:hAnsi="Times New Roman"/>
          <w:b/>
          <w:bCs/>
          <w:color w:val="0F1115"/>
          <w:kern w:val="0"/>
        </w:rPr>
        <w:t xml:space="preserve">2.5 </w:t>
      </w:r>
      <w:r w:rsidRPr="00951232">
        <w:rPr>
          <w:rFonts w:ascii="Times New Roman" w:hAnsi="Times New Roman"/>
          <w:b/>
          <w:bCs/>
        </w:rPr>
        <w:t>Statistical Analysis</w:t>
      </w:r>
    </w:p>
    <w:p w14:paraId="684282F9" w14:textId="7752326D" w:rsidR="000E1F9A" w:rsidRPr="00CE46CF" w:rsidRDefault="00014AE4" w:rsidP="00CA26EA">
      <w:pPr>
        <w:spacing w:after="0" w:line="360" w:lineRule="auto"/>
        <w:jc w:val="both"/>
        <w:rPr>
          <w:rFonts w:ascii="Times New Roman" w:hAnsi="Times New Roman" w:cs="Times New Roman"/>
        </w:rPr>
      </w:pPr>
      <w:r w:rsidRPr="00014AE4">
        <w:rPr>
          <w:rFonts w:ascii="Times New Roman" w:hAnsi="Times New Roman" w:cs="Times New Roman"/>
        </w:rPr>
        <w:t>All statistical analyses were conducted using R version 4.4.1 (R Core Team, 2024), with a primary emphasis on the quantitative assessment of economic productivity. Analyses were performed separately for each vegetable crop to capture crop-specific economic responses to nursery technology.</w:t>
      </w:r>
      <w:r>
        <w:rPr>
          <w:rFonts w:ascii="Times New Roman" w:hAnsi="Times New Roman" w:cs="Times New Roman"/>
        </w:rPr>
        <w:t xml:space="preserve"> </w:t>
      </w:r>
      <w:r w:rsidRPr="00014AE4">
        <w:rPr>
          <w:rFonts w:ascii="Times New Roman" w:hAnsi="Times New Roman" w:cs="Times New Roman"/>
        </w:rPr>
        <w:t xml:space="preserve">For each crop, differences between </w:t>
      </w:r>
      <w:proofErr w:type="spellStart"/>
      <w:r w:rsidRPr="00014AE4">
        <w:rPr>
          <w:rFonts w:ascii="Times New Roman" w:hAnsi="Times New Roman" w:cs="Times New Roman"/>
        </w:rPr>
        <w:t>cocodust</w:t>
      </w:r>
      <w:proofErr w:type="spellEnd"/>
      <w:r w:rsidRPr="00014AE4">
        <w:rPr>
          <w:rFonts w:ascii="Times New Roman" w:hAnsi="Times New Roman" w:cs="Times New Roman"/>
        </w:rPr>
        <w:t xml:space="preserve"> nursery users (Yes) and traditional nursery users (No) were evaluated for key continuous variables, including individual cost components</w:t>
      </w:r>
      <w:r w:rsidR="00B16AE5">
        <w:rPr>
          <w:rFonts w:ascii="Times New Roman" w:hAnsi="Times New Roman" w:cs="Times New Roman"/>
        </w:rPr>
        <w:t xml:space="preserve"> such as </w:t>
      </w:r>
      <w:r w:rsidRPr="00014AE4">
        <w:rPr>
          <w:rFonts w:ascii="Times New Roman" w:hAnsi="Times New Roman" w:cs="Times New Roman"/>
        </w:rPr>
        <w:t>land preparation, seedling, fertilizer, pesticide, irrigation, labor, intercultural operations, and pole/fence</w:t>
      </w:r>
      <w:r w:rsidR="00A84CAE">
        <w:rPr>
          <w:rFonts w:ascii="Times New Roman" w:hAnsi="Times New Roman" w:cs="Times New Roman"/>
        </w:rPr>
        <w:t xml:space="preserve">, </w:t>
      </w:r>
      <w:r w:rsidRPr="00014AE4">
        <w:rPr>
          <w:rFonts w:ascii="Times New Roman" w:hAnsi="Times New Roman" w:cs="Times New Roman"/>
        </w:rPr>
        <w:t xml:space="preserve">total production cost, and net profit per decimal. </w:t>
      </w:r>
      <w:r w:rsidRPr="00CE46CF">
        <w:rPr>
          <w:rFonts w:ascii="Times New Roman" w:hAnsi="Times New Roman" w:cs="Times New Roman"/>
        </w:rPr>
        <w:t xml:space="preserve">Costs were calculated </w:t>
      </w:r>
      <w:r w:rsidRPr="00CE46CF">
        <w:rPr>
          <w:rFonts w:ascii="Times New Roman" w:hAnsi="Times New Roman" w:cs="Times New Roman"/>
        </w:rPr>
        <w:lastRenderedPageBreak/>
        <w:t>on a per-decimal basis (1 decimal = 0.01 acre)</w:t>
      </w:r>
      <w:r w:rsidR="000E1F9A" w:rsidRPr="00CE46CF">
        <w:rPr>
          <w:rFonts w:ascii="Times New Roman" w:hAnsi="Times New Roman" w:cs="Times New Roman"/>
        </w:rPr>
        <w:t>.</w:t>
      </w:r>
      <w:r w:rsidR="000E1F9A" w:rsidRPr="00CE46CF">
        <w:t xml:space="preserve"> </w:t>
      </w:r>
      <w:r w:rsidR="000E1F9A" w:rsidRPr="00CE46CF">
        <w:rPr>
          <w:rFonts w:ascii="Times New Roman" w:hAnsi="Times New Roman" w:cs="Times New Roman"/>
        </w:rPr>
        <w:t xml:space="preserve">The </w:t>
      </w:r>
      <w:r w:rsidR="000E1F9A" w:rsidRPr="00FC345A">
        <w:rPr>
          <w:rFonts w:ascii="Times New Roman" w:hAnsi="Times New Roman" w:cs="Times New Roman"/>
        </w:rPr>
        <w:t>total production cost (TPC)</w:t>
      </w:r>
      <w:r w:rsidR="000E1F9A" w:rsidRPr="00CE46CF">
        <w:rPr>
          <w:rFonts w:ascii="Times New Roman" w:hAnsi="Times New Roman" w:cs="Times New Roman"/>
        </w:rPr>
        <w:t xml:space="preserve"> was computed as the sum of all individual cost components:</w:t>
      </w:r>
    </w:p>
    <w:p w14:paraId="32E3C664" w14:textId="1F38BF3B" w:rsidR="00321FB2" w:rsidRPr="00996925" w:rsidRDefault="00E519EA" w:rsidP="00AF0348">
      <w:pPr>
        <w:spacing w:after="0" w:line="360" w:lineRule="auto"/>
        <w:ind w:left="720"/>
        <w:jc w:val="both"/>
        <w:rPr>
          <w:rFonts w:ascii="Times New Roman" w:hAnsi="Times New Roman" w:cs="Times New Roman"/>
        </w:rPr>
      </w:pPr>
      <m:oMath>
        <m:r>
          <w:rPr>
            <w:rFonts w:ascii="Cambria Math" w:hAnsi="Cambria Math" w:cs="Times New Roman"/>
          </w:rPr>
          <m:t>TPC=</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lp</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sd</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ir</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lic</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pf</m:t>
            </m:r>
          </m:sub>
        </m:sSub>
      </m:oMath>
      <w:r w:rsidR="00996925">
        <w:rPr>
          <w:rFonts w:ascii="Times New Roman" w:eastAsiaTheme="minorEastAsia" w:hAnsi="Times New Roman" w:cs="Times New Roman"/>
        </w:rPr>
        <w:t>……………………………</w:t>
      </w:r>
      <w:proofErr w:type="gramStart"/>
      <w:r w:rsidR="00996925">
        <w:rPr>
          <w:rFonts w:ascii="Times New Roman" w:eastAsiaTheme="minorEastAsia" w:hAnsi="Times New Roman" w:cs="Times New Roman"/>
        </w:rPr>
        <w:t>…(</w:t>
      </w:r>
      <w:proofErr w:type="gramEnd"/>
      <w:r w:rsidR="00996925">
        <w:rPr>
          <w:rFonts w:ascii="Times New Roman" w:eastAsiaTheme="minorEastAsia" w:hAnsi="Times New Roman" w:cs="Times New Roman"/>
        </w:rPr>
        <w:t>1)</w:t>
      </w:r>
    </w:p>
    <w:p w14:paraId="4122EA42" w14:textId="23A3642F" w:rsidR="00173CF1" w:rsidRPr="00515029" w:rsidRDefault="00515029" w:rsidP="00CA26EA">
      <w:pPr>
        <w:spacing w:after="0" w:line="360" w:lineRule="auto"/>
        <w:rPr>
          <w:rFonts w:ascii="Times New Roman" w:hAnsi="Times New Roman" w:cs="Times New Roman"/>
        </w:rPr>
      </w:pPr>
      <w:r w:rsidRPr="00515029">
        <w:rPr>
          <w:rFonts w:ascii="Times New Roman" w:hAnsi="Times New Roman" w:cs="Times New Roman"/>
        </w:rPr>
        <w:t>where:</w:t>
      </w:r>
      <w:r w:rsidRPr="00515029">
        <w:rPr>
          <w:rFonts w:ascii="Times New Roman" w:hAnsi="Times New Roman" w:cs="Times New Roman"/>
        </w:rPr>
        <w:br/>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lp</m:t>
            </m:r>
          </m:sub>
        </m:sSub>
      </m:oMath>
      <w:r w:rsidRPr="00515029">
        <w:rPr>
          <w:rFonts w:ascii="Times New Roman" w:hAnsi="Times New Roman" w:cs="Times New Roman"/>
        </w:rPr>
        <w:t>= land preparation cost,</w:t>
      </w:r>
      <w:r w:rsidR="003A68D8">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sd</m:t>
            </m:r>
          </m:sub>
        </m:sSub>
      </m:oMath>
      <w:r w:rsidRPr="00515029">
        <w:rPr>
          <w:rFonts w:ascii="Times New Roman" w:hAnsi="Times New Roman" w:cs="Times New Roman"/>
        </w:rPr>
        <w:t>= seedling cost,</w:t>
      </w:r>
      <w:r w:rsidR="003A68D8">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f</m:t>
            </m:r>
          </m:sub>
        </m:sSub>
      </m:oMath>
      <w:r w:rsidRPr="00515029">
        <w:rPr>
          <w:rFonts w:ascii="Times New Roman" w:hAnsi="Times New Roman" w:cs="Times New Roman"/>
        </w:rPr>
        <w:t>= fertilizer cost,</w:t>
      </w:r>
      <w:r w:rsidR="003A68D8">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p</m:t>
            </m:r>
          </m:sub>
        </m:sSub>
      </m:oMath>
      <w:r w:rsidRPr="00515029">
        <w:rPr>
          <w:rFonts w:ascii="Times New Roman" w:hAnsi="Times New Roman" w:cs="Times New Roman"/>
        </w:rPr>
        <w:t>= pesticide cost,</w:t>
      </w:r>
      <w:r w:rsidR="003A68D8">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ir</m:t>
            </m:r>
          </m:sub>
        </m:sSub>
      </m:oMath>
      <w:r w:rsidRPr="00515029">
        <w:rPr>
          <w:rFonts w:ascii="Times New Roman" w:hAnsi="Times New Roman" w:cs="Times New Roman"/>
        </w:rPr>
        <w:t>= irrigation cost,</w:t>
      </w:r>
      <w:r w:rsidR="003A68D8">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l</m:t>
            </m:r>
          </m:sub>
        </m:sSub>
      </m:oMath>
      <w:r w:rsidRPr="00515029">
        <w:rPr>
          <w:rFonts w:ascii="Times New Roman" w:hAnsi="Times New Roman" w:cs="Times New Roman"/>
        </w:rPr>
        <w:t>= labor cost,</w:t>
      </w:r>
      <w:r w:rsidR="003A68D8">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ic</m:t>
            </m:r>
          </m:sub>
        </m:sSub>
      </m:oMath>
      <w:r w:rsidRPr="00515029">
        <w:rPr>
          <w:rFonts w:ascii="Times New Roman" w:hAnsi="Times New Roman" w:cs="Times New Roman"/>
        </w:rPr>
        <w:t>= intercultural operation cost,</w:t>
      </w:r>
      <w:r w:rsidR="003A68D8" w:rsidRPr="003A68D8">
        <w:rPr>
          <w:rFonts w:ascii="Cambria Math" w:hAnsi="Cambria Math" w:cs="Times New Roman"/>
        </w:rPr>
        <w:t xml:space="preserve">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pf</m:t>
            </m:r>
          </m:sub>
        </m:sSub>
      </m:oMath>
      <w:r w:rsidR="003A68D8" w:rsidRPr="00515029">
        <w:rPr>
          <w:rFonts w:ascii="Times New Roman" w:hAnsi="Times New Roman" w:cs="Times New Roman"/>
        </w:rPr>
        <w:t>= pole and fence cost.</w:t>
      </w:r>
    </w:p>
    <w:p w14:paraId="1B06238A" w14:textId="5944C8A0" w:rsidR="00B008FE" w:rsidRDefault="00B008FE" w:rsidP="00CA26EA">
      <w:pPr>
        <w:spacing w:after="0" w:line="360" w:lineRule="auto"/>
        <w:jc w:val="both"/>
        <w:rPr>
          <w:rFonts w:ascii="Times New Roman" w:hAnsi="Times New Roman" w:cs="Times New Roman"/>
        </w:rPr>
      </w:pPr>
      <w:r w:rsidRPr="00B008FE">
        <w:rPr>
          <w:rFonts w:ascii="Times New Roman" w:hAnsi="Times New Roman" w:cs="Times New Roman"/>
        </w:rPr>
        <w:t xml:space="preserve">The </w:t>
      </w:r>
      <w:r w:rsidRPr="00FC345A">
        <w:rPr>
          <w:rFonts w:ascii="Times New Roman" w:hAnsi="Times New Roman" w:cs="Times New Roman"/>
        </w:rPr>
        <w:t>gross return (GR)</w:t>
      </w:r>
      <w:r w:rsidRPr="00B008FE">
        <w:rPr>
          <w:rFonts w:ascii="Times New Roman" w:hAnsi="Times New Roman" w:cs="Times New Roman"/>
        </w:rPr>
        <w:t xml:space="preserve"> was calculated as:</w:t>
      </w:r>
      <w:r>
        <w:rPr>
          <w:rFonts w:ascii="Times New Roman" w:hAnsi="Times New Roman" w:cs="Times New Roman"/>
        </w:rPr>
        <w:t xml:space="preserve"> </w:t>
      </w:r>
    </w:p>
    <w:p w14:paraId="071A0494" w14:textId="5F0CEF8E" w:rsidR="002A4DAC" w:rsidRDefault="002A4DAC" w:rsidP="00AF0348">
      <w:pPr>
        <w:spacing w:after="0" w:line="360" w:lineRule="auto"/>
        <w:ind w:left="720"/>
        <w:jc w:val="both"/>
        <w:rPr>
          <w:rFonts w:ascii="Times New Roman" w:hAnsi="Times New Roman" w:cs="Times New Roman"/>
        </w:rPr>
      </w:pPr>
      <m:oMath>
        <m:r>
          <w:rPr>
            <w:rFonts w:ascii="Cambria Math" w:hAnsi="Cambria Math" w:cs="Times New Roman"/>
          </w:rPr>
          <m:t>GR=Y×P</m:t>
        </m:r>
      </m:oMath>
      <w:r w:rsidR="00404ED2">
        <w:rPr>
          <w:rFonts w:ascii="Times New Roman" w:eastAsiaTheme="minorEastAsia" w:hAnsi="Times New Roman" w:cs="Times New Roman"/>
        </w:rPr>
        <w:t>…………………………………………………………………………</w:t>
      </w:r>
      <w:proofErr w:type="gramStart"/>
      <w:r w:rsidR="00404ED2">
        <w:rPr>
          <w:rFonts w:ascii="Times New Roman" w:eastAsiaTheme="minorEastAsia" w:hAnsi="Times New Roman" w:cs="Times New Roman"/>
        </w:rPr>
        <w:t>…(</w:t>
      </w:r>
      <w:proofErr w:type="gramEnd"/>
      <w:r w:rsidR="00404ED2">
        <w:rPr>
          <w:rFonts w:ascii="Times New Roman" w:eastAsiaTheme="minorEastAsia" w:hAnsi="Times New Roman" w:cs="Times New Roman"/>
        </w:rPr>
        <w:t>2)</w:t>
      </w:r>
    </w:p>
    <w:p w14:paraId="66092FCE" w14:textId="585C0158" w:rsidR="00C13177" w:rsidRDefault="00C13177" w:rsidP="00CA26EA">
      <w:pPr>
        <w:spacing w:after="0" w:line="360" w:lineRule="auto"/>
        <w:rPr>
          <w:rFonts w:ascii="Times New Roman" w:hAnsi="Times New Roman" w:cs="Times New Roman"/>
        </w:rPr>
      </w:pPr>
      <w:r w:rsidRPr="00C13177">
        <w:rPr>
          <w:rFonts w:ascii="Times New Roman" w:hAnsi="Times New Roman" w:cs="Times New Roman"/>
        </w:rPr>
        <w:t>where:</w:t>
      </w:r>
      <w:r w:rsidRPr="00C13177">
        <w:rPr>
          <w:rFonts w:ascii="Times New Roman" w:hAnsi="Times New Roman" w:cs="Times New Roman"/>
        </w:rPr>
        <w:br/>
      </w:r>
      <m:oMath>
        <m:r>
          <w:rPr>
            <w:rFonts w:ascii="Cambria Math" w:hAnsi="Cambria Math" w:cs="Times New Roman"/>
          </w:rPr>
          <m:t>Y</m:t>
        </m:r>
      </m:oMath>
      <w:r w:rsidRPr="00C13177">
        <w:rPr>
          <w:rFonts w:ascii="Times New Roman" w:hAnsi="Times New Roman" w:cs="Times New Roman"/>
        </w:rPr>
        <w:t>= yield (kg per decimal),</w:t>
      </w:r>
      <w:r w:rsidR="0044541D">
        <w:rPr>
          <w:rFonts w:ascii="Times New Roman" w:hAnsi="Times New Roman" w:cs="Times New Roman"/>
        </w:rPr>
        <w:t xml:space="preserve"> </w:t>
      </w:r>
      <m:oMath>
        <m:r>
          <w:rPr>
            <w:rFonts w:ascii="Cambria Math" w:hAnsi="Cambria Math" w:cs="Times New Roman"/>
          </w:rPr>
          <m:t>P</m:t>
        </m:r>
      </m:oMath>
      <w:r w:rsidR="0044541D" w:rsidRPr="00C13177">
        <w:rPr>
          <w:rFonts w:ascii="Times New Roman" w:hAnsi="Times New Roman" w:cs="Times New Roman"/>
        </w:rPr>
        <w:t>= average market price of the crop (BDT per</w:t>
      </w:r>
      <w:r w:rsidR="0044541D">
        <w:rPr>
          <w:rFonts w:ascii="Times New Roman" w:hAnsi="Times New Roman" w:cs="Times New Roman"/>
        </w:rPr>
        <w:t xml:space="preserve"> kg</w:t>
      </w:r>
      <w:r w:rsidR="0044541D" w:rsidRPr="00C13177">
        <w:rPr>
          <w:rFonts w:ascii="Times New Roman" w:hAnsi="Times New Roman" w:cs="Times New Roman"/>
        </w:rPr>
        <w:t>)</w:t>
      </w:r>
    </w:p>
    <w:p w14:paraId="7249B37A" w14:textId="77777777" w:rsidR="0044541D" w:rsidRDefault="009F1382" w:rsidP="00CA26EA">
      <w:pPr>
        <w:spacing w:after="0" w:line="360" w:lineRule="auto"/>
        <w:jc w:val="both"/>
        <w:rPr>
          <w:rFonts w:ascii="Times New Roman" w:hAnsi="Times New Roman" w:cs="Times New Roman"/>
        </w:rPr>
      </w:pPr>
      <w:r w:rsidRPr="009F1382">
        <w:rPr>
          <w:rFonts w:ascii="Times New Roman" w:hAnsi="Times New Roman" w:cs="Times New Roman"/>
        </w:rPr>
        <w:t xml:space="preserve">The </w:t>
      </w:r>
      <w:r w:rsidRPr="00FC345A">
        <w:rPr>
          <w:rFonts w:ascii="Times New Roman" w:hAnsi="Times New Roman" w:cs="Times New Roman"/>
        </w:rPr>
        <w:t>net profit (NP)</w:t>
      </w:r>
      <w:r w:rsidRPr="009F1382">
        <w:rPr>
          <w:rFonts w:ascii="Times New Roman" w:hAnsi="Times New Roman" w:cs="Times New Roman"/>
        </w:rPr>
        <w:t xml:space="preserve"> was derived using the following equation:</w:t>
      </w:r>
      <w:r>
        <w:rPr>
          <w:rFonts w:ascii="Times New Roman" w:hAnsi="Times New Roman" w:cs="Times New Roman"/>
        </w:rPr>
        <w:t xml:space="preserve"> </w:t>
      </w:r>
    </w:p>
    <w:p w14:paraId="361AB256" w14:textId="57B8942D" w:rsidR="0044541D" w:rsidRPr="00B51DF9" w:rsidRDefault="00B51DF9" w:rsidP="00AF0348">
      <w:pPr>
        <w:spacing w:after="0" w:line="360" w:lineRule="auto"/>
        <w:ind w:left="720"/>
        <w:jc w:val="both"/>
        <w:rPr>
          <w:rFonts w:ascii="Times New Roman" w:hAnsi="Times New Roman" w:cs="Times New Roman"/>
        </w:rPr>
      </w:pPr>
      <m:oMath>
        <m:r>
          <w:rPr>
            <w:rFonts w:ascii="Cambria Math" w:hAnsi="Cambria Math" w:cs="Times New Roman"/>
          </w:rPr>
          <m:t>NP=GR-TPC</m:t>
        </m:r>
      </m:oMath>
      <w:r w:rsidR="00647FF2">
        <w:rPr>
          <w:rFonts w:ascii="Times New Roman" w:eastAsiaTheme="minorEastAsia" w:hAnsi="Times New Roman" w:cs="Times New Roman"/>
        </w:rPr>
        <w:t>……………………………………………………… ……………</w:t>
      </w:r>
      <w:proofErr w:type="gramStart"/>
      <w:r w:rsidR="00647FF2">
        <w:rPr>
          <w:rFonts w:ascii="Times New Roman" w:eastAsiaTheme="minorEastAsia" w:hAnsi="Times New Roman" w:cs="Times New Roman"/>
        </w:rPr>
        <w:t>…(</w:t>
      </w:r>
      <w:proofErr w:type="gramEnd"/>
      <w:r w:rsidR="00647FF2">
        <w:rPr>
          <w:rFonts w:ascii="Times New Roman" w:eastAsiaTheme="minorEastAsia" w:hAnsi="Times New Roman" w:cs="Times New Roman"/>
        </w:rPr>
        <w:t>3)</w:t>
      </w:r>
    </w:p>
    <w:p w14:paraId="0E3F8265" w14:textId="52AD948D" w:rsidR="00014AE4" w:rsidRPr="00014AE4" w:rsidRDefault="00014AE4" w:rsidP="00CA26EA">
      <w:pPr>
        <w:spacing w:after="0" w:line="360" w:lineRule="auto"/>
        <w:jc w:val="both"/>
        <w:rPr>
          <w:rFonts w:ascii="Times New Roman" w:hAnsi="Times New Roman" w:cs="Times New Roman"/>
        </w:rPr>
      </w:pPr>
      <w:r w:rsidRPr="00014AE4">
        <w:rPr>
          <w:rFonts w:ascii="Times New Roman" w:hAnsi="Times New Roman" w:cs="Times New Roman"/>
        </w:rPr>
        <w:t xml:space="preserve">Given the potential heterogeneity in farm management practices and unequal variance structures between groups, independent two-sample Welch’s </w:t>
      </w:r>
      <w:r w:rsidRPr="00014AE4">
        <w:rPr>
          <w:rFonts w:ascii="Times New Roman" w:hAnsi="Times New Roman" w:cs="Times New Roman"/>
          <w:i/>
          <w:iCs/>
        </w:rPr>
        <w:t>t</w:t>
      </w:r>
      <w:r w:rsidRPr="00014AE4">
        <w:rPr>
          <w:rFonts w:ascii="Times New Roman" w:hAnsi="Times New Roman" w:cs="Times New Roman"/>
        </w:rPr>
        <w:t>-tests were applied for all continuous variables. Statistical significance was assessed at P ≤ 0.05, and results are presented as mean ± standard error.</w:t>
      </w:r>
      <w:r>
        <w:rPr>
          <w:rFonts w:ascii="Times New Roman" w:hAnsi="Times New Roman" w:cs="Times New Roman"/>
        </w:rPr>
        <w:t xml:space="preserve"> </w:t>
      </w:r>
      <w:r w:rsidRPr="00014AE4">
        <w:rPr>
          <w:rFonts w:ascii="Times New Roman" w:hAnsi="Times New Roman" w:cs="Times New Roman"/>
        </w:rPr>
        <w:t xml:space="preserve">All graphical outputs follow a consistent notation system in which bars sharing the same lowercase letter indicate no statistically significant difference, whereas different letters denote significant differences at P ≤ 0.05. This standardized approach facilitates clear and robust comparison of economic performance indicators between </w:t>
      </w:r>
      <w:proofErr w:type="spellStart"/>
      <w:r w:rsidRPr="00014AE4">
        <w:rPr>
          <w:rFonts w:ascii="Times New Roman" w:hAnsi="Times New Roman" w:cs="Times New Roman"/>
        </w:rPr>
        <w:t>cocodust</w:t>
      </w:r>
      <w:proofErr w:type="spellEnd"/>
      <w:r w:rsidRPr="00014AE4">
        <w:rPr>
          <w:rFonts w:ascii="Times New Roman" w:hAnsi="Times New Roman" w:cs="Times New Roman"/>
        </w:rPr>
        <w:t>-based and traditional nursery systems across vegetable crops.</w:t>
      </w:r>
    </w:p>
    <w:p w14:paraId="1F60A742" w14:textId="29381BFF" w:rsidR="006C05BF" w:rsidRPr="006C05BF" w:rsidRDefault="00FC345A" w:rsidP="00CA26EA">
      <w:pPr>
        <w:spacing w:after="0" w:line="360" w:lineRule="auto"/>
        <w:rPr>
          <w:rFonts w:ascii="Times New Roman" w:hAnsi="Times New Roman" w:cs="Times New Roman"/>
          <w:b/>
          <w:bCs/>
        </w:rPr>
      </w:pPr>
      <w:r>
        <w:rPr>
          <w:rFonts w:ascii="Times New Roman" w:hAnsi="Times New Roman" w:cs="Times New Roman"/>
          <w:b/>
          <w:bCs/>
        </w:rPr>
        <w:t xml:space="preserve">3 </w:t>
      </w:r>
      <w:r w:rsidR="006C05BF" w:rsidRPr="006C05BF">
        <w:rPr>
          <w:rFonts w:ascii="Times New Roman" w:hAnsi="Times New Roman" w:cs="Times New Roman"/>
          <w:b/>
          <w:bCs/>
        </w:rPr>
        <w:t>Results</w:t>
      </w:r>
    </w:p>
    <w:p w14:paraId="6638734C" w14:textId="2F426320" w:rsidR="006C05BF" w:rsidRPr="006C05BF" w:rsidRDefault="00FC345A" w:rsidP="00CA26EA">
      <w:pPr>
        <w:spacing w:after="0" w:line="360" w:lineRule="auto"/>
        <w:rPr>
          <w:rFonts w:ascii="Times New Roman" w:hAnsi="Times New Roman" w:cs="Times New Roman"/>
          <w:b/>
          <w:bCs/>
        </w:rPr>
      </w:pPr>
      <w:r>
        <w:rPr>
          <w:rFonts w:ascii="Times New Roman" w:hAnsi="Times New Roman" w:cs="Times New Roman"/>
          <w:b/>
          <w:bCs/>
        </w:rPr>
        <w:t xml:space="preserve">3.1 </w:t>
      </w:r>
      <w:r w:rsidR="006C05BF" w:rsidRPr="006C05BF">
        <w:rPr>
          <w:rFonts w:ascii="Times New Roman" w:hAnsi="Times New Roman" w:cs="Times New Roman"/>
          <w:b/>
          <w:bCs/>
        </w:rPr>
        <w:t>Land preparation cost</w:t>
      </w:r>
    </w:p>
    <w:p w14:paraId="70834424" w14:textId="6F2D6421" w:rsidR="007338F3" w:rsidRDefault="007338F3" w:rsidP="00CA26EA">
      <w:pPr>
        <w:spacing w:after="0" w:line="360" w:lineRule="auto"/>
        <w:jc w:val="both"/>
        <w:rPr>
          <w:rFonts w:ascii="Times New Roman" w:hAnsi="Times New Roman" w:cs="Times New Roman"/>
        </w:rPr>
      </w:pPr>
      <w:r w:rsidRPr="007338F3">
        <w:rPr>
          <w:rFonts w:ascii="Times New Roman" w:hAnsi="Times New Roman" w:cs="Times New Roman"/>
        </w:rPr>
        <w:t xml:space="preserve">Land preparation cost per decimal was generally lower under </w:t>
      </w:r>
      <w:proofErr w:type="spellStart"/>
      <w:r w:rsidRPr="007338F3">
        <w:rPr>
          <w:rFonts w:ascii="Times New Roman" w:hAnsi="Times New Roman" w:cs="Times New Roman"/>
        </w:rPr>
        <w:t>cocodust</w:t>
      </w:r>
      <w:proofErr w:type="spellEnd"/>
      <w:r w:rsidRPr="007338F3">
        <w:rPr>
          <w:rFonts w:ascii="Times New Roman" w:hAnsi="Times New Roman" w:cs="Times New Roman"/>
        </w:rPr>
        <w:t xml:space="preserve">-based nursery systems compared to traditional practices, although the magnitude and significance of the differences varied across crops (Fig. </w:t>
      </w:r>
      <w:r w:rsidR="00AC7004">
        <w:rPr>
          <w:rFonts w:ascii="Times New Roman" w:hAnsi="Times New Roman" w:cs="Times New Roman"/>
        </w:rPr>
        <w:t>1</w:t>
      </w:r>
      <w:r w:rsidRPr="007338F3">
        <w:rPr>
          <w:rFonts w:ascii="Times New Roman" w:hAnsi="Times New Roman" w:cs="Times New Roman"/>
        </w:rPr>
        <w:t>).</w:t>
      </w:r>
      <w:r>
        <w:rPr>
          <w:rFonts w:ascii="Times New Roman" w:hAnsi="Times New Roman" w:cs="Times New Roman"/>
        </w:rPr>
        <w:t xml:space="preserve"> </w:t>
      </w:r>
    </w:p>
    <w:p w14:paraId="428C579E" w14:textId="1E89B315" w:rsidR="00251738" w:rsidRDefault="00A602BB" w:rsidP="00CA26EA">
      <w:pPr>
        <w:spacing w:after="0" w:line="360" w:lineRule="auto"/>
        <w:jc w:val="center"/>
        <w:rPr>
          <w:rFonts w:ascii="Times New Roman" w:hAnsi="Times New Roman" w:cs="Times New Roman"/>
        </w:rPr>
      </w:pPr>
      <w:r>
        <w:rPr>
          <w:noProof/>
          <w:lang w:val="en-GB" w:eastAsia="en-GB"/>
        </w:rPr>
        <w:lastRenderedPageBreak/>
        <w:drawing>
          <wp:inline distT="0" distB="0" distL="0" distR="0" wp14:anchorId="23A7F29D" wp14:editId="7D133D89">
            <wp:extent cx="4595191" cy="2743200"/>
            <wp:effectExtent l="0" t="0" r="15240" b="0"/>
            <wp:docPr id="57749701" name="Chart 1">
              <a:extLst xmlns:a="http://schemas.openxmlformats.org/drawingml/2006/main">
                <a:ext uri="{FF2B5EF4-FFF2-40B4-BE49-F238E27FC236}">
                  <a16:creationId xmlns:a16="http://schemas.microsoft.com/office/drawing/2014/main" id="{E8A0063F-338F-EF7A-424C-C0561BDD97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85AD2C0" w14:textId="65366562" w:rsidR="00AF0348" w:rsidRPr="00AF0348" w:rsidRDefault="0087518E" w:rsidP="00CA26EA">
      <w:pPr>
        <w:spacing w:after="0" w:line="360" w:lineRule="auto"/>
        <w:jc w:val="both"/>
        <w:rPr>
          <w:rFonts w:ascii="Times New Roman" w:hAnsi="Times New Roman" w:cs="Times New Roman"/>
        </w:rPr>
      </w:pPr>
      <w:r w:rsidRPr="00D773DA">
        <w:rPr>
          <w:rFonts w:ascii="Times New Roman" w:hAnsi="Times New Roman" w:cs="Times New Roman"/>
          <w:b/>
          <w:bCs/>
        </w:rPr>
        <w:t>Fig</w:t>
      </w:r>
      <w:r w:rsidR="004D6426">
        <w:rPr>
          <w:rFonts w:ascii="Times New Roman" w:hAnsi="Times New Roman" w:cs="Times New Roman"/>
          <w:b/>
          <w:bCs/>
        </w:rPr>
        <w:t>. 1</w:t>
      </w:r>
      <w:r w:rsidRPr="00D773DA">
        <w:rPr>
          <w:rFonts w:ascii="Times New Roman" w:hAnsi="Times New Roman" w:cs="Times New Roman"/>
          <w:b/>
          <w:bCs/>
        </w:rPr>
        <w:t xml:space="preserve"> </w:t>
      </w:r>
      <w:r w:rsidR="004D6426">
        <w:rPr>
          <w:rFonts w:ascii="Times New Roman" w:hAnsi="Times New Roman" w:cs="Times New Roman"/>
        </w:rPr>
        <w:t>Land preparation</w:t>
      </w:r>
      <w:r w:rsidRPr="00D773DA">
        <w:rPr>
          <w:rFonts w:ascii="Times New Roman" w:hAnsi="Times New Roman" w:cs="Times New Roman"/>
        </w:rPr>
        <w:t xml:space="preserve"> cost (BDT per decimal) for </w:t>
      </w:r>
      <w:proofErr w:type="spellStart"/>
      <w:r w:rsidRPr="00D773DA">
        <w:rPr>
          <w:rFonts w:ascii="Times New Roman" w:hAnsi="Times New Roman" w:cs="Times New Roman"/>
        </w:rPr>
        <w:t>cocodust</w:t>
      </w:r>
      <w:proofErr w:type="spellEnd"/>
      <w:r w:rsidRPr="00D773DA">
        <w:rPr>
          <w:rFonts w:ascii="Times New Roman" w:hAnsi="Times New Roman" w:cs="Times New Roman"/>
        </w:rPr>
        <w:t xml:space="preserve">-based and traditional nursery systems across selected vegetables. Bars with different letters indicate significant differences at </w:t>
      </w:r>
      <w:r w:rsidRPr="00D773DA">
        <w:rPr>
          <w:rFonts w:ascii="Times New Roman" w:hAnsi="Times New Roman" w:cs="Times New Roman"/>
          <w:i/>
          <w:iCs/>
        </w:rPr>
        <w:t>P</w:t>
      </w:r>
      <w:r w:rsidRPr="00D773DA">
        <w:rPr>
          <w:rFonts w:ascii="Times New Roman" w:hAnsi="Times New Roman" w:cs="Times New Roman"/>
        </w:rPr>
        <w:t xml:space="preserve"> ≤ 0.05.</w:t>
      </w:r>
    </w:p>
    <w:p w14:paraId="07C5FB30" w14:textId="77777777" w:rsidR="00BE01E1" w:rsidRDefault="00BE01E1" w:rsidP="00CA26EA">
      <w:pPr>
        <w:spacing w:after="0" w:line="360" w:lineRule="auto"/>
        <w:jc w:val="both"/>
        <w:rPr>
          <w:rFonts w:ascii="Times New Roman" w:hAnsi="Times New Roman" w:cs="Times New Roman"/>
        </w:rPr>
      </w:pPr>
    </w:p>
    <w:p w14:paraId="33AFEFBF" w14:textId="72DC4813" w:rsidR="007C06B0" w:rsidRPr="007C06B0" w:rsidRDefault="007C06B0" w:rsidP="00CA26EA">
      <w:pPr>
        <w:spacing w:after="0" w:line="360" w:lineRule="auto"/>
        <w:jc w:val="both"/>
        <w:rPr>
          <w:rFonts w:ascii="Times New Roman" w:hAnsi="Times New Roman" w:cs="Times New Roman"/>
        </w:rPr>
      </w:pPr>
      <w:r w:rsidRPr="007C06B0">
        <w:rPr>
          <w:rFonts w:ascii="Times New Roman" w:hAnsi="Times New Roman" w:cs="Times New Roman"/>
        </w:rPr>
        <w:t xml:space="preserve">For bitter gourd, </w:t>
      </w:r>
      <w:proofErr w:type="spellStart"/>
      <w:r w:rsidRPr="007C06B0">
        <w:rPr>
          <w:rFonts w:ascii="Times New Roman" w:hAnsi="Times New Roman" w:cs="Times New Roman"/>
        </w:rPr>
        <w:t>cocodust</w:t>
      </w:r>
      <w:proofErr w:type="spellEnd"/>
      <w:r w:rsidRPr="007C06B0">
        <w:rPr>
          <w:rFonts w:ascii="Times New Roman" w:hAnsi="Times New Roman" w:cs="Times New Roman"/>
        </w:rPr>
        <w:t xml:space="preserve"> users incurred a lower land preparation cost (8.3%) compared to traditional nursery users, but the difference was not statistically significant. In bottle gourd, land preparation cost under </w:t>
      </w:r>
      <w:proofErr w:type="spellStart"/>
      <w:r w:rsidRPr="007C06B0">
        <w:rPr>
          <w:rFonts w:ascii="Times New Roman" w:hAnsi="Times New Roman" w:cs="Times New Roman"/>
        </w:rPr>
        <w:t>cocodust</w:t>
      </w:r>
      <w:proofErr w:type="spellEnd"/>
      <w:r w:rsidRPr="007C06B0">
        <w:rPr>
          <w:rFonts w:ascii="Times New Roman" w:hAnsi="Times New Roman" w:cs="Times New Roman"/>
        </w:rPr>
        <w:t xml:space="preserve"> systems was 4.5% higher than traditional practices, while brinjal showed no difference between the two systems; neither difference was statistically significant.</w:t>
      </w:r>
      <w:r>
        <w:rPr>
          <w:rFonts w:ascii="Times New Roman" w:hAnsi="Times New Roman" w:cs="Times New Roman"/>
        </w:rPr>
        <w:t xml:space="preserve"> </w:t>
      </w:r>
      <w:r w:rsidRPr="007C06B0">
        <w:rPr>
          <w:rFonts w:ascii="Times New Roman" w:hAnsi="Times New Roman" w:cs="Times New Roman"/>
        </w:rPr>
        <w:t xml:space="preserve">A statistically significant reduction was observed for cabbage, where </w:t>
      </w:r>
      <w:proofErr w:type="spellStart"/>
      <w:r w:rsidRPr="007C06B0">
        <w:rPr>
          <w:rFonts w:ascii="Times New Roman" w:hAnsi="Times New Roman" w:cs="Times New Roman"/>
        </w:rPr>
        <w:t>cocodust</w:t>
      </w:r>
      <w:proofErr w:type="spellEnd"/>
      <w:r w:rsidRPr="007C06B0">
        <w:rPr>
          <w:rFonts w:ascii="Times New Roman" w:hAnsi="Times New Roman" w:cs="Times New Roman"/>
        </w:rPr>
        <w:t xml:space="preserve"> adoption reduced land preparation cost by 17.2% compared to traditional nurseries. Similarly, country bean exhibited a significant reduction of 4.8% under </w:t>
      </w:r>
      <w:proofErr w:type="spellStart"/>
      <w:r w:rsidRPr="007C06B0">
        <w:rPr>
          <w:rFonts w:ascii="Times New Roman" w:hAnsi="Times New Roman" w:cs="Times New Roman"/>
        </w:rPr>
        <w:t>cocodust</w:t>
      </w:r>
      <w:proofErr w:type="spellEnd"/>
      <w:r w:rsidRPr="007C06B0">
        <w:rPr>
          <w:rFonts w:ascii="Times New Roman" w:hAnsi="Times New Roman" w:cs="Times New Roman"/>
        </w:rPr>
        <w:t xml:space="preserve"> systems.</w:t>
      </w:r>
      <w:r>
        <w:rPr>
          <w:rFonts w:ascii="Times New Roman" w:hAnsi="Times New Roman" w:cs="Times New Roman"/>
        </w:rPr>
        <w:t xml:space="preserve"> </w:t>
      </w:r>
      <w:r w:rsidRPr="007C06B0">
        <w:rPr>
          <w:rFonts w:ascii="Times New Roman" w:hAnsi="Times New Roman" w:cs="Times New Roman"/>
        </w:rPr>
        <w:t xml:space="preserve">For cauliflower, </w:t>
      </w:r>
      <w:proofErr w:type="spellStart"/>
      <w:r w:rsidRPr="007C06B0">
        <w:rPr>
          <w:rFonts w:ascii="Times New Roman" w:hAnsi="Times New Roman" w:cs="Times New Roman"/>
        </w:rPr>
        <w:t>cocodust</w:t>
      </w:r>
      <w:proofErr w:type="spellEnd"/>
      <w:r w:rsidRPr="007C06B0">
        <w:rPr>
          <w:rFonts w:ascii="Times New Roman" w:hAnsi="Times New Roman" w:cs="Times New Roman"/>
        </w:rPr>
        <w:t xml:space="preserve"> users incurred 11.3% lower land preparation costs, but the difference was not statistically significant. In contrast, land preparation cost was higher under </w:t>
      </w:r>
      <w:proofErr w:type="spellStart"/>
      <w:r w:rsidRPr="007C06B0">
        <w:rPr>
          <w:rFonts w:ascii="Times New Roman" w:hAnsi="Times New Roman" w:cs="Times New Roman"/>
        </w:rPr>
        <w:t>cocodust</w:t>
      </w:r>
      <w:proofErr w:type="spellEnd"/>
      <w:r w:rsidRPr="007C06B0">
        <w:rPr>
          <w:rFonts w:ascii="Times New Roman" w:hAnsi="Times New Roman" w:cs="Times New Roman"/>
        </w:rPr>
        <w:t xml:space="preserve"> systems for chili (11.3%) and tomato (8.1%); however, these differences were not statistically significant.</w:t>
      </w:r>
    </w:p>
    <w:p w14:paraId="4DC2616F" w14:textId="71D21D48" w:rsidR="006C05BF" w:rsidRDefault="003F4731" w:rsidP="00CA26EA">
      <w:pPr>
        <w:spacing w:after="0" w:line="360" w:lineRule="auto"/>
        <w:rPr>
          <w:rFonts w:ascii="Times New Roman" w:hAnsi="Times New Roman" w:cs="Times New Roman"/>
          <w:b/>
          <w:bCs/>
        </w:rPr>
      </w:pPr>
      <w:r>
        <w:rPr>
          <w:rFonts w:ascii="Times New Roman" w:hAnsi="Times New Roman" w:cs="Times New Roman"/>
          <w:b/>
          <w:bCs/>
        </w:rPr>
        <w:t xml:space="preserve">3.2 </w:t>
      </w:r>
      <w:r w:rsidR="006C05BF" w:rsidRPr="006C05BF">
        <w:rPr>
          <w:rFonts w:ascii="Times New Roman" w:hAnsi="Times New Roman" w:cs="Times New Roman"/>
          <w:b/>
          <w:bCs/>
        </w:rPr>
        <w:t>Seedling cost</w:t>
      </w:r>
    </w:p>
    <w:p w14:paraId="6DFE3A89" w14:textId="668545F7" w:rsidR="007D496F" w:rsidRDefault="007D496F" w:rsidP="00CA26EA">
      <w:pPr>
        <w:spacing w:after="0" w:line="360" w:lineRule="auto"/>
        <w:jc w:val="both"/>
        <w:rPr>
          <w:rFonts w:ascii="Times New Roman" w:hAnsi="Times New Roman" w:cs="Times New Roman"/>
        </w:rPr>
      </w:pPr>
      <w:r w:rsidRPr="007D496F">
        <w:rPr>
          <w:rFonts w:ascii="Times New Roman" w:hAnsi="Times New Roman" w:cs="Times New Roman"/>
        </w:rPr>
        <w:t xml:space="preserve">Seedling cost per decimal was consistently higher for </w:t>
      </w:r>
      <w:proofErr w:type="spellStart"/>
      <w:r w:rsidRPr="007D496F">
        <w:rPr>
          <w:rFonts w:ascii="Times New Roman" w:hAnsi="Times New Roman" w:cs="Times New Roman"/>
        </w:rPr>
        <w:t>cocodust</w:t>
      </w:r>
      <w:proofErr w:type="spellEnd"/>
      <w:r w:rsidRPr="007D496F">
        <w:rPr>
          <w:rFonts w:ascii="Times New Roman" w:hAnsi="Times New Roman" w:cs="Times New Roman"/>
        </w:rPr>
        <w:t xml:space="preserve">-based nursery users compared to traditional nursery users across most vegetable crops, reflecting the additional expenses associated with tray-based production and </w:t>
      </w:r>
      <w:proofErr w:type="spellStart"/>
      <w:r w:rsidRPr="007D496F">
        <w:rPr>
          <w:rFonts w:ascii="Times New Roman" w:hAnsi="Times New Roman" w:cs="Times New Roman"/>
        </w:rPr>
        <w:t>cocodust</w:t>
      </w:r>
      <w:proofErr w:type="spellEnd"/>
      <w:r w:rsidRPr="007D496F">
        <w:rPr>
          <w:rFonts w:ascii="Times New Roman" w:hAnsi="Times New Roman" w:cs="Times New Roman"/>
        </w:rPr>
        <w:t xml:space="preserve"> growing media (Fig. </w:t>
      </w:r>
      <w:r w:rsidR="00AC7004">
        <w:rPr>
          <w:rFonts w:ascii="Times New Roman" w:hAnsi="Times New Roman" w:cs="Times New Roman"/>
        </w:rPr>
        <w:t>2</w:t>
      </w:r>
      <w:r w:rsidRPr="007D496F">
        <w:rPr>
          <w:rFonts w:ascii="Times New Roman" w:hAnsi="Times New Roman" w:cs="Times New Roman"/>
        </w:rPr>
        <w:t>).</w:t>
      </w:r>
    </w:p>
    <w:p w14:paraId="25923BFC" w14:textId="34AABA48" w:rsidR="00D71FDC" w:rsidRDefault="008A3529" w:rsidP="00CA26EA">
      <w:pPr>
        <w:spacing w:after="0" w:line="360" w:lineRule="auto"/>
        <w:jc w:val="center"/>
        <w:rPr>
          <w:rFonts w:ascii="Times New Roman" w:hAnsi="Times New Roman" w:cs="Times New Roman"/>
        </w:rPr>
      </w:pPr>
      <w:r>
        <w:rPr>
          <w:noProof/>
          <w:lang w:val="en-GB" w:eastAsia="en-GB"/>
        </w:rPr>
        <w:lastRenderedPageBreak/>
        <w:drawing>
          <wp:inline distT="0" distB="0" distL="0" distR="0" wp14:anchorId="14B92DD5" wp14:editId="1F1FF768">
            <wp:extent cx="4595191" cy="2743200"/>
            <wp:effectExtent l="0" t="0" r="15240" b="0"/>
            <wp:docPr id="115524693" name="Chart 1">
              <a:extLst xmlns:a="http://schemas.openxmlformats.org/drawingml/2006/main">
                <a:ext uri="{FF2B5EF4-FFF2-40B4-BE49-F238E27FC236}">
                  <a16:creationId xmlns:a16="http://schemas.microsoft.com/office/drawing/2014/main" id="{022D227A-1853-496A-B3D1-3677CA3A37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A80B6E2" w14:textId="53F02133" w:rsidR="00782273" w:rsidRDefault="00782273" w:rsidP="00CA26EA">
      <w:pPr>
        <w:spacing w:after="0" w:line="360" w:lineRule="auto"/>
        <w:jc w:val="both"/>
        <w:rPr>
          <w:rFonts w:ascii="Times New Roman" w:hAnsi="Times New Roman" w:cs="Times New Roman"/>
        </w:rPr>
      </w:pPr>
      <w:r w:rsidRPr="007E29E8">
        <w:rPr>
          <w:rFonts w:ascii="Times New Roman" w:hAnsi="Times New Roman" w:cs="Times New Roman"/>
          <w:b/>
          <w:bCs/>
        </w:rPr>
        <w:t>Fig.</w:t>
      </w:r>
      <w:r>
        <w:rPr>
          <w:rFonts w:ascii="Times New Roman" w:hAnsi="Times New Roman" w:cs="Times New Roman"/>
          <w:b/>
          <w:bCs/>
        </w:rPr>
        <w:t xml:space="preserve"> 2</w:t>
      </w:r>
      <w:r w:rsidRPr="007E29E8">
        <w:rPr>
          <w:rFonts w:ascii="Times New Roman" w:hAnsi="Times New Roman" w:cs="Times New Roman"/>
        </w:rPr>
        <w:t xml:space="preserve"> Comparison of seedling cost (BDT per decimal) between </w:t>
      </w:r>
      <w:proofErr w:type="spellStart"/>
      <w:r w:rsidRPr="007E29E8">
        <w:rPr>
          <w:rFonts w:ascii="Times New Roman" w:hAnsi="Times New Roman" w:cs="Times New Roman"/>
        </w:rPr>
        <w:t>cocodust</w:t>
      </w:r>
      <w:proofErr w:type="spellEnd"/>
      <w:r w:rsidRPr="007E29E8">
        <w:rPr>
          <w:rFonts w:ascii="Times New Roman" w:hAnsi="Times New Roman" w:cs="Times New Roman"/>
        </w:rPr>
        <w:t xml:space="preserve">-based and traditional nursery systems across selected vegetable crops. Bars with different letters indicate significant differences at </w:t>
      </w:r>
      <w:r w:rsidRPr="007E29E8">
        <w:rPr>
          <w:rFonts w:ascii="Times New Roman" w:hAnsi="Times New Roman" w:cs="Times New Roman"/>
          <w:i/>
          <w:iCs/>
        </w:rPr>
        <w:t>P</w:t>
      </w:r>
      <w:r w:rsidRPr="007E29E8">
        <w:rPr>
          <w:rFonts w:ascii="Times New Roman" w:hAnsi="Times New Roman" w:cs="Times New Roman"/>
        </w:rPr>
        <w:t xml:space="preserve"> ≤ 0.05.</w:t>
      </w:r>
    </w:p>
    <w:p w14:paraId="334C95D2" w14:textId="31795AAB" w:rsidR="002713D3" w:rsidRPr="007D496F" w:rsidRDefault="00D87F4E" w:rsidP="00CA26EA">
      <w:pPr>
        <w:spacing w:after="0" w:line="360" w:lineRule="auto"/>
        <w:jc w:val="both"/>
        <w:rPr>
          <w:rFonts w:ascii="Times New Roman" w:hAnsi="Times New Roman" w:cs="Times New Roman"/>
        </w:rPr>
      </w:pPr>
      <w:r w:rsidRPr="00D87F4E">
        <w:rPr>
          <w:rFonts w:ascii="Times New Roman" w:hAnsi="Times New Roman" w:cs="Times New Roman"/>
        </w:rPr>
        <w:t xml:space="preserve">For bitter gourd, </w:t>
      </w:r>
      <w:proofErr w:type="spellStart"/>
      <w:r w:rsidRPr="00D87F4E">
        <w:rPr>
          <w:rFonts w:ascii="Times New Roman" w:hAnsi="Times New Roman" w:cs="Times New Roman"/>
        </w:rPr>
        <w:t>cocodust</w:t>
      </w:r>
      <w:proofErr w:type="spellEnd"/>
      <w:r w:rsidRPr="00D87F4E">
        <w:rPr>
          <w:rFonts w:ascii="Times New Roman" w:hAnsi="Times New Roman" w:cs="Times New Roman"/>
        </w:rPr>
        <w:t xml:space="preserve"> raised seedlings were 5</w:t>
      </w:r>
      <w:r w:rsidR="00AF0348">
        <w:rPr>
          <w:rFonts w:ascii="Times New Roman" w:hAnsi="Times New Roman" w:cs="Times New Roman"/>
        </w:rPr>
        <w:t>2</w:t>
      </w:r>
      <w:r w:rsidRPr="00D87F4E">
        <w:rPr>
          <w:rFonts w:ascii="Times New Roman" w:hAnsi="Times New Roman" w:cs="Times New Roman"/>
        </w:rPr>
        <w:t xml:space="preserve">% more expensive than those produced under traditional </w:t>
      </w:r>
      <w:proofErr w:type="gramStart"/>
      <w:r w:rsidRPr="00D87F4E">
        <w:rPr>
          <w:rFonts w:ascii="Times New Roman" w:hAnsi="Times New Roman" w:cs="Times New Roman"/>
        </w:rPr>
        <w:t>soil based</w:t>
      </w:r>
      <w:proofErr w:type="gramEnd"/>
      <w:r w:rsidRPr="00D87F4E">
        <w:rPr>
          <w:rFonts w:ascii="Times New Roman" w:hAnsi="Times New Roman" w:cs="Times New Roman"/>
        </w:rPr>
        <w:t xml:space="preserve"> nurseries. A similar pattern was observed for cabbage and cauliflower, where seedling costs increased by 60% and 9</w:t>
      </w:r>
      <w:r w:rsidR="00AF0348">
        <w:rPr>
          <w:rFonts w:ascii="Times New Roman" w:hAnsi="Times New Roman" w:cs="Times New Roman"/>
        </w:rPr>
        <w:t>3</w:t>
      </w:r>
      <w:r w:rsidRPr="00D87F4E">
        <w:rPr>
          <w:rFonts w:ascii="Times New Roman" w:hAnsi="Times New Roman" w:cs="Times New Roman"/>
        </w:rPr>
        <w:t xml:space="preserve">%, respectively, under </w:t>
      </w:r>
      <w:proofErr w:type="spellStart"/>
      <w:r w:rsidRPr="00D87F4E">
        <w:rPr>
          <w:rFonts w:ascii="Times New Roman" w:hAnsi="Times New Roman" w:cs="Times New Roman"/>
        </w:rPr>
        <w:t>cocodust</w:t>
      </w:r>
      <w:proofErr w:type="spellEnd"/>
      <w:r w:rsidRPr="00D87F4E">
        <w:rPr>
          <w:rFonts w:ascii="Times New Roman" w:hAnsi="Times New Roman" w:cs="Times New Roman"/>
        </w:rPr>
        <w:t xml:space="preserve"> systems. In chili, </w:t>
      </w:r>
      <w:proofErr w:type="spellStart"/>
      <w:r w:rsidRPr="00D87F4E">
        <w:rPr>
          <w:rFonts w:ascii="Times New Roman" w:hAnsi="Times New Roman" w:cs="Times New Roman"/>
        </w:rPr>
        <w:t>cocodust</w:t>
      </w:r>
      <w:proofErr w:type="spellEnd"/>
      <w:r w:rsidRPr="00D87F4E">
        <w:rPr>
          <w:rFonts w:ascii="Times New Roman" w:hAnsi="Times New Roman" w:cs="Times New Roman"/>
        </w:rPr>
        <w:t xml:space="preserve"> seedlings cost 79% more than traditional seedlings, while tomato exhibited a 52% increase in seedling cost under </w:t>
      </w:r>
      <w:proofErr w:type="spellStart"/>
      <w:r w:rsidRPr="00D87F4E">
        <w:rPr>
          <w:rFonts w:ascii="Times New Roman" w:hAnsi="Times New Roman" w:cs="Times New Roman"/>
        </w:rPr>
        <w:t>cocodust</w:t>
      </w:r>
      <w:proofErr w:type="spellEnd"/>
      <w:r w:rsidRPr="00D87F4E">
        <w:rPr>
          <w:rFonts w:ascii="Times New Roman" w:hAnsi="Times New Roman" w:cs="Times New Roman"/>
        </w:rPr>
        <w:t xml:space="preserve"> nursery use. In all these crops, the difference between nursery systems was supported by distinct letter groupings in the figure.</w:t>
      </w:r>
      <w:r>
        <w:rPr>
          <w:rFonts w:ascii="Times New Roman" w:hAnsi="Times New Roman" w:cs="Times New Roman"/>
        </w:rPr>
        <w:t xml:space="preserve"> </w:t>
      </w:r>
      <w:r w:rsidRPr="00D87F4E">
        <w:rPr>
          <w:rFonts w:ascii="Times New Roman" w:hAnsi="Times New Roman" w:cs="Times New Roman"/>
        </w:rPr>
        <w:t xml:space="preserve">In contrast, bottle gourd showed only a marginal increase in seedling cost of </w:t>
      </w:r>
      <w:r w:rsidR="0049322D">
        <w:rPr>
          <w:rFonts w:ascii="Times New Roman" w:hAnsi="Times New Roman" w:cs="Times New Roman"/>
        </w:rPr>
        <w:t>6</w:t>
      </w:r>
      <w:r w:rsidRPr="00D87F4E">
        <w:rPr>
          <w:rFonts w:ascii="Times New Roman" w:hAnsi="Times New Roman" w:cs="Times New Roman"/>
        </w:rPr>
        <w:t xml:space="preserve">% under </w:t>
      </w:r>
      <w:proofErr w:type="spellStart"/>
      <w:r w:rsidRPr="00D87F4E">
        <w:rPr>
          <w:rFonts w:ascii="Times New Roman" w:hAnsi="Times New Roman" w:cs="Times New Roman"/>
        </w:rPr>
        <w:t>cocodust</w:t>
      </w:r>
      <w:proofErr w:type="spellEnd"/>
      <w:r w:rsidRPr="00D87F4E">
        <w:rPr>
          <w:rFonts w:ascii="Times New Roman" w:hAnsi="Times New Roman" w:cs="Times New Roman"/>
        </w:rPr>
        <w:t xml:space="preserve"> systems, and brinjal exhibited an </w:t>
      </w:r>
      <w:r w:rsidR="0049322D">
        <w:rPr>
          <w:rFonts w:ascii="Times New Roman" w:hAnsi="Times New Roman" w:cs="Times New Roman"/>
        </w:rPr>
        <w:t>9</w:t>
      </w:r>
      <w:r w:rsidRPr="00D87F4E">
        <w:rPr>
          <w:rFonts w:ascii="Times New Roman" w:hAnsi="Times New Roman" w:cs="Times New Roman"/>
        </w:rPr>
        <w:t>% lower seedling cost compared to traditional nurseries. For both crops, the overlap in letter notation indicates that seedling costs were statistically comparable between nursery systems.</w:t>
      </w:r>
      <w:r w:rsidR="00E83EBA">
        <w:rPr>
          <w:rFonts w:ascii="Times New Roman" w:hAnsi="Times New Roman" w:cs="Times New Roman"/>
        </w:rPr>
        <w:t xml:space="preserve"> </w:t>
      </w:r>
      <w:r w:rsidRPr="00D87F4E">
        <w:rPr>
          <w:rFonts w:ascii="Times New Roman" w:hAnsi="Times New Roman" w:cs="Times New Roman"/>
        </w:rPr>
        <w:t xml:space="preserve">Notably, country bean deviated from the general trend, as </w:t>
      </w:r>
      <w:proofErr w:type="spellStart"/>
      <w:r w:rsidRPr="00D87F4E">
        <w:rPr>
          <w:rFonts w:ascii="Times New Roman" w:hAnsi="Times New Roman" w:cs="Times New Roman"/>
        </w:rPr>
        <w:t>cocodust</w:t>
      </w:r>
      <w:proofErr w:type="spellEnd"/>
      <w:r w:rsidRPr="00D87F4E">
        <w:rPr>
          <w:rFonts w:ascii="Times New Roman" w:hAnsi="Times New Roman" w:cs="Times New Roman"/>
        </w:rPr>
        <w:t xml:space="preserve"> adoption resulted in a </w:t>
      </w:r>
      <w:r w:rsidR="0049322D">
        <w:rPr>
          <w:rFonts w:ascii="Times New Roman" w:hAnsi="Times New Roman" w:cs="Times New Roman"/>
        </w:rPr>
        <w:t>30</w:t>
      </w:r>
      <w:r w:rsidRPr="00D87F4E">
        <w:rPr>
          <w:rFonts w:ascii="Times New Roman" w:hAnsi="Times New Roman" w:cs="Times New Roman"/>
        </w:rPr>
        <w:t>% reduction in seedling cost relative to traditional practices. The distinct letter notation confirms a clear difference between the two systems for this crop.</w:t>
      </w:r>
    </w:p>
    <w:p w14:paraId="425B3E37" w14:textId="53A6C791" w:rsidR="006C05BF" w:rsidRPr="006C05BF" w:rsidRDefault="003F4731" w:rsidP="00CA26EA">
      <w:pPr>
        <w:spacing w:after="0" w:line="360" w:lineRule="auto"/>
        <w:rPr>
          <w:rFonts w:ascii="Times New Roman" w:hAnsi="Times New Roman" w:cs="Times New Roman"/>
          <w:b/>
          <w:bCs/>
        </w:rPr>
      </w:pPr>
      <w:r>
        <w:rPr>
          <w:rFonts w:ascii="Times New Roman" w:hAnsi="Times New Roman" w:cs="Times New Roman"/>
          <w:b/>
          <w:bCs/>
        </w:rPr>
        <w:t xml:space="preserve">3.3 </w:t>
      </w:r>
      <w:r w:rsidR="006C05BF" w:rsidRPr="006C05BF">
        <w:rPr>
          <w:rFonts w:ascii="Times New Roman" w:hAnsi="Times New Roman" w:cs="Times New Roman"/>
          <w:b/>
          <w:bCs/>
        </w:rPr>
        <w:t>Fertilizer cost</w:t>
      </w:r>
    </w:p>
    <w:p w14:paraId="24AC517B" w14:textId="3DF0C76F" w:rsidR="00EE1EAB" w:rsidRDefault="00EE1EAB" w:rsidP="00CA26EA">
      <w:pPr>
        <w:spacing w:after="0" w:line="360" w:lineRule="auto"/>
        <w:jc w:val="both"/>
        <w:rPr>
          <w:rFonts w:ascii="Times New Roman" w:hAnsi="Times New Roman" w:cs="Times New Roman"/>
        </w:rPr>
      </w:pPr>
      <w:r w:rsidRPr="00EE1EAB">
        <w:rPr>
          <w:rFonts w:ascii="Times New Roman" w:hAnsi="Times New Roman" w:cs="Times New Roman"/>
        </w:rPr>
        <w:t xml:space="preserve">Fertilizer cost per decimal was consistently and significantly lower for farmers using </w:t>
      </w:r>
      <w:proofErr w:type="spellStart"/>
      <w:r w:rsidRPr="00EE1EAB">
        <w:rPr>
          <w:rFonts w:ascii="Times New Roman" w:hAnsi="Times New Roman" w:cs="Times New Roman"/>
        </w:rPr>
        <w:t>cocodust</w:t>
      </w:r>
      <w:proofErr w:type="spellEnd"/>
      <w:r w:rsidRPr="00EE1EAB">
        <w:rPr>
          <w:rFonts w:ascii="Times New Roman" w:hAnsi="Times New Roman" w:cs="Times New Roman"/>
        </w:rPr>
        <w:t xml:space="preserve">-based seedlings compared to traditional nursery users across all vegetable crops (Fig. </w:t>
      </w:r>
      <w:r w:rsidR="00AC7004">
        <w:rPr>
          <w:rFonts w:ascii="Times New Roman" w:hAnsi="Times New Roman" w:cs="Times New Roman"/>
        </w:rPr>
        <w:t>3</w:t>
      </w:r>
      <w:r w:rsidRPr="00EE1EAB">
        <w:rPr>
          <w:rFonts w:ascii="Times New Roman" w:hAnsi="Times New Roman" w:cs="Times New Roman"/>
        </w:rPr>
        <w:t>), indicating improved nutrient</w:t>
      </w:r>
      <w:r w:rsidR="00114D8F">
        <w:rPr>
          <w:rFonts w:ascii="Times New Roman" w:hAnsi="Times New Roman" w:cs="Times New Roman"/>
        </w:rPr>
        <w:t xml:space="preserve"> </w:t>
      </w:r>
      <w:r w:rsidRPr="00EE1EAB">
        <w:rPr>
          <w:rFonts w:ascii="Times New Roman" w:hAnsi="Times New Roman" w:cs="Times New Roman"/>
        </w:rPr>
        <w:t xml:space="preserve">use efficiency under </w:t>
      </w:r>
      <w:proofErr w:type="spellStart"/>
      <w:r w:rsidRPr="00EE1EAB">
        <w:rPr>
          <w:rFonts w:ascii="Times New Roman" w:hAnsi="Times New Roman" w:cs="Times New Roman"/>
        </w:rPr>
        <w:t>cocodust</w:t>
      </w:r>
      <w:proofErr w:type="spellEnd"/>
      <w:r w:rsidRPr="00EE1EAB">
        <w:rPr>
          <w:rFonts w:ascii="Times New Roman" w:hAnsi="Times New Roman" w:cs="Times New Roman"/>
        </w:rPr>
        <w:t xml:space="preserve"> systems.</w:t>
      </w:r>
    </w:p>
    <w:p w14:paraId="688A3A5A" w14:textId="2E5DD6CC" w:rsidR="00AC7004" w:rsidRDefault="008A3529" w:rsidP="00CA26EA">
      <w:pPr>
        <w:spacing w:after="0" w:line="360" w:lineRule="auto"/>
        <w:jc w:val="center"/>
        <w:rPr>
          <w:rFonts w:ascii="Times New Roman" w:hAnsi="Times New Roman" w:cs="Times New Roman"/>
        </w:rPr>
      </w:pPr>
      <w:r>
        <w:rPr>
          <w:noProof/>
          <w:lang w:val="en-GB" w:eastAsia="en-GB"/>
        </w:rPr>
        <w:lastRenderedPageBreak/>
        <w:drawing>
          <wp:inline distT="0" distB="0" distL="0" distR="0" wp14:anchorId="610620E2" wp14:editId="4328679A">
            <wp:extent cx="4595191" cy="2743200"/>
            <wp:effectExtent l="0" t="0" r="15240" b="0"/>
            <wp:docPr id="1503313347" name="Chart 1">
              <a:extLst xmlns:a="http://schemas.openxmlformats.org/drawingml/2006/main">
                <a:ext uri="{FF2B5EF4-FFF2-40B4-BE49-F238E27FC236}">
                  <a16:creationId xmlns:a16="http://schemas.microsoft.com/office/drawing/2014/main" id="{9BDDA67C-AF5B-41B4-AF7C-4DDEF53555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F5C4632" w14:textId="76312FD4" w:rsidR="00AC7004" w:rsidRDefault="00AC7004" w:rsidP="00CA26EA">
      <w:pPr>
        <w:spacing w:after="0" w:line="360" w:lineRule="auto"/>
        <w:rPr>
          <w:rFonts w:ascii="Times New Roman" w:hAnsi="Times New Roman" w:cs="Times New Roman"/>
        </w:rPr>
      </w:pPr>
      <w:r w:rsidRPr="00D773DA">
        <w:rPr>
          <w:rFonts w:ascii="Times New Roman" w:hAnsi="Times New Roman" w:cs="Times New Roman"/>
          <w:b/>
          <w:bCs/>
        </w:rPr>
        <w:t>Fig.</w:t>
      </w:r>
      <w:r>
        <w:rPr>
          <w:rFonts w:ascii="Times New Roman" w:hAnsi="Times New Roman" w:cs="Times New Roman"/>
          <w:b/>
          <w:bCs/>
        </w:rPr>
        <w:t xml:space="preserve"> 3</w:t>
      </w:r>
      <w:r w:rsidRPr="00D773DA">
        <w:rPr>
          <w:rFonts w:ascii="Times New Roman" w:hAnsi="Times New Roman" w:cs="Times New Roman"/>
          <w:b/>
          <w:bCs/>
        </w:rPr>
        <w:t xml:space="preserve"> </w:t>
      </w:r>
      <w:r w:rsidRPr="00D773DA">
        <w:rPr>
          <w:rFonts w:ascii="Times New Roman" w:hAnsi="Times New Roman" w:cs="Times New Roman"/>
        </w:rPr>
        <w:t xml:space="preserve">Fertilizer cost (BDT per decimal) for </w:t>
      </w:r>
      <w:proofErr w:type="spellStart"/>
      <w:r w:rsidRPr="00D773DA">
        <w:rPr>
          <w:rFonts w:ascii="Times New Roman" w:hAnsi="Times New Roman" w:cs="Times New Roman"/>
        </w:rPr>
        <w:t>cocodust</w:t>
      </w:r>
      <w:proofErr w:type="spellEnd"/>
      <w:r w:rsidRPr="00D773DA">
        <w:rPr>
          <w:rFonts w:ascii="Times New Roman" w:hAnsi="Times New Roman" w:cs="Times New Roman"/>
        </w:rPr>
        <w:t xml:space="preserve">-based and traditional nursery systems across selected vegetables. Bars with different letters indicate significant differences at </w:t>
      </w:r>
      <w:r w:rsidRPr="00D773DA">
        <w:rPr>
          <w:rFonts w:ascii="Times New Roman" w:hAnsi="Times New Roman" w:cs="Times New Roman"/>
          <w:i/>
          <w:iCs/>
        </w:rPr>
        <w:t>P</w:t>
      </w:r>
      <w:r w:rsidRPr="00D773DA">
        <w:rPr>
          <w:rFonts w:ascii="Times New Roman" w:hAnsi="Times New Roman" w:cs="Times New Roman"/>
        </w:rPr>
        <w:t xml:space="preserve"> ≤ 0.05.</w:t>
      </w:r>
    </w:p>
    <w:p w14:paraId="7186ACB5" w14:textId="77777777" w:rsidR="00BE01E1" w:rsidRDefault="00BE01E1" w:rsidP="00CA26EA">
      <w:pPr>
        <w:spacing w:after="0" w:line="360" w:lineRule="auto"/>
        <w:jc w:val="both"/>
        <w:rPr>
          <w:rFonts w:ascii="Times New Roman" w:hAnsi="Times New Roman" w:cs="Times New Roman"/>
        </w:rPr>
      </w:pPr>
    </w:p>
    <w:p w14:paraId="0A9D5035" w14:textId="514224B2" w:rsidR="00AB7445" w:rsidRPr="00AB7445" w:rsidRDefault="00AB7445" w:rsidP="00CA26EA">
      <w:pPr>
        <w:spacing w:after="0" w:line="360" w:lineRule="auto"/>
        <w:jc w:val="both"/>
        <w:rPr>
          <w:rFonts w:ascii="Times New Roman" w:hAnsi="Times New Roman" w:cs="Times New Roman"/>
        </w:rPr>
      </w:pPr>
      <w:r w:rsidRPr="00C422A7">
        <w:rPr>
          <w:rFonts w:ascii="Times New Roman" w:hAnsi="Times New Roman" w:cs="Times New Roman"/>
        </w:rPr>
        <w:t xml:space="preserve">For bitter gourd, fertilizer expenditure under </w:t>
      </w:r>
      <w:proofErr w:type="spellStart"/>
      <w:r w:rsidRPr="00C422A7">
        <w:rPr>
          <w:rFonts w:ascii="Times New Roman" w:hAnsi="Times New Roman" w:cs="Times New Roman"/>
        </w:rPr>
        <w:t>cocodust</w:t>
      </w:r>
      <w:proofErr w:type="spellEnd"/>
      <w:r w:rsidRPr="00C422A7">
        <w:rPr>
          <w:rFonts w:ascii="Times New Roman" w:hAnsi="Times New Roman" w:cs="Times New Roman"/>
        </w:rPr>
        <w:t xml:space="preserve"> systems declined by 35% compared to traditional practices. Similar reductions were observed for bottle gourd (3</w:t>
      </w:r>
      <w:r w:rsidR="0049322D">
        <w:rPr>
          <w:rFonts w:ascii="Times New Roman" w:hAnsi="Times New Roman" w:cs="Times New Roman"/>
        </w:rPr>
        <w:t>8</w:t>
      </w:r>
      <w:r w:rsidRPr="00C422A7">
        <w:rPr>
          <w:rFonts w:ascii="Times New Roman" w:hAnsi="Times New Roman" w:cs="Times New Roman"/>
        </w:rPr>
        <w:t>%), brinjal (3</w:t>
      </w:r>
      <w:r w:rsidR="0049322D">
        <w:rPr>
          <w:rFonts w:ascii="Times New Roman" w:hAnsi="Times New Roman" w:cs="Times New Roman"/>
        </w:rPr>
        <w:t>7</w:t>
      </w:r>
      <w:r w:rsidRPr="00C422A7">
        <w:rPr>
          <w:rFonts w:ascii="Times New Roman" w:hAnsi="Times New Roman" w:cs="Times New Roman"/>
        </w:rPr>
        <w:t xml:space="preserve">%), and cabbage (37%), indicating markedly lower fertilizer requirements when </w:t>
      </w:r>
      <w:proofErr w:type="spellStart"/>
      <w:r w:rsidRPr="00C422A7">
        <w:rPr>
          <w:rFonts w:ascii="Times New Roman" w:hAnsi="Times New Roman" w:cs="Times New Roman"/>
        </w:rPr>
        <w:t>cocodust</w:t>
      </w:r>
      <w:proofErr w:type="spellEnd"/>
      <w:r w:rsidRPr="00C422A7">
        <w:rPr>
          <w:rFonts w:ascii="Times New Roman" w:hAnsi="Times New Roman" w:cs="Times New Roman"/>
        </w:rPr>
        <w:t xml:space="preserve"> raised seedlings were used.</w:t>
      </w:r>
      <w:r>
        <w:rPr>
          <w:rFonts w:ascii="Times New Roman" w:hAnsi="Times New Roman" w:cs="Times New Roman"/>
        </w:rPr>
        <w:t xml:space="preserve"> </w:t>
      </w:r>
      <w:r w:rsidRPr="00C422A7">
        <w:rPr>
          <w:rFonts w:ascii="Times New Roman" w:hAnsi="Times New Roman" w:cs="Times New Roman"/>
        </w:rPr>
        <w:t>In cauliflower and chili, fertilizer costs were reduced by 2</w:t>
      </w:r>
      <w:r w:rsidR="0049322D">
        <w:rPr>
          <w:rFonts w:ascii="Times New Roman" w:hAnsi="Times New Roman" w:cs="Times New Roman"/>
        </w:rPr>
        <w:t>8</w:t>
      </w:r>
      <w:r w:rsidRPr="00C422A7">
        <w:rPr>
          <w:rFonts w:ascii="Times New Roman" w:hAnsi="Times New Roman" w:cs="Times New Roman"/>
        </w:rPr>
        <w:t xml:space="preserve">% under </w:t>
      </w:r>
      <w:proofErr w:type="spellStart"/>
      <w:r w:rsidRPr="00C422A7">
        <w:rPr>
          <w:rFonts w:ascii="Times New Roman" w:hAnsi="Times New Roman" w:cs="Times New Roman"/>
        </w:rPr>
        <w:t>cocodust</w:t>
      </w:r>
      <w:proofErr w:type="spellEnd"/>
      <w:r w:rsidRPr="00C422A7">
        <w:rPr>
          <w:rFonts w:ascii="Times New Roman" w:hAnsi="Times New Roman" w:cs="Times New Roman"/>
        </w:rPr>
        <w:t xml:space="preserve"> systems relative to traditional nurseries. Although the magnitude of reduction was slightly lower than that observed for cucurbit and brassica crops, the difference between nursery systems remained clearly evident in the figure.</w:t>
      </w:r>
      <w:r>
        <w:rPr>
          <w:rFonts w:ascii="Times New Roman" w:hAnsi="Times New Roman" w:cs="Times New Roman"/>
        </w:rPr>
        <w:t xml:space="preserve"> </w:t>
      </w:r>
      <w:r w:rsidRPr="00C422A7">
        <w:rPr>
          <w:rFonts w:ascii="Times New Roman" w:hAnsi="Times New Roman" w:cs="Times New Roman"/>
        </w:rPr>
        <w:t>For country bean, fertilizer cost declined by 1</w:t>
      </w:r>
      <w:r w:rsidR="0049322D">
        <w:rPr>
          <w:rFonts w:ascii="Times New Roman" w:hAnsi="Times New Roman" w:cs="Times New Roman"/>
        </w:rPr>
        <w:t>9</w:t>
      </w:r>
      <w:r w:rsidRPr="00C422A7">
        <w:rPr>
          <w:rFonts w:ascii="Times New Roman" w:hAnsi="Times New Roman" w:cs="Times New Roman"/>
        </w:rPr>
        <w:t xml:space="preserve">% under </w:t>
      </w:r>
      <w:proofErr w:type="spellStart"/>
      <w:r w:rsidRPr="00C422A7">
        <w:rPr>
          <w:rFonts w:ascii="Times New Roman" w:hAnsi="Times New Roman" w:cs="Times New Roman"/>
        </w:rPr>
        <w:t>cocodust</w:t>
      </w:r>
      <w:proofErr w:type="spellEnd"/>
      <w:r w:rsidRPr="00C422A7">
        <w:rPr>
          <w:rFonts w:ascii="Times New Roman" w:hAnsi="Times New Roman" w:cs="Times New Roman"/>
        </w:rPr>
        <w:t xml:space="preserve"> adoption, while tomato showed a 19% reduction compared to traditional nursery practices. Despite being relatively smaller, these reductions further demonstrate the consistent fertilizer saving effect associated with </w:t>
      </w:r>
      <w:proofErr w:type="spellStart"/>
      <w:r w:rsidRPr="00C422A7">
        <w:rPr>
          <w:rFonts w:ascii="Times New Roman" w:hAnsi="Times New Roman" w:cs="Times New Roman"/>
        </w:rPr>
        <w:t>cocodust</w:t>
      </w:r>
      <w:proofErr w:type="spellEnd"/>
      <w:r w:rsidRPr="00C422A7">
        <w:rPr>
          <w:rFonts w:ascii="Times New Roman" w:hAnsi="Times New Roman" w:cs="Times New Roman"/>
        </w:rPr>
        <w:t xml:space="preserve"> nursery use.</w:t>
      </w:r>
    </w:p>
    <w:p w14:paraId="0FFA7D60" w14:textId="7F54EEB5" w:rsidR="006C05BF" w:rsidRPr="006C05BF" w:rsidRDefault="003F4731" w:rsidP="00CA26EA">
      <w:pPr>
        <w:spacing w:after="0" w:line="360" w:lineRule="auto"/>
        <w:rPr>
          <w:rFonts w:ascii="Times New Roman" w:hAnsi="Times New Roman" w:cs="Times New Roman"/>
          <w:b/>
          <w:bCs/>
        </w:rPr>
      </w:pPr>
      <w:r>
        <w:rPr>
          <w:rFonts w:ascii="Times New Roman" w:hAnsi="Times New Roman" w:cs="Times New Roman"/>
          <w:b/>
          <w:bCs/>
        </w:rPr>
        <w:t xml:space="preserve">3.4 </w:t>
      </w:r>
      <w:r w:rsidR="006C05BF" w:rsidRPr="006C05BF">
        <w:rPr>
          <w:rFonts w:ascii="Times New Roman" w:hAnsi="Times New Roman" w:cs="Times New Roman"/>
          <w:b/>
          <w:bCs/>
        </w:rPr>
        <w:t>Pesticide cost</w:t>
      </w:r>
    </w:p>
    <w:p w14:paraId="1FDE8AB8" w14:textId="7989FA2B" w:rsidR="00590838" w:rsidRDefault="00590838" w:rsidP="00CA26EA">
      <w:pPr>
        <w:spacing w:after="0" w:line="360" w:lineRule="auto"/>
        <w:jc w:val="both"/>
        <w:rPr>
          <w:rFonts w:ascii="Times New Roman" w:hAnsi="Times New Roman" w:cs="Times New Roman"/>
        </w:rPr>
      </w:pPr>
      <w:r w:rsidRPr="00590838">
        <w:rPr>
          <w:rFonts w:ascii="Times New Roman" w:hAnsi="Times New Roman" w:cs="Times New Roman"/>
        </w:rPr>
        <w:t xml:space="preserve">Pesticide cost per decimal was generally lower for </w:t>
      </w:r>
      <w:proofErr w:type="spellStart"/>
      <w:r w:rsidRPr="00590838">
        <w:rPr>
          <w:rFonts w:ascii="Times New Roman" w:hAnsi="Times New Roman" w:cs="Times New Roman"/>
        </w:rPr>
        <w:t>cocodust</w:t>
      </w:r>
      <w:proofErr w:type="spellEnd"/>
      <w:r w:rsidRPr="00590838">
        <w:rPr>
          <w:rFonts w:ascii="Times New Roman" w:hAnsi="Times New Roman" w:cs="Times New Roman"/>
        </w:rPr>
        <w:t xml:space="preserve">-based nursery users compared to traditional nursery users across most vegetable crops, reflecting reduced pest and disease incidence associated with healthier and more uniform seedlings (Fig. </w:t>
      </w:r>
      <w:r w:rsidR="00957AC7">
        <w:rPr>
          <w:rFonts w:ascii="Times New Roman" w:hAnsi="Times New Roman" w:cs="Times New Roman"/>
        </w:rPr>
        <w:t>4</w:t>
      </w:r>
      <w:r w:rsidRPr="00590838">
        <w:rPr>
          <w:rFonts w:ascii="Times New Roman" w:hAnsi="Times New Roman" w:cs="Times New Roman"/>
        </w:rPr>
        <w:t>).</w:t>
      </w:r>
    </w:p>
    <w:p w14:paraId="01D6894F" w14:textId="7087435B" w:rsidR="00A33C89" w:rsidRDefault="006F45E5" w:rsidP="00CA26EA">
      <w:pPr>
        <w:spacing w:after="0" w:line="360" w:lineRule="auto"/>
        <w:jc w:val="center"/>
        <w:rPr>
          <w:rFonts w:ascii="Times New Roman" w:hAnsi="Times New Roman" w:cs="Times New Roman"/>
        </w:rPr>
      </w:pPr>
      <w:r>
        <w:rPr>
          <w:noProof/>
          <w:lang w:val="en-GB" w:eastAsia="en-GB"/>
        </w:rPr>
        <w:lastRenderedPageBreak/>
        <w:drawing>
          <wp:inline distT="0" distB="0" distL="0" distR="0" wp14:anchorId="102FE67C" wp14:editId="18A9D03B">
            <wp:extent cx="4595191" cy="2743200"/>
            <wp:effectExtent l="0" t="0" r="15240" b="0"/>
            <wp:docPr id="890610056" name="Chart 1">
              <a:extLst xmlns:a="http://schemas.openxmlformats.org/drawingml/2006/main">
                <a:ext uri="{FF2B5EF4-FFF2-40B4-BE49-F238E27FC236}">
                  <a16:creationId xmlns:a16="http://schemas.microsoft.com/office/drawing/2014/main" id="{1CB3C64D-16F3-4674-99A2-502BC69DFD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CF36BF5" w14:textId="011CF8B3" w:rsidR="00957AC7" w:rsidRDefault="00957AC7" w:rsidP="00CA26EA">
      <w:pPr>
        <w:spacing w:after="0" w:line="360" w:lineRule="auto"/>
        <w:rPr>
          <w:rFonts w:ascii="Times New Roman" w:hAnsi="Times New Roman" w:cs="Times New Roman"/>
        </w:rPr>
      </w:pPr>
      <w:r w:rsidRPr="00D773DA">
        <w:rPr>
          <w:rFonts w:ascii="Times New Roman" w:hAnsi="Times New Roman" w:cs="Times New Roman"/>
          <w:b/>
          <w:bCs/>
        </w:rPr>
        <w:t>Fig.</w:t>
      </w:r>
      <w:r w:rsidRPr="00D773DA">
        <w:rPr>
          <w:rFonts w:ascii="Times New Roman" w:hAnsi="Times New Roman" w:cs="Times New Roman"/>
        </w:rPr>
        <w:t xml:space="preserve"> </w:t>
      </w:r>
      <w:r w:rsidR="00A33C89" w:rsidRPr="007918CA">
        <w:rPr>
          <w:rFonts w:ascii="Times New Roman" w:hAnsi="Times New Roman" w:cs="Times New Roman"/>
          <w:b/>
        </w:rPr>
        <w:t>4</w:t>
      </w:r>
      <w:r>
        <w:rPr>
          <w:rFonts w:ascii="Times New Roman" w:hAnsi="Times New Roman" w:cs="Times New Roman"/>
        </w:rPr>
        <w:t xml:space="preserve"> </w:t>
      </w:r>
      <w:r w:rsidRPr="00D773DA">
        <w:rPr>
          <w:rFonts w:ascii="Times New Roman" w:hAnsi="Times New Roman" w:cs="Times New Roman"/>
        </w:rPr>
        <w:t xml:space="preserve">Pesticide cost (BDT per decimal) for </w:t>
      </w:r>
      <w:proofErr w:type="spellStart"/>
      <w:r w:rsidRPr="00D773DA">
        <w:rPr>
          <w:rFonts w:ascii="Times New Roman" w:hAnsi="Times New Roman" w:cs="Times New Roman"/>
        </w:rPr>
        <w:t>cocodust</w:t>
      </w:r>
      <w:proofErr w:type="spellEnd"/>
      <w:r w:rsidRPr="00D773DA">
        <w:rPr>
          <w:rFonts w:ascii="Times New Roman" w:hAnsi="Times New Roman" w:cs="Times New Roman"/>
        </w:rPr>
        <w:t xml:space="preserve">-based and traditional nursery systems across selected vegetable crops. Bars with different letters indicate significant differences at </w:t>
      </w:r>
      <w:r w:rsidRPr="00D773DA">
        <w:rPr>
          <w:rFonts w:ascii="Times New Roman" w:hAnsi="Times New Roman" w:cs="Times New Roman"/>
          <w:i/>
          <w:iCs/>
        </w:rPr>
        <w:t>P</w:t>
      </w:r>
      <w:r w:rsidRPr="00D773DA">
        <w:rPr>
          <w:rFonts w:ascii="Times New Roman" w:hAnsi="Times New Roman" w:cs="Times New Roman"/>
        </w:rPr>
        <w:t xml:space="preserve"> ≤ 0.05.</w:t>
      </w:r>
    </w:p>
    <w:p w14:paraId="7E22CEA2" w14:textId="02BCD5AB" w:rsidR="00814682" w:rsidRPr="00590838" w:rsidRDefault="00114FA2" w:rsidP="00CA26EA">
      <w:pPr>
        <w:spacing w:after="0" w:line="360" w:lineRule="auto"/>
        <w:jc w:val="both"/>
        <w:rPr>
          <w:rFonts w:ascii="Times New Roman" w:hAnsi="Times New Roman" w:cs="Times New Roman"/>
        </w:rPr>
      </w:pPr>
      <w:r w:rsidRPr="00114FA2">
        <w:rPr>
          <w:rFonts w:ascii="Times New Roman" w:hAnsi="Times New Roman" w:cs="Times New Roman"/>
        </w:rPr>
        <w:t xml:space="preserve">For brinjal, pesticide expenditure under </w:t>
      </w:r>
      <w:proofErr w:type="spellStart"/>
      <w:r w:rsidRPr="00114FA2">
        <w:rPr>
          <w:rFonts w:ascii="Times New Roman" w:hAnsi="Times New Roman" w:cs="Times New Roman"/>
        </w:rPr>
        <w:t>cocodust</w:t>
      </w:r>
      <w:proofErr w:type="spellEnd"/>
      <w:r w:rsidRPr="00114FA2">
        <w:rPr>
          <w:rFonts w:ascii="Times New Roman" w:hAnsi="Times New Roman" w:cs="Times New Roman"/>
        </w:rPr>
        <w:t xml:space="preserve"> systems was 2</w:t>
      </w:r>
      <w:r w:rsidR="0049322D">
        <w:rPr>
          <w:rFonts w:ascii="Times New Roman" w:hAnsi="Times New Roman" w:cs="Times New Roman"/>
        </w:rPr>
        <w:t>7</w:t>
      </w:r>
      <w:r w:rsidRPr="00114FA2">
        <w:rPr>
          <w:rFonts w:ascii="Times New Roman" w:hAnsi="Times New Roman" w:cs="Times New Roman"/>
        </w:rPr>
        <w:t xml:space="preserve">% lower than under traditional nursery practices (188 vs. 257 BDT), and the difference was statistically significant. A similarly strong and significant reduction was observed for cabbage, where pesticide cost declined by 33% under </w:t>
      </w:r>
      <w:proofErr w:type="spellStart"/>
      <w:r w:rsidRPr="00114FA2">
        <w:rPr>
          <w:rFonts w:ascii="Times New Roman" w:hAnsi="Times New Roman" w:cs="Times New Roman"/>
        </w:rPr>
        <w:t>cocodust</w:t>
      </w:r>
      <w:proofErr w:type="spellEnd"/>
      <w:r w:rsidRPr="00114FA2">
        <w:rPr>
          <w:rFonts w:ascii="Times New Roman" w:hAnsi="Times New Roman" w:cs="Times New Roman"/>
        </w:rPr>
        <w:t xml:space="preserve"> based cultivation (84 vs. 126 BDT). In bitter gourd, </w:t>
      </w:r>
      <w:proofErr w:type="spellStart"/>
      <w:r w:rsidRPr="00114FA2">
        <w:rPr>
          <w:rFonts w:ascii="Times New Roman" w:hAnsi="Times New Roman" w:cs="Times New Roman"/>
        </w:rPr>
        <w:t>cocodust</w:t>
      </w:r>
      <w:proofErr w:type="spellEnd"/>
      <w:r w:rsidRPr="00114FA2">
        <w:rPr>
          <w:rFonts w:ascii="Times New Roman" w:hAnsi="Times New Roman" w:cs="Times New Roman"/>
        </w:rPr>
        <w:t xml:space="preserve"> adoption resulted in a 14% lower pesticide cost compared to traditional practices (123 vs. 143 BDT), and the difference was also statistically significant.</w:t>
      </w:r>
      <w:r w:rsidR="001F4C44">
        <w:rPr>
          <w:rFonts w:ascii="Times New Roman" w:hAnsi="Times New Roman" w:cs="Times New Roman"/>
        </w:rPr>
        <w:t xml:space="preserve"> </w:t>
      </w:r>
      <w:r w:rsidRPr="00114FA2">
        <w:rPr>
          <w:rFonts w:ascii="Times New Roman" w:hAnsi="Times New Roman" w:cs="Times New Roman"/>
        </w:rPr>
        <w:t xml:space="preserve">In contrast, bottle gourd and cauliflower showed no statistically significant difference in pesticide cost between </w:t>
      </w:r>
      <w:proofErr w:type="spellStart"/>
      <w:r w:rsidRPr="00114FA2">
        <w:rPr>
          <w:rFonts w:ascii="Times New Roman" w:hAnsi="Times New Roman" w:cs="Times New Roman"/>
        </w:rPr>
        <w:t>cocodust</w:t>
      </w:r>
      <w:proofErr w:type="spellEnd"/>
      <w:r w:rsidRPr="00114FA2">
        <w:rPr>
          <w:rFonts w:ascii="Times New Roman" w:hAnsi="Times New Roman" w:cs="Times New Roman"/>
        </w:rPr>
        <w:t xml:space="preserve"> and traditional nursery systems, despite small numerical reductions of 3% and </w:t>
      </w:r>
      <w:r w:rsidR="0049322D">
        <w:rPr>
          <w:rFonts w:ascii="Times New Roman" w:hAnsi="Times New Roman" w:cs="Times New Roman"/>
        </w:rPr>
        <w:t>3</w:t>
      </w:r>
      <w:r w:rsidRPr="00114FA2">
        <w:rPr>
          <w:rFonts w:ascii="Times New Roman" w:hAnsi="Times New Roman" w:cs="Times New Roman"/>
        </w:rPr>
        <w:t>%, respectively. Similarly, pesticide expenditure for chili and country bean remained statistically comparable between the two systems, with modest reductions of 3% and 5%, respectively.</w:t>
      </w:r>
      <w:r w:rsidR="00734933">
        <w:rPr>
          <w:rFonts w:ascii="Times New Roman" w:hAnsi="Times New Roman" w:cs="Times New Roman"/>
        </w:rPr>
        <w:t xml:space="preserve"> </w:t>
      </w:r>
      <w:r w:rsidRPr="00114FA2">
        <w:rPr>
          <w:rFonts w:ascii="Times New Roman" w:hAnsi="Times New Roman" w:cs="Times New Roman"/>
        </w:rPr>
        <w:t xml:space="preserve">For tomato, pesticide cost under </w:t>
      </w:r>
      <w:proofErr w:type="spellStart"/>
      <w:r w:rsidRPr="00114FA2">
        <w:rPr>
          <w:rFonts w:ascii="Times New Roman" w:hAnsi="Times New Roman" w:cs="Times New Roman"/>
        </w:rPr>
        <w:t>cocodust</w:t>
      </w:r>
      <w:proofErr w:type="spellEnd"/>
      <w:r w:rsidRPr="00114FA2">
        <w:rPr>
          <w:rFonts w:ascii="Times New Roman" w:hAnsi="Times New Roman" w:cs="Times New Roman"/>
        </w:rPr>
        <w:t xml:space="preserve"> systems was </w:t>
      </w:r>
      <w:r w:rsidR="0049322D">
        <w:rPr>
          <w:rFonts w:ascii="Times New Roman" w:hAnsi="Times New Roman" w:cs="Times New Roman"/>
        </w:rPr>
        <w:t>5</w:t>
      </w:r>
      <w:r w:rsidRPr="00114FA2">
        <w:rPr>
          <w:rFonts w:ascii="Times New Roman" w:hAnsi="Times New Roman" w:cs="Times New Roman"/>
        </w:rPr>
        <w:t>% lower than under traditional nursery practices (173 vs. 182 BDT), and the difference was statistically significant, indicating a consistent reduction in pesticide use.</w:t>
      </w:r>
    </w:p>
    <w:p w14:paraId="441487F9" w14:textId="751306F2" w:rsidR="006C05BF" w:rsidRPr="006C05BF" w:rsidRDefault="003F4731" w:rsidP="00CA26EA">
      <w:pPr>
        <w:spacing w:after="0" w:line="360" w:lineRule="auto"/>
        <w:rPr>
          <w:rFonts w:ascii="Times New Roman" w:hAnsi="Times New Roman" w:cs="Times New Roman"/>
          <w:b/>
          <w:bCs/>
        </w:rPr>
      </w:pPr>
      <w:r>
        <w:rPr>
          <w:rFonts w:ascii="Times New Roman" w:hAnsi="Times New Roman" w:cs="Times New Roman"/>
          <w:b/>
          <w:bCs/>
        </w:rPr>
        <w:t xml:space="preserve">3.5 </w:t>
      </w:r>
      <w:r w:rsidR="006C05BF" w:rsidRPr="006C05BF">
        <w:rPr>
          <w:rFonts w:ascii="Times New Roman" w:hAnsi="Times New Roman" w:cs="Times New Roman"/>
          <w:b/>
          <w:bCs/>
        </w:rPr>
        <w:t>Irrigation cost</w:t>
      </w:r>
    </w:p>
    <w:p w14:paraId="3A0619E4" w14:textId="63A85813" w:rsidR="00615A7F" w:rsidRPr="00615A7F" w:rsidRDefault="00E00AA3" w:rsidP="003F40F2">
      <w:pPr>
        <w:spacing w:after="0" w:line="360" w:lineRule="auto"/>
        <w:jc w:val="both"/>
        <w:rPr>
          <w:rFonts w:ascii="Times New Roman" w:hAnsi="Times New Roman" w:cs="Times New Roman"/>
        </w:rPr>
      </w:pPr>
      <w:r w:rsidRPr="00E00AA3">
        <w:rPr>
          <w:rFonts w:ascii="Times New Roman" w:hAnsi="Times New Roman" w:cs="Times New Roman"/>
        </w:rPr>
        <w:t>Irrigation cost per decimal varied across crops</w:t>
      </w:r>
      <w:r w:rsidR="0049322D">
        <w:rPr>
          <w:rFonts w:ascii="Times New Roman" w:hAnsi="Times New Roman" w:cs="Times New Roman"/>
        </w:rPr>
        <w:t>.</w:t>
      </w:r>
      <w:r w:rsidRPr="00E00AA3">
        <w:rPr>
          <w:rFonts w:ascii="Times New Roman" w:hAnsi="Times New Roman" w:cs="Times New Roman"/>
        </w:rPr>
        <w:t xml:space="preserve"> </w:t>
      </w:r>
      <w:r w:rsidR="0049322D">
        <w:rPr>
          <w:rFonts w:ascii="Times New Roman" w:hAnsi="Times New Roman" w:cs="Times New Roman"/>
        </w:rPr>
        <w:t>H</w:t>
      </w:r>
      <w:r w:rsidRPr="00E00AA3">
        <w:rPr>
          <w:rFonts w:ascii="Times New Roman" w:hAnsi="Times New Roman" w:cs="Times New Roman"/>
        </w:rPr>
        <w:t xml:space="preserve">owever, </w:t>
      </w:r>
      <w:proofErr w:type="spellStart"/>
      <w:r w:rsidRPr="00E00AA3">
        <w:rPr>
          <w:rFonts w:ascii="Times New Roman" w:hAnsi="Times New Roman" w:cs="Times New Roman"/>
        </w:rPr>
        <w:t>cocodust</w:t>
      </w:r>
      <w:proofErr w:type="spellEnd"/>
      <w:r w:rsidRPr="00E00AA3">
        <w:rPr>
          <w:rFonts w:ascii="Times New Roman" w:hAnsi="Times New Roman" w:cs="Times New Roman"/>
        </w:rPr>
        <w:t xml:space="preserve"> nursery adoption generally resulted in lower irrigation expenditure compared to traditional nursery practices for most vegetables (Fig. </w:t>
      </w:r>
      <w:r w:rsidR="00A33C89">
        <w:rPr>
          <w:rFonts w:ascii="Times New Roman" w:hAnsi="Times New Roman" w:cs="Times New Roman"/>
        </w:rPr>
        <w:t>5</w:t>
      </w:r>
      <w:r w:rsidRPr="00E00AA3">
        <w:rPr>
          <w:rFonts w:ascii="Times New Roman" w:hAnsi="Times New Roman" w:cs="Times New Roman"/>
        </w:rPr>
        <w:t>), indicating improved water-use efficiency.</w:t>
      </w:r>
      <w:r w:rsidR="003F40F2">
        <w:rPr>
          <w:rFonts w:ascii="Times New Roman" w:hAnsi="Times New Roman" w:cs="Times New Roman"/>
        </w:rPr>
        <w:t xml:space="preserve"> </w:t>
      </w:r>
      <w:r w:rsidR="00615A7F" w:rsidRPr="00742482">
        <w:rPr>
          <w:rFonts w:ascii="Times New Roman" w:hAnsi="Times New Roman" w:cs="Times New Roman"/>
        </w:rPr>
        <w:t xml:space="preserve">For cabbage, irrigation cost under </w:t>
      </w:r>
      <w:proofErr w:type="spellStart"/>
      <w:r w:rsidR="00615A7F" w:rsidRPr="00742482">
        <w:rPr>
          <w:rFonts w:ascii="Times New Roman" w:hAnsi="Times New Roman" w:cs="Times New Roman"/>
        </w:rPr>
        <w:t>cocodust</w:t>
      </w:r>
      <w:proofErr w:type="spellEnd"/>
      <w:r w:rsidR="00615A7F" w:rsidRPr="00742482">
        <w:rPr>
          <w:rFonts w:ascii="Times New Roman" w:hAnsi="Times New Roman" w:cs="Times New Roman"/>
        </w:rPr>
        <w:t xml:space="preserve"> systems was 22% lower than under traditional nursery practices (49 vs. 63 BDT), and </w:t>
      </w:r>
      <w:r w:rsidR="00615A7F" w:rsidRPr="00742482">
        <w:rPr>
          <w:rFonts w:ascii="Times New Roman" w:hAnsi="Times New Roman" w:cs="Times New Roman"/>
        </w:rPr>
        <w:lastRenderedPageBreak/>
        <w:t xml:space="preserve">the difference was statistically significant. A similarly strong and significant reduction was observed for chili, where irrigation expenditure declined by 18% under </w:t>
      </w:r>
      <w:proofErr w:type="spellStart"/>
      <w:r w:rsidR="00615A7F" w:rsidRPr="00742482">
        <w:rPr>
          <w:rFonts w:ascii="Times New Roman" w:hAnsi="Times New Roman" w:cs="Times New Roman"/>
        </w:rPr>
        <w:t>cocodust</w:t>
      </w:r>
      <w:proofErr w:type="spellEnd"/>
      <w:r w:rsidR="00615A7F" w:rsidRPr="00742482">
        <w:rPr>
          <w:rFonts w:ascii="Times New Roman" w:hAnsi="Times New Roman" w:cs="Times New Roman"/>
        </w:rPr>
        <w:t xml:space="preserve"> based cultivation (75 vs. 92 BDT).</w:t>
      </w:r>
      <w:r w:rsidR="00240309" w:rsidRPr="00240309">
        <w:rPr>
          <w:rFonts w:ascii="Times New Roman" w:hAnsi="Times New Roman" w:cs="Times New Roman"/>
        </w:rPr>
        <w:t xml:space="preserve"> </w:t>
      </w:r>
      <w:r w:rsidR="00240309" w:rsidRPr="00742482">
        <w:rPr>
          <w:rFonts w:ascii="Times New Roman" w:hAnsi="Times New Roman" w:cs="Times New Roman"/>
        </w:rPr>
        <w:t>In contrast, bitter gourd</w:t>
      </w:r>
      <w:r w:rsidR="00240309" w:rsidRPr="00240309">
        <w:rPr>
          <w:rFonts w:ascii="Times New Roman" w:hAnsi="Times New Roman" w:cs="Times New Roman"/>
        </w:rPr>
        <w:t xml:space="preserve"> </w:t>
      </w:r>
      <w:r w:rsidR="00240309" w:rsidRPr="00742482">
        <w:rPr>
          <w:rFonts w:ascii="Times New Roman" w:hAnsi="Times New Roman" w:cs="Times New Roman"/>
        </w:rPr>
        <w:t>showed a 1</w:t>
      </w:r>
      <w:r w:rsidR="0049322D">
        <w:rPr>
          <w:rFonts w:ascii="Times New Roman" w:hAnsi="Times New Roman" w:cs="Times New Roman"/>
        </w:rPr>
        <w:t>4</w:t>
      </w:r>
      <w:r w:rsidR="00240309" w:rsidRPr="00742482">
        <w:rPr>
          <w:rFonts w:ascii="Times New Roman" w:hAnsi="Times New Roman" w:cs="Times New Roman"/>
        </w:rPr>
        <w:t>%</w:t>
      </w:r>
      <w:r w:rsidR="0049322D">
        <w:rPr>
          <w:rFonts w:ascii="Times New Roman" w:hAnsi="Times New Roman" w:cs="Times New Roman"/>
        </w:rPr>
        <w:t xml:space="preserve"> higher</w:t>
      </w:r>
      <w:r w:rsidR="007A597F">
        <w:rPr>
          <w:rFonts w:ascii="Times New Roman" w:hAnsi="Times New Roman" w:cs="Times New Roman"/>
        </w:rPr>
        <w:t xml:space="preserve"> </w:t>
      </w:r>
      <w:r w:rsidR="007A597F" w:rsidRPr="00742482">
        <w:rPr>
          <w:rFonts w:ascii="Times New Roman" w:hAnsi="Times New Roman" w:cs="Times New Roman"/>
        </w:rPr>
        <w:t xml:space="preserve">irrigation cost under </w:t>
      </w:r>
      <w:proofErr w:type="spellStart"/>
      <w:r w:rsidR="007A597F" w:rsidRPr="00742482">
        <w:rPr>
          <w:rFonts w:ascii="Times New Roman" w:hAnsi="Times New Roman" w:cs="Times New Roman"/>
        </w:rPr>
        <w:t>cocodust</w:t>
      </w:r>
      <w:proofErr w:type="spellEnd"/>
      <w:r w:rsidR="007A597F" w:rsidRPr="00742482">
        <w:rPr>
          <w:rFonts w:ascii="Times New Roman" w:hAnsi="Times New Roman" w:cs="Times New Roman"/>
        </w:rPr>
        <w:t xml:space="preserve"> systems (75 vs. 66 BDT), and the difference was statistically significant.</w:t>
      </w:r>
    </w:p>
    <w:p w14:paraId="2D2828ED" w14:textId="72D63FED" w:rsidR="002E46CF" w:rsidRDefault="0087603F" w:rsidP="00CA26EA">
      <w:pPr>
        <w:spacing w:after="0" w:line="360" w:lineRule="auto"/>
        <w:jc w:val="center"/>
        <w:rPr>
          <w:rFonts w:ascii="Times New Roman" w:hAnsi="Times New Roman" w:cs="Times New Roman"/>
        </w:rPr>
      </w:pPr>
      <w:r>
        <w:rPr>
          <w:noProof/>
        </w:rPr>
        <w:drawing>
          <wp:inline distT="0" distB="0" distL="0" distR="0" wp14:anchorId="205F5BFD" wp14:editId="296D5222">
            <wp:extent cx="4572000" cy="2743200"/>
            <wp:effectExtent l="0" t="0" r="0" b="0"/>
            <wp:docPr id="702121499" name="Chart 1">
              <a:extLst xmlns:a="http://schemas.openxmlformats.org/drawingml/2006/main">
                <a:ext uri="{FF2B5EF4-FFF2-40B4-BE49-F238E27FC236}">
                  <a16:creationId xmlns:a16="http://schemas.microsoft.com/office/drawing/2014/main" id="{3A498515-C605-4E71-BA16-6812A0DCD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02BF689" w14:textId="77777777" w:rsidR="005B7ADC" w:rsidRDefault="00A33C89" w:rsidP="00CA26EA">
      <w:pPr>
        <w:spacing w:after="0" w:line="360" w:lineRule="auto"/>
        <w:jc w:val="both"/>
        <w:rPr>
          <w:rFonts w:ascii="Times New Roman" w:hAnsi="Times New Roman" w:cs="Times New Roman"/>
        </w:rPr>
      </w:pPr>
      <w:r w:rsidRPr="00646CF2">
        <w:rPr>
          <w:rFonts w:ascii="Times New Roman" w:hAnsi="Times New Roman" w:cs="Times New Roman"/>
          <w:b/>
          <w:bCs/>
        </w:rPr>
        <w:t>Fig.</w:t>
      </w:r>
      <w:r>
        <w:rPr>
          <w:rFonts w:ascii="Times New Roman" w:hAnsi="Times New Roman" w:cs="Times New Roman"/>
          <w:b/>
          <w:bCs/>
        </w:rPr>
        <w:t xml:space="preserve"> 5</w:t>
      </w:r>
      <w:r w:rsidRPr="00646CF2">
        <w:rPr>
          <w:rFonts w:ascii="Times New Roman" w:hAnsi="Times New Roman" w:cs="Times New Roman"/>
        </w:rPr>
        <w:t xml:space="preserve"> Irrigation cost (BDT per decimal) for </w:t>
      </w:r>
      <w:proofErr w:type="spellStart"/>
      <w:r w:rsidRPr="00646CF2">
        <w:rPr>
          <w:rFonts w:ascii="Times New Roman" w:hAnsi="Times New Roman" w:cs="Times New Roman"/>
        </w:rPr>
        <w:t>cocodust</w:t>
      </w:r>
      <w:proofErr w:type="spellEnd"/>
      <w:r w:rsidRPr="00646CF2">
        <w:rPr>
          <w:rFonts w:ascii="Times New Roman" w:hAnsi="Times New Roman" w:cs="Times New Roman"/>
        </w:rPr>
        <w:t xml:space="preserve">-based and traditional nursery systems across selected vegetables. Bars with different letters indicate significant differences at </w:t>
      </w:r>
      <w:r w:rsidRPr="00646CF2">
        <w:rPr>
          <w:rFonts w:ascii="Times New Roman" w:hAnsi="Times New Roman" w:cs="Times New Roman"/>
          <w:i/>
          <w:iCs/>
        </w:rPr>
        <w:t>P</w:t>
      </w:r>
      <w:r w:rsidRPr="00646CF2">
        <w:rPr>
          <w:rFonts w:ascii="Times New Roman" w:hAnsi="Times New Roman" w:cs="Times New Roman"/>
        </w:rPr>
        <w:t xml:space="preserve"> ≤ 0.05.</w:t>
      </w:r>
      <w:r w:rsidR="005B7ADC">
        <w:rPr>
          <w:rFonts w:ascii="Times New Roman" w:hAnsi="Times New Roman" w:cs="Times New Roman"/>
        </w:rPr>
        <w:t xml:space="preserve"> </w:t>
      </w:r>
    </w:p>
    <w:p w14:paraId="12F31F36" w14:textId="2B2977A8" w:rsidR="00742482" w:rsidRPr="00742482" w:rsidRDefault="00742482" w:rsidP="00CA26EA">
      <w:pPr>
        <w:spacing w:after="0" w:line="360" w:lineRule="auto"/>
        <w:jc w:val="both"/>
        <w:rPr>
          <w:rFonts w:ascii="Times New Roman" w:hAnsi="Times New Roman" w:cs="Times New Roman"/>
        </w:rPr>
      </w:pPr>
      <w:r w:rsidRPr="00742482">
        <w:rPr>
          <w:rFonts w:ascii="Times New Roman" w:hAnsi="Times New Roman" w:cs="Times New Roman"/>
        </w:rPr>
        <w:t xml:space="preserve">For country bean, irrigation cost increased by 25% under </w:t>
      </w:r>
      <w:proofErr w:type="spellStart"/>
      <w:r w:rsidRPr="00742482">
        <w:rPr>
          <w:rFonts w:ascii="Times New Roman" w:hAnsi="Times New Roman" w:cs="Times New Roman"/>
        </w:rPr>
        <w:t>cocodust</w:t>
      </w:r>
      <w:proofErr w:type="spellEnd"/>
      <w:r w:rsidRPr="00742482">
        <w:rPr>
          <w:rFonts w:ascii="Times New Roman" w:hAnsi="Times New Roman" w:cs="Times New Roman"/>
        </w:rPr>
        <w:t xml:space="preserve"> adoption (85 vs. 68 BDT), and this difference was also statistically significant.</w:t>
      </w:r>
      <w:r w:rsidR="00B614A8">
        <w:rPr>
          <w:rFonts w:ascii="Times New Roman" w:hAnsi="Times New Roman" w:cs="Times New Roman"/>
        </w:rPr>
        <w:t xml:space="preserve"> </w:t>
      </w:r>
      <w:r w:rsidRPr="00742482">
        <w:rPr>
          <w:rFonts w:ascii="Times New Roman" w:hAnsi="Times New Roman" w:cs="Times New Roman"/>
        </w:rPr>
        <w:t xml:space="preserve">For bottle gourd, irrigation cost was </w:t>
      </w:r>
      <w:r w:rsidR="003F40F2">
        <w:rPr>
          <w:rFonts w:ascii="Times New Roman" w:hAnsi="Times New Roman" w:cs="Times New Roman"/>
        </w:rPr>
        <w:t>3</w:t>
      </w:r>
      <w:r w:rsidRPr="00742482">
        <w:rPr>
          <w:rFonts w:ascii="Times New Roman" w:hAnsi="Times New Roman" w:cs="Times New Roman"/>
        </w:rPr>
        <w:t xml:space="preserve">% lower under </w:t>
      </w:r>
      <w:proofErr w:type="spellStart"/>
      <w:r w:rsidRPr="00742482">
        <w:rPr>
          <w:rFonts w:ascii="Times New Roman" w:hAnsi="Times New Roman" w:cs="Times New Roman"/>
        </w:rPr>
        <w:t>cocodust</w:t>
      </w:r>
      <w:proofErr w:type="spellEnd"/>
      <w:r w:rsidRPr="00742482">
        <w:rPr>
          <w:rFonts w:ascii="Times New Roman" w:hAnsi="Times New Roman" w:cs="Times New Roman"/>
        </w:rPr>
        <w:t xml:space="preserve"> systems, while brinjal showed a 6% higher irrigation cost compared to traditional practices. However, the differences for both crops were not statistically significant.</w:t>
      </w:r>
      <w:r w:rsidR="00EF7095">
        <w:rPr>
          <w:rFonts w:ascii="Times New Roman" w:hAnsi="Times New Roman" w:cs="Times New Roman"/>
        </w:rPr>
        <w:t xml:space="preserve"> </w:t>
      </w:r>
      <w:r w:rsidRPr="00742482">
        <w:rPr>
          <w:rFonts w:ascii="Times New Roman" w:hAnsi="Times New Roman" w:cs="Times New Roman"/>
        </w:rPr>
        <w:t xml:space="preserve">In cauliflower and tomato, irrigation costs differed only marginally between nursery systems, with increases of </w:t>
      </w:r>
      <w:r w:rsidR="003F40F2">
        <w:rPr>
          <w:rFonts w:ascii="Times New Roman" w:hAnsi="Times New Roman" w:cs="Times New Roman"/>
        </w:rPr>
        <w:t>6</w:t>
      </w:r>
      <w:r w:rsidRPr="00742482">
        <w:rPr>
          <w:rFonts w:ascii="Times New Roman" w:hAnsi="Times New Roman" w:cs="Times New Roman"/>
        </w:rPr>
        <w:t>% and 1.4%, respectively, and the differences were not statistically significant.</w:t>
      </w:r>
    </w:p>
    <w:p w14:paraId="41037C84" w14:textId="29E8DF8D" w:rsidR="006C05BF" w:rsidRPr="008E1F7A" w:rsidRDefault="003F4731" w:rsidP="00CA26EA">
      <w:pPr>
        <w:spacing w:after="0" w:line="360" w:lineRule="auto"/>
        <w:jc w:val="both"/>
        <w:rPr>
          <w:rFonts w:ascii="Times New Roman" w:hAnsi="Times New Roman" w:cs="Times New Roman"/>
          <w:b/>
          <w:bCs/>
        </w:rPr>
      </w:pPr>
      <w:r>
        <w:rPr>
          <w:rFonts w:ascii="Times New Roman" w:hAnsi="Times New Roman" w:cs="Times New Roman"/>
          <w:b/>
          <w:bCs/>
        </w:rPr>
        <w:t xml:space="preserve">3.6 </w:t>
      </w:r>
      <w:r w:rsidR="006C05BF" w:rsidRPr="008E1F7A">
        <w:rPr>
          <w:rFonts w:ascii="Times New Roman" w:hAnsi="Times New Roman" w:cs="Times New Roman"/>
          <w:b/>
          <w:bCs/>
        </w:rPr>
        <w:t>Pole and fence cost</w:t>
      </w:r>
    </w:p>
    <w:p w14:paraId="7DAEBFCE" w14:textId="7275BC00" w:rsidR="008632A5" w:rsidRDefault="008632A5" w:rsidP="00CA26EA">
      <w:pPr>
        <w:spacing w:after="0" w:line="360" w:lineRule="auto"/>
        <w:jc w:val="both"/>
        <w:rPr>
          <w:rFonts w:ascii="Times New Roman" w:hAnsi="Times New Roman" w:cs="Times New Roman"/>
        </w:rPr>
      </w:pPr>
      <w:r w:rsidRPr="008632A5">
        <w:rPr>
          <w:rFonts w:ascii="Times New Roman" w:hAnsi="Times New Roman" w:cs="Times New Roman"/>
        </w:rPr>
        <w:t xml:space="preserve">Pole and fence cost per decimal was substantially lower for </w:t>
      </w:r>
      <w:proofErr w:type="spellStart"/>
      <w:r w:rsidRPr="008632A5">
        <w:rPr>
          <w:rFonts w:ascii="Times New Roman" w:hAnsi="Times New Roman" w:cs="Times New Roman"/>
        </w:rPr>
        <w:t>cocodust</w:t>
      </w:r>
      <w:proofErr w:type="spellEnd"/>
      <w:r w:rsidRPr="008632A5">
        <w:rPr>
          <w:rFonts w:ascii="Times New Roman" w:hAnsi="Times New Roman" w:cs="Times New Roman"/>
        </w:rPr>
        <w:t xml:space="preserve">-based nursery users compared to traditional nursery users for crops requiring staking and structural support (Fig. </w:t>
      </w:r>
      <w:r w:rsidR="00234616">
        <w:rPr>
          <w:rFonts w:ascii="Times New Roman" w:hAnsi="Times New Roman" w:cs="Times New Roman"/>
        </w:rPr>
        <w:t>6</w:t>
      </w:r>
      <w:r w:rsidRPr="008632A5">
        <w:rPr>
          <w:rFonts w:ascii="Times New Roman" w:hAnsi="Times New Roman" w:cs="Times New Roman"/>
        </w:rPr>
        <w:t>), reflecting improved plant vigor and reduced need for repeated support installation.</w:t>
      </w:r>
    </w:p>
    <w:p w14:paraId="4D9D562D" w14:textId="69979060" w:rsidR="00B74100" w:rsidRDefault="00B74100" w:rsidP="00CA26EA">
      <w:pPr>
        <w:spacing w:after="0" w:line="360" w:lineRule="auto"/>
        <w:jc w:val="center"/>
        <w:rPr>
          <w:rFonts w:ascii="Times New Roman" w:hAnsi="Times New Roman" w:cs="Times New Roman"/>
        </w:rPr>
      </w:pPr>
      <w:r>
        <w:rPr>
          <w:noProof/>
          <w:lang w:val="en-GB" w:eastAsia="en-GB"/>
        </w:rPr>
        <w:lastRenderedPageBreak/>
        <w:drawing>
          <wp:inline distT="0" distB="0" distL="0" distR="0" wp14:anchorId="768AACC8" wp14:editId="411362CD">
            <wp:extent cx="4595191" cy="2743200"/>
            <wp:effectExtent l="0" t="0" r="15240" b="0"/>
            <wp:docPr id="426760931" name="Chart 1">
              <a:extLst xmlns:a="http://schemas.openxmlformats.org/drawingml/2006/main">
                <a:ext uri="{FF2B5EF4-FFF2-40B4-BE49-F238E27FC236}">
                  <a16:creationId xmlns:a16="http://schemas.microsoft.com/office/drawing/2014/main" id="{7723C66D-9674-47EC-A572-A236663E08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1081BA9" w14:textId="28E1A2C6" w:rsidR="00234616" w:rsidRPr="008632A5" w:rsidRDefault="00234616" w:rsidP="00CA26EA">
      <w:pPr>
        <w:spacing w:after="0" w:line="360" w:lineRule="auto"/>
        <w:jc w:val="both"/>
        <w:rPr>
          <w:rFonts w:ascii="Times New Roman" w:hAnsi="Times New Roman" w:cs="Times New Roman"/>
        </w:rPr>
      </w:pPr>
      <w:r w:rsidRPr="00646CF2">
        <w:rPr>
          <w:rFonts w:ascii="Times New Roman" w:hAnsi="Times New Roman" w:cs="Times New Roman"/>
          <w:b/>
          <w:bCs/>
        </w:rPr>
        <w:t>Fig.</w:t>
      </w:r>
      <w:r>
        <w:rPr>
          <w:rFonts w:ascii="Times New Roman" w:hAnsi="Times New Roman" w:cs="Times New Roman"/>
          <w:b/>
          <w:bCs/>
        </w:rPr>
        <w:t xml:space="preserve"> 6</w:t>
      </w:r>
      <w:r w:rsidRPr="00646CF2">
        <w:rPr>
          <w:rFonts w:ascii="Times New Roman" w:hAnsi="Times New Roman" w:cs="Times New Roman"/>
        </w:rPr>
        <w:t xml:space="preserve"> Pole and fence cost (BDT per decimal) for </w:t>
      </w:r>
      <w:proofErr w:type="spellStart"/>
      <w:r w:rsidRPr="00646CF2">
        <w:rPr>
          <w:rFonts w:ascii="Times New Roman" w:hAnsi="Times New Roman" w:cs="Times New Roman"/>
        </w:rPr>
        <w:t>cocodust</w:t>
      </w:r>
      <w:proofErr w:type="spellEnd"/>
      <w:r w:rsidRPr="00646CF2">
        <w:rPr>
          <w:rFonts w:ascii="Times New Roman" w:hAnsi="Times New Roman" w:cs="Times New Roman"/>
        </w:rPr>
        <w:t xml:space="preserve">-based and traditional nursery systems across selected vegetables. Bars with different letters indicate significant differences at </w:t>
      </w:r>
      <w:r w:rsidRPr="00646CF2">
        <w:rPr>
          <w:rFonts w:ascii="Times New Roman" w:hAnsi="Times New Roman" w:cs="Times New Roman"/>
          <w:i/>
          <w:iCs/>
        </w:rPr>
        <w:t>P</w:t>
      </w:r>
      <w:r w:rsidRPr="00646CF2">
        <w:rPr>
          <w:rFonts w:ascii="Times New Roman" w:hAnsi="Times New Roman" w:cs="Times New Roman"/>
        </w:rPr>
        <w:t xml:space="preserve"> ≤ 0.05.</w:t>
      </w:r>
    </w:p>
    <w:p w14:paraId="09C6622A" w14:textId="67AF7C4A" w:rsidR="001F6CF1" w:rsidRPr="001F6CF1" w:rsidRDefault="001F6CF1" w:rsidP="00CA26EA">
      <w:pPr>
        <w:spacing w:after="0" w:line="360" w:lineRule="auto"/>
        <w:jc w:val="both"/>
        <w:rPr>
          <w:rFonts w:ascii="Times New Roman" w:hAnsi="Times New Roman" w:cs="Times New Roman"/>
        </w:rPr>
      </w:pPr>
      <w:r w:rsidRPr="001F6CF1">
        <w:rPr>
          <w:rFonts w:ascii="Times New Roman" w:hAnsi="Times New Roman" w:cs="Times New Roman"/>
        </w:rPr>
        <w:t xml:space="preserve">For bitter gourd, </w:t>
      </w:r>
      <w:proofErr w:type="spellStart"/>
      <w:r w:rsidRPr="001F6CF1">
        <w:rPr>
          <w:rFonts w:ascii="Times New Roman" w:hAnsi="Times New Roman" w:cs="Times New Roman"/>
        </w:rPr>
        <w:t>cocodust</w:t>
      </w:r>
      <w:proofErr w:type="spellEnd"/>
      <w:r w:rsidRPr="001F6CF1">
        <w:rPr>
          <w:rFonts w:ascii="Times New Roman" w:hAnsi="Times New Roman" w:cs="Times New Roman"/>
        </w:rPr>
        <w:t xml:space="preserve"> adoption reduced pole and fence cost by 21% compared to traditional practices, and the difference was statistically significant. A much larger and significant reduction was observed for bottle gourd, where pole and fence cost declined by 33% under </w:t>
      </w:r>
      <w:proofErr w:type="spellStart"/>
      <w:r w:rsidRPr="001F6CF1">
        <w:rPr>
          <w:rFonts w:ascii="Times New Roman" w:hAnsi="Times New Roman" w:cs="Times New Roman"/>
        </w:rPr>
        <w:t>cocodust</w:t>
      </w:r>
      <w:proofErr w:type="spellEnd"/>
      <w:r w:rsidRPr="001F6CF1">
        <w:rPr>
          <w:rFonts w:ascii="Times New Roman" w:hAnsi="Times New Roman" w:cs="Times New Roman"/>
        </w:rPr>
        <w:t xml:space="preserve"> systems (269 vs. 403 BDT).</w:t>
      </w:r>
      <w:r w:rsidR="00FD6401">
        <w:rPr>
          <w:rFonts w:ascii="Times New Roman" w:hAnsi="Times New Roman" w:cs="Times New Roman"/>
        </w:rPr>
        <w:t xml:space="preserve"> </w:t>
      </w:r>
      <w:r w:rsidRPr="001F6CF1">
        <w:rPr>
          <w:rFonts w:ascii="Times New Roman" w:hAnsi="Times New Roman" w:cs="Times New Roman"/>
        </w:rPr>
        <w:t xml:space="preserve">In brinjal, </w:t>
      </w:r>
      <w:proofErr w:type="spellStart"/>
      <w:r w:rsidRPr="001F6CF1">
        <w:rPr>
          <w:rFonts w:ascii="Times New Roman" w:hAnsi="Times New Roman" w:cs="Times New Roman"/>
        </w:rPr>
        <w:t>cocodust</w:t>
      </w:r>
      <w:proofErr w:type="spellEnd"/>
      <w:r w:rsidRPr="001F6CF1">
        <w:rPr>
          <w:rFonts w:ascii="Times New Roman" w:hAnsi="Times New Roman" w:cs="Times New Roman"/>
        </w:rPr>
        <w:t xml:space="preserve"> based cultivation reduced pole and fence cost by 12% compared to traditional nurseries, and the difference was statistically significant. Similarly, tomato exhibited a pronounced and significant reduction of 42% in pole and fence cost under </w:t>
      </w:r>
      <w:proofErr w:type="spellStart"/>
      <w:r w:rsidRPr="001F6CF1">
        <w:rPr>
          <w:rFonts w:ascii="Times New Roman" w:hAnsi="Times New Roman" w:cs="Times New Roman"/>
        </w:rPr>
        <w:t>cocodust</w:t>
      </w:r>
      <w:proofErr w:type="spellEnd"/>
      <w:r w:rsidRPr="001F6CF1">
        <w:rPr>
          <w:rFonts w:ascii="Times New Roman" w:hAnsi="Times New Roman" w:cs="Times New Roman"/>
        </w:rPr>
        <w:t xml:space="preserve"> systems.</w:t>
      </w:r>
      <w:r w:rsidR="00FD6401">
        <w:rPr>
          <w:rFonts w:ascii="Times New Roman" w:hAnsi="Times New Roman" w:cs="Times New Roman"/>
        </w:rPr>
        <w:t xml:space="preserve"> </w:t>
      </w:r>
      <w:r w:rsidRPr="001F6CF1">
        <w:rPr>
          <w:rFonts w:ascii="Times New Roman" w:hAnsi="Times New Roman" w:cs="Times New Roman"/>
        </w:rPr>
        <w:t xml:space="preserve">For chili, pole and fence cost was </w:t>
      </w:r>
      <w:r w:rsidR="00BB2E1D">
        <w:rPr>
          <w:rFonts w:ascii="Times New Roman" w:hAnsi="Times New Roman" w:cs="Times New Roman"/>
        </w:rPr>
        <w:t>7</w:t>
      </w:r>
      <w:r w:rsidRPr="001F6CF1">
        <w:rPr>
          <w:rFonts w:ascii="Times New Roman" w:hAnsi="Times New Roman" w:cs="Times New Roman"/>
        </w:rPr>
        <w:t xml:space="preserve">% lower under </w:t>
      </w:r>
      <w:proofErr w:type="spellStart"/>
      <w:r w:rsidRPr="001F6CF1">
        <w:rPr>
          <w:rFonts w:ascii="Times New Roman" w:hAnsi="Times New Roman" w:cs="Times New Roman"/>
        </w:rPr>
        <w:t>cocodust</w:t>
      </w:r>
      <w:proofErr w:type="spellEnd"/>
      <w:r w:rsidRPr="001F6CF1">
        <w:rPr>
          <w:rFonts w:ascii="Times New Roman" w:hAnsi="Times New Roman" w:cs="Times New Roman"/>
        </w:rPr>
        <w:t xml:space="preserve"> systems</w:t>
      </w:r>
      <w:r w:rsidR="00EB49E0">
        <w:rPr>
          <w:rFonts w:ascii="Times New Roman" w:hAnsi="Times New Roman" w:cs="Times New Roman"/>
        </w:rPr>
        <w:t>.</w:t>
      </w:r>
      <w:r w:rsidRPr="001F6CF1">
        <w:rPr>
          <w:rFonts w:ascii="Times New Roman" w:hAnsi="Times New Roman" w:cs="Times New Roman"/>
        </w:rPr>
        <w:t xml:space="preserve"> </w:t>
      </w:r>
      <w:r w:rsidR="00EB49E0">
        <w:rPr>
          <w:rFonts w:ascii="Times New Roman" w:hAnsi="Times New Roman" w:cs="Times New Roman"/>
        </w:rPr>
        <w:t>H</w:t>
      </w:r>
      <w:r w:rsidRPr="001F6CF1">
        <w:rPr>
          <w:rFonts w:ascii="Times New Roman" w:hAnsi="Times New Roman" w:cs="Times New Roman"/>
        </w:rPr>
        <w:t xml:space="preserve">owever, the difference was not statistically significant. In country bean, </w:t>
      </w:r>
      <w:proofErr w:type="spellStart"/>
      <w:r w:rsidRPr="001F6CF1">
        <w:rPr>
          <w:rFonts w:ascii="Times New Roman" w:hAnsi="Times New Roman" w:cs="Times New Roman"/>
        </w:rPr>
        <w:t>cocodust</w:t>
      </w:r>
      <w:proofErr w:type="spellEnd"/>
      <w:r w:rsidRPr="001F6CF1">
        <w:rPr>
          <w:rFonts w:ascii="Times New Roman" w:hAnsi="Times New Roman" w:cs="Times New Roman"/>
        </w:rPr>
        <w:t xml:space="preserve"> adoption reduced pole and fence cost by 1</w:t>
      </w:r>
      <w:r w:rsidR="00BB2E1D">
        <w:rPr>
          <w:rFonts w:ascii="Times New Roman" w:hAnsi="Times New Roman" w:cs="Times New Roman"/>
        </w:rPr>
        <w:t>6</w:t>
      </w:r>
      <w:r w:rsidRPr="001F6CF1">
        <w:rPr>
          <w:rFonts w:ascii="Times New Roman" w:hAnsi="Times New Roman" w:cs="Times New Roman"/>
        </w:rPr>
        <w:t>% and the difference was statistically significant.</w:t>
      </w:r>
      <w:r w:rsidR="00D73E5A">
        <w:rPr>
          <w:rFonts w:ascii="Times New Roman" w:hAnsi="Times New Roman" w:cs="Times New Roman"/>
        </w:rPr>
        <w:t xml:space="preserve"> </w:t>
      </w:r>
      <w:r w:rsidRPr="001F6CF1">
        <w:rPr>
          <w:rFonts w:ascii="Times New Roman" w:hAnsi="Times New Roman" w:cs="Times New Roman"/>
        </w:rPr>
        <w:t>As expected, cabbage and cauliflower did not incur pole or fence costs under either nursery system, as these crops do not require staking.</w:t>
      </w:r>
    </w:p>
    <w:p w14:paraId="3FEC6F15" w14:textId="27D4D419" w:rsidR="006C05BF" w:rsidRPr="006C05BF" w:rsidRDefault="003F4731" w:rsidP="00CA26EA">
      <w:pPr>
        <w:spacing w:after="0" w:line="360" w:lineRule="auto"/>
        <w:rPr>
          <w:rFonts w:ascii="Times New Roman" w:hAnsi="Times New Roman" w:cs="Times New Roman"/>
          <w:b/>
          <w:bCs/>
        </w:rPr>
      </w:pPr>
      <w:r>
        <w:rPr>
          <w:rFonts w:ascii="Times New Roman" w:hAnsi="Times New Roman" w:cs="Times New Roman"/>
          <w:b/>
          <w:bCs/>
        </w:rPr>
        <w:t xml:space="preserve">3.7 </w:t>
      </w:r>
      <w:r w:rsidR="006C05BF" w:rsidRPr="006C05BF">
        <w:rPr>
          <w:rFonts w:ascii="Times New Roman" w:hAnsi="Times New Roman" w:cs="Times New Roman"/>
          <w:b/>
          <w:bCs/>
        </w:rPr>
        <w:t>Labor cost</w:t>
      </w:r>
    </w:p>
    <w:p w14:paraId="66D3A1CE" w14:textId="259FECD6" w:rsidR="00514D3E" w:rsidRDefault="00514D3E" w:rsidP="00CA26EA">
      <w:pPr>
        <w:spacing w:after="0" w:line="360" w:lineRule="auto"/>
        <w:jc w:val="both"/>
        <w:rPr>
          <w:rFonts w:ascii="Times New Roman" w:hAnsi="Times New Roman" w:cs="Times New Roman"/>
        </w:rPr>
      </w:pPr>
      <w:r w:rsidRPr="00514D3E">
        <w:rPr>
          <w:rFonts w:ascii="Times New Roman" w:hAnsi="Times New Roman" w:cs="Times New Roman"/>
        </w:rPr>
        <w:t xml:space="preserve">Labor cost per decimal was significantly lower for </w:t>
      </w:r>
      <w:proofErr w:type="spellStart"/>
      <w:r w:rsidRPr="00514D3E">
        <w:rPr>
          <w:rFonts w:ascii="Times New Roman" w:hAnsi="Times New Roman" w:cs="Times New Roman"/>
        </w:rPr>
        <w:t>cocodust</w:t>
      </w:r>
      <w:proofErr w:type="spellEnd"/>
      <w:r w:rsidRPr="00514D3E">
        <w:rPr>
          <w:rFonts w:ascii="Times New Roman" w:hAnsi="Times New Roman" w:cs="Times New Roman"/>
        </w:rPr>
        <w:t xml:space="preserve">-based nursery users compared to traditional nursery users across all vegetable crops (Fig. </w:t>
      </w:r>
      <w:r w:rsidR="00153E92">
        <w:rPr>
          <w:rFonts w:ascii="Times New Roman" w:hAnsi="Times New Roman" w:cs="Times New Roman"/>
        </w:rPr>
        <w:t>7</w:t>
      </w:r>
      <w:r w:rsidRPr="00514D3E">
        <w:rPr>
          <w:rFonts w:ascii="Times New Roman" w:hAnsi="Times New Roman" w:cs="Times New Roman"/>
        </w:rPr>
        <w:t xml:space="preserve">), indicating substantial labor-saving effects associated with </w:t>
      </w:r>
      <w:proofErr w:type="spellStart"/>
      <w:r w:rsidRPr="00514D3E">
        <w:rPr>
          <w:rFonts w:ascii="Times New Roman" w:hAnsi="Times New Roman" w:cs="Times New Roman"/>
        </w:rPr>
        <w:t>cocodust</w:t>
      </w:r>
      <w:proofErr w:type="spellEnd"/>
      <w:r w:rsidRPr="00514D3E">
        <w:rPr>
          <w:rFonts w:ascii="Times New Roman" w:hAnsi="Times New Roman" w:cs="Times New Roman"/>
        </w:rPr>
        <w:t xml:space="preserve"> nursery technology.</w:t>
      </w:r>
    </w:p>
    <w:p w14:paraId="402E9C24" w14:textId="372DD888" w:rsidR="00B74100" w:rsidRDefault="00CE0F0C" w:rsidP="00CA26EA">
      <w:pPr>
        <w:spacing w:after="0" w:line="360" w:lineRule="auto"/>
        <w:jc w:val="center"/>
        <w:rPr>
          <w:rFonts w:ascii="Times New Roman" w:hAnsi="Times New Roman" w:cs="Times New Roman"/>
        </w:rPr>
      </w:pPr>
      <w:r>
        <w:rPr>
          <w:noProof/>
          <w:lang w:val="en-GB" w:eastAsia="en-GB"/>
        </w:rPr>
        <w:lastRenderedPageBreak/>
        <w:drawing>
          <wp:inline distT="0" distB="0" distL="0" distR="0" wp14:anchorId="74D899FE" wp14:editId="34989524">
            <wp:extent cx="4595191" cy="2743200"/>
            <wp:effectExtent l="0" t="0" r="15240" b="0"/>
            <wp:docPr id="659253402" name="Chart 1">
              <a:extLst xmlns:a="http://schemas.openxmlformats.org/drawingml/2006/main">
                <a:ext uri="{FF2B5EF4-FFF2-40B4-BE49-F238E27FC236}">
                  <a16:creationId xmlns:a16="http://schemas.microsoft.com/office/drawing/2014/main" id="{436B9F2A-C293-4B2D-A59D-4ECAE99511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880018" w14:textId="1169EB46" w:rsidR="0010126B" w:rsidRPr="00514D3E" w:rsidRDefault="0010126B" w:rsidP="00CA26EA">
      <w:pPr>
        <w:spacing w:after="0" w:line="360" w:lineRule="auto"/>
        <w:jc w:val="both"/>
        <w:rPr>
          <w:rFonts w:ascii="Times New Roman" w:hAnsi="Times New Roman" w:cs="Times New Roman"/>
        </w:rPr>
      </w:pPr>
      <w:r w:rsidRPr="00396B16">
        <w:rPr>
          <w:rFonts w:ascii="Times New Roman" w:hAnsi="Times New Roman" w:cs="Times New Roman"/>
          <w:b/>
          <w:bCs/>
        </w:rPr>
        <w:t>Fig.</w:t>
      </w:r>
      <w:r>
        <w:rPr>
          <w:rFonts w:ascii="Times New Roman" w:hAnsi="Times New Roman" w:cs="Times New Roman"/>
          <w:b/>
          <w:bCs/>
        </w:rPr>
        <w:t xml:space="preserve"> </w:t>
      </w:r>
      <w:r w:rsidR="003F4731">
        <w:rPr>
          <w:rFonts w:ascii="Times New Roman" w:hAnsi="Times New Roman" w:cs="Times New Roman"/>
          <w:b/>
          <w:bCs/>
        </w:rPr>
        <w:t>7</w:t>
      </w:r>
      <w:r w:rsidRPr="00396B16">
        <w:rPr>
          <w:rFonts w:ascii="Times New Roman" w:hAnsi="Times New Roman" w:cs="Times New Roman"/>
        </w:rPr>
        <w:t xml:space="preserve"> Labor cost (BDT per decimal) for </w:t>
      </w:r>
      <w:proofErr w:type="spellStart"/>
      <w:r w:rsidRPr="00396B16">
        <w:rPr>
          <w:rFonts w:ascii="Times New Roman" w:hAnsi="Times New Roman" w:cs="Times New Roman"/>
        </w:rPr>
        <w:t>cocodust</w:t>
      </w:r>
      <w:proofErr w:type="spellEnd"/>
      <w:r w:rsidRPr="00396B16">
        <w:rPr>
          <w:rFonts w:ascii="Times New Roman" w:hAnsi="Times New Roman" w:cs="Times New Roman"/>
        </w:rPr>
        <w:t xml:space="preserve">-based and traditional nursery systems across selected vegetables. Bars with different letters indicate significant differences at </w:t>
      </w:r>
      <w:r w:rsidRPr="00396B16">
        <w:rPr>
          <w:rFonts w:ascii="Times New Roman" w:hAnsi="Times New Roman" w:cs="Times New Roman"/>
          <w:i/>
          <w:iCs/>
        </w:rPr>
        <w:t>P</w:t>
      </w:r>
      <w:r w:rsidRPr="00396B16">
        <w:rPr>
          <w:rFonts w:ascii="Times New Roman" w:hAnsi="Times New Roman" w:cs="Times New Roman"/>
        </w:rPr>
        <w:t xml:space="preserve"> ≤ 0.05.</w:t>
      </w:r>
    </w:p>
    <w:p w14:paraId="7A2989F9" w14:textId="30B17D16" w:rsidR="00527D42" w:rsidRPr="00527D42" w:rsidRDefault="00527D42" w:rsidP="00CA26EA">
      <w:pPr>
        <w:spacing w:after="0" w:line="360" w:lineRule="auto"/>
        <w:jc w:val="both"/>
        <w:rPr>
          <w:rFonts w:ascii="Times New Roman" w:hAnsi="Times New Roman" w:cs="Times New Roman"/>
        </w:rPr>
      </w:pPr>
      <w:r w:rsidRPr="00527D42">
        <w:rPr>
          <w:rFonts w:ascii="Times New Roman" w:hAnsi="Times New Roman" w:cs="Times New Roman"/>
        </w:rPr>
        <w:t xml:space="preserve">For bitter gourd, labor expenditure under </w:t>
      </w:r>
      <w:proofErr w:type="spellStart"/>
      <w:r w:rsidRPr="00527D42">
        <w:rPr>
          <w:rFonts w:ascii="Times New Roman" w:hAnsi="Times New Roman" w:cs="Times New Roman"/>
        </w:rPr>
        <w:t>cocodust</w:t>
      </w:r>
      <w:proofErr w:type="spellEnd"/>
      <w:r w:rsidRPr="00527D42">
        <w:rPr>
          <w:rFonts w:ascii="Times New Roman" w:hAnsi="Times New Roman" w:cs="Times New Roman"/>
        </w:rPr>
        <w:t xml:space="preserve"> systems was </w:t>
      </w:r>
      <w:r w:rsidR="006747A1">
        <w:rPr>
          <w:rFonts w:ascii="Times New Roman" w:hAnsi="Times New Roman" w:cs="Times New Roman"/>
        </w:rPr>
        <w:t>40</w:t>
      </w:r>
      <w:r w:rsidRPr="00527D42">
        <w:rPr>
          <w:rFonts w:ascii="Times New Roman" w:hAnsi="Times New Roman" w:cs="Times New Roman"/>
        </w:rPr>
        <w:t>% lower than under traditional nursery practices, and the difference was statistically significant. A similarly large and significant reduction was observed for bottle gourd, where labor cost declined by 3</w:t>
      </w:r>
      <w:r w:rsidR="006747A1">
        <w:rPr>
          <w:rFonts w:ascii="Times New Roman" w:hAnsi="Times New Roman" w:cs="Times New Roman"/>
        </w:rPr>
        <w:t>7</w:t>
      </w:r>
      <w:r w:rsidRPr="00527D42">
        <w:rPr>
          <w:rFonts w:ascii="Times New Roman" w:hAnsi="Times New Roman" w:cs="Times New Roman"/>
        </w:rPr>
        <w:t xml:space="preserve">% under </w:t>
      </w:r>
      <w:proofErr w:type="spellStart"/>
      <w:r w:rsidRPr="00527D42">
        <w:rPr>
          <w:rFonts w:ascii="Times New Roman" w:hAnsi="Times New Roman" w:cs="Times New Roman"/>
        </w:rPr>
        <w:t>cocodust</w:t>
      </w:r>
      <w:proofErr w:type="spellEnd"/>
      <w:r w:rsidRPr="00527D42">
        <w:rPr>
          <w:rFonts w:ascii="Times New Roman" w:hAnsi="Times New Roman" w:cs="Times New Roman"/>
        </w:rPr>
        <w:t xml:space="preserve"> adoption.</w:t>
      </w:r>
      <w:r w:rsidR="00CC0685">
        <w:rPr>
          <w:rFonts w:ascii="Times New Roman" w:hAnsi="Times New Roman" w:cs="Times New Roman"/>
        </w:rPr>
        <w:t xml:space="preserve"> </w:t>
      </w:r>
      <w:r w:rsidRPr="00527D42">
        <w:rPr>
          <w:rFonts w:ascii="Times New Roman" w:hAnsi="Times New Roman" w:cs="Times New Roman"/>
        </w:rPr>
        <w:t xml:space="preserve">In brinjal, </w:t>
      </w:r>
      <w:proofErr w:type="spellStart"/>
      <w:r w:rsidRPr="00527D42">
        <w:rPr>
          <w:rFonts w:ascii="Times New Roman" w:hAnsi="Times New Roman" w:cs="Times New Roman"/>
        </w:rPr>
        <w:t>cocodust</w:t>
      </w:r>
      <w:proofErr w:type="spellEnd"/>
      <w:r w:rsidRPr="00527D42">
        <w:rPr>
          <w:rFonts w:ascii="Times New Roman" w:hAnsi="Times New Roman" w:cs="Times New Roman"/>
        </w:rPr>
        <w:t xml:space="preserve"> based cultivation reduced labor cost by 16% compared to traditional nurseries, and the difference was statistically significant. For cabbage, labor expenditure decreased by 20% under </w:t>
      </w:r>
      <w:proofErr w:type="spellStart"/>
      <w:r w:rsidRPr="00527D42">
        <w:rPr>
          <w:rFonts w:ascii="Times New Roman" w:hAnsi="Times New Roman" w:cs="Times New Roman"/>
        </w:rPr>
        <w:t>cocodust</w:t>
      </w:r>
      <w:proofErr w:type="spellEnd"/>
      <w:r w:rsidRPr="00527D42">
        <w:rPr>
          <w:rFonts w:ascii="Times New Roman" w:hAnsi="Times New Roman" w:cs="Times New Roman"/>
        </w:rPr>
        <w:t xml:space="preserve"> systems, showing a statistically significant reduction.</w:t>
      </w:r>
      <w:r w:rsidR="00A05F52">
        <w:rPr>
          <w:rFonts w:ascii="Times New Roman" w:hAnsi="Times New Roman" w:cs="Times New Roman"/>
        </w:rPr>
        <w:t xml:space="preserve"> </w:t>
      </w:r>
      <w:r w:rsidRPr="00527D42">
        <w:rPr>
          <w:rFonts w:ascii="Times New Roman" w:hAnsi="Times New Roman" w:cs="Times New Roman"/>
        </w:rPr>
        <w:t xml:space="preserve">A pronounced reduction was also evident for cauliflower, where labor cost under </w:t>
      </w:r>
      <w:proofErr w:type="spellStart"/>
      <w:r w:rsidRPr="00527D42">
        <w:rPr>
          <w:rFonts w:ascii="Times New Roman" w:hAnsi="Times New Roman" w:cs="Times New Roman"/>
        </w:rPr>
        <w:t>cocodust</w:t>
      </w:r>
      <w:proofErr w:type="spellEnd"/>
      <w:r w:rsidRPr="00527D42">
        <w:rPr>
          <w:rFonts w:ascii="Times New Roman" w:hAnsi="Times New Roman" w:cs="Times New Roman"/>
        </w:rPr>
        <w:t xml:space="preserve"> systems was 37% lower than traditional practices and the difference was statistically significant. In chili, </w:t>
      </w:r>
      <w:proofErr w:type="spellStart"/>
      <w:r w:rsidRPr="00527D42">
        <w:rPr>
          <w:rFonts w:ascii="Times New Roman" w:hAnsi="Times New Roman" w:cs="Times New Roman"/>
        </w:rPr>
        <w:t>cocodust</w:t>
      </w:r>
      <w:proofErr w:type="spellEnd"/>
      <w:r w:rsidRPr="00527D42">
        <w:rPr>
          <w:rFonts w:ascii="Times New Roman" w:hAnsi="Times New Roman" w:cs="Times New Roman"/>
        </w:rPr>
        <w:t xml:space="preserve"> adoption resulted in a 34% reduction in labor cost, which was also statistically significant.</w:t>
      </w:r>
      <w:r w:rsidR="00CC0685">
        <w:rPr>
          <w:rFonts w:ascii="Times New Roman" w:hAnsi="Times New Roman" w:cs="Times New Roman"/>
        </w:rPr>
        <w:t xml:space="preserve"> </w:t>
      </w:r>
      <w:r w:rsidRPr="00527D42">
        <w:rPr>
          <w:rFonts w:ascii="Times New Roman" w:hAnsi="Times New Roman" w:cs="Times New Roman"/>
        </w:rPr>
        <w:t>For country bean, labor cost declined by 2</w:t>
      </w:r>
      <w:r w:rsidR="006747A1">
        <w:rPr>
          <w:rFonts w:ascii="Times New Roman" w:hAnsi="Times New Roman" w:cs="Times New Roman"/>
        </w:rPr>
        <w:t>7</w:t>
      </w:r>
      <w:r w:rsidRPr="00527D42">
        <w:rPr>
          <w:rFonts w:ascii="Times New Roman" w:hAnsi="Times New Roman" w:cs="Times New Roman"/>
        </w:rPr>
        <w:t xml:space="preserve">% under </w:t>
      </w:r>
      <w:proofErr w:type="spellStart"/>
      <w:r w:rsidRPr="00527D42">
        <w:rPr>
          <w:rFonts w:ascii="Times New Roman" w:hAnsi="Times New Roman" w:cs="Times New Roman"/>
        </w:rPr>
        <w:t>cocodust</w:t>
      </w:r>
      <w:proofErr w:type="spellEnd"/>
      <w:r w:rsidRPr="00527D42">
        <w:rPr>
          <w:rFonts w:ascii="Times New Roman" w:hAnsi="Times New Roman" w:cs="Times New Roman"/>
        </w:rPr>
        <w:t xml:space="preserve"> systems and the difference was statistically significant. Similarly, tomato exhibited a 2</w:t>
      </w:r>
      <w:r w:rsidR="006747A1">
        <w:rPr>
          <w:rFonts w:ascii="Times New Roman" w:hAnsi="Times New Roman" w:cs="Times New Roman"/>
        </w:rPr>
        <w:t>6</w:t>
      </w:r>
      <w:r w:rsidRPr="00527D42">
        <w:rPr>
          <w:rFonts w:ascii="Times New Roman" w:hAnsi="Times New Roman" w:cs="Times New Roman"/>
        </w:rPr>
        <w:t xml:space="preserve">% significant reduction in labor cost with </w:t>
      </w:r>
      <w:proofErr w:type="spellStart"/>
      <w:r w:rsidRPr="00527D42">
        <w:rPr>
          <w:rFonts w:ascii="Times New Roman" w:hAnsi="Times New Roman" w:cs="Times New Roman"/>
        </w:rPr>
        <w:t>cocodust</w:t>
      </w:r>
      <w:proofErr w:type="spellEnd"/>
      <w:r w:rsidRPr="00527D42">
        <w:rPr>
          <w:rFonts w:ascii="Times New Roman" w:hAnsi="Times New Roman" w:cs="Times New Roman"/>
        </w:rPr>
        <w:t xml:space="preserve"> nursery use.</w:t>
      </w:r>
    </w:p>
    <w:p w14:paraId="7C526C4D" w14:textId="62E82521" w:rsidR="006C05BF" w:rsidRPr="006C05BF" w:rsidRDefault="00153E92" w:rsidP="00CA26EA">
      <w:pPr>
        <w:spacing w:after="0" w:line="360" w:lineRule="auto"/>
        <w:rPr>
          <w:rFonts w:ascii="Times New Roman" w:hAnsi="Times New Roman" w:cs="Times New Roman"/>
          <w:b/>
          <w:bCs/>
        </w:rPr>
      </w:pPr>
      <w:r>
        <w:rPr>
          <w:rFonts w:ascii="Times New Roman" w:hAnsi="Times New Roman" w:cs="Times New Roman"/>
          <w:b/>
          <w:bCs/>
        </w:rPr>
        <w:t xml:space="preserve">3.8 </w:t>
      </w:r>
      <w:r w:rsidR="006C05BF" w:rsidRPr="006C05BF">
        <w:rPr>
          <w:rFonts w:ascii="Times New Roman" w:hAnsi="Times New Roman" w:cs="Times New Roman"/>
          <w:b/>
          <w:bCs/>
        </w:rPr>
        <w:t>Intercultural operation cost</w:t>
      </w:r>
    </w:p>
    <w:p w14:paraId="2FB74F17" w14:textId="3ED28AE5" w:rsidR="00D315AC" w:rsidRDefault="00D315AC" w:rsidP="00CA26EA">
      <w:pPr>
        <w:spacing w:after="0" w:line="360" w:lineRule="auto"/>
        <w:jc w:val="both"/>
        <w:rPr>
          <w:rFonts w:ascii="Times New Roman" w:hAnsi="Times New Roman" w:cs="Times New Roman"/>
        </w:rPr>
      </w:pPr>
      <w:r w:rsidRPr="00D315AC">
        <w:rPr>
          <w:rFonts w:ascii="Times New Roman" w:hAnsi="Times New Roman" w:cs="Times New Roman"/>
        </w:rPr>
        <w:t xml:space="preserve">Intercultural operation cost per decimal was substantially lower for </w:t>
      </w:r>
      <w:proofErr w:type="spellStart"/>
      <w:r w:rsidRPr="00D315AC">
        <w:rPr>
          <w:rFonts w:ascii="Times New Roman" w:hAnsi="Times New Roman" w:cs="Times New Roman"/>
        </w:rPr>
        <w:t>cocodust</w:t>
      </w:r>
      <w:proofErr w:type="spellEnd"/>
      <w:r w:rsidRPr="00D315AC">
        <w:rPr>
          <w:rFonts w:ascii="Times New Roman" w:hAnsi="Times New Roman" w:cs="Times New Roman"/>
        </w:rPr>
        <w:t xml:space="preserve">-based nursery users compared to traditional nursery users across all vegetable crops (Fig. </w:t>
      </w:r>
      <w:r w:rsidR="001A164C">
        <w:rPr>
          <w:rFonts w:ascii="Times New Roman" w:hAnsi="Times New Roman" w:cs="Times New Roman"/>
        </w:rPr>
        <w:t>8</w:t>
      </w:r>
      <w:r w:rsidRPr="00D315AC">
        <w:rPr>
          <w:rFonts w:ascii="Times New Roman" w:hAnsi="Times New Roman" w:cs="Times New Roman"/>
        </w:rPr>
        <w:t xml:space="preserve">), indicating reduced management intensity under </w:t>
      </w:r>
      <w:proofErr w:type="spellStart"/>
      <w:r w:rsidRPr="00D315AC">
        <w:rPr>
          <w:rFonts w:ascii="Times New Roman" w:hAnsi="Times New Roman" w:cs="Times New Roman"/>
        </w:rPr>
        <w:t>cocodust</w:t>
      </w:r>
      <w:proofErr w:type="spellEnd"/>
      <w:r w:rsidRPr="00D315AC">
        <w:rPr>
          <w:rFonts w:ascii="Times New Roman" w:hAnsi="Times New Roman" w:cs="Times New Roman"/>
        </w:rPr>
        <w:t xml:space="preserve"> systems.</w:t>
      </w:r>
    </w:p>
    <w:p w14:paraId="381981D4" w14:textId="36A6AD06" w:rsidR="00CE0F0C" w:rsidRDefault="00CE0F0C" w:rsidP="00CA26EA">
      <w:pPr>
        <w:spacing w:after="0" w:line="360" w:lineRule="auto"/>
        <w:jc w:val="center"/>
        <w:rPr>
          <w:rFonts w:ascii="Times New Roman" w:hAnsi="Times New Roman" w:cs="Times New Roman"/>
        </w:rPr>
      </w:pPr>
      <w:r>
        <w:rPr>
          <w:noProof/>
          <w:lang w:val="en-GB" w:eastAsia="en-GB"/>
        </w:rPr>
        <w:lastRenderedPageBreak/>
        <w:drawing>
          <wp:inline distT="0" distB="0" distL="0" distR="0" wp14:anchorId="33489D84" wp14:editId="03CF9EBC">
            <wp:extent cx="4595191" cy="2743200"/>
            <wp:effectExtent l="0" t="0" r="15240" b="0"/>
            <wp:docPr id="1762657292" name="Chart 1">
              <a:extLst xmlns:a="http://schemas.openxmlformats.org/drawingml/2006/main">
                <a:ext uri="{FF2B5EF4-FFF2-40B4-BE49-F238E27FC236}">
                  <a16:creationId xmlns:a16="http://schemas.microsoft.com/office/drawing/2014/main" id="{8FDAB13A-08AC-4313-BAC0-91BC817367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B211B2" w14:textId="464B78BE" w:rsidR="00411F2E" w:rsidRPr="00D315AC" w:rsidRDefault="00411F2E" w:rsidP="00CA26EA">
      <w:pPr>
        <w:spacing w:after="0" w:line="360" w:lineRule="auto"/>
        <w:jc w:val="both"/>
        <w:rPr>
          <w:rFonts w:ascii="Times New Roman" w:hAnsi="Times New Roman" w:cs="Times New Roman"/>
        </w:rPr>
      </w:pPr>
      <w:r w:rsidRPr="001434FA">
        <w:rPr>
          <w:rFonts w:ascii="Times New Roman" w:hAnsi="Times New Roman" w:cs="Times New Roman"/>
          <w:b/>
          <w:bCs/>
        </w:rPr>
        <w:t xml:space="preserve">Fig. </w:t>
      </w:r>
      <w:r w:rsidR="001A164C">
        <w:rPr>
          <w:rFonts w:ascii="Times New Roman" w:hAnsi="Times New Roman" w:cs="Times New Roman"/>
          <w:b/>
          <w:bCs/>
        </w:rPr>
        <w:t>8</w:t>
      </w:r>
      <w:r w:rsidRPr="00396B16">
        <w:rPr>
          <w:rFonts w:ascii="Times New Roman" w:hAnsi="Times New Roman" w:cs="Times New Roman"/>
        </w:rPr>
        <w:t xml:space="preserve"> Intercultural operation cost (BDT per decimal) for </w:t>
      </w:r>
      <w:proofErr w:type="spellStart"/>
      <w:r w:rsidRPr="00396B16">
        <w:rPr>
          <w:rFonts w:ascii="Times New Roman" w:hAnsi="Times New Roman" w:cs="Times New Roman"/>
        </w:rPr>
        <w:t>cocodust</w:t>
      </w:r>
      <w:proofErr w:type="spellEnd"/>
      <w:r w:rsidRPr="00396B16">
        <w:rPr>
          <w:rFonts w:ascii="Times New Roman" w:hAnsi="Times New Roman" w:cs="Times New Roman"/>
        </w:rPr>
        <w:t xml:space="preserve">-based and traditional nursery systems across selected vegetables. Bars with different letters indicate significant differences at </w:t>
      </w:r>
      <w:r w:rsidRPr="00396B16">
        <w:rPr>
          <w:rFonts w:ascii="Times New Roman" w:hAnsi="Times New Roman" w:cs="Times New Roman"/>
          <w:i/>
          <w:iCs/>
        </w:rPr>
        <w:t>P</w:t>
      </w:r>
      <w:r w:rsidRPr="00396B16">
        <w:rPr>
          <w:rFonts w:ascii="Times New Roman" w:hAnsi="Times New Roman" w:cs="Times New Roman"/>
        </w:rPr>
        <w:t xml:space="preserve"> ≤ 0.05.</w:t>
      </w:r>
    </w:p>
    <w:p w14:paraId="0118987E" w14:textId="2777511A" w:rsidR="004B2B21" w:rsidRPr="004B2B21" w:rsidRDefault="004B2B21" w:rsidP="00CA26EA">
      <w:pPr>
        <w:spacing w:after="0" w:line="360" w:lineRule="auto"/>
        <w:jc w:val="both"/>
        <w:rPr>
          <w:rFonts w:ascii="Times New Roman" w:hAnsi="Times New Roman" w:cs="Times New Roman"/>
        </w:rPr>
      </w:pPr>
      <w:r w:rsidRPr="004B2B21">
        <w:rPr>
          <w:rFonts w:ascii="Times New Roman" w:hAnsi="Times New Roman" w:cs="Times New Roman"/>
        </w:rPr>
        <w:t xml:space="preserve">For bitter gourd, intercultural operation cost under </w:t>
      </w:r>
      <w:proofErr w:type="spellStart"/>
      <w:r w:rsidRPr="004B2B21">
        <w:rPr>
          <w:rFonts w:ascii="Times New Roman" w:hAnsi="Times New Roman" w:cs="Times New Roman"/>
        </w:rPr>
        <w:t>cocodust</w:t>
      </w:r>
      <w:proofErr w:type="spellEnd"/>
      <w:r w:rsidRPr="004B2B21">
        <w:rPr>
          <w:rFonts w:ascii="Times New Roman" w:hAnsi="Times New Roman" w:cs="Times New Roman"/>
        </w:rPr>
        <w:t xml:space="preserve"> systems was 4% lower than under traditional practices</w:t>
      </w:r>
      <w:r w:rsidR="003F67B6">
        <w:rPr>
          <w:rFonts w:ascii="Times New Roman" w:hAnsi="Times New Roman" w:cs="Times New Roman"/>
        </w:rPr>
        <w:t>.</w:t>
      </w:r>
      <w:r w:rsidRPr="004B2B21">
        <w:rPr>
          <w:rFonts w:ascii="Times New Roman" w:hAnsi="Times New Roman" w:cs="Times New Roman"/>
        </w:rPr>
        <w:t xml:space="preserve"> </w:t>
      </w:r>
      <w:r w:rsidR="003F67B6">
        <w:rPr>
          <w:rFonts w:ascii="Times New Roman" w:hAnsi="Times New Roman" w:cs="Times New Roman"/>
        </w:rPr>
        <w:t>H</w:t>
      </w:r>
      <w:r w:rsidRPr="004B2B21">
        <w:rPr>
          <w:rFonts w:ascii="Times New Roman" w:hAnsi="Times New Roman" w:cs="Times New Roman"/>
        </w:rPr>
        <w:t>owever, the difference was not statistically significant.</w:t>
      </w:r>
      <w:r w:rsidR="003F67B6">
        <w:rPr>
          <w:rFonts w:ascii="Times New Roman" w:hAnsi="Times New Roman" w:cs="Times New Roman"/>
        </w:rPr>
        <w:t xml:space="preserve"> </w:t>
      </w:r>
      <w:r w:rsidRPr="004B2B21">
        <w:rPr>
          <w:rFonts w:ascii="Times New Roman" w:hAnsi="Times New Roman" w:cs="Times New Roman"/>
        </w:rPr>
        <w:t xml:space="preserve">In contrast, bottle gourd exhibited a 10% reduction in intercultural operation cost under </w:t>
      </w:r>
      <w:proofErr w:type="spellStart"/>
      <w:r w:rsidRPr="004B2B21">
        <w:rPr>
          <w:rFonts w:ascii="Times New Roman" w:hAnsi="Times New Roman" w:cs="Times New Roman"/>
        </w:rPr>
        <w:t>cocodust</w:t>
      </w:r>
      <w:proofErr w:type="spellEnd"/>
      <w:r w:rsidRPr="004B2B21">
        <w:rPr>
          <w:rFonts w:ascii="Times New Roman" w:hAnsi="Times New Roman" w:cs="Times New Roman"/>
        </w:rPr>
        <w:t xml:space="preserve"> systems, and the difference was statistically significant. A similar significant reduction was observed for brinjal, where </w:t>
      </w:r>
      <w:proofErr w:type="spellStart"/>
      <w:r w:rsidRPr="004B2B21">
        <w:rPr>
          <w:rFonts w:ascii="Times New Roman" w:hAnsi="Times New Roman" w:cs="Times New Roman"/>
        </w:rPr>
        <w:t>cocodust</w:t>
      </w:r>
      <w:proofErr w:type="spellEnd"/>
      <w:r w:rsidRPr="004B2B21">
        <w:rPr>
          <w:rFonts w:ascii="Times New Roman" w:hAnsi="Times New Roman" w:cs="Times New Roman"/>
        </w:rPr>
        <w:t xml:space="preserve"> adoption reduced intercultural cost by 17% compared to traditional nurseries.</w:t>
      </w:r>
      <w:r w:rsidR="006747A1">
        <w:rPr>
          <w:rFonts w:ascii="Times New Roman" w:hAnsi="Times New Roman" w:cs="Times New Roman"/>
        </w:rPr>
        <w:t xml:space="preserve"> </w:t>
      </w:r>
      <w:r w:rsidRPr="004B2B21">
        <w:rPr>
          <w:rFonts w:ascii="Times New Roman" w:hAnsi="Times New Roman" w:cs="Times New Roman"/>
        </w:rPr>
        <w:t>A very pronounced and significant reduction was recorded for cabbage, with intercultural operation cost declining by 6</w:t>
      </w:r>
      <w:r w:rsidR="006747A1">
        <w:rPr>
          <w:rFonts w:ascii="Times New Roman" w:hAnsi="Times New Roman" w:cs="Times New Roman"/>
        </w:rPr>
        <w:t>4</w:t>
      </w:r>
      <w:r w:rsidRPr="004B2B21">
        <w:rPr>
          <w:rFonts w:ascii="Times New Roman" w:hAnsi="Times New Roman" w:cs="Times New Roman"/>
        </w:rPr>
        <w:t xml:space="preserve">% under </w:t>
      </w:r>
      <w:proofErr w:type="spellStart"/>
      <w:r w:rsidRPr="004B2B21">
        <w:rPr>
          <w:rFonts w:ascii="Times New Roman" w:hAnsi="Times New Roman" w:cs="Times New Roman"/>
        </w:rPr>
        <w:t>cocodust</w:t>
      </w:r>
      <w:proofErr w:type="spellEnd"/>
      <w:r w:rsidRPr="004B2B21">
        <w:rPr>
          <w:rFonts w:ascii="Times New Roman" w:hAnsi="Times New Roman" w:cs="Times New Roman"/>
        </w:rPr>
        <w:t xml:space="preserve"> systems. Likewise, cauliflower showed a 6</w:t>
      </w:r>
      <w:r w:rsidR="006747A1">
        <w:rPr>
          <w:rFonts w:ascii="Times New Roman" w:hAnsi="Times New Roman" w:cs="Times New Roman"/>
        </w:rPr>
        <w:t>4</w:t>
      </w:r>
      <w:r w:rsidRPr="004B2B21">
        <w:rPr>
          <w:rFonts w:ascii="Times New Roman" w:hAnsi="Times New Roman" w:cs="Times New Roman"/>
        </w:rPr>
        <w:t xml:space="preserve">% significant reduction, reflecting substantially lower management requirements under </w:t>
      </w:r>
      <w:proofErr w:type="spellStart"/>
      <w:r w:rsidRPr="004B2B21">
        <w:rPr>
          <w:rFonts w:ascii="Times New Roman" w:hAnsi="Times New Roman" w:cs="Times New Roman"/>
        </w:rPr>
        <w:t>cocodust</w:t>
      </w:r>
      <w:proofErr w:type="spellEnd"/>
      <w:r w:rsidRPr="004B2B21">
        <w:rPr>
          <w:rFonts w:ascii="Times New Roman" w:hAnsi="Times New Roman" w:cs="Times New Roman"/>
        </w:rPr>
        <w:t xml:space="preserve"> based cultivation.</w:t>
      </w:r>
      <w:r w:rsidR="004B104C">
        <w:rPr>
          <w:rFonts w:ascii="Times New Roman" w:hAnsi="Times New Roman" w:cs="Times New Roman"/>
        </w:rPr>
        <w:t xml:space="preserve"> </w:t>
      </w:r>
      <w:r w:rsidRPr="004B2B21">
        <w:rPr>
          <w:rFonts w:ascii="Times New Roman" w:hAnsi="Times New Roman" w:cs="Times New Roman"/>
        </w:rPr>
        <w:t>For chili, intercultural operation cost was reduced by 4</w:t>
      </w:r>
      <w:r w:rsidR="006747A1">
        <w:rPr>
          <w:rFonts w:ascii="Times New Roman" w:hAnsi="Times New Roman" w:cs="Times New Roman"/>
        </w:rPr>
        <w:t>8</w:t>
      </w:r>
      <w:r w:rsidRPr="004B2B21">
        <w:rPr>
          <w:rFonts w:ascii="Times New Roman" w:hAnsi="Times New Roman" w:cs="Times New Roman"/>
        </w:rPr>
        <w:t xml:space="preserve">% under </w:t>
      </w:r>
      <w:proofErr w:type="spellStart"/>
      <w:r w:rsidRPr="004B2B21">
        <w:rPr>
          <w:rFonts w:ascii="Times New Roman" w:hAnsi="Times New Roman" w:cs="Times New Roman"/>
        </w:rPr>
        <w:t>cocodust</w:t>
      </w:r>
      <w:proofErr w:type="spellEnd"/>
      <w:r w:rsidRPr="004B2B21">
        <w:rPr>
          <w:rFonts w:ascii="Times New Roman" w:hAnsi="Times New Roman" w:cs="Times New Roman"/>
        </w:rPr>
        <w:t xml:space="preserve"> systems, and the difference was statistically significant. In country bean, </w:t>
      </w:r>
      <w:proofErr w:type="spellStart"/>
      <w:r w:rsidRPr="004B2B21">
        <w:rPr>
          <w:rFonts w:ascii="Times New Roman" w:hAnsi="Times New Roman" w:cs="Times New Roman"/>
        </w:rPr>
        <w:t>cocodust</w:t>
      </w:r>
      <w:proofErr w:type="spellEnd"/>
      <w:r w:rsidRPr="004B2B21">
        <w:rPr>
          <w:rFonts w:ascii="Times New Roman" w:hAnsi="Times New Roman" w:cs="Times New Roman"/>
        </w:rPr>
        <w:t xml:space="preserve"> adoption lowered intercultural cost by 4</w:t>
      </w:r>
      <w:r w:rsidR="006747A1">
        <w:rPr>
          <w:rFonts w:ascii="Times New Roman" w:hAnsi="Times New Roman" w:cs="Times New Roman"/>
        </w:rPr>
        <w:t>3</w:t>
      </w:r>
      <w:r w:rsidR="004B104C" w:rsidRPr="004B2B21">
        <w:rPr>
          <w:rFonts w:ascii="Times New Roman" w:hAnsi="Times New Roman" w:cs="Times New Roman"/>
        </w:rPr>
        <w:t>%</w:t>
      </w:r>
      <w:r w:rsidR="004B104C">
        <w:rPr>
          <w:rFonts w:ascii="Times New Roman" w:hAnsi="Times New Roman" w:cs="Times New Roman"/>
        </w:rPr>
        <w:t xml:space="preserve"> </w:t>
      </w:r>
      <w:r w:rsidR="004B104C" w:rsidRPr="004B2B21">
        <w:rPr>
          <w:rFonts w:ascii="Times New Roman" w:hAnsi="Times New Roman" w:cs="Times New Roman"/>
        </w:rPr>
        <w:t>also</w:t>
      </w:r>
      <w:r w:rsidRPr="004B2B21">
        <w:rPr>
          <w:rFonts w:ascii="Times New Roman" w:hAnsi="Times New Roman" w:cs="Times New Roman"/>
        </w:rPr>
        <w:t xml:space="preserve"> showing a statistically significant difference.</w:t>
      </w:r>
      <w:r w:rsidR="004B104C">
        <w:rPr>
          <w:rFonts w:ascii="Times New Roman" w:hAnsi="Times New Roman" w:cs="Times New Roman"/>
        </w:rPr>
        <w:t xml:space="preserve"> </w:t>
      </w:r>
      <w:r w:rsidRPr="004B2B21">
        <w:rPr>
          <w:rFonts w:ascii="Times New Roman" w:hAnsi="Times New Roman" w:cs="Times New Roman"/>
        </w:rPr>
        <w:t xml:space="preserve">Similarly, tomato exhibited a 34% reduction in intercultural operation cost under </w:t>
      </w:r>
      <w:proofErr w:type="spellStart"/>
      <w:r w:rsidRPr="004B2B21">
        <w:rPr>
          <w:rFonts w:ascii="Times New Roman" w:hAnsi="Times New Roman" w:cs="Times New Roman"/>
        </w:rPr>
        <w:t>cocodust</w:t>
      </w:r>
      <w:proofErr w:type="spellEnd"/>
      <w:r w:rsidRPr="004B2B21">
        <w:rPr>
          <w:rFonts w:ascii="Times New Roman" w:hAnsi="Times New Roman" w:cs="Times New Roman"/>
        </w:rPr>
        <w:t xml:space="preserve"> systems and the difference was statistically significant.</w:t>
      </w:r>
    </w:p>
    <w:p w14:paraId="5C2C4FEA" w14:textId="1534832E" w:rsidR="006C05BF" w:rsidRPr="006C05BF" w:rsidRDefault="001A164C" w:rsidP="00CA26EA">
      <w:pPr>
        <w:spacing w:after="0" w:line="360" w:lineRule="auto"/>
        <w:rPr>
          <w:rFonts w:ascii="Times New Roman" w:hAnsi="Times New Roman" w:cs="Times New Roman"/>
          <w:b/>
          <w:bCs/>
        </w:rPr>
      </w:pPr>
      <w:r>
        <w:rPr>
          <w:rFonts w:ascii="Times New Roman" w:hAnsi="Times New Roman" w:cs="Times New Roman"/>
          <w:b/>
          <w:bCs/>
        </w:rPr>
        <w:t xml:space="preserve">3.9 </w:t>
      </w:r>
      <w:r w:rsidR="006C05BF" w:rsidRPr="006C05BF">
        <w:rPr>
          <w:rFonts w:ascii="Times New Roman" w:hAnsi="Times New Roman" w:cs="Times New Roman"/>
          <w:b/>
          <w:bCs/>
        </w:rPr>
        <w:t>Total production cost</w:t>
      </w:r>
    </w:p>
    <w:p w14:paraId="0574B266" w14:textId="76174533" w:rsidR="00B57069" w:rsidRDefault="00B57069" w:rsidP="00CA26EA">
      <w:pPr>
        <w:spacing w:after="0" w:line="360" w:lineRule="auto"/>
        <w:jc w:val="both"/>
        <w:rPr>
          <w:rFonts w:ascii="Times New Roman" w:hAnsi="Times New Roman" w:cs="Times New Roman"/>
        </w:rPr>
      </w:pPr>
      <w:r w:rsidRPr="00B57069">
        <w:rPr>
          <w:rFonts w:ascii="Times New Roman" w:hAnsi="Times New Roman" w:cs="Times New Roman"/>
        </w:rPr>
        <w:t xml:space="preserve">Total production cost per decimal was consistently and significantly lower for </w:t>
      </w:r>
      <w:proofErr w:type="spellStart"/>
      <w:r w:rsidRPr="00B57069">
        <w:rPr>
          <w:rFonts w:ascii="Times New Roman" w:hAnsi="Times New Roman" w:cs="Times New Roman"/>
        </w:rPr>
        <w:t>cocodust</w:t>
      </w:r>
      <w:proofErr w:type="spellEnd"/>
      <w:r w:rsidRPr="00B57069">
        <w:rPr>
          <w:rFonts w:ascii="Times New Roman" w:hAnsi="Times New Roman" w:cs="Times New Roman"/>
        </w:rPr>
        <w:t xml:space="preserve">-based nursery users compared to traditional nursery users across all vegetable crops (Fig. </w:t>
      </w:r>
      <w:r w:rsidR="001A164C">
        <w:rPr>
          <w:rFonts w:ascii="Times New Roman" w:hAnsi="Times New Roman" w:cs="Times New Roman"/>
        </w:rPr>
        <w:t>9</w:t>
      </w:r>
      <w:r w:rsidRPr="00B57069">
        <w:rPr>
          <w:rFonts w:ascii="Times New Roman" w:hAnsi="Times New Roman" w:cs="Times New Roman"/>
        </w:rPr>
        <w:t>), reflecting the cumulative effect of reductions in multiple input cost components.</w:t>
      </w:r>
    </w:p>
    <w:p w14:paraId="2099E7CE" w14:textId="33C81209" w:rsidR="00CE0F0C" w:rsidRDefault="0068604A" w:rsidP="00CA26EA">
      <w:pPr>
        <w:spacing w:after="0" w:line="360" w:lineRule="auto"/>
        <w:jc w:val="center"/>
        <w:rPr>
          <w:rFonts w:ascii="Times New Roman" w:hAnsi="Times New Roman" w:cs="Times New Roman"/>
        </w:rPr>
      </w:pPr>
      <w:r>
        <w:rPr>
          <w:noProof/>
          <w:lang w:val="en-GB" w:eastAsia="en-GB"/>
        </w:rPr>
        <w:lastRenderedPageBreak/>
        <w:drawing>
          <wp:inline distT="0" distB="0" distL="0" distR="0" wp14:anchorId="1D68BDEF" wp14:editId="564B4B6C">
            <wp:extent cx="4595191" cy="2743200"/>
            <wp:effectExtent l="0" t="0" r="15240" b="0"/>
            <wp:docPr id="1206067646" name="Chart 1">
              <a:extLst xmlns:a="http://schemas.openxmlformats.org/drawingml/2006/main">
                <a:ext uri="{FF2B5EF4-FFF2-40B4-BE49-F238E27FC236}">
                  <a16:creationId xmlns:a16="http://schemas.microsoft.com/office/drawing/2014/main" id="{23296E35-4716-45CD-BB20-874D9B3564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5EDC41" w14:textId="75AA4049" w:rsidR="001434FA" w:rsidRPr="00B57069" w:rsidRDefault="001434FA" w:rsidP="00CA26EA">
      <w:pPr>
        <w:spacing w:after="0" w:line="360" w:lineRule="auto"/>
        <w:jc w:val="both"/>
        <w:rPr>
          <w:rFonts w:ascii="Times New Roman" w:hAnsi="Times New Roman" w:cs="Times New Roman"/>
        </w:rPr>
      </w:pPr>
      <w:r w:rsidRPr="001434FA">
        <w:rPr>
          <w:rFonts w:ascii="Times New Roman" w:hAnsi="Times New Roman" w:cs="Times New Roman"/>
          <w:b/>
          <w:bCs/>
        </w:rPr>
        <w:t xml:space="preserve">Fig. </w:t>
      </w:r>
      <w:r w:rsidR="001A164C">
        <w:rPr>
          <w:rFonts w:ascii="Times New Roman" w:hAnsi="Times New Roman" w:cs="Times New Roman"/>
          <w:b/>
          <w:bCs/>
        </w:rPr>
        <w:t>9</w:t>
      </w:r>
      <w:r w:rsidRPr="00E153E6">
        <w:rPr>
          <w:rFonts w:ascii="Times New Roman" w:hAnsi="Times New Roman" w:cs="Times New Roman"/>
        </w:rPr>
        <w:t xml:space="preserve"> Total production cost (BDT per decimal) for </w:t>
      </w:r>
      <w:proofErr w:type="spellStart"/>
      <w:r w:rsidRPr="00E153E6">
        <w:rPr>
          <w:rFonts w:ascii="Times New Roman" w:hAnsi="Times New Roman" w:cs="Times New Roman"/>
        </w:rPr>
        <w:t>cocodust</w:t>
      </w:r>
      <w:proofErr w:type="spellEnd"/>
      <w:r w:rsidRPr="00E153E6">
        <w:rPr>
          <w:rFonts w:ascii="Times New Roman" w:hAnsi="Times New Roman" w:cs="Times New Roman"/>
        </w:rPr>
        <w:t xml:space="preserve">-based and traditional nursery systems across selected vegetables. Bars with different letters indicate significant differences at </w:t>
      </w:r>
      <w:r w:rsidRPr="00E153E6">
        <w:rPr>
          <w:rFonts w:ascii="Times New Roman" w:hAnsi="Times New Roman" w:cs="Times New Roman"/>
          <w:i/>
          <w:iCs/>
        </w:rPr>
        <w:t>P</w:t>
      </w:r>
      <w:r w:rsidRPr="00E153E6">
        <w:rPr>
          <w:rFonts w:ascii="Times New Roman" w:hAnsi="Times New Roman" w:cs="Times New Roman"/>
        </w:rPr>
        <w:t xml:space="preserve"> ≤ 0.05.</w:t>
      </w:r>
    </w:p>
    <w:p w14:paraId="10D6D069" w14:textId="36E2CDB5" w:rsidR="00AF7604" w:rsidRPr="00AF7604" w:rsidRDefault="00AF7604" w:rsidP="00CA26EA">
      <w:pPr>
        <w:spacing w:after="0" w:line="360" w:lineRule="auto"/>
        <w:jc w:val="both"/>
        <w:rPr>
          <w:rFonts w:ascii="Times New Roman" w:hAnsi="Times New Roman" w:cs="Times New Roman"/>
        </w:rPr>
      </w:pPr>
      <w:r w:rsidRPr="00AF7604">
        <w:rPr>
          <w:rFonts w:ascii="Times New Roman" w:hAnsi="Times New Roman" w:cs="Times New Roman"/>
        </w:rPr>
        <w:t xml:space="preserve">For bitter gourd, total production cost under </w:t>
      </w:r>
      <w:proofErr w:type="spellStart"/>
      <w:r w:rsidRPr="00AF7604">
        <w:rPr>
          <w:rFonts w:ascii="Times New Roman" w:hAnsi="Times New Roman" w:cs="Times New Roman"/>
        </w:rPr>
        <w:t>cocodust</w:t>
      </w:r>
      <w:proofErr w:type="spellEnd"/>
      <w:r w:rsidRPr="00AF7604">
        <w:rPr>
          <w:rFonts w:ascii="Times New Roman" w:hAnsi="Times New Roman" w:cs="Times New Roman"/>
        </w:rPr>
        <w:t xml:space="preserve"> systems was 14% lower than under traditional nursery practices, and the difference was statistically significant. A larger and significant reduction was observed for bottle gourd, where </w:t>
      </w:r>
      <w:proofErr w:type="spellStart"/>
      <w:r w:rsidRPr="00AF7604">
        <w:rPr>
          <w:rFonts w:ascii="Times New Roman" w:hAnsi="Times New Roman" w:cs="Times New Roman"/>
        </w:rPr>
        <w:t>cocodust</w:t>
      </w:r>
      <w:proofErr w:type="spellEnd"/>
      <w:r w:rsidRPr="00AF7604">
        <w:rPr>
          <w:rFonts w:ascii="Times New Roman" w:hAnsi="Times New Roman" w:cs="Times New Roman"/>
        </w:rPr>
        <w:t xml:space="preserve"> adoption reduced total production cost by 2</w:t>
      </w:r>
      <w:r w:rsidR="00DC3713">
        <w:rPr>
          <w:rFonts w:ascii="Times New Roman" w:hAnsi="Times New Roman" w:cs="Times New Roman"/>
        </w:rPr>
        <w:t>4</w:t>
      </w:r>
      <w:r w:rsidRPr="00AF7604">
        <w:rPr>
          <w:rFonts w:ascii="Times New Roman" w:hAnsi="Times New Roman" w:cs="Times New Roman"/>
        </w:rPr>
        <w:t>% compared to traditional practices.</w:t>
      </w:r>
      <w:r w:rsidR="00424746">
        <w:rPr>
          <w:rFonts w:ascii="Times New Roman" w:hAnsi="Times New Roman" w:cs="Times New Roman"/>
        </w:rPr>
        <w:t xml:space="preserve"> </w:t>
      </w:r>
      <w:r w:rsidRPr="00AF7604">
        <w:rPr>
          <w:rFonts w:ascii="Times New Roman" w:hAnsi="Times New Roman" w:cs="Times New Roman"/>
        </w:rPr>
        <w:t xml:space="preserve">In brinjal, </w:t>
      </w:r>
      <w:proofErr w:type="spellStart"/>
      <w:r w:rsidRPr="00AF7604">
        <w:rPr>
          <w:rFonts w:ascii="Times New Roman" w:hAnsi="Times New Roman" w:cs="Times New Roman"/>
        </w:rPr>
        <w:t>cocodust</w:t>
      </w:r>
      <w:proofErr w:type="spellEnd"/>
      <w:r w:rsidRPr="00AF7604">
        <w:rPr>
          <w:rFonts w:ascii="Times New Roman" w:hAnsi="Times New Roman" w:cs="Times New Roman"/>
        </w:rPr>
        <w:t xml:space="preserve"> based cultivation lowered total production cost by 17%, and the difference was statistically significant. Similarly, cabbage exhibited a pronounced and significant reduction of 2</w:t>
      </w:r>
      <w:r w:rsidR="00DC3713">
        <w:rPr>
          <w:rFonts w:ascii="Times New Roman" w:hAnsi="Times New Roman" w:cs="Times New Roman"/>
        </w:rPr>
        <w:t>3</w:t>
      </w:r>
      <w:r w:rsidRPr="00AF7604">
        <w:rPr>
          <w:rFonts w:ascii="Times New Roman" w:hAnsi="Times New Roman" w:cs="Times New Roman"/>
        </w:rPr>
        <w:t xml:space="preserve">% in total production cost under </w:t>
      </w:r>
      <w:proofErr w:type="spellStart"/>
      <w:r w:rsidRPr="00AF7604">
        <w:rPr>
          <w:rFonts w:ascii="Times New Roman" w:hAnsi="Times New Roman" w:cs="Times New Roman"/>
        </w:rPr>
        <w:t>cocodust</w:t>
      </w:r>
      <w:proofErr w:type="spellEnd"/>
      <w:r w:rsidRPr="00AF7604">
        <w:rPr>
          <w:rFonts w:ascii="Times New Roman" w:hAnsi="Times New Roman" w:cs="Times New Roman"/>
        </w:rPr>
        <w:t xml:space="preserve"> systems.</w:t>
      </w:r>
      <w:r w:rsidR="00DB4391">
        <w:rPr>
          <w:rFonts w:ascii="Times New Roman" w:hAnsi="Times New Roman" w:cs="Times New Roman"/>
        </w:rPr>
        <w:t xml:space="preserve"> </w:t>
      </w:r>
      <w:r w:rsidRPr="00AF7604">
        <w:rPr>
          <w:rFonts w:ascii="Times New Roman" w:hAnsi="Times New Roman" w:cs="Times New Roman"/>
        </w:rPr>
        <w:t>For cauliflower, total production cost declined by 2</w:t>
      </w:r>
      <w:r w:rsidR="00DC3713">
        <w:rPr>
          <w:rFonts w:ascii="Times New Roman" w:hAnsi="Times New Roman" w:cs="Times New Roman"/>
        </w:rPr>
        <w:t>2</w:t>
      </w:r>
      <w:r w:rsidRPr="00AF7604">
        <w:rPr>
          <w:rFonts w:ascii="Times New Roman" w:hAnsi="Times New Roman" w:cs="Times New Roman"/>
        </w:rPr>
        <w:t xml:space="preserve">% under </w:t>
      </w:r>
      <w:proofErr w:type="spellStart"/>
      <w:r w:rsidRPr="00AF7604">
        <w:rPr>
          <w:rFonts w:ascii="Times New Roman" w:hAnsi="Times New Roman" w:cs="Times New Roman"/>
        </w:rPr>
        <w:t>cocodust</w:t>
      </w:r>
      <w:proofErr w:type="spellEnd"/>
      <w:r w:rsidRPr="00AF7604">
        <w:rPr>
          <w:rFonts w:ascii="Times New Roman" w:hAnsi="Times New Roman" w:cs="Times New Roman"/>
        </w:rPr>
        <w:t xml:space="preserve"> adoption, showing a statistically significant difference. In chili, </w:t>
      </w:r>
      <w:proofErr w:type="spellStart"/>
      <w:r w:rsidRPr="00AF7604">
        <w:rPr>
          <w:rFonts w:ascii="Times New Roman" w:hAnsi="Times New Roman" w:cs="Times New Roman"/>
        </w:rPr>
        <w:t>cocodust</w:t>
      </w:r>
      <w:proofErr w:type="spellEnd"/>
      <w:r w:rsidRPr="00AF7604">
        <w:rPr>
          <w:rFonts w:ascii="Times New Roman" w:hAnsi="Times New Roman" w:cs="Times New Roman"/>
        </w:rPr>
        <w:t xml:space="preserve"> based cultivation reduced total production cost by 16% compared to traditional nurseries, and the difference was statistically significant.</w:t>
      </w:r>
      <w:r w:rsidR="00DB4391">
        <w:rPr>
          <w:rFonts w:ascii="Times New Roman" w:hAnsi="Times New Roman" w:cs="Times New Roman"/>
        </w:rPr>
        <w:t xml:space="preserve"> </w:t>
      </w:r>
      <w:r w:rsidRPr="00AF7604">
        <w:rPr>
          <w:rFonts w:ascii="Times New Roman" w:hAnsi="Times New Roman" w:cs="Times New Roman"/>
        </w:rPr>
        <w:t xml:space="preserve">In country bean, </w:t>
      </w:r>
      <w:proofErr w:type="spellStart"/>
      <w:r w:rsidRPr="00AF7604">
        <w:rPr>
          <w:rFonts w:ascii="Times New Roman" w:hAnsi="Times New Roman" w:cs="Times New Roman"/>
        </w:rPr>
        <w:t>cocodust</w:t>
      </w:r>
      <w:proofErr w:type="spellEnd"/>
      <w:r w:rsidRPr="00AF7604">
        <w:rPr>
          <w:rFonts w:ascii="Times New Roman" w:hAnsi="Times New Roman" w:cs="Times New Roman"/>
        </w:rPr>
        <w:t xml:space="preserve"> adoption resulted in a 19% significant reduction in total production cost. Likewise, tomato showed a 1</w:t>
      </w:r>
      <w:r w:rsidR="00DC3713">
        <w:rPr>
          <w:rFonts w:ascii="Times New Roman" w:hAnsi="Times New Roman" w:cs="Times New Roman"/>
        </w:rPr>
        <w:t>6</w:t>
      </w:r>
      <w:r w:rsidRPr="00AF7604">
        <w:rPr>
          <w:rFonts w:ascii="Times New Roman" w:hAnsi="Times New Roman" w:cs="Times New Roman"/>
        </w:rPr>
        <w:t xml:space="preserve">% statistically significant reduction in total production cost under </w:t>
      </w:r>
      <w:proofErr w:type="spellStart"/>
      <w:r w:rsidRPr="00AF7604">
        <w:rPr>
          <w:rFonts w:ascii="Times New Roman" w:hAnsi="Times New Roman" w:cs="Times New Roman"/>
        </w:rPr>
        <w:t>cocodust</w:t>
      </w:r>
      <w:proofErr w:type="spellEnd"/>
      <w:r w:rsidRPr="00AF7604">
        <w:rPr>
          <w:rFonts w:ascii="Times New Roman" w:hAnsi="Times New Roman" w:cs="Times New Roman"/>
        </w:rPr>
        <w:t xml:space="preserve"> systems.</w:t>
      </w:r>
    </w:p>
    <w:p w14:paraId="23107CFB" w14:textId="22DF7D67" w:rsidR="006C05BF" w:rsidRPr="006C05BF" w:rsidRDefault="001A164C" w:rsidP="00CA26EA">
      <w:pPr>
        <w:spacing w:after="0" w:line="360" w:lineRule="auto"/>
        <w:rPr>
          <w:rFonts w:ascii="Times New Roman" w:hAnsi="Times New Roman" w:cs="Times New Roman"/>
          <w:b/>
          <w:bCs/>
        </w:rPr>
      </w:pPr>
      <w:r>
        <w:rPr>
          <w:rFonts w:ascii="Times New Roman" w:hAnsi="Times New Roman" w:cs="Times New Roman"/>
          <w:b/>
          <w:bCs/>
        </w:rPr>
        <w:t xml:space="preserve">3.10 </w:t>
      </w:r>
      <w:r w:rsidR="006C05BF" w:rsidRPr="006C05BF">
        <w:rPr>
          <w:rFonts w:ascii="Times New Roman" w:hAnsi="Times New Roman" w:cs="Times New Roman"/>
          <w:b/>
          <w:bCs/>
        </w:rPr>
        <w:t>Net profit</w:t>
      </w:r>
    </w:p>
    <w:p w14:paraId="5A420172" w14:textId="512017F0" w:rsidR="00D72D10" w:rsidRDefault="00D72D10" w:rsidP="00CA26EA">
      <w:pPr>
        <w:spacing w:after="0" w:line="360" w:lineRule="auto"/>
        <w:jc w:val="both"/>
        <w:rPr>
          <w:rFonts w:ascii="Times New Roman" w:hAnsi="Times New Roman" w:cs="Times New Roman"/>
        </w:rPr>
      </w:pPr>
      <w:r w:rsidRPr="00D72D10">
        <w:rPr>
          <w:rFonts w:ascii="Times New Roman" w:hAnsi="Times New Roman" w:cs="Times New Roman"/>
        </w:rPr>
        <w:t xml:space="preserve">Net profit per decimal was significantly higher for </w:t>
      </w:r>
      <w:proofErr w:type="spellStart"/>
      <w:r w:rsidRPr="00D72D10">
        <w:rPr>
          <w:rFonts w:ascii="Times New Roman" w:hAnsi="Times New Roman" w:cs="Times New Roman"/>
        </w:rPr>
        <w:t>cocodust</w:t>
      </w:r>
      <w:proofErr w:type="spellEnd"/>
      <w:r w:rsidRPr="00D72D10">
        <w:rPr>
          <w:rFonts w:ascii="Times New Roman" w:hAnsi="Times New Roman" w:cs="Times New Roman"/>
        </w:rPr>
        <w:t xml:space="preserve">-based nursery users compared to traditional nursery users across all vegetable crops (Fig. </w:t>
      </w:r>
      <w:r w:rsidR="001A164C">
        <w:rPr>
          <w:rFonts w:ascii="Times New Roman" w:hAnsi="Times New Roman" w:cs="Times New Roman"/>
        </w:rPr>
        <w:t>10</w:t>
      </w:r>
      <w:r w:rsidRPr="00D72D10">
        <w:rPr>
          <w:rFonts w:ascii="Times New Roman" w:hAnsi="Times New Roman" w:cs="Times New Roman"/>
        </w:rPr>
        <w:t>), reflecting the combined effects of lower total production costs and improved productivity.</w:t>
      </w:r>
    </w:p>
    <w:p w14:paraId="371B5184" w14:textId="64EF07CE" w:rsidR="0068604A" w:rsidRDefault="0068604A" w:rsidP="00CA26EA">
      <w:pPr>
        <w:spacing w:after="0" w:line="360" w:lineRule="auto"/>
        <w:jc w:val="center"/>
        <w:rPr>
          <w:rFonts w:ascii="Times New Roman" w:hAnsi="Times New Roman" w:cs="Times New Roman"/>
        </w:rPr>
      </w:pPr>
      <w:r>
        <w:rPr>
          <w:noProof/>
          <w:lang w:val="en-GB" w:eastAsia="en-GB"/>
        </w:rPr>
        <w:lastRenderedPageBreak/>
        <w:drawing>
          <wp:inline distT="0" distB="0" distL="0" distR="0" wp14:anchorId="410B452C" wp14:editId="686992EE">
            <wp:extent cx="4595191" cy="2743200"/>
            <wp:effectExtent l="0" t="0" r="15240" b="0"/>
            <wp:docPr id="1060702593" name="Chart 1">
              <a:extLst xmlns:a="http://schemas.openxmlformats.org/drawingml/2006/main">
                <a:ext uri="{FF2B5EF4-FFF2-40B4-BE49-F238E27FC236}">
                  <a16:creationId xmlns:a16="http://schemas.microsoft.com/office/drawing/2014/main" id="{8C9FFB9F-FDCF-4EEF-8467-9DA84566A2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68FA76" w14:textId="0714507B" w:rsidR="001434FA" w:rsidRPr="00D72D10" w:rsidRDefault="001434FA" w:rsidP="00CA26EA">
      <w:pPr>
        <w:spacing w:after="0" w:line="360" w:lineRule="auto"/>
        <w:jc w:val="both"/>
        <w:rPr>
          <w:rFonts w:ascii="Times New Roman" w:hAnsi="Times New Roman" w:cs="Times New Roman"/>
        </w:rPr>
      </w:pPr>
      <w:r w:rsidRPr="001434FA">
        <w:rPr>
          <w:rFonts w:ascii="Times New Roman" w:hAnsi="Times New Roman" w:cs="Times New Roman"/>
          <w:b/>
          <w:bCs/>
        </w:rPr>
        <w:t xml:space="preserve">Fig. </w:t>
      </w:r>
      <w:r w:rsidR="001A164C">
        <w:rPr>
          <w:rFonts w:ascii="Times New Roman" w:hAnsi="Times New Roman" w:cs="Times New Roman"/>
          <w:b/>
          <w:bCs/>
        </w:rPr>
        <w:t>10</w:t>
      </w:r>
      <w:r>
        <w:rPr>
          <w:rFonts w:ascii="Times New Roman" w:hAnsi="Times New Roman" w:cs="Times New Roman"/>
        </w:rPr>
        <w:t xml:space="preserve"> </w:t>
      </w:r>
      <w:r w:rsidRPr="00E153E6">
        <w:rPr>
          <w:rFonts w:ascii="Times New Roman" w:hAnsi="Times New Roman" w:cs="Times New Roman"/>
        </w:rPr>
        <w:t xml:space="preserve">Net profit (BDT per decimal) for </w:t>
      </w:r>
      <w:proofErr w:type="spellStart"/>
      <w:r w:rsidRPr="00E153E6">
        <w:rPr>
          <w:rFonts w:ascii="Times New Roman" w:hAnsi="Times New Roman" w:cs="Times New Roman"/>
        </w:rPr>
        <w:t>cocodust</w:t>
      </w:r>
      <w:proofErr w:type="spellEnd"/>
      <w:r w:rsidRPr="00E153E6">
        <w:rPr>
          <w:rFonts w:ascii="Times New Roman" w:hAnsi="Times New Roman" w:cs="Times New Roman"/>
        </w:rPr>
        <w:t xml:space="preserve">-based and traditional nursery systems across selected vegetables. Bars with different letters indicate significant differences at </w:t>
      </w:r>
      <w:r w:rsidRPr="00E153E6">
        <w:rPr>
          <w:rFonts w:ascii="Times New Roman" w:hAnsi="Times New Roman" w:cs="Times New Roman"/>
          <w:i/>
          <w:iCs/>
        </w:rPr>
        <w:t>P</w:t>
      </w:r>
      <w:r w:rsidRPr="00E153E6">
        <w:rPr>
          <w:rFonts w:ascii="Times New Roman" w:hAnsi="Times New Roman" w:cs="Times New Roman"/>
        </w:rPr>
        <w:t xml:space="preserve"> ≤ 0.05.</w:t>
      </w:r>
    </w:p>
    <w:p w14:paraId="7C50E67D" w14:textId="557DE527" w:rsidR="00133205" w:rsidRPr="00133205" w:rsidRDefault="00133205" w:rsidP="00CA26EA">
      <w:pPr>
        <w:spacing w:after="0" w:line="360" w:lineRule="auto"/>
        <w:jc w:val="both"/>
        <w:rPr>
          <w:rFonts w:ascii="Times New Roman" w:hAnsi="Times New Roman" w:cs="Times New Roman"/>
        </w:rPr>
      </w:pPr>
      <w:r w:rsidRPr="00133205">
        <w:rPr>
          <w:rFonts w:ascii="Times New Roman" w:hAnsi="Times New Roman" w:cs="Times New Roman"/>
        </w:rPr>
        <w:t xml:space="preserve">For bitter gourd, net profit under </w:t>
      </w:r>
      <w:proofErr w:type="spellStart"/>
      <w:r w:rsidRPr="00133205">
        <w:rPr>
          <w:rFonts w:ascii="Times New Roman" w:hAnsi="Times New Roman" w:cs="Times New Roman"/>
        </w:rPr>
        <w:t>cocodust</w:t>
      </w:r>
      <w:proofErr w:type="spellEnd"/>
      <w:r w:rsidRPr="00133205">
        <w:rPr>
          <w:rFonts w:ascii="Times New Roman" w:hAnsi="Times New Roman" w:cs="Times New Roman"/>
        </w:rPr>
        <w:t xml:space="preserve"> systems was </w:t>
      </w:r>
      <w:r w:rsidR="00DC3713">
        <w:rPr>
          <w:rFonts w:ascii="Times New Roman" w:hAnsi="Times New Roman" w:cs="Times New Roman"/>
        </w:rPr>
        <w:t>60</w:t>
      </w:r>
      <w:r w:rsidRPr="00133205">
        <w:rPr>
          <w:rFonts w:ascii="Times New Roman" w:hAnsi="Times New Roman" w:cs="Times New Roman"/>
        </w:rPr>
        <w:t xml:space="preserve">% higher than under traditional nursery practices (2632 vs. 1648 BDT), and the difference was statistically significant. A similar and significant increase was observed for bottle gourd, where </w:t>
      </w:r>
      <w:proofErr w:type="spellStart"/>
      <w:r w:rsidRPr="00133205">
        <w:rPr>
          <w:rFonts w:ascii="Times New Roman" w:hAnsi="Times New Roman" w:cs="Times New Roman"/>
        </w:rPr>
        <w:t>cocodust</w:t>
      </w:r>
      <w:proofErr w:type="spellEnd"/>
      <w:r w:rsidRPr="00133205">
        <w:rPr>
          <w:rFonts w:ascii="Times New Roman" w:hAnsi="Times New Roman" w:cs="Times New Roman"/>
        </w:rPr>
        <w:t xml:space="preserve"> adoption increased net profit by 4</w:t>
      </w:r>
      <w:r w:rsidR="00DC3713">
        <w:rPr>
          <w:rFonts w:ascii="Times New Roman" w:hAnsi="Times New Roman" w:cs="Times New Roman"/>
        </w:rPr>
        <w:t>7</w:t>
      </w:r>
      <w:r w:rsidRPr="00133205">
        <w:rPr>
          <w:rFonts w:ascii="Times New Roman" w:hAnsi="Times New Roman" w:cs="Times New Roman"/>
        </w:rPr>
        <w:t>% compared to traditional practices (3261 vs. 2221 BDT).</w:t>
      </w:r>
      <w:r w:rsidR="00F6216A">
        <w:rPr>
          <w:rFonts w:ascii="Times New Roman" w:hAnsi="Times New Roman" w:cs="Times New Roman"/>
        </w:rPr>
        <w:t xml:space="preserve"> </w:t>
      </w:r>
      <w:r w:rsidRPr="00133205">
        <w:rPr>
          <w:rFonts w:ascii="Times New Roman" w:hAnsi="Times New Roman" w:cs="Times New Roman"/>
        </w:rPr>
        <w:t xml:space="preserve">In brinjal, </w:t>
      </w:r>
      <w:proofErr w:type="spellStart"/>
      <w:r w:rsidRPr="00133205">
        <w:rPr>
          <w:rFonts w:ascii="Times New Roman" w:hAnsi="Times New Roman" w:cs="Times New Roman"/>
        </w:rPr>
        <w:t>cocodust</w:t>
      </w:r>
      <w:proofErr w:type="spellEnd"/>
      <w:r w:rsidRPr="00133205">
        <w:rPr>
          <w:rFonts w:ascii="Times New Roman" w:hAnsi="Times New Roman" w:cs="Times New Roman"/>
        </w:rPr>
        <w:t xml:space="preserve"> based cultivation resulted in a 46% statistically significant increase in net profit. For cabbage, net profit increased by 6</w:t>
      </w:r>
      <w:r w:rsidR="00DC3713">
        <w:rPr>
          <w:rFonts w:ascii="Times New Roman" w:hAnsi="Times New Roman" w:cs="Times New Roman"/>
        </w:rPr>
        <w:t>1</w:t>
      </w:r>
      <w:r w:rsidRPr="00133205">
        <w:rPr>
          <w:rFonts w:ascii="Times New Roman" w:hAnsi="Times New Roman" w:cs="Times New Roman"/>
        </w:rPr>
        <w:t xml:space="preserve">% under </w:t>
      </w:r>
      <w:proofErr w:type="spellStart"/>
      <w:r w:rsidRPr="00133205">
        <w:rPr>
          <w:rFonts w:ascii="Times New Roman" w:hAnsi="Times New Roman" w:cs="Times New Roman"/>
        </w:rPr>
        <w:t>cocodust</w:t>
      </w:r>
      <w:proofErr w:type="spellEnd"/>
      <w:r w:rsidRPr="00133205">
        <w:rPr>
          <w:rFonts w:ascii="Times New Roman" w:hAnsi="Times New Roman" w:cs="Times New Roman"/>
        </w:rPr>
        <w:t xml:space="preserve"> systems, showing a statistically significant improvement.</w:t>
      </w:r>
      <w:r w:rsidR="002F530D">
        <w:rPr>
          <w:rFonts w:ascii="Times New Roman" w:hAnsi="Times New Roman" w:cs="Times New Roman"/>
        </w:rPr>
        <w:t xml:space="preserve"> </w:t>
      </w:r>
      <w:r w:rsidRPr="00133205">
        <w:rPr>
          <w:rFonts w:ascii="Times New Roman" w:hAnsi="Times New Roman" w:cs="Times New Roman"/>
        </w:rPr>
        <w:t xml:space="preserve">A comparable pattern was observed for cauliflower, where </w:t>
      </w:r>
      <w:proofErr w:type="spellStart"/>
      <w:r w:rsidRPr="00133205">
        <w:rPr>
          <w:rFonts w:ascii="Times New Roman" w:hAnsi="Times New Roman" w:cs="Times New Roman"/>
        </w:rPr>
        <w:t>cocodust</w:t>
      </w:r>
      <w:proofErr w:type="spellEnd"/>
      <w:r w:rsidRPr="00133205">
        <w:rPr>
          <w:rFonts w:ascii="Times New Roman" w:hAnsi="Times New Roman" w:cs="Times New Roman"/>
        </w:rPr>
        <w:t xml:space="preserve"> adoption increased net profit by 4</w:t>
      </w:r>
      <w:r w:rsidR="00DC3713">
        <w:rPr>
          <w:rFonts w:ascii="Times New Roman" w:hAnsi="Times New Roman" w:cs="Times New Roman"/>
        </w:rPr>
        <w:t>9</w:t>
      </w:r>
      <w:r w:rsidRPr="00133205">
        <w:rPr>
          <w:rFonts w:ascii="Times New Roman" w:hAnsi="Times New Roman" w:cs="Times New Roman"/>
        </w:rPr>
        <w:t>% compared to traditional nursery systems, and the difference was statistically significant.</w:t>
      </w:r>
      <w:r w:rsidR="002F530D">
        <w:rPr>
          <w:rFonts w:ascii="Times New Roman" w:hAnsi="Times New Roman" w:cs="Times New Roman"/>
        </w:rPr>
        <w:t xml:space="preserve"> </w:t>
      </w:r>
      <w:r w:rsidRPr="00133205">
        <w:rPr>
          <w:rFonts w:ascii="Times New Roman" w:hAnsi="Times New Roman" w:cs="Times New Roman"/>
        </w:rPr>
        <w:t xml:space="preserve">For chili, </w:t>
      </w:r>
      <w:proofErr w:type="spellStart"/>
      <w:r w:rsidRPr="00133205">
        <w:rPr>
          <w:rFonts w:ascii="Times New Roman" w:hAnsi="Times New Roman" w:cs="Times New Roman"/>
        </w:rPr>
        <w:t>cocodust</w:t>
      </w:r>
      <w:proofErr w:type="spellEnd"/>
      <w:r w:rsidRPr="00133205">
        <w:rPr>
          <w:rFonts w:ascii="Times New Roman" w:hAnsi="Times New Roman" w:cs="Times New Roman"/>
        </w:rPr>
        <w:t xml:space="preserve"> based cultivation generated a 29% significant increase in net profit. Likewise, country bean exhibited a pronounced and significant net profit increase of 55% under </w:t>
      </w:r>
      <w:proofErr w:type="spellStart"/>
      <w:r w:rsidRPr="00133205">
        <w:rPr>
          <w:rFonts w:ascii="Times New Roman" w:hAnsi="Times New Roman" w:cs="Times New Roman"/>
        </w:rPr>
        <w:t>cocodust</w:t>
      </w:r>
      <w:proofErr w:type="spellEnd"/>
      <w:r w:rsidRPr="00133205">
        <w:rPr>
          <w:rFonts w:ascii="Times New Roman" w:hAnsi="Times New Roman" w:cs="Times New Roman"/>
        </w:rPr>
        <w:t xml:space="preserve"> systems.</w:t>
      </w:r>
      <w:r w:rsidR="002F530D">
        <w:rPr>
          <w:rFonts w:ascii="Times New Roman" w:hAnsi="Times New Roman" w:cs="Times New Roman"/>
        </w:rPr>
        <w:t xml:space="preserve"> </w:t>
      </w:r>
      <w:r w:rsidRPr="00133205">
        <w:rPr>
          <w:rFonts w:ascii="Times New Roman" w:hAnsi="Times New Roman" w:cs="Times New Roman"/>
        </w:rPr>
        <w:t xml:space="preserve">In tomato, </w:t>
      </w:r>
      <w:proofErr w:type="spellStart"/>
      <w:r w:rsidRPr="00133205">
        <w:rPr>
          <w:rFonts w:ascii="Times New Roman" w:hAnsi="Times New Roman" w:cs="Times New Roman"/>
        </w:rPr>
        <w:t>cocodust</w:t>
      </w:r>
      <w:proofErr w:type="spellEnd"/>
      <w:r w:rsidRPr="00133205">
        <w:rPr>
          <w:rFonts w:ascii="Times New Roman" w:hAnsi="Times New Roman" w:cs="Times New Roman"/>
        </w:rPr>
        <w:t xml:space="preserve"> adoption increased net profit by 37% compared to traditional nursery practices and the difference was statistically significant.</w:t>
      </w:r>
    </w:p>
    <w:p w14:paraId="5F2BC112" w14:textId="6F784508" w:rsidR="00832997" w:rsidRPr="00832997" w:rsidRDefault="001A164C" w:rsidP="00CA26EA">
      <w:pPr>
        <w:spacing w:after="0" w:line="360" w:lineRule="auto"/>
        <w:rPr>
          <w:rFonts w:ascii="Times New Roman" w:hAnsi="Times New Roman" w:cs="Times New Roman"/>
          <w:b/>
          <w:bCs/>
        </w:rPr>
      </w:pPr>
      <w:r>
        <w:rPr>
          <w:rFonts w:ascii="Times New Roman" w:hAnsi="Times New Roman" w:cs="Times New Roman"/>
          <w:b/>
          <w:bCs/>
        </w:rPr>
        <w:t xml:space="preserve">4 </w:t>
      </w:r>
      <w:r w:rsidR="006C05BF" w:rsidRPr="006C05BF">
        <w:rPr>
          <w:rFonts w:ascii="Times New Roman" w:hAnsi="Times New Roman" w:cs="Times New Roman"/>
          <w:b/>
          <w:bCs/>
        </w:rPr>
        <w:t>Discussion</w:t>
      </w:r>
    </w:p>
    <w:p w14:paraId="2C9ABB10" w14:textId="77777777" w:rsidR="00832997" w:rsidRPr="00832997" w:rsidRDefault="00832997" w:rsidP="00CA26EA">
      <w:pPr>
        <w:spacing w:after="0" w:line="360" w:lineRule="auto"/>
        <w:jc w:val="both"/>
        <w:rPr>
          <w:rFonts w:ascii="Times New Roman" w:hAnsi="Times New Roman" w:cs="Times New Roman"/>
        </w:rPr>
      </w:pPr>
      <w:r w:rsidRPr="00832997">
        <w:rPr>
          <w:rFonts w:ascii="Times New Roman" w:hAnsi="Times New Roman" w:cs="Times New Roman"/>
        </w:rPr>
        <w:t xml:space="preserve">This study provides a rigorous economic evaluation of </w:t>
      </w:r>
      <w:proofErr w:type="spellStart"/>
      <w:r w:rsidRPr="00832997">
        <w:rPr>
          <w:rFonts w:ascii="Times New Roman" w:hAnsi="Times New Roman" w:cs="Times New Roman"/>
        </w:rPr>
        <w:t>cocodust</w:t>
      </w:r>
      <w:proofErr w:type="spellEnd"/>
      <w:r w:rsidRPr="00832997">
        <w:rPr>
          <w:rFonts w:ascii="Times New Roman" w:hAnsi="Times New Roman" w:cs="Times New Roman"/>
        </w:rPr>
        <w:t xml:space="preserve"> nursery technology in vegetable production systems of northern Bangladesh. By comparing </w:t>
      </w:r>
      <w:proofErr w:type="spellStart"/>
      <w:r w:rsidRPr="00832997">
        <w:rPr>
          <w:rFonts w:ascii="Times New Roman" w:hAnsi="Times New Roman" w:cs="Times New Roman"/>
        </w:rPr>
        <w:t>cocodust</w:t>
      </w:r>
      <w:proofErr w:type="spellEnd"/>
      <w:r w:rsidRPr="00832997">
        <w:rPr>
          <w:rFonts w:ascii="Times New Roman" w:hAnsi="Times New Roman" w:cs="Times New Roman"/>
        </w:rPr>
        <w:t xml:space="preserve">-based seedling management with conventional soil-based nurseries across multiple crops, the results demonstrate clear economic advantages associated with </w:t>
      </w:r>
      <w:proofErr w:type="spellStart"/>
      <w:r w:rsidRPr="00832997">
        <w:rPr>
          <w:rFonts w:ascii="Times New Roman" w:hAnsi="Times New Roman" w:cs="Times New Roman"/>
        </w:rPr>
        <w:t>cocodust</w:t>
      </w:r>
      <w:proofErr w:type="spellEnd"/>
      <w:r w:rsidRPr="00832997">
        <w:rPr>
          <w:rFonts w:ascii="Times New Roman" w:hAnsi="Times New Roman" w:cs="Times New Roman"/>
        </w:rPr>
        <w:t xml:space="preserve"> adoption. These advantages arise through multi-</w:t>
      </w:r>
      <w:r w:rsidRPr="00832997">
        <w:rPr>
          <w:rFonts w:ascii="Times New Roman" w:hAnsi="Times New Roman" w:cs="Times New Roman"/>
        </w:rPr>
        <w:lastRenderedPageBreak/>
        <w:t>factor cost savings and enhanced profitability at the production level, supporting broader efforts to improve smallholder vegetable farming efficiency.</w:t>
      </w:r>
    </w:p>
    <w:p w14:paraId="47072164" w14:textId="62164A64" w:rsidR="00832997" w:rsidRPr="00832997" w:rsidRDefault="0076211B" w:rsidP="00CA26EA">
      <w:pPr>
        <w:spacing w:after="0" w:line="360" w:lineRule="auto"/>
        <w:jc w:val="both"/>
        <w:rPr>
          <w:rFonts w:ascii="Times New Roman" w:hAnsi="Times New Roman" w:cs="Times New Roman"/>
          <w:b/>
          <w:bCs/>
        </w:rPr>
      </w:pPr>
      <w:bookmarkStart w:id="0" w:name="_Hlk219041101"/>
      <w:r>
        <w:rPr>
          <w:rFonts w:ascii="Times New Roman" w:hAnsi="Times New Roman" w:cs="Times New Roman"/>
          <w:b/>
          <w:bCs/>
        </w:rPr>
        <w:t xml:space="preserve">4.1 </w:t>
      </w:r>
      <w:r w:rsidR="00832997" w:rsidRPr="00832997">
        <w:rPr>
          <w:rFonts w:ascii="Times New Roman" w:hAnsi="Times New Roman" w:cs="Times New Roman"/>
          <w:b/>
          <w:bCs/>
        </w:rPr>
        <w:t>Land Preparation Cost</w:t>
      </w:r>
    </w:p>
    <w:p w14:paraId="7798C53A" w14:textId="24CC175B" w:rsidR="00832997" w:rsidRPr="00832997" w:rsidRDefault="00832997" w:rsidP="00CA26EA">
      <w:pPr>
        <w:spacing w:after="0" w:line="360" w:lineRule="auto"/>
        <w:jc w:val="both"/>
        <w:rPr>
          <w:rFonts w:ascii="Times New Roman" w:hAnsi="Times New Roman" w:cs="Times New Roman"/>
        </w:rPr>
      </w:pPr>
      <w:proofErr w:type="spellStart"/>
      <w:r w:rsidRPr="00832997">
        <w:rPr>
          <w:rFonts w:ascii="Times New Roman" w:hAnsi="Times New Roman" w:cs="Times New Roman"/>
        </w:rPr>
        <w:t>Cocodust</w:t>
      </w:r>
      <w:proofErr w:type="spellEnd"/>
      <w:r w:rsidRPr="00832997">
        <w:rPr>
          <w:rFonts w:ascii="Times New Roman" w:hAnsi="Times New Roman" w:cs="Times New Roman"/>
        </w:rPr>
        <w:t xml:space="preserve"> nursery adoption did not uniformly reduce land preparation costs across all vegetables, with significant decreases observed only in selected crops such as cabbage and country bean. These results are aligned with previous observations that improved seedling vigor can reduce the need for intensive soil tillage and repeated soil preparation </w:t>
      </w:r>
      <w:r w:rsidR="001064A2" w:rsidRPr="000A12A2">
        <w:rPr>
          <w:rFonts w:ascii="Times New Roman" w:hAnsi="Times New Roman" w:cs="Times New Roman"/>
        </w:rPr>
        <w:t>(Haque et al.</w:t>
      </w:r>
      <w:r w:rsidR="007918CA">
        <w:rPr>
          <w:rFonts w:ascii="Times New Roman" w:hAnsi="Times New Roman" w:cs="Times New Roman"/>
        </w:rPr>
        <w:t>,</w:t>
      </w:r>
      <w:r w:rsidR="001064A2" w:rsidRPr="000A12A2">
        <w:rPr>
          <w:rFonts w:ascii="Times New Roman" w:hAnsi="Times New Roman" w:cs="Times New Roman"/>
        </w:rPr>
        <w:t xml:space="preserve"> 2008)</w:t>
      </w:r>
      <w:r w:rsidR="001064A2" w:rsidRPr="000A12A2">
        <w:t>.</w:t>
      </w:r>
      <w:r w:rsidR="001064A2" w:rsidRPr="00832997">
        <w:rPr>
          <w:rFonts w:ascii="Times New Roman" w:hAnsi="Times New Roman" w:cs="Times New Roman"/>
        </w:rPr>
        <w:t xml:space="preserve"> </w:t>
      </w:r>
      <w:r w:rsidRPr="00832997">
        <w:rPr>
          <w:rFonts w:ascii="Times New Roman" w:hAnsi="Times New Roman" w:cs="Times New Roman"/>
        </w:rPr>
        <w:t xml:space="preserve">Strong, healthy seedlings require less soil manipulation to ensure establishment, particularly for crops with relatively uniform transplant performance </w:t>
      </w:r>
      <w:r w:rsidR="001064A2">
        <w:rPr>
          <w:rFonts w:ascii="Times New Roman" w:hAnsi="Times New Roman" w:cs="Times New Roman"/>
        </w:rPr>
        <w:t>(Ellis et al., 1995</w:t>
      </w:r>
      <w:r w:rsidR="001064A2" w:rsidRPr="00832997">
        <w:rPr>
          <w:rFonts w:ascii="Times New Roman" w:hAnsi="Times New Roman" w:cs="Times New Roman"/>
        </w:rPr>
        <w:t>)</w:t>
      </w:r>
      <w:r w:rsidRPr="00832997">
        <w:rPr>
          <w:rFonts w:ascii="Times New Roman" w:hAnsi="Times New Roman" w:cs="Times New Roman"/>
        </w:rPr>
        <w:t>. However, for other crops, comparable land preparation costs indicate that initial soil preparation remains driven largely by field conditions and agronomic practices rather than by seedling quality alone.</w:t>
      </w:r>
    </w:p>
    <w:p w14:paraId="3AD34259" w14:textId="1E348565" w:rsidR="00832997" w:rsidRPr="00832997" w:rsidRDefault="0076211B" w:rsidP="00CA26EA">
      <w:pPr>
        <w:spacing w:after="0" w:line="360" w:lineRule="auto"/>
        <w:jc w:val="both"/>
        <w:rPr>
          <w:rFonts w:ascii="Times New Roman" w:hAnsi="Times New Roman" w:cs="Times New Roman"/>
          <w:b/>
          <w:bCs/>
        </w:rPr>
      </w:pPr>
      <w:r>
        <w:rPr>
          <w:rFonts w:ascii="Times New Roman" w:hAnsi="Times New Roman" w:cs="Times New Roman"/>
          <w:b/>
          <w:bCs/>
        </w:rPr>
        <w:t xml:space="preserve">4.2 </w:t>
      </w:r>
      <w:r w:rsidR="00832997" w:rsidRPr="00832997">
        <w:rPr>
          <w:rFonts w:ascii="Times New Roman" w:hAnsi="Times New Roman" w:cs="Times New Roman"/>
          <w:b/>
          <w:bCs/>
        </w:rPr>
        <w:t>Seedling Cost</w:t>
      </w:r>
    </w:p>
    <w:p w14:paraId="55A528F9" w14:textId="4BA00C32" w:rsidR="00832997" w:rsidRPr="00832997" w:rsidRDefault="00832997" w:rsidP="00CA26EA">
      <w:pPr>
        <w:spacing w:after="0" w:line="360" w:lineRule="auto"/>
        <w:jc w:val="both"/>
        <w:rPr>
          <w:rFonts w:ascii="Times New Roman" w:hAnsi="Times New Roman" w:cs="Times New Roman"/>
        </w:rPr>
      </w:pPr>
      <w:r w:rsidRPr="00832997">
        <w:rPr>
          <w:rFonts w:ascii="Times New Roman" w:hAnsi="Times New Roman" w:cs="Times New Roman"/>
        </w:rPr>
        <w:t xml:space="preserve">Seedling cost per decimal was generally higher under </w:t>
      </w:r>
      <w:proofErr w:type="spellStart"/>
      <w:r w:rsidRPr="00832997">
        <w:rPr>
          <w:rFonts w:ascii="Times New Roman" w:hAnsi="Times New Roman" w:cs="Times New Roman"/>
        </w:rPr>
        <w:t>cocodust</w:t>
      </w:r>
      <w:proofErr w:type="spellEnd"/>
      <w:r w:rsidRPr="00832997">
        <w:rPr>
          <w:rFonts w:ascii="Times New Roman" w:hAnsi="Times New Roman" w:cs="Times New Roman"/>
        </w:rPr>
        <w:t xml:space="preserve"> systems for most crops, reflecting the additional investment in tray-based production and high-quality growing media. This pattern confirms previous findings that soilless and controlled nursery systems often incur greater upfront costs </w:t>
      </w:r>
      <w:r w:rsidR="001064A2" w:rsidRPr="000A12A2">
        <w:rPr>
          <w:rFonts w:ascii="Times New Roman" w:hAnsi="Times New Roman" w:cs="Times New Roman"/>
        </w:rPr>
        <w:t>(Haque et al.</w:t>
      </w:r>
      <w:r w:rsidR="007918CA">
        <w:rPr>
          <w:rFonts w:ascii="Times New Roman" w:hAnsi="Times New Roman" w:cs="Times New Roman"/>
        </w:rPr>
        <w:t>,</w:t>
      </w:r>
      <w:r w:rsidR="001064A2" w:rsidRPr="000A12A2">
        <w:rPr>
          <w:rFonts w:ascii="Times New Roman" w:hAnsi="Times New Roman" w:cs="Times New Roman"/>
        </w:rPr>
        <w:t xml:space="preserve"> 2008)</w:t>
      </w:r>
      <w:r w:rsidR="001064A2" w:rsidRPr="000A12A2">
        <w:t>.</w:t>
      </w:r>
      <w:r w:rsidR="001064A2" w:rsidRPr="00832997">
        <w:rPr>
          <w:rFonts w:ascii="Times New Roman" w:hAnsi="Times New Roman" w:cs="Times New Roman"/>
        </w:rPr>
        <w:t xml:space="preserve"> </w:t>
      </w:r>
      <w:r w:rsidRPr="00832997">
        <w:rPr>
          <w:rFonts w:ascii="Times New Roman" w:hAnsi="Times New Roman" w:cs="Times New Roman"/>
        </w:rPr>
        <w:t xml:space="preserve">However, the economic logic for adopting higher-cost seedlings is compelling when viewed through the lens of production efficiency and long-term profitability: healthier seedlings typically exhibit stronger root systems, reduced transplant shock, and higher survival rates, which translate into downstream savings and yield stability </w:t>
      </w:r>
      <w:r w:rsidR="001064A2">
        <w:rPr>
          <w:rFonts w:ascii="Times New Roman" w:hAnsi="Times New Roman" w:cs="Times New Roman"/>
        </w:rPr>
        <w:t>(Mariotti et al., 2020, Evans et al.</w:t>
      </w:r>
      <w:r w:rsidR="007918CA">
        <w:rPr>
          <w:rFonts w:ascii="Times New Roman" w:hAnsi="Times New Roman" w:cs="Times New Roman"/>
        </w:rPr>
        <w:t>,</w:t>
      </w:r>
      <w:r w:rsidR="001064A2">
        <w:rPr>
          <w:rFonts w:ascii="Times New Roman" w:hAnsi="Times New Roman" w:cs="Times New Roman"/>
        </w:rPr>
        <w:t xml:space="preserve"> 1996</w:t>
      </w:r>
      <w:r w:rsidR="001064A2" w:rsidRPr="00832997">
        <w:rPr>
          <w:rFonts w:ascii="Times New Roman" w:hAnsi="Times New Roman" w:cs="Times New Roman"/>
        </w:rPr>
        <w:t>).</w:t>
      </w:r>
      <w:r w:rsidR="0016727F" w:rsidRPr="0016727F">
        <w:t xml:space="preserve"> </w:t>
      </w:r>
      <w:r w:rsidR="0016727F" w:rsidRPr="0016727F">
        <w:rPr>
          <w:rFonts w:ascii="Times New Roman" w:hAnsi="Times New Roman" w:cs="Times New Roman"/>
        </w:rPr>
        <w:t>Similar findings have been reported in recent vegetable nursery studies, which show that coir-based substrates produce more uniform seedlings with improved root architecture, leading to more predictable field performance and reduced management intensity (Martins et al., 2023).</w:t>
      </w:r>
      <w:r w:rsidR="0016727F">
        <w:rPr>
          <w:rFonts w:ascii="Times New Roman" w:hAnsi="Times New Roman" w:cs="Times New Roman"/>
        </w:rPr>
        <w:t xml:space="preserve"> </w:t>
      </w:r>
      <w:r w:rsidRPr="00832997">
        <w:rPr>
          <w:rFonts w:ascii="Times New Roman" w:hAnsi="Times New Roman" w:cs="Times New Roman"/>
        </w:rPr>
        <w:t xml:space="preserve">The notable exception for country bean, where </w:t>
      </w:r>
      <w:proofErr w:type="spellStart"/>
      <w:r w:rsidRPr="00832997">
        <w:rPr>
          <w:rFonts w:ascii="Times New Roman" w:hAnsi="Times New Roman" w:cs="Times New Roman"/>
        </w:rPr>
        <w:t>cocodust</w:t>
      </w:r>
      <w:proofErr w:type="spellEnd"/>
      <w:r w:rsidRPr="00832997">
        <w:rPr>
          <w:rFonts w:ascii="Times New Roman" w:hAnsi="Times New Roman" w:cs="Times New Roman"/>
        </w:rPr>
        <w:t xml:space="preserve"> seedling cost was lower, suggests crop-specific labor or material dynamics that merit further agronomic investigation.</w:t>
      </w:r>
    </w:p>
    <w:p w14:paraId="3C21ADBA" w14:textId="41F1D51D" w:rsidR="00832997" w:rsidRPr="00832997" w:rsidRDefault="0076211B" w:rsidP="00CA26EA">
      <w:pPr>
        <w:spacing w:after="0" w:line="360" w:lineRule="auto"/>
        <w:jc w:val="both"/>
        <w:rPr>
          <w:rFonts w:ascii="Times New Roman" w:hAnsi="Times New Roman" w:cs="Times New Roman"/>
          <w:b/>
          <w:bCs/>
        </w:rPr>
      </w:pPr>
      <w:r>
        <w:rPr>
          <w:rFonts w:ascii="Times New Roman" w:hAnsi="Times New Roman" w:cs="Times New Roman"/>
          <w:b/>
          <w:bCs/>
        </w:rPr>
        <w:t xml:space="preserve">4.3 </w:t>
      </w:r>
      <w:r w:rsidR="00832997" w:rsidRPr="00832997">
        <w:rPr>
          <w:rFonts w:ascii="Times New Roman" w:hAnsi="Times New Roman" w:cs="Times New Roman"/>
          <w:b/>
          <w:bCs/>
        </w:rPr>
        <w:t>Fertilizer and Pesticide Cost</w:t>
      </w:r>
    </w:p>
    <w:p w14:paraId="7312872B" w14:textId="327DB161" w:rsidR="00832997" w:rsidRPr="00832997" w:rsidRDefault="00832997" w:rsidP="00CA26EA">
      <w:pPr>
        <w:spacing w:after="0" w:line="360" w:lineRule="auto"/>
        <w:jc w:val="both"/>
        <w:rPr>
          <w:rFonts w:ascii="Times New Roman" w:hAnsi="Times New Roman" w:cs="Times New Roman"/>
        </w:rPr>
      </w:pPr>
      <w:r w:rsidRPr="00832997">
        <w:rPr>
          <w:rFonts w:ascii="Times New Roman" w:hAnsi="Times New Roman" w:cs="Times New Roman"/>
        </w:rPr>
        <w:t xml:space="preserve">One of the most consistent economic benefits of </w:t>
      </w:r>
      <w:proofErr w:type="spellStart"/>
      <w:r w:rsidRPr="00832997">
        <w:rPr>
          <w:rFonts w:ascii="Times New Roman" w:hAnsi="Times New Roman" w:cs="Times New Roman"/>
        </w:rPr>
        <w:t>cocodust</w:t>
      </w:r>
      <w:proofErr w:type="spellEnd"/>
      <w:r w:rsidRPr="00832997">
        <w:rPr>
          <w:rFonts w:ascii="Times New Roman" w:hAnsi="Times New Roman" w:cs="Times New Roman"/>
        </w:rPr>
        <w:t xml:space="preserve"> seedlings was observed in fertilizer and pesticide expenditure. Across all crops, </w:t>
      </w:r>
      <w:proofErr w:type="spellStart"/>
      <w:r w:rsidRPr="00832997">
        <w:rPr>
          <w:rFonts w:ascii="Times New Roman" w:hAnsi="Times New Roman" w:cs="Times New Roman"/>
        </w:rPr>
        <w:t>cocodust</w:t>
      </w:r>
      <w:proofErr w:type="spellEnd"/>
      <w:r w:rsidRPr="00832997">
        <w:rPr>
          <w:rFonts w:ascii="Times New Roman" w:hAnsi="Times New Roman" w:cs="Times New Roman"/>
        </w:rPr>
        <w:t xml:space="preserve"> users realized substantial reductions in fertilizer cost (18–38%) compared to traditional users. This aligns with evidence showing that seedlings with improved root architecture and vigor utilize nutrients more efficiently, requiring less supplemental fertilizer to achieve similar or higher yields </w:t>
      </w:r>
      <w:r w:rsidR="001064A2" w:rsidRPr="00832997">
        <w:rPr>
          <w:rFonts w:ascii="Times New Roman" w:hAnsi="Times New Roman" w:cs="Times New Roman"/>
        </w:rPr>
        <w:t>(</w:t>
      </w:r>
      <w:r w:rsidR="001064A2" w:rsidRPr="007918CA">
        <w:rPr>
          <w:rFonts w:ascii="Times New Roman" w:hAnsi="Times New Roman" w:cs="Times New Roman"/>
          <w:bCs/>
        </w:rPr>
        <w:t>Valenzuela</w:t>
      </w:r>
      <w:r w:rsidR="001064A2" w:rsidRPr="007918CA">
        <w:rPr>
          <w:rFonts w:ascii="Times New Roman" w:hAnsi="Times New Roman" w:cs="Times New Roman"/>
        </w:rPr>
        <w:t xml:space="preserve"> et al., 2024</w:t>
      </w:r>
      <w:r w:rsidR="001064A2" w:rsidRPr="00832997">
        <w:rPr>
          <w:rFonts w:ascii="Times New Roman" w:hAnsi="Times New Roman" w:cs="Times New Roman"/>
        </w:rPr>
        <w:t xml:space="preserve">). </w:t>
      </w:r>
      <w:r w:rsidRPr="00832997">
        <w:rPr>
          <w:rFonts w:ascii="Times New Roman" w:hAnsi="Times New Roman" w:cs="Times New Roman"/>
        </w:rPr>
        <w:t xml:space="preserve"> Lower pesticide costs for crops such as brinjal, cabbage, and bitter gourd reflect reduced pest and disease </w:t>
      </w:r>
      <w:r w:rsidRPr="00832997">
        <w:rPr>
          <w:rFonts w:ascii="Times New Roman" w:hAnsi="Times New Roman" w:cs="Times New Roman"/>
        </w:rPr>
        <w:lastRenderedPageBreak/>
        <w:t xml:space="preserve">incidence, likely owing to healthier early growth and reduced exposure to soil-borne pathogens </w:t>
      </w:r>
      <w:r w:rsidR="00714BE2" w:rsidRPr="001064A2">
        <w:rPr>
          <w:rFonts w:ascii="Times New Roman" w:hAnsi="Times New Roman" w:cs="Times New Roman"/>
        </w:rPr>
        <w:t>(Barrett et al.</w:t>
      </w:r>
      <w:r w:rsidR="007918CA">
        <w:rPr>
          <w:rFonts w:ascii="Times New Roman" w:hAnsi="Times New Roman" w:cs="Times New Roman"/>
        </w:rPr>
        <w:t>,</w:t>
      </w:r>
      <w:r w:rsidR="00714BE2" w:rsidRPr="001064A2">
        <w:rPr>
          <w:rFonts w:ascii="Times New Roman" w:hAnsi="Times New Roman" w:cs="Times New Roman"/>
        </w:rPr>
        <w:t xml:space="preserve"> 20</w:t>
      </w:r>
      <w:r w:rsidR="00997E02" w:rsidRPr="001064A2">
        <w:rPr>
          <w:rFonts w:ascii="Times New Roman" w:hAnsi="Times New Roman" w:cs="Times New Roman"/>
        </w:rPr>
        <w:t>16</w:t>
      </w:r>
      <w:r w:rsidR="00714BE2" w:rsidRPr="001064A2">
        <w:rPr>
          <w:rFonts w:ascii="Times New Roman" w:hAnsi="Times New Roman" w:cs="Times New Roman"/>
        </w:rPr>
        <w:t>)</w:t>
      </w:r>
      <w:r w:rsidRPr="001064A2">
        <w:rPr>
          <w:rFonts w:ascii="Times New Roman" w:hAnsi="Times New Roman" w:cs="Times New Roman"/>
        </w:rPr>
        <w:t>.</w:t>
      </w:r>
      <w:r w:rsidRPr="00832997">
        <w:rPr>
          <w:rFonts w:ascii="Times New Roman" w:hAnsi="Times New Roman" w:cs="Times New Roman"/>
        </w:rPr>
        <w:t xml:space="preserve"> These reductions not only benefit the bottom line but also align with sustainable intensification goals by minimizing agrochemical inputs.</w:t>
      </w:r>
      <w:r w:rsidR="0016727F" w:rsidRPr="0016727F">
        <w:t xml:space="preserve"> </w:t>
      </w:r>
      <w:r w:rsidR="0016727F" w:rsidRPr="0016727F">
        <w:rPr>
          <w:rFonts w:ascii="Times New Roman" w:hAnsi="Times New Roman" w:cs="Times New Roman"/>
        </w:rPr>
        <w:t xml:space="preserve">These results are consistent with recent evidence indicating that improved seedling quality enhances nutrient-use efficiency and reduces pest susceptibility, thereby lowering fertilizer and pesticide requirements in vegetable systems across developing-country contexts (He et al., 2022; </w:t>
      </w:r>
      <w:proofErr w:type="spellStart"/>
      <w:r w:rsidR="0016727F" w:rsidRPr="0016727F">
        <w:rPr>
          <w:rFonts w:ascii="Times New Roman" w:hAnsi="Times New Roman" w:cs="Times New Roman"/>
        </w:rPr>
        <w:t>Tuckeldoe</w:t>
      </w:r>
      <w:proofErr w:type="spellEnd"/>
      <w:r w:rsidR="0016727F" w:rsidRPr="0016727F">
        <w:rPr>
          <w:rFonts w:ascii="Times New Roman" w:hAnsi="Times New Roman" w:cs="Times New Roman"/>
        </w:rPr>
        <w:t xml:space="preserve"> et al., 2023).</w:t>
      </w:r>
    </w:p>
    <w:p w14:paraId="28D86B38" w14:textId="5F2B9A34" w:rsidR="00832997" w:rsidRPr="00832997" w:rsidRDefault="0076211B" w:rsidP="00CA26EA">
      <w:pPr>
        <w:spacing w:after="0" w:line="360" w:lineRule="auto"/>
        <w:jc w:val="both"/>
        <w:rPr>
          <w:rFonts w:ascii="Times New Roman" w:hAnsi="Times New Roman" w:cs="Times New Roman"/>
          <w:b/>
          <w:bCs/>
        </w:rPr>
      </w:pPr>
      <w:r>
        <w:rPr>
          <w:rFonts w:ascii="Times New Roman" w:hAnsi="Times New Roman" w:cs="Times New Roman"/>
          <w:b/>
          <w:bCs/>
        </w:rPr>
        <w:t xml:space="preserve">4.4 </w:t>
      </w:r>
      <w:r w:rsidR="00832997" w:rsidRPr="00832997">
        <w:rPr>
          <w:rFonts w:ascii="Times New Roman" w:hAnsi="Times New Roman" w:cs="Times New Roman"/>
          <w:b/>
          <w:bCs/>
        </w:rPr>
        <w:t>Irrigation and Structural Input Cost</w:t>
      </w:r>
    </w:p>
    <w:p w14:paraId="41C0213C" w14:textId="37D108A1" w:rsidR="00832997" w:rsidRPr="00832997" w:rsidRDefault="00832997" w:rsidP="00CA26EA">
      <w:pPr>
        <w:spacing w:after="0" w:line="360" w:lineRule="auto"/>
        <w:jc w:val="both"/>
        <w:rPr>
          <w:rFonts w:ascii="Times New Roman" w:hAnsi="Times New Roman" w:cs="Times New Roman"/>
        </w:rPr>
      </w:pPr>
      <w:r w:rsidRPr="00832997">
        <w:rPr>
          <w:rFonts w:ascii="Times New Roman" w:hAnsi="Times New Roman" w:cs="Times New Roman"/>
        </w:rPr>
        <w:t xml:space="preserve">The effects of </w:t>
      </w:r>
      <w:proofErr w:type="spellStart"/>
      <w:r w:rsidRPr="00832997">
        <w:rPr>
          <w:rFonts w:ascii="Times New Roman" w:hAnsi="Times New Roman" w:cs="Times New Roman"/>
        </w:rPr>
        <w:t>cocodust</w:t>
      </w:r>
      <w:proofErr w:type="spellEnd"/>
      <w:r w:rsidRPr="00832997">
        <w:rPr>
          <w:rFonts w:ascii="Times New Roman" w:hAnsi="Times New Roman" w:cs="Times New Roman"/>
        </w:rPr>
        <w:t xml:space="preserve"> adoption on irrigation cost were crop-specific. Significant reductions in crops such as cabbage and chili suggest improved water-use efficiency and root establishment, which have also been documented in soilless media studies (Gruda et al.</w:t>
      </w:r>
      <w:r w:rsidR="007918CA">
        <w:rPr>
          <w:rFonts w:ascii="Times New Roman" w:hAnsi="Times New Roman" w:cs="Times New Roman"/>
        </w:rPr>
        <w:t>,</w:t>
      </w:r>
      <w:r w:rsidRPr="00832997">
        <w:rPr>
          <w:rFonts w:ascii="Times New Roman" w:hAnsi="Times New Roman" w:cs="Times New Roman"/>
        </w:rPr>
        <w:t xml:space="preserve"> 20</w:t>
      </w:r>
      <w:r w:rsidR="001064A2">
        <w:rPr>
          <w:rFonts w:ascii="Times New Roman" w:hAnsi="Times New Roman" w:cs="Times New Roman"/>
        </w:rPr>
        <w:t>19</w:t>
      </w:r>
      <w:r w:rsidRPr="00832997">
        <w:rPr>
          <w:rFonts w:ascii="Times New Roman" w:hAnsi="Times New Roman" w:cs="Times New Roman"/>
        </w:rPr>
        <w:t>). Conversely, comparable or slightly higher irrigation costs in other crops may reflect field-level water management decisions that are independent of seedling origin.</w:t>
      </w:r>
      <w:r w:rsidR="005C1A6C">
        <w:rPr>
          <w:rFonts w:ascii="Times New Roman" w:hAnsi="Times New Roman" w:cs="Times New Roman"/>
        </w:rPr>
        <w:t xml:space="preserve"> </w:t>
      </w:r>
      <w:r w:rsidRPr="00832997">
        <w:rPr>
          <w:rFonts w:ascii="Times New Roman" w:hAnsi="Times New Roman" w:cs="Times New Roman"/>
        </w:rPr>
        <w:t xml:space="preserve">Pole and fence costs were significantly lower for climbing and vine crops under </w:t>
      </w:r>
      <w:proofErr w:type="spellStart"/>
      <w:r w:rsidRPr="00832997">
        <w:rPr>
          <w:rFonts w:ascii="Times New Roman" w:hAnsi="Times New Roman" w:cs="Times New Roman"/>
        </w:rPr>
        <w:t>cocodust</w:t>
      </w:r>
      <w:proofErr w:type="spellEnd"/>
      <w:r w:rsidRPr="00832997">
        <w:rPr>
          <w:rFonts w:ascii="Times New Roman" w:hAnsi="Times New Roman" w:cs="Times New Roman"/>
        </w:rPr>
        <w:t xml:space="preserve"> systems, indicating reduced labor and material inputs necessary to support plant structures. This outcome likely results from more uniform and predictable plant growth requiring less corrective staking. Similar structural cost savings have been reported where improved seedling quality reduces crop management burdens </w:t>
      </w:r>
      <w:r w:rsidR="001064A2" w:rsidRPr="00D41665">
        <w:rPr>
          <w:rFonts w:ascii="Times New Roman" w:hAnsi="Times New Roman" w:cs="Times New Roman"/>
        </w:rPr>
        <w:t>(Dash et al</w:t>
      </w:r>
      <w:r w:rsidR="007918CA">
        <w:rPr>
          <w:rFonts w:ascii="Times New Roman" w:hAnsi="Times New Roman" w:cs="Times New Roman"/>
        </w:rPr>
        <w:t>.,</w:t>
      </w:r>
      <w:r w:rsidR="001064A2" w:rsidRPr="00D41665">
        <w:rPr>
          <w:rFonts w:ascii="Times New Roman" w:hAnsi="Times New Roman" w:cs="Times New Roman"/>
        </w:rPr>
        <w:t xml:space="preserve"> 2020).</w:t>
      </w:r>
    </w:p>
    <w:p w14:paraId="02C7E413" w14:textId="5EE9BFE4" w:rsidR="00832997" w:rsidRPr="00832997" w:rsidRDefault="0076211B" w:rsidP="00CA26EA">
      <w:pPr>
        <w:spacing w:after="0" w:line="360" w:lineRule="auto"/>
        <w:jc w:val="both"/>
        <w:rPr>
          <w:rFonts w:ascii="Times New Roman" w:hAnsi="Times New Roman" w:cs="Times New Roman"/>
          <w:b/>
          <w:bCs/>
        </w:rPr>
      </w:pPr>
      <w:r>
        <w:rPr>
          <w:rFonts w:ascii="Times New Roman" w:hAnsi="Times New Roman" w:cs="Times New Roman"/>
          <w:b/>
          <w:bCs/>
        </w:rPr>
        <w:t xml:space="preserve">4.5 </w:t>
      </w:r>
      <w:r w:rsidR="00832997" w:rsidRPr="00832997">
        <w:rPr>
          <w:rFonts w:ascii="Times New Roman" w:hAnsi="Times New Roman" w:cs="Times New Roman"/>
          <w:b/>
          <w:bCs/>
        </w:rPr>
        <w:t>Labor and Intercultural Operation Cost</w:t>
      </w:r>
    </w:p>
    <w:p w14:paraId="4985683F" w14:textId="716EE476" w:rsidR="00832997" w:rsidRPr="00832997" w:rsidRDefault="00832997" w:rsidP="00CA26EA">
      <w:pPr>
        <w:spacing w:after="0" w:line="360" w:lineRule="auto"/>
        <w:jc w:val="both"/>
        <w:rPr>
          <w:rFonts w:ascii="Times New Roman" w:hAnsi="Times New Roman" w:cs="Times New Roman"/>
        </w:rPr>
      </w:pPr>
      <w:r w:rsidRPr="00832997">
        <w:rPr>
          <w:rFonts w:ascii="Times New Roman" w:hAnsi="Times New Roman" w:cs="Times New Roman"/>
        </w:rPr>
        <w:t xml:space="preserve">Labor cost was one of the largest contributors to total cost savings under </w:t>
      </w:r>
      <w:proofErr w:type="spellStart"/>
      <w:r w:rsidRPr="00832997">
        <w:rPr>
          <w:rFonts w:ascii="Times New Roman" w:hAnsi="Times New Roman" w:cs="Times New Roman"/>
        </w:rPr>
        <w:t>cocodust</w:t>
      </w:r>
      <w:proofErr w:type="spellEnd"/>
      <w:r w:rsidRPr="00832997">
        <w:rPr>
          <w:rFonts w:ascii="Times New Roman" w:hAnsi="Times New Roman" w:cs="Times New Roman"/>
        </w:rPr>
        <w:t xml:space="preserve"> systems, with reductions ranging from</w:t>
      </w:r>
      <w:r w:rsidR="00494703">
        <w:rPr>
          <w:rFonts w:ascii="Times New Roman" w:hAnsi="Times New Roman" w:cs="Times New Roman"/>
        </w:rPr>
        <w:t xml:space="preserve"> </w:t>
      </w:r>
      <w:r w:rsidRPr="00832997">
        <w:rPr>
          <w:rFonts w:ascii="Times New Roman" w:hAnsi="Times New Roman" w:cs="Times New Roman"/>
        </w:rPr>
        <w:t xml:space="preserve">16% to 40% across crops. Labor-intensive tasks such as weeding, gap filling, and routine cultural operations were consistently lower for </w:t>
      </w:r>
      <w:proofErr w:type="spellStart"/>
      <w:r w:rsidRPr="00832997">
        <w:rPr>
          <w:rFonts w:ascii="Times New Roman" w:hAnsi="Times New Roman" w:cs="Times New Roman"/>
        </w:rPr>
        <w:t>cocodust</w:t>
      </w:r>
      <w:proofErr w:type="spellEnd"/>
      <w:r w:rsidRPr="00832997">
        <w:rPr>
          <w:rFonts w:ascii="Times New Roman" w:hAnsi="Times New Roman" w:cs="Times New Roman"/>
        </w:rPr>
        <w:t xml:space="preserve"> users. This finding is consistent with research showing that uniform, vigorous seedlings reduce the need for repeated interventions and associated labor </w:t>
      </w:r>
      <w:r w:rsidR="001064A2" w:rsidRPr="00D41665">
        <w:rPr>
          <w:rFonts w:ascii="Times New Roman" w:hAnsi="Times New Roman" w:cs="Times New Roman"/>
        </w:rPr>
        <w:t>(Dash et al</w:t>
      </w:r>
      <w:r w:rsidR="007918CA">
        <w:rPr>
          <w:rFonts w:ascii="Times New Roman" w:hAnsi="Times New Roman" w:cs="Times New Roman"/>
        </w:rPr>
        <w:t>.,</w:t>
      </w:r>
      <w:r w:rsidR="001064A2" w:rsidRPr="00D41665">
        <w:rPr>
          <w:rFonts w:ascii="Times New Roman" w:hAnsi="Times New Roman" w:cs="Times New Roman"/>
        </w:rPr>
        <w:t xml:space="preserve"> 2020).</w:t>
      </w:r>
      <w:r w:rsidR="001064A2">
        <w:rPr>
          <w:rFonts w:ascii="Times New Roman" w:hAnsi="Times New Roman" w:cs="Times New Roman"/>
        </w:rPr>
        <w:t xml:space="preserve"> </w:t>
      </w:r>
      <w:r w:rsidRPr="00832997">
        <w:rPr>
          <w:rFonts w:ascii="Times New Roman" w:hAnsi="Times New Roman" w:cs="Times New Roman"/>
        </w:rPr>
        <w:t xml:space="preserve">Intercultural operation costs also declined markedly, particularly for cabbage, cauliflower, chili, and country bean, underscoring the role of </w:t>
      </w:r>
      <w:proofErr w:type="spellStart"/>
      <w:r w:rsidRPr="00832997">
        <w:rPr>
          <w:rFonts w:ascii="Times New Roman" w:hAnsi="Times New Roman" w:cs="Times New Roman"/>
        </w:rPr>
        <w:t>cocodust</w:t>
      </w:r>
      <w:proofErr w:type="spellEnd"/>
      <w:r w:rsidRPr="00832997">
        <w:rPr>
          <w:rFonts w:ascii="Times New Roman" w:hAnsi="Times New Roman" w:cs="Times New Roman"/>
        </w:rPr>
        <w:t xml:space="preserve"> seedlings in reducing the frequency and intensity of crop management tasks.</w:t>
      </w:r>
    </w:p>
    <w:p w14:paraId="1DFD0D56" w14:textId="64D8A525" w:rsidR="00832997" w:rsidRPr="00832997" w:rsidRDefault="0076211B" w:rsidP="00CA26EA">
      <w:pPr>
        <w:spacing w:after="0" w:line="360" w:lineRule="auto"/>
        <w:jc w:val="both"/>
        <w:rPr>
          <w:rFonts w:ascii="Times New Roman" w:hAnsi="Times New Roman" w:cs="Times New Roman"/>
          <w:b/>
          <w:bCs/>
        </w:rPr>
      </w:pPr>
      <w:r>
        <w:rPr>
          <w:rFonts w:ascii="Times New Roman" w:hAnsi="Times New Roman" w:cs="Times New Roman"/>
          <w:b/>
          <w:bCs/>
        </w:rPr>
        <w:t xml:space="preserve">4.6 </w:t>
      </w:r>
      <w:r w:rsidR="00832997" w:rsidRPr="00832997">
        <w:rPr>
          <w:rFonts w:ascii="Times New Roman" w:hAnsi="Times New Roman" w:cs="Times New Roman"/>
          <w:b/>
          <w:bCs/>
        </w:rPr>
        <w:t>Total Production Cost</w:t>
      </w:r>
    </w:p>
    <w:p w14:paraId="28A83F5B" w14:textId="3F0DBF0C" w:rsidR="00336221" w:rsidRPr="00336221" w:rsidRDefault="00336221" w:rsidP="00CA26EA">
      <w:pPr>
        <w:spacing w:after="0" w:line="360" w:lineRule="auto"/>
        <w:jc w:val="both"/>
        <w:rPr>
          <w:rFonts w:ascii="Times New Roman" w:hAnsi="Times New Roman" w:cs="Times New Roman"/>
        </w:rPr>
      </w:pPr>
      <w:r w:rsidRPr="00336221">
        <w:rPr>
          <w:rFonts w:ascii="Times New Roman" w:hAnsi="Times New Roman" w:cs="Times New Roman"/>
        </w:rPr>
        <w:t xml:space="preserve">The aggregate effect of component-wise cost savings resulted in a consistent and statistically significant reduction in total production cost across all vegetables studied, demonstrating that </w:t>
      </w:r>
      <w:proofErr w:type="spellStart"/>
      <w:r w:rsidRPr="00336221">
        <w:rPr>
          <w:rFonts w:ascii="Times New Roman" w:hAnsi="Times New Roman" w:cs="Times New Roman"/>
        </w:rPr>
        <w:t>cocodust</w:t>
      </w:r>
      <w:proofErr w:type="spellEnd"/>
      <w:r w:rsidRPr="00336221">
        <w:rPr>
          <w:rFonts w:ascii="Times New Roman" w:hAnsi="Times New Roman" w:cs="Times New Roman"/>
        </w:rPr>
        <w:t xml:space="preserve"> nursery adoption delivers economic benefits beyond isolated input adjustments. In the present study, total production cost declined by approximately 14% in bitter gourd and by nearly 24% in bottle gourd, reflecting the cumulative impact of lower fertilizer, pesticide, labor, </w:t>
      </w:r>
      <w:r w:rsidRPr="00336221">
        <w:rPr>
          <w:rFonts w:ascii="Times New Roman" w:hAnsi="Times New Roman" w:cs="Times New Roman"/>
        </w:rPr>
        <w:lastRenderedPageBreak/>
        <w:t xml:space="preserve">intercultural operation, irrigation, and structural input costs. Similar patterns have been reported in studies on </w:t>
      </w:r>
      <w:proofErr w:type="spellStart"/>
      <w:r w:rsidRPr="00336221">
        <w:rPr>
          <w:rFonts w:ascii="Times New Roman" w:hAnsi="Times New Roman" w:cs="Times New Roman"/>
        </w:rPr>
        <w:t>cocodust</w:t>
      </w:r>
      <w:proofErr w:type="spellEnd"/>
      <w:r w:rsidRPr="00336221">
        <w:rPr>
          <w:rFonts w:ascii="Times New Roman" w:hAnsi="Times New Roman" w:cs="Times New Roman"/>
        </w:rPr>
        <w:t xml:space="preserve"> and other coir-based growing media, which show that improved seedling vigor and root system development enhance nutrient uptake efficiency and reduce the need for repeated field interventions (</w:t>
      </w:r>
      <w:r w:rsidR="001064A2">
        <w:rPr>
          <w:rFonts w:ascii="Times New Roman" w:hAnsi="Times New Roman" w:cs="Times New Roman"/>
        </w:rPr>
        <w:t>Evans et al.</w:t>
      </w:r>
      <w:r w:rsidR="007918CA">
        <w:rPr>
          <w:rFonts w:ascii="Times New Roman" w:hAnsi="Times New Roman" w:cs="Times New Roman"/>
        </w:rPr>
        <w:t>,</w:t>
      </w:r>
      <w:r w:rsidR="001064A2">
        <w:rPr>
          <w:rFonts w:ascii="Times New Roman" w:hAnsi="Times New Roman" w:cs="Times New Roman"/>
        </w:rPr>
        <w:t xml:space="preserve"> 1996</w:t>
      </w:r>
      <w:r w:rsidR="001064A2" w:rsidRPr="00336221">
        <w:rPr>
          <w:rFonts w:ascii="Times New Roman" w:hAnsi="Times New Roman" w:cs="Times New Roman"/>
        </w:rPr>
        <w:t>;</w:t>
      </w:r>
      <w:r w:rsidR="001064A2">
        <w:rPr>
          <w:rFonts w:ascii="Times New Roman" w:hAnsi="Times New Roman" w:cs="Times New Roman"/>
        </w:rPr>
        <w:t xml:space="preserve"> Gruda</w:t>
      </w:r>
      <w:r w:rsidR="007918CA">
        <w:rPr>
          <w:rFonts w:ascii="Times New Roman" w:hAnsi="Times New Roman" w:cs="Times New Roman"/>
        </w:rPr>
        <w:t>,</w:t>
      </w:r>
      <w:r w:rsidR="001064A2">
        <w:rPr>
          <w:rFonts w:ascii="Times New Roman" w:hAnsi="Times New Roman" w:cs="Times New Roman"/>
        </w:rPr>
        <w:t xml:space="preserve"> 2019</w:t>
      </w:r>
      <w:r w:rsidR="001064A2" w:rsidRPr="00336221">
        <w:rPr>
          <w:rFonts w:ascii="Times New Roman" w:hAnsi="Times New Roman" w:cs="Times New Roman"/>
        </w:rPr>
        <w:t>).</w:t>
      </w:r>
    </w:p>
    <w:p w14:paraId="59934C31" w14:textId="223C1676" w:rsidR="00336221" w:rsidRPr="00336221" w:rsidRDefault="00336221" w:rsidP="00CA26EA">
      <w:pPr>
        <w:spacing w:after="0" w:line="360" w:lineRule="auto"/>
        <w:jc w:val="both"/>
        <w:rPr>
          <w:rFonts w:ascii="Times New Roman" w:hAnsi="Times New Roman" w:cs="Times New Roman"/>
        </w:rPr>
      </w:pPr>
      <w:r w:rsidRPr="00336221">
        <w:rPr>
          <w:rFonts w:ascii="Times New Roman" w:hAnsi="Times New Roman" w:cs="Times New Roman"/>
        </w:rPr>
        <w:t xml:space="preserve">From an economic perspective, these findings indicate that the higher upfront investment in </w:t>
      </w:r>
      <w:proofErr w:type="spellStart"/>
      <w:r w:rsidRPr="00336221">
        <w:rPr>
          <w:rFonts w:ascii="Times New Roman" w:hAnsi="Times New Roman" w:cs="Times New Roman"/>
        </w:rPr>
        <w:t>cocodust</w:t>
      </w:r>
      <w:proofErr w:type="spellEnd"/>
      <w:r w:rsidRPr="00336221">
        <w:rPr>
          <w:rFonts w:ascii="Times New Roman" w:hAnsi="Times New Roman" w:cs="Times New Roman"/>
        </w:rPr>
        <w:t>-based seedlings is effectively offset by downstream cost savings, leading to a net reduction in total production cost. This outcome is consistent with economic theories of agricultural technology adoption, which posit that farmers adopt innovations when gains from improved efficiency and reduced management intensity outweigh additional initial costs (Feder et al.</w:t>
      </w:r>
      <w:r w:rsidR="007918CA">
        <w:rPr>
          <w:rFonts w:ascii="Times New Roman" w:hAnsi="Times New Roman" w:cs="Times New Roman"/>
        </w:rPr>
        <w:t>,</w:t>
      </w:r>
      <w:r w:rsidRPr="00336221">
        <w:rPr>
          <w:rFonts w:ascii="Times New Roman" w:hAnsi="Times New Roman" w:cs="Times New Roman"/>
        </w:rPr>
        <w:t xml:space="preserve"> 1985; Feder et al.</w:t>
      </w:r>
      <w:r w:rsidR="007918CA">
        <w:rPr>
          <w:rFonts w:ascii="Times New Roman" w:hAnsi="Times New Roman" w:cs="Times New Roman"/>
        </w:rPr>
        <w:t>,</w:t>
      </w:r>
      <w:r w:rsidRPr="00336221">
        <w:rPr>
          <w:rFonts w:ascii="Times New Roman" w:hAnsi="Times New Roman" w:cs="Times New Roman"/>
        </w:rPr>
        <w:t xml:space="preserve"> 2</w:t>
      </w:r>
      <w:r w:rsidR="00EF48D2">
        <w:rPr>
          <w:rFonts w:ascii="Times New Roman" w:hAnsi="Times New Roman" w:cs="Times New Roman"/>
        </w:rPr>
        <w:t>004</w:t>
      </w:r>
      <w:r w:rsidRPr="00336221">
        <w:rPr>
          <w:rFonts w:ascii="Times New Roman" w:hAnsi="Times New Roman" w:cs="Times New Roman"/>
        </w:rPr>
        <w:t>). Moreover, the observed reductions in chemical and labor inputs align with recent evidence emphasizing the role of renewable substrates such as coconut coir in promoting more efficient, resource-conserving horticultural production systems (Barrett et al.</w:t>
      </w:r>
      <w:r w:rsidR="007918CA">
        <w:rPr>
          <w:rFonts w:ascii="Times New Roman" w:hAnsi="Times New Roman" w:cs="Times New Roman"/>
        </w:rPr>
        <w:t>,</w:t>
      </w:r>
      <w:r w:rsidRPr="00336221">
        <w:rPr>
          <w:rFonts w:ascii="Times New Roman" w:hAnsi="Times New Roman" w:cs="Times New Roman"/>
        </w:rPr>
        <w:t xml:space="preserve"> 2016; Gruda et al.</w:t>
      </w:r>
      <w:r w:rsidR="007918CA">
        <w:rPr>
          <w:rFonts w:ascii="Times New Roman" w:hAnsi="Times New Roman" w:cs="Times New Roman"/>
        </w:rPr>
        <w:t>,</w:t>
      </w:r>
      <w:r w:rsidRPr="00336221">
        <w:rPr>
          <w:rFonts w:ascii="Times New Roman" w:hAnsi="Times New Roman" w:cs="Times New Roman"/>
        </w:rPr>
        <w:t xml:space="preserve"> 20</w:t>
      </w:r>
      <w:r w:rsidR="00EF48D2">
        <w:rPr>
          <w:rFonts w:ascii="Times New Roman" w:hAnsi="Times New Roman" w:cs="Times New Roman"/>
        </w:rPr>
        <w:t>19</w:t>
      </w:r>
      <w:r w:rsidRPr="00336221">
        <w:rPr>
          <w:rFonts w:ascii="Times New Roman" w:hAnsi="Times New Roman" w:cs="Times New Roman"/>
        </w:rPr>
        <w:t xml:space="preserve">). Together, these results reinforce the conclusion that </w:t>
      </w:r>
      <w:proofErr w:type="spellStart"/>
      <w:r w:rsidRPr="00336221">
        <w:rPr>
          <w:rFonts w:ascii="Times New Roman" w:hAnsi="Times New Roman" w:cs="Times New Roman"/>
        </w:rPr>
        <w:t>cocodust</w:t>
      </w:r>
      <w:proofErr w:type="spellEnd"/>
      <w:r w:rsidRPr="00336221">
        <w:rPr>
          <w:rFonts w:ascii="Times New Roman" w:hAnsi="Times New Roman" w:cs="Times New Roman"/>
        </w:rPr>
        <w:t xml:space="preserve"> nursery technology enhances cost efficiency while supporting sustainable intensification in vegetable farming.</w:t>
      </w:r>
      <w:r w:rsidR="00122A11">
        <w:rPr>
          <w:rFonts w:ascii="Times New Roman" w:hAnsi="Times New Roman" w:cs="Times New Roman"/>
        </w:rPr>
        <w:t xml:space="preserve"> </w:t>
      </w:r>
      <w:r w:rsidR="00122A11" w:rsidRPr="00122A11">
        <w:rPr>
          <w:rFonts w:ascii="Times New Roman" w:hAnsi="Times New Roman" w:cs="Times New Roman"/>
        </w:rPr>
        <w:t>Comparable reductions in total production cost have been reported in recent economic evaluations of smallholder vegetable systems, where improvements in input-use efficiency and labor productivity were identified as key drivers of profitability gains (</w:t>
      </w:r>
      <w:proofErr w:type="spellStart"/>
      <w:r w:rsidR="00122A11" w:rsidRPr="00122A11">
        <w:rPr>
          <w:rFonts w:ascii="Times New Roman" w:hAnsi="Times New Roman" w:cs="Times New Roman"/>
        </w:rPr>
        <w:t>Aliyi</w:t>
      </w:r>
      <w:proofErr w:type="spellEnd"/>
      <w:r w:rsidR="00122A11" w:rsidRPr="00122A11">
        <w:rPr>
          <w:rFonts w:ascii="Times New Roman" w:hAnsi="Times New Roman" w:cs="Times New Roman"/>
        </w:rPr>
        <w:t xml:space="preserve"> et al., 2021; Ayen et al., 2024).</w:t>
      </w:r>
    </w:p>
    <w:p w14:paraId="52C64315" w14:textId="1A9BB117" w:rsidR="00832997" w:rsidRPr="00832997" w:rsidRDefault="0076211B" w:rsidP="00CA26EA">
      <w:pPr>
        <w:spacing w:after="0" w:line="360" w:lineRule="auto"/>
        <w:jc w:val="both"/>
        <w:rPr>
          <w:rFonts w:ascii="Times New Roman" w:hAnsi="Times New Roman" w:cs="Times New Roman"/>
          <w:b/>
          <w:bCs/>
        </w:rPr>
      </w:pPr>
      <w:r>
        <w:rPr>
          <w:rFonts w:ascii="Times New Roman" w:hAnsi="Times New Roman" w:cs="Times New Roman"/>
          <w:b/>
          <w:bCs/>
        </w:rPr>
        <w:t xml:space="preserve">4.7 </w:t>
      </w:r>
      <w:r w:rsidR="00832997" w:rsidRPr="00832997">
        <w:rPr>
          <w:rFonts w:ascii="Times New Roman" w:hAnsi="Times New Roman" w:cs="Times New Roman"/>
          <w:b/>
          <w:bCs/>
        </w:rPr>
        <w:t>Net Profit</w:t>
      </w:r>
    </w:p>
    <w:p w14:paraId="062889CB" w14:textId="51BA36BD" w:rsidR="006B0CB3" w:rsidRPr="006B0CB3" w:rsidRDefault="006B0CB3" w:rsidP="00CA26EA">
      <w:pPr>
        <w:spacing w:after="0" w:line="360" w:lineRule="auto"/>
        <w:jc w:val="both"/>
        <w:rPr>
          <w:rFonts w:ascii="Times New Roman" w:hAnsi="Times New Roman" w:cs="Times New Roman"/>
        </w:rPr>
      </w:pPr>
      <w:r w:rsidRPr="006B0CB3">
        <w:rPr>
          <w:rFonts w:ascii="Times New Roman" w:hAnsi="Times New Roman" w:cs="Times New Roman"/>
        </w:rPr>
        <w:t xml:space="preserve">The most compelling outcome of this study is the consistent and substantial increase in net profit across all vegetable crops following the adoption of </w:t>
      </w:r>
      <w:proofErr w:type="spellStart"/>
      <w:r w:rsidRPr="006B0CB3">
        <w:rPr>
          <w:rFonts w:ascii="Times New Roman" w:hAnsi="Times New Roman" w:cs="Times New Roman"/>
        </w:rPr>
        <w:t>cocodust</w:t>
      </w:r>
      <w:proofErr w:type="spellEnd"/>
      <w:r w:rsidRPr="006B0CB3">
        <w:rPr>
          <w:rFonts w:ascii="Times New Roman" w:hAnsi="Times New Roman" w:cs="Times New Roman"/>
        </w:rPr>
        <w:t xml:space="preserve">-based nursery technology. Profit gains ranged from approximately 30% in chili to over 60% in country bean and cabbage, underscoring the strong economic advantage of </w:t>
      </w:r>
      <w:proofErr w:type="spellStart"/>
      <w:r w:rsidRPr="006B0CB3">
        <w:rPr>
          <w:rFonts w:ascii="Times New Roman" w:hAnsi="Times New Roman" w:cs="Times New Roman"/>
        </w:rPr>
        <w:t>cocodust</w:t>
      </w:r>
      <w:proofErr w:type="spellEnd"/>
      <w:r w:rsidRPr="006B0CB3">
        <w:rPr>
          <w:rFonts w:ascii="Times New Roman" w:hAnsi="Times New Roman" w:cs="Times New Roman"/>
        </w:rPr>
        <w:t xml:space="preserve"> nurseries across diverse crop types. These improvements were driven by the combined effects of significantly lower total production costs and enhanced crop performance, rather than by yield increases alone.</w:t>
      </w:r>
      <w:r w:rsidR="001E3E53">
        <w:rPr>
          <w:rFonts w:ascii="Times New Roman" w:hAnsi="Times New Roman" w:cs="Times New Roman"/>
        </w:rPr>
        <w:t xml:space="preserve"> </w:t>
      </w:r>
      <w:r w:rsidRPr="006B0CB3">
        <w:rPr>
          <w:rFonts w:ascii="Times New Roman" w:hAnsi="Times New Roman" w:cs="Times New Roman"/>
        </w:rPr>
        <w:t xml:space="preserve">The observed profitability gains are consistent with earlier evidence indicating that investments in improved nursery and seedling management can generate high economic returns by reducing downstream input requirements and management intensity </w:t>
      </w:r>
      <w:r w:rsidR="00EF48D2">
        <w:rPr>
          <w:rFonts w:ascii="Times New Roman" w:hAnsi="Times New Roman" w:cs="Times New Roman"/>
        </w:rPr>
        <w:t>(Mariotti et al.</w:t>
      </w:r>
      <w:r w:rsidR="007918CA">
        <w:rPr>
          <w:rFonts w:ascii="Times New Roman" w:hAnsi="Times New Roman" w:cs="Times New Roman"/>
        </w:rPr>
        <w:t>,</w:t>
      </w:r>
      <w:r w:rsidR="00EF48D2">
        <w:rPr>
          <w:rFonts w:ascii="Times New Roman" w:hAnsi="Times New Roman" w:cs="Times New Roman"/>
        </w:rPr>
        <w:t xml:space="preserve"> 2020; Gruda</w:t>
      </w:r>
      <w:r w:rsidR="007918CA">
        <w:rPr>
          <w:rFonts w:ascii="Times New Roman" w:hAnsi="Times New Roman" w:cs="Times New Roman"/>
        </w:rPr>
        <w:t>,</w:t>
      </w:r>
      <w:r w:rsidR="00EF48D2">
        <w:rPr>
          <w:rFonts w:ascii="Times New Roman" w:hAnsi="Times New Roman" w:cs="Times New Roman"/>
        </w:rPr>
        <w:t xml:space="preserve"> 2019</w:t>
      </w:r>
      <w:r w:rsidR="00EF48D2" w:rsidRPr="006B0CB3">
        <w:rPr>
          <w:rFonts w:ascii="Times New Roman" w:hAnsi="Times New Roman" w:cs="Times New Roman"/>
        </w:rPr>
        <w:t xml:space="preserve">). </w:t>
      </w:r>
      <w:r w:rsidRPr="006B0CB3">
        <w:rPr>
          <w:rFonts w:ascii="Times New Roman" w:hAnsi="Times New Roman" w:cs="Times New Roman"/>
        </w:rPr>
        <w:t xml:space="preserve">In the present study, reductions in fertilizer, pesticide, labor, intercultural operation, irrigation, and structural input costs collectively outweighed the higher initial seedling expenditure, resulting in a clear net financial benefit for </w:t>
      </w:r>
      <w:proofErr w:type="spellStart"/>
      <w:r w:rsidRPr="006B0CB3">
        <w:rPr>
          <w:rFonts w:ascii="Times New Roman" w:hAnsi="Times New Roman" w:cs="Times New Roman"/>
        </w:rPr>
        <w:t>cocodust</w:t>
      </w:r>
      <w:proofErr w:type="spellEnd"/>
      <w:r w:rsidRPr="006B0CB3">
        <w:rPr>
          <w:rFonts w:ascii="Times New Roman" w:hAnsi="Times New Roman" w:cs="Times New Roman"/>
        </w:rPr>
        <w:t xml:space="preserve"> users. This finding reinforces the economic rationale that technology </w:t>
      </w:r>
      <w:r w:rsidRPr="006B0CB3">
        <w:rPr>
          <w:rFonts w:ascii="Times New Roman" w:hAnsi="Times New Roman" w:cs="Times New Roman"/>
        </w:rPr>
        <w:lastRenderedPageBreak/>
        <w:t>adoption decisions in smallholder agriculture are shaped by overall profitability rather than by isolated cost components (Feder et al.</w:t>
      </w:r>
      <w:r w:rsidR="007918CA">
        <w:rPr>
          <w:rFonts w:ascii="Times New Roman" w:hAnsi="Times New Roman" w:cs="Times New Roman"/>
        </w:rPr>
        <w:t>,</w:t>
      </w:r>
      <w:r w:rsidRPr="006B0CB3">
        <w:rPr>
          <w:rFonts w:ascii="Times New Roman" w:hAnsi="Times New Roman" w:cs="Times New Roman"/>
        </w:rPr>
        <w:t xml:space="preserve"> 1985).</w:t>
      </w:r>
      <w:r w:rsidR="007D7DC5">
        <w:rPr>
          <w:rFonts w:ascii="Times New Roman" w:hAnsi="Times New Roman" w:cs="Times New Roman"/>
        </w:rPr>
        <w:t xml:space="preserve"> </w:t>
      </w:r>
      <w:r w:rsidRPr="006B0CB3">
        <w:rPr>
          <w:rFonts w:ascii="Times New Roman" w:hAnsi="Times New Roman" w:cs="Times New Roman"/>
        </w:rPr>
        <w:t xml:space="preserve">The magnitude and consistency of net profit increases observed across crops align with findings from Bangladesh and other developing country contexts, where improved nursery technologies and input-use efficiency have been shown to expand farm margins and stabilize income </w:t>
      </w:r>
      <w:r w:rsidR="00EF48D2" w:rsidRPr="008B7D7A">
        <w:rPr>
          <w:rFonts w:ascii="Times New Roman" w:hAnsi="Times New Roman" w:cs="Times New Roman"/>
        </w:rPr>
        <w:t>(Kabir et al</w:t>
      </w:r>
      <w:r w:rsidR="007918CA">
        <w:rPr>
          <w:rFonts w:ascii="Times New Roman" w:hAnsi="Times New Roman" w:cs="Times New Roman"/>
        </w:rPr>
        <w:t>.,</w:t>
      </w:r>
      <w:r w:rsidR="00EF48D2" w:rsidRPr="008B7D7A">
        <w:rPr>
          <w:rFonts w:ascii="Times New Roman" w:hAnsi="Times New Roman" w:cs="Times New Roman"/>
        </w:rPr>
        <w:t xml:space="preserve"> 2019; Hasan et al.</w:t>
      </w:r>
      <w:r w:rsidR="007918CA">
        <w:rPr>
          <w:rFonts w:ascii="Times New Roman" w:hAnsi="Times New Roman" w:cs="Times New Roman"/>
        </w:rPr>
        <w:t>,</w:t>
      </w:r>
      <w:r w:rsidR="00EF48D2" w:rsidRPr="008B7D7A">
        <w:rPr>
          <w:rFonts w:ascii="Times New Roman" w:hAnsi="Times New Roman" w:cs="Times New Roman"/>
        </w:rPr>
        <w:t xml:space="preserve"> 2020).</w:t>
      </w:r>
      <w:r w:rsidR="00EF48D2" w:rsidRPr="008B7D7A">
        <w:t xml:space="preserve"> </w:t>
      </w:r>
      <w:r w:rsidRPr="006B0CB3">
        <w:rPr>
          <w:rFonts w:ascii="Times New Roman" w:hAnsi="Times New Roman" w:cs="Times New Roman"/>
        </w:rPr>
        <w:t xml:space="preserve">Higher net returns enhance farmers’ capacity to absorb production risks, reinvest in farm operations, and maintain household consumption during periods of price or climate variability. As such, </w:t>
      </w:r>
      <w:proofErr w:type="spellStart"/>
      <w:r w:rsidRPr="006B0CB3">
        <w:rPr>
          <w:rFonts w:ascii="Times New Roman" w:hAnsi="Times New Roman" w:cs="Times New Roman"/>
        </w:rPr>
        <w:t>cocodust</w:t>
      </w:r>
      <w:proofErr w:type="spellEnd"/>
      <w:r w:rsidRPr="006B0CB3">
        <w:rPr>
          <w:rFonts w:ascii="Times New Roman" w:hAnsi="Times New Roman" w:cs="Times New Roman"/>
        </w:rPr>
        <w:t xml:space="preserve"> nursery adoption not only improves short-term profitability but also contributes to income resilience and long-term livelihood sustainability for smallholder vegetable producers.</w:t>
      </w:r>
      <w:r w:rsidR="00494703">
        <w:rPr>
          <w:rFonts w:ascii="Times New Roman" w:hAnsi="Times New Roman" w:cs="Times New Roman"/>
        </w:rPr>
        <w:t xml:space="preserve"> </w:t>
      </w:r>
      <w:r w:rsidR="00122A11" w:rsidRPr="00122A11">
        <w:rPr>
          <w:rFonts w:ascii="Times New Roman" w:hAnsi="Times New Roman" w:cs="Times New Roman"/>
        </w:rPr>
        <w:t>The magnitude of profitability gains observed in this study aligns with recent profit-efficiency analyses from South Asia and Sub-Saharan Africa, which demonstrate that cost-reducing innovations in input management can substantially enhance farm income even in the absence of large yield increases (Shrestha et al., 2021;</w:t>
      </w:r>
      <w:r w:rsidR="00327DFD">
        <w:rPr>
          <w:rFonts w:ascii="Times New Roman" w:hAnsi="Times New Roman" w:cs="Times New Roman"/>
        </w:rPr>
        <w:t xml:space="preserve"> </w:t>
      </w:r>
      <w:proofErr w:type="spellStart"/>
      <w:r w:rsidR="00327DFD" w:rsidRPr="00327DFD">
        <w:rPr>
          <w:rFonts w:ascii="Times New Roman" w:hAnsi="Times New Roman" w:cs="Times New Roman"/>
        </w:rPr>
        <w:t>Aynalema</w:t>
      </w:r>
      <w:proofErr w:type="spellEnd"/>
      <w:r w:rsidR="00327DFD" w:rsidRPr="00327DFD">
        <w:rPr>
          <w:rFonts w:ascii="Times New Roman" w:hAnsi="Times New Roman" w:cs="Times New Roman"/>
        </w:rPr>
        <w:t xml:space="preserve"> et al., 2025</w:t>
      </w:r>
      <w:r w:rsidR="00122A11" w:rsidRPr="00122A11">
        <w:rPr>
          <w:rFonts w:ascii="Times New Roman" w:hAnsi="Times New Roman" w:cs="Times New Roman"/>
        </w:rPr>
        <w:t>).</w:t>
      </w:r>
      <w:r w:rsidR="00122A11">
        <w:rPr>
          <w:rFonts w:ascii="Times New Roman" w:hAnsi="Times New Roman" w:cs="Times New Roman"/>
        </w:rPr>
        <w:t xml:space="preserve"> </w:t>
      </w:r>
      <w:r w:rsidRPr="006B0CB3">
        <w:rPr>
          <w:rFonts w:ascii="Times New Roman" w:hAnsi="Times New Roman" w:cs="Times New Roman"/>
        </w:rPr>
        <w:t xml:space="preserve">Moreover, the uniform profitability gains across vegetables with differing growth habits and management requirements suggest that </w:t>
      </w:r>
      <w:proofErr w:type="spellStart"/>
      <w:r w:rsidRPr="006B0CB3">
        <w:rPr>
          <w:rFonts w:ascii="Times New Roman" w:hAnsi="Times New Roman" w:cs="Times New Roman"/>
        </w:rPr>
        <w:t>cocodust</w:t>
      </w:r>
      <w:proofErr w:type="spellEnd"/>
      <w:r w:rsidRPr="006B0CB3">
        <w:rPr>
          <w:rFonts w:ascii="Times New Roman" w:hAnsi="Times New Roman" w:cs="Times New Roman"/>
        </w:rPr>
        <w:t xml:space="preserve">-based nursery systems are economically robust and broadly applicable. This robustness strengthens incentives for wider adoption and supports the case for integrating </w:t>
      </w:r>
      <w:proofErr w:type="spellStart"/>
      <w:r w:rsidRPr="006B0CB3">
        <w:rPr>
          <w:rFonts w:ascii="Times New Roman" w:hAnsi="Times New Roman" w:cs="Times New Roman"/>
        </w:rPr>
        <w:t>cocodust</w:t>
      </w:r>
      <w:proofErr w:type="spellEnd"/>
      <w:r w:rsidRPr="006B0CB3">
        <w:rPr>
          <w:rFonts w:ascii="Times New Roman" w:hAnsi="Times New Roman" w:cs="Times New Roman"/>
        </w:rPr>
        <w:t xml:space="preserve"> nursery technology into extension programs aimed at promoting sustainable and commercially viable vegetable farming systems.</w:t>
      </w:r>
    </w:p>
    <w:bookmarkEnd w:id="0"/>
    <w:p w14:paraId="449FD766" w14:textId="1F630568" w:rsidR="006C05BF" w:rsidRPr="006C05BF" w:rsidRDefault="001C55BE" w:rsidP="00CA26EA">
      <w:pPr>
        <w:spacing w:after="0" w:line="360" w:lineRule="auto"/>
        <w:rPr>
          <w:rFonts w:ascii="Times New Roman" w:hAnsi="Times New Roman" w:cs="Times New Roman"/>
          <w:b/>
          <w:bCs/>
        </w:rPr>
      </w:pPr>
      <w:r>
        <w:rPr>
          <w:rFonts w:ascii="Times New Roman" w:hAnsi="Times New Roman" w:cs="Times New Roman"/>
          <w:b/>
          <w:bCs/>
        </w:rPr>
        <w:t xml:space="preserve">5 </w:t>
      </w:r>
      <w:r w:rsidR="006C05BF" w:rsidRPr="006C05BF">
        <w:rPr>
          <w:rFonts w:ascii="Times New Roman" w:hAnsi="Times New Roman" w:cs="Times New Roman"/>
          <w:b/>
          <w:bCs/>
        </w:rPr>
        <w:t>Conclusions</w:t>
      </w:r>
    </w:p>
    <w:p w14:paraId="7819806E" w14:textId="5802E4F3" w:rsidR="00D64103" w:rsidRDefault="00D64103" w:rsidP="00CA26EA">
      <w:pPr>
        <w:spacing w:after="0" w:line="360" w:lineRule="auto"/>
        <w:jc w:val="both"/>
        <w:rPr>
          <w:rFonts w:ascii="Times New Roman" w:hAnsi="Times New Roman" w:cs="Times New Roman"/>
        </w:rPr>
      </w:pPr>
      <w:r w:rsidRPr="00D64103">
        <w:rPr>
          <w:rFonts w:ascii="Times New Roman" w:hAnsi="Times New Roman" w:cs="Times New Roman"/>
        </w:rPr>
        <w:t xml:space="preserve">This study provides robust empirical evidence on the economic viability of </w:t>
      </w:r>
      <w:proofErr w:type="spellStart"/>
      <w:r w:rsidRPr="00D64103">
        <w:rPr>
          <w:rFonts w:ascii="Times New Roman" w:hAnsi="Times New Roman" w:cs="Times New Roman"/>
        </w:rPr>
        <w:t>cocodust</w:t>
      </w:r>
      <w:proofErr w:type="spellEnd"/>
      <w:r w:rsidRPr="00D64103">
        <w:rPr>
          <w:rFonts w:ascii="Times New Roman" w:hAnsi="Times New Roman" w:cs="Times New Roman"/>
        </w:rPr>
        <w:t xml:space="preserve">-based nursery technology in vegetable farming systems of Bangladesh. Across eight major vegetable crops, </w:t>
      </w:r>
      <w:proofErr w:type="spellStart"/>
      <w:r w:rsidRPr="00D64103">
        <w:rPr>
          <w:rFonts w:ascii="Times New Roman" w:hAnsi="Times New Roman" w:cs="Times New Roman"/>
        </w:rPr>
        <w:t>cocodust</w:t>
      </w:r>
      <w:proofErr w:type="spellEnd"/>
      <w:r w:rsidRPr="00D64103">
        <w:rPr>
          <w:rFonts w:ascii="Times New Roman" w:hAnsi="Times New Roman" w:cs="Times New Roman"/>
        </w:rPr>
        <w:t xml:space="preserve"> adoption consistently improved economic performance by reducing key production costs, including fertilizer, pesticide, labor, irrigation, intercultural operations, and structural inputs, despite higher initial seedling costs. These cost savings translated into significantly lower total production costs and substantial increases in net profit, confirming the economic superiority of </w:t>
      </w:r>
      <w:proofErr w:type="spellStart"/>
      <w:r w:rsidRPr="00D64103">
        <w:rPr>
          <w:rFonts w:ascii="Times New Roman" w:hAnsi="Times New Roman" w:cs="Times New Roman"/>
        </w:rPr>
        <w:t>cocodust</w:t>
      </w:r>
      <w:proofErr w:type="spellEnd"/>
      <w:r w:rsidRPr="00D64103">
        <w:rPr>
          <w:rFonts w:ascii="Times New Roman" w:hAnsi="Times New Roman" w:cs="Times New Roman"/>
        </w:rPr>
        <w:t xml:space="preserve"> nurseries over traditional soil-based practices.</w:t>
      </w:r>
      <w:r w:rsidR="008D73A0">
        <w:rPr>
          <w:rFonts w:ascii="Times New Roman" w:hAnsi="Times New Roman" w:cs="Times New Roman"/>
        </w:rPr>
        <w:t xml:space="preserve"> </w:t>
      </w:r>
      <w:r w:rsidRPr="00D64103">
        <w:rPr>
          <w:rFonts w:ascii="Times New Roman" w:hAnsi="Times New Roman" w:cs="Times New Roman"/>
        </w:rPr>
        <w:t xml:space="preserve">Given the consistent reductions in production costs and significant increases in net profit across crops, </w:t>
      </w:r>
      <w:proofErr w:type="spellStart"/>
      <w:r w:rsidRPr="00D64103">
        <w:rPr>
          <w:rFonts w:ascii="Times New Roman" w:hAnsi="Times New Roman" w:cs="Times New Roman"/>
        </w:rPr>
        <w:t>cocodust</w:t>
      </w:r>
      <w:proofErr w:type="spellEnd"/>
      <w:r w:rsidRPr="00D64103">
        <w:rPr>
          <w:rFonts w:ascii="Times New Roman" w:hAnsi="Times New Roman" w:cs="Times New Roman"/>
        </w:rPr>
        <w:t xml:space="preserve">-based nursery technology should be promoted as a core component of sustainable vegetable production systems in Bangladesh. Policy support in the form of targeted training, strengthened extension services, and initial input assistance can accelerate adoption among smallholder farmers, enhance farm </w:t>
      </w:r>
      <w:r w:rsidRPr="00D64103">
        <w:rPr>
          <w:rFonts w:ascii="Times New Roman" w:hAnsi="Times New Roman" w:cs="Times New Roman"/>
        </w:rPr>
        <w:lastRenderedPageBreak/>
        <w:t>profitability, and contribute to more efficient and environmentally responsible vegetable production.</w:t>
      </w:r>
    </w:p>
    <w:p w14:paraId="1E789674" w14:textId="21C9D220" w:rsidR="00D13F7C" w:rsidRPr="009C5BAA" w:rsidRDefault="00D13F7C" w:rsidP="00CA26EA">
      <w:pPr>
        <w:spacing w:after="0" w:line="360" w:lineRule="auto"/>
        <w:jc w:val="both"/>
        <w:rPr>
          <w:rFonts w:ascii="Times New Roman" w:hAnsi="Times New Roman"/>
          <w:b/>
          <w:bCs/>
        </w:rPr>
      </w:pPr>
      <w:r w:rsidRPr="009C5BAA">
        <w:rPr>
          <w:rFonts w:ascii="Times New Roman" w:hAnsi="Times New Roman"/>
          <w:b/>
          <w:bCs/>
        </w:rPr>
        <w:t>Acknowledgments</w:t>
      </w:r>
    </w:p>
    <w:p w14:paraId="1330A680" w14:textId="77777777" w:rsidR="00D13F7C" w:rsidRDefault="00D13F7C" w:rsidP="00CA26EA">
      <w:pPr>
        <w:spacing w:after="0" w:line="360" w:lineRule="auto"/>
        <w:jc w:val="both"/>
        <w:rPr>
          <w:rFonts w:ascii="Times New Roman" w:hAnsi="Times New Roman"/>
        </w:rPr>
      </w:pPr>
      <w:r w:rsidRPr="002A5A7E">
        <w:rPr>
          <w:rFonts w:ascii="Times New Roman" w:hAnsi="Times New Roman"/>
        </w:rPr>
        <w:t>The authors gratefully acknowledge the support and cooperation of the JAKAS Foundation and SERA Bangladesh in the successful completion of this project. Their institutional assistance, field-level coordination, and facilitation of stakeholder engagement were instrumental throughout the research process.</w:t>
      </w:r>
    </w:p>
    <w:p w14:paraId="4C70457B" w14:textId="52B72BF4" w:rsidR="00D13F7C" w:rsidRPr="00203BCD" w:rsidRDefault="00D13F7C" w:rsidP="00CA26EA">
      <w:pPr>
        <w:spacing w:after="0" w:line="360" w:lineRule="auto"/>
        <w:jc w:val="both"/>
        <w:rPr>
          <w:rFonts w:ascii="Times New Roman" w:hAnsi="Times New Roman"/>
          <w:b/>
          <w:bCs/>
        </w:rPr>
      </w:pPr>
      <w:r w:rsidRPr="00203BCD">
        <w:rPr>
          <w:rFonts w:ascii="Times New Roman" w:hAnsi="Times New Roman"/>
          <w:b/>
          <w:bCs/>
        </w:rPr>
        <w:t>Authors’ contributions</w:t>
      </w:r>
    </w:p>
    <w:p w14:paraId="0A265661" w14:textId="42D25733" w:rsidR="00D13F7C" w:rsidRPr="00AA5D33" w:rsidRDefault="00D13F7C" w:rsidP="00CA26EA">
      <w:pPr>
        <w:spacing w:after="0" w:line="360" w:lineRule="auto"/>
        <w:jc w:val="both"/>
        <w:rPr>
          <w:rFonts w:ascii="Times New Roman" w:hAnsi="Times New Roman"/>
        </w:rPr>
      </w:pPr>
      <w:r w:rsidRPr="00AA5D33">
        <w:rPr>
          <w:rFonts w:ascii="Times New Roman" w:hAnsi="Times New Roman"/>
        </w:rPr>
        <w:t>Conceptualization, data curation, writing</w:t>
      </w:r>
      <w:r>
        <w:rPr>
          <w:rFonts w:ascii="Times New Roman" w:hAnsi="Times New Roman"/>
        </w:rPr>
        <w:t xml:space="preserve"> </w:t>
      </w:r>
      <w:r w:rsidRPr="00C91DBA">
        <w:rPr>
          <w:rFonts w:ascii="Times New Roman" w:eastAsia="MS Mincho" w:hAnsi="Times New Roman"/>
          <w:color w:val="000000"/>
          <w:kern w:val="0"/>
          <w:lang w:val="es-MX" w:eastAsia="ja-JP"/>
        </w:rPr>
        <w:t xml:space="preserve">– </w:t>
      </w:r>
      <w:r w:rsidRPr="00AA5D33">
        <w:rPr>
          <w:rFonts w:ascii="Times New Roman" w:hAnsi="Times New Roman"/>
        </w:rPr>
        <w:t>original draft preparation</w:t>
      </w:r>
      <w:r>
        <w:rPr>
          <w:rFonts w:ascii="Times New Roman" w:hAnsi="Times New Roman"/>
        </w:rPr>
        <w:t xml:space="preserve"> </w:t>
      </w:r>
      <w:r w:rsidRPr="00C91DBA">
        <w:rPr>
          <w:rFonts w:ascii="Times New Roman" w:eastAsia="MS Mincho" w:hAnsi="Times New Roman"/>
          <w:color w:val="000000"/>
          <w:kern w:val="0"/>
          <w:lang w:val="es-MX" w:eastAsia="ja-JP"/>
        </w:rPr>
        <w:t xml:space="preserve">– </w:t>
      </w:r>
      <w:r>
        <w:rPr>
          <w:rFonts w:ascii="Times New Roman" w:hAnsi="Times New Roman"/>
        </w:rPr>
        <w:t>MAR, MMR, MMH, SMRH</w:t>
      </w:r>
      <w:r w:rsidRPr="00AA5D33">
        <w:rPr>
          <w:rFonts w:ascii="Times New Roman" w:hAnsi="Times New Roman"/>
        </w:rPr>
        <w:t>; writing</w:t>
      </w:r>
      <w:r>
        <w:rPr>
          <w:rFonts w:ascii="Times New Roman" w:hAnsi="Times New Roman"/>
        </w:rPr>
        <w:t xml:space="preserve"> </w:t>
      </w:r>
      <w:r w:rsidRPr="00C91DBA">
        <w:rPr>
          <w:rFonts w:ascii="Times New Roman" w:eastAsia="MS Mincho" w:hAnsi="Times New Roman"/>
          <w:color w:val="000000"/>
          <w:kern w:val="0"/>
          <w:lang w:val="es-MX" w:eastAsia="ja-JP"/>
        </w:rPr>
        <w:t xml:space="preserve">– </w:t>
      </w:r>
      <w:r w:rsidRPr="00AA5D33">
        <w:rPr>
          <w:rFonts w:ascii="Times New Roman" w:hAnsi="Times New Roman"/>
        </w:rPr>
        <w:t>review and Editing</w:t>
      </w:r>
      <w:r>
        <w:rPr>
          <w:rFonts w:ascii="Times New Roman" w:hAnsi="Times New Roman"/>
        </w:rPr>
        <w:t xml:space="preserve"> </w:t>
      </w:r>
      <w:r w:rsidRPr="00C91DBA">
        <w:rPr>
          <w:rFonts w:ascii="Times New Roman" w:eastAsia="MS Mincho" w:hAnsi="Times New Roman"/>
          <w:color w:val="000000"/>
          <w:kern w:val="0"/>
          <w:lang w:val="es-MX" w:eastAsia="ja-JP"/>
        </w:rPr>
        <w:t xml:space="preserve">– </w:t>
      </w:r>
      <w:r w:rsidRPr="00AA5D33">
        <w:rPr>
          <w:rFonts w:ascii="Times New Roman" w:hAnsi="Times New Roman"/>
        </w:rPr>
        <w:t>M</w:t>
      </w:r>
      <w:r>
        <w:rPr>
          <w:rFonts w:ascii="Times New Roman" w:hAnsi="Times New Roman"/>
        </w:rPr>
        <w:t xml:space="preserve">AR, MMR, SMRH, </w:t>
      </w:r>
      <w:r w:rsidR="008F6D19">
        <w:rPr>
          <w:rFonts w:ascii="Times New Roman" w:hAnsi="Times New Roman"/>
        </w:rPr>
        <w:t>SSS</w:t>
      </w:r>
      <w:r>
        <w:rPr>
          <w:rFonts w:ascii="Times New Roman" w:hAnsi="Times New Roman"/>
        </w:rPr>
        <w:t xml:space="preserve">, MMH, MOI, </w:t>
      </w:r>
      <w:r w:rsidR="00576071">
        <w:rPr>
          <w:rFonts w:ascii="Times New Roman" w:hAnsi="Times New Roman"/>
        </w:rPr>
        <w:t xml:space="preserve">MAB, </w:t>
      </w:r>
      <w:r>
        <w:rPr>
          <w:rFonts w:ascii="Times New Roman" w:hAnsi="Times New Roman"/>
        </w:rPr>
        <w:t xml:space="preserve">FS, </w:t>
      </w:r>
      <w:r w:rsidR="0089429F">
        <w:rPr>
          <w:rFonts w:ascii="Times New Roman" w:hAnsi="Times New Roman"/>
        </w:rPr>
        <w:t>MGEH</w:t>
      </w:r>
      <w:r>
        <w:rPr>
          <w:rFonts w:ascii="Times New Roman" w:hAnsi="Times New Roman"/>
        </w:rPr>
        <w:t>, SSRMMAS, ANFA</w:t>
      </w:r>
      <w:r w:rsidRPr="00AA5D33">
        <w:rPr>
          <w:rFonts w:ascii="Times New Roman" w:hAnsi="Times New Roman"/>
        </w:rPr>
        <w:t>; Supervision</w:t>
      </w:r>
      <w:r>
        <w:rPr>
          <w:rFonts w:ascii="Times New Roman" w:hAnsi="Times New Roman"/>
        </w:rPr>
        <w:t xml:space="preserve"> </w:t>
      </w:r>
      <w:r w:rsidRPr="00C91DBA">
        <w:rPr>
          <w:rFonts w:ascii="Times New Roman" w:eastAsia="MS Mincho" w:hAnsi="Times New Roman"/>
          <w:color w:val="000000"/>
          <w:kern w:val="0"/>
          <w:lang w:val="es-MX" w:eastAsia="ja-JP"/>
        </w:rPr>
        <w:t xml:space="preserve">– ANFA, </w:t>
      </w:r>
      <w:r w:rsidR="0089429F">
        <w:rPr>
          <w:rFonts w:ascii="Times New Roman" w:eastAsia="MS Mincho" w:hAnsi="Times New Roman"/>
          <w:color w:val="000000"/>
          <w:kern w:val="0"/>
          <w:lang w:val="es-MX" w:eastAsia="ja-JP"/>
        </w:rPr>
        <w:t xml:space="preserve">MAR, </w:t>
      </w:r>
      <w:r>
        <w:rPr>
          <w:rFonts w:ascii="Times New Roman" w:hAnsi="Times New Roman"/>
        </w:rPr>
        <w:t>MMR, MMH, SMRH</w:t>
      </w:r>
      <w:r w:rsidRPr="00AA5D33">
        <w:rPr>
          <w:rFonts w:ascii="Times New Roman" w:hAnsi="Times New Roman"/>
        </w:rPr>
        <w:t>; data analysis and visualization</w:t>
      </w:r>
      <w:r>
        <w:rPr>
          <w:rFonts w:ascii="Times New Roman" w:hAnsi="Times New Roman"/>
        </w:rPr>
        <w:t xml:space="preserve"> </w:t>
      </w:r>
      <w:r w:rsidRPr="00C91DBA">
        <w:rPr>
          <w:rFonts w:ascii="Times New Roman" w:eastAsia="MS Mincho" w:hAnsi="Times New Roman"/>
          <w:color w:val="000000"/>
          <w:kern w:val="0"/>
          <w:lang w:val="es-MX" w:eastAsia="ja-JP"/>
        </w:rPr>
        <w:t xml:space="preserve">– </w:t>
      </w:r>
      <w:r>
        <w:rPr>
          <w:rFonts w:ascii="Times New Roman" w:hAnsi="Times New Roman"/>
        </w:rPr>
        <w:t xml:space="preserve">MAR, SMRH, </w:t>
      </w:r>
      <w:r w:rsidR="00B70C4E">
        <w:rPr>
          <w:rFonts w:ascii="Times New Roman" w:hAnsi="Times New Roman"/>
        </w:rPr>
        <w:t>SSS</w:t>
      </w:r>
      <w:r w:rsidRPr="00AA5D33">
        <w:rPr>
          <w:rFonts w:ascii="Times New Roman" w:hAnsi="Times New Roman"/>
        </w:rPr>
        <w:t>. All authors revised, read, and approved the final manuscript.</w:t>
      </w:r>
    </w:p>
    <w:p w14:paraId="7BCC80C8" w14:textId="3782C31A" w:rsidR="00D13F7C" w:rsidRPr="009C5BAA" w:rsidRDefault="00D13F7C" w:rsidP="00CA26EA">
      <w:pPr>
        <w:spacing w:after="0" w:line="360" w:lineRule="auto"/>
        <w:jc w:val="both"/>
        <w:rPr>
          <w:rFonts w:ascii="Times New Roman" w:hAnsi="Times New Roman"/>
          <w:b/>
          <w:bCs/>
        </w:rPr>
      </w:pPr>
      <w:r w:rsidRPr="009C5BAA">
        <w:rPr>
          <w:rFonts w:ascii="Times New Roman" w:hAnsi="Times New Roman"/>
          <w:b/>
          <w:bCs/>
        </w:rPr>
        <w:t>Funding</w:t>
      </w:r>
    </w:p>
    <w:p w14:paraId="6F7565AD" w14:textId="77777777" w:rsidR="00D13F7C" w:rsidRDefault="00D13F7C" w:rsidP="00CA26EA">
      <w:pPr>
        <w:spacing w:after="0" w:line="360" w:lineRule="auto"/>
        <w:jc w:val="both"/>
        <w:rPr>
          <w:rFonts w:ascii="Times New Roman" w:hAnsi="Times New Roman"/>
        </w:rPr>
      </w:pPr>
      <w:r w:rsidRPr="00CF300F">
        <w:rPr>
          <w:rFonts w:ascii="Times New Roman" w:hAnsi="Times New Roman"/>
        </w:rPr>
        <w:t>This research was conducted under the Rural Microenterprise Transformation Project (RMTP) initiatives and was financially supported by Palli Karma-</w:t>
      </w:r>
      <w:proofErr w:type="spellStart"/>
      <w:r w:rsidRPr="00CF300F">
        <w:rPr>
          <w:rFonts w:ascii="Times New Roman" w:hAnsi="Times New Roman"/>
        </w:rPr>
        <w:t>Sahayak</w:t>
      </w:r>
      <w:proofErr w:type="spellEnd"/>
      <w:r w:rsidRPr="00CF300F">
        <w:rPr>
          <w:rFonts w:ascii="Times New Roman" w:hAnsi="Times New Roman"/>
        </w:rPr>
        <w:t xml:space="preserve"> Foundation (PKSF), with funding assistance from the International Fund for Agricultural Development (IFAD) and the Danish International Development Agency (DANIDA). </w:t>
      </w:r>
    </w:p>
    <w:p w14:paraId="76EE67CD" w14:textId="5E8D21AD" w:rsidR="008E0057" w:rsidRDefault="008E0057" w:rsidP="00CA26EA">
      <w:pPr>
        <w:spacing w:after="0" w:line="360" w:lineRule="auto"/>
        <w:jc w:val="both"/>
        <w:rPr>
          <w:rFonts w:ascii="Times New Roman" w:hAnsi="Times New Roman"/>
        </w:rPr>
      </w:pPr>
      <w:r w:rsidRPr="008E0057">
        <w:rPr>
          <w:rFonts w:ascii="Times New Roman" w:hAnsi="Times New Roman"/>
          <w:b/>
          <w:bCs/>
        </w:rPr>
        <w:t>Declarations</w:t>
      </w:r>
    </w:p>
    <w:p w14:paraId="05CA82C8" w14:textId="10DC7AF5" w:rsidR="00D13F7C" w:rsidRPr="009C5BAA" w:rsidRDefault="00D13F7C" w:rsidP="00CA26EA">
      <w:pPr>
        <w:spacing w:after="0" w:line="360" w:lineRule="auto"/>
        <w:jc w:val="both"/>
        <w:rPr>
          <w:rFonts w:ascii="Times New Roman" w:hAnsi="Times New Roman"/>
          <w:b/>
          <w:bCs/>
        </w:rPr>
      </w:pPr>
      <w:r w:rsidRPr="009C5BAA">
        <w:rPr>
          <w:rFonts w:ascii="Times New Roman" w:hAnsi="Times New Roman"/>
          <w:b/>
          <w:bCs/>
        </w:rPr>
        <w:t>Competing interests</w:t>
      </w:r>
    </w:p>
    <w:p w14:paraId="2F2A7693" w14:textId="0B015FF9" w:rsidR="008E0057" w:rsidRDefault="00D13F7C" w:rsidP="00CA26EA">
      <w:pPr>
        <w:spacing w:after="0" w:line="360" w:lineRule="auto"/>
        <w:rPr>
          <w:rFonts w:ascii="Times New Roman" w:hAnsi="Times New Roman"/>
        </w:rPr>
      </w:pPr>
      <w:r w:rsidRPr="009C5BAA">
        <w:rPr>
          <w:rFonts w:ascii="Times New Roman" w:hAnsi="Times New Roman"/>
        </w:rPr>
        <w:t>The authors declare that they have no competing interests.</w:t>
      </w:r>
    </w:p>
    <w:p w14:paraId="5A77722F" w14:textId="77777777" w:rsidR="008E0057" w:rsidRPr="008E0057" w:rsidRDefault="008E0057" w:rsidP="00CA26EA">
      <w:pPr>
        <w:spacing w:after="0" w:line="360" w:lineRule="auto"/>
        <w:rPr>
          <w:rFonts w:ascii="Times New Roman" w:hAnsi="Times New Roman"/>
        </w:rPr>
      </w:pPr>
      <w:r w:rsidRPr="008E0057">
        <w:rPr>
          <w:rFonts w:ascii="Times New Roman" w:hAnsi="Times New Roman"/>
          <w:b/>
          <w:bCs/>
        </w:rPr>
        <w:t xml:space="preserve">Ethics approval and consent to participate </w:t>
      </w:r>
    </w:p>
    <w:p w14:paraId="336462C6" w14:textId="77777777" w:rsidR="008E0057" w:rsidRPr="008E0057" w:rsidRDefault="008E0057" w:rsidP="00CA26EA">
      <w:pPr>
        <w:spacing w:after="0" w:line="360" w:lineRule="auto"/>
        <w:rPr>
          <w:rFonts w:ascii="Times New Roman" w:hAnsi="Times New Roman"/>
        </w:rPr>
      </w:pPr>
      <w:r w:rsidRPr="008E0057">
        <w:rPr>
          <w:rFonts w:ascii="Times New Roman" w:hAnsi="Times New Roman"/>
        </w:rPr>
        <w:t xml:space="preserve">Not applicable. </w:t>
      </w:r>
    </w:p>
    <w:p w14:paraId="2D2E0D6A" w14:textId="77777777" w:rsidR="008E0057" w:rsidRPr="008E0057" w:rsidRDefault="008E0057" w:rsidP="00CA26EA">
      <w:pPr>
        <w:spacing w:after="0" w:line="360" w:lineRule="auto"/>
        <w:rPr>
          <w:rFonts w:ascii="Times New Roman" w:hAnsi="Times New Roman"/>
        </w:rPr>
      </w:pPr>
      <w:r w:rsidRPr="008E0057">
        <w:rPr>
          <w:rFonts w:ascii="Times New Roman" w:hAnsi="Times New Roman"/>
          <w:b/>
          <w:bCs/>
        </w:rPr>
        <w:t xml:space="preserve">Consent for publication </w:t>
      </w:r>
    </w:p>
    <w:p w14:paraId="7DC27346" w14:textId="5AC559EC" w:rsidR="008E0057" w:rsidRDefault="008E0057" w:rsidP="00CA26EA">
      <w:pPr>
        <w:spacing w:after="0" w:line="360" w:lineRule="auto"/>
        <w:rPr>
          <w:rFonts w:ascii="Times New Roman" w:hAnsi="Times New Roman"/>
        </w:rPr>
      </w:pPr>
      <w:r w:rsidRPr="008E0057">
        <w:rPr>
          <w:rFonts w:ascii="Times New Roman" w:hAnsi="Times New Roman"/>
        </w:rPr>
        <w:t>Not applicable.</w:t>
      </w:r>
    </w:p>
    <w:p w14:paraId="2CCD1FE7" w14:textId="77777777" w:rsidR="0071106E" w:rsidRDefault="0071106E" w:rsidP="00CA26EA">
      <w:pPr>
        <w:spacing w:after="0" w:line="360" w:lineRule="auto"/>
        <w:jc w:val="both"/>
        <w:rPr>
          <w:rFonts w:ascii="Times New Roman" w:hAnsi="Times New Roman"/>
          <w:b/>
          <w:bCs/>
        </w:rPr>
      </w:pPr>
      <w:r w:rsidRPr="008E0057">
        <w:rPr>
          <w:rFonts w:ascii="Times New Roman" w:hAnsi="Times New Roman"/>
          <w:b/>
          <w:bCs/>
        </w:rPr>
        <w:t xml:space="preserve">Data availability </w:t>
      </w:r>
    </w:p>
    <w:p w14:paraId="13FE2B74" w14:textId="7EDE694C" w:rsidR="0071106E" w:rsidRDefault="0071106E" w:rsidP="00CA26EA">
      <w:pPr>
        <w:spacing w:after="0" w:line="360" w:lineRule="auto"/>
        <w:jc w:val="both"/>
        <w:rPr>
          <w:rFonts w:ascii="Times New Roman" w:hAnsi="Times New Roman"/>
        </w:rPr>
      </w:pPr>
      <w:r w:rsidRPr="0071106E">
        <w:rPr>
          <w:rFonts w:ascii="Times New Roman" w:hAnsi="Times New Roman"/>
        </w:rPr>
        <w:t>The datasets generated or analyzed during the current study are available from the corresponding author upon reasonable request.</w:t>
      </w:r>
    </w:p>
    <w:p w14:paraId="6140A8E6" w14:textId="77777777" w:rsidR="00421E87" w:rsidRDefault="00421E87" w:rsidP="007E6BB0">
      <w:pPr>
        <w:spacing w:after="0" w:line="360" w:lineRule="auto"/>
        <w:rPr>
          <w:rFonts w:ascii="Times New Roman" w:hAnsi="Times New Roman" w:cs="Times New Roman"/>
          <w:b/>
          <w:bCs/>
        </w:rPr>
      </w:pPr>
    </w:p>
    <w:p w14:paraId="75097C3A" w14:textId="77777777" w:rsidR="00421E87" w:rsidRDefault="00421E87" w:rsidP="007E6BB0">
      <w:pPr>
        <w:spacing w:after="0" w:line="360" w:lineRule="auto"/>
        <w:rPr>
          <w:rFonts w:ascii="Times New Roman" w:hAnsi="Times New Roman" w:cs="Times New Roman"/>
          <w:b/>
          <w:bCs/>
        </w:rPr>
      </w:pPr>
    </w:p>
    <w:p w14:paraId="105A397E" w14:textId="77777777" w:rsidR="00421E87" w:rsidRDefault="00421E87" w:rsidP="007E6BB0">
      <w:pPr>
        <w:spacing w:after="0" w:line="360" w:lineRule="auto"/>
        <w:rPr>
          <w:rFonts w:ascii="Times New Roman" w:hAnsi="Times New Roman" w:cs="Times New Roman"/>
          <w:b/>
          <w:bCs/>
        </w:rPr>
      </w:pPr>
    </w:p>
    <w:p w14:paraId="1F5CEDA4" w14:textId="77777777" w:rsidR="00421E87" w:rsidRDefault="00421E87" w:rsidP="007E6BB0">
      <w:pPr>
        <w:spacing w:after="0" w:line="360" w:lineRule="auto"/>
        <w:rPr>
          <w:rFonts w:ascii="Times New Roman" w:hAnsi="Times New Roman" w:cs="Times New Roman"/>
          <w:b/>
          <w:bCs/>
        </w:rPr>
      </w:pPr>
    </w:p>
    <w:p w14:paraId="6E520711" w14:textId="77777777" w:rsidR="00BE01E1" w:rsidRPr="00005ED1" w:rsidRDefault="00BE01E1" w:rsidP="00BE01E1">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5BE5FD60" w14:textId="77777777" w:rsidR="00BE01E1" w:rsidRPr="00005ED1" w:rsidRDefault="00BE01E1" w:rsidP="00BE01E1">
      <w:pPr>
        <w:pStyle w:val="NoSpacing"/>
        <w:rPr>
          <w:rFonts w:ascii="Arial" w:hAnsi="Arial" w:cs="Arial"/>
          <w:highlight w:val="yellow"/>
        </w:rPr>
      </w:pPr>
    </w:p>
    <w:p w14:paraId="213642CA" w14:textId="77777777" w:rsidR="00BE01E1" w:rsidRPr="00005ED1" w:rsidRDefault="00BE01E1" w:rsidP="00BE01E1">
      <w:pPr>
        <w:pStyle w:val="NoSpacing"/>
        <w:rPr>
          <w:rFonts w:ascii="Arial" w:hAnsi="Arial" w:cs="Arial"/>
          <w:highlight w:val="yellow"/>
        </w:rPr>
      </w:pPr>
      <w:r w:rsidRPr="00005ED1">
        <w:rPr>
          <w:rFonts w:ascii="Arial" w:hAnsi="Arial" w:cs="Arial"/>
          <w:highlight w:val="yellow"/>
        </w:rPr>
        <w:t xml:space="preserve">Author(s) hereby </w:t>
      </w:r>
      <w:proofErr w:type="gramStart"/>
      <w:r w:rsidRPr="00005ED1">
        <w:rPr>
          <w:rFonts w:ascii="Arial" w:hAnsi="Arial" w:cs="Arial"/>
          <w:highlight w:val="yellow"/>
        </w:rPr>
        <w:t>declare</w:t>
      </w:r>
      <w:proofErr w:type="gramEnd"/>
      <w:r w:rsidRPr="00005ED1">
        <w:rPr>
          <w:rFonts w:ascii="Arial" w:hAnsi="Arial" w:cs="Arial"/>
          <w:highlight w:val="yellow"/>
        </w:rPr>
        <w:t xml:space="preserve"> that NO generative AI technologies such as Large Language Models (ChatGPT, COPILOT, etc.) and text-to-image generators have been used during the writing or editing of this manuscript. </w:t>
      </w:r>
    </w:p>
    <w:bookmarkEnd w:id="1"/>
    <w:p w14:paraId="39ACFCF9" w14:textId="77777777" w:rsidR="00BE01E1" w:rsidRDefault="00BE01E1" w:rsidP="00BE01E1">
      <w:pPr>
        <w:pStyle w:val="NoSpacing"/>
        <w:rPr>
          <w:rFonts w:ascii="Arial" w:hAnsi="Arial" w:cs="Arial"/>
        </w:rPr>
      </w:pPr>
    </w:p>
    <w:p w14:paraId="3C71C223" w14:textId="77777777" w:rsidR="00BE01E1" w:rsidRDefault="00BE01E1" w:rsidP="00BE01E1">
      <w:pPr>
        <w:pStyle w:val="NoSpacing"/>
        <w:rPr>
          <w:rFonts w:ascii="Arial" w:hAnsi="Arial" w:cs="Arial"/>
        </w:rPr>
      </w:pPr>
    </w:p>
    <w:p w14:paraId="73317ED8" w14:textId="77777777" w:rsidR="00BE01E1" w:rsidRPr="00005ED1" w:rsidRDefault="00BE01E1" w:rsidP="00BE01E1">
      <w:pPr>
        <w:pStyle w:val="NoSpacing"/>
        <w:rPr>
          <w:rFonts w:ascii="Arial" w:hAnsi="Arial" w:cs="Arial"/>
        </w:rPr>
      </w:pPr>
    </w:p>
    <w:p w14:paraId="3C1D829A" w14:textId="705C48AC" w:rsidR="007E481C" w:rsidRPr="006C05BF" w:rsidRDefault="007E481C" w:rsidP="007E6BB0">
      <w:pPr>
        <w:spacing w:after="0" w:line="360" w:lineRule="auto"/>
        <w:rPr>
          <w:rFonts w:ascii="Times New Roman" w:hAnsi="Times New Roman" w:cs="Times New Roman"/>
          <w:b/>
          <w:bCs/>
        </w:rPr>
      </w:pPr>
      <w:r w:rsidRPr="006C05BF">
        <w:rPr>
          <w:rFonts w:ascii="Times New Roman" w:hAnsi="Times New Roman" w:cs="Times New Roman"/>
          <w:b/>
          <w:bCs/>
        </w:rPr>
        <w:t>References</w:t>
      </w:r>
    </w:p>
    <w:p w14:paraId="3C7061C0" w14:textId="77777777" w:rsidR="00701ED5" w:rsidRPr="00701ED5" w:rsidRDefault="00701ED5" w:rsidP="00D62225">
      <w:pPr>
        <w:pStyle w:val="NormalWeb"/>
        <w:numPr>
          <w:ilvl w:val="0"/>
          <w:numId w:val="11"/>
        </w:numPr>
        <w:spacing w:before="0" w:beforeAutospacing="0" w:after="0" w:afterAutospacing="0" w:line="360" w:lineRule="auto"/>
        <w:jc w:val="both"/>
        <w:rPr>
          <w:color w:val="000000" w:themeColor="text1"/>
          <w:lang w:val="en-US"/>
        </w:rPr>
      </w:pPr>
      <w:r w:rsidRPr="00701ED5">
        <w:rPr>
          <w:color w:val="000000" w:themeColor="text1"/>
          <w:lang w:val="en-US"/>
        </w:rPr>
        <w:t xml:space="preserve">Abad, M., Fornes, F., Carrión, C., Noguera, V., Noguera, P., </w:t>
      </w:r>
      <w:proofErr w:type="spellStart"/>
      <w:r w:rsidRPr="00701ED5">
        <w:rPr>
          <w:color w:val="000000" w:themeColor="text1"/>
          <w:lang w:val="en-US"/>
        </w:rPr>
        <w:t>Maquieira</w:t>
      </w:r>
      <w:proofErr w:type="spellEnd"/>
      <w:r w:rsidRPr="00701ED5">
        <w:rPr>
          <w:color w:val="000000" w:themeColor="text1"/>
          <w:lang w:val="en-US"/>
        </w:rPr>
        <w:t xml:space="preserve">, Á., &amp; </w:t>
      </w:r>
      <w:proofErr w:type="spellStart"/>
      <w:r w:rsidRPr="00701ED5">
        <w:rPr>
          <w:color w:val="000000" w:themeColor="text1"/>
          <w:lang w:val="en-US"/>
        </w:rPr>
        <w:t>Puchades</w:t>
      </w:r>
      <w:proofErr w:type="spellEnd"/>
      <w:r w:rsidRPr="00701ED5">
        <w:rPr>
          <w:color w:val="000000" w:themeColor="text1"/>
          <w:lang w:val="en-US"/>
        </w:rPr>
        <w:t xml:space="preserve">, R. (2005). Physical properties of various coconut coir dusts compared to peat. </w:t>
      </w:r>
      <w:proofErr w:type="spellStart"/>
      <w:r w:rsidRPr="00701ED5">
        <w:rPr>
          <w:i/>
          <w:iCs/>
          <w:color w:val="000000" w:themeColor="text1"/>
          <w:lang w:val="en-US"/>
        </w:rPr>
        <w:t>HortScience</w:t>
      </w:r>
      <w:proofErr w:type="spellEnd"/>
      <w:r w:rsidRPr="00701ED5">
        <w:rPr>
          <w:i/>
          <w:iCs/>
          <w:color w:val="000000" w:themeColor="text1"/>
          <w:lang w:val="en-US"/>
        </w:rPr>
        <w:t>, 40</w:t>
      </w:r>
      <w:r w:rsidRPr="00701ED5">
        <w:rPr>
          <w:color w:val="000000" w:themeColor="text1"/>
          <w:lang w:val="en-US"/>
        </w:rPr>
        <w:t xml:space="preserve">, 2138–2144. </w:t>
      </w:r>
      <w:hyperlink r:id="rId18" w:tgtFrame="_new" w:history="1">
        <w:r w:rsidRPr="00701ED5">
          <w:rPr>
            <w:rStyle w:val="Hyperlink"/>
            <w:color w:val="000000" w:themeColor="text1"/>
            <w:u w:val="none"/>
            <w:lang w:val="en-US"/>
          </w:rPr>
          <w:t>https://doi.org/10.21273/HORTSCI.40.7.2138</w:t>
        </w:r>
      </w:hyperlink>
    </w:p>
    <w:p w14:paraId="3E62C8CF" w14:textId="77777777" w:rsidR="00701ED5" w:rsidRDefault="00701ED5" w:rsidP="00D62225">
      <w:pPr>
        <w:pStyle w:val="NormalWeb"/>
        <w:numPr>
          <w:ilvl w:val="0"/>
          <w:numId w:val="11"/>
        </w:numPr>
        <w:spacing w:before="0" w:beforeAutospacing="0" w:after="0" w:afterAutospacing="0" w:line="360" w:lineRule="auto"/>
        <w:jc w:val="both"/>
      </w:pPr>
      <w:r w:rsidRPr="00701ED5">
        <w:rPr>
          <w:color w:val="000000" w:themeColor="text1"/>
          <w:lang w:val="en-US"/>
        </w:rPr>
        <w:t xml:space="preserve">Abad, M., Noguera, P., &amp; Bures, S. (2001). National inventory of organic wastes for use as growing media for ornamental potted plant production: Case study in Spain. </w:t>
      </w:r>
      <w:r w:rsidRPr="00701ED5">
        <w:rPr>
          <w:i/>
          <w:iCs/>
          <w:color w:val="000000" w:themeColor="text1"/>
          <w:lang w:val="en-US"/>
        </w:rPr>
        <w:t>Bioresource Technology, 77</w:t>
      </w:r>
      <w:r w:rsidRPr="00701ED5">
        <w:rPr>
          <w:color w:val="000000" w:themeColor="text1"/>
          <w:lang w:val="en-US"/>
        </w:rPr>
        <w:t xml:space="preserve">(2), 197–200. </w:t>
      </w:r>
      <w:hyperlink r:id="rId19" w:tgtFrame="_new" w:history="1">
        <w:r w:rsidRPr="00701ED5">
          <w:rPr>
            <w:rStyle w:val="Hyperlink"/>
            <w:color w:val="000000" w:themeColor="text1"/>
            <w:u w:val="none"/>
            <w:lang w:val="en-US"/>
          </w:rPr>
          <w:t>https://doi.org/10.1016/S0960-8524(00)00152-8</w:t>
        </w:r>
      </w:hyperlink>
    </w:p>
    <w:p w14:paraId="551FC25E" w14:textId="3D4476D3" w:rsidR="005C76E0" w:rsidRDefault="005C76E0" w:rsidP="00D62225">
      <w:pPr>
        <w:pStyle w:val="NormalWeb"/>
        <w:numPr>
          <w:ilvl w:val="0"/>
          <w:numId w:val="11"/>
        </w:numPr>
        <w:spacing w:before="0" w:beforeAutospacing="0" w:after="0" w:afterAutospacing="0" w:line="360" w:lineRule="auto"/>
        <w:jc w:val="both"/>
        <w:rPr>
          <w:color w:val="000000" w:themeColor="text1"/>
          <w:lang w:val="en-US"/>
        </w:rPr>
      </w:pPr>
      <w:proofErr w:type="spellStart"/>
      <w:r w:rsidRPr="005C76E0">
        <w:rPr>
          <w:color w:val="000000" w:themeColor="text1"/>
          <w:lang w:val="en-US"/>
        </w:rPr>
        <w:t>Aliyi</w:t>
      </w:r>
      <w:proofErr w:type="spellEnd"/>
      <w:r w:rsidRPr="005C76E0">
        <w:rPr>
          <w:color w:val="000000" w:themeColor="text1"/>
          <w:lang w:val="en-US"/>
        </w:rPr>
        <w:t xml:space="preserve">, I., Faris, A., Ayele, A., </w:t>
      </w:r>
      <w:proofErr w:type="spellStart"/>
      <w:r w:rsidRPr="005C76E0">
        <w:rPr>
          <w:color w:val="000000" w:themeColor="text1"/>
          <w:lang w:val="en-US"/>
        </w:rPr>
        <w:t>Oljirra</w:t>
      </w:r>
      <w:proofErr w:type="spellEnd"/>
      <w:r w:rsidRPr="005C76E0">
        <w:rPr>
          <w:color w:val="000000" w:themeColor="text1"/>
          <w:lang w:val="en-US"/>
        </w:rPr>
        <w:t xml:space="preserve">, A., &amp; </w:t>
      </w:r>
      <w:proofErr w:type="spellStart"/>
      <w:r w:rsidRPr="005C76E0">
        <w:rPr>
          <w:color w:val="000000" w:themeColor="text1"/>
          <w:lang w:val="en-US"/>
        </w:rPr>
        <w:t>Bayessa</w:t>
      </w:r>
      <w:proofErr w:type="spellEnd"/>
      <w:r w:rsidRPr="005C76E0">
        <w:rPr>
          <w:color w:val="000000" w:themeColor="text1"/>
          <w:lang w:val="en-US"/>
        </w:rPr>
        <w:t xml:space="preserve">, M. (2021). </w:t>
      </w:r>
      <w:r w:rsidRPr="005C76E0">
        <w:rPr>
          <w:i/>
          <w:iCs/>
          <w:color w:val="000000" w:themeColor="text1"/>
          <w:lang w:val="en-US"/>
        </w:rPr>
        <w:t>Profitability and market performance of smallholder vegetable production: Evidence from Ethiopia</w:t>
      </w:r>
      <w:r w:rsidRPr="005C76E0">
        <w:rPr>
          <w:color w:val="000000" w:themeColor="text1"/>
          <w:lang w:val="en-US"/>
        </w:rPr>
        <w:t xml:space="preserve">. </w:t>
      </w:r>
      <w:proofErr w:type="spellStart"/>
      <w:r w:rsidRPr="005C76E0">
        <w:rPr>
          <w:color w:val="000000" w:themeColor="text1"/>
          <w:lang w:val="en-US"/>
        </w:rPr>
        <w:t>Heliyon</w:t>
      </w:r>
      <w:proofErr w:type="spellEnd"/>
      <w:r w:rsidRPr="005C76E0">
        <w:rPr>
          <w:color w:val="000000" w:themeColor="text1"/>
          <w:lang w:val="en-US"/>
        </w:rPr>
        <w:t xml:space="preserve">. </w:t>
      </w:r>
      <w:hyperlink r:id="rId20" w:history="1">
        <w:r w:rsidR="00B1560B" w:rsidRPr="008C4A3F">
          <w:rPr>
            <w:rStyle w:val="Hyperlink"/>
            <w:color w:val="000000" w:themeColor="text1"/>
            <w:u w:val="none"/>
            <w:lang w:val="en-US"/>
          </w:rPr>
          <w:t>https://doi.org/10.1016/j.heliyon.2021.e08008</w:t>
        </w:r>
      </w:hyperlink>
    </w:p>
    <w:p w14:paraId="186EBF6E" w14:textId="27402DDC" w:rsidR="00327DFD" w:rsidRDefault="00327DFD" w:rsidP="00D62225">
      <w:pPr>
        <w:pStyle w:val="NormalWeb"/>
        <w:numPr>
          <w:ilvl w:val="0"/>
          <w:numId w:val="11"/>
        </w:numPr>
        <w:spacing w:before="0" w:beforeAutospacing="0" w:after="0" w:afterAutospacing="0" w:line="360" w:lineRule="auto"/>
        <w:jc w:val="both"/>
        <w:rPr>
          <w:color w:val="000000" w:themeColor="text1"/>
          <w:lang w:val="en-US"/>
        </w:rPr>
      </w:pPr>
      <w:proofErr w:type="spellStart"/>
      <w:r w:rsidRPr="00327DFD">
        <w:rPr>
          <w:color w:val="000000" w:themeColor="text1"/>
          <w:lang w:val="en-US"/>
        </w:rPr>
        <w:t>Aynalema</w:t>
      </w:r>
      <w:proofErr w:type="spellEnd"/>
      <w:r w:rsidRPr="00327DFD">
        <w:rPr>
          <w:color w:val="000000" w:themeColor="text1"/>
          <w:lang w:val="en-US"/>
        </w:rPr>
        <w:t xml:space="preserve">, M., Wang, G., &amp; Chu, H. (2025). </w:t>
      </w:r>
      <w:r w:rsidRPr="00327DFD">
        <w:rPr>
          <w:i/>
          <w:iCs/>
          <w:color w:val="000000" w:themeColor="text1"/>
          <w:lang w:val="en-US"/>
        </w:rPr>
        <w:t>Technical efficiency of vegetable production among smallholder farmers in Northwest Ethiopia</w:t>
      </w:r>
      <w:r w:rsidRPr="00327DFD">
        <w:rPr>
          <w:color w:val="000000" w:themeColor="text1"/>
          <w:lang w:val="en-US"/>
        </w:rPr>
        <w:t xml:space="preserve">. </w:t>
      </w:r>
      <w:r w:rsidRPr="008C4A3F">
        <w:rPr>
          <w:color w:val="000000" w:themeColor="text1"/>
          <w:lang w:val="en-US"/>
        </w:rPr>
        <w:t>Cogent Food &amp; Agriculture, 11</w:t>
      </w:r>
      <w:r w:rsidRPr="00327DFD">
        <w:rPr>
          <w:color w:val="000000" w:themeColor="text1"/>
          <w:lang w:val="en-US"/>
        </w:rPr>
        <w:t>(1), 2567627. https://doi.org/10.1080/23311932.2025.2567627</w:t>
      </w:r>
    </w:p>
    <w:p w14:paraId="7D51E93F" w14:textId="56319FBA" w:rsidR="00B1560B" w:rsidRPr="00B1560B" w:rsidRDefault="00B1560B" w:rsidP="00D62225">
      <w:pPr>
        <w:pStyle w:val="NormalWeb"/>
        <w:numPr>
          <w:ilvl w:val="0"/>
          <w:numId w:val="11"/>
        </w:numPr>
        <w:spacing w:before="0" w:beforeAutospacing="0" w:after="0" w:afterAutospacing="0" w:line="360" w:lineRule="auto"/>
        <w:jc w:val="both"/>
        <w:rPr>
          <w:color w:val="000000" w:themeColor="text1"/>
          <w:lang w:val="en-US"/>
        </w:rPr>
      </w:pPr>
      <w:r w:rsidRPr="00B1560B">
        <w:rPr>
          <w:color w:val="000000" w:themeColor="text1"/>
          <w:lang w:val="en-US"/>
        </w:rPr>
        <w:t xml:space="preserve">Ayen, K., Kidane, T., &amp; </w:t>
      </w:r>
      <w:proofErr w:type="spellStart"/>
      <w:r w:rsidRPr="00B1560B">
        <w:rPr>
          <w:color w:val="000000" w:themeColor="text1"/>
          <w:lang w:val="en-US"/>
        </w:rPr>
        <w:t>Wubet</w:t>
      </w:r>
      <w:proofErr w:type="spellEnd"/>
      <w:r w:rsidRPr="00B1560B">
        <w:rPr>
          <w:color w:val="000000" w:themeColor="text1"/>
          <w:lang w:val="en-US"/>
        </w:rPr>
        <w:t xml:space="preserve">, A. (2024). </w:t>
      </w:r>
      <w:r w:rsidRPr="00B1560B">
        <w:rPr>
          <w:i/>
          <w:iCs/>
          <w:color w:val="000000" w:themeColor="text1"/>
          <w:lang w:val="en-US"/>
        </w:rPr>
        <w:t>Technical and cost efficiency analysis of irrigated onion production: Insight from smallholders irrigated onion farmers in North East Amhara National Regional State, Ethiopia</w:t>
      </w:r>
      <w:r w:rsidRPr="00B1560B">
        <w:rPr>
          <w:color w:val="000000" w:themeColor="text1"/>
          <w:lang w:val="en-US"/>
        </w:rPr>
        <w:t>. Frontiers in Sustainable Food Systems, 8, 1495820. https://doi.org/10.3389/fsufs.2024.1495820</w:t>
      </w:r>
    </w:p>
    <w:p w14:paraId="6EBE80AB" w14:textId="77777777" w:rsidR="00701ED5" w:rsidRPr="00701ED5" w:rsidRDefault="00701ED5" w:rsidP="00D62225">
      <w:pPr>
        <w:pStyle w:val="NormalWeb"/>
        <w:numPr>
          <w:ilvl w:val="0"/>
          <w:numId w:val="11"/>
        </w:numPr>
        <w:spacing w:before="0" w:beforeAutospacing="0" w:after="0" w:afterAutospacing="0" w:line="360" w:lineRule="auto"/>
        <w:jc w:val="both"/>
        <w:rPr>
          <w:color w:val="000000" w:themeColor="text1"/>
          <w:lang w:val="en-US"/>
        </w:rPr>
      </w:pPr>
      <w:r w:rsidRPr="00701ED5">
        <w:rPr>
          <w:color w:val="000000" w:themeColor="text1"/>
          <w:lang w:val="en-US"/>
        </w:rPr>
        <w:t xml:space="preserve">Bangladesh Bureau of Statistics (BBS). (2023). </w:t>
      </w:r>
      <w:r w:rsidRPr="00701ED5">
        <w:rPr>
          <w:i/>
          <w:iCs/>
          <w:color w:val="000000" w:themeColor="text1"/>
          <w:lang w:val="en-US"/>
        </w:rPr>
        <w:t>Yearbook of agricultural statistics of Bangladesh 2022</w:t>
      </w:r>
      <w:r w:rsidRPr="00701ED5">
        <w:rPr>
          <w:color w:val="000000" w:themeColor="text1"/>
          <w:lang w:val="en-US"/>
        </w:rPr>
        <w:t>. Dhaka: Bangladesh Bureau of Statistics.</w:t>
      </w:r>
    </w:p>
    <w:p w14:paraId="1D5B074D" w14:textId="77777777" w:rsidR="00701ED5" w:rsidRPr="00701ED5" w:rsidRDefault="00701ED5" w:rsidP="00D62225">
      <w:pPr>
        <w:pStyle w:val="NormalWeb"/>
        <w:numPr>
          <w:ilvl w:val="0"/>
          <w:numId w:val="11"/>
        </w:numPr>
        <w:spacing w:before="0" w:beforeAutospacing="0" w:after="0" w:afterAutospacing="0" w:line="360" w:lineRule="auto"/>
        <w:jc w:val="both"/>
        <w:rPr>
          <w:color w:val="000000" w:themeColor="text1"/>
          <w:lang w:val="en-US"/>
        </w:rPr>
      </w:pPr>
      <w:r w:rsidRPr="00701ED5">
        <w:rPr>
          <w:color w:val="000000" w:themeColor="text1"/>
          <w:lang w:val="en-US"/>
        </w:rPr>
        <w:t xml:space="preserve">Barrett, G. E., Alexander, P. D., Robinson, J. S., &amp; Bragg, N. C. (2016). Achieving environmentally sustainable growing media for soilless plant cultivation systems: A review. </w:t>
      </w:r>
      <w:r w:rsidRPr="00701ED5">
        <w:rPr>
          <w:i/>
          <w:iCs/>
          <w:color w:val="000000" w:themeColor="text1"/>
          <w:lang w:val="en-US"/>
        </w:rPr>
        <w:t xml:space="preserve">Scientia </w:t>
      </w:r>
      <w:proofErr w:type="spellStart"/>
      <w:r w:rsidRPr="00701ED5">
        <w:rPr>
          <w:i/>
          <w:iCs/>
          <w:color w:val="000000" w:themeColor="text1"/>
          <w:lang w:val="en-US"/>
        </w:rPr>
        <w:t>Horticulturae</w:t>
      </w:r>
      <w:proofErr w:type="spellEnd"/>
      <w:r w:rsidRPr="00701ED5">
        <w:rPr>
          <w:i/>
          <w:iCs/>
          <w:color w:val="000000" w:themeColor="text1"/>
          <w:lang w:val="en-US"/>
        </w:rPr>
        <w:t>, 212</w:t>
      </w:r>
      <w:r w:rsidRPr="00701ED5">
        <w:rPr>
          <w:color w:val="000000" w:themeColor="text1"/>
          <w:lang w:val="en-US"/>
        </w:rPr>
        <w:t xml:space="preserve">, 220–234. </w:t>
      </w:r>
      <w:hyperlink r:id="rId21" w:tgtFrame="_new" w:history="1">
        <w:r w:rsidRPr="00701ED5">
          <w:rPr>
            <w:rStyle w:val="Hyperlink"/>
            <w:color w:val="000000" w:themeColor="text1"/>
            <w:u w:val="none"/>
            <w:lang w:val="en-US"/>
          </w:rPr>
          <w:t>https://doi.org/10.1016/j.scienta.2016.09.030</w:t>
        </w:r>
      </w:hyperlink>
    </w:p>
    <w:p w14:paraId="4833CD18" w14:textId="77777777" w:rsidR="00701ED5" w:rsidRPr="00701ED5" w:rsidRDefault="00701ED5" w:rsidP="00D62225">
      <w:pPr>
        <w:pStyle w:val="NormalWeb"/>
        <w:numPr>
          <w:ilvl w:val="0"/>
          <w:numId w:val="11"/>
        </w:numPr>
        <w:spacing w:before="0" w:beforeAutospacing="0" w:after="0" w:afterAutospacing="0" w:line="360" w:lineRule="auto"/>
        <w:jc w:val="both"/>
        <w:rPr>
          <w:color w:val="000000" w:themeColor="text1"/>
          <w:lang w:val="en-US"/>
        </w:rPr>
      </w:pPr>
      <w:r w:rsidRPr="00701ED5">
        <w:rPr>
          <w:color w:val="000000" w:themeColor="text1"/>
          <w:lang w:val="en-US"/>
        </w:rPr>
        <w:lastRenderedPageBreak/>
        <w:t xml:space="preserve">Dash, P. K., Das, S., Ray, J., &amp; Mukherjee, S. (2020). Containerized soilless vegetable seedling production techniques and profitability for Bangladesh. </w:t>
      </w:r>
      <w:r w:rsidRPr="00701ED5">
        <w:rPr>
          <w:i/>
          <w:iCs/>
          <w:color w:val="000000" w:themeColor="text1"/>
          <w:lang w:val="en-US"/>
        </w:rPr>
        <w:t>International Journal of Biosciences, 17</w:t>
      </w:r>
      <w:r w:rsidRPr="00701ED5">
        <w:rPr>
          <w:color w:val="000000" w:themeColor="text1"/>
          <w:lang w:val="en-US"/>
        </w:rPr>
        <w:t xml:space="preserve">(4), 144–153. </w:t>
      </w:r>
      <w:hyperlink r:id="rId22" w:tgtFrame="_new" w:history="1">
        <w:r w:rsidRPr="00701ED5">
          <w:rPr>
            <w:rStyle w:val="Hyperlink"/>
            <w:color w:val="000000" w:themeColor="text1"/>
            <w:u w:val="none"/>
            <w:lang w:val="en-US"/>
          </w:rPr>
          <w:t>https://doi.org/10.12692/ijb/17.4.144-153</w:t>
        </w:r>
      </w:hyperlink>
    </w:p>
    <w:p w14:paraId="064FED6F" w14:textId="77777777" w:rsidR="00701ED5" w:rsidRPr="00701ED5" w:rsidRDefault="00701ED5" w:rsidP="00D62225">
      <w:pPr>
        <w:pStyle w:val="NormalWeb"/>
        <w:numPr>
          <w:ilvl w:val="0"/>
          <w:numId w:val="11"/>
        </w:numPr>
        <w:spacing w:before="0" w:beforeAutospacing="0" w:after="0" w:afterAutospacing="0" w:line="360" w:lineRule="auto"/>
        <w:jc w:val="both"/>
        <w:rPr>
          <w:color w:val="000000" w:themeColor="text1"/>
          <w:lang w:val="en-US"/>
        </w:rPr>
      </w:pPr>
      <w:r w:rsidRPr="00701ED5">
        <w:rPr>
          <w:color w:val="000000" w:themeColor="text1"/>
          <w:lang w:val="en-US"/>
        </w:rPr>
        <w:t xml:space="preserve">Ellis, R. H., &amp; Roberts, E. H. (1995). Seed </w:t>
      </w:r>
      <w:proofErr w:type="spellStart"/>
      <w:r w:rsidRPr="00701ED5">
        <w:rPr>
          <w:color w:val="000000" w:themeColor="text1"/>
          <w:lang w:val="en-US"/>
        </w:rPr>
        <w:t>vigour</w:t>
      </w:r>
      <w:proofErr w:type="spellEnd"/>
      <w:r w:rsidRPr="00701ED5">
        <w:rPr>
          <w:color w:val="000000" w:themeColor="text1"/>
          <w:lang w:val="en-US"/>
        </w:rPr>
        <w:t xml:space="preserve"> and crop establishment: The role of seedling characteristics in field performance. </w:t>
      </w:r>
      <w:r w:rsidRPr="00701ED5">
        <w:rPr>
          <w:i/>
          <w:iCs/>
          <w:color w:val="000000" w:themeColor="text1"/>
          <w:lang w:val="en-US"/>
        </w:rPr>
        <w:t>Journal of Experimental Botany, 67</w:t>
      </w:r>
      <w:r w:rsidRPr="00701ED5">
        <w:rPr>
          <w:color w:val="000000" w:themeColor="text1"/>
          <w:lang w:val="en-US"/>
        </w:rPr>
        <w:t xml:space="preserve">(3), 567–585. </w:t>
      </w:r>
      <w:hyperlink r:id="rId23" w:tgtFrame="_new" w:history="1">
        <w:r w:rsidRPr="00701ED5">
          <w:rPr>
            <w:rStyle w:val="Hyperlink"/>
            <w:color w:val="000000" w:themeColor="text1"/>
            <w:u w:val="none"/>
            <w:lang w:val="en-US"/>
          </w:rPr>
          <w:t>https://doi.org/10.1093/jxb/erv475</w:t>
        </w:r>
      </w:hyperlink>
    </w:p>
    <w:p w14:paraId="43547B63" w14:textId="77777777" w:rsidR="00701ED5" w:rsidRPr="00701ED5" w:rsidRDefault="00701ED5" w:rsidP="00D62225">
      <w:pPr>
        <w:pStyle w:val="NormalWeb"/>
        <w:numPr>
          <w:ilvl w:val="0"/>
          <w:numId w:val="11"/>
        </w:numPr>
        <w:spacing w:before="0" w:beforeAutospacing="0" w:after="0" w:afterAutospacing="0" w:line="360" w:lineRule="auto"/>
        <w:jc w:val="both"/>
        <w:rPr>
          <w:color w:val="000000" w:themeColor="text1"/>
          <w:lang w:val="en-US"/>
        </w:rPr>
      </w:pPr>
      <w:r w:rsidRPr="00D62225">
        <w:rPr>
          <w:color w:val="000000" w:themeColor="text1"/>
          <w:lang w:val="nl-BE"/>
        </w:rPr>
        <w:t xml:space="preserve">Evans, M. R., Konduru, S., &amp; Stamps, R. H. (1996). </w:t>
      </w:r>
      <w:r w:rsidRPr="00701ED5">
        <w:rPr>
          <w:color w:val="000000" w:themeColor="text1"/>
          <w:lang w:val="en-US"/>
        </w:rPr>
        <w:t xml:space="preserve">Source variation in physical and chemical properties of coconut coir dust. </w:t>
      </w:r>
      <w:proofErr w:type="spellStart"/>
      <w:r w:rsidRPr="00701ED5">
        <w:rPr>
          <w:i/>
          <w:iCs/>
          <w:color w:val="000000" w:themeColor="text1"/>
          <w:lang w:val="en-US"/>
        </w:rPr>
        <w:t>HortScience</w:t>
      </w:r>
      <w:proofErr w:type="spellEnd"/>
      <w:r w:rsidRPr="00701ED5">
        <w:rPr>
          <w:i/>
          <w:iCs/>
          <w:color w:val="000000" w:themeColor="text1"/>
          <w:lang w:val="en-US"/>
        </w:rPr>
        <w:t>, 31</w:t>
      </w:r>
      <w:r w:rsidRPr="00701ED5">
        <w:rPr>
          <w:color w:val="000000" w:themeColor="text1"/>
          <w:lang w:val="en-US"/>
        </w:rPr>
        <w:t xml:space="preserve">(6), 965–967. </w:t>
      </w:r>
      <w:hyperlink r:id="rId24" w:tgtFrame="_new" w:history="1">
        <w:r w:rsidRPr="00701ED5">
          <w:rPr>
            <w:rStyle w:val="Hyperlink"/>
            <w:color w:val="000000" w:themeColor="text1"/>
            <w:u w:val="none"/>
            <w:lang w:val="en-US"/>
          </w:rPr>
          <w:t>https://doi.org/10.21273/HORTSCI.31.6.965</w:t>
        </w:r>
      </w:hyperlink>
    </w:p>
    <w:p w14:paraId="1B0E6A6C" w14:textId="77777777" w:rsidR="00701ED5" w:rsidRPr="00701ED5" w:rsidRDefault="00701ED5" w:rsidP="00D62225">
      <w:pPr>
        <w:pStyle w:val="NormalWeb"/>
        <w:numPr>
          <w:ilvl w:val="0"/>
          <w:numId w:val="11"/>
        </w:numPr>
        <w:spacing w:before="0" w:beforeAutospacing="0" w:after="0" w:afterAutospacing="0" w:line="360" w:lineRule="auto"/>
        <w:jc w:val="both"/>
        <w:rPr>
          <w:color w:val="000000" w:themeColor="text1"/>
          <w:lang w:val="en-US"/>
        </w:rPr>
      </w:pPr>
      <w:r w:rsidRPr="00701ED5">
        <w:rPr>
          <w:color w:val="000000" w:themeColor="text1"/>
          <w:lang w:val="en-US"/>
        </w:rPr>
        <w:t xml:space="preserve">Feder, G., Just, R. E., &amp; Zilberman, D. (1985). Adoption of agricultural innovations in developing countries: A survey. </w:t>
      </w:r>
      <w:r w:rsidRPr="00701ED5">
        <w:rPr>
          <w:i/>
          <w:iCs/>
          <w:color w:val="000000" w:themeColor="text1"/>
          <w:lang w:val="en-US"/>
        </w:rPr>
        <w:t>Economic Development and Cultural Change, 33</w:t>
      </w:r>
      <w:r w:rsidRPr="00701ED5">
        <w:rPr>
          <w:color w:val="000000" w:themeColor="text1"/>
          <w:lang w:val="en-US"/>
        </w:rPr>
        <w:t>(2), 255–298.</w:t>
      </w:r>
    </w:p>
    <w:p w14:paraId="13156277" w14:textId="77777777" w:rsidR="00701ED5" w:rsidRPr="00701ED5" w:rsidRDefault="00701ED5" w:rsidP="00D62225">
      <w:pPr>
        <w:pStyle w:val="NormalWeb"/>
        <w:numPr>
          <w:ilvl w:val="0"/>
          <w:numId w:val="11"/>
        </w:numPr>
        <w:spacing w:before="0" w:beforeAutospacing="0" w:after="0" w:afterAutospacing="0" w:line="360" w:lineRule="auto"/>
        <w:jc w:val="both"/>
        <w:rPr>
          <w:color w:val="000000" w:themeColor="text1"/>
          <w:lang w:val="en-US"/>
        </w:rPr>
      </w:pPr>
      <w:r w:rsidRPr="00701ED5">
        <w:rPr>
          <w:color w:val="000000" w:themeColor="text1"/>
          <w:lang w:val="en-US"/>
        </w:rPr>
        <w:t xml:space="preserve">Feder, G., </w:t>
      </w:r>
      <w:proofErr w:type="spellStart"/>
      <w:r w:rsidRPr="00701ED5">
        <w:rPr>
          <w:color w:val="000000" w:themeColor="text1"/>
          <w:lang w:val="en-US"/>
        </w:rPr>
        <w:t>Murgai</w:t>
      </w:r>
      <w:proofErr w:type="spellEnd"/>
      <w:r w:rsidRPr="00701ED5">
        <w:rPr>
          <w:color w:val="000000" w:themeColor="text1"/>
          <w:lang w:val="en-US"/>
        </w:rPr>
        <w:t xml:space="preserve">, R., &amp; Quizon, J. B. (2004). The acquisition and diffusion of knowledge: The case of pest management training in farmer field schools, Indonesia. </w:t>
      </w:r>
      <w:r w:rsidRPr="00701ED5">
        <w:rPr>
          <w:i/>
          <w:iCs/>
          <w:color w:val="000000" w:themeColor="text1"/>
          <w:lang w:val="en-US"/>
        </w:rPr>
        <w:t>Journal of Agricultural Economics, 55</w:t>
      </w:r>
      <w:r w:rsidRPr="00701ED5">
        <w:rPr>
          <w:color w:val="000000" w:themeColor="text1"/>
          <w:lang w:val="en-US"/>
        </w:rPr>
        <w:t xml:space="preserve">(2), 221–243. </w:t>
      </w:r>
      <w:hyperlink r:id="rId25" w:tgtFrame="_new" w:history="1">
        <w:r w:rsidRPr="00701ED5">
          <w:rPr>
            <w:rStyle w:val="Hyperlink"/>
            <w:color w:val="000000" w:themeColor="text1"/>
            <w:u w:val="none"/>
            <w:lang w:val="en-US"/>
          </w:rPr>
          <w:t>https://doi.org/10.1111/j.1477-9552.2004.tb00095.x</w:t>
        </w:r>
      </w:hyperlink>
    </w:p>
    <w:p w14:paraId="366F2FAB" w14:textId="77777777" w:rsidR="00701ED5" w:rsidRDefault="00701ED5" w:rsidP="00D62225">
      <w:pPr>
        <w:pStyle w:val="NormalWeb"/>
        <w:numPr>
          <w:ilvl w:val="0"/>
          <w:numId w:val="11"/>
        </w:numPr>
        <w:spacing w:before="0" w:beforeAutospacing="0" w:after="0" w:afterAutospacing="0" w:line="360" w:lineRule="auto"/>
        <w:jc w:val="both"/>
        <w:rPr>
          <w:color w:val="000000" w:themeColor="text1"/>
          <w:lang w:val="en-US"/>
        </w:rPr>
      </w:pPr>
      <w:r w:rsidRPr="00701ED5">
        <w:rPr>
          <w:color w:val="000000" w:themeColor="text1"/>
          <w:lang w:val="en-US"/>
        </w:rPr>
        <w:t xml:space="preserve">Food and Agriculture Organization of the United Nations (FAO). (2022). </w:t>
      </w:r>
      <w:r w:rsidRPr="00701ED5">
        <w:rPr>
          <w:i/>
          <w:iCs/>
          <w:color w:val="000000" w:themeColor="text1"/>
          <w:lang w:val="en-US"/>
        </w:rPr>
        <w:t>The state of food and agriculture 2022</w:t>
      </w:r>
      <w:r w:rsidRPr="00701ED5">
        <w:rPr>
          <w:color w:val="000000" w:themeColor="text1"/>
          <w:lang w:val="en-US"/>
        </w:rPr>
        <w:t>. Rome: FAO.</w:t>
      </w:r>
    </w:p>
    <w:p w14:paraId="09F31415" w14:textId="7B32FD77" w:rsidR="00562A97" w:rsidRPr="00701ED5" w:rsidRDefault="00562A97" w:rsidP="00D62225">
      <w:pPr>
        <w:pStyle w:val="NormalWeb"/>
        <w:numPr>
          <w:ilvl w:val="0"/>
          <w:numId w:val="11"/>
        </w:numPr>
        <w:spacing w:before="0" w:beforeAutospacing="0" w:after="0" w:afterAutospacing="0" w:line="360" w:lineRule="auto"/>
        <w:jc w:val="both"/>
        <w:rPr>
          <w:color w:val="000000" w:themeColor="text1"/>
          <w:lang w:val="en-US"/>
        </w:rPr>
      </w:pPr>
      <w:r w:rsidRPr="00421E87">
        <w:rPr>
          <w:color w:val="000000" w:themeColor="text1"/>
          <w:lang w:val="nl-BE"/>
        </w:rPr>
        <w:t xml:space="preserve">Girardin, O., Dao, D., Koudou, B. G., Essé, C., Cissé, G., Yao, T., N’Goran, E. K., Tschannen, A. B., Bordmann, G., Lehmann, B., Nsabimana, C., Keiser, J., Killeen, G. F., Singer, B. H., Tanner, M., &amp; Utzinger, J. (2004). </w:t>
      </w:r>
      <w:r w:rsidRPr="00731420">
        <w:rPr>
          <w:color w:val="000000" w:themeColor="text1"/>
          <w:lang w:val="en-US"/>
        </w:rPr>
        <w:t xml:space="preserve">Opportunities and limiting factors of intensive vegetable farming in malaria endemic Côte d’Ivoire. Acta Tropica, 89(2), 109–123. </w:t>
      </w:r>
      <w:hyperlink r:id="rId26" w:history="1">
        <w:r w:rsidRPr="008B6C76">
          <w:rPr>
            <w:rStyle w:val="Hyperlink"/>
            <w:color w:val="000000" w:themeColor="text1"/>
            <w:u w:val="none"/>
            <w:lang w:val="en-US"/>
          </w:rPr>
          <w:t>https://doi.org/10.1016/j.actatropica.2003.08.004</w:t>
        </w:r>
      </w:hyperlink>
    </w:p>
    <w:p w14:paraId="6284950D" w14:textId="21CE48EA" w:rsidR="00701ED5" w:rsidRPr="00701ED5" w:rsidRDefault="00701ED5" w:rsidP="00D62225">
      <w:pPr>
        <w:pStyle w:val="NormalWeb"/>
        <w:numPr>
          <w:ilvl w:val="0"/>
          <w:numId w:val="11"/>
        </w:numPr>
        <w:spacing w:before="0" w:beforeAutospacing="0" w:after="0" w:afterAutospacing="0" w:line="360" w:lineRule="auto"/>
        <w:jc w:val="both"/>
        <w:rPr>
          <w:color w:val="000000" w:themeColor="text1"/>
          <w:lang w:val="en-US"/>
        </w:rPr>
      </w:pPr>
      <w:r w:rsidRPr="00701ED5">
        <w:rPr>
          <w:color w:val="000000" w:themeColor="text1"/>
          <w:lang w:val="en-US"/>
        </w:rPr>
        <w:t>Gruda, N.</w:t>
      </w:r>
      <w:r w:rsidR="0066052F">
        <w:rPr>
          <w:color w:val="000000" w:themeColor="text1"/>
          <w:lang w:val="en-US"/>
        </w:rPr>
        <w:t>S.</w:t>
      </w:r>
      <w:r w:rsidRPr="00701ED5">
        <w:rPr>
          <w:color w:val="000000" w:themeColor="text1"/>
          <w:lang w:val="en-US"/>
        </w:rPr>
        <w:t xml:space="preserve"> (2019). Increasing sustainability of growing media constituents and </w:t>
      </w:r>
      <w:proofErr w:type="spellStart"/>
      <w:proofErr w:type="gramStart"/>
      <w:r w:rsidRPr="00701ED5">
        <w:rPr>
          <w:color w:val="000000" w:themeColor="text1"/>
          <w:lang w:val="en-US"/>
        </w:rPr>
        <w:t>stand alone</w:t>
      </w:r>
      <w:proofErr w:type="spellEnd"/>
      <w:proofErr w:type="gramEnd"/>
      <w:r w:rsidRPr="00701ED5">
        <w:rPr>
          <w:color w:val="000000" w:themeColor="text1"/>
          <w:lang w:val="en-US"/>
        </w:rPr>
        <w:t xml:space="preserve"> substrates in soilless culture systems. </w:t>
      </w:r>
      <w:r w:rsidRPr="00701ED5">
        <w:rPr>
          <w:i/>
          <w:iCs/>
          <w:color w:val="000000" w:themeColor="text1"/>
          <w:lang w:val="en-US"/>
        </w:rPr>
        <w:t>Agronomy, 9</w:t>
      </w:r>
      <w:r w:rsidRPr="00701ED5">
        <w:rPr>
          <w:color w:val="000000" w:themeColor="text1"/>
          <w:lang w:val="en-US"/>
        </w:rPr>
        <w:t xml:space="preserve">(6), 298. </w:t>
      </w:r>
      <w:hyperlink r:id="rId27" w:tgtFrame="_new" w:history="1">
        <w:r w:rsidRPr="00701ED5">
          <w:rPr>
            <w:rStyle w:val="Hyperlink"/>
            <w:color w:val="000000" w:themeColor="text1"/>
            <w:u w:val="none"/>
            <w:lang w:val="en-US"/>
          </w:rPr>
          <w:t>https://doi.org/10.3390/agronomy9060298</w:t>
        </w:r>
      </w:hyperlink>
    </w:p>
    <w:p w14:paraId="1356FD13" w14:textId="77777777" w:rsidR="00701ED5" w:rsidRPr="00701ED5" w:rsidRDefault="00701ED5" w:rsidP="00D62225">
      <w:pPr>
        <w:pStyle w:val="NormalWeb"/>
        <w:numPr>
          <w:ilvl w:val="0"/>
          <w:numId w:val="11"/>
        </w:numPr>
        <w:spacing w:before="0" w:beforeAutospacing="0" w:after="0" w:afterAutospacing="0" w:line="360" w:lineRule="auto"/>
        <w:jc w:val="both"/>
        <w:rPr>
          <w:color w:val="000000" w:themeColor="text1"/>
          <w:lang w:val="en-US"/>
        </w:rPr>
      </w:pPr>
      <w:r w:rsidRPr="00701ED5">
        <w:rPr>
          <w:color w:val="000000" w:themeColor="text1"/>
          <w:lang w:val="en-US"/>
        </w:rPr>
        <w:t xml:space="preserve">Haque, M., Miah, M. M., &amp; Rashid, M. (2008). An economic study of plant nursery business in Gazipur and Jessore districts of Bangladesh. </w:t>
      </w:r>
      <w:r w:rsidRPr="00701ED5">
        <w:rPr>
          <w:i/>
          <w:iCs/>
          <w:color w:val="000000" w:themeColor="text1"/>
          <w:lang w:val="en-US"/>
        </w:rPr>
        <w:t>Bangladesh Journal of Agricultural Research, 32</w:t>
      </w:r>
      <w:r w:rsidRPr="00701ED5">
        <w:rPr>
          <w:color w:val="000000" w:themeColor="text1"/>
          <w:lang w:val="en-US"/>
        </w:rPr>
        <w:t xml:space="preserve">(3), 375–385. </w:t>
      </w:r>
      <w:hyperlink r:id="rId28" w:tgtFrame="_new" w:history="1">
        <w:r w:rsidRPr="00701ED5">
          <w:rPr>
            <w:rStyle w:val="Hyperlink"/>
            <w:color w:val="000000" w:themeColor="text1"/>
            <w:u w:val="none"/>
            <w:lang w:val="en-US"/>
          </w:rPr>
          <w:t>https://doi.org/10.3329/bjar.v32i3.539</w:t>
        </w:r>
      </w:hyperlink>
    </w:p>
    <w:p w14:paraId="0B378438" w14:textId="77777777" w:rsidR="00701ED5" w:rsidRDefault="00701ED5" w:rsidP="00D62225">
      <w:pPr>
        <w:pStyle w:val="NormalWeb"/>
        <w:numPr>
          <w:ilvl w:val="0"/>
          <w:numId w:val="11"/>
        </w:numPr>
        <w:spacing w:before="0" w:beforeAutospacing="0" w:after="0" w:afterAutospacing="0" w:line="360" w:lineRule="auto"/>
        <w:jc w:val="both"/>
      </w:pPr>
      <w:r w:rsidRPr="00701ED5">
        <w:rPr>
          <w:color w:val="000000" w:themeColor="text1"/>
          <w:lang w:val="en-US"/>
        </w:rPr>
        <w:lastRenderedPageBreak/>
        <w:t xml:space="preserve">Hasan, M. R., Islam, M. A., Kameyama, H., &amp; Hu, B. (2020). Profitability and technical efficiency of vegetable production in Bangladesh. </w:t>
      </w:r>
      <w:r w:rsidRPr="00701ED5">
        <w:rPr>
          <w:i/>
          <w:iCs/>
          <w:color w:val="000000" w:themeColor="text1"/>
          <w:lang w:val="en-US"/>
        </w:rPr>
        <w:t>Journal of the Bangladesh Agricultural University, 18</w:t>
      </w:r>
      <w:r w:rsidRPr="00701ED5">
        <w:rPr>
          <w:color w:val="000000" w:themeColor="text1"/>
          <w:lang w:val="en-US"/>
        </w:rPr>
        <w:t xml:space="preserve">(4), 1–10. </w:t>
      </w:r>
      <w:hyperlink r:id="rId29" w:tgtFrame="_new" w:history="1">
        <w:r w:rsidRPr="00701ED5">
          <w:rPr>
            <w:rStyle w:val="Hyperlink"/>
            <w:color w:val="000000" w:themeColor="text1"/>
            <w:u w:val="none"/>
            <w:lang w:val="en-US"/>
          </w:rPr>
          <w:t>https://doi.org/10.5455/JBAU.8013</w:t>
        </w:r>
      </w:hyperlink>
    </w:p>
    <w:p w14:paraId="7208677B" w14:textId="2ECAE757" w:rsidR="005C76E0" w:rsidRPr="005C76E0" w:rsidRDefault="005C76E0" w:rsidP="00D62225">
      <w:pPr>
        <w:pStyle w:val="NormalWeb"/>
        <w:numPr>
          <w:ilvl w:val="0"/>
          <w:numId w:val="11"/>
        </w:numPr>
        <w:spacing w:before="0" w:beforeAutospacing="0" w:after="0" w:afterAutospacing="0" w:line="360" w:lineRule="auto"/>
        <w:jc w:val="both"/>
        <w:rPr>
          <w:color w:val="000000" w:themeColor="text1"/>
          <w:lang w:val="en-US"/>
        </w:rPr>
      </w:pPr>
      <w:r w:rsidRPr="005C76E0">
        <w:rPr>
          <w:color w:val="000000" w:themeColor="text1"/>
          <w:lang w:val="en-US"/>
        </w:rPr>
        <w:t xml:space="preserve">He, L., Ding, X., Jin, H., Zhang, H., Cui, J., Chu, J., Li, R., Zhou, Q., &amp; Yu, J. (2022). </w:t>
      </w:r>
      <w:r w:rsidRPr="005C76E0">
        <w:rPr>
          <w:i/>
          <w:iCs/>
          <w:color w:val="000000" w:themeColor="text1"/>
          <w:lang w:val="en-US"/>
        </w:rPr>
        <w:t>Comparison of rockwool and coir for greenhouse cucumber production: chemical element, plant growth, and fruit quality</w:t>
      </w:r>
      <w:r w:rsidRPr="005C76E0">
        <w:rPr>
          <w:color w:val="000000" w:themeColor="text1"/>
          <w:lang w:val="en-US"/>
        </w:rPr>
        <w:t xml:space="preserve">. </w:t>
      </w:r>
      <w:proofErr w:type="spellStart"/>
      <w:r w:rsidRPr="005C76E0">
        <w:rPr>
          <w:color w:val="000000" w:themeColor="text1"/>
          <w:lang w:val="en-US"/>
        </w:rPr>
        <w:t>Heliyon</w:t>
      </w:r>
      <w:proofErr w:type="spellEnd"/>
      <w:r w:rsidRPr="005C76E0">
        <w:rPr>
          <w:color w:val="000000" w:themeColor="text1"/>
          <w:lang w:val="en-US"/>
        </w:rPr>
        <w:t>, 8, e10930. https://doi.org/10.1016/j.heliyon.2022.e10930</w:t>
      </w:r>
    </w:p>
    <w:p w14:paraId="6BD8024D" w14:textId="77777777" w:rsidR="00701ED5" w:rsidRPr="00701ED5" w:rsidRDefault="00701ED5" w:rsidP="00D62225">
      <w:pPr>
        <w:pStyle w:val="NormalWeb"/>
        <w:numPr>
          <w:ilvl w:val="0"/>
          <w:numId w:val="11"/>
        </w:numPr>
        <w:spacing w:before="0" w:beforeAutospacing="0" w:after="0" w:afterAutospacing="0" w:line="360" w:lineRule="auto"/>
        <w:jc w:val="both"/>
        <w:rPr>
          <w:color w:val="000000" w:themeColor="text1"/>
          <w:lang w:val="en-US"/>
        </w:rPr>
      </w:pPr>
      <w:r w:rsidRPr="00701ED5">
        <w:rPr>
          <w:color w:val="000000" w:themeColor="text1"/>
          <w:lang w:val="en-US"/>
        </w:rPr>
        <w:t xml:space="preserve">Hossain, M. A., Islam, M. S., &amp; Rahman, M. M. (2019). Seedling quality and its impact on vegetable productivity in Bangladesh. </w:t>
      </w:r>
      <w:r w:rsidRPr="00701ED5">
        <w:rPr>
          <w:i/>
          <w:iCs/>
          <w:color w:val="000000" w:themeColor="text1"/>
          <w:lang w:val="en-US"/>
        </w:rPr>
        <w:t>Bangladesh Journal of Agricultural Research, 44</w:t>
      </w:r>
      <w:r w:rsidRPr="00701ED5">
        <w:rPr>
          <w:color w:val="000000" w:themeColor="text1"/>
          <w:lang w:val="en-US"/>
        </w:rPr>
        <w:t>, 421–435.</w:t>
      </w:r>
    </w:p>
    <w:p w14:paraId="58DD3962" w14:textId="77777777" w:rsidR="00701ED5" w:rsidRPr="00701ED5" w:rsidRDefault="00701ED5" w:rsidP="00D62225">
      <w:pPr>
        <w:pStyle w:val="NormalWeb"/>
        <w:numPr>
          <w:ilvl w:val="0"/>
          <w:numId w:val="11"/>
        </w:numPr>
        <w:spacing w:before="0" w:beforeAutospacing="0" w:after="0" w:afterAutospacing="0" w:line="360" w:lineRule="auto"/>
        <w:jc w:val="both"/>
        <w:rPr>
          <w:color w:val="000000" w:themeColor="text1"/>
          <w:lang w:val="en-US"/>
        </w:rPr>
      </w:pPr>
      <w:r w:rsidRPr="00701ED5">
        <w:rPr>
          <w:color w:val="000000" w:themeColor="text1"/>
          <w:lang w:val="en-US"/>
        </w:rPr>
        <w:t xml:space="preserve">Islam, M. M. (2020). An inquiry of the nature and causes of price variation in vegetable marketing system of Bangladesh. </w:t>
      </w:r>
      <w:r w:rsidRPr="00701ED5">
        <w:rPr>
          <w:i/>
          <w:iCs/>
          <w:color w:val="000000" w:themeColor="text1"/>
          <w:lang w:val="en-US"/>
        </w:rPr>
        <w:t>International Journal of Research in Business and Social Science, 9</w:t>
      </w:r>
      <w:r w:rsidRPr="00701ED5">
        <w:rPr>
          <w:color w:val="000000" w:themeColor="text1"/>
          <w:lang w:val="en-US"/>
        </w:rPr>
        <w:t xml:space="preserve">(6), 224–229. </w:t>
      </w:r>
      <w:hyperlink r:id="rId30" w:tgtFrame="_new" w:history="1">
        <w:r w:rsidRPr="00701ED5">
          <w:rPr>
            <w:rStyle w:val="Hyperlink"/>
            <w:color w:val="000000" w:themeColor="text1"/>
            <w:u w:val="none"/>
            <w:lang w:val="en-US"/>
          </w:rPr>
          <w:t>https://doi.org/10.20525/ijrbs.v9i6.882</w:t>
        </w:r>
      </w:hyperlink>
    </w:p>
    <w:p w14:paraId="39EF56B8" w14:textId="77777777" w:rsidR="00701ED5" w:rsidRPr="00701ED5" w:rsidRDefault="00701ED5" w:rsidP="00D62225">
      <w:pPr>
        <w:pStyle w:val="NormalWeb"/>
        <w:numPr>
          <w:ilvl w:val="0"/>
          <w:numId w:val="11"/>
        </w:numPr>
        <w:spacing w:before="0" w:beforeAutospacing="0" w:after="0" w:afterAutospacing="0" w:line="360" w:lineRule="auto"/>
        <w:jc w:val="both"/>
        <w:rPr>
          <w:color w:val="000000" w:themeColor="text1"/>
          <w:lang w:val="en-US"/>
        </w:rPr>
      </w:pPr>
      <w:r w:rsidRPr="00701ED5">
        <w:rPr>
          <w:color w:val="000000" w:themeColor="text1"/>
          <w:lang w:val="en-US"/>
        </w:rPr>
        <w:t xml:space="preserve">Kabir, M. A., </w:t>
      </w:r>
      <w:proofErr w:type="spellStart"/>
      <w:r w:rsidRPr="00701ED5">
        <w:rPr>
          <w:color w:val="000000" w:themeColor="text1"/>
          <w:lang w:val="en-US"/>
        </w:rPr>
        <w:t>Moniruzzaman</w:t>
      </w:r>
      <w:proofErr w:type="spellEnd"/>
      <w:r w:rsidRPr="00701ED5">
        <w:rPr>
          <w:color w:val="000000" w:themeColor="text1"/>
          <w:lang w:val="en-US"/>
        </w:rPr>
        <w:t xml:space="preserve">, M., Jahan, K., &amp; Shahjahan, M. (2019). Cost benefit analysis of seedling production on floating beds in selected areas of Bangladesh. </w:t>
      </w:r>
      <w:r w:rsidRPr="00701ED5">
        <w:rPr>
          <w:i/>
          <w:iCs/>
          <w:color w:val="000000" w:themeColor="text1"/>
          <w:lang w:val="en-US"/>
        </w:rPr>
        <w:t>Journal of Agricultural Studies, 7</w:t>
      </w:r>
      <w:r w:rsidRPr="00701ED5">
        <w:rPr>
          <w:color w:val="000000" w:themeColor="text1"/>
          <w:lang w:val="en-US"/>
        </w:rPr>
        <w:t xml:space="preserve">(2), 75–86. </w:t>
      </w:r>
      <w:hyperlink r:id="rId31" w:tgtFrame="_new" w:history="1">
        <w:r w:rsidRPr="00701ED5">
          <w:rPr>
            <w:rStyle w:val="Hyperlink"/>
            <w:color w:val="000000" w:themeColor="text1"/>
            <w:u w:val="none"/>
            <w:lang w:val="en-US"/>
          </w:rPr>
          <w:t>https://doi.org/10.5296/jas.v7i2.14788</w:t>
        </w:r>
      </w:hyperlink>
    </w:p>
    <w:p w14:paraId="2DDE9CD3" w14:textId="77777777" w:rsidR="00701ED5" w:rsidRDefault="00701ED5" w:rsidP="00D62225">
      <w:pPr>
        <w:pStyle w:val="NormalWeb"/>
        <w:numPr>
          <w:ilvl w:val="0"/>
          <w:numId w:val="11"/>
        </w:numPr>
        <w:spacing w:before="0" w:beforeAutospacing="0" w:after="0" w:afterAutospacing="0" w:line="360" w:lineRule="auto"/>
        <w:jc w:val="both"/>
      </w:pPr>
      <w:r w:rsidRPr="00701ED5">
        <w:rPr>
          <w:color w:val="000000" w:themeColor="text1"/>
          <w:lang w:val="en-US"/>
        </w:rPr>
        <w:t xml:space="preserve">Mariotti, B., Martini, S., </w:t>
      </w:r>
      <w:proofErr w:type="spellStart"/>
      <w:r w:rsidRPr="00701ED5">
        <w:rPr>
          <w:color w:val="000000" w:themeColor="text1"/>
          <w:lang w:val="en-US"/>
        </w:rPr>
        <w:t>Raddi</w:t>
      </w:r>
      <w:proofErr w:type="spellEnd"/>
      <w:r w:rsidRPr="00701ED5">
        <w:rPr>
          <w:color w:val="000000" w:themeColor="text1"/>
          <w:lang w:val="en-US"/>
        </w:rPr>
        <w:t xml:space="preserve">, S., Tani, A., Jacobs, D. F., </w:t>
      </w:r>
      <w:proofErr w:type="spellStart"/>
      <w:r w:rsidRPr="00701ED5">
        <w:rPr>
          <w:color w:val="000000" w:themeColor="text1"/>
          <w:lang w:val="en-US"/>
        </w:rPr>
        <w:t>Oliet</w:t>
      </w:r>
      <w:proofErr w:type="spellEnd"/>
      <w:r w:rsidRPr="00701ED5">
        <w:rPr>
          <w:color w:val="000000" w:themeColor="text1"/>
          <w:lang w:val="en-US"/>
        </w:rPr>
        <w:t xml:space="preserve">, J. A., &amp; </w:t>
      </w:r>
      <w:proofErr w:type="spellStart"/>
      <w:r w:rsidRPr="00701ED5">
        <w:rPr>
          <w:color w:val="000000" w:themeColor="text1"/>
          <w:lang w:val="en-US"/>
        </w:rPr>
        <w:t>Maltoni</w:t>
      </w:r>
      <w:proofErr w:type="spellEnd"/>
      <w:r w:rsidRPr="00701ED5">
        <w:rPr>
          <w:color w:val="000000" w:themeColor="text1"/>
          <w:lang w:val="en-US"/>
        </w:rPr>
        <w:t xml:space="preserve">, A. (2020). Coconut coir as a sustainable nursery growing media for seedling production of the ecologically diverse </w:t>
      </w:r>
      <w:r w:rsidRPr="00701ED5">
        <w:rPr>
          <w:i/>
          <w:iCs/>
          <w:color w:val="000000" w:themeColor="text1"/>
          <w:lang w:val="en-US"/>
        </w:rPr>
        <w:t>Quercus</w:t>
      </w:r>
      <w:r w:rsidRPr="00701ED5">
        <w:rPr>
          <w:color w:val="000000" w:themeColor="text1"/>
          <w:lang w:val="en-US"/>
        </w:rPr>
        <w:t xml:space="preserve"> species. </w:t>
      </w:r>
      <w:r w:rsidRPr="00701ED5">
        <w:rPr>
          <w:i/>
          <w:iCs/>
          <w:color w:val="000000" w:themeColor="text1"/>
          <w:lang w:val="en-US"/>
        </w:rPr>
        <w:t>Forests, 11</w:t>
      </w:r>
      <w:r w:rsidRPr="00701ED5">
        <w:rPr>
          <w:color w:val="000000" w:themeColor="text1"/>
          <w:lang w:val="en-US"/>
        </w:rPr>
        <w:t xml:space="preserve">(5), 522. </w:t>
      </w:r>
      <w:hyperlink r:id="rId32" w:tgtFrame="_new" w:history="1">
        <w:r w:rsidRPr="00701ED5">
          <w:rPr>
            <w:rStyle w:val="Hyperlink"/>
            <w:color w:val="000000" w:themeColor="text1"/>
            <w:u w:val="none"/>
            <w:lang w:val="en-US"/>
          </w:rPr>
          <w:t>https://doi.org/10.3390/f11050522</w:t>
        </w:r>
      </w:hyperlink>
    </w:p>
    <w:p w14:paraId="07DCAB1F" w14:textId="10311775" w:rsidR="008C4A3F" w:rsidRDefault="00223DD3" w:rsidP="00D62225">
      <w:pPr>
        <w:pStyle w:val="NormalWeb"/>
        <w:numPr>
          <w:ilvl w:val="0"/>
          <w:numId w:val="11"/>
        </w:numPr>
        <w:spacing w:before="0" w:beforeAutospacing="0" w:after="0" w:afterAutospacing="0" w:line="360" w:lineRule="auto"/>
        <w:jc w:val="both"/>
        <w:rPr>
          <w:color w:val="000000" w:themeColor="text1"/>
          <w:lang w:val="en-US"/>
        </w:rPr>
      </w:pPr>
      <w:r w:rsidRPr="00223DD3">
        <w:rPr>
          <w:color w:val="000000" w:themeColor="text1"/>
          <w:lang w:val="en-US"/>
        </w:rPr>
        <w:t>Martins, T. C., Machado, R. M. A., Alves-Pereira, I., Ferreira, R., &amp; Gruda,</w:t>
      </w:r>
      <w:r w:rsidRPr="008B6C76">
        <w:rPr>
          <w:color w:val="000000" w:themeColor="text1"/>
        </w:rPr>
        <w:t xml:space="preserve"> N. S.</w:t>
      </w:r>
      <w:r w:rsidRPr="00223DD3">
        <w:rPr>
          <w:color w:val="000000" w:themeColor="text1"/>
          <w:lang w:val="en-US"/>
        </w:rPr>
        <w:t xml:space="preserve"> (2023). </w:t>
      </w:r>
      <w:r w:rsidRPr="008B6C76">
        <w:rPr>
          <w:color w:val="000000" w:themeColor="text1"/>
        </w:rPr>
        <w:t>Coir-based growing media with municipal compost and biochar and their impacts on growth and some quality parameters in lettuce seedlings</w:t>
      </w:r>
      <w:r w:rsidRPr="00223DD3">
        <w:rPr>
          <w:color w:val="000000" w:themeColor="text1"/>
          <w:lang w:val="en-US"/>
        </w:rPr>
        <w:t xml:space="preserve">. </w:t>
      </w:r>
      <w:proofErr w:type="spellStart"/>
      <w:r w:rsidRPr="00223DD3">
        <w:rPr>
          <w:color w:val="000000" w:themeColor="text1"/>
          <w:lang w:val="en-US"/>
        </w:rPr>
        <w:t>Horticulturae</w:t>
      </w:r>
      <w:proofErr w:type="spellEnd"/>
      <w:r w:rsidRPr="00223DD3">
        <w:rPr>
          <w:color w:val="000000" w:themeColor="text1"/>
          <w:lang w:val="en-US"/>
        </w:rPr>
        <w:t xml:space="preserve">, 9(1), 105. </w:t>
      </w:r>
      <w:hyperlink r:id="rId33" w:history="1">
        <w:r w:rsidR="005C76E0" w:rsidRPr="008B6C76">
          <w:rPr>
            <w:color w:val="000000" w:themeColor="text1"/>
          </w:rPr>
          <w:t>https://doi.org/10.3390/horticulturae9010105</w:t>
        </w:r>
      </w:hyperlink>
    </w:p>
    <w:p w14:paraId="3440883B" w14:textId="4B4F0292" w:rsidR="008C4A3F" w:rsidRPr="00327DFD" w:rsidRDefault="008C4A3F" w:rsidP="00D62225">
      <w:pPr>
        <w:pStyle w:val="NormalWeb"/>
        <w:numPr>
          <w:ilvl w:val="0"/>
          <w:numId w:val="11"/>
        </w:numPr>
        <w:spacing w:before="0" w:beforeAutospacing="0" w:after="0" w:afterAutospacing="0" w:line="360" w:lineRule="auto"/>
        <w:jc w:val="both"/>
        <w:rPr>
          <w:color w:val="000000" w:themeColor="text1"/>
          <w:lang w:val="en-US"/>
        </w:rPr>
      </w:pPr>
      <w:r w:rsidRPr="00D62225">
        <w:rPr>
          <w:color w:val="000000" w:themeColor="text1"/>
          <w:lang w:val="nl-BE"/>
        </w:rPr>
        <w:t xml:space="preserve">Mogale, J. T., &amp; Maluleke, M. K. (2025). </w:t>
      </w:r>
      <w:r w:rsidRPr="008B6C76">
        <w:rPr>
          <w:color w:val="000000" w:themeColor="text1"/>
          <w:lang w:val="en-US"/>
        </w:rPr>
        <w:t xml:space="preserve">The effect of varying coconut coir substrates and loam soil on the physiology, and biochemical constituents of tomato (Solanum </w:t>
      </w:r>
      <w:proofErr w:type="spellStart"/>
      <w:r w:rsidRPr="008B6C76">
        <w:rPr>
          <w:color w:val="000000" w:themeColor="text1"/>
          <w:lang w:val="en-US"/>
        </w:rPr>
        <w:t>lycopersicum</w:t>
      </w:r>
      <w:proofErr w:type="spellEnd"/>
      <w:r w:rsidRPr="008B6C76">
        <w:rPr>
          <w:color w:val="000000" w:themeColor="text1"/>
          <w:lang w:val="en-US"/>
        </w:rPr>
        <w:t xml:space="preserve"> var. esculentum) grown under greenhouse environment</w:t>
      </w:r>
      <w:r w:rsidRPr="008C4A3F">
        <w:rPr>
          <w:color w:val="000000" w:themeColor="text1"/>
          <w:lang w:val="en-US"/>
        </w:rPr>
        <w:t xml:space="preserve">. </w:t>
      </w:r>
      <w:r w:rsidRPr="008B6C76">
        <w:rPr>
          <w:color w:val="000000" w:themeColor="text1"/>
          <w:lang w:val="en-US"/>
        </w:rPr>
        <w:t>Discover Sustainability, 6</w:t>
      </w:r>
      <w:r w:rsidRPr="008C4A3F">
        <w:rPr>
          <w:color w:val="000000" w:themeColor="text1"/>
          <w:lang w:val="en-US"/>
        </w:rPr>
        <w:t>, Article 143. https://doi.org/10.1007/s43621-025-00933-3</w:t>
      </w:r>
    </w:p>
    <w:p w14:paraId="5033052C" w14:textId="77777777" w:rsidR="00701ED5" w:rsidRPr="00701ED5" w:rsidRDefault="00701ED5" w:rsidP="00D62225">
      <w:pPr>
        <w:pStyle w:val="NormalWeb"/>
        <w:numPr>
          <w:ilvl w:val="0"/>
          <w:numId w:val="11"/>
        </w:numPr>
        <w:spacing w:before="0" w:beforeAutospacing="0" w:after="0" w:afterAutospacing="0" w:line="360" w:lineRule="auto"/>
        <w:jc w:val="both"/>
        <w:rPr>
          <w:color w:val="000000" w:themeColor="text1"/>
          <w:lang w:val="en-US"/>
        </w:rPr>
      </w:pPr>
      <w:r w:rsidRPr="00701ED5">
        <w:rPr>
          <w:color w:val="000000" w:themeColor="text1"/>
          <w:lang w:val="en-US"/>
        </w:rPr>
        <w:t xml:space="preserve">R Core Team. (2024). </w:t>
      </w:r>
      <w:r w:rsidRPr="008B6C76">
        <w:rPr>
          <w:color w:val="000000" w:themeColor="text1"/>
          <w:lang w:val="en-US"/>
        </w:rPr>
        <w:t>R: A language and environment for statistical computing</w:t>
      </w:r>
      <w:r w:rsidRPr="00701ED5">
        <w:rPr>
          <w:color w:val="000000" w:themeColor="text1"/>
          <w:lang w:val="en-US"/>
        </w:rPr>
        <w:t>. Vienna, Austria: R Foundation for Statistical Computing.</w:t>
      </w:r>
    </w:p>
    <w:p w14:paraId="505A3D81" w14:textId="77777777" w:rsidR="00701ED5" w:rsidRDefault="00701ED5" w:rsidP="00D62225">
      <w:pPr>
        <w:pStyle w:val="NormalWeb"/>
        <w:numPr>
          <w:ilvl w:val="0"/>
          <w:numId w:val="11"/>
        </w:numPr>
        <w:spacing w:before="0" w:beforeAutospacing="0" w:after="0" w:afterAutospacing="0" w:line="360" w:lineRule="auto"/>
        <w:jc w:val="both"/>
      </w:pPr>
      <w:r w:rsidRPr="00701ED5">
        <w:rPr>
          <w:color w:val="000000" w:themeColor="text1"/>
          <w:lang w:val="en-US"/>
        </w:rPr>
        <w:lastRenderedPageBreak/>
        <w:t xml:space="preserve">Rahman, S., Begum, I. A., &amp; Alam, M. J. (2022). Cost efficiency and input use in commercial vegetable farming in Bangladesh. </w:t>
      </w:r>
      <w:r w:rsidRPr="00701ED5">
        <w:rPr>
          <w:i/>
          <w:iCs/>
          <w:color w:val="000000" w:themeColor="text1"/>
          <w:lang w:val="en-US"/>
        </w:rPr>
        <w:t>Land Use Policy, 114</w:t>
      </w:r>
      <w:r w:rsidRPr="00701ED5">
        <w:rPr>
          <w:color w:val="000000" w:themeColor="text1"/>
          <w:lang w:val="en-US"/>
        </w:rPr>
        <w:t xml:space="preserve">, 105965. </w:t>
      </w:r>
      <w:hyperlink r:id="rId34" w:tgtFrame="_new" w:history="1">
        <w:r w:rsidRPr="00701ED5">
          <w:rPr>
            <w:rStyle w:val="Hyperlink"/>
            <w:color w:val="000000" w:themeColor="text1"/>
            <w:u w:val="none"/>
            <w:lang w:val="en-US"/>
          </w:rPr>
          <w:t>https://doi.org/10.1016/j.landusepol.2022.105965</w:t>
        </w:r>
      </w:hyperlink>
    </w:p>
    <w:p w14:paraId="751B96AF" w14:textId="1F7981BE" w:rsidR="008B0BCE" w:rsidRDefault="008B0BCE" w:rsidP="00D62225">
      <w:pPr>
        <w:pStyle w:val="NormalWeb"/>
        <w:numPr>
          <w:ilvl w:val="0"/>
          <w:numId w:val="11"/>
        </w:numPr>
        <w:spacing w:before="0" w:beforeAutospacing="0" w:after="0" w:afterAutospacing="0" w:line="360" w:lineRule="auto"/>
        <w:jc w:val="both"/>
        <w:rPr>
          <w:color w:val="000000" w:themeColor="text1"/>
          <w:lang w:val="en-US"/>
        </w:rPr>
      </w:pPr>
      <w:r w:rsidRPr="008B0BCE">
        <w:rPr>
          <w:color w:val="000000" w:themeColor="text1"/>
          <w:lang w:val="en-US"/>
        </w:rPr>
        <w:t xml:space="preserve">Savvas, D., &amp; Gruda, N. S. (2018). Application of soilless culture technologies in the modern greenhouse industry—A review. European Journal of Horticultural Science, 83(5). </w:t>
      </w:r>
      <w:hyperlink r:id="rId35" w:history="1">
        <w:r w:rsidR="005C76E0" w:rsidRPr="008B6C76">
          <w:rPr>
            <w:rStyle w:val="Hyperlink"/>
            <w:color w:val="000000" w:themeColor="text1"/>
            <w:u w:val="none"/>
            <w:lang w:val="en-US"/>
          </w:rPr>
          <w:t>https://doi.org/10.17660/eJHS.2018/83.5.2</w:t>
        </w:r>
      </w:hyperlink>
    </w:p>
    <w:p w14:paraId="40AD2519" w14:textId="1E14C9C6" w:rsidR="005C76E0" w:rsidRPr="005C76E0" w:rsidRDefault="005C76E0" w:rsidP="00D62225">
      <w:pPr>
        <w:pStyle w:val="NormalWeb"/>
        <w:numPr>
          <w:ilvl w:val="0"/>
          <w:numId w:val="11"/>
        </w:numPr>
        <w:spacing w:before="0" w:beforeAutospacing="0" w:after="0" w:afterAutospacing="0" w:line="360" w:lineRule="auto"/>
        <w:jc w:val="both"/>
        <w:rPr>
          <w:color w:val="000000" w:themeColor="text1"/>
          <w:lang w:val="en-US"/>
        </w:rPr>
      </w:pPr>
      <w:r w:rsidRPr="005C76E0">
        <w:rPr>
          <w:color w:val="000000" w:themeColor="text1"/>
          <w:lang w:val="en-US"/>
        </w:rPr>
        <w:t xml:space="preserve">Shrestha, R. B., Bhandari, H., &amp; Pandey, S. (2021). </w:t>
      </w:r>
      <w:r w:rsidRPr="005C76E0">
        <w:rPr>
          <w:i/>
          <w:iCs/>
          <w:color w:val="000000" w:themeColor="text1"/>
          <w:lang w:val="en-US"/>
        </w:rPr>
        <w:t>Profit efficiency of smallholder vegetable farms in Nepal: Implications for improving household income</w:t>
      </w:r>
      <w:r w:rsidRPr="005C76E0">
        <w:rPr>
          <w:color w:val="000000" w:themeColor="text1"/>
          <w:lang w:val="en-US"/>
        </w:rPr>
        <w:t>. Frontiers in Sustainable Food Systems, 5, 691350. https://doi.org/10.3389/fsufs.2021.691350</w:t>
      </w:r>
    </w:p>
    <w:p w14:paraId="74D9D25C" w14:textId="4F24DE84" w:rsidR="005C76E0" w:rsidRPr="005C76E0" w:rsidRDefault="005C76E0" w:rsidP="00D62225">
      <w:pPr>
        <w:pStyle w:val="NormalWeb"/>
        <w:numPr>
          <w:ilvl w:val="0"/>
          <w:numId w:val="11"/>
        </w:numPr>
        <w:spacing w:before="0" w:beforeAutospacing="0" w:after="0" w:afterAutospacing="0" w:line="360" w:lineRule="auto"/>
        <w:jc w:val="both"/>
        <w:rPr>
          <w:color w:val="000000" w:themeColor="text1"/>
          <w:lang w:val="en-US"/>
        </w:rPr>
      </w:pPr>
      <w:r w:rsidRPr="00D62225">
        <w:rPr>
          <w:color w:val="000000" w:themeColor="text1"/>
          <w:lang w:val="nl-BE"/>
        </w:rPr>
        <w:t xml:space="preserve">Tuckeldoe, R. B., Maluleke, M. K., &amp; Adriaanse, P. (2023). </w:t>
      </w:r>
      <w:r w:rsidRPr="005C76E0">
        <w:rPr>
          <w:i/>
          <w:iCs/>
          <w:color w:val="000000" w:themeColor="text1"/>
          <w:lang w:val="en-US"/>
        </w:rPr>
        <w:t>The effect of coconut coir substrate on the yield and nutritional quality of sweet peppers (Capsicum annuum) varieties</w:t>
      </w:r>
      <w:r w:rsidRPr="005C76E0">
        <w:rPr>
          <w:color w:val="000000" w:themeColor="text1"/>
          <w:lang w:val="en-US"/>
        </w:rPr>
        <w:t>. Scientific Reports, 13, 2742. https://doi.org/10.1038/s41598-023-29914-0</w:t>
      </w:r>
    </w:p>
    <w:p w14:paraId="30F65382" w14:textId="77777777" w:rsidR="00701ED5" w:rsidRPr="00421E87" w:rsidRDefault="00701ED5" w:rsidP="00D62225">
      <w:pPr>
        <w:pStyle w:val="NormalWeb"/>
        <w:numPr>
          <w:ilvl w:val="0"/>
          <w:numId w:val="11"/>
        </w:numPr>
        <w:spacing w:before="0" w:beforeAutospacing="0" w:after="0" w:afterAutospacing="0" w:line="360" w:lineRule="auto"/>
        <w:jc w:val="both"/>
        <w:rPr>
          <w:color w:val="000000" w:themeColor="text1"/>
          <w:lang w:val="nl-BE"/>
        </w:rPr>
      </w:pPr>
      <w:r w:rsidRPr="00701ED5">
        <w:rPr>
          <w:color w:val="000000" w:themeColor="text1"/>
          <w:lang w:val="en-US"/>
        </w:rPr>
        <w:t xml:space="preserve">Valenzuela, H. (2024). Optimizing the nitrogen use efficiency in vegetable crops. </w:t>
      </w:r>
      <w:r w:rsidRPr="00421E87">
        <w:rPr>
          <w:i/>
          <w:iCs/>
          <w:color w:val="000000" w:themeColor="text1"/>
          <w:lang w:val="nl-BE"/>
        </w:rPr>
        <w:t>Nitrogen, 5</w:t>
      </w:r>
      <w:r w:rsidRPr="00421E87">
        <w:rPr>
          <w:color w:val="000000" w:themeColor="text1"/>
          <w:lang w:val="nl-BE"/>
        </w:rPr>
        <w:t xml:space="preserve">(1), 106–143. </w:t>
      </w:r>
      <w:hyperlink r:id="rId36" w:tgtFrame="_new" w:history="1">
        <w:r w:rsidRPr="00421E87">
          <w:rPr>
            <w:rStyle w:val="Hyperlink"/>
            <w:color w:val="000000" w:themeColor="text1"/>
            <w:u w:val="none"/>
            <w:lang w:val="nl-BE"/>
          </w:rPr>
          <w:t>https://doi.org/10.3390/nitrogen5010008</w:t>
        </w:r>
      </w:hyperlink>
    </w:p>
    <w:p w14:paraId="643060BB" w14:textId="0981186E" w:rsidR="009C4B5C" w:rsidRPr="00701ED5" w:rsidRDefault="00701ED5" w:rsidP="00D62225">
      <w:pPr>
        <w:pStyle w:val="NormalWeb"/>
        <w:numPr>
          <w:ilvl w:val="0"/>
          <w:numId w:val="11"/>
        </w:numPr>
        <w:spacing w:before="0" w:beforeAutospacing="0" w:after="0" w:afterAutospacing="0" w:line="360" w:lineRule="auto"/>
        <w:jc w:val="both"/>
        <w:rPr>
          <w:color w:val="000000" w:themeColor="text1"/>
          <w:lang w:val="en-US"/>
        </w:rPr>
      </w:pPr>
      <w:r w:rsidRPr="00421E87">
        <w:rPr>
          <w:color w:val="000000" w:themeColor="text1"/>
          <w:lang w:val="nl-BE"/>
        </w:rPr>
        <w:t xml:space="preserve">Yuan, X., Hu, J., Marcelis, L. F. M., Heuvelink, E., Peng, J., Yang, X., &amp; Yang, Q. (2025). </w:t>
      </w:r>
      <w:r w:rsidRPr="00701ED5">
        <w:rPr>
          <w:color w:val="000000" w:themeColor="text1"/>
          <w:lang w:val="en-US"/>
        </w:rPr>
        <w:t xml:space="preserve">Advanced technologies in plant factories: Exploring current and future economic and environmental benefits in urban horticulture. </w:t>
      </w:r>
      <w:r w:rsidRPr="00701ED5">
        <w:rPr>
          <w:i/>
          <w:iCs/>
          <w:color w:val="000000" w:themeColor="text1"/>
          <w:lang w:val="en-US"/>
        </w:rPr>
        <w:t>Horticulture Research, 12</w:t>
      </w:r>
      <w:r w:rsidRPr="00701ED5">
        <w:rPr>
          <w:color w:val="000000" w:themeColor="text1"/>
          <w:lang w:val="en-US"/>
        </w:rPr>
        <w:t xml:space="preserve">(5), uhaf024. </w:t>
      </w:r>
      <w:hyperlink r:id="rId37" w:tgtFrame="_new" w:history="1">
        <w:r w:rsidRPr="00701ED5">
          <w:rPr>
            <w:rStyle w:val="Hyperlink"/>
            <w:color w:val="000000" w:themeColor="text1"/>
            <w:u w:val="none"/>
            <w:lang w:val="en-US"/>
          </w:rPr>
          <w:t>https://doi.org/10.1093/hr/uhaf024</w:t>
        </w:r>
      </w:hyperlink>
    </w:p>
    <w:sectPr w:rsidR="009C4B5C" w:rsidRPr="00701ED5" w:rsidSect="00072FDE">
      <w:footerReference w:type="default" r:id="rId3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F532F" w14:textId="77777777" w:rsidR="00792BA6" w:rsidRDefault="00792BA6" w:rsidP="00A82205">
      <w:pPr>
        <w:spacing w:after="0" w:line="240" w:lineRule="auto"/>
      </w:pPr>
      <w:r>
        <w:separator/>
      </w:r>
    </w:p>
  </w:endnote>
  <w:endnote w:type="continuationSeparator" w:id="0">
    <w:p w14:paraId="57C1AAAD" w14:textId="77777777" w:rsidR="00792BA6" w:rsidRDefault="00792BA6" w:rsidP="00A82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7365119"/>
      <w:docPartObj>
        <w:docPartGallery w:val="Page Numbers (Bottom of Page)"/>
        <w:docPartUnique/>
      </w:docPartObj>
    </w:sdtPr>
    <w:sdtEndPr>
      <w:rPr>
        <w:noProof/>
      </w:rPr>
    </w:sdtEndPr>
    <w:sdtContent>
      <w:p w14:paraId="77A4F5D0" w14:textId="7E6333A5" w:rsidR="00A82205" w:rsidRDefault="00A82205">
        <w:pPr>
          <w:pStyle w:val="Footer"/>
          <w:jc w:val="right"/>
        </w:pPr>
        <w:r>
          <w:fldChar w:fldCharType="begin"/>
        </w:r>
        <w:r>
          <w:instrText xml:space="preserve"> PAGE   \* MERGEFORMAT </w:instrText>
        </w:r>
        <w:r>
          <w:fldChar w:fldCharType="separate"/>
        </w:r>
        <w:r w:rsidR="00E6013D">
          <w:rPr>
            <w:noProof/>
          </w:rPr>
          <w:t>21</w:t>
        </w:r>
        <w:r>
          <w:rPr>
            <w:noProof/>
          </w:rPr>
          <w:fldChar w:fldCharType="end"/>
        </w:r>
      </w:p>
    </w:sdtContent>
  </w:sdt>
  <w:p w14:paraId="076FC305" w14:textId="77777777" w:rsidR="00A82205" w:rsidRDefault="00A822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83CCD" w14:textId="77777777" w:rsidR="00792BA6" w:rsidRDefault="00792BA6" w:rsidP="00A82205">
      <w:pPr>
        <w:spacing w:after="0" w:line="240" w:lineRule="auto"/>
      </w:pPr>
      <w:r>
        <w:separator/>
      </w:r>
    </w:p>
  </w:footnote>
  <w:footnote w:type="continuationSeparator" w:id="0">
    <w:p w14:paraId="135F0A85" w14:textId="77777777" w:rsidR="00792BA6" w:rsidRDefault="00792BA6" w:rsidP="00A822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53A48"/>
    <w:multiLevelType w:val="hybridMultilevel"/>
    <w:tmpl w:val="2354A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9C66F6"/>
    <w:multiLevelType w:val="multilevel"/>
    <w:tmpl w:val="5E3A3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235D24"/>
    <w:multiLevelType w:val="multilevel"/>
    <w:tmpl w:val="062C0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2C1F0D"/>
    <w:multiLevelType w:val="multilevel"/>
    <w:tmpl w:val="C8088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7F6AA3"/>
    <w:multiLevelType w:val="multilevel"/>
    <w:tmpl w:val="5B10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1100B3"/>
    <w:multiLevelType w:val="multilevel"/>
    <w:tmpl w:val="FF58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681017"/>
    <w:multiLevelType w:val="multilevel"/>
    <w:tmpl w:val="0D0C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54461C"/>
    <w:multiLevelType w:val="hybridMultilevel"/>
    <w:tmpl w:val="E63C1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516296"/>
    <w:multiLevelType w:val="multilevel"/>
    <w:tmpl w:val="9D0EB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A375F7"/>
    <w:multiLevelType w:val="multilevel"/>
    <w:tmpl w:val="B7583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4715AA"/>
    <w:multiLevelType w:val="multilevel"/>
    <w:tmpl w:val="A6CC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9286578">
    <w:abstractNumId w:val="6"/>
  </w:num>
  <w:num w:numId="2" w16cid:durableId="462579654">
    <w:abstractNumId w:val="1"/>
  </w:num>
  <w:num w:numId="3" w16cid:durableId="2015719822">
    <w:abstractNumId w:val="5"/>
  </w:num>
  <w:num w:numId="4" w16cid:durableId="400712233">
    <w:abstractNumId w:val="8"/>
  </w:num>
  <w:num w:numId="5" w16cid:durableId="1113133064">
    <w:abstractNumId w:val="3"/>
  </w:num>
  <w:num w:numId="6" w16cid:durableId="1082220653">
    <w:abstractNumId w:val="9"/>
  </w:num>
  <w:num w:numId="7" w16cid:durableId="1117406730">
    <w:abstractNumId w:val="4"/>
  </w:num>
  <w:num w:numId="8" w16cid:durableId="953901134">
    <w:abstractNumId w:val="10"/>
  </w:num>
  <w:num w:numId="9" w16cid:durableId="490948226">
    <w:abstractNumId w:val="7"/>
  </w:num>
  <w:num w:numId="10" w16cid:durableId="865866889">
    <w:abstractNumId w:val="2"/>
  </w:num>
  <w:num w:numId="11" w16cid:durableId="173806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C30"/>
    <w:rsid w:val="0001077A"/>
    <w:rsid w:val="0001266B"/>
    <w:rsid w:val="00014AE4"/>
    <w:rsid w:val="00033172"/>
    <w:rsid w:val="00046882"/>
    <w:rsid w:val="00050949"/>
    <w:rsid w:val="00062957"/>
    <w:rsid w:val="00062ADC"/>
    <w:rsid w:val="00067A89"/>
    <w:rsid w:val="00072FDE"/>
    <w:rsid w:val="000856F4"/>
    <w:rsid w:val="00087384"/>
    <w:rsid w:val="000916AA"/>
    <w:rsid w:val="000A5D76"/>
    <w:rsid w:val="000C2397"/>
    <w:rsid w:val="000C3E0D"/>
    <w:rsid w:val="000D303D"/>
    <w:rsid w:val="000D3DD3"/>
    <w:rsid w:val="000E1E51"/>
    <w:rsid w:val="000E1F9A"/>
    <w:rsid w:val="000E24AA"/>
    <w:rsid w:val="0010126B"/>
    <w:rsid w:val="001064A2"/>
    <w:rsid w:val="00114D8F"/>
    <w:rsid w:val="00114ED4"/>
    <w:rsid w:val="00114FA2"/>
    <w:rsid w:val="00117EC7"/>
    <w:rsid w:val="00121256"/>
    <w:rsid w:val="00122A11"/>
    <w:rsid w:val="00131D14"/>
    <w:rsid w:val="00133205"/>
    <w:rsid w:val="001434FA"/>
    <w:rsid w:val="00153E92"/>
    <w:rsid w:val="00165F89"/>
    <w:rsid w:val="0016727F"/>
    <w:rsid w:val="001707F9"/>
    <w:rsid w:val="001718CE"/>
    <w:rsid w:val="00173CF1"/>
    <w:rsid w:val="00183085"/>
    <w:rsid w:val="001861B4"/>
    <w:rsid w:val="00190E0B"/>
    <w:rsid w:val="001A164C"/>
    <w:rsid w:val="001A1689"/>
    <w:rsid w:val="001C55BE"/>
    <w:rsid w:val="001D111F"/>
    <w:rsid w:val="001E0929"/>
    <w:rsid w:val="001E32C0"/>
    <w:rsid w:val="001E3E53"/>
    <w:rsid w:val="001F3BC4"/>
    <w:rsid w:val="001F3F41"/>
    <w:rsid w:val="001F4C44"/>
    <w:rsid w:val="001F60D9"/>
    <w:rsid w:val="001F6CF1"/>
    <w:rsid w:val="00214FD4"/>
    <w:rsid w:val="00223DD3"/>
    <w:rsid w:val="00234616"/>
    <w:rsid w:val="0023775D"/>
    <w:rsid w:val="00240309"/>
    <w:rsid w:val="00251738"/>
    <w:rsid w:val="00251F64"/>
    <w:rsid w:val="00266E3E"/>
    <w:rsid w:val="0026702B"/>
    <w:rsid w:val="002713D3"/>
    <w:rsid w:val="002802BB"/>
    <w:rsid w:val="00285A9A"/>
    <w:rsid w:val="00293373"/>
    <w:rsid w:val="002A32A1"/>
    <w:rsid w:val="002A4DAC"/>
    <w:rsid w:val="002B7ACC"/>
    <w:rsid w:val="002C7BE1"/>
    <w:rsid w:val="002D0E43"/>
    <w:rsid w:val="002D218D"/>
    <w:rsid w:val="002E11A3"/>
    <w:rsid w:val="002E46CF"/>
    <w:rsid w:val="002E7761"/>
    <w:rsid w:val="002F0F6D"/>
    <w:rsid w:val="002F15AE"/>
    <w:rsid w:val="002F530D"/>
    <w:rsid w:val="0031033D"/>
    <w:rsid w:val="00321FB2"/>
    <w:rsid w:val="00327DFD"/>
    <w:rsid w:val="00336221"/>
    <w:rsid w:val="00342139"/>
    <w:rsid w:val="00343547"/>
    <w:rsid w:val="00352443"/>
    <w:rsid w:val="00386C19"/>
    <w:rsid w:val="00394739"/>
    <w:rsid w:val="00396B16"/>
    <w:rsid w:val="003A1704"/>
    <w:rsid w:val="003A35F0"/>
    <w:rsid w:val="003A54AC"/>
    <w:rsid w:val="003A68D8"/>
    <w:rsid w:val="003D5896"/>
    <w:rsid w:val="003F40F2"/>
    <w:rsid w:val="003F4731"/>
    <w:rsid w:val="003F67B6"/>
    <w:rsid w:val="00404ED2"/>
    <w:rsid w:val="00406C7C"/>
    <w:rsid w:val="00411F2E"/>
    <w:rsid w:val="00417029"/>
    <w:rsid w:val="00421E87"/>
    <w:rsid w:val="00424746"/>
    <w:rsid w:val="004266DA"/>
    <w:rsid w:val="00432793"/>
    <w:rsid w:val="00433815"/>
    <w:rsid w:val="00440D72"/>
    <w:rsid w:val="00444B32"/>
    <w:rsid w:val="0044541D"/>
    <w:rsid w:val="00467C09"/>
    <w:rsid w:val="00473E55"/>
    <w:rsid w:val="0049322D"/>
    <w:rsid w:val="00494703"/>
    <w:rsid w:val="004B104C"/>
    <w:rsid w:val="004B2B21"/>
    <w:rsid w:val="004B7059"/>
    <w:rsid w:val="004C5E02"/>
    <w:rsid w:val="004D6426"/>
    <w:rsid w:val="004F2DAD"/>
    <w:rsid w:val="004F7FF9"/>
    <w:rsid w:val="00500FD1"/>
    <w:rsid w:val="00514223"/>
    <w:rsid w:val="00514D3E"/>
    <w:rsid w:val="00515029"/>
    <w:rsid w:val="00523ED3"/>
    <w:rsid w:val="00527D42"/>
    <w:rsid w:val="00542C65"/>
    <w:rsid w:val="00551D8E"/>
    <w:rsid w:val="00554A7A"/>
    <w:rsid w:val="00562A97"/>
    <w:rsid w:val="0057143D"/>
    <w:rsid w:val="00576071"/>
    <w:rsid w:val="005842DB"/>
    <w:rsid w:val="00590838"/>
    <w:rsid w:val="005A55E0"/>
    <w:rsid w:val="005B7ADC"/>
    <w:rsid w:val="005C0BBC"/>
    <w:rsid w:val="005C1A6C"/>
    <w:rsid w:val="005C76E0"/>
    <w:rsid w:val="005F4476"/>
    <w:rsid w:val="00612FC3"/>
    <w:rsid w:val="00614CA5"/>
    <w:rsid w:val="00615A7F"/>
    <w:rsid w:val="00615A86"/>
    <w:rsid w:val="0063302C"/>
    <w:rsid w:val="00646CF2"/>
    <w:rsid w:val="00647D3B"/>
    <w:rsid w:val="00647FF2"/>
    <w:rsid w:val="0066052F"/>
    <w:rsid w:val="00660591"/>
    <w:rsid w:val="006747A1"/>
    <w:rsid w:val="00675AA6"/>
    <w:rsid w:val="0068604A"/>
    <w:rsid w:val="00687512"/>
    <w:rsid w:val="006B0CB3"/>
    <w:rsid w:val="006C05BF"/>
    <w:rsid w:val="006D542F"/>
    <w:rsid w:val="006F45E5"/>
    <w:rsid w:val="006F6D82"/>
    <w:rsid w:val="00701ED5"/>
    <w:rsid w:val="00704442"/>
    <w:rsid w:val="0071106E"/>
    <w:rsid w:val="00714BE2"/>
    <w:rsid w:val="00731420"/>
    <w:rsid w:val="00732A65"/>
    <w:rsid w:val="007338F3"/>
    <w:rsid w:val="00734933"/>
    <w:rsid w:val="00742482"/>
    <w:rsid w:val="0076211B"/>
    <w:rsid w:val="00777B1A"/>
    <w:rsid w:val="00782273"/>
    <w:rsid w:val="007918CA"/>
    <w:rsid w:val="00792BA6"/>
    <w:rsid w:val="007935B0"/>
    <w:rsid w:val="007A597F"/>
    <w:rsid w:val="007B4208"/>
    <w:rsid w:val="007B749D"/>
    <w:rsid w:val="007C06B0"/>
    <w:rsid w:val="007C3624"/>
    <w:rsid w:val="007C50CD"/>
    <w:rsid w:val="007D16FB"/>
    <w:rsid w:val="007D496F"/>
    <w:rsid w:val="007D7DC5"/>
    <w:rsid w:val="007E29E8"/>
    <w:rsid w:val="007E481C"/>
    <w:rsid w:val="007E6BB0"/>
    <w:rsid w:val="007F2F35"/>
    <w:rsid w:val="0080138F"/>
    <w:rsid w:val="00802934"/>
    <w:rsid w:val="00814682"/>
    <w:rsid w:val="0082549D"/>
    <w:rsid w:val="00832997"/>
    <w:rsid w:val="00833D40"/>
    <w:rsid w:val="00836454"/>
    <w:rsid w:val="0086198E"/>
    <w:rsid w:val="008632A5"/>
    <w:rsid w:val="0087518E"/>
    <w:rsid w:val="0087603F"/>
    <w:rsid w:val="00891049"/>
    <w:rsid w:val="0089429F"/>
    <w:rsid w:val="00894A28"/>
    <w:rsid w:val="008A3529"/>
    <w:rsid w:val="008B0BCE"/>
    <w:rsid w:val="008B5787"/>
    <w:rsid w:val="008B6C76"/>
    <w:rsid w:val="008B7526"/>
    <w:rsid w:val="008C4A3F"/>
    <w:rsid w:val="008D73A0"/>
    <w:rsid w:val="008E0057"/>
    <w:rsid w:val="008E1F7A"/>
    <w:rsid w:val="008F6D19"/>
    <w:rsid w:val="00913C3F"/>
    <w:rsid w:val="009419AA"/>
    <w:rsid w:val="009427EF"/>
    <w:rsid w:val="00957AC7"/>
    <w:rsid w:val="009744AC"/>
    <w:rsid w:val="009777B6"/>
    <w:rsid w:val="00996925"/>
    <w:rsid w:val="00997E02"/>
    <w:rsid w:val="009A0369"/>
    <w:rsid w:val="009C1346"/>
    <w:rsid w:val="009C1BDA"/>
    <w:rsid w:val="009C4975"/>
    <w:rsid w:val="009C4B5C"/>
    <w:rsid w:val="009C6FD3"/>
    <w:rsid w:val="009D6D09"/>
    <w:rsid w:val="009E5B55"/>
    <w:rsid w:val="009F1382"/>
    <w:rsid w:val="009F28A5"/>
    <w:rsid w:val="00A0092A"/>
    <w:rsid w:val="00A05F52"/>
    <w:rsid w:val="00A10E59"/>
    <w:rsid w:val="00A20159"/>
    <w:rsid w:val="00A22FEB"/>
    <w:rsid w:val="00A335AA"/>
    <w:rsid w:val="00A33C89"/>
    <w:rsid w:val="00A43C28"/>
    <w:rsid w:val="00A479A3"/>
    <w:rsid w:val="00A53DB0"/>
    <w:rsid w:val="00A602BB"/>
    <w:rsid w:val="00A6725D"/>
    <w:rsid w:val="00A705BB"/>
    <w:rsid w:val="00A737CC"/>
    <w:rsid w:val="00A746F6"/>
    <w:rsid w:val="00A80850"/>
    <w:rsid w:val="00A82205"/>
    <w:rsid w:val="00A84CAE"/>
    <w:rsid w:val="00AA6EA6"/>
    <w:rsid w:val="00AB0623"/>
    <w:rsid w:val="00AB7445"/>
    <w:rsid w:val="00AC7004"/>
    <w:rsid w:val="00AD0B35"/>
    <w:rsid w:val="00AE76E6"/>
    <w:rsid w:val="00AF0348"/>
    <w:rsid w:val="00AF42E5"/>
    <w:rsid w:val="00AF7604"/>
    <w:rsid w:val="00B008FE"/>
    <w:rsid w:val="00B11533"/>
    <w:rsid w:val="00B1560B"/>
    <w:rsid w:val="00B16384"/>
    <w:rsid w:val="00B16AE5"/>
    <w:rsid w:val="00B3032C"/>
    <w:rsid w:val="00B3256F"/>
    <w:rsid w:val="00B37ADD"/>
    <w:rsid w:val="00B43FED"/>
    <w:rsid w:val="00B46344"/>
    <w:rsid w:val="00B51DF9"/>
    <w:rsid w:val="00B54D59"/>
    <w:rsid w:val="00B56B53"/>
    <w:rsid w:val="00B57069"/>
    <w:rsid w:val="00B57EBF"/>
    <w:rsid w:val="00B600B1"/>
    <w:rsid w:val="00B60C1A"/>
    <w:rsid w:val="00B614A8"/>
    <w:rsid w:val="00B6362E"/>
    <w:rsid w:val="00B669CE"/>
    <w:rsid w:val="00B70C4E"/>
    <w:rsid w:val="00B71B8C"/>
    <w:rsid w:val="00B74100"/>
    <w:rsid w:val="00BB2E1D"/>
    <w:rsid w:val="00BE01E1"/>
    <w:rsid w:val="00BE2EDA"/>
    <w:rsid w:val="00BF6D55"/>
    <w:rsid w:val="00BF7F57"/>
    <w:rsid w:val="00C13177"/>
    <w:rsid w:val="00C161A3"/>
    <w:rsid w:val="00C23B8B"/>
    <w:rsid w:val="00C422A7"/>
    <w:rsid w:val="00C47797"/>
    <w:rsid w:val="00CA26EA"/>
    <w:rsid w:val="00CA298B"/>
    <w:rsid w:val="00CB7C30"/>
    <w:rsid w:val="00CC0685"/>
    <w:rsid w:val="00CC1B3B"/>
    <w:rsid w:val="00CC52E5"/>
    <w:rsid w:val="00CC591E"/>
    <w:rsid w:val="00CD3FF6"/>
    <w:rsid w:val="00CE0F0C"/>
    <w:rsid w:val="00CE46CF"/>
    <w:rsid w:val="00D02BCC"/>
    <w:rsid w:val="00D13F7C"/>
    <w:rsid w:val="00D21CE2"/>
    <w:rsid w:val="00D315AC"/>
    <w:rsid w:val="00D51FB8"/>
    <w:rsid w:val="00D62225"/>
    <w:rsid w:val="00D64103"/>
    <w:rsid w:val="00D648E0"/>
    <w:rsid w:val="00D71FDC"/>
    <w:rsid w:val="00D72D10"/>
    <w:rsid w:val="00D73E5A"/>
    <w:rsid w:val="00D773DA"/>
    <w:rsid w:val="00D87F4E"/>
    <w:rsid w:val="00DA1D7D"/>
    <w:rsid w:val="00DA367F"/>
    <w:rsid w:val="00DB4391"/>
    <w:rsid w:val="00DC3713"/>
    <w:rsid w:val="00DC47B7"/>
    <w:rsid w:val="00DD2ED6"/>
    <w:rsid w:val="00DD2FC6"/>
    <w:rsid w:val="00DF624D"/>
    <w:rsid w:val="00DF6C0D"/>
    <w:rsid w:val="00E00AA3"/>
    <w:rsid w:val="00E13A15"/>
    <w:rsid w:val="00E153E6"/>
    <w:rsid w:val="00E31A3B"/>
    <w:rsid w:val="00E519EA"/>
    <w:rsid w:val="00E57A26"/>
    <w:rsid w:val="00E6013D"/>
    <w:rsid w:val="00E63DCB"/>
    <w:rsid w:val="00E82A98"/>
    <w:rsid w:val="00E83EBA"/>
    <w:rsid w:val="00E84289"/>
    <w:rsid w:val="00E91BCC"/>
    <w:rsid w:val="00EA7973"/>
    <w:rsid w:val="00EB49E0"/>
    <w:rsid w:val="00EC6FBF"/>
    <w:rsid w:val="00EE1EAB"/>
    <w:rsid w:val="00EF48D2"/>
    <w:rsid w:val="00EF7095"/>
    <w:rsid w:val="00F0167B"/>
    <w:rsid w:val="00F04B57"/>
    <w:rsid w:val="00F11B61"/>
    <w:rsid w:val="00F13CD9"/>
    <w:rsid w:val="00F3424F"/>
    <w:rsid w:val="00F43576"/>
    <w:rsid w:val="00F54A96"/>
    <w:rsid w:val="00F6216A"/>
    <w:rsid w:val="00F65A6D"/>
    <w:rsid w:val="00F851C9"/>
    <w:rsid w:val="00F901B6"/>
    <w:rsid w:val="00F9315F"/>
    <w:rsid w:val="00FA3DBA"/>
    <w:rsid w:val="00FC345A"/>
    <w:rsid w:val="00FC568A"/>
    <w:rsid w:val="00FD6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49F35"/>
  <w15:chartTrackingRefBased/>
  <w15:docId w15:val="{43D99D6B-0C47-49C6-B4D3-D71F703C1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273"/>
  </w:style>
  <w:style w:type="paragraph" w:styleId="Heading1">
    <w:name w:val="heading 1"/>
    <w:basedOn w:val="Normal"/>
    <w:next w:val="Normal"/>
    <w:link w:val="Heading1Char"/>
    <w:uiPriority w:val="9"/>
    <w:qFormat/>
    <w:rsid w:val="00CB7C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7C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7C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7C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7C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7C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7C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7C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7C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7C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B7C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7C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7C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7C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7C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7C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7C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7C30"/>
    <w:rPr>
      <w:rFonts w:eastAsiaTheme="majorEastAsia" w:cstheme="majorBidi"/>
      <w:color w:val="272727" w:themeColor="text1" w:themeTint="D8"/>
    </w:rPr>
  </w:style>
  <w:style w:type="paragraph" w:styleId="Title">
    <w:name w:val="Title"/>
    <w:basedOn w:val="Normal"/>
    <w:next w:val="Normal"/>
    <w:link w:val="TitleChar"/>
    <w:uiPriority w:val="10"/>
    <w:qFormat/>
    <w:rsid w:val="00CB7C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7C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7C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7C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7C30"/>
    <w:pPr>
      <w:spacing w:before="160"/>
      <w:jc w:val="center"/>
    </w:pPr>
    <w:rPr>
      <w:i/>
      <w:iCs/>
      <w:color w:val="404040" w:themeColor="text1" w:themeTint="BF"/>
    </w:rPr>
  </w:style>
  <w:style w:type="character" w:customStyle="1" w:styleId="QuoteChar">
    <w:name w:val="Quote Char"/>
    <w:basedOn w:val="DefaultParagraphFont"/>
    <w:link w:val="Quote"/>
    <w:uiPriority w:val="29"/>
    <w:rsid w:val="00CB7C30"/>
    <w:rPr>
      <w:i/>
      <w:iCs/>
      <w:color w:val="404040" w:themeColor="text1" w:themeTint="BF"/>
    </w:rPr>
  </w:style>
  <w:style w:type="paragraph" w:styleId="ListParagraph">
    <w:name w:val="List Paragraph"/>
    <w:basedOn w:val="Normal"/>
    <w:uiPriority w:val="34"/>
    <w:qFormat/>
    <w:rsid w:val="00CB7C30"/>
    <w:pPr>
      <w:ind w:left="720"/>
      <w:contextualSpacing/>
    </w:pPr>
  </w:style>
  <w:style w:type="character" w:styleId="IntenseEmphasis">
    <w:name w:val="Intense Emphasis"/>
    <w:basedOn w:val="DefaultParagraphFont"/>
    <w:uiPriority w:val="21"/>
    <w:qFormat/>
    <w:rsid w:val="00CB7C30"/>
    <w:rPr>
      <w:i/>
      <w:iCs/>
      <w:color w:val="0F4761" w:themeColor="accent1" w:themeShade="BF"/>
    </w:rPr>
  </w:style>
  <w:style w:type="paragraph" w:styleId="IntenseQuote">
    <w:name w:val="Intense Quote"/>
    <w:basedOn w:val="Normal"/>
    <w:next w:val="Normal"/>
    <w:link w:val="IntenseQuoteChar"/>
    <w:uiPriority w:val="30"/>
    <w:qFormat/>
    <w:rsid w:val="00CB7C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7C30"/>
    <w:rPr>
      <w:i/>
      <w:iCs/>
      <w:color w:val="0F4761" w:themeColor="accent1" w:themeShade="BF"/>
    </w:rPr>
  </w:style>
  <w:style w:type="character" w:styleId="IntenseReference">
    <w:name w:val="Intense Reference"/>
    <w:basedOn w:val="DefaultParagraphFont"/>
    <w:uiPriority w:val="32"/>
    <w:qFormat/>
    <w:rsid w:val="00CB7C30"/>
    <w:rPr>
      <w:b/>
      <w:bCs/>
      <w:smallCaps/>
      <w:color w:val="0F4761" w:themeColor="accent1" w:themeShade="BF"/>
      <w:spacing w:val="5"/>
    </w:rPr>
  </w:style>
  <w:style w:type="character" w:styleId="LineNumber">
    <w:name w:val="line number"/>
    <w:basedOn w:val="DefaultParagraphFont"/>
    <w:uiPriority w:val="99"/>
    <w:semiHidden/>
    <w:unhideWhenUsed/>
    <w:rsid w:val="00CB7C30"/>
  </w:style>
  <w:style w:type="character" w:styleId="Hyperlink">
    <w:name w:val="Hyperlink"/>
    <w:uiPriority w:val="99"/>
    <w:unhideWhenUsed/>
    <w:rsid w:val="00DD2FC6"/>
    <w:rPr>
      <w:color w:val="467886"/>
      <w:u w:val="single"/>
    </w:rPr>
  </w:style>
  <w:style w:type="paragraph" w:customStyle="1" w:styleId="Default">
    <w:name w:val="Default"/>
    <w:rsid w:val="00DD2FC6"/>
    <w:pPr>
      <w:widowControl w:val="0"/>
      <w:autoSpaceDE w:val="0"/>
      <w:autoSpaceDN w:val="0"/>
      <w:adjustRightInd w:val="0"/>
      <w:spacing w:after="0" w:line="240" w:lineRule="auto"/>
    </w:pPr>
    <w:rPr>
      <w:rFonts w:ascii="Calibri" w:eastAsia="MS Mincho" w:hAnsi="Calibri" w:cs="Calibri"/>
      <w:color w:val="000000"/>
      <w:kern w:val="0"/>
      <w:lang w:eastAsia="ja-JP"/>
      <w14:ligatures w14:val="none"/>
    </w:rPr>
  </w:style>
  <w:style w:type="character" w:styleId="FootnoteReference">
    <w:name w:val="footnote reference"/>
    <w:uiPriority w:val="99"/>
    <w:unhideWhenUsed/>
    <w:rsid w:val="00DD2FC6"/>
    <w:rPr>
      <w:vertAlign w:val="superscript"/>
    </w:rPr>
  </w:style>
  <w:style w:type="character" w:styleId="PlaceholderText">
    <w:name w:val="Placeholder Text"/>
    <w:basedOn w:val="DefaultParagraphFont"/>
    <w:uiPriority w:val="99"/>
    <w:semiHidden/>
    <w:rsid w:val="00E519EA"/>
    <w:rPr>
      <w:color w:val="666666"/>
    </w:rPr>
  </w:style>
  <w:style w:type="character" w:customStyle="1" w:styleId="title-text">
    <w:name w:val="title-text"/>
    <w:basedOn w:val="DefaultParagraphFont"/>
    <w:rsid w:val="00997E02"/>
  </w:style>
  <w:style w:type="character" w:customStyle="1" w:styleId="value">
    <w:name w:val="value"/>
    <w:basedOn w:val="DefaultParagraphFont"/>
    <w:rsid w:val="00DC47B7"/>
  </w:style>
  <w:style w:type="character" w:styleId="FollowedHyperlink">
    <w:name w:val="FollowedHyperlink"/>
    <w:basedOn w:val="DefaultParagraphFont"/>
    <w:uiPriority w:val="99"/>
    <w:semiHidden/>
    <w:unhideWhenUsed/>
    <w:rsid w:val="00FA3DBA"/>
    <w:rPr>
      <w:color w:val="96607D" w:themeColor="followedHyperlink"/>
      <w:u w:val="single"/>
    </w:rPr>
  </w:style>
  <w:style w:type="character" w:customStyle="1" w:styleId="citation-67">
    <w:name w:val="citation-67"/>
    <w:basedOn w:val="DefaultParagraphFont"/>
    <w:rsid w:val="00E84289"/>
  </w:style>
  <w:style w:type="character" w:customStyle="1" w:styleId="citation-94">
    <w:name w:val="citation-94"/>
    <w:basedOn w:val="DefaultParagraphFont"/>
    <w:rsid w:val="00660591"/>
  </w:style>
  <w:style w:type="character" w:customStyle="1" w:styleId="citation-93">
    <w:name w:val="citation-93"/>
    <w:basedOn w:val="DefaultParagraphFont"/>
    <w:rsid w:val="00660591"/>
  </w:style>
  <w:style w:type="character" w:styleId="Emphasis">
    <w:name w:val="Emphasis"/>
    <w:basedOn w:val="DefaultParagraphFont"/>
    <w:uiPriority w:val="20"/>
    <w:qFormat/>
    <w:rsid w:val="00046882"/>
    <w:rPr>
      <w:i/>
      <w:iCs/>
    </w:rPr>
  </w:style>
  <w:style w:type="paragraph" w:customStyle="1" w:styleId="nova-legacy-e-listitem">
    <w:name w:val="nova-legacy-e-list__item"/>
    <w:basedOn w:val="Normal"/>
    <w:rsid w:val="0004688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CD3FF6"/>
    <w:rPr>
      <w:b/>
      <w:bCs/>
    </w:rPr>
  </w:style>
  <w:style w:type="paragraph" w:styleId="NormalWeb">
    <w:name w:val="Normal (Web)"/>
    <w:basedOn w:val="Normal"/>
    <w:uiPriority w:val="99"/>
    <w:unhideWhenUsed/>
    <w:rsid w:val="00732A65"/>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 w:type="paragraph" w:styleId="Header">
    <w:name w:val="header"/>
    <w:basedOn w:val="Normal"/>
    <w:link w:val="HeaderChar"/>
    <w:uiPriority w:val="99"/>
    <w:unhideWhenUsed/>
    <w:rsid w:val="00A822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2205"/>
  </w:style>
  <w:style w:type="paragraph" w:styleId="Footer">
    <w:name w:val="footer"/>
    <w:basedOn w:val="Normal"/>
    <w:link w:val="FooterChar"/>
    <w:uiPriority w:val="99"/>
    <w:unhideWhenUsed/>
    <w:rsid w:val="00A822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2205"/>
  </w:style>
  <w:style w:type="character" w:styleId="UnresolvedMention">
    <w:name w:val="Unresolved Mention"/>
    <w:basedOn w:val="DefaultParagraphFont"/>
    <w:uiPriority w:val="99"/>
    <w:semiHidden/>
    <w:unhideWhenUsed/>
    <w:rsid w:val="00701ED5"/>
    <w:rPr>
      <w:color w:val="605E5C"/>
      <w:shd w:val="clear" w:color="auto" w:fill="E1DFDD"/>
    </w:rPr>
  </w:style>
  <w:style w:type="paragraph" w:styleId="Revision">
    <w:name w:val="Revision"/>
    <w:hidden/>
    <w:uiPriority w:val="99"/>
    <w:semiHidden/>
    <w:rsid w:val="005A55E0"/>
    <w:pPr>
      <w:spacing w:after="0" w:line="240" w:lineRule="auto"/>
    </w:pPr>
  </w:style>
  <w:style w:type="paragraph" w:styleId="NoSpacing">
    <w:name w:val="No Spacing"/>
    <w:uiPriority w:val="1"/>
    <w:qFormat/>
    <w:rsid w:val="00BE01E1"/>
    <w:pPr>
      <w:spacing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216280">
      <w:bodyDiv w:val="1"/>
      <w:marLeft w:val="0"/>
      <w:marRight w:val="0"/>
      <w:marTop w:val="0"/>
      <w:marBottom w:val="0"/>
      <w:divBdr>
        <w:top w:val="none" w:sz="0" w:space="0" w:color="auto"/>
        <w:left w:val="none" w:sz="0" w:space="0" w:color="auto"/>
        <w:bottom w:val="none" w:sz="0" w:space="0" w:color="auto"/>
        <w:right w:val="none" w:sz="0" w:space="0" w:color="auto"/>
      </w:divBdr>
      <w:divsChild>
        <w:div w:id="1104306367">
          <w:marLeft w:val="0"/>
          <w:marRight w:val="0"/>
          <w:marTop w:val="0"/>
          <w:marBottom w:val="0"/>
          <w:divBdr>
            <w:top w:val="none" w:sz="0" w:space="0" w:color="auto"/>
            <w:left w:val="none" w:sz="0" w:space="0" w:color="auto"/>
            <w:bottom w:val="none" w:sz="0" w:space="0" w:color="auto"/>
            <w:right w:val="none" w:sz="0" w:space="0" w:color="auto"/>
          </w:divBdr>
          <w:divsChild>
            <w:div w:id="972756682">
              <w:marLeft w:val="0"/>
              <w:marRight w:val="0"/>
              <w:marTop w:val="0"/>
              <w:marBottom w:val="0"/>
              <w:divBdr>
                <w:top w:val="none" w:sz="0" w:space="0" w:color="auto"/>
                <w:left w:val="none" w:sz="0" w:space="0" w:color="auto"/>
                <w:bottom w:val="none" w:sz="0" w:space="0" w:color="auto"/>
                <w:right w:val="none" w:sz="0" w:space="0" w:color="auto"/>
              </w:divBdr>
              <w:divsChild>
                <w:div w:id="6518647">
                  <w:marLeft w:val="0"/>
                  <w:marRight w:val="0"/>
                  <w:marTop w:val="0"/>
                  <w:marBottom w:val="0"/>
                  <w:divBdr>
                    <w:top w:val="none" w:sz="0" w:space="0" w:color="auto"/>
                    <w:left w:val="none" w:sz="0" w:space="0" w:color="auto"/>
                    <w:bottom w:val="none" w:sz="0" w:space="0" w:color="auto"/>
                    <w:right w:val="none" w:sz="0" w:space="0" w:color="auto"/>
                  </w:divBdr>
                  <w:divsChild>
                    <w:div w:id="1712458853">
                      <w:marLeft w:val="0"/>
                      <w:marRight w:val="0"/>
                      <w:marTop w:val="0"/>
                      <w:marBottom w:val="0"/>
                      <w:divBdr>
                        <w:top w:val="none" w:sz="0" w:space="0" w:color="auto"/>
                        <w:left w:val="none" w:sz="0" w:space="0" w:color="auto"/>
                        <w:bottom w:val="none" w:sz="0" w:space="0" w:color="auto"/>
                        <w:right w:val="none" w:sz="0" w:space="0" w:color="auto"/>
                      </w:divBdr>
                      <w:divsChild>
                        <w:div w:id="121387108">
                          <w:marLeft w:val="0"/>
                          <w:marRight w:val="0"/>
                          <w:marTop w:val="0"/>
                          <w:marBottom w:val="0"/>
                          <w:divBdr>
                            <w:top w:val="none" w:sz="0" w:space="0" w:color="auto"/>
                            <w:left w:val="none" w:sz="0" w:space="0" w:color="auto"/>
                            <w:bottom w:val="none" w:sz="0" w:space="0" w:color="auto"/>
                            <w:right w:val="none" w:sz="0" w:space="0" w:color="auto"/>
                          </w:divBdr>
                          <w:divsChild>
                            <w:div w:id="236331187">
                              <w:marLeft w:val="0"/>
                              <w:marRight w:val="0"/>
                              <w:marTop w:val="0"/>
                              <w:marBottom w:val="0"/>
                              <w:divBdr>
                                <w:top w:val="none" w:sz="0" w:space="0" w:color="auto"/>
                                <w:left w:val="none" w:sz="0" w:space="0" w:color="auto"/>
                                <w:bottom w:val="none" w:sz="0" w:space="0" w:color="auto"/>
                                <w:right w:val="none" w:sz="0" w:space="0" w:color="auto"/>
                              </w:divBdr>
                              <w:divsChild>
                                <w:div w:id="181550505">
                                  <w:marLeft w:val="0"/>
                                  <w:marRight w:val="0"/>
                                  <w:marTop w:val="0"/>
                                  <w:marBottom w:val="0"/>
                                  <w:divBdr>
                                    <w:top w:val="none" w:sz="0" w:space="0" w:color="auto"/>
                                    <w:left w:val="none" w:sz="0" w:space="0" w:color="auto"/>
                                    <w:bottom w:val="none" w:sz="0" w:space="0" w:color="auto"/>
                                    <w:right w:val="none" w:sz="0" w:space="0" w:color="auto"/>
                                  </w:divBdr>
                                  <w:divsChild>
                                    <w:div w:id="283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72370">
          <w:marLeft w:val="0"/>
          <w:marRight w:val="0"/>
          <w:marTop w:val="0"/>
          <w:marBottom w:val="0"/>
          <w:divBdr>
            <w:top w:val="none" w:sz="0" w:space="0" w:color="auto"/>
            <w:left w:val="none" w:sz="0" w:space="0" w:color="auto"/>
            <w:bottom w:val="none" w:sz="0" w:space="0" w:color="auto"/>
            <w:right w:val="none" w:sz="0" w:space="0" w:color="auto"/>
          </w:divBdr>
          <w:divsChild>
            <w:div w:id="575241275">
              <w:marLeft w:val="0"/>
              <w:marRight w:val="0"/>
              <w:marTop w:val="0"/>
              <w:marBottom w:val="0"/>
              <w:divBdr>
                <w:top w:val="none" w:sz="0" w:space="0" w:color="auto"/>
                <w:left w:val="none" w:sz="0" w:space="0" w:color="auto"/>
                <w:bottom w:val="none" w:sz="0" w:space="0" w:color="auto"/>
                <w:right w:val="none" w:sz="0" w:space="0" w:color="auto"/>
              </w:divBdr>
              <w:divsChild>
                <w:div w:id="165025888">
                  <w:marLeft w:val="0"/>
                  <w:marRight w:val="0"/>
                  <w:marTop w:val="0"/>
                  <w:marBottom w:val="0"/>
                  <w:divBdr>
                    <w:top w:val="none" w:sz="0" w:space="0" w:color="auto"/>
                    <w:left w:val="none" w:sz="0" w:space="0" w:color="auto"/>
                    <w:bottom w:val="none" w:sz="0" w:space="0" w:color="auto"/>
                    <w:right w:val="none" w:sz="0" w:space="0" w:color="auto"/>
                  </w:divBdr>
                  <w:divsChild>
                    <w:div w:id="1585339709">
                      <w:marLeft w:val="0"/>
                      <w:marRight w:val="0"/>
                      <w:marTop w:val="0"/>
                      <w:marBottom w:val="0"/>
                      <w:divBdr>
                        <w:top w:val="none" w:sz="0" w:space="0" w:color="auto"/>
                        <w:left w:val="none" w:sz="0" w:space="0" w:color="auto"/>
                        <w:bottom w:val="none" w:sz="0" w:space="0" w:color="auto"/>
                        <w:right w:val="none" w:sz="0" w:space="0" w:color="auto"/>
                      </w:divBdr>
                      <w:divsChild>
                        <w:div w:id="1257598916">
                          <w:marLeft w:val="0"/>
                          <w:marRight w:val="0"/>
                          <w:marTop w:val="0"/>
                          <w:marBottom w:val="0"/>
                          <w:divBdr>
                            <w:top w:val="none" w:sz="0" w:space="0" w:color="auto"/>
                            <w:left w:val="none" w:sz="0" w:space="0" w:color="auto"/>
                            <w:bottom w:val="none" w:sz="0" w:space="0" w:color="auto"/>
                            <w:right w:val="none" w:sz="0" w:space="0" w:color="auto"/>
                          </w:divBdr>
                          <w:divsChild>
                            <w:div w:id="65735596">
                              <w:marLeft w:val="0"/>
                              <w:marRight w:val="0"/>
                              <w:marTop w:val="0"/>
                              <w:marBottom w:val="0"/>
                              <w:divBdr>
                                <w:top w:val="none" w:sz="0" w:space="0" w:color="auto"/>
                                <w:left w:val="none" w:sz="0" w:space="0" w:color="auto"/>
                                <w:bottom w:val="none" w:sz="0" w:space="0" w:color="auto"/>
                                <w:right w:val="none" w:sz="0" w:space="0" w:color="auto"/>
                              </w:divBdr>
                              <w:divsChild>
                                <w:div w:id="1812823966">
                                  <w:marLeft w:val="0"/>
                                  <w:marRight w:val="0"/>
                                  <w:marTop w:val="0"/>
                                  <w:marBottom w:val="0"/>
                                  <w:divBdr>
                                    <w:top w:val="none" w:sz="0" w:space="0" w:color="auto"/>
                                    <w:left w:val="none" w:sz="0" w:space="0" w:color="auto"/>
                                    <w:bottom w:val="none" w:sz="0" w:space="0" w:color="auto"/>
                                    <w:right w:val="none" w:sz="0" w:space="0" w:color="auto"/>
                                  </w:divBdr>
                                  <w:divsChild>
                                    <w:div w:id="870873549">
                                      <w:marLeft w:val="0"/>
                                      <w:marRight w:val="0"/>
                                      <w:marTop w:val="0"/>
                                      <w:marBottom w:val="0"/>
                                      <w:divBdr>
                                        <w:top w:val="none" w:sz="0" w:space="0" w:color="auto"/>
                                        <w:left w:val="none" w:sz="0" w:space="0" w:color="auto"/>
                                        <w:bottom w:val="none" w:sz="0" w:space="0" w:color="auto"/>
                                        <w:right w:val="none" w:sz="0" w:space="0" w:color="auto"/>
                                      </w:divBdr>
                                      <w:divsChild>
                                        <w:div w:id="7496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7047932">
      <w:bodyDiv w:val="1"/>
      <w:marLeft w:val="0"/>
      <w:marRight w:val="0"/>
      <w:marTop w:val="0"/>
      <w:marBottom w:val="0"/>
      <w:divBdr>
        <w:top w:val="none" w:sz="0" w:space="0" w:color="auto"/>
        <w:left w:val="none" w:sz="0" w:space="0" w:color="auto"/>
        <w:bottom w:val="none" w:sz="0" w:space="0" w:color="auto"/>
        <w:right w:val="none" w:sz="0" w:space="0" w:color="auto"/>
      </w:divBdr>
    </w:div>
    <w:div w:id="532770899">
      <w:bodyDiv w:val="1"/>
      <w:marLeft w:val="0"/>
      <w:marRight w:val="0"/>
      <w:marTop w:val="0"/>
      <w:marBottom w:val="0"/>
      <w:divBdr>
        <w:top w:val="none" w:sz="0" w:space="0" w:color="auto"/>
        <w:left w:val="none" w:sz="0" w:space="0" w:color="auto"/>
        <w:bottom w:val="none" w:sz="0" w:space="0" w:color="auto"/>
        <w:right w:val="none" w:sz="0" w:space="0" w:color="auto"/>
      </w:divBdr>
    </w:div>
    <w:div w:id="1008557912">
      <w:bodyDiv w:val="1"/>
      <w:marLeft w:val="0"/>
      <w:marRight w:val="0"/>
      <w:marTop w:val="0"/>
      <w:marBottom w:val="0"/>
      <w:divBdr>
        <w:top w:val="none" w:sz="0" w:space="0" w:color="auto"/>
        <w:left w:val="none" w:sz="0" w:space="0" w:color="auto"/>
        <w:bottom w:val="none" w:sz="0" w:space="0" w:color="auto"/>
        <w:right w:val="none" w:sz="0" w:space="0" w:color="auto"/>
      </w:divBdr>
    </w:div>
    <w:div w:id="1008947234">
      <w:bodyDiv w:val="1"/>
      <w:marLeft w:val="0"/>
      <w:marRight w:val="0"/>
      <w:marTop w:val="0"/>
      <w:marBottom w:val="0"/>
      <w:divBdr>
        <w:top w:val="none" w:sz="0" w:space="0" w:color="auto"/>
        <w:left w:val="none" w:sz="0" w:space="0" w:color="auto"/>
        <w:bottom w:val="none" w:sz="0" w:space="0" w:color="auto"/>
        <w:right w:val="none" w:sz="0" w:space="0" w:color="auto"/>
      </w:divBdr>
      <w:divsChild>
        <w:div w:id="839658821">
          <w:marLeft w:val="0"/>
          <w:marRight w:val="0"/>
          <w:marTop w:val="0"/>
          <w:marBottom w:val="75"/>
          <w:divBdr>
            <w:top w:val="none" w:sz="0" w:space="0" w:color="auto"/>
            <w:left w:val="none" w:sz="0" w:space="0" w:color="auto"/>
            <w:bottom w:val="none" w:sz="0" w:space="0" w:color="auto"/>
            <w:right w:val="none" w:sz="0" w:space="0" w:color="auto"/>
          </w:divBdr>
        </w:div>
        <w:div w:id="1389189952">
          <w:marLeft w:val="0"/>
          <w:marRight w:val="0"/>
          <w:marTop w:val="0"/>
          <w:marBottom w:val="75"/>
          <w:divBdr>
            <w:top w:val="none" w:sz="0" w:space="0" w:color="auto"/>
            <w:left w:val="none" w:sz="0" w:space="0" w:color="auto"/>
            <w:bottom w:val="none" w:sz="0" w:space="0" w:color="auto"/>
            <w:right w:val="none" w:sz="0" w:space="0" w:color="auto"/>
          </w:divBdr>
        </w:div>
      </w:divsChild>
    </w:div>
    <w:div w:id="1163162681">
      <w:bodyDiv w:val="1"/>
      <w:marLeft w:val="0"/>
      <w:marRight w:val="0"/>
      <w:marTop w:val="0"/>
      <w:marBottom w:val="0"/>
      <w:divBdr>
        <w:top w:val="none" w:sz="0" w:space="0" w:color="auto"/>
        <w:left w:val="none" w:sz="0" w:space="0" w:color="auto"/>
        <w:bottom w:val="none" w:sz="0" w:space="0" w:color="auto"/>
        <w:right w:val="none" w:sz="0" w:space="0" w:color="auto"/>
      </w:divBdr>
      <w:divsChild>
        <w:div w:id="1440101112">
          <w:marLeft w:val="0"/>
          <w:marRight w:val="0"/>
          <w:marTop w:val="0"/>
          <w:marBottom w:val="0"/>
          <w:divBdr>
            <w:top w:val="none" w:sz="0" w:space="0" w:color="auto"/>
            <w:left w:val="none" w:sz="0" w:space="0" w:color="auto"/>
            <w:bottom w:val="none" w:sz="0" w:space="0" w:color="auto"/>
            <w:right w:val="none" w:sz="0" w:space="0" w:color="auto"/>
          </w:divBdr>
          <w:divsChild>
            <w:div w:id="506868625">
              <w:marLeft w:val="0"/>
              <w:marRight w:val="0"/>
              <w:marTop w:val="0"/>
              <w:marBottom w:val="0"/>
              <w:divBdr>
                <w:top w:val="none" w:sz="0" w:space="0" w:color="auto"/>
                <w:left w:val="none" w:sz="0" w:space="0" w:color="auto"/>
                <w:bottom w:val="none" w:sz="0" w:space="0" w:color="auto"/>
                <w:right w:val="none" w:sz="0" w:space="0" w:color="auto"/>
              </w:divBdr>
              <w:divsChild>
                <w:div w:id="1416322389">
                  <w:marLeft w:val="0"/>
                  <w:marRight w:val="0"/>
                  <w:marTop w:val="0"/>
                  <w:marBottom w:val="0"/>
                  <w:divBdr>
                    <w:top w:val="none" w:sz="0" w:space="0" w:color="auto"/>
                    <w:left w:val="none" w:sz="0" w:space="0" w:color="auto"/>
                    <w:bottom w:val="none" w:sz="0" w:space="0" w:color="auto"/>
                    <w:right w:val="none" w:sz="0" w:space="0" w:color="auto"/>
                  </w:divBdr>
                  <w:divsChild>
                    <w:div w:id="1400667544">
                      <w:marLeft w:val="0"/>
                      <w:marRight w:val="0"/>
                      <w:marTop w:val="0"/>
                      <w:marBottom w:val="0"/>
                      <w:divBdr>
                        <w:top w:val="none" w:sz="0" w:space="0" w:color="auto"/>
                        <w:left w:val="none" w:sz="0" w:space="0" w:color="auto"/>
                        <w:bottom w:val="none" w:sz="0" w:space="0" w:color="auto"/>
                        <w:right w:val="none" w:sz="0" w:space="0" w:color="auto"/>
                      </w:divBdr>
                      <w:divsChild>
                        <w:div w:id="1911113138">
                          <w:marLeft w:val="0"/>
                          <w:marRight w:val="0"/>
                          <w:marTop w:val="0"/>
                          <w:marBottom w:val="0"/>
                          <w:divBdr>
                            <w:top w:val="none" w:sz="0" w:space="0" w:color="auto"/>
                            <w:left w:val="none" w:sz="0" w:space="0" w:color="auto"/>
                            <w:bottom w:val="none" w:sz="0" w:space="0" w:color="auto"/>
                            <w:right w:val="none" w:sz="0" w:space="0" w:color="auto"/>
                          </w:divBdr>
                          <w:divsChild>
                            <w:div w:id="61564835">
                              <w:marLeft w:val="0"/>
                              <w:marRight w:val="0"/>
                              <w:marTop w:val="0"/>
                              <w:marBottom w:val="0"/>
                              <w:divBdr>
                                <w:top w:val="none" w:sz="0" w:space="0" w:color="auto"/>
                                <w:left w:val="none" w:sz="0" w:space="0" w:color="auto"/>
                                <w:bottom w:val="none" w:sz="0" w:space="0" w:color="auto"/>
                                <w:right w:val="none" w:sz="0" w:space="0" w:color="auto"/>
                              </w:divBdr>
                              <w:divsChild>
                                <w:div w:id="876508655">
                                  <w:marLeft w:val="0"/>
                                  <w:marRight w:val="0"/>
                                  <w:marTop w:val="0"/>
                                  <w:marBottom w:val="0"/>
                                  <w:divBdr>
                                    <w:top w:val="none" w:sz="0" w:space="0" w:color="auto"/>
                                    <w:left w:val="none" w:sz="0" w:space="0" w:color="auto"/>
                                    <w:bottom w:val="none" w:sz="0" w:space="0" w:color="auto"/>
                                    <w:right w:val="none" w:sz="0" w:space="0" w:color="auto"/>
                                  </w:divBdr>
                                  <w:divsChild>
                                    <w:div w:id="13297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6680398">
          <w:marLeft w:val="0"/>
          <w:marRight w:val="0"/>
          <w:marTop w:val="0"/>
          <w:marBottom w:val="0"/>
          <w:divBdr>
            <w:top w:val="none" w:sz="0" w:space="0" w:color="auto"/>
            <w:left w:val="none" w:sz="0" w:space="0" w:color="auto"/>
            <w:bottom w:val="none" w:sz="0" w:space="0" w:color="auto"/>
            <w:right w:val="none" w:sz="0" w:space="0" w:color="auto"/>
          </w:divBdr>
          <w:divsChild>
            <w:div w:id="1276867117">
              <w:marLeft w:val="0"/>
              <w:marRight w:val="0"/>
              <w:marTop w:val="0"/>
              <w:marBottom w:val="0"/>
              <w:divBdr>
                <w:top w:val="none" w:sz="0" w:space="0" w:color="auto"/>
                <w:left w:val="none" w:sz="0" w:space="0" w:color="auto"/>
                <w:bottom w:val="none" w:sz="0" w:space="0" w:color="auto"/>
                <w:right w:val="none" w:sz="0" w:space="0" w:color="auto"/>
              </w:divBdr>
              <w:divsChild>
                <w:div w:id="482044207">
                  <w:marLeft w:val="0"/>
                  <w:marRight w:val="0"/>
                  <w:marTop w:val="0"/>
                  <w:marBottom w:val="0"/>
                  <w:divBdr>
                    <w:top w:val="none" w:sz="0" w:space="0" w:color="auto"/>
                    <w:left w:val="none" w:sz="0" w:space="0" w:color="auto"/>
                    <w:bottom w:val="none" w:sz="0" w:space="0" w:color="auto"/>
                    <w:right w:val="none" w:sz="0" w:space="0" w:color="auto"/>
                  </w:divBdr>
                  <w:divsChild>
                    <w:div w:id="1249340007">
                      <w:marLeft w:val="0"/>
                      <w:marRight w:val="0"/>
                      <w:marTop w:val="0"/>
                      <w:marBottom w:val="0"/>
                      <w:divBdr>
                        <w:top w:val="none" w:sz="0" w:space="0" w:color="auto"/>
                        <w:left w:val="none" w:sz="0" w:space="0" w:color="auto"/>
                        <w:bottom w:val="none" w:sz="0" w:space="0" w:color="auto"/>
                        <w:right w:val="none" w:sz="0" w:space="0" w:color="auto"/>
                      </w:divBdr>
                      <w:divsChild>
                        <w:div w:id="1059281077">
                          <w:marLeft w:val="0"/>
                          <w:marRight w:val="0"/>
                          <w:marTop w:val="0"/>
                          <w:marBottom w:val="0"/>
                          <w:divBdr>
                            <w:top w:val="none" w:sz="0" w:space="0" w:color="auto"/>
                            <w:left w:val="none" w:sz="0" w:space="0" w:color="auto"/>
                            <w:bottom w:val="none" w:sz="0" w:space="0" w:color="auto"/>
                            <w:right w:val="none" w:sz="0" w:space="0" w:color="auto"/>
                          </w:divBdr>
                          <w:divsChild>
                            <w:div w:id="1907834696">
                              <w:marLeft w:val="0"/>
                              <w:marRight w:val="0"/>
                              <w:marTop w:val="0"/>
                              <w:marBottom w:val="0"/>
                              <w:divBdr>
                                <w:top w:val="none" w:sz="0" w:space="0" w:color="auto"/>
                                <w:left w:val="none" w:sz="0" w:space="0" w:color="auto"/>
                                <w:bottom w:val="none" w:sz="0" w:space="0" w:color="auto"/>
                                <w:right w:val="none" w:sz="0" w:space="0" w:color="auto"/>
                              </w:divBdr>
                              <w:divsChild>
                                <w:div w:id="452675231">
                                  <w:marLeft w:val="0"/>
                                  <w:marRight w:val="0"/>
                                  <w:marTop w:val="0"/>
                                  <w:marBottom w:val="0"/>
                                  <w:divBdr>
                                    <w:top w:val="none" w:sz="0" w:space="0" w:color="auto"/>
                                    <w:left w:val="none" w:sz="0" w:space="0" w:color="auto"/>
                                    <w:bottom w:val="none" w:sz="0" w:space="0" w:color="auto"/>
                                    <w:right w:val="none" w:sz="0" w:space="0" w:color="auto"/>
                                  </w:divBdr>
                                  <w:divsChild>
                                    <w:div w:id="1330255194">
                                      <w:marLeft w:val="0"/>
                                      <w:marRight w:val="0"/>
                                      <w:marTop w:val="0"/>
                                      <w:marBottom w:val="0"/>
                                      <w:divBdr>
                                        <w:top w:val="none" w:sz="0" w:space="0" w:color="auto"/>
                                        <w:left w:val="none" w:sz="0" w:space="0" w:color="auto"/>
                                        <w:bottom w:val="none" w:sz="0" w:space="0" w:color="auto"/>
                                        <w:right w:val="none" w:sz="0" w:space="0" w:color="auto"/>
                                      </w:divBdr>
                                      <w:divsChild>
                                        <w:div w:id="15242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916665">
      <w:bodyDiv w:val="1"/>
      <w:marLeft w:val="0"/>
      <w:marRight w:val="0"/>
      <w:marTop w:val="0"/>
      <w:marBottom w:val="0"/>
      <w:divBdr>
        <w:top w:val="none" w:sz="0" w:space="0" w:color="auto"/>
        <w:left w:val="none" w:sz="0" w:space="0" w:color="auto"/>
        <w:bottom w:val="none" w:sz="0" w:space="0" w:color="auto"/>
        <w:right w:val="none" w:sz="0" w:space="0" w:color="auto"/>
      </w:divBdr>
      <w:divsChild>
        <w:div w:id="2099053548">
          <w:marLeft w:val="0"/>
          <w:marRight w:val="0"/>
          <w:marTop w:val="0"/>
          <w:marBottom w:val="0"/>
          <w:divBdr>
            <w:top w:val="none" w:sz="0" w:space="0" w:color="auto"/>
            <w:left w:val="none" w:sz="0" w:space="0" w:color="auto"/>
            <w:bottom w:val="none" w:sz="0" w:space="0" w:color="auto"/>
            <w:right w:val="none" w:sz="0" w:space="0" w:color="auto"/>
          </w:divBdr>
          <w:divsChild>
            <w:div w:id="240070489">
              <w:marLeft w:val="0"/>
              <w:marRight w:val="0"/>
              <w:marTop w:val="0"/>
              <w:marBottom w:val="0"/>
              <w:divBdr>
                <w:top w:val="none" w:sz="0" w:space="0" w:color="auto"/>
                <w:left w:val="none" w:sz="0" w:space="0" w:color="auto"/>
                <w:bottom w:val="none" w:sz="0" w:space="0" w:color="auto"/>
                <w:right w:val="none" w:sz="0" w:space="0" w:color="auto"/>
              </w:divBdr>
              <w:divsChild>
                <w:div w:id="170224564">
                  <w:marLeft w:val="0"/>
                  <w:marRight w:val="0"/>
                  <w:marTop w:val="0"/>
                  <w:marBottom w:val="0"/>
                  <w:divBdr>
                    <w:top w:val="none" w:sz="0" w:space="0" w:color="auto"/>
                    <w:left w:val="none" w:sz="0" w:space="0" w:color="auto"/>
                    <w:bottom w:val="none" w:sz="0" w:space="0" w:color="auto"/>
                    <w:right w:val="none" w:sz="0" w:space="0" w:color="auto"/>
                  </w:divBdr>
                  <w:divsChild>
                    <w:div w:id="734398912">
                      <w:marLeft w:val="0"/>
                      <w:marRight w:val="0"/>
                      <w:marTop w:val="0"/>
                      <w:marBottom w:val="0"/>
                      <w:divBdr>
                        <w:top w:val="none" w:sz="0" w:space="0" w:color="auto"/>
                        <w:left w:val="none" w:sz="0" w:space="0" w:color="auto"/>
                        <w:bottom w:val="none" w:sz="0" w:space="0" w:color="auto"/>
                        <w:right w:val="none" w:sz="0" w:space="0" w:color="auto"/>
                      </w:divBdr>
                      <w:divsChild>
                        <w:div w:id="1064138097">
                          <w:marLeft w:val="0"/>
                          <w:marRight w:val="0"/>
                          <w:marTop w:val="0"/>
                          <w:marBottom w:val="0"/>
                          <w:divBdr>
                            <w:top w:val="none" w:sz="0" w:space="0" w:color="auto"/>
                            <w:left w:val="none" w:sz="0" w:space="0" w:color="auto"/>
                            <w:bottom w:val="none" w:sz="0" w:space="0" w:color="auto"/>
                            <w:right w:val="none" w:sz="0" w:space="0" w:color="auto"/>
                          </w:divBdr>
                          <w:divsChild>
                            <w:div w:id="1411536870">
                              <w:marLeft w:val="0"/>
                              <w:marRight w:val="0"/>
                              <w:marTop w:val="0"/>
                              <w:marBottom w:val="0"/>
                              <w:divBdr>
                                <w:top w:val="none" w:sz="0" w:space="0" w:color="auto"/>
                                <w:left w:val="none" w:sz="0" w:space="0" w:color="auto"/>
                                <w:bottom w:val="none" w:sz="0" w:space="0" w:color="auto"/>
                                <w:right w:val="none" w:sz="0" w:space="0" w:color="auto"/>
                              </w:divBdr>
                              <w:divsChild>
                                <w:div w:id="86259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9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hyperlink" Target="https://doi.org/10.21273/HORTSCI.40.7.2138" TargetMode="External"/><Relationship Id="rId26" Type="http://schemas.openxmlformats.org/officeDocument/2006/relationships/hyperlink" Target="https://doi.org/10.1016/j.actatropica.2003.08.004" TargetMode="External"/><Relationship Id="rId39" Type="http://schemas.openxmlformats.org/officeDocument/2006/relationships/fontTable" Target="fontTable.xml"/><Relationship Id="rId21" Type="http://schemas.openxmlformats.org/officeDocument/2006/relationships/hyperlink" Target="https://doi.org/10.1016/j.scienta.2016.09.030" TargetMode="External"/><Relationship Id="rId34" Type="http://schemas.openxmlformats.org/officeDocument/2006/relationships/hyperlink" Target="https://doi.org/10.1016/j.landusepol.2022.105965" TargetMode="Externa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yperlink" Target="https://doi.org/10.1111/j.1477-9552.2004.tb00095.x" TargetMode="External"/><Relationship Id="rId33" Type="http://schemas.openxmlformats.org/officeDocument/2006/relationships/hyperlink" Target="https://doi.org/10.3390/horticulturae9010105"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hyperlink" Target="https://doi.org/10.1016/j.heliyon.2021.e08008" TargetMode="External"/><Relationship Id="rId29" Type="http://schemas.openxmlformats.org/officeDocument/2006/relationships/hyperlink" Target="https://doi.org/10.5455/JBAU.80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s://doi.org/10.21273/HORTSCI.31.6.965" TargetMode="External"/><Relationship Id="rId32" Type="http://schemas.openxmlformats.org/officeDocument/2006/relationships/hyperlink" Target="https://doi.org/10.3390/f11050522" TargetMode="External"/><Relationship Id="rId37" Type="http://schemas.openxmlformats.org/officeDocument/2006/relationships/hyperlink" Target="https://doi.org/10.1093/hr/uhaf024"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yperlink" Target="https://doi.org/10.1093/jxb/erv475" TargetMode="External"/><Relationship Id="rId28" Type="http://schemas.openxmlformats.org/officeDocument/2006/relationships/hyperlink" Target="https://doi.org/10.3329/bjar.v32i3.539" TargetMode="External"/><Relationship Id="rId36" Type="http://schemas.openxmlformats.org/officeDocument/2006/relationships/hyperlink" Target="https://doi.org/10.3390/nitrogen5010008" TargetMode="External"/><Relationship Id="rId10" Type="http://schemas.openxmlformats.org/officeDocument/2006/relationships/chart" Target="charts/chart3.xml"/><Relationship Id="rId19" Type="http://schemas.openxmlformats.org/officeDocument/2006/relationships/hyperlink" Target="https://doi.org/10.1016/S0960-8524(00)00152-8" TargetMode="External"/><Relationship Id="rId31" Type="http://schemas.openxmlformats.org/officeDocument/2006/relationships/hyperlink" Target="https://doi.org/10.5296/jas.v7i2.14788"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s://doi.org/10.12692/ijb/17.4.144-153" TargetMode="External"/><Relationship Id="rId27" Type="http://schemas.openxmlformats.org/officeDocument/2006/relationships/hyperlink" Target="https://doi.org/10.3390/agronomy9060298" TargetMode="External"/><Relationship Id="rId30" Type="http://schemas.openxmlformats.org/officeDocument/2006/relationships/hyperlink" Target="https://doi.org/10.20525/ijrbs.v9i6.882" TargetMode="External"/><Relationship Id="rId35" Type="http://schemas.openxmlformats.org/officeDocument/2006/relationships/hyperlink" Target="https://doi.org/10.17660/eJHS.2018/83.5.2" TargetMode="External"/><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46981627296589"/>
          <c:y val="2.7030450147770956E-2"/>
          <c:w val="0.85841907261592298"/>
          <c:h val="0.65999489630926722"/>
        </c:manualLayout>
      </c:layout>
      <c:barChart>
        <c:barDir val="col"/>
        <c:grouping val="clustered"/>
        <c:varyColors val="0"/>
        <c:ser>
          <c:idx val="0"/>
          <c:order val="0"/>
          <c:tx>
            <c:strRef>
              <c:f>Graph!$B$2</c:f>
              <c:strCache>
                <c:ptCount val="1"/>
                <c:pt idx="0">
                  <c:v>Cocodust</c:v>
                </c:pt>
              </c:strCache>
            </c:strRef>
          </c:tx>
          <c:spPr>
            <a:solidFill>
              <a:schemeClr val="accent1"/>
            </a:solidFill>
            <a:ln>
              <a:solidFill>
                <a:schemeClr val="tx1"/>
              </a:solid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F3A-4A90-8AAE-F1B672A9ECC8}"/>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F3A-4A90-8AAE-F1B672A9ECC8}"/>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F3A-4A90-8AAE-F1B672A9ECC8}"/>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F3A-4A90-8AAE-F1B672A9ECC8}"/>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F3A-4A90-8AAE-F1B672A9ECC8}"/>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F3A-4A90-8AAE-F1B672A9ECC8}"/>
                </c:ext>
              </c:extLst>
            </c:dLbl>
            <c:dLbl>
              <c:idx val="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F3A-4A90-8AAE-F1B672A9ECC8}"/>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F3A-4A90-8AAE-F1B672A9EC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Graph!$D$3:$D$10</c:f>
                <c:numCache>
                  <c:formatCode>General</c:formatCode>
                  <c:ptCount val="8"/>
                  <c:pt idx="0">
                    <c:v>1.6828547174370103</c:v>
                  </c:pt>
                  <c:pt idx="1">
                    <c:v>2.5417057532107235</c:v>
                  </c:pt>
                  <c:pt idx="2">
                    <c:v>1.9179607243319226</c:v>
                  </c:pt>
                  <c:pt idx="3">
                    <c:v>1.7876219640912279</c:v>
                  </c:pt>
                  <c:pt idx="4">
                    <c:v>2.4478021850611382</c:v>
                  </c:pt>
                  <c:pt idx="5">
                    <c:v>1.4011014950563132</c:v>
                  </c:pt>
                  <c:pt idx="6">
                    <c:v>2.0788987375944887</c:v>
                  </c:pt>
                  <c:pt idx="7">
                    <c:v>2.5192162704468117</c:v>
                  </c:pt>
                </c:numCache>
              </c:numRef>
            </c:plus>
            <c:minus>
              <c:numRef>
                <c:f>Graph!$D$3:$D$10</c:f>
                <c:numCache>
                  <c:formatCode>General</c:formatCode>
                  <c:ptCount val="8"/>
                  <c:pt idx="0">
                    <c:v>1.6828547174370103</c:v>
                  </c:pt>
                  <c:pt idx="1">
                    <c:v>2.5417057532107235</c:v>
                  </c:pt>
                  <c:pt idx="2">
                    <c:v>1.9179607243319226</c:v>
                  </c:pt>
                  <c:pt idx="3">
                    <c:v>1.7876219640912279</c:v>
                  </c:pt>
                  <c:pt idx="4">
                    <c:v>2.4478021850611382</c:v>
                  </c:pt>
                  <c:pt idx="5">
                    <c:v>1.4011014950563132</c:v>
                  </c:pt>
                  <c:pt idx="6">
                    <c:v>2.0788987375944887</c:v>
                  </c:pt>
                  <c:pt idx="7">
                    <c:v>2.5192162704468117</c:v>
                  </c:pt>
                </c:numCache>
              </c:numRef>
            </c:minus>
            <c:spPr>
              <a:noFill/>
              <a:ln w="9525" cap="flat" cmpd="sng" algn="ctr">
                <a:solidFill>
                  <a:schemeClr val="tx1">
                    <a:lumMod val="65000"/>
                    <a:lumOff val="35000"/>
                  </a:schemeClr>
                </a:solidFill>
                <a:round/>
              </a:ln>
              <a:effectLst/>
            </c:spPr>
          </c:errBars>
          <c:cat>
            <c:strRef>
              <c:f>Graph!$A$3:$A$10</c:f>
              <c:strCache>
                <c:ptCount val="8"/>
                <c:pt idx="0">
                  <c:v>Bitter Gourd</c:v>
                </c:pt>
                <c:pt idx="1">
                  <c:v>Bottle Gourd</c:v>
                </c:pt>
                <c:pt idx="2">
                  <c:v>Brinjal</c:v>
                </c:pt>
                <c:pt idx="3">
                  <c:v>Cabbage</c:v>
                </c:pt>
                <c:pt idx="4">
                  <c:v>Cauliflower</c:v>
                </c:pt>
                <c:pt idx="5">
                  <c:v>Chili</c:v>
                </c:pt>
                <c:pt idx="6">
                  <c:v>Country Beans</c:v>
                </c:pt>
                <c:pt idx="7">
                  <c:v>Tomato</c:v>
                </c:pt>
              </c:strCache>
            </c:strRef>
          </c:cat>
          <c:val>
            <c:numRef>
              <c:f>Graph!$B$3:$B$10</c:f>
              <c:numCache>
                <c:formatCode>0</c:formatCode>
                <c:ptCount val="8"/>
                <c:pt idx="0">
                  <c:v>55.2</c:v>
                </c:pt>
                <c:pt idx="1">
                  <c:v>70.006060606060615</c:v>
                </c:pt>
                <c:pt idx="2">
                  <c:v>63.328138528138538</c:v>
                </c:pt>
                <c:pt idx="3">
                  <c:v>53.333333333333336</c:v>
                </c:pt>
                <c:pt idx="4">
                  <c:v>54.924242424242422</c:v>
                </c:pt>
                <c:pt idx="5">
                  <c:v>58.742424242424249</c:v>
                </c:pt>
                <c:pt idx="6">
                  <c:v>58.885918003565067</c:v>
                </c:pt>
                <c:pt idx="7">
                  <c:v>67.013888888888886</c:v>
                </c:pt>
              </c:numCache>
            </c:numRef>
          </c:val>
          <c:extLst>
            <c:ext xmlns:c16="http://schemas.microsoft.com/office/drawing/2014/chart" uri="{C3380CC4-5D6E-409C-BE32-E72D297353CC}">
              <c16:uniqueId val="{00000008-4F3A-4A90-8AAE-F1B672A9ECC8}"/>
            </c:ext>
          </c:extLst>
        </c:ser>
        <c:ser>
          <c:idx val="1"/>
          <c:order val="1"/>
          <c:tx>
            <c:strRef>
              <c:f>Graph!$C$2</c:f>
              <c:strCache>
                <c:ptCount val="1"/>
                <c:pt idx="0">
                  <c:v>Traditional</c:v>
                </c:pt>
              </c:strCache>
            </c:strRef>
          </c:tx>
          <c:spPr>
            <a:solidFill>
              <a:schemeClr val="accent2"/>
            </a:solidFill>
            <a:ln>
              <a:solidFill>
                <a:schemeClr val="tx1"/>
              </a:solid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4F3A-4A90-8AAE-F1B672A9ECC8}"/>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4F3A-4A90-8AAE-F1B672A9ECC8}"/>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4F3A-4A90-8AAE-F1B672A9ECC8}"/>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4F3A-4A90-8AAE-F1B672A9ECC8}"/>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4F3A-4A90-8AAE-F1B672A9ECC8}"/>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4F3A-4A90-8AAE-F1B672A9ECC8}"/>
                </c:ext>
              </c:extLst>
            </c:dLbl>
            <c:dLbl>
              <c:idx val="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4F3A-4A90-8AAE-F1B672A9ECC8}"/>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4F3A-4A90-8AAE-F1B672A9EC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Graph!$E$3:$E$10</c:f>
                <c:numCache>
                  <c:formatCode>General</c:formatCode>
                  <c:ptCount val="8"/>
                  <c:pt idx="0">
                    <c:v>2.2646953021883323</c:v>
                  </c:pt>
                  <c:pt idx="1">
                    <c:v>3.3447463018428323</c:v>
                  </c:pt>
                  <c:pt idx="2">
                    <c:v>3.117650218253964</c:v>
                  </c:pt>
                  <c:pt idx="3">
                    <c:v>1.9682455048842005</c:v>
                  </c:pt>
                  <c:pt idx="4">
                    <c:v>1.3538476950038423</c:v>
                  </c:pt>
                  <c:pt idx="5">
                    <c:v>3.4190343546632365</c:v>
                  </c:pt>
                  <c:pt idx="6">
                    <c:v>3.1562900889815908</c:v>
                  </c:pt>
                  <c:pt idx="7">
                    <c:v>0.79768259393141838</c:v>
                  </c:pt>
                </c:numCache>
              </c:numRef>
            </c:plus>
            <c:minus>
              <c:numRef>
                <c:f>Graph!$E$3:$E$10</c:f>
                <c:numCache>
                  <c:formatCode>General</c:formatCode>
                  <c:ptCount val="8"/>
                  <c:pt idx="0">
                    <c:v>2.2646953021883323</c:v>
                  </c:pt>
                  <c:pt idx="1">
                    <c:v>3.3447463018428323</c:v>
                  </c:pt>
                  <c:pt idx="2">
                    <c:v>3.117650218253964</c:v>
                  </c:pt>
                  <c:pt idx="3">
                    <c:v>1.9682455048842005</c:v>
                  </c:pt>
                  <c:pt idx="4">
                    <c:v>1.3538476950038423</c:v>
                  </c:pt>
                  <c:pt idx="5">
                    <c:v>3.4190343546632365</c:v>
                  </c:pt>
                  <c:pt idx="6">
                    <c:v>3.1562900889815908</c:v>
                  </c:pt>
                  <c:pt idx="7">
                    <c:v>0.79768259393141838</c:v>
                  </c:pt>
                </c:numCache>
              </c:numRef>
            </c:minus>
            <c:spPr>
              <a:noFill/>
              <a:ln w="9525" cap="flat" cmpd="sng" algn="ctr">
                <a:solidFill>
                  <a:schemeClr val="tx1">
                    <a:lumMod val="65000"/>
                    <a:lumOff val="35000"/>
                  </a:schemeClr>
                </a:solidFill>
                <a:round/>
              </a:ln>
              <a:effectLst/>
            </c:spPr>
          </c:errBars>
          <c:cat>
            <c:strRef>
              <c:f>Graph!$A$3:$A$10</c:f>
              <c:strCache>
                <c:ptCount val="8"/>
                <c:pt idx="0">
                  <c:v>Bitter Gourd</c:v>
                </c:pt>
                <c:pt idx="1">
                  <c:v>Bottle Gourd</c:v>
                </c:pt>
                <c:pt idx="2">
                  <c:v>Brinjal</c:v>
                </c:pt>
                <c:pt idx="3">
                  <c:v>Cabbage</c:v>
                </c:pt>
                <c:pt idx="4">
                  <c:v>Cauliflower</c:v>
                </c:pt>
                <c:pt idx="5">
                  <c:v>Chili</c:v>
                </c:pt>
                <c:pt idx="6">
                  <c:v>Country Beans</c:v>
                </c:pt>
                <c:pt idx="7">
                  <c:v>Tomato</c:v>
                </c:pt>
              </c:strCache>
            </c:strRef>
          </c:cat>
          <c:val>
            <c:numRef>
              <c:f>Graph!$C$3:$C$10</c:f>
              <c:numCache>
                <c:formatCode>0</c:formatCode>
                <c:ptCount val="8"/>
                <c:pt idx="0">
                  <c:v>59.521212121212123</c:v>
                </c:pt>
                <c:pt idx="1">
                  <c:v>66.742424242424249</c:v>
                </c:pt>
                <c:pt idx="2">
                  <c:v>63.363636363636374</c:v>
                </c:pt>
                <c:pt idx="3">
                  <c:v>63.982683982683987</c:v>
                </c:pt>
                <c:pt idx="4">
                  <c:v>61.963636363636361</c:v>
                </c:pt>
                <c:pt idx="5">
                  <c:v>53.428571428571423</c:v>
                </c:pt>
                <c:pt idx="6">
                  <c:v>61.545454545454547</c:v>
                </c:pt>
                <c:pt idx="7">
                  <c:v>62.442424242424252</c:v>
                </c:pt>
              </c:numCache>
            </c:numRef>
          </c:val>
          <c:extLst>
            <c:ext xmlns:c16="http://schemas.microsoft.com/office/drawing/2014/chart" uri="{C3380CC4-5D6E-409C-BE32-E72D297353CC}">
              <c16:uniqueId val="{00000011-4F3A-4A90-8AAE-F1B672A9ECC8}"/>
            </c:ext>
          </c:extLst>
        </c:ser>
        <c:dLbls>
          <c:dLblPos val="outEnd"/>
          <c:showLegendKey val="0"/>
          <c:showVal val="1"/>
          <c:showCatName val="0"/>
          <c:showSerName val="0"/>
          <c:showPercent val="0"/>
          <c:showBubbleSize val="0"/>
        </c:dLbls>
        <c:gapWidth val="219"/>
        <c:axId val="1826935888"/>
        <c:axId val="1826932048"/>
      </c:barChart>
      <c:catAx>
        <c:axId val="1826935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Arial" panose="020B0604020202020204" pitchFamily="34" charset="0"/>
                    <a:cs typeface="Arial" panose="020B0604020202020204" pitchFamily="34" charset="0"/>
                  </a:rPr>
                  <a:t>Vegetables</a:t>
                </a:r>
              </a:p>
            </c:rich>
          </c:tx>
          <c:layout>
            <c:manualLayout>
              <c:xMode val="edge"/>
              <c:yMode val="edge"/>
              <c:x val="0.39497790901137353"/>
              <c:y val="0.920347039953339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26932048"/>
        <c:crosses val="autoZero"/>
        <c:auto val="1"/>
        <c:lblAlgn val="ctr"/>
        <c:lblOffset val="100"/>
        <c:noMultiLvlLbl val="0"/>
      </c:catAx>
      <c:valAx>
        <c:axId val="1826932048"/>
        <c:scaling>
          <c:orientation val="minMax"/>
          <c:max val="9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Land</a:t>
                </a:r>
                <a:r>
                  <a:rPr lang="en-US" baseline="0">
                    <a:solidFill>
                      <a:schemeClr val="tx1"/>
                    </a:solidFill>
                    <a:latin typeface="Arial" panose="020B0604020202020204" pitchFamily="34" charset="0"/>
                    <a:cs typeface="Arial" panose="020B0604020202020204" pitchFamily="34" charset="0"/>
                  </a:rPr>
                  <a:t> prepared cost, BDT</a:t>
                </a:r>
              </a:p>
            </c:rich>
          </c:tx>
          <c:layout>
            <c:manualLayout>
              <c:xMode val="edge"/>
              <c:yMode val="edge"/>
              <c:x val="1.3319335083114611E-2"/>
              <c:y val="0.13004629629629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26935888"/>
        <c:crosses val="autoZero"/>
        <c:crossBetween val="between"/>
        <c:majorUnit val="20"/>
      </c:valAx>
      <c:spPr>
        <a:noFill/>
        <a:ln>
          <a:solidFill>
            <a:schemeClr val="tx1">
              <a:lumMod val="50000"/>
              <a:lumOff val="50000"/>
            </a:schemeClr>
          </a:solidFill>
        </a:ln>
        <a:effectLst/>
      </c:spPr>
    </c:plotArea>
    <c:legend>
      <c:legendPos val="b"/>
      <c:layout>
        <c:manualLayout>
          <c:xMode val="edge"/>
          <c:yMode val="edge"/>
          <c:x val="0.13873862642169729"/>
          <c:y val="3.6580572175442548E-2"/>
          <c:w val="0.2951548556430446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46981627296589"/>
          <c:y val="2.6090036527173208E-2"/>
          <c:w val="0.85841907261592298"/>
          <c:h val="0.66382209029983985"/>
        </c:manualLayout>
      </c:layout>
      <c:barChart>
        <c:barDir val="col"/>
        <c:grouping val="clustered"/>
        <c:varyColors val="0"/>
        <c:ser>
          <c:idx val="0"/>
          <c:order val="0"/>
          <c:tx>
            <c:strRef>
              <c:f>Graph!$B$136</c:f>
              <c:strCache>
                <c:ptCount val="1"/>
                <c:pt idx="0">
                  <c:v>Cocodust</c:v>
                </c:pt>
              </c:strCache>
            </c:strRef>
          </c:tx>
          <c:spPr>
            <a:solidFill>
              <a:schemeClr val="accent1"/>
            </a:solidFill>
            <a:ln>
              <a:solidFill>
                <a:schemeClr val="tx1"/>
              </a:solid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E62-407B-955D-C26228DD1845}"/>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E62-407B-955D-C26228DD1845}"/>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E62-407B-955D-C26228DD1845}"/>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E62-407B-955D-C26228DD1845}"/>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E62-407B-955D-C26228DD1845}"/>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E62-407B-955D-C26228DD1845}"/>
                </c:ext>
              </c:extLst>
            </c:dLbl>
            <c:dLbl>
              <c:idx val="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8E62-407B-955D-C26228DD1845}"/>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E62-407B-955D-C26228DD18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Graph!$D$137:$D$144</c:f>
                <c:numCache>
                  <c:formatCode>General</c:formatCode>
                  <c:ptCount val="8"/>
                  <c:pt idx="0">
                    <c:v>111.32420222036176</c:v>
                  </c:pt>
                  <c:pt idx="1">
                    <c:v>149.56229575122413</c:v>
                  </c:pt>
                  <c:pt idx="2">
                    <c:v>158.58783475832357</c:v>
                  </c:pt>
                  <c:pt idx="3">
                    <c:v>97.802424475273085</c:v>
                  </c:pt>
                  <c:pt idx="4">
                    <c:v>79.889040142958521</c:v>
                  </c:pt>
                  <c:pt idx="5">
                    <c:v>304.24507263425369</c:v>
                  </c:pt>
                  <c:pt idx="6">
                    <c:v>260.27798985284284</c:v>
                  </c:pt>
                  <c:pt idx="7">
                    <c:v>163.67025238700796</c:v>
                  </c:pt>
                </c:numCache>
              </c:numRef>
            </c:plus>
            <c:minus>
              <c:numRef>
                <c:f>Graph!$D$137:$D$144</c:f>
                <c:numCache>
                  <c:formatCode>General</c:formatCode>
                  <c:ptCount val="8"/>
                  <c:pt idx="0">
                    <c:v>111.32420222036176</c:v>
                  </c:pt>
                  <c:pt idx="1">
                    <c:v>149.56229575122413</c:v>
                  </c:pt>
                  <c:pt idx="2">
                    <c:v>158.58783475832357</c:v>
                  </c:pt>
                  <c:pt idx="3">
                    <c:v>97.802424475273085</c:v>
                  </c:pt>
                  <c:pt idx="4">
                    <c:v>79.889040142958521</c:v>
                  </c:pt>
                  <c:pt idx="5">
                    <c:v>304.24507263425369</c:v>
                  </c:pt>
                  <c:pt idx="6">
                    <c:v>260.27798985284284</c:v>
                  </c:pt>
                  <c:pt idx="7">
                    <c:v>163.67025238700796</c:v>
                  </c:pt>
                </c:numCache>
              </c:numRef>
            </c:minus>
            <c:spPr>
              <a:noFill/>
              <a:ln w="9525" cap="flat" cmpd="sng" algn="ctr">
                <a:solidFill>
                  <a:schemeClr val="tx1">
                    <a:lumMod val="65000"/>
                    <a:lumOff val="35000"/>
                  </a:schemeClr>
                </a:solidFill>
                <a:round/>
              </a:ln>
              <a:effectLst/>
            </c:spPr>
          </c:errBars>
          <c:cat>
            <c:strRef>
              <c:f>Graph!$A$137:$A$144</c:f>
              <c:strCache>
                <c:ptCount val="8"/>
                <c:pt idx="0">
                  <c:v>Bitter Gourd</c:v>
                </c:pt>
                <c:pt idx="1">
                  <c:v>Bottle Gourd</c:v>
                </c:pt>
                <c:pt idx="2">
                  <c:v>Brinjal</c:v>
                </c:pt>
                <c:pt idx="3">
                  <c:v>Cabbage</c:v>
                </c:pt>
                <c:pt idx="4">
                  <c:v>Cauliflower</c:v>
                </c:pt>
                <c:pt idx="5">
                  <c:v>Chili</c:v>
                </c:pt>
                <c:pt idx="6">
                  <c:v>Country Beans</c:v>
                </c:pt>
                <c:pt idx="7">
                  <c:v>Tomato</c:v>
                </c:pt>
              </c:strCache>
            </c:strRef>
          </c:cat>
          <c:val>
            <c:numRef>
              <c:f>Graph!$B$137:$B$144</c:f>
              <c:numCache>
                <c:formatCode>0</c:formatCode>
                <c:ptCount val="8"/>
                <c:pt idx="0">
                  <c:v>2631.85</c:v>
                </c:pt>
                <c:pt idx="1">
                  <c:v>3261.0954545454542</c:v>
                </c:pt>
                <c:pt idx="2">
                  <c:v>5227.9333333333325</c:v>
                </c:pt>
                <c:pt idx="3">
                  <c:v>1291.8787878787878</c:v>
                </c:pt>
                <c:pt idx="4">
                  <c:v>1410.357196969697</c:v>
                </c:pt>
                <c:pt idx="5">
                  <c:v>11111.05</c:v>
                </c:pt>
                <c:pt idx="6">
                  <c:v>10547.234848484848</c:v>
                </c:pt>
                <c:pt idx="7">
                  <c:v>6607.6957070707067</c:v>
                </c:pt>
              </c:numCache>
            </c:numRef>
          </c:val>
          <c:extLst>
            <c:ext xmlns:c16="http://schemas.microsoft.com/office/drawing/2014/chart" uri="{C3380CC4-5D6E-409C-BE32-E72D297353CC}">
              <c16:uniqueId val="{00000008-8E62-407B-955D-C26228DD1845}"/>
            </c:ext>
          </c:extLst>
        </c:ser>
        <c:ser>
          <c:idx val="1"/>
          <c:order val="1"/>
          <c:tx>
            <c:strRef>
              <c:f>Graph!$C$136</c:f>
              <c:strCache>
                <c:ptCount val="1"/>
                <c:pt idx="0">
                  <c:v>Traditional</c:v>
                </c:pt>
              </c:strCache>
            </c:strRef>
          </c:tx>
          <c:spPr>
            <a:solidFill>
              <a:schemeClr val="accent2"/>
            </a:solidFill>
            <a:ln>
              <a:solidFill>
                <a:schemeClr val="tx1"/>
              </a:solid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E62-407B-955D-C26228DD1845}"/>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8E62-407B-955D-C26228DD1845}"/>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8E62-407B-955D-C26228DD1845}"/>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8E62-407B-955D-C26228DD1845}"/>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8E62-407B-955D-C26228DD1845}"/>
                </c:ext>
              </c:extLst>
            </c:dLbl>
            <c:dLbl>
              <c:idx val="5"/>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8E62-407B-955D-C26228DD1845}"/>
                </c:ext>
              </c:extLst>
            </c:dLbl>
            <c:dLbl>
              <c:idx val="6"/>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8E62-407B-955D-C26228DD1845}"/>
                </c:ext>
              </c:extLst>
            </c:dLbl>
            <c:dLbl>
              <c:idx val="7"/>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8E62-407B-955D-C26228DD18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Graph!$E$137:$E$144</c:f>
                <c:numCache>
                  <c:formatCode>General</c:formatCode>
                  <c:ptCount val="8"/>
                  <c:pt idx="0">
                    <c:v>199.90717763816809</c:v>
                  </c:pt>
                  <c:pt idx="1">
                    <c:v>154.58444086391259</c:v>
                  </c:pt>
                  <c:pt idx="2">
                    <c:v>119.98100247541102</c:v>
                  </c:pt>
                  <c:pt idx="3">
                    <c:v>88.583279517601483</c:v>
                  </c:pt>
                  <c:pt idx="4">
                    <c:v>58.659086913301728</c:v>
                  </c:pt>
                  <c:pt idx="5">
                    <c:v>399.09809831873741</c:v>
                  </c:pt>
                  <c:pt idx="6">
                    <c:v>330.93618552634297</c:v>
                  </c:pt>
                  <c:pt idx="7">
                    <c:v>229.39244394852929</c:v>
                  </c:pt>
                </c:numCache>
              </c:numRef>
            </c:plus>
            <c:minus>
              <c:numRef>
                <c:f>Graph!$E$137:$E$144</c:f>
                <c:numCache>
                  <c:formatCode>General</c:formatCode>
                  <c:ptCount val="8"/>
                  <c:pt idx="0">
                    <c:v>199.90717763816809</c:v>
                  </c:pt>
                  <c:pt idx="1">
                    <c:v>154.58444086391259</c:v>
                  </c:pt>
                  <c:pt idx="2">
                    <c:v>119.98100247541102</c:v>
                  </c:pt>
                  <c:pt idx="3">
                    <c:v>88.583279517601483</c:v>
                  </c:pt>
                  <c:pt idx="4">
                    <c:v>58.659086913301728</c:v>
                  </c:pt>
                  <c:pt idx="5">
                    <c:v>399.09809831873741</c:v>
                  </c:pt>
                  <c:pt idx="6">
                    <c:v>330.93618552634297</c:v>
                  </c:pt>
                  <c:pt idx="7">
                    <c:v>229.39244394852929</c:v>
                  </c:pt>
                </c:numCache>
              </c:numRef>
            </c:minus>
            <c:spPr>
              <a:noFill/>
              <a:ln w="9525" cap="flat" cmpd="sng" algn="ctr">
                <a:solidFill>
                  <a:schemeClr val="tx1">
                    <a:lumMod val="65000"/>
                    <a:lumOff val="35000"/>
                  </a:schemeClr>
                </a:solidFill>
                <a:round/>
              </a:ln>
              <a:effectLst/>
            </c:spPr>
          </c:errBars>
          <c:cat>
            <c:strRef>
              <c:f>Graph!$A$137:$A$144</c:f>
              <c:strCache>
                <c:ptCount val="8"/>
                <c:pt idx="0">
                  <c:v>Bitter Gourd</c:v>
                </c:pt>
                <c:pt idx="1">
                  <c:v>Bottle Gourd</c:v>
                </c:pt>
                <c:pt idx="2">
                  <c:v>Brinjal</c:v>
                </c:pt>
                <c:pt idx="3">
                  <c:v>Cabbage</c:v>
                </c:pt>
                <c:pt idx="4">
                  <c:v>Cauliflower</c:v>
                </c:pt>
                <c:pt idx="5">
                  <c:v>Chili</c:v>
                </c:pt>
                <c:pt idx="6">
                  <c:v>Country Beans</c:v>
                </c:pt>
                <c:pt idx="7">
                  <c:v>Tomato</c:v>
                </c:pt>
              </c:strCache>
            </c:strRef>
          </c:cat>
          <c:val>
            <c:numRef>
              <c:f>Graph!$C$137:$C$144</c:f>
              <c:numCache>
                <c:formatCode>0</c:formatCode>
                <c:ptCount val="8"/>
                <c:pt idx="0">
                  <c:v>1648.2439393939392</c:v>
                </c:pt>
                <c:pt idx="1">
                  <c:v>2221.462121212121</c:v>
                </c:pt>
                <c:pt idx="2">
                  <c:v>3579.378787878788</c:v>
                </c:pt>
                <c:pt idx="3">
                  <c:v>803.82683982683977</c:v>
                </c:pt>
                <c:pt idx="4">
                  <c:v>948.82424242424236</c:v>
                </c:pt>
                <c:pt idx="5">
                  <c:v>8594.8285714285703</c:v>
                </c:pt>
                <c:pt idx="6">
                  <c:v>6795.9030303030304</c:v>
                </c:pt>
                <c:pt idx="7">
                  <c:v>4807.5272727272732</c:v>
                </c:pt>
              </c:numCache>
            </c:numRef>
          </c:val>
          <c:extLst>
            <c:ext xmlns:c16="http://schemas.microsoft.com/office/drawing/2014/chart" uri="{C3380CC4-5D6E-409C-BE32-E72D297353CC}">
              <c16:uniqueId val="{00000011-8E62-407B-955D-C26228DD1845}"/>
            </c:ext>
          </c:extLst>
        </c:ser>
        <c:dLbls>
          <c:dLblPos val="outEnd"/>
          <c:showLegendKey val="0"/>
          <c:showVal val="1"/>
          <c:showCatName val="0"/>
          <c:showSerName val="0"/>
          <c:showPercent val="0"/>
          <c:showBubbleSize val="0"/>
        </c:dLbls>
        <c:gapWidth val="219"/>
        <c:axId val="1826935888"/>
        <c:axId val="1826932048"/>
      </c:barChart>
      <c:catAx>
        <c:axId val="1826935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Arial" panose="020B0604020202020204" pitchFamily="34" charset="0"/>
                    <a:cs typeface="Arial" panose="020B0604020202020204" pitchFamily="34" charset="0"/>
                  </a:rPr>
                  <a:t>Vegetables</a:t>
                </a:r>
              </a:p>
            </c:rich>
          </c:tx>
          <c:layout>
            <c:manualLayout>
              <c:xMode val="edge"/>
              <c:yMode val="edge"/>
              <c:x val="0.41164457567804025"/>
              <c:y val="0.920347039953339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26932048"/>
        <c:crosses val="autoZero"/>
        <c:auto val="1"/>
        <c:lblAlgn val="ctr"/>
        <c:lblOffset val="100"/>
        <c:noMultiLvlLbl val="0"/>
      </c:catAx>
      <c:valAx>
        <c:axId val="1826932048"/>
        <c:scaling>
          <c:orientation val="minMax"/>
          <c:max val="12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baseline="0">
                    <a:solidFill>
                      <a:schemeClr val="tx1"/>
                    </a:solidFill>
                    <a:latin typeface="Arial" panose="020B0604020202020204" pitchFamily="34" charset="0"/>
                    <a:cs typeface="Arial" panose="020B0604020202020204" pitchFamily="34" charset="0"/>
                  </a:rPr>
                  <a:t>Net Profit, BDT</a:t>
                </a:r>
              </a:p>
            </c:rich>
          </c:tx>
          <c:layout>
            <c:manualLayout>
              <c:xMode val="edge"/>
              <c:yMode val="edge"/>
              <c:x val="4.9860017497812773E-3"/>
              <c:y val="0.236527777777777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26935888"/>
        <c:crosses val="autoZero"/>
        <c:crossBetween val="between"/>
      </c:valAx>
      <c:spPr>
        <a:noFill/>
        <a:ln>
          <a:solidFill>
            <a:schemeClr val="tx1">
              <a:lumMod val="50000"/>
              <a:lumOff val="50000"/>
            </a:schemeClr>
          </a:solidFill>
        </a:ln>
        <a:effectLst/>
      </c:spPr>
    </c:plotArea>
    <c:legend>
      <c:legendPos val="b"/>
      <c:layout>
        <c:manualLayout>
          <c:xMode val="edge"/>
          <c:yMode val="edge"/>
          <c:x val="0.13596084864391952"/>
          <c:y val="4.6874453193350839E-2"/>
          <c:w val="0.3034881889763779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46981627296589"/>
          <c:y val="2.6138625585313355E-2"/>
          <c:w val="0.85841907261592298"/>
          <c:h val="0.66449516160943933"/>
        </c:manualLayout>
      </c:layout>
      <c:barChart>
        <c:barDir val="col"/>
        <c:grouping val="clustered"/>
        <c:varyColors val="0"/>
        <c:ser>
          <c:idx val="0"/>
          <c:order val="0"/>
          <c:tx>
            <c:strRef>
              <c:f>Graph!$B$20</c:f>
              <c:strCache>
                <c:ptCount val="1"/>
                <c:pt idx="0">
                  <c:v>Cocodust</c:v>
                </c:pt>
              </c:strCache>
            </c:strRef>
          </c:tx>
          <c:spPr>
            <a:solidFill>
              <a:schemeClr val="accent1"/>
            </a:solidFill>
            <a:ln>
              <a:solidFill>
                <a:schemeClr val="tx1"/>
              </a:solid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77C-4A22-BE1D-99DB5077E087}"/>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77C-4A22-BE1D-99DB5077E087}"/>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77C-4A22-BE1D-99DB5077E087}"/>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77C-4A22-BE1D-99DB5077E087}"/>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77C-4A22-BE1D-99DB5077E087}"/>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77C-4A22-BE1D-99DB5077E087}"/>
                </c:ext>
              </c:extLst>
            </c:dLbl>
            <c:dLbl>
              <c:idx val="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77C-4A22-BE1D-99DB5077E087}"/>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77C-4A22-BE1D-99DB5077E0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Graph!$D$21:$D$28</c:f>
                <c:numCache>
                  <c:formatCode>General</c:formatCode>
                  <c:ptCount val="8"/>
                  <c:pt idx="0">
                    <c:v>4.5956501172304227</c:v>
                  </c:pt>
                  <c:pt idx="1">
                    <c:v>4.2801869118065392</c:v>
                  </c:pt>
                  <c:pt idx="2">
                    <c:v>3.3538038106007337</c:v>
                  </c:pt>
                  <c:pt idx="3">
                    <c:v>4.5659610160403252</c:v>
                  </c:pt>
                  <c:pt idx="4">
                    <c:v>3.8429155598321438</c:v>
                  </c:pt>
                  <c:pt idx="5">
                    <c:v>3.7905144769542827</c:v>
                  </c:pt>
                  <c:pt idx="6">
                    <c:v>5.9917190326749683</c:v>
                  </c:pt>
                  <c:pt idx="7">
                    <c:v>3.080259729308553</c:v>
                  </c:pt>
                </c:numCache>
              </c:numRef>
            </c:plus>
            <c:minus>
              <c:numRef>
                <c:f>Graph!$D$21:$D$28</c:f>
                <c:numCache>
                  <c:formatCode>General</c:formatCode>
                  <c:ptCount val="8"/>
                  <c:pt idx="0">
                    <c:v>4.5956501172304227</c:v>
                  </c:pt>
                  <c:pt idx="1">
                    <c:v>4.2801869118065392</c:v>
                  </c:pt>
                  <c:pt idx="2">
                    <c:v>3.3538038106007337</c:v>
                  </c:pt>
                  <c:pt idx="3">
                    <c:v>4.5659610160403252</c:v>
                  </c:pt>
                  <c:pt idx="4">
                    <c:v>3.8429155598321438</c:v>
                  </c:pt>
                  <c:pt idx="5">
                    <c:v>3.7905144769542827</c:v>
                  </c:pt>
                  <c:pt idx="6">
                    <c:v>5.9917190326749683</c:v>
                  </c:pt>
                  <c:pt idx="7">
                    <c:v>3.080259729308553</c:v>
                  </c:pt>
                </c:numCache>
              </c:numRef>
            </c:minus>
            <c:spPr>
              <a:noFill/>
              <a:ln w="9525" cap="flat" cmpd="sng" algn="ctr">
                <a:solidFill>
                  <a:schemeClr val="tx1">
                    <a:lumMod val="65000"/>
                    <a:lumOff val="35000"/>
                  </a:schemeClr>
                </a:solidFill>
                <a:round/>
              </a:ln>
              <a:effectLst/>
            </c:spPr>
          </c:errBars>
          <c:cat>
            <c:strRef>
              <c:f>Graph!$A$21:$A$28</c:f>
              <c:strCache>
                <c:ptCount val="8"/>
                <c:pt idx="0">
                  <c:v>Bitter Gourd</c:v>
                </c:pt>
                <c:pt idx="1">
                  <c:v>Bottle Gourd</c:v>
                </c:pt>
                <c:pt idx="2">
                  <c:v>Brinjal</c:v>
                </c:pt>
                <c:pt idx="3">
                  <c:v>Cabbage</c:v>
                </c:pt>
                <c:pt idx="4">
                  <c:v>Cauliflower</c:v>
                </c:pt>
                <c:pt idx="5">
                  <c:v>Chili</c:v>
                </c:pt>
                <c:pt idx="6">
                  <c:v>Country Beans</c:v>
                </c:pt>
                <c:pt idx="7">
                  <c:v>Tomato</c:v>
                </c:pt>
              </c:strCache>
            </c:strRef>
          </c:cat>
          <c:val>
            <c:numRef>
              <c:f>Graph!$B$21:$B$28</c:f>
              <c:numCache>
                <c:formatCode>0</c:formatCode>
                <c:ptCount val="8"/>
                <c:pt idx="0">
                  <c:v>206</c:v>
                </c:pt>
                <c:pt idx="1">
                  <c:v>116</c:v>
                </c:pt>
                <c:pt idx="2">
                  <c:v>124.6</c:v>
                </c:pt>
                <c:pt idx="3">
                  <c:v>223.6</c:v>
                </c:pt>
                <c:pt idx="4">
                  <c:v>215.6</c:v>
                </c:pt>
                <c:pt idx="5">
                  <c:v>215.4</c:v>
                </c:pt>
                <c:pt idx="6">
                  <c:v>55.135918003565067</c:v>
                </c:pt>
                <c:pt idx="7">
                  <c:v>198.4</c:v>
                </c:pt>
              </c:numCache>
            </c:numRef>
          </c:val>
          <c:extLst>
            <c:ext xmlns:c16="http://schemas.microsoft.com/office/drawing/2014/chart" uri="{C3380CC4-5D6E-409C-BE32-E72D297353CC}">
              <c16:uniqueId val="{00000008-C77C-4A22-BE1D-99DB5077E087}"/>
            </c:ext>
          </c:extLst>
        </c:ser>
        <c:ser>
          <c:idx val="1"/>
          <c:order val="1"/>
          <c:tx>
            <c:strRef>
              <c:f>Graph!$C$20</c:f>
              <c:strCache>
                <c:ptCount val="1"/>
                <c:pt idx="0">
                  <c:v>Traditional</c:v>
                </c:pt>
              </c:strCache>
            </c:strRef>
          </c:tx>
          <c:spPr>
            <a:solidFill>
              <a:schemeClr val="accent2"/>
            </a:solidFill>
            <a:ln>
              <a:solidFill>
                <a:schemeClr val="tx1"/>
              </a:solid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77C-4A22-BE1D-99DB5077E087}"/>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77C-4A22-BE1D-99DB5077E087}"/>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C77C-4A22-BE1D-99DB5077E087}"/>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C77C-4A22-BE1D-99DB5077E087}"/>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C77C-4A22-BE1D-99DB5077E087}"/>
                </c:ext>
              </c:extLst>
            </c:dLbl>
            <c:dLbl>
              <c:idx val="5"/>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C77C-4A22-BE1D-99DB5077E087}"/>
                </c:ext>
              </c:extLst>
            </c:dLbl>
            <c:dLbl>
              <c:idx val="6"/>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C77C-4A22-BE1D-99DB5077E087}"/>
                </c:ext>
              </c:extLst>
            </c:dLbl>
            <c:dLbl>
              <c:idx val="7"/>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C77C-4A22-BE1D-99DB5077E0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Graph!$E$21:$E$28</c:f>
                <c:numCache>
                  <c:formatCode>General</c:formatCode>
                  <c:ptCount val="8"/>
                  <c:pt idx="0">
                    <c:v>4.332204981299939</c:v>
                  </c:pt>
                  <c:pt idx="1">
                    <c:v>4.5307835966861187</c:v>
                  </c:pt>
                  <c:pt idx="2">
                    <c:v>5.1159513951645339</c:v>
                  </c:pt>
                  <c:pt idx="3">
                    <c:v>3.9253025361110696</c:v>
                  </c:pt>
                  <c:pt idx="4">
                    <c:v>3.0539681994227439</c:v>
                  </c:pt>
                  <c:pt idx="5">
                    <c:v>5.2505237833953284</c:v>
                  </c:pt>
                  <c:pt idx="6">
                    <c:v>5.2066101942948668</c:v>
                  </c:pt>
                  <c:pt idx="7">
                    <c:v>5.4435282675852799</c:v>
                  </c:pt>
                </c:numCache>
              </c:numRef>
            </c:plus>
            <c:minus>
              <c:numRef>
                <c:f>Graph!$E$21:$E$28</c:f>
                <c:numCache>
                  <c:formatCode>General</c:formatCode>
                  <c:ptCount val="8"/>
                  <c:pt idx="0">
                    <c:v>4.332204981299939</c:v>
                  </c:pt>
                  <c:pt idx="1">
                    <c:v>4.5307835966861187</c:v>
                  </c:pt>
                  <c:pt idx="2">
                    <c:v>5.1159513951645339</c:v>
                  </c:pt>
                  <c:pt idx="3">
                    <c:v>3.9253025361110696</c:v>
                  </c:pt>
                  <c:pt idx="4">
                    <c:v>3.0539681994227439</c:v>
                  </c:pt>
                  <c:pt idx="5">
                    <c:v>5.2505237833953284</c:v>
                  </c:pt>
                  <c:pt idx="6">
                    <c:v>5.2066101942948668</c:v>
                  </c:pt>
                  <c:pt idx="7">
                    <c:v>5.4435282675852799</c:v>
                  </c:pt>
                </c:numCache>
              </c:numRef>
            </c:minus>
            <c:spPr>
              <a:noFill/>
              <a:ln w="9525" cap="flat" cmpd="sng" algn="ctr">
                <a:solidFill>
                  <a:schemeClr val="tx1">
                    <a:lumMod val="65000"/>
                    <a:lumOff val="35000"/>
                  </a:schemeClr>
                </a:solidFill>
                <a:round/>
              </a:ln>
              <a:effectLst/>
            </c:spPr>
          </c:errBars>
          <c:cat>
            <c:strRef>
              <c:f>Graph!$A$21:$A$28</c:f>
              <c:strCache>
                <c:ptCount val="8"/>
                <c:pt idx="0">
                  <c:v>Bitter Gourd</c:v>
                </c:pt>
                <c:pt idx="1">
                  <c:v>Bottle Gourd</c:v>
                </c:pt>
                <c:pt idx="2">
                  <c:v>Brinjal</c:v>
                </c:pt>
                <c:pt idx="3">
                  <c:v>Cabbage</c:v>
                </c:pt>
                <c:pt idx="4">
                  <c:v>Cauliflower</c:v>
                </c:pt>
                <c:pt idx="5">
                  <c:v>Chili</c:v>
                </c:pt>
                <c:pt idx="6">
                  <c:v>Country Beans</c:v>
                </c:pt>
                <c:pt idx="7">
                  <c:v>Tomato</c:v>
                </c:pt>
              </c:strCache>
            </c:strRef>
          </c:cat>
          <c:val>
            <c:numRef>
              <c:f>Graph!$C$21:$C$28</c:f>
              <c:numCache>
                <c:formatCode>0</c:formatCode>
                <c:ptCount val="8"/>
                <c:pt idx="0">
                  <c:v>136.4</c:v>
                </c:pt>
                <c:pt idx="1">
                  <c:v>109.6</c:v>
                </c:pt>
                <c:pt idx="2">
                  <c:v>136.87272727272727</c:v>
                </c:pt>
                <c:pt idx="3">
                  <c:v>140.4</c:v>
                </c:pt>
                <c:pt idx="4">
                  <c:v>111.63636363636365</c:v>
                </c:pt>
                <c:pt idx="5">
                  <c:v>119.6</c:v>
                </c:pt>
                <c:pt idx="6">
                  <c:v>77.75151515151515</c:v>
                </c:pt>
                <c:pt idx="7">
                  <c:v>129.80000000000001</c:v>
                </c:pt>
              </c:numCache>
            </c:numRef>
          </c:val>
          <c:extLst>
            <c:ext xmlns:c16="http://schemas.microsoft.com/office/drawing/2014/chart" uri="{C3380CC4-5D6E-409C-BE32-E72D297353CC}">
              <c16:uniqueId val="{00000011-C77C-4A22-BE1D-99DB5077E087}"/>
            </c:ext>
          </c:extLst>
        </c:ser>
        <c:dLbls>
          <c:dLblPos val="outEnd"/>
          <c:showLegendKey val="0"/>
          <c:showVal val="1"/>
          <c:showCatName val="0"/>
          <c:showSerName val="0"/>
          <c:showPercent val="0"/>
          <c:showBubbleSize val="0"/>
        </c:dLbls>
        <c:gapWidth val="219"/>
        <c:axId val="1826935888"/>
        <c:axId val="1826932048"/>
      </c:barChart>
      <c:catAx>
        <c:axId val="1826935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Arial" panose="020B0604020202020204" pitchFamily="34" charset="0"/>
                    <a:cs typeface="Arial" panose="020B0604020202020204" pitchFamily="34" charset="0"/>
                  </a:rPr>
                  <a:t>Vegetables</a:t>
                </a:r>
              </a:p>
            </c:rich>
          </c:tx>
          <c:layout>
            <c:manualLayout>
              <c:xMode val="edge"/>
              <c:yMode val="edge"/>
              <c:x val="0.41164457567804025"/>
              <c:y val="0.920347039953339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26932048"/>
        <c:crosses val="autoZero"/>
        <c:auto val="1"/>
        <c:lblAlgn val="ctr"/>
        <c:lblOffset val="100"/>
        <c:noMultiLvlLbl val="0"/>
      </c:catAx>
      <c:valAx>
        <c:axId val="1826932048"/>
        <c:scaling>
          <c:orientation val="minMax"/>
          <c:max val="26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baseline="0">
                    <a:solidFill>
                      <a:schemeClr val="tx1"/>
                    </a:solidFill>
                    <a:latin typeface="Arial" panose="020B0604020202020204" pitchFamily="34" charset="0"/>
                    <a:cs typeface="Arial" panose="020B0604020202020204" pitchFamily="34" charset="0"/>
                  </a:rPr>
                  <a:t>Seedlings cost, BDT</a:t>
                </a:r>
              </a:p>
            </c:rich>
          </c:tx>
          <c:layout>
            <c:manualLayout>
              <c:xMode val="edge"/>
              <c:yMode val="edge"/>
              <c:x val="1.3319335083114611E-2"/>
              <c:y val="0.208750000000000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26935888"/>
        <c:crosses val="autoZero"/>
        <c:crossBetween val="between"/>
      </c:valAx>
      <c:spPr>
        <a:noFill/>
        <a:ln>
          <a:solidFill>
            <a:schemeClr val="tx1">
              <a:lumMod val="50000"/>
              <a:lumOff val="50000"/>
            </a:schemeClr>
          </a:solidFill>
        </a:ln>
        <a:effectLst/>
      </c:spPr>
    </c:plotArea>
    <c:legend>
      <c:legendPos val="b"/>
      <c:layout>
        <c:manualLayout>
          <c:xMode val="edge"/>
          <c:yMode val="edge"/>
          <c:x val="0.17484973753280839"/>
          <c:y val="4.5969206971599189E-2"/>
          <c:w val="0.3034881889763779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46981627296589"/>
          <c:y val="2.6138615790639263E-2"/>
          <c:w val="0.85841907261592298"/>
          <c:h val="0.66449528732991903"/>
        </c:manualLayout>
      </c:layout>
      <c:barChart>
        <c:barDir val="col"/>
        <c:grouping val="clustered"/>
        <c:varyColors val="0"/>
        <c:ser>
          <c:idx val="0"/>
          <c:order val="0"/>
          <c:tx>
            <c:strRef>
              <c:f>Graph!$B$34</c:f>
              <c:strCache>
                <c:ptCount val="1"/>
                <c:pt idx="0">
                  <c:v>Cocodust</c:v>
                </c:pt>
              </c:strCache>
            </c:strRef>
          </c:tx>
          <c:spPr>
            <a:solidFill>
              <a:schemeClr val="accent1"/>
            </a:solidFill>
            <a:ln>
              <a:solidFill>
                <a:schemeClr val="tx1"/>
              </a:solid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6B9-4598-9DE3-656421FAF76A}"/>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6B9-4598-9DE3-656421FAF76A}"/>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6B9-4598-9DE3-656421FAF76A}"/>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6B9-4598-9DE3-656421FAF76A}"/>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6B9-4598-9DE3-656421FAF76A}"/>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6B9-4598-9DE3-656421FAF76A}"/>
                </c:ext>
              </c:extLst>
            </c:dLbl>
            <c:dLbl>
              <c:idx val="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6B9-4598-9DE3-656421FAF76A}"/>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6B9-4598-9DE3-656421FAF7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Graph!$D$35:$D$42</c:f>
                <c:numCache>
                  <c:formatCode>General</c:formatCode>
                  <c:ptCount val="8"/>
                  <c:pt idx="0">
                    <c:v>3.8157568056677826</c:v>
                  </c:pt>
                  <c:pt idx="1">
                    <c:v>5.1176383442191602</c:v>
                  </c:pt>
                  <c:pt idx="2">
                    <c:v>4.0914827880560232</c:v>
                  </c:pt>
                  <c:pt idx="3">
                    <c:v>4.3021731967548709</c:v>
                  </c:pt>
                  <c:pt idx="4">
                    <c:v>4.3908996800200297</c:v>
                  </c:pt>
                  <c:pt idx="5">
                    <c:v>3.8336004218846291</c:v>
                  </c:pt>
                  <c:pt idx="6">
                    <c:v>4.7544471987908281</c:v>
                  </c:pt>
                  <c:pt idx="7">
                    <c:v>4.1291645644125152</c:v>
                  </c:pt>
                </c:numCache>
              </c:numRef>
            </c:plus>
            <c:minus>
              <c:numRef>
                <c:f>Graph!$D$35:$D$42</c:f>
                <c:numCache>
                  <c:formatCode>General</c:formatCode>
                  <c:ptCount val="8"/>
                  <c:pt idx="0">
                    <c:v>3.8157568056677826</c:v>
                  </c:pt>
                  <c:pt idx="1">
                    <c:v>5.1176383442191602</c:v>
                  </c:pt>
                  <c:pt idx="2">
                    <c:v>4.0914827880560232</c:v>
                  </c:pt>
                  <c:pt idx="3">
                    <c:v>4.3021731967548709</c:v>
                  </c:pt>
                  <c:pt idx="4">
                    <c:v>4.3908996800200297</c:v>
                  </c:pt>
                  <c:pt idx="5">
                    <c:v>3.8336004218846291</c:v>
                  </c:pt>
                  <c:pt idx="6">
                    <c:v>4.7544471987908281</c:v>
                  </c:pt>
                  <c:pt idx="7">
                    <c:v>4.1291645644125152</c:v>
                  </c:pt>
                </c:numCache>
              </c:numRef>
            </c:minus>
            <c:spPr>
              <a:noFill/>
              <a:ln w="9525" cap="flat" cmpd="sng" algn="ctr">
                <a:solidFill>
                  <a:schemeClr val="tx1">
                    <a:lumMod val="65000"/>
                    <a:lumOff val="35000"/>
                  </a:schemeClr>
                </a:solidFill>
                <a:round/>
              </a:ln>
              <a:effectLst/>
            </c:spPr>
          </c:errBars>
          <c:cat>
            <c:strRef>
              <c:f>Graph!$A$35:$A$42</c:f>
              <c:strCache>
                <c:ptCount val="8"/>
                <c:pt idx="0">
                  <c:v>Bitter Gourd</c:v>
                </c:pt>
                <c:pt idx="1">
                  <c:v>Bottle Gourd</c:v>
                </c:pt>
                <c:pt idx="2">
                  <c:v>Brinjal</c:v>
                </c:pt>
                <c:pt idx="3">
                  <c:v>Cabbage</c:v>
                </c:pt>
                <c:pt idx="4">
                  <c:v>Cauliflower</c:v>
                </c:pt>
                <c:pt idx="5">
                  <c:v>Chili</c:v>
                </c:pt>
                <c:pt idx="6">
                  <c:v>Country Beans</c:v>
                </c:pt>
                <c:pt idx="7">
                  <c:v>Tomato</c:v>
                </c:pt>
              </c:strCache>
            </c:strRef>
          </c:cat>
          <c:val>
            <c:numRef>
              <c:f>Graph!$B$35:$B$42</c:f>
              <c:numCache>
                <c:formatCode>0</c:formatCode>
                <c:ptCount val="8"/>
                <c:pt idx="0">
                  <c:v>192.5</c:v>
                </c:pt>
                <c:pt idx="1">
                  <c:v>176.93333333333334</c:v>
                </c:pt>
                <c:pt idx="2">
                  <c:v>176.4909090909091</c:v>
                </c:pt>
                <c:pt idx="3">
                  <c:v>176.16363636363636</c:v>
                </c:pt>
                <c:pt idx="4">
                  <c:v>181</c:v>
                </c:pt>
                <c:pt idx="5">
                  <c:v>182.96969696969697</c:v>
                </c:pt>
                <c:pt idx="6">
                  <c:v>224.00882352941176</c:v>
                </c:pt>
                <c:pt idx="7">
                  <c:v>217.75</c:v>
                </c:pt>
              </c:numCache>
            </c:numRef>
          </c:val>
          <c:extLst>
            <c:ext xmlns:c16="http://schemas.microsoft.com/office/drawing/2014/chart" uri="{C3380CC4-5D6E-409C-BE32-E72D297353CC}">
              <c16:uniqueId val="{00000008-26B9-4598-9DE3-656421FAF76A}"/>
            </c:ext>
          </c:extLst>
        </c:ser>
        <c:ser>
          <c:idx val="1"/>
          <c:order val="1"/>
          <c:tx>
            <c:strRef>
              <c:f>Graph!$C$34</c:f>
              <c:strCache>
                <c:ptCount val="1"/>
                <c:pt idx="0">
                  <c:v>Traditional</c:v>
                </c:pt>
              </c:strCache>
            </c:strRef>
          </c:tx>
          <c:spPr>
            <a:solidFill>
              <a:schemeClr val="accent2"/>
            </a:solidFill>
            <a:ln>
              <a:solidFill>
                <a:schemeClr val="tx1"/>
              </a:solid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26B9-4598-9DE3-656421FAF76A}"/>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26B9-4598-9DE3-656421FAF76A}"/>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26B9-4598-9DE3-656421FAF76A}"/>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26B9-4598-9DE3-656421FAF76A}"/>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26B9-4598-9DE3-656421FAF76A}"/>
                </c:ext>
              </c:extLst>
            </c:dLbl>
            <c:dLbl>
              <c:idx val="5"/>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26B9-4598-9DE3-656421FAF76A}"/>
                </c:ext>
              </c:extLst>
            </c:dLbl>
            <c:dLbl>
              <c:idx val="6"/>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26B9-4598-9DE3-656421FAF76A}"/>
                </c:ext>
              </c:extLst>
            </c:dLbl>
            <c:dLbl>
              <c:idx val="7"/>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26B9-4598-9DE3-656421FAF7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Graph!$E$35:$E$42</c:f>
                <c:numCache>
                  <c:formatCode>General</c:formatCode>
                  <c:ptCount val="8"/>
                  <c:pt idx="0">
                    <c:v>6.6609308658775319</c:v>
                  </c:pt>
                  <c:pt idx="1">
                    <c:v>5.3396629107088769</c:v>
                  </c:pt>
                  <c:pt idx="2">
                    <c:v>4.4959763666460528</c:v>
                  </c:pt>
                  <c:pt idx="3">
                    <c:v>4.8472841122948536</c:v>
                  </c:pt>
                  <c:pt idx="4">
                    <c:v>5.0071948234515498</c:v>
                  </c:pt>
                  <c:pt idx="5">
                    <c:v>4.2388677733564659</c:v>
                  </c:pt>
                  <c:pt idx="6">
                    <c:v>6.062517274406674</c:v>
                  </c:pt>
                  <c:pt idx="7">
                    <c:v>4.5307835966861187</c:v>
                  </c:pt>
                </c:numCache>
              </c:numRef>
            </c:plus>
            <c:minus>
              <c:numRef>
                <c:f>Graph!$E$35:$E$42</c:f>
                <c:numCache>
                  <c:formatCode>General</c:formatCode>
                  <c:ptCount val="8"/>
                  <c:pt idx="0">
                    <c:v>6.6609308658775319</c:v>
                  </c:pt>
                  <c:pt idx="1">
                    <c:v>5.3396629107088769</c:v>
                  </c:pt>
                  <c:pt idx="2">
                    <c:v>4.4959763666460528</c:v>
                  </c:pt>
                  <c:pt idx="3">
                    <c:v>4.8472841122948536</c:v>
                  </c:pt>
                  <c:pt idx="4">
                    <c:v>5.0071948234515498</c:v>
                  </c:pt>
                  <c:pt idx="5">
                    <c:v>4.2388677733564659</c:v>
                  </c:pt>
                  <c:pt idx="6">
                    <c:v>6.062517274406674</c:v>
                  </c:pt>
                  <c:pt idx="7">
                    <c:v>4.5307835966861187</c:v>
                  </c:pt>
                </c:numCache>
              </c:numRef>
            </c:minus>
            <c:spPr>
              <a:noFill/>
              <a:ln w="9525" cap="flat" cmpd="sng" algn="ctr">
                <a:solidFill>
                  <a:schemeClr val="tx1">
                    <a:lumMod val="65000"/>
                    <a:lumOff val="35000"/>
                  </a:schemeClr>
                </a:solidFill>
                <a:round/>
              </a:ln>
              <a:effectLst/>
            </c:spPr>
          </c:errBars>
          <c:cat>
            <c:strRef>
              <c:f>Graph!$A$35:$A$42</c:f>
              <c:strCache>
                <c:ptCount val="8"/>
                <c:pt idx="0">
                  <c:v>Bitter Gourd</c:v>
                </c:pt>
                <c:pt idx="1">
                  <c:v>Bottle Gourd</c:v>
                </c:pt>
                <c:pt idx="2">
                  <c:v>Brinjal</c:v>
                </c:pt>
                <c:pt idx="3">
                  <c:v>Cabbage</c:v>
                </c:pt>
                <c:pt idx="4">
                  <c:v>Cauliflower</c:v>
                </c:pt>
                <c:pt idx="5">
                  <c:v>Chili</c:v>
                </c:pt>
                <c:pt idx="6">
                  <c:v>Country Beans</c:v>
                </c:pt>
                <c:pt idx="7">
                  <c:v>Tomato</c:v>
                </c:pt>
              </c:strCache>
            </c:strRef>
          </c:cat>
          <c:val>
            <c:numRef>
              <c:f>Graph!$C$35:$C$42</c:f>
              <c:numCache>
                <c:formatCode>0</c:formatCode>
                <c:ptCount val="8"/>
                <c:pt idx="0">
                  <c:v>296.60000000000002</c:v>
                </c:pt>
                <c:pt idx="1">
                  <c:v>283.2</c:v>
                </c:pt>
                <c:pt idx="2">
                  <c:v>276.9757575757576</c:v>
                </c:pt>
                <c:pt idx="3">
                  <c:v>279.8857142857143</c:v>
                </c:pt>
                <c:pt idx="4">
                  <c:v>251.2</c:v>
                </c:pt>
                <c:pt idx="5">
                  <c:v>253.6</c:v>
                </c:pt>
                <c:pt idx="6">
                  <c:v>274.69090909090909</c:v>
                </c:pt>
                <c:pt idx="7">
                  <c:v>269.60000000000002</c:v>
                </c:pt>
              </c:numCache>
            </c:numRef>
          </c:val>
          <c:extLst>
            <c:ext xmlns:c16="http://schemas.microsoft.com/office/drawing/2014/chart" uri="{C3380CC4-5D6E-409C-BE32-E72D297353CC}">
              <c16:uniqueId val="{00000011-26B9-4598-9DE3-656421FAF76A}"/>
            </c:ext>
          </c:extLst>
        </c:ser>
        <c:dLbls>
          <c:dLblPos val="outEnd"/>
          <c:showLegendKey val="0"/>
          <c:showVal val="1"/>
          <c:showCatName val="0"/>
          <c:showSerName val="0"/>
          <c:showPercent val="0"/>
          <c:showBubbleSize val="0"/>
        </c:dLbls>
        <c:gapWidth val="219"/>
        <c:axId val="1826935888"/>
        <c:axId val="1826932048"/>
      </c:barChart>
      <c:catAx>
        <c:axId val="1826935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Arial" panose="020B0604020202020204" pitchFamily="34" charset="0"/>
                    <a:cs typeface="Arial" panose="020B0604020202020204" pitchFamily="34" charset="0"/>
                  </a:rPr>
                  <a:t>Vegetables</a:t>
                </a:r>
              </a:p>
            </c:rich>
          </c:tx>
          <c:layout>
            <c:manualLayout>
              <c:xMode val="edge"/>
              <c:yMode val="edge"/>
              <c:x val="0.41164457567804025"/>
              <c:y val="0.920347039953339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26932048"/>
        <c:crosses val="autoZero"/>
        <c:auto val="1"/>
        <c:lblAlgn val="ctr"/>
        <c:lblOffset val="100"/>
        <c:noMultiLvlLbl val="0"/>
      </c:catAx>
      <c:valAx>
        <c:axId val="1826932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baseline="0">
                    <a:solidFill>
                      <a:schemeClr val="tx1"/>
                    </a:solidFill>
                    <a:latin typeface="Arial" panose="020B0604020202020204" pitchFamily="34" charset="0"/>
                    <a:cs typeface="Arial" panose="020B0604020202020204" pitchFamily="34" charset="0"/>
                  </a:rPr>
                  <a:t>Fertilizer cost, BDT</a:t>
                </a:r>
              </a:p>
            </c:rich>
          </c:tx>
          <c:layout>
            <c:manualLayout>
              <c:xMode val="edge"/>
              <c:yMode val="edge"/>
              <c:x val="1.3319335083114611E-2"/>
              <c:y val="0.208750000000000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26935888"/>
        <c:crosses val="autoZero"/>
        <c:crossBetween val="between"/>
      </c:valAx>
      <c:spPr>
        <a:noFill/>
        <a:ln>
          <a:solidFill>
            <a:schemeClr val="tx1">
              <a:lumMod val="50000"/>
              <a:lumOff val="50000"/>
            </a:schemeClr>
          </a:solidFill>
        </a:ln>
        <a:effectLst/>
      </c:spPr>
    </c:plotArea>
    <c:legend>
      <c:legendPos val="b"/>
      <c:layout>
        <c:manualLayout>
          <c:xMode val="edge"/>
          <c:yMode val="edge"/>
          <c:x val="0.67484973753280841"/>
          <c:y val="3.2468391404365568E-2"/>
          <c:w val="0.3034881889763779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46981627296589"/>
          <c:y val="2.6138625585313355E-2"/>
          <c:w val="0.85841907261592298"/>
          <c:h val="0.66449516160943933"/>
        </c:manualLayout>
      </c:layout>
      <c:barChart>
        <c:barDir val="col"/>
        <c:grouping val="clustered"/>
        <c:varyColors val="0"/>
        <c:ser>
          <c:idx val="0"/>
          <c:order val="0"/>
          <c:tx>
            <c:strRef>
              <c:f>Graph!$B$49</c:f>
              <c:strCache>
                <c:ptCount val="1"/>
                <c:pt idx="0">
                  <c:v>Cocodust</c:v>
                </c:pt>
              </c:strCache>
            </c:strRef>
          </c:tx>
          <c:spPr>
            <a:solidFill>
              <a:schemeClr val="accent1"/>
            </a:solidFill>
            <a:ln>
              <a:solidFill>
                <a:schemeClr val="tx1"/>
              </a:solid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DE0-409D-9A91-EBD296644083}"/>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DE0-409D-9A91-EBD296644083}"/>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DE0-409D-9A91-EBD296644083}"/>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DE0-409D-9A91-EBD296644083}"/>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DE0-409D-9A91-EBD296644083}"/>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DE0-409D-9A91-EBD296644083}"/>
                </c:ext>
              </c:extLst>
            </c:dLbl>
            <c:dLbl>
              <c:idx val="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DE0-409D-9A91-EBD296644083}"/>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DE0-409D-9A91-EBD2966440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Graph!$D$50:$D$57</c:f>
                <c:numCache>
                  <c:formatCode>General</c:formatCode>
                  <c:ptCount val="8"/>
                  <c:pt idx="0">
                    <c:v>4.8629209329373229</c:v>
                  </c:pt>
                  <c:pt idx="1">
                    <c:v>5.4259519906271771</c:v>
                  </c:pt>
                  <c:pt idx="2">
                    <c:v>5.2809090126606044</c:v>
                  </c:pt>
                  <c:pt idx="3">
                    <c:v>4.9428736581061825</c:v>
                  </c:pt>
                  <c:pt idx="4">
                    <c:v>4.7187848600625344</c:v>
                  </c:pt>
                  <c:pt idx="5">
                    <c:v>5.8923679450624933</c:v>
                  </c:pt>
                  <c:pt idx="6">
                    <c:v>7.8508990515071124</c:v>
                  </c:pt>
                  <c:pt idx="7">
                    <c:v>6.2966657843655645</c:v>
                  </c:pt>
                </c:numCache>
              </c:numRef>
            </c:plus>
            <c:minus>
              <c:numRef>
                <c:f>Graph!$D$50:$D$57</c:f>
                <c:numCache>
                  <c:formatCode>General</c:formatCode>
                  <c:ptCount val="8"/>
                  <c:pt idx="0">
                    <c:v>4.8629209329373229</c:v>
                  </c:pt>
                  <c:pt idx="1">
                    <c:v>5.4259519906271771</c:v>
                  </c:pt>
                  <c:pt idx="2">
                    <c:v>5.2809090126606044</c:v>
                  </c:pt>
                  <c:pt idx="3">
                    <c:v>4.9428736581061825</c:v>
                  </c:pt>
                  <c:pt idx="4">
                    <c:v>4.7187848600625344</c:v>
                  </c:pt>
                  <c:pt idx="5">
                    <c:v>5.8923679450624933</c:v>
                  </c:pt>
                  <c:pt idx="6">
                    <c:v>7.8508990515071124</c:v>
                  </c:pt>
                  <c:pt idx="7">
                    <c:v>6.2966657843655645</c:v>
                  </c:pt>
                </c:numCache>
              </c:numRef>
            </c:minus>
            <c:spPr>
              <a:noFill/>
              <a:ln w="9525" cap="flat" cmpd="sng" algn="ctr">
                <a:solidFill>
                  <a:schemeClr val="tx1">
                    <a:lumMod val="65000"/>
                    <a:lumOff val="35000"/>
                  </a:schemeClr>
                </a:solidFill>
                <a:round/>
              </a:ln>
              <a:effectLst/>
            </c:spPr>
          </c:errBars>
          <c:cat>
            <c:strRef>
              <c:f>Graph!$A$50:$A$57</c:f>
              <c:strCache>
                <c:ptCount val="8"/>
                <c:pt idx="0">
                  <c:v>Bitter Gourd</c:v>
                </c:pt>
                <c:pt idx="1">
                  <c:v>Bottle Gourd</c:v>
                </c:pt>
                <c:pt idx="2">
                  <c:v>Brinjal</c:v>
                </c:pt>
                <c:pt idx="3">
                  <c:v>Cabbage</c:v>
                </c:pt>
                <c:pt idx="4">
                  <c:v>Cauliflower</c:v>
                </c:pt>
                <c:pt idx="5">
                  <c:v>Chili</c:v>
                </c:pt>
                <c:pt idx="6">
                  <c:v>Country Beans</c:v>
                </c:pt>
                <c:pt idx="7">
                  <c:v>Tomato</c:v>
                </c:pt>
              </c:strCache>
            </c:strRef>
          </c:cat>
          <c:val>
            <c:numRef>
              <c:f>Graph!$B$50:$B$57</c:f>
              <c:numCache>
                <c:formatCode>0</c:formatCode>
                <c:ptCount val="8"/>
                <c:pt idx="0">
                  <c:v>122.6</c:v>
                </c:pt>
                <c:pt idx="1">
                  <c:v>118.24242424242425</c:v>
                </c:pt>
                <c:pt idx="2">
                  <c:v>187.6</c:v>
                </c:pt>
                <c:pt idx="3">
                  <c:v>84.2</c:v>
                </c:pt>
                <c:pt idx="4">
                  <c:v>68.095833333333331</c:v>
                </c:pt>
                <c:pt idx="5">
                  <c:v>181</c:v>
                </c:pt>
                <c:pt idx="6">
                  <c:v>163.14411764705883</c:v>
                </c:pt>
                <c:pt idx="7">
                  <c:v>173.4</c:v>
                </c:pt>
              </c:numCache>
            </c:numRef>
          </c:val>
          <c:extLst>
            <c:ext xmlns:c16="http://schemas.microsoft.com/office/drawing/2014/chart" uri="{C3380CC4-5D6E-409C-BE32-E72D297353CC}">
              <c16:uniqueId val="{00000008-CDE0-409D-9A91-EBD296644083}"/>
            </c:ext>
          </c:extLst>
        </c:ser>
        <c:ser>
          <c:idx val="1"/>
          <c:order val="1"/>
          <c:tx>
            <c:strRef>
              <c:f>Graph!$C$49</c:f>
              <c:strCache>
                <c:ptCount val="1"/>
                <c:pt idx="0">
                  <c:v>Traditional</c:v>
                </c:pt>
              </c:strCache>
            </c:strRef>
          </c:tx>
          <c:spPr>
            <a:solidFill>
              <a:schemeClr val="accent2"/>
            </a:solidFill>
            <a:ln>
              <a:solidFill>
                <a:schemeClr val="tx1"/>
              </a:solid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DE0-409D-9A91-EBD296644083}"/>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DE0-409D-9A91-EBD296644083}"/>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CDE0-409D-9A91-EBD296644083}"/>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CDE0-409D-9A91-EBD296644083}"/>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CDE0-409D-9A91-EBD296644083}"/>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CDE0-409D-9A91-EBD296644083}"/>
                </c:ext>
              </c:extLst>
            </c:dLbl>
            <c:dLbl>
              <c:idx val="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CDE0-409D-9A91-EBD296644083}"/>
                </c:ext>
              </c:extLst>
            </c:dLbl>
            <c:dLbl>
              <c:idx val="7"/>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CDE0-409D-9A91-EBD2966440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Graph!$E$50:$E$57</c:f>
                <c:numCache>
                  <c:formatCode>General</c:formatCode>
                  <c:ptCount val="8"/>
                  <c:pt idx="0">
                    <c:v>4.9022443839531293</c:v>
                  </c:pt>
                  <c:pt idx="1">
                    <c:v>5.8422103255191757</c:v>
                  </c:pt>
                  <c:pt idx="2">
                    <c:v>5.4508714899546105</c:v>
                  </c:pt>
                  <c:pt idx="3">
                    <c:v>5.7159426169268004</c:v>
                  </c:pt>
                  <c:pt idx="4">
                    <c:v>6.0770105259877463</c:v>
                  </c:pt>
                  <c:pt idx="5">
                    <c:v>5.241373865695901</c:v>
                  </c:pt>
                  <c:pt idx="6">
                    <c:v>7.3190163273489155</c:v>
                  </c:pt>
                  <c:pt idx="7">
                    <c:v>5.386545835046598</c:v>
                  </c:pt>
                </c:numCache>
              </c:numRef>
            </c:plus>
            <c:minus>
              <c:numRef>
                <c:f>Graph!$E$50:$E$57</c:f>
                <c:numCache>
                  <c:formatCode>General</c:formatCode>
                  <c:ptCount val="8"/>
                  <c:pt idx="0">
                    <c:v>4.9022443839531293</c:v>
                  </c:pt>
                  <c:pt idx="1">
                    <c:v>5.8422103255191757</c:v>
                  </c:pt>
                  <c:pt idx="2">
                    <c:v>5.4508714899546105</c:v>
                  </c:pt>
                  <c:pt idx="3">
                    <c:v>5.7159426169268004</c:v>
                  </c:pt>
                  <c:pt idx="4">
                    <c:v>6.0770105259877463</c:v>
                  </c:pt>
                  <c:pt idx="5">
                    <c:v>5.241373865695901</c:v>
                  </c:pt>
                  <c:pt idx="6">
                    <c:v>7.3190163273489155</c:v>
                  </c:pt>
                  <c:pt idx="7">
                    <c:v>5.386545835046598</c:v>
                  </c:pt>
                </c:numCache>
              </c:numRef>
            </c:minus>
            <c:spPr>
              <a:noFill/>
              <a:ln w="9525" cap="flat" cmpd="sng" algn="ctr">
                <a:solidFill>
                  <a:schemeClr val="tx1">
                    <a:lumMod val="65000"/>
                    <a:lumOff val="35000"/>
                  </a:schemeClr>
                </a:solidFill>
                <a:round/>
              </a:ln>
              <a:effectLst/>
            </c:spPr>
          </c:errBars>
          <c:cat>
            <c:strRef>
              <c:f>Graph!$A$50:$A$57</c:f>
              <c:strCache>
                <c:ptCount val="8"/>
                <c:pt idx="0">
                  <c:v>Bitter Gourd</c:v>
                </c:pt>
                <c:pt idx="1">
                  <c:v>Bottle Gourd</c:v>
                </c:pt>
                <c:pt idx="2">
                  <c:v>Brinjal</c:v>
                </c:pt>
                <c:pt idx="3">
                  <c:v>Cabbage</c:v>
                </c:pt>
                <c:pt idx="4">
                  <c:v>Cauliflower</c:v>
                </c:pt>
                <c:pt idx="5">
                  <c:v>Chili</c:v>
                </c:pt>
                <c:pt idx="6">
                  <c:v>Country Beans</c:v>
                </c:pt>
                <c:pt idx="7">
                  <c:v>Tomato</c:v>
                </c:pt>
              </c:strCache>
            </c:strRef>
          </c:cat>
          <c:val>
            <c:numRef>
              <c:f>Graph!$C$50:$C$57</c:f>
              <c:numCache>
                <c:formatCode>0</c:formatCode>
                <c:ptCount val="8"/>
                <c:pt idx="0">
                  <c:v>142.80000000000001</c:v>
                </c:pt>
                <c:pt idx="1">
                  <c:v>121.58636363636364</c:v>
                </c:pt>
                <c:pt idx="2">
                  <c:v>257.2</c:v>
                </c:pt>
                <c:pt idx="3">
                  <c:v>125.8</c:v>
                </c:pt>
                <c:pt idx="4">
                  <c:v>69.854545454545459</c:v>
                </c:pt>
                <c:pt idx="5">
                  <c:v>186.8</c:v>
                </c:pt>
                <c:pt idx="6">
                  <c:v>171.6</c:v>
                </c:pt>
                <c:pt idx="7">
                  <c:v>182.36363636363635</c:v>
                </c:pt>
              </c:numCache>
            </c:numRef>
          </c:val>
          <c:extLst>
            <c:ext xmlns:c16="http://schemas.microsoft.com/office/drawing/2014/chart" uri="{C3380CC4-5D6E-409C-BE32-E72D297353CC}">
              <c16:uniqueId val="{00000011-CDE0-409D-9A91-EBD296644083}"/>
            </c:ext>
          </c:extLst>
        </c:ser>
        <c:dLbls>
          <c:dLblPos val="outEnd"/>
          <c:showLegendKey val="0"/>
          <c:showVal val="1"/>
          <c:showCatName val="0"/>
          <c:showSerName val="0"/>
          <c:showPercent val="0"/>
          <c:showBubbleSize val="0"/>
        </c:dLbls>
        <c:gapWidth val="219"/>
        <c:axId val="1826935888"/>
        <c:axId val="1826932048"/>
      </c:barChart>
      <c:catAx>
        <c:axId val="1826935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Arial" panose="020B0604020202020204" pitchFamily="34" charset="0"/>
                    <a:cs typeface="Arial" panose="020B0604020202020204" pitchFamily="34" charset="0"/>
                  </a:rPr>
                  <a:t>Vegetables</a:t>
                </a:r>
              </a:p>
            </c:rich>
          </c:tx>
          <c:layout>
            <c:manualLayout>
              <c:xMode val="edge"/>
              <c:yMode val="edge"/>
              <c:x val="0.41164457567804025"/>
              <c:y val="0.920347039953339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26932048"/>
        <c:crosses val="autoZero"/>
        <c:auto val="1"/>
        <c:lblAlgn val="ctr"/>
        <c:lblOffset val="100"/>
        <c:noMultiLvlLbl val="0"/>
      </c:catAx>
      <c:valAx>
        <c:axId val="1826932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baseline="0">
                    <a:solidFill>
                      <a:schemeClr val="tx1"/>
                    </a:solidFill>
                    <a:latin typeface="Arial" panose="020B0604020202020204" pitchFamily="34" charset="0"/>
                    <a:cs typeface="Arial" panose="020B0604020202020204" pitchFamily="34" charset="0"/>
                  </a:rPr>
                  <a:t>Pesticide cost, BDT</a:t>
                </a:r>
              </a:p>
            </c:rich>
          </c:tx>
          <c:layout>
            <c:manualLayout>
              <c:xMode val="edge"/>
              <c:yMode val="edge"/>
              <c:x val="1.3319335083114611E-2"/>
              <c:y val="0.208750000000000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26935888"/>
        <c:crosses val="autoZero"/>
        <c:crossBetween val="between"/>
      </c:valAx>
      <c:spPr>
        <a:noFill/>
        <a:ln>
          <a:solidFill>
            <a:schemeClr val="tx1">
              <a:lumMod val="50000"/>
              <a:lumOff val="50000"/>
            </a:schemeClr>
          </a:solidFill>
        </a:ln>
        <a:effectLst/>
      </c:spPr>
    </c:plotArea>
    <c:legend>
      <c:legendPos val="b"/>
      <c:layout>
        <c:manualLayout>
          <c:xMode val="edge"/>
          <c:yMode val="edge"/>
          <c:x val="0.67207195975503065"/>
          <c:y val="4.1986303217799524E-2"/>
          <c:w val="0.3034881889763779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46981627296589"/>
          <c:y val="2.6138615790639263E-2"/>
          <c:w val="0.85841907261592298"/>
          <c:h val="0.66449528732991903"/>
        </c:manualLayout>
      </c:layout>
      <c:barChart>
        <c:barDir val="col"/>
        <c:grouping val="clustered"/>
        <c:varyColors val="0"/>
        <c:ser>
          <c:idx val="0"/>
          <c:order val="0"/>
          <c:tx>
            <c:strRef>
              <c:f>Graph!$B$61</c:f>
              <c:strCache>
                <c:ptCount val="1"/>
                <c:pt idx="0">
                  <c:v>Cocodust</c:v>
                </c:pt>
              </c:strCache>
            </c:strRef>
          </c:tx>
          <c:spPr>
            <a:solidFill>
              <a:schemeClr val="accent1"/>
            </a:solidFill>
            <a:ln>
              <a:solidFill>
                <a:schemeClr val="tx1"/>
              </a:solid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0B6-4D31-A43D-0E57BCD45033}"/>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0B6-4D31-A43D-0E57BCD45033}"/>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0B6-4D31-A43D-0E57BCD45033}"/>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0B6-4D31-A43D-0E57BCD45033}"/>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0B6-4D31-A43D-0E57BCD45033}"/>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0B6-4D31-A43D-0E57BCD45033}"/>
                </c:ext>
              </c:extLst>
            </c:dLbl>
            <c:dLbl>
              <c:idx val="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0B6-4D31-A43D-0E57BCD45033}"/>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0B6-4D31-A43D-0E57BCD450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Graph!$D$62:$D$69</c:f>
                <c:numCache>
                  <c:formatCode>General</c:formatCode>
                  <c:ptCount val="8"/>
                  <c:pt idx="0">
                    <c:v>1.5899685531481431</c:v>
                  </c:pt>
                  <c:pt idx="1">
                    <c:v>3.1280008548633269</c:v>
                  </c:pt>
                  <c:pt idx="2">
                    <c:v>2.2288269160003429</c:v>
                  </c:pt>
                  <c:pt idx="3">
                    <c:v>1.521200048243774</c:v>
                  </c:pt>
                  <c:pt idx="4">
                    <c:v>1.985946954886175</c:v>
                  </c:pt>
                  <c:pt idx="5">
                    <c:v>1.8575811953056993</c:v>
                  </c:pt>
                  <c:pt idx="6">
                    <c:v>1.4988253763032298</c:v>
                  </c:pt>
                  <c:pt idx="7">
                    <c:v>1.2198360545581524</c:v>
                  </c:pt>
                </c:numCache>
              </c:numRef>
            </c:plus>
            <c:minus>
              <c:numRef>
                <c:f>Graph!$D$62:$D$69</c:f>
                <c:numCache>
                  <c:formatCode>General</c:formatCode>
                  <c:ptCount val="8"/>
                  <c:pt idx="0">
                    <c:v>1.5899685531481431</c:v>
                  </c:pt>
                  <c:pt idx="1">
                    <c:v>3.1280008548633269</c:v>
                  </c:pt>
                  <c:pt idx="2">
                    <c:v>2.2288269160003429</c:v>
                  </c:pt>
                  <c:pt idx="3">
                    <c:v>1.521200048243774</c:v>
                  </c:pt>
                  <c:pt idx="4">
                    <c:v>1.985946954886175</c:v>
                  </c:pt>
                  <c:pt idx="5">
                    <c:v>1.8575811953056993</c:v>
                  </c:pt>
                  <c:pt idx="6">
                    <c:v>1.4988253763032298</c:v>
                  </c:pt>
                  <c:pt idx="7">
                    <c:v>1.2198360545581524</c:v>
                  </c:pt>
                </c:numCache>
              </c:numRef>
            </c:minus>
            <c:spPr>
              <a:noFill/>
              <a:ln w="9525" cap="flat" cmpd="sng" algn="ctr">
                <a:solidFill>
                  <a:schemeClr val="tx1">
                    <a:lumMod val="65000"/>
                    <a:lumOff val="35000"/>
                  </a:schemeClr>
                </a:solidFill>
                <a:round/>
              </a:ln>
              <a:effectLst/>
            </c:spPr>
          </c:errBars>
          <c:cat>
            <c:strRef>
              <c:f>Graph!$A$62:$A$69</c:f>
              <c:strCache>
                <c:ptCount val="8"/>
                <c:pt idx="0">
                  <c:v>Bitter Gourd</c:v>
                </c:pt>
                <c:pt idx="1">
                  <c:v>Bottle Gourd</c:v>
                </c:pt>
                <c:pt idx="2">
                  <c:v>Brinjal</c:v>
                </c:pt>
                <c:pt idx="3">
                  <c:v>Cabbage</c:v>
                </c:pt>
                <c:pt idx="4">
                  <c:v>Cauliflower</c:v>
                </c:pt>
                <c:pt idx="5">
                  <c:v>Chili</c:v>
                </c:pt>
                <c:pt idx="6">
                  <c:v>Country Beans</c:v>
                </c:pt>
                <c:pt idx="7">
                  <c:v>Tomato</c:v>
                </c:pt>
              </c:strCache>
            </c:strRef>
          </c:cat>
          <c:val>
            <c:numRef>
              <c:f>Graph!$B$62:$B$69</c:f>
              <c:numCache>
                <c:formatCode>0</c:formatCode>
                <c:ptCount val="8"/>
                <c:pt idx="0">
                  <c:v>75.400000000000006</c:v>
                </c:pt>
                <c:pt idx="1">
                  <c:v>71.606060606060609</c:v>
                </c:pt>
                <c:pt idx="2">
                  <c:v>85.963636363636354</c:v>
                </c:pt>
                <c:pt idx="3">
                  <c:v>49.090909090909086</c:v>
                </c:pt>
                <c:pt idx="4">
                  <c:v>56.780303030303038</c:v>
                </c:pt>
                <c:pt idx="5">
                  <c:v>74.75151515151515</c:v>
                </c:pt>
                <c:pt idx="6">
                  <c:v>85.247058823529414</c:v>
                </c:pt>
                <c:pt idx="7">
                  <c:v>73.599999999999994</c:v>
                </c:pt>
              </c:numCache>
            </c:numRef>
          </c:val>
          <c:extLst>
            <c:ext xmlns:c16="http://schemas.microsoft.com/office/drawing/2014/chart" uri="{C3380CC4-5D6E-409C-BE32-E72D297353CC}">
              <c16:uniqueId val="{00000008-90B6-4D31-A43D-0E57BCD45033}"/>
            </c:ext>
          </c:extLst>
        </c:ser>
        <c:ser>
          <c:idx val="1"/>
          <c:order val="1"/>
          <c:tx>
            <c:strRef>
              <c:f>Graph!$C$61</c:f>
              <c:strCache>
                <c:ptCount val="1"/>
                <c:pt idx="0">
                  <c:v>Traditional</c:v>
                </c:pt>
              </c:strCache>
            </c:strRef>
          </c:tx>
          <c:spPr>
            <a:solidFill>
              <a:schemeClr val="accent2"/>
            </a:solidFill>
            <a:ln>
              <a:solidFill>
                <a:schemeClr val="tx1"/>
              </a:solid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0B6-4D31-A43D-0E57BCD45033}"/>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90B6-4D31-A43D-0E57BCD45033}"/>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90B6-4D31-A43D-0E57BCD45033}"/>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90B6-4D31-A43D-0E57BCD45033}"/>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90B6-4D31-A43D-0E57BCD45033}"/>
                </c:ext>
              </c:extLst>
            </c:dLbl>
            <c:dLbl>
              <c:idx val="5"/>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90B6-4D31-A43D-0E57BCD45033}"/>
                </c:ext>
              </c:extLst>
            </c:dLbl>
            <c:dLbl>
              <c:idx val="6"/>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90B6-4D31-A43D-0E57BCD45033}"/>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0B6-4D31-A43D-0E57BCD450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Graph!$E$62:$E$69</c:f>
                <c:numCache>
                  <c:formatCode>General</c:formatCode>
                  <c:ptCount val="8"/>
                  <c:pt idx="0">
                    <c:v>2.3736911235554441</c:v>
                  </c:pt>
                  <c:pt idx="1">
                    <c:v>1.2198360545581524</c:v>
                  </c:pt>
                  <c:pt idx="2">
                    <c:v>1.245792920191795</c:v>
                  </c:pt>
                  <c:pt idx="3">
                    <c:v>3.0867324783421841</c:v>
                  </c:pt>
                  <c:pt idx="4">
                    <c:v>1.574801574802362</c:v>
                  </c:pt>
                  <c:pt idx="5">
                    <c:v>1.8035792079040143</c:v>
                  </c:pt>
                  <c:pt idx="6">
                    <c:v>2.2521101216414796</c:v>
                  </c:pt>
                  <c:pt idx="7">
                    <c:v>3.4557148472640726</c:v>
                  </c:pt>
                </c:numCache>
              </c:numRef>
            </c:plus>
            <c:minus>
              <c:numRef>
                <c:f>Graph!$E$62:$E$69</c:f>
                <c:numCache>
                  <c:formatCode>General</c:formatCode>
                  <c:ptCount val="8"/>
                  <c:pt idx="0">
                    <c:v>2.3736911235554441</c:v>
                  </c:pt>
                  <c:pt idx="1">
                    <c:v>1.2198360545581524</c:v>
                  </c:pt>
                  <c:pt idx="2">
                    <c:v>1.245792920191795</c:v>
                  </c:pt>
                  <c:pt idx="3">
                    <c:v>3.0867324783421841</c:v>
                  </c:pt>
                  <c:pt idx="4">
                    <c:v>1.574801574802362</c:v>
                  </c:pt>
                  <c:pt idx="5">
                    <c:v>1.8035792079040143</c:v>
                  </c:pt>
                  <c:pt idx="6">
                    <c:v>2.2521101216414796</c:v>
                  </c:pt>
                  <c:pt idx="7">
                    <c:v>3.4557148472640726</c:v>
                  </c:pt>
                </c:numCache>
              </c:numRef>
            </c:minus>
            <c:spPr>
              <a:noFill/>
              <a:ln w="9525" cap="flat" cmpd="sng" algn="ctr">
                <a:solidFill>
                  <a:schemeClr val="tx1">
                    <a:lumMod val="65000"/>
                    <a:lumOff val="35000"/>
                  </a:schemeClr>
                </a:solidFill>
                <a:round/>
              </a:ln>
              <a:effectLst/>
            </c:spPr>
          </c:errBars>
          <c:cat>
            <c:strRef>
              <c:f>Graph!$A$62:$A$69</c:f>
              <c:strCache>
                <c:ptCount val="8"/>
                <c:pt idx="0">
                  <c:v>Bitter Gourd</c:v>
                </c:pt>
                <c:pt idx="1">
                  <c:v>Bottle Gourd</c:v>
                </c:pt>
                <c:pt idx="2">
                  <c:v>Brinjal</c:v>
                </c:pt>
                <c:pt idx="3">
                  <c:v>Cabbage</c:v>
                </c:pt>
                <c:pt idx="4">
                  <c:v>Cauliflower</c:v>
                </c:pt>
                <c:pt idx="5">
                  <c:v>Chili</c:v>
                </c:pt>
                <c:pt idx="6">
                  <c:v>Country Beans</c:v>
                </c:pt>
                <c:pt idx="7">
                  <c:v>Tomato</c:v>
                </c:pt>
              </c:strCache>
            </c:strRef>
          </c:cat>
          <c:val>
            <c:numRef>
              <c:f>Graph!$C$62:$C$69</c:f>
              <c:numCache>
                <c:formatCode>0</c:formatCode>
                <c:ptCount val="8"/>
                <c:pt idx="0">
                  <c:v>66.372727272727275</c:v>
                </c:pt>
                <c:pt idx="1">
                  <c:v>73.599999999999994</c:v>
                </c:pt>
                <c:pt idx="2">
                  <c:v>80.8</c:v>
                </c:pt>
                <c:pt idx="3">
                  <c:v>63.125541125541133</c:v>
                </c:pt>
                <c:pt idx="4">
                  <c:v>54</c:v>
                </c:pt>
                <c:pt idx="5">
                  <c:v>91.757142857142853</c:v>
                </c:pt>
                <c:pt idx="6">
                  <c:v>67.8</c:v>
                </c:pt>
                <c:pt idx="7">
                  <c:v>72.606060606060609</c:v>
                </c:pt>
              </c:numCache>
            </c:numRef>
          </c:val>
          <c:extLst>
            <c:ext xmlns:c16="http://schemas.microsoft.com/office/drawing/2014/chart" uri="{C3380CC4-5D6E-409C-BE32-E72D297353CC}">
              <c16:uniqueId val="{00000011-90B6-4D31-A43D-0E57BCD45033}"/>
            </c:ext>
          </c:extLst>
        </c:ser>
        <c:dLbls>
          <c:dLblPos val="outEnd"/>
          <c:showLegendKey val="0"/>
          <c:showVal val="1"/>
          <c:showCatName val="0"/>
          <c:showSerName val="0"/>
          <c:showPercent val="0"/>
          <c:showBubbleSize val="0"/>
        </c:dLbls>
        <c:gapWidth val="219"/>
        <c:axId val="1826935888"/>
        <c:axId val="1826932048"/>
      </c:barChart>
      <c:catAx>
        <c:axId val="1826935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Arial" panose="020B0604020202020204" pitchFamily="34" charset="0"/>
                    <a:cs typeface="Arial" panose="020B0604020202020204" pitchFamily="34" charset="0"/>
                  </a:rPr>
                  <a:t>Vegetables</a:t>
                </a:r>
              </a:p>
            </c:rich>
          </c:tx>
          <c:layout>
            <c:manualLayout>
              <c:xMode val="edge"/>
              <c:yMode val="edge"/>
              <c:x val="0.41164457567804025"/>
              <c:y val="0.920347039953339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26932048"/>
        <c:crosses val="autoZero"/>
        <c:auto val="1"/>
        <c:lblAlgn val="ctr"/>
        <c:lblOffset val="100"/>
        <c:noMultiLvlLbl val="0"/>
      </c:catAx>
      <c:valAx>
        <c:axId val="1826932048"/>
        <c:scaling>
          <c:orientation val="minMax"/>
          <c:max val="11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baseline="0">
                    <a:solidFill>
                      <a:schemeClr val="tx1"/>
                    </a:solidFill>
                    <a:latin typeface="Arial" panose="020B0604020202020204" pitchFamily="34" charset="0"/>
                    <a:cs typeface="Arial" panose="020B0604020202020204" pitchFamily="34" charset="0"/>
                  </a:rPr>
                  <a:t>Irrigation cost, BDT</a:t>
                </a:r>
              </a:p>
            </c:rich>
          </c:tx>
          <c:layout>
            <c:manualLayout>
              <c:xMode val="edge"/>
              <c:yMode val="edge"/>
              <c:x val="1.3319335083114611E-2"/>
              <c:y val="0.208750000000000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26935888"/>
        <c:crosses val="autoZero"/>
        <c:crossBetween val="between"/>
        <c:majorUnit val="20"/>
      </c:valAx>
      <c:spPr>
        <a:noFill/>
        <a:ln>
          <a:solidFill>
            <a:schemeClr val="tx1">
              <a:lumMod val="50000"/>
              <a:lumOff val="50000"/>
            </a:schemeClr>
          </a:solidFill>
        </a:ln>
        <a:effectLst/>
      </c:spPr>
    </c:plotArea>
    <c:legend>
      <c:legendPos val="b"/>
      <c:layout>
        <c:manualLayout>
          <c:xMode val="edge"/>
          <c:yMode val="edge"/>
          <c:x val="0.13873862642169729"/>
          <c:y val="3.7227339444522098E-2"/>
          <c:w val="0.3034881889763779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46981627296589"/>
          <c:y val="2.6090036527173208E-2"/>
          <c:w val="0.85841907261592298"/>
          <c:h val="0.6644242687645916"/>
        </c:manualLayout>
      </c:layout>
      <c:barChart>
        <c:barDir val="col"/>
        <c:grouping val="clustered"/>
        <c:varyColors val="0"/>
        <c:ser>
          <c:idx val="0"/>
          <c:order val="0"/>
          <c:tx>
            <c:strRef>
              <c:f>Graph!$B$76</c:f>
              <c:strCache>
                <c:ptCount val="1"/>
                <c:pt idx="0">
                  <c:v>Cocodust</c:v>
                </c:pt>
              </c:strCache>
            </c:strRef>
          </c:tx>
          <c:spPr>
            <a:solidFill>
              <a:schemeClr val="accent1"/>
            </a:solidFill>
            <a:ln>
              <a:solidFill>
                <a:schemeClr val="tx1"/>
              </a:solid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3D8-44DC-B841-70B17D87AB08}"/>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3D8-44DC-B841-70B17D87AB08}"/>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3D8-44DC-B841-70B17D87AB08}"/>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3D8-44DC-B841-70B17D87AB08}"/>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3D8-44DC-B841-70B17D87AB08}"/>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3D8-44DC-B841-70B17D87AB08}"/>
                </c:ext>
              </c:extLst>
            </c:dLbl>
            <c:dLbl>
              <c:idx val="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3D8-44DC-B841-70B17D87AB08}"/>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3D8-44DC-B841-70B17D87AB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Graph!$D$77:$D$84</c:f>
                <c:numCache>
                  <c:formatCode>General</c:formatCode>
                  <c:ptCount val="8"/>
                  <c:pt idx="0">
                    <c:v>5.7591666063763078</c:v>
                  </c:pt>
                  <c:pt idx="1">
                    <c:v>6.4162294223320915</c:v>
                  </c:pt>
                  <c:pt idx="2">
                    <c:v>4.2251607405720453</c:v>
                  </c:pt>
                  <c:pt idx="3">
                    <c:v>0</c:v>
                  </c:pt>
                  <c:pt idx="4">
                    <c:v>0</c:v>
                  </c:pt>
                  <c:pt idx="5">
                    <c:v>6.3472828832501236</c:v>
                  </c:pt>
                  <c:pt idx="6">
                    <c:v>9.4868329805051381</c:v>
                  </c:pt>
                  <c:pt idx="7">
                    <c:v>5.3246596135339948</c:v>
                  </c:pt>
                </c:numCache>
              </c:numRef>
            </c:plus>
            <c:minus>
              <c:numRef>
                <c:f>Graph!$D$77:$D$84</c:f>
                <c:numCache>
                  <c:formatCode>General</c:formatCode>
                  <c:ptCount val="8"/>
                  <c:pt idx="0">
                    <c:v>5.7591666063763078</c:v>
                  </c:pt>
                  <c:pt idx="1">
                    <c:v>6.4162294223320915</c:v>
                  </c:pt>
                  <c:pt idx="2">
                    <c:v>4.2251607405720453</c:v>
                  </c:pt>
                  <c:pt idx="3">
                    <c:v>0</c:v>
                  </c:pt>
                  <c:pt idx="4">
                    <c:v>0</c:v>
                  </c:pt>
                  <c:pt idx="5">
                    <c:v>6.3472828832501236</c:v>
                  </c:pt>
                  <c:pt idx="6">
                    <c:v>9.4868329805051381</c:v>
                  </c:pt>
                  <c:pt idx="7">
                    <c:v>5.3246596135339948</c:v>
                  </c:pt>
                </c:numCache>
              </c:numRef>
            </c:minus>
            <c:spPr>
              <a:noFill/>
              <a:ln w="9525" cap="flat" cmpd="sng" algn="ctr">
                <a:solidFill>
                  <a:schemeClr val="tx1">
                    <a:lumMod val="65000"/>
                    <a:lumOff val="35000"/>
                  </a:schemeClr>
                </a:solidFill>
                <a:round/>
              </a:ln>
              <a:effectLst/>
            </c:spPr>
          </c:errBars>
          <c:cat>
            <c:strRef>
              <c:f>Graph!$A$77:$A$84</c:f>
              <c:strCache>
                <c:ptCount val="8"/>
                <c:pt idx="0">
                  <c:v>Bitter Gourd</c:v>
                </c:pt>
                <c:pt idx="1">
                  <c:v>Bottle Gourd</c:v>
                </c:pt>
                <c:pt idx="2">
                  <c:v>Brinjal</c:v>
                </c:pt>
                <c:pt idx="3">
                  <c:v>Cabbage</c:v>
                </c:pt>
                <c:pt idx="4">
                  <c:v>Cauliflower</c:v>
                </c:pt>
                <c:pt idx="5">
                  <c:v>Chili</c:v>
                </c:pt>
                <c:pt idx="6">
                  <c:v>Country Beans</c:v>
                </c:pt>
                <c:pt idx="7">
                  <c:v>Tomato</c:v>
                </c:pt>
              </c:strCache>
            </c:strRef>
          </c:cat>
          <c:val>
            <c:numRef>
              <c:f>Graph!$B$77:$B$84</c:f>
              <c:numCache>
                <c:formatCode>0</c:formatCode>
                <c:ptCount val="8"/>
                <c:pt idx="0">
                  <c:v>182.4</c:v>
                </c:pt>
                <c:pt idx="1">
                  <c:v>269.39999999999998</c:v>
                </c:pt>
                <c:pt idx="2">
                  <c:v>86.831168831168839</c:v>
                </c:pt>
                <c:pt idx="3">
                  <c:v>0</c:v>
                </c:pt>
                <c:pt idx="4">
                  <c:v>0</c:v>
                </c:pt>
                <c:pt idx="5">
                  <c:v>154.6</c:v>
                </c:pt>
                <c:pt idx="6">
                  <c:v>205</c:v>
                </c:pt>
                <c:pt idx="7">
                  <c:v>136.19999999999999</c:v>
                </c:pt>
              </c:numCache>
            </c:numRef>
          </c:val>
          <c:extLst>
            <c:ext xmlns:c16="http://schemas.microsoft.com/office/drawing/2014/chart" uri="{C3380CC4-5D6E-409C-BE32-E72D297353CC}">
              <c16:uniqueId val="{00000008-93D8-44DC-B841-70B17D87AB08}"/>
            </c:ext>
          </c:extLst>
        </c:ser>
        <c:ser>
          <c:idx val="1"/>
          <c:order val="1"/>
          <c:tx>
            <c:strRef>
              <c:f>Graph!$C$76</c:f>
              <c:strCache>
                <c:ptCount val="1"/>
                <c:pt idx="0">
                  <c:v>Traditional</c:v>
                </c:pt>
              </c:strCache>
            </c:strRef>
          </c:tx>
          <c:spPr>
            <a:solidFill>
              <a:schemeClr val="accent2"/>
            </a:solidFill>
            <a:ln>
              <a:solidFill>
                <a:schemeClr val="tx1"/>
              </a:solid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3D8-44DC-B841-70B17D87AB08}"/>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93D8-44DC-B841-70B17D87AB08}"/>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93D8-44DC-B841-70B17D87AB08}"/>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93D8-44DC-B841-70B17D87AB08}"/>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93D8-44DC-B841-70B17D87AB08}"/>
                </c:ext>
              </c:extLst>
            </c:dLbl>
            <c:dLbl>
              <c:idx val="5"/>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93D8-44DC-B841-70B17D87AB08}"/>
                </c:ext>
              </c:extLst>
            </c:dLbl>
            <c:dLbl>
              <c:idx val="6"/>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93D8-44DC-B841-70B17D87AB08}"/>
                </c:ext>
              </c:extLst>
            </c:dLbl>
            <c:dLbl>
              <c:idx val="7"/>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3D8-44DC-B841-70B17D87AB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Graph!$E$77:$E$84</c:f>
                <c:numCache>
                  <c:formatCode>General</c:formatCode>
                  <c:ptCount val="8"/>
                  <c:pt idx="0">
                    <c:v>6.7444792237799938</c:v>
                  </c:pt>
                  <c:pt idx="1">
                    <c:v>6.5629261766379789</c:v>
                  </c:pt>
                  <c:pt idx="2">
                    <c:v>6.2443574529330075</c:v>
                  </c:pt>
                  <c:pt idx="3">
                    <c:v>0</c:v>
                  </c:pt>
                  <c:pt idx="4">
                    <c:v>0</c:v>
                  </c:pt>
                  <c:pt idx="5">
                    <c:v>6.1104660966547675</c:v>
                  </c:pt>
                  <c:pt idx="6">
                    <c:v>6.867254514942835</c:v>
                  </c:pt>
                  <c:pt idx="7">
                    <c:v>5.9126981996377932</c:v>
                  </c:pt>
                </c:numCache>
              </c:numRef>
            </c:plus>
            <c:minus>
              <c:numRef>
                <c:f>Graph!$E$77:$E$84</c:f>
                <c:numCache>
                  <c:formatCode>General</c:formatCode>
                  <c:ptCount val="8"/>
                  <c:pt idx="0">
                    <c:v>6.7444792237799938</c:v>
                  </c:pt>
                  <c:pt idx="1">
                    <c:v>6.5629261766379789</c:v>
                  </c:pt>
                  <c:pt idx="2">
                    <c:v>6.2443574529330075</c:v>
                  </c:pt>
                  <c:pt idx="3">
                    <c:v>0</c:v>
                  </c:pt>
                  <c:pt idx="4">
                    <c:v>0</c:v>
                  </c:pt>
                  <c:pt idx="5">
                    <c:v>6.1104660966547675</c:v>
                  </c:pt>
                  <c:pt idx="6">
                    <c:v>6.867254514942835</c:v>
                  </c:pt>
                  <c:pt idx="7">
                    <c:v>5.9126981996377932</c:v>
                  </c:pt>
                </c:numCache>
              </c:numRef>
            </c:minus>
            <c:spPr>
              <a:noFill/>
              <a:ln w="9525" cap="flat" cmpd="sng" algn="ctr">
                <a:solidFill>
                  <a:schemeClr val="tx1">
                    <a:lumMod val="65000"/>
                    <a:lumOff val="35000"/>
                  </a:schemeClr>
                </a:solidFill>
                <a:round/>
              </a:ln>
              <a:effectLst/>
            </c:spPr>
          </c:errBars>
          <c:cat>
            <c:strRef>
              <c:f>Graph!$A$77:$A$84</c:f>
              <c:strCache>
                <c:ptCount val="8"/>
                <c:pt idx="0">
                  <c:v>Bitter Gourd</c:v>
                </c:pt>
                <c:pt idx="1">
                  <c:v>Bottle Gourd</c:v>
                </c:pt>
                <c:pt idx="2">
                  <c:v>Brinjal</c:v>
                </c:pt>
                <c:pt idx="3">
                  <c:v>Cabbage</c:v>
                </c:pt>
                <c:pt idx="4">
                  <c:v>Cauliflower</c:v>
                </c:pt>
                <c:pt idx="5">
                  <c:v>Chili</c:v>
                </c:pt>
                <c:pt idx="6">
                  <c:v>Country Beans</c:v>
                </c:pt>
                <c:pt idx="7">
                  <c:v>Tomato</c:v>
                </c:pt>
              </c:strCache>
            </c:strRef>
          </c:cat>
          <c:val>
            <c:numRef>
              <c:f>Graph!$C$77:$C$84</c:f>
              <c:numCache>
                <c:formatCode>0</c:formatCode>
                <c:ptCount val="8"/>
                <c:pt idx="0">
                  <c:v>231.4</c:v>
                </c:pt>
                <c:pt idx="1">
                  <c:v>402.8</c:v>
                </c:pt>
                <c:pt idx="2">
                  <c:v>99.2</c:v>
                </c:pt>
                <c:pt idx="3">
                  <c:v>0</c:v>
                </c:pt>
                <c:pt idx="4">
                  <c:v>0</c:v>
                </c:pt>
                <c:pt idx="5">
                  <c:v>165.97142857142859</c:v>
                </c:pt>
                <c:pt idx="6">
                  <c:v>243.369696969697</c:v>
                </c:pt>
                <c:pt idx="7">
                  <c:v>236</c:v>
                </c:pt>
              </c:numCache>
            </c:numRef>
          </c:val>
          <c:extLst>
            <c:ext xmlns:c16="http://schemas.microsoft.com/office/drawing/2014/chart" uri="{C3380CC4-5D6E-409C-BE32-E72D297353CC}">
              <c16:uniqueId val="{00000011-93D8-44DC-B841-70B17D87AB08}"/>
            </c:ext>
          </c:extLst>
        </c:ser>
        <c:dLbls>
          <c:dLblPos val="outEnd"/>
          <c:showLegendKey val="0"/>
          <c:showVal val="1"/>
          <c:showCatName val="0"/>
          <c:showSerName val="0"/>
          <c:showPercent val="0"/>
          <c:showBubbleSize val="0"/>
        </c:dLbls>
        <c:gapWidth val="219"/>
        <c:axId val="1826935888"/>
        <c:axId val="1826932048"/>
      </c:barChart>
      <c:catAx>
        <c:axId val="1826935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Arial" panose="020B0604020202020204" pitchFamily="34" charset="0"/>
                    <a:cs typeface="Arial" panose="020B0604020202020204" pitchFamily="34" charset="0"/>
                  </a:rPr>
                  <a:t>Vegetables</a:t>
                </a:r>
              </a:p>
            </c:rich>
          </c:tx>
          <c:layout>
            <c:manualLayout>
              <c:xMode val="edge"/>
              <c:yMode val="edge"/>
              <c:x val="0.41164457567804025"/>
              <c:y val="0.920347039953339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26932048"/>
        <c:crosses val="autoZero"/>
        <c:auto val="1"/>
        <c:lblAlgn val="ctr"/>
        <c:lblOffset val="100"/>
        <c:noMultiLvlLbl val="0"/>
      </c:catAx>
      <c:valAx>
        <c:axId val="182693204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baseline="0">
                    <a:solidFill>
                      <a:schemeClr val="tx1"/>
                    </a:solidFill>
                    <a:latin typeface="Arial" panose="020B0604020202020204" pitchFamily="34" charset="0"/>
                    <a:cs typeface="Arial" panose="020B0604020202020204" pitchFamily="34" charset="0"/>
                  </a:rPr>
                  <a:t>Pole &amp; fench cost, BDT</a:t>
                </a:r>
              </a:p>
            </c:rich>
          </c:tx>
          <c:layout>
            <c:manualLayout>
              <c:xMode val="edge"/>
              <c:yMode val="edge"/>
              <c:x val="7.7637795275590548E-3"/>
              <c:y val="0.125416666666666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26935888"/>
        <c:crosses val="autoZero"/>
        <c:crossBetween val="between"/>
        <c:majorUnit val="100"/>
      </c:valAx>
      <c:spPr>
        <a:noFill/>
        <a:ln>
          <a:solidFill>
            <a:schemeClr val="tx1">
              <a:lumMod val="50000"/>
              <a:lumOff val="50000"/>
            </a:schemeClr>
          </a:solidFill>
        </a:ln>
        <a:effectLst/>
      </c:spPr>
    </c:plotArea>
    <c:legend>
      <c:legendPos val="b"/>
      <c:layout>
        <c:manualLayout>
          <c:xMode val="edge"/>
          <c:yMode val="edge"/>
          <c:x val="0.65262751531058616"/>
          <c:y val="4.6512863055640549E-2"/>
          <c:w val="0.3034881889763779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46981627296589"/>
          <c:y val="2.6090036527173208E-2"/>
          <c:w val="0.85841907261592298"/>
          <c:h val="0.6644242687645916"/>
        </c:manualLayout>
      </c:layout>
      <c:barChart>
        <c:barDir val="col"/>
        <c:grouping val="clustered"/>
        <c:varyColors val="0"/>
        <c:ser>
          <c:idx val="0"/>
          <c:order val="0"/>
          <c:tx>
            <c:strRef>
              <c:f>Graph!$B$91</c:f>
              <c:strCache>
                <c:ptCount val="1"/>
                <c:pt idx="0">
                  <c:v>Cocodust</c:v>
                </c:pt>
              </c:strCache>
            </c:strRef>
          </c:tx>
          <c:spPr>
            <a:solidFill>
              <a:schemeClr val="accent1"/>
            </a:solidFill>
            <a:ln>
              <a:solidFill>
                <a:schemeClr val="tx1"/>
              </a:solid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3BF-4F21-9F83-6C6A7DFE0818}"/>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3BF-4F21-9F83-6C6A7DFE0818}"/>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3BF-4F21-9F83-6C6A7DFE0818}"/>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3BF-4F21-9F83-6C6A7DFE0818}"/>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3BF-4F21-9F83-6C6A7DFE0818}"/>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3BF-4F21-9F83-6C6A7DFE0818}"/>
                </c:ext>
              </c:extLst>
            </c:dLbl>
            <c:dLbl>
              <c:idx val="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3BF-4F21-9F83-6C6A7DFE0818}"/>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3BF-4F21-9F83-6C6A7DFE08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Graph!$D$92:$D$99</c:f>
                <c:numCache>
                  <c:formatCode>General</c:formatCode>
                  <c:ptCount val="8"/>
                  <c:pt idx="0">
                    <c:v>7.932717062898436</c:v>
                  </c:pt>
                  <c:pt idx="1">
                    <c:v>6.2135336162283696</c:v>
                  </c:pt>
                  <c:pt idx="2">
                    <c:v>6.0064159146347489</c:v>
                  </c:pt>
                  <c:pt idx="3">
                    <c:v>4.7023398430993897</c:v>
                  </c:pt>
                  <c:pt idx="4">
                    <c:v>6.2609903369994111</c:v>
                  </c:pt>
                  <c:pt idx="5">
                    <c:v>5.3171420895063539</c:v>
                  </c:pt>
                  <c:pt idx="6">
                    <c:v>6.2545983084447547</c:v>
                  </c:pt>
                  <c:pt idx="7">
                    <c:v>5.7896459304520516</c:v>
                  </c:pt>
                </c:numCache>
              </c:numRef>
            </c:plus>
            <c:minus>
              <c:numRef>
                <c:f>Graph!$D$92:$D$99</c:f>
                <c:numCache>
                  <c:formatCode>General</c:formatCode>
                  <c:ptCount val="8"/>
                  <c:pt idx="0">
                    <c:v>7.932717062898436</c:v>
                  </c:pt>
                  <c:pt idx="1">
                    <c:v>6.2135336162283696</c:v>
                  </c:pt>
                  <c:pt idx="2">
                    <c:v>6.0064159146347489</c:v>
                  </c:pt>
                  <c:pt idx="3">
                    <c:v>4.7023398430993897</c:v>
                  </c:pt>
                  <c:pt idx="4">
                    <c:v>6.2609903369994111</c:v>
                  </c:pt>
                  <c:pt idx="5">
                    <c:v>5.3171420895063539</c:v>
                  </c:pt>
                  <c:pt idx="6">
                    <c:v>6.2545983084447547</c:v>
                  </c:pt>
                  <c:pt idx="7">
                    <c:v>5.7896459304520516</c:v>
                  </c:pt>
                </c:numCache>
              </c:numRef>
            </c:minus>
            <c:spPr>
              <a:noFill/>
              <a:ln w="9525" cap="flat" cmpd="sng" algn="ctr">
                <a:solidFill>
                  <a:schemeClr val="tx1">
                    <a:lumMod val="65000"/>
                    <a:lumOff val="35000"/>
                  </a:schemeClr>
                </a:solidFill>
                <a:round/>
              </a:ln>
              <a:effectLst/>
            </c:spPr>
          </c:errBars>
          <c:cat>
            <c:strRef>
              <c:f>Graph!$A$92:$A$99</c:f>
              <c:strCache>
                <c:ptCount val="8"/>
                <c:pt idx="0">
                  <c:v>Bitter Gourd</c:v>
                </c:pt>
                <c:pt idx="1">
                  <c:v>Bottle Gourd</c:v>
                </c:pt>
                <c:pt idx="2">
                  <c:v>Brinjal</c:v>
                </c:pt>
                <c:pt idx="3">
                  <c:v>Cabbage</c:v>
                </c:pt>
                <c:pt idx="4">
                  <c:v>Cauliflower</c:v>
                </c:pt>
                <c:pt idx="5">
                  <c:v>Chili</c:v>
                </c:pt>
                <c:pt idx="6">
                  <c:v>Country Beans</c:v>
                </c:pt>
                <c:pt idx="7">
                  <c:v>Tomato</c:v>
                </c:pt>
              </c:strCache>
            </c:strRef>
          </c:cat>
          <c:val>
            <c:numRef>
              <c:f>Graph!$B$92:$B$99</c:f>
              <c:numCache>
                <c:formatCode>0</c:formatCode>
                <c:ptCount val="8"/>
                <c:pt idx="0">
                  <c:v>115.6</c:v>
                </c:pt>
                <c:pt idx="1">
                  <c:v>192.6</c:v>
                </c:pt>
                <c:pt idx="2">
                  <c:v>243.28484848484851</c:v>
                </c:pt>
                <c:pt idx="3">
                  <c:v>132.19999999999999</c:v>
                </c:pt>
                <c:pt idx="4">
                  <c:v>83</c:v>
                </c:pt>
                <c:pt idx="5">
                  <c:v>188.8</c:v>
                </c:pt>
                <c:pt idx="6">
                  <c:v>161</c:v>
                </c:pt>
                <c:pt idx="7">
                  <c:v>207</c:v>
                </c:pt>
              </c:numCache>
            </c:numRef>
          </c:val>
          <c:extLst>
            <c:ext xmlns:c16="http://schemas.microsoft.com/office/drawing/2014/chart" uri="{C3380CC4-5D6E-409C-BE32-E72D297353CC}">
              <c16:uniqueId val="{00000008-A3BF-4F21-9F83-6C6A7DFE0818}"/>
            </c:ext>
          </c:extLst>
        </c:ser>
        <c:ser>
          <c:idx val="1"/>
          <c:order val="1"/>
          <c:tx>
            <c:strRef>
              <c:f>Graph!$C$91</c:f>
              <c:strCache>
                <c:ptCount val="1"/>
                <c:pt idx="0">
                  <c:v>Traditional</c:v>
                </c:pt>
              </c:strCache>
            </c:strRef>
          </c:tx>
          <c:spPr>
            <a:solidFill>
              <a:schemeClr val="accent2"/>
            </a:solidFill>
            <a:ln>
              <a:solidFill>
                <a:schemeClr val="tx1"/>
              </a:solid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3BF-4F21-9F83-6C6A7DFE0818}"/>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3BF-4F21-9F83-6C6A7DFE0818}"/>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A3BF-4F21-9F83-6C6A7DFE0818}"/>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A3BF-4F21-9F83-6C6A7DFE0818}"/>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A3BF-4F21-9F83-6C6A7DFE0818}"/>
                </c:ext>
              </c:extLst>
            </c:dLbl>
            <c:dLbl>
              <c:idx val="5"/>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A3BF-4F21-9F83-6C6A7DFE0818}"/>
                </c:ext>
              </c:extLst>
            </c:dLbl>
            <c:dLbl>
              <c:idx val="6"/>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A3BF-4F21-9F83-6C6A7DFE0818}"/>
                </c:ext>
              </c:extLst>
            </c:dLbl>
            <c:dLbl>
              <c:idx val="7"/>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A3BF-4F21-9F83-6C6A7DFE08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Graph!$E$92:$E$99</c:f>
                <c:numCache>
                  <c:formatCode>General</c:formatCode>
                  <c:ptCount val="8"/>
                  <c:pt idx="0">
                    <c:v>5.2535702146254781</c:v>
                  </c:pt>
                  <c:pt idx="1">
                    <c:v>5.7924088253506412</c:v>
                  </c:pt>
                  <c:pt idx="2">
                    <c:v>5.1349780914819876</c:v>
                  </c:pt>
                  <c:pt idx="3">
                    <c:v>6.4628854924784855</c:v>
                  </c:pt>
                  <c:pt idx="4">
                    <c:v>5.8924153205944743</c:v>
                  </c:pt>
                  <c:pt idx="5">
                    <c:v>5.1969221660517491</c:v>
                  </c:pt>
                  <c:pt idx="6">
                    <c:v>6.8795348679979798</c:v>
                  </c:pt>
                  <c:pt idx="7">
                    <c:v>6.4087440267184954</c:v>
                  </c:pt>
                </c:numCache>
              </c:numRef>
            </c:plus>
            <c:minus>
              <c:numRef>
                <c:f>Graph!$E$92:$E$99</c:f>
                <c:numCache>
                  <c:formatCode>General</c:formatCode>
                  <c:ptCount val="8"/>
                  <c:pt idx="0">
                    <c:v>5.2535702146254781</c:v>
                  </c:pt>
                  <c:pt idx="1">
                    <c:v>5.7924088253506412</c:v>
                  </c:pt>
                  <c:pt idx="2">
                    <c:v>5.1349780914819876</c:v>
                  </c:pt>
                  <c:pt idx="3">
                    <c:v>6.4628854924784855</c:v>
                  </c:pt>
                  <c:pt idx="4">
                    <c:v>5.8924153205944743</c:v>
                  </c:pt>
                  <c:pt idx="5">
                    <c:v>5.1969221660517491</c:v>
                  </c:pt>
                  <c:pt idx="6">
                    <c:v>6.8795348679979798</c:v>
                  </c:pt>
                  <c:pt idx="7">
                    <c:v>6.4087440267184954</c:v>
                  </c:pt>
                </c:numCache>
              </c:numRef>
            </c:minus>
            <c:spPr>
              <a:noFill/>
              <a:ln w="9525" cap="flat" cmpd="sng" algn="ctr">
                <a:solidFill>
                  <a:schemeClr val="tx1">
                    <a:lumMod val="65000"/>
                    <a:lumOff val="35000"/>
                  </a:schemeClr>
                </a:solidFill>
                <a:round/>
              </a:ln>
              <a:effectLst/>
            </c:spPr>
          </c:errBars>
          <c:cat>
            <c:strRef>
              <c:f>Graph!$A$92:$A$99</c:f>
              <c:strCache>
                <c:ptCount val="8"/>
                <c:pt idx="0">
                  <c:v>Bitter Gourd</c:v>
                </c:pt>
                <c:pt idx="1">
                  <c:v>Bottle Gourd</c:v>
                </c:pt>
                <c:pt idx="2">
                  <c:v>Brinjal</c:v>
                </c:pt>
                <c:pt idx="3">
                  <c:v>Cabbage</c:v>
                </c:pt>
                <c:pt idx="4">
                  <c:v>Cauliflower</c:v>
                </c:pt>
                <c:pt idx="5">
                  <c:v>Chili</c:v>
                </c:pt>
                <c:pt idx="6">
                  <c:v>Country Beans</c:v>
                </c:pt>
                <c:pt idx="7">
                  <c:v>Tomato</c:v>
                </c:pt>
              </c:strCache>
            </c:strRef>
          </c:cat>
          <c:val>
            <c:numRef>
              <c:f>Graph!$C$92:$C$99</c:f>
              <c:numCache>
                <c:formatCode>0</c:formatCode>
                <c:ptCount val="8"/>
                <c:pt idx="0">
                  <c:v>192</c:v>
                </c:pt>
                <c:pt idx="1">
                  <c:v>304.7</c:v>
                </c:pt>
                <c:pt idx="2">
                  <c:v>289.60000000000002</c:v>
                </c:pt>
                <c:pt idx="3">
                  <c:v>165.33333333333331</c:v>
                </c:pt>
                <c:pt idx="4">
                  <c:v>131.71515151515152</c:v>
                </c:pt>
                <c:pt idx="5">
                  <c:v>286.60000000000002</c:v>
                </c:pt>
                <c:pt idx="6">
                  <c:v>218.6</c:v>
                </c:pt>
                <c:pt idx="7">
                  <c:v>278.8</c:v>
                </c:pt>
              </c:numCache>
            </c:numRef>
          </c:val>
          <c:extLst>
            <c:ext xmlns:c16="http://schemas.microsoft.com/office/drawing/2014/chart" uri="{C3380CC4-5D6E-409C-BE32-E72D297353CC}">
              <c16:uniqueId val="{00000011-A3BF-4F21-9F83-6C6A7DFE0818}"/>
            </c:ext>
          </c:extLst>
        </c:ser>
        <c:dLbls>
          <c:dLblPos val="outEnd"/>
          <c:showLegendKey val="0"/>
          <c:showVal val="1"/>
          <c:showCatName val="0"/>
          <c:showSerName val="0"/>
          <c:showPercent val="0"/>
          <c:showBubbleSize val="0"/>
        </c:dLbls>
        <c:gapWidth val="219"/>
        <c:axId val="1826935888"/>
        <c:axId val="1826932048"/>
      </c:barChart>
      <c:catAx>
        <c:axId val="1826935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Arial" panose="020B0604020202020204" pitchFamily="34" charset="0"/>
                    <a:cs typeface="Arial" panose="020B0604020202020204" pitchFamily="34" charset="0"/>
                  </a:rPr>
                  <a:t>Vegetables</a:t>
                </a:r>
              </a:p>
            </c:rich>
          </c:tx>
          <c:layout>
            <c:manualLayout>
              <c:xMode val="edge"/>
              <c:yMode val="edge"/>
              <c:x val="0.41164457567804025"/>
              <c:y val="0.920347039953339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26932048"/>
        <c:crosses val="autoZero"/>
        <c:auto val="1"/>
        <c:lblAlgn val="ctr"/>
        <c:lblOffset val="100"/>
        <c:noMultiLvlLbl val="0"/>
      </c:catAx>
      <c:valAx>
        <c:axId val="182693204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baseline="0">
                    <a:solidFill>
                      <a:schemeClr val="tx1"/>
                    </a:solidFill>
                    <a:latin typeface="Arial" panose="020B0604020202020204" pitchFamily="34" charset="0"/>
                    <a:cs typeface="Arial" panose="020B0604020202020204" pitchFamily="34" charset="0"/>
                  </a:rPr>
                  <a:t>Labor cost, BDT</a:t>
                </a:r>
              </a:p>
            </c:rich>
          </c:tx>
          <c:layout>
            <c:manualLayout>
              <c:xMode val="edge"/>
              <c:yMode val="edge"/>
              <c:x val="1.3319335083114611E-2"/>
              <c:y val="0.222638888888888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26935888"/>
        <c:crosses val="autoZero"/>
        <c:crossBetween val="between"/>
        <c:majorUnit val="80"/>
      </c:valAx>
      <c:spPr>
        <a:noFill/>
        <a:ln>
          <a:solidFill>
            <a:schemeClr val="tx1">
              <a:lumMod val="50000"/>
              <a:lumOff val="50000"/>
            </a:schemeClr>
          </a:solidFill>
        </a:ln>
        <a:effectLst/>
      </c:spPr>
    </c:plotArea>
    <c:legend>
      <c:legendPos val="b"/>
      <c:layout>
        <c:manualLayout>
          <c:xMode val="edge"/>
          <c:yMode val="edge"/>
          <c:x val="0.13596084864391952"/>
          <c:y val="3.7253901630220534E-2"/>
          <c:w val="0.3034881889763779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46981627296589"/>
          <c:y val="2.6090036527173208E-2"/>
          <c:w val="0.85841907261592298"/>
          <c:h val="0.6644242687645916"/>
        </c:manualLayout>
      </c:layout>
      <c:barChart>
        <c:barDir val="col"/>
        <c:grouping val="clustered"/>
        <c:varyColors val="0"/>
        <c:ser>
          <c:idx val="0"/>
          <c:order val="0"/>
          <c:tx>
            <c:strRef>
              <c:f>Graph!$B$106</c:f>
              <c:strCache>
                <c:ptCount val="1"/>
                <c:pt idx="0">
                  <c:v>Cocodust</c:v>
                </c:pt>
              </c:strCache>
            </c:strRef>
          </c:tx>
          <c:spPr>
            <a:solidFill>
              <a:schemeClr val="accent1"/>
            </a:solidFill>
            <a:ln>
              <a:solidFill>
                <a:schemeClr val="tx1"/>
              </a:solid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A9A-4986-BF62-F2E10D7B4F7D}"/>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A9A-4986-BF62-F2E10D7B4F7D}"/>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A9A-4986-BF62-F2E10D7B4F7D}"/>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A9A-4986-BF62-F2E10D7B4F7D}"/>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A9A-4986-BF62-F2E10D7B4F7D}"/>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A9A-4986-BF62-F2E10D7B4F7D}"/>
                </c:ext>
              </c:extLst>
            </c:dLbl>
            <c:dLbl>
              <c:idx val="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A9A-4986-BF62-F2E10D7B4F7D}"/>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A9A-4986-BF62-F2E10D7B4F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Graph!$D$107:$D$114</c:f>
                <c:numCache>
                  <c:formatCode>General</c:formatCode>
                  <c:ptCount val="8"/>
                  <c:pt idx="0">
                    <c:v>5.3844219745484274</c:v>
                  </c:pt>
                  <c:pt idx="1">
                    <c:v>6.3774603095589706</c:v>
                  </c:pt>
                  <c:pt idx="2">
                    <c:v>6.4535261679178149</c:v>
                  </c:pt>
                  <c:pt idx="3">
                    <c:v>5.2733291192566387</c:v>
                  </c:pt>
                  <c:pt idx="4">
                    <c:v>5.4332310828824495</c:v>
                  </c:pt>
                  <c:pt idx="5">
                    <c:v>6.6356612330648703</c:v>
                  </c:pt>
                  <c:pt idx="6">
                    <c:v>5.0257337772707382</c:v>
                  </c:pt>
                  <c:pt idx="7">
                    <c:v>5.5612948132606679</c:v>
                  </c:pt>
                </c:numCache>
              </c:numRef>
            </c:plus>
            <c:minus>
              <c:numRef>
                <c:f>Graph!$D$107:$D$114</c:f>
                <c:numCache>
                  <c:formatCode>General</c:formatCode>
                  <c:ptCount val="8"/>
                  <c:pt idx="0">
                    <c:v>5.3844219745484274</c:v>
                  </c:pt>
                  <c:pt idx="1">
                    <c:v>6.3774603095589706</c:v>
                  </c:pt>
                  <c:pt idx="2">
                    <c:v>6.4535261679178149</c:v>
                  </c:pt>
                  <c:pt idx="3">
                    <c:v>5.2733291192566387</c:v>
                  </c:pt>
                  <c:pt idx="4">
                    <c:v>5.4332310828824495</c:v>
                  </c:pt>
                  <c:pt idx="5">
                    <c:v>6.6356612330648703</c:v>
                  </c:pt>
                  <c:pt idx="6">
                    <c:v>5.0257337772707382</c:v>
                  </c:pt>
                  <c:pt idx="7">
                    <c:v>5.5612948132606679</c:v>
                  </c:pt>
                </c:numCache>
              </c:numRef>
            </c:minus>
            <c:spPr>
              <a:noFill/>
              <a:ln w="9525" cap="flat" cmpd="sng" algn="ctr">
                <a:solidFill>
                  <a:schemeClr val="tx1">
                    <a:lumMod val="65000"/>
                    <a:lumOff val="35000"/>
                  </a:schemeClr>
                </a:solidFill>
                <a:round/>
              </a:ln>
              <a:effectLst/>
            </c:spPr>
          </c:errBars>
          <c:cat>
            <c:strRef>
              <c:f>Graph!$A$107:$A$114</c:f>
              <c:strCache>
                <c:ptCount val="8"/>
                <c:pt idx="0">
                  <c:v>Bitter Gourd</c:v>
                </c:pt>
                <c:pt idx="1">
                  <c:v>Bottle Gourd</c:v>
                </c:pt>
                <c:pt idx="2">
                  <c:v>Brinjal</c:v>
                </c:pt>
                <c:pt idx="3">
                  <c:v>Cabbage</c:v>
                </c:pt>
                <c:pt idx="4">
                  <c:v>Cauliflower</c:v>
                </c:pt>
                <c:pt idx="5">
                  <c:v>Chili</c:v>
                </c:pt>
                <c:pt idx="6">
                  <c:v>Country Beans</c:v>
                </c:pt>
                <c:pt idx="7">
                  <c:v>Tomato</c:v>
                </c:pt>
              </c:strCache>
            </c:strRef>
          </c:cat>
          <c:val>
            <c:numRef>
              <c:f>Graph!$B$107:$B$114</c:f>
              <c:numCache>
                <c:formatCode>0</c:formatCode>
                <c:ptCount val="8"/>
                <c:pt idx="0">
                  <c:v>129.80000000000001</c:v>
                </c:pt>
                <c:pt idx="1">
                  <c:v>134.19999999999999</c:v>
                </c:pt>
                <c:pt idx="2">
                  <c:v>140.4</c:v>
                </c:pt>
                <c:pt idx="3">
                  <c:v>59.6</c:v>
                </c:pt>
                <c:pt idx="4">
                  <c:v>114</c:v>
                </c:pt>
                <c:pt idx="5">
                  <c:v>126.2</c:v>
                </c:pt>
                <c:pt idx="6">
                  <c:v>111.35</c:v>
                </c:pt>
                <c:pt idx="7">
                  <c:v>142.6</c:v>
                </c:pt>
              </c:numCache>
            </c:numRef>
          </c:val>
          <c:extLst>
            <c:ext xmlns:c16="http://schemas.microsoft.com/office/drawing/2014/chart" uri="{C3380CC4-5D6E-409C-BE32-E72D297353CC}">
              <c16:uniqueId val="{00000008-2A9A-4986-BF62-F2E10D7B4F7D}"/>
            </c:ext>
          </c:extLst>
        </c:ser>
        <c:ser>
          <c:idx val="1"/>
          <c:order val="1"/>
          <c:tx>
            <c:strRef>
              <c:f>Graph!$C$106</c:f>
              <c:strCache>
                <c:ptCount val="1"/>
                <c:pt idx="0">
                  <c:v>Traditional</c:v>
                </c:pt>
              </c:strCache>
            </c:strRef>
          </c:tx>
          <c:spPr>
            <a:solidFill>
              <a:schemeClr val="accent2"/>
            </a:solidFill>
            <a:ln>
              <a:solidFill>
                <a:schemeClr val="tx1"/>
              </a:solid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2A9A-4986-BF62-F2E10D7B4F7D}"/>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2A9A-4986-BF62-F2E10D7B4F7D}"/>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2A9A-4986-BF62-F2E10D7B4F7D}"/>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2A9A-4986-BF62-F2E10D7B4F7D}"/>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2A9A-4986-BF62-F2E10D7B4F7D}"/>
                </c:ext>
              </c:extLst>
            </c:dLbl>
            <c:dLbl>
              <c:idx val="5"/>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2A9A-4986-BF62-F2E10D7B4F7D}"/>
                </c:ext>
              </c:extLst>
            </c:dLbl>
            <c:dLbl>
              <c:idx val="6"/>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2A9A-4986-BF62-F2E10D7B4F7D}"/>
                </c:ext>
              </c:extLst>
            </c:dLbl>
            <c:dLbl>
              <c:idx val="7"/>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2A9A-4986-BF62-F2E10D7B4F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Graph!$E$107:$E$114</c:f>
                <c:numCache>
                  <c:formatCode>General</c:formatCode>
                  <c:ptCount val="8"/>
                  <c:pt idx="0">
                    <c:v>5.3546241698180825</c:v>
                  </c:pt>
                  <c:pt idx="1">
                    <c:v>4.7782842108857437</c:v>
                  </c:pt>
                  <c:pt idx="2">
                    <c:v>5.4302854436944656</c:v>
                  </c:pt>
                  <c:pt idx="3">
                    <c:v>5.9423900915372423</c:v>
                  </c:pt>
                  <c:pt idx="4">
                    <c:v>6.3409778425728627</c:v>
                  </c:pt>
                  <c:pt idx="5">
                    <c:v>5.130302135352264</c:v>
                  </c:pt>
                  <c:pt idx="6">
                    <c:v>6.1799676374557162</c:v>
                  </c:pt>
                  <c:pt idx="7">
                    <c:v>6.7088001907941779</c:v>
                  </c:pt>
                </c:numCache>
              </c:numRef>
            </c:plus>
            <c:minus>
              <c:numRef>
                <c:f>Graph!$E$107:$E$114</c:f>
                <c:numCache>
                  <c:formatCode>General</c:formatCode>
                  <c:ptCount val="8"/>
                  <c:pt idx="0">
                    <c:v>5.3546241698180825</c:v>
                  </c:pt>
                  <c:pt idx="1">
                    <c:v>4.7782842108857437</c:v>
                  </c:pt>
                  <c:pt idx="2">
                    <c:v>5.4302854436944656</c:v>
                  </c:pt>
                  <c:pt idx="3">
                    <c:v>5.9423900915372423</c:v>
                  </c:pt>
                  <c:pt idx="4">
                    <c:v>6.3409778425728627</c:v>
                  </c:pt>
                  <c:pt idx="5">
                    <c:v>5.130302135352264</c:v>
                  </c:pt>
                  <c:pt idx="6">
                    <c:v>6.1799676374557162</c:v>
                  </c:pt>
                  <c:pt idx="7">
                    <c:v>6.7088001907941779</c:v>
                  </c:pt>
                </c:numCache>
              </c:numRef>
            </c:minus>
            <c:spPr>
              <a:noFill/>
              <a:ln w="9525" cap="flat" cmpd="sng" algn="ctr">
                <a:solidFill>
                  <a:schemeClr val="tx1">
                    <a:lumMod val="65000"/>
                    <a:lumOff val="35000"/>
                  </a:schemeClr>
                </a:solidFill>
                <a:round/>
              </a:ln>
              <a:effectLst/>
            </c:spPr>
          </c:errBars>
          <c:cat>
            <c:strRef>
              <c:f>Graph!$A$107:$A$114</c:f>
              <c:strCache>
                <c:ptCount val="8"/>
                <c:pt idx="0">
                  <c:v>Bitter Gourd</c:v>
                </c:pt>
                <c:pt idx="1">
                  <c:v>Bottle Gourd</c:v>
                </c:pt>
                <c:pt idx="2">
                  <c:v>Brinjal</c:v>
                </c:pt>
                <c:pt idx="3">
                  <c:v>Cabbage</c:v>
                </c:pt>
                <c:pt idx="4">
                  <c:v>Cauliflower</c:v>
                </c:pt>
                <c:pt idx="5">
                  <c:v>Chili</c:v>
                </c:pt>
                <c:pt idx="6">
                  <c:v>Country Beans</c:v>
                </c:pt>
                <c:pt idx="7">
                  <c:v>Tomato</c:v>
                </c:pt>
              </c:strCache>
            </c:strRef>
          </c:cat>
          <c:val>
            <c:numRef>
              <c:f>Graph!$C$107:$C$114</c:f>
              <c:numCache>
                <c:formatCode>0</c:formatCode>
                <c:ptCount val="8"/>
                <c:pt idx="0">
                  <c:v>135.80000000000001</c:v>
                </c:pt>
                <c:pt idx="1">
                  <c:v>148.80000000000001</c:v>
                </c:pt>
                <c:pt idx="2">
                  <c:v>169.4</c:v>
                </c:pt>
                <c:pt idx="3">
                  <c:v>164.8</c:v>
                </c:pt>
                <c:pt idx="4">
                  <c:v>312.39999999999998</c:v>
                </c:pt>
                <c:pt idx="5">
                  <c:v>240</c:v>
                </c:pt>
                <c:pt idx="6">
                  <c:v>192.8</c:v>
                </c:pt>
                <c:pt idx="7">
                  <c:v>217.6</c:v>
                </c:pt>
              </c:numCache>
            </c:numRef>
          </c:val>
          <c:extLst>
            <c:ext xmlns:c16="http://schemas.microsoft.com/office/drawing/2014/chart" uri="{C3380CC4-5D6E-409C-BE32-E72D297353CC}">
              <c16:uniqueId val="{00000011-2A9A-4986-BF62-F2E10D7B4F7D}"/>
            </c:ext>
          </c:extLst>
        </c:ser>
        <c:dLbls>
          <c:dLblPos val="outEnd"/>
          <c:showLegendKey val="0"/>
          <c:showVal val="1"/>
          <c:showCatName val="0"/>
          <c:showSerName val="0"/>
          <c:showPercent val="0"/>
          <c:showBubbleSize val="0"/>
        </c:dLbls>
        <c:gapWidth val="219"/>
        <c:axId val="1826935888"/>
        <c:axId val="1826932048"/>
      </c:barChart>
      <c:catAx>
        <c:axId val="1826935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Arial" panose="020B0604020202020204" pitchFamily="34" charset="0"/>
                    <a:cs typeface="Arial" panose="020B0604020202020204" pitchFamily="34" charset="0"/>
                  </a:rPr>
                  <a:t>Vegetables</a:t>
                </a:r>
              </a:p>
            </c:rich>
          </c:tx>
          <c:layout>
            <c:manualLayout>
              <c:xMode val="edge"/>
              <c:yMode val="edge"/>
              <c:x val="0.41164457567804025"/>
              <c:y val="0.920347039953339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26932048"/>
        <c:crosses val="autoZero"/>
        <c:auto val="1"/>
        <c:lblAlgn val="ctr"/>
        <c:lblOffset val="100"/>
        <c:noMultiLvlLbl val="0"/>
      </c:catAx>
      <c:valAx>
        <c:axId val="1826932048"/>
        <c:scaling>
          <c:orientation val="minMax"/>
          <c:max val="37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baseline="0">
                    <a:solidFill>
                      <a:schemeClr val="tx1"/>
                    </a:solidFill>
                    <a:latin typeface="Arial" panose="020B0604020202020204" pitchFamily="34" charset="0"/>
                    <a:cs typeface="Arial" panose="020B0604020202020204" pitchFamily="34" charset="0"/>
                  </a:rPr>
                  <a:t>Intercare cost, BDT</a:t>
                </a:r>
              </a:p>
            </c:rich>
          </c:tx>
          <c:layout>
            <c:manualLayout>
              <c:xMode val="edge"/>
              <c:yMode val="edge"/>
              <c:x val="1.3319335083114611E-2"/>
              <c:y val="0.213379629629629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26935888"/>
        <c:crosses val="autoZero"/>
        <c:crossBetween val="between"/>
        <c:majorUnit val="60"/>
      </c:valAx>
      <c:spPr>
        <a:noFill/>
        <a:ln>
          <a:solidFill>
            <a:schemeClr val="tx1">
              <a:lumMod val="50000"/>
              <a:lumOff val="50000"/>
            </a:schemeClr>
          </a:solidFill>
        </a:ln>
        <a:effectLst/>
      </c:spPr>
    </c:plotArea>
    <c:legend>
      <c:legendPos val="b"/>
      <c:layout>
        <c:manualLayout>
          <c:xMode val="edge"/>
          <c:yMode val="edge"/>
          <c:x val="0.13596084864391952"/>
          <c:y val="4.5910684590888935E-2"/>
          <c:w val="0.3034881889763779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46981627296589"/>
          <c:y val="2.6090026768879879E-2"/>
          <c:w val="0.85841907261592298"/>
          <c:h val="0.66382184201461147"/>
        </c:manualLayout>
      </c:layout>
      <c:barChart>
        <c:barDir val="col"/>
        <c:grouping val="clustered"/>
        <c:varyColors val="0"/>
        <c:ser>
          <c:idx val="0"/>
          <c:order val="0"/>
          <c:tx>
            <c:strRef>
              <c:f>Graph!$B$121</c:f>
              <c:strCache>
                <c:ptCount val="1"/>
                <c:pt idx="0">
                  <c:v>Cocodust</c:v>
                </c:pt>
              </c:strCache>
            </c:strRef>
          </c:tx>
          <c:spPr>
            <a:solidFill>
              <a:schemeClr val="accent1"/>
            </a:solidFill>
            <a:ln>
              <a:solidFill>
                <a:schemeClr val="tx1"/>
              </a:solid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8B1-4A46-92A6-4812960FE050}"/>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8B1-4A46-92A6-4812960FE050}"/>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8B1-4A46-92A6-4812960FE050}"/>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8B1-4A46-92A6-4812960FE050}"/>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8B1-4A46-92A6-4812960FE050}"/>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8B1-4A46-92A6-4812960FE050}"/>
                </c:ext>
              </c:extLst>
            </c:dLbl>
            <c:dLbl>
              <c:idx val="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8B1-4A46-92A6-4812960FE050}"/>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8B1-4A46-92A6-4812960FE0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Graph!$D$122:$D$129</c:f>
                <c:numCache>
                  <c:formatCode>General</c:formatCode>
                  <c:ptCount val="8"/>
                  <c:pt idx="0">
                    <c:v>17.578623381823729</c:v>
                  </c:pt>
                  <c:pt idx="1">
                    <c:v>15.51618509814832</c:v>
                  </c:pt>
                  <c:pt idx="2">
                    <c:v>28.991860926818756</c:v>
                  </c:pt>
                  <c:pt idx="3">
                    <c:v>19.137232111581913</c:v>
                  </c:pt>
                  <c:pt idx="4">
                    <c:v>29.026975706073049</c:v>
                  </c:pt>
                  <c:pt idx="5">
                    <c:v>27.461391079113231</c:v>
                  </c:pt>
                  <c:pt idx="6">
                    <c:v>39.617571858961774</c:v>
                  </c:pt>
                  <c:pt idx="7">
                    <c:v>28.787809920172805</c:v>
                  </c:pt>
                </c:numCache>
              </c:numRef>
            </c:plus>
            <c:minus>
              <c:numRef>
                <c:f>Graph!$D$122:$D$129</c:f>
                <c:numCache>
                  <c:formatCode>General</c:formatCode>
                  <c:ptCount val="8"/>
                  <c:pt idx="0">
                    <c:v>17.578623381823729</c:v>
                  </c:pt>
                  <c:pt idx="1">
                    <c:v>15.51618509814832</c:v>
                  </c:pt>
                  <c:pt idx="2">
                    <c:v>28.991860926818756</c:v>
                  </c:pt>
                  <c:pt idx="3">
                    <c:v>19.137232111581913</c:v>
                  </c:pt>
                  <c:pt idx="4">
                    <c:v>29.026975706073049</c:v>
                  </c:pt>
                  <c:pt idx="5">
                    <c:v>27.461391079113231</c:v>
                  </c:pt>
                  <c:pt idx="6">
                    <c:v>39.617571858961774</c:v>
                  </c:pt>
                  <c:pt idx="7">
                    <c:v>28.787809920172805</c:v>
                  </c:pt>
                </c:numCache>
              </c:numRef>
            </c:minus>
            <c:spPr>
              <a:noFill/>
              <a:ln w="9525" cap="flat" cmpd="sng" algn="ctr">
                <a:solidFill>
                  <a:schemeClr val="tx1">
                    <a:lumMod val="65000"/>
                    <a:lumOff val="35000"/>
                  </a:schemeClr>
                </a:solidFill>
                <a:round/>
              </a:ln>
              <a:effectLst/>
            </c:spPr>
          </c:errBars>
          <c:cat>
            <c:strRef>
              <c:f>Graph!$A$122:$A$129</c:f>
              <c:strCache>
                <c:ptCount val="8"/>
                <c:pt idx="0">
                  <c:v>Bitter Gourd</c:v>
                </c:pt>
                <c:pt idx="1">
                  <c:v>Bottle Gourd</c:v>
                </c:pt>
                <c:pt idx="2">
                  <c:v>Brinjal</c:v>
                </c:pt>
                <c:pt idx="3">
                  <c:v>Cabbage</c:v>
                </c:pt>
                <c:pt idx="4">
                  <c:v>Cauliflower</c:v>
                </c:pt>
                <c:pt idx="5">
                  <c:v>Chili</c:v>
                </c:pt>
                <c:pt idx="6">
                  <c:v>Country Beans</c:v>
                </c:pt>
                <c:pt idx="7">
                  <c:v>Tomato</c:v>
                </c:pt>
              </c:strCache>
            </c:strRef>
          </c:cat>
          <c:val>
            <c:numRef>
              <c:f>Graph!$B$122:$B$129</c:f>
              <c:numCache>
                <c:formatCode>0</c:formatCode>
                <c:ptCount val="8"/>
                <c:pt idx="0">
                  <c:v>1077.5999999999999</c:v>
                </c:pt>
                <c:pt idx="1">
                  <c:v>1149.8</c:v>
                </c:pt>
                <c:pt idx="2">
                  <c:v>1135.4000000000001</c:v>
                </c:pt>
                <c:pt idx="3">
                  <c:v>774.74545454545455</c:v>
                </c:pt>
                <c:pt idx="4">
                  <c:v>776.35757575757577</c:v>
                </c:pt>
                <c:pt idx="5">
                  <c:v>1179.4000000000001</c:v>
                </c:pt>
                <c:pt idx="6">
                  <c:v>1063.2</c:v>
                </c:pt>
                <c:pt idx="7">
                  <c:v>1218.1500000000001</c:v>
                </c:pt>
              </c:numCache>
            </c:numRef>
          </c:val>
          <c:extLst>
            <c:ext xmlns:c16="http://schemas.microsoft.com/office/drawing/2014/chart" uri="{C3380CC4-5D6E-409C-BE32-E72D297353CC}">
              <c16:uniqueId val="{00000008-08B1-4A46-92A6-4812960FE050}"/>
            </c:ext>
          </c:extLst>
        </c:ser>
        <c:ser>
          <c:idx val="1"/>
          <c:order val="1"/>
          <c:tx>
            <c:strRef>
              <c:f>Graph!$C$121</c:f>
              <c:strCache>
                <c:ptCount val="1"/>
                <c:pt idx="0">
                  <c:v>Traditional</c:v>
                </c:pt>
              </c:strCache>
            </c:strRef>
          </c:tx>
          <c:spPr>
            <a:solidFill>
              <a:schemeClr val="accent2"/>
            </a:solidFill>
            <a:ln>
              <a:solidFill>
                <a:schemeClr val="tx1"/>
              </a:solid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8B1-4A46-92A6-4812960FE050}"/>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08B1-4A46-92A6-4812960FE050}"/>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08B1-4A46-92A6-4812960FE050}"/>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08B1-4A46-92A6-4812960FE050}"/>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08B1-4A46-92A6-4812960FE050}"/>
                </c:ext>
              </c:extLst>
            </c:dLbl>
            <c:dLbl>
              <c:idx val="5"/>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08B1-4A46-92A6-4812960FE050}"/>
                </c:ext>
              </c:extLst>
            </c:dLbl>
            <c:dLbl>
              <c:idx val="6"/>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08B1-4A46-92A6-4812960FE050}"/>
                </c:ext>
              </c:extLst>
            </c:dLbl>
            <c:dLbl>
              <c:idx val="7"/>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08B1-4A46-92A6-4812960FE0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Graph!$E$122:$E$129</c:f>
                <c:numCache>
                  <c:formatCode>General</c:formatCode>
                  <c:ptCount val="8"/>
                  <c:pt idx="0">
                    <c:v>13.814774699574365</c:v>
                  </c:pt>
                  <c:pt idx="1">
                    <c:v>18.57654435033599</c:v>
                  </c:pt>
                  <c:pt idx="2">
                    <c:v>36.42131244203042</c:v>
                  </c:pt>
                  <c:pt idx="3">
                    <c:v>19.108950782290478</c:v>
                  </c:pt>
                  <c:pt idx="4">
                    <c:v>29.026975706073049</c:v>
                  </c:pt>
                  <c:pt idx="5">
                    <c:v>27.700397109066859</c:v>
                  </c:pt>
                  <c:pt idx="6">
                    <c:v>27.68261016266014</c:v>
                  </c:pt>
                  <c:pt idx="7">
                    <c:v>27.620108989092159</c:v>
                  </c:pt>
                </c:numCache>
              </c:numRef>
            </c:plus>
            <c:minus>
              <c:numRef>
                <c:f>Graph!$E$122:$E$129</c:f>
                <c:numCache>
                  <c:formatCode>General</c:formatCode>
                  <c:ptCount val="8"/>
                  <c:pt idx="0">
                    <c:v>13.814774699574365</c:v>
                  </c:pt>
                  <c:pt idx="1">
                    <c:v>18.57654435033599</c:v>
                  </c:pt>
                  <c:pt idx="2">
                    <c:v>36.42131244203042</c:v>
                  </c:pt>
                  <c:pt idx="3">
                    <c:v>19.108950782290478</c:v>
                  </c:pt>
                  <c:pt idx="4">
                    <c:v>29.026975706073049</c:v>
                  </c:pt>
                  <c:pt idx="5">
                    <c:v>27.700397109066859</c:v>
                  </c:pt>
                  <c:pt idx="6">
                    <c:v>27.68261016266014</c:v>
                  </c:pt>
                  <c:pt idx="7">
                    <c:v>27.620108989092159</c:v>
                  </c:pt>
                </c:numCache>
              </c:numRef>
            </c:minus>
            <c:spPr>
              <a:noFill/>
              <a:ln w="9525" cap="flat" cmpd="sng" algn="ctr">
                <a:solidFill>
                  <a:schemeClr val="tx1">
                    <a:lumMod val="65000"/>
                    <a:lumOff val="35000"/>
                  </a:schemeClr>
                </a:solidFill>
                <a:round/>
              </a:ln>
              <a:effectLst/>
            </c:spPr>
          </c:errBars>
          <c:cat>
            <c:strRef>
              <c:f>Graph!$A$122:$A$129</c:f>
              <c:strCache>
                <c:ptCount val="8"/>
                <c:pt idx="0">
                  <c:v>Bitter Gourd</c:v>
                </c:pt>
                <c:pt idx="1">
                  <c:v>Bottle Gourd</c:v>
                </c:pt>
                <c:pt idx="2">
                  <c:v>Brinjal</c:v>
                </c:pt>
                <c:pt idx="3">
                  <c:v>Cabbage</c:v>
                </c:pt>
                <c:pt idx="4">
                  <c:v>Cauliflower</c:v>
                </c:pt>
                <c:pt idx="5">
                  <c:v>Chili</c:v>
                </c:pt>
                <c:pt idx="6">
                  <c:v>Country Beans</c:v>
                </c:pt>
                <c:pt idx="7">
                  <c:v>Tomato</c:v>
                </c:pt>
              </c:strCache>
            </c:strRef>
          </c:cat>
          <c:val>
            <c:numRef>
              <c:f>Graph!$C$122:$C$129</c:f>
              <c:numCache>
                <c:formatCode>0</c:formatCode>
                <c:ptCount val="8"/>
                <c:pt idx="0">
                  <c:v>1254.5999999999999</c:v>
                </c:pt>
                <c:pt idx="1">
                  <c:v>1510.6</c:v>
                </c:pt>
                <c:pt idx="2">
                  <c:v>1370.2</c:v>
                </c:pt>
                <c:pt idx="3">
                  <c:v>999.8</c:v>
                </c:pt>
                <c:pt idx="4">
                  <c:v>991</c:v>
                </c:pt>
                <c:pt idx="5">
                  <c:v>1405.8</c:v>
                </c:pt>
                <c:pt idx="6">
                  <c:v>1311.2121212121212</c:v>
                </c:pt>
                <c:pt idx="7">
                  <c:v>1442.078787878788</c:v>
                </c:pt>
              </c:numCache>
            </c:numRef>
          </c:val>
          <c:extLst>
            <c:ext xmlns:c16="http://schemas.microsoft.com/office/drawing/2014/chart" uri="{C3380CC4-5D6E-409C-BE32-E72D297353CC}">
              <c16:uniqueId val="{00000011-08B1-4A46-92A6-4812960FE050}"/>
            </c:ext>
          </c:extLst>
        </c:ser>
        <c:dLbls>
          <c:dLblPos val="outEnd"/>
          <c:showLegendKey val="0"/>
          <c:showVal val="1"/>
          <c:showCatName val="0"/>
          <c:showSerName val="0"/>
          <c:showPercent val="0"/>
          <c:showBubbleSize val="0"/>
        </c:dLbls>
        <c:gapWidth val="219"/>
        <c:axId val="1826935888"/>
        <c:axId val="1826932048"/>
      </c:barChart>
      <c:catAx>
        <c:axId val="1826935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Arial" panose="020B0604020202020204" pitchFamily="34" charset="0"/>
                    <a:cs typeface="Arial" panose="020B0604020202020204" pitchFamily="34" charset="0"/>
                  </a:rPr>
                  <a:t>Vegetables</a:t>
                </a:r>
              </a:p>
            </c:rich>
          </c:tx>
          <c:layout>
            <c:manualLayout>
              <c:xMode val="edge"/>
              <c:yMode val="edge"/>
              <c:x val="0.41164457567804025"/>
              <c:y val="0.920347039953339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26932048"/>
        <c:crosses val="autoZero"/>
        <c:auto val="1"/>
        <c:lblAlgn val="ctr"/>
        <c:lblOffset val="100"/>
        <c:noMultiLvlLbl val="0"/>
      </c:catAx>
      <c:valAx>
        <c:axId val="1826932048"/>
        <c:scaling>
          <c:orientation val="minMax"/>
          <c:max val="18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baseline="0">
                    <a:solidFill>
                      <a:schemeClr val="tx1"/>
                    </a:solidFill>
                    <a:latin typeface="Arial" panose="020B0604020202020204" pitchFamily="34" charset="0"/>
                    <a:cs typeface="Arial" panose="020B0604020202020204" pitchFamily="34" charset="0"/>
                  </a:rPr>
                  <a:t>Total Production cost, BDT</a:t>
                </a:r>
              </a:p>
            </c:rich>
          </c:tx>
          <c:layout>
            <c:manualLayout>
              <c:xMode val="edge"/>
              <c:yMode val="edge"/>
              <c:x val="2.208223972003499E-3"/>
              <c:y val="9.534987490775639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26935888"/>
        <c:crosses val="autoZero"/>
        <c:crossBetween val="between"/>
        <c:majorUnit val="250"/>
      </c:valAx>
      <c:spPr>
        <a:noFill/>
        <a:ln>
          <a:solidFill>
            <a:schemeClr val="tx1">
              <a:lumMod val="50000"/>
              <a:lumOff val="50000"/>
            </a:schemeClr>
          </a:solidFill>
        </a:ln>
        <a:effectLst/>
      </c:spPr>
    </c:plotArea>
    <c:legend>
      <c:legendPos val="b"/>
      <c:layout>
        <c:manualLayout>
          <c:xMode val="edge"/>
          <c:yMode val="edge"/>
          <c:x val="0.67484973753280841"/>
          <c:y val="3.2624221703326607E-2"/>
          <c:w val="0.3034881889763779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47FFC-1C1B-4900-88C4-6471DC512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Pages>
  <Words>7705</Words>
  <Characters>43921</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Rahaman, Md. Arifur (CIMMYT-Bangladesh)</dc:creator>
  <cp:keywords/>
  <dc:description/>
  <cp:lastModifiedBy>Editor-90</cp:lastModifiedBy>
  <cp:revision>62</cp:revision>
  <dcterms:created xsi:type="dcterms:W3CDTF">2026-01-13T08:27:00Z</dcterms:created>
  <dcterms:modified xsi:type="dcterms:W3CDTF">2026-01-29T07:24:00Z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f8b8ebce-c30f-4860-be8b-8bce21de15e7</vt:lpwstr>
  </property>
</Properties>
</file>