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01C7" w14:textId="3BC6A1C7" w:rsidR="003D2D89" w:rsidRDefault="005F2579" w:rsidP="00C07175">
      <w:pPr>
        <w:spacing w:line="276" w:lineRule="auto"/>
        <w:jc w:val="right"/>
        <w:rPr>
          <w:rFonts w:ascii="Arial" w:hAnsi="Arial" w:cs="Arial"/>
          <w:b/>
          <w:bCs/>
          <w:sz w:val="36"/>
          <w:szCs w:val="36"/>
        </w:rPr>
      </w:pPr>
      <w:r w:rsidRPr="005F2579">
        <w:rPr>
          <w:rFonts w:ascii="Arial" w:hAnsi="Arial" w:cs="Arial"/>
          <w:b/>
          <w:bCs/>
          <w:sz w:val="36"/>
          <w:szCs w:val="36"/>
          <w:lang w:val="en-GB"/>
        </w:rPr>
        <w:t>Review Article</w:t>
      </w:r>
    </w:p>
    <w:p w14:paraId="28CD6449" w14:textId="197DA9A6" w:rsidR="009024C3" w:rsidRPr="00C07175" w:rsidRDefault="00D62C8D" w:rsidP="00C07175">
      <w:pPr>
        <w:spacing w:line="276" w:lineRule="auto"/>
        <w:jc w:val="right"/>
        <w:rPr>
          <w:rFonts w:ascii="Arial" w:hAnsi="Arial" w:cs="Arial"/>
          <w:b/>
          <w:bCs/>
          <w:sz w:val="36"/>
          <w:szCs w:val="36"/>
        </w:rPr>
      </w:pPr>
      <w:r w:rsidRPr="00C07175">
        <w:rPr>
          <w:rFonts w:ascii="Arial" w:hAnsi="Arial" w:cs="Arial"/>
          <w:b/>
          <w:bCs/>
          <w:sz w:val="36"/>
          <w:szCs w:val="36"/>
        </w:rPr>
        <w:t>Two Roads to Gene Discovery: A Comprehensive Review of Forward and Reverse Genetics</w:t>
      </w:r>
    </w:p>
    <w:p w14:paraId="73228E63" w14:textId="77777777" w:rsidR="002D3810" w:rsidRPr="00C07175" w:rsidRDefault="002D3810" w:rsidP="00C07175">
      <w:pPr>
        <w:spacing w:line="276" w:lineRule="auto"/>
        <w:jc w:val="right"/>
        <w:rPr>
          <w:rFonts w:ascii="Arial" w:hAnsi="Arial" w:cs="Arial"/>
        </w:rPr>
      </w:pPr>
    </w:p>
    <w:p w14:paraId="6C61801C" w14:textId="45B04F3E" w:rsidR="00E04623" w:rsidRPr="00C07175" w:rsidRDefault="00F025BC" w:rsidP="00C07175">
      <w:pPr>
        <w:spacing w:line="360" w:lineRule="auto"/>
        <w:jc w:val="both"/>
        <w:rPr>
          <w:rFonts w:ascii="Arial" w:hAnsi="Arial" w:cs="Arial"/>
        </w:rPr>
      </w:pPr>
      <w:r w:rsidRPr="00C07175">
        <w:rPr>
          <w:rFonts w:ascii="Arial" w:hAnsi="Arial" w:cs="Arial"/>
          <w:b/>
          <w:bCs/>
          <w:i/>
          <w:iCs/>
        </w:rPr>
        <w:t>Abstract.</w:t>
      </w:r>
      <w:r w:rsidRPr="00C07175">
        <w:rPr>
          <w:rFonts w:ascii="Arial" w:hAnsi="Arial" w:cs="Arial"/>
        </w:rPr>
        <w:t xml:space="preserve"> </w:t>
      </w:r>
      <w:r w:rsidR="00E04623" w:rsidRPr="00C07175">
        <w:rPr>
          <w:rFonts w:ascii="Arial" w:hAnsi="Arial" w:cs="Arial"/>
        </w:rPr>
        <w:t xml:space="preserve">The advancement of genomics has reshaped the process of gene discovery, integrating both forward and reverse genetic strategies to elucidate gene function and regulation. </w:t>
      </w:r>
      <w:commentRangeStart w:id="0"/>
      <w:r w:rsidR="00E04623" w:rsidRPr="00C07175">
        <w:rPr>
          <w:rFonts w:ascii="Arial" w:hAnsi="Arial" w:cs="Arial"/>
        </w:rPr>
        <w:t>Forward</w:t>
      </w:r>
      <w:commentRangeEnd w:id="0"/>
      <w:r w:rsidR="000D1A0F" w:rsidRPr="00C07175">
        <w:rPr>
          <w:rStyle w:val="CommentReference"/>
          <w:rFonts w:ascii="Arial" w:hAnsi="Arial" w:cs="Arial"/>
          <w:sz w:val="22"/>
          <w:szCs w:val="22"/>
        </w:rPr>
        <w:commentReference w:id="0"/>
      </w:r>
      <w:r w:rsidR="00E04623" w:rsidRPr="00C07175">
        <w:rPr>
          <w:rFonts w:ascii="Arial" w:hAnsi="Arial" w:cs="Arial"/>
        </w:rPr>
        <w:t xml:space="preserve"> genetics progresses from phenotype to genotype, identifying genes responsible for specific traits through mutagenesis, phenotypic screening, and mapping techniques such as QTL analysis and positional cloning. In contrast, reverse genetics begins with a known gene sequence and determines its function through targeted alterations using approaches like TILLING, EcoTILLING, RNA interference (RNAi), virus-induced gene silencing (VIGS), and homologous recombination. Recent developments in genome-editing technologies, including zinc finger nucleases (ZFNs), transcription activator-like effector nucleases (TALENs), and the CRISPR/Cas system, have enabled precise, efficient, and cost-effective genetic modifications. Each approach offers distinct advantages and limitations, depending on species, research objectives, and available resources. The convergence of forward and reverse genetics, coupled with next-generation sequencing and bioinformatics, provides an integrated framework for functional genomics, enabling rapid identification, validation, and manipulation of genes associated with desirable agronomic traits, thereby accelerating plant breeding and crop improvement.</w:t>
      </w:r>
    </w:p>
    <w:p w14:paraId="7D54DCBC" w14:textId="729864E8" w:rsidR="00B75694" w:rsidRPr="00C07175" w:rsidRDefault="00E04623" w:rsidP="00C07175">
      <w:pPr>
        <w:spacing w:line="360" w:lineRule="auto"/>
        <w:jc w:val="both"/>
        <w:rPr>
          <w:rFonts w:ascii="Arial" w:hAnsi="Arial" w:cs="Arial"/>
        </w:rPr>
      </w:pPr>
      <w:r w:rsidRPr="00C07175">
        <w:rPr>
          <w:rFonts w:ascii="Arial" w:hAnsi="Arial" w:cs="Arial"/>
          <w:b/>
          <w:bCs/>
          <w:i/>
          <w:iCs/>
        </w:rPr>
        <w:t>Keywords</w:t>
      </w:r>
      <w:r w:rsidRPr="00C07175">
        <w:rPr>
          <w:rFonts w:ascii="Arial" w:hAnsi="Arial" w:cs="Arial"/>
          <w:i/>
          <w:iCs/>
        </w:rPr>
        <w:t xml:space="preserve"> :</w:t>
      </w:r>
      <w:r w:rsidRPr="00C07175">
        <w:rPr>
          <w:rFonts w:ascii="Arial" w:hAnsi="Arial" w:cs="Arial"/>
        </w:rPr>
        <w:t xml:space="preserve"> Forward genetics</w:t>
      </w:r>
      <w:r w:rsidR="00D92D0B" w:rsidRPr="00C07175">
        <w:rPr>
          <w:rFonts w:ascii="Arial" w:hAnsi="Arial" w:cs="Arial"/>
        </w:rPr>
        <w:t>;</w:t>
      </w:r>
      <w:r w:rsidRPr="00C07175">
        <w:rPr>
          <w:rFonts w:ascii="Arial" w:hAnsi="Arial" w:cs="Arial"/>
        </w:rPr>
        <w:t xml:space="preserve"> Reverse genetics</w:t>
      </w:r>
      <w:r w:rsidR="00D92D0B" w:rsidRPr="00C07175">
        <w:rPr>
          <w:rFonts w:ascii="Arial" w:hAnsi="Arial" w:cs="Arial"/>
        </w:rPr>
        <w:t xml:space="preserve">; </w:t>
      </w:r>
      <w:r w:rsidRPr="00C07175">
        <w:rPr>
          <w:rFonts w:ascii="Arial" w:hAnsi="Arial" w:cs="Arial"/>
        </w:rPr>
        <w:t>Crop improvement</w:t>
      </w:r>
      <w:r w:rsidR="00D92D0B" w:rsidRPr="00C07175">
        <w:rPr>
          <w:rFonts w:ascii="Arial" w:hAnsi="Arial" w:cs="Arial"/>
        </w:rPr>
        <w:t xml:space="preserve">; </w:t>
      </w:r>
      <w:r w:rsidRPr="00C07175">
        <w:rPr>
          <w:rFonts w:ascii="Arial" w:hAnsi="Arial" w:cs="Arial"/>
        </w:rPr>
        <w:t>Genome sequencing</w:t>
      </w:r>
      <w:r w:rsidR="00D92D0B" w:rsidRPr="00C07175">
        <w:rPr>
          <w:rFonts w:ascii="Arial" w:hAnsi="Arial" w:cs="Arial"/>
        </w:rPr>
        <w:t xml:space="preserve">; </w:t>
      </w:r>
      <w:r w:rsidRPr="00C07175">
        <w:rPr>
          <w:rFonts w:ascii="Arial" w:hAnsi="Arial" w:cs="Arial"/>
        </w:rPr>
        <w:t>QTLs</w:t>
      </w:r>
    </w:p>
    <w:p w14:paraId="65EED566" w14:textId="127BE92B" w:rsidR="00EE393D" w:rsidRPr="00C07175" w:rsidRDefault="00C07175" w:rsidP="00C07175">
      <w:pPr>
        <w:pStyle w:val="ListParagraph"/>
        <w:numPr>
          <w:ilvl w:val="0"/>
          <w:numId w:val="16"/>
        </w:numPr>
        <w:spacing w:line="360" w:lineRule="auto"/>
        <w:rPr>
          <w:rFonts w:ascii="Arial" w:hAnsi="Arial" w:cs="Arial"/>
          <w:b/>
          <w:bCs/>
          <w:sz w:val="22"/>
          <w:szCs w:val="22"/>
        </w:rPr>
      </w:pPr>
      <w:r w:rsidRPr="00C07175">
        <w:rPr>
          <w:rFonts w:ascii="Arial" w:hAnsi="Arial" w:cs="Arial"/>
          <w:b/>
          <w:bCs/>
          <w:sz w:val="22"/>
          <w:szCs w:val="22"/>
        </w:rPr>
        <w:t>INTRODUCTION</w:t>
      </w:r>
    </w:p>
    <w:p w14:paraId="4FBD1AC3" w14:textId="2F7550F6" w:rsidR="006478EC" w:rsidRPr="00C07175" w:rsidRDefault="00D62C8D" w:rsidP="00F025BC">
      <w:pPr>
        <w:spacing w:line="360" w:lineRule="auto"/>
        <w:jc w:val="both"/>
        <w:rPr>
          <w:rFonts w:ascii="Arial" w:hAnsi="Arial" w:cs="Arial"/>
        </w:rPr>
      </w:pPr>
      <w:r>
        <w:rPr>
          <w:rFonts w:asciiTheme="majorBidi" w:hAnsiTheme="majorBidi" w:cstheme="majorBidi"/>
          <w:sz w:val="24"/>
          <w:szCs w:val="24"/>
        </w:rPr>
        <w:tab/>
      </w:r>
      <w:r w:rsidR="006478EC" w:rsidRPr="00C07175">
        <w:rPr>
          <w:rFonts w:ascii="Arial" w:hAnsi="Arial" w:cs="Arial"/>
        </w:rPr>
        <w:t xml:space="preserve">Genomics is changing the way of genetics is performed globally, i.e. high-throughput approaches which are applied to both forward and reverse genetics. </w:t>
      </w:r>
      <w:r w:rsidR="00EE393D" w:rsidRPr="00C07175">
        <w:rPr>
          <w:rFonts w:ascii="Arial" w:hAnsi="Arial" w:cs="Arial"/>
        </w:rPr>
        <w:t xml:space="preserve">Forward genetics (or a forward genetic screen) is an approach used to identify genes (or set of genes) responsible for a particular phenotype of an organism. Forward genetics seeks to find the genetic basis of a phenotype or trait, reverse genetics seeks to find what phenotypes arise as a result of particular genetic sequences. Forward and reverse genetics both approaches begin with the development of a suitable mutagenized population. Mutagenesis of multicellular tissues such as seeds result in the first generation (termed M1) being a genetic mosaic because each cell carries unique mutations. Traditional or forward genetics involves a phenotypic evaluation and selection of novel plant genotypes. Plants with phenotypic characteristics can be incorporated </w:t>
      </w:r>
      <w:r w:rsidR="00EE393D" w:rsidRPr="00C07175">
        <w:rPr>
          <w:rFonts w:ascii="Arial" w:hAnsi="Arial" w:cs="Arial"/>
        </w:rPr>
        <w:lastRenderedPageBreak/>
        <w:t>immediately in to breeding programs and when desired, the mutation causing the phenotype can be cloned to understand the function of genes and to produce a perfect genetic marker.</w:t>
      </w:r>
    </w:p>
    <w:p w14:paraId="71DA28DD" w14:textId="3BA517E6" w:rsidR="006478EC" w:rsidRPr="00C07175" w:rsidRDefault="00EE393D" w:rsidP="00F025BC">
      <w:pPr>
        <w:spacing w:before="240" w:line="360" w:lineRule="auto"/>
        <w:jc w:val="both"/>
        <w:rPr>
          <w:rFonts w:ascii="Arial" w:hAnsi="Arial" w:cs="Arial"/>
        </w:rPr>
      </w:pPr>
      <w:r w:rsidRPr="00C07175">
        <w:rPr>
          <w:rFonts w:ascii="Arial" w:hAnsi="Arial" w:cs="Arial"/>
        </w:rPr>
        <w:t>In genetics, mutants play a crucial role. In traditional or "forward" genetics, mutants are initially recognized by their distinct appearances or traits—known as phenotypes—whether these mutants occur naturally or are induced artificially. This approach, which essentially moves from observing the phenotype to identifying the corresponding gene, has been a key research area for over a century. Throughout the twentieth century, extensive collections of spontaneous or induced mutants in various species have been gathered. Despite advancements, identifying the specific genes responsible for phenotypes, such as those associated with complex human diseases, continues to be a challenging objective.</w:t>
      </w:r>
    </w:p>
    <w:p w14:paraId="349F959B" w14:textId="77777777" w:rsidR="00D92D0B" w:rsidRDefault="00D92D0B" w:rsidP="00F025BC">
      <w:pPr>
        <w:spacing w:line="360" w:lineRule="auto"/>
        <w:jc w:val="center"/>
        <w:rPr>
          <w:rFonts w:asciiTheme="majorBidi" w:hAnsiTheme="majorBidi" w:cstheme="majorBidi"/>
          <w:b/>
          <w:bCs/>
          <w:sz w:val="24"/>
          <w:szCs w:val="24"/>
        </w:rPr>
      </w:pPr>
    </w:p>
    <w:p w14:paraId="4E4F5EDF" w14:textId="00B87BA6" w:rsidR="004B50C9" w:rsidRPr="00C07175" w:rsidRDefault="00C07175" w:rsidP="00C07175">
      <w:pPr>
        <w:pStyle w:val="ListParagraph"/>
        <w:numPr>
          <w:ilvl w:val="0"/>
          <w:numId w:val="16"/>
        </w:numPr>
        <w:spacing w:line="360" w:lineRule="auto"/>
        <w:rPr>
          <w:rFonts w:ascii="Arial" w:hAnsi="Arial" w:cs="Arial"/>
          <w:b/>
          <w:bCs/>
          <w:sz w:val="22"/>
          <w:szCs w:val="22"/>
        </w:rPr>
      </w:pPr>
      <w:r w:rsidRPr="00C07175">
        <w:rPr>
          <w:rFonts w:ascii="Arial" w:hAnsi="Arial" w:cs="Arial"/>
          <w:b/>
          <w:bCs/>
          <w:sz w:val="22"/>
          <w:szCs w:val="22"/>
        </w:rPr>
        <w:t>FORWARD GENETIC APPROACHES</w:t>
      </w:r>
    </w:p>
    <w:p w14:paraId="55F75F29" w14:textId="77777777" w:rsidR="004B50C9" w:rsidRPr="00C07175" w:rsidRDefault="004B50C9" w:rsidP="00F025BC">
      <w:pPr>
        <w:numPr>
          <w:ilvl w:val="0"/>
          <w:numId w:val="10"/>
        </w:numPr>
        <w:spacing w:line="360" w:lineRule="auto"/>
        <w:jc w:val="both"/>
        <w:rPr>
          <w:rFonts w:ascii="Arial" w:hAnsi="Arial" w:cs="Arial"/>
        </w:rPr>
      </w:pPr>
      <w:r w:rsidRPr="00C07175">
        <w:rPr>
          <w:rFonts w:ascii="Arial" w:hAnsi="Arial" w:cs="Arial"/>
        </w:rPr>
        <w:t>This traditional method for studying gene function starts with observing a phenotype (a mutant organism) and then works towards identifying the gene responsible for that phenotype.</w:t>
      </w:r>
    </w:p>
    <w:p w14:paraId="3E926BB9" w14:textId="0C82A0E2" w:rsidR="00163742" w:rsidRPr="00C07175" w:rsidRDefault="004B50C9" w:rsidP="00F025BC">
      <w:pPr>
        <w:numPr>
          <w:ilvl w:val="0"/>
          <w:numId w:val="10"/>
        </w:numPr>
        <w:spacing w:line="360" w:lineRule="auto"/>
        <w:jc w:val="both"/>
        <w:rPr>
          <w:rFonts w:ascii="Arial" w:hAnsi="Arial" w:cs="Arial"/>
        </w:rPr>
      </w:pPr>
      <w:r w:rsidRPr="00C07175">
        <w:rPr>
          <w:rFonts w:ascii="Arial" w:hAnsi="Arial" w:cs="Arial"/>
        </w:rPr>
        <w:t>It relies on the identification and isolation of random mutations that impact the phenotype of interest.</w:t>
      </w:r>
    </w:p>
    <w:p w14:paraId="40A683F8" w14:textId="11FAE3B1" w:rsidR="004B50C9" w:rsidRPr="00C07175" w:rsidRDefault="004B50C9" w:rsidP="00F025BC">
      <w:pPr>
        <w:spacing w:line="360" w:lineRule="auto"/>
        <w:rPr>
          <w:rFonts w:ascii="Arial" w:hAnsi="Arial" w:cs="Arial"/>
        </w:rPr>
      </w:pPr>
      <w:r w:rsidRPr="00C07175">
        <w:rPr>
          <w:rFonts w:ascii="Arial" w:hAnsi="Arial" w:cs="Arial"/>
        </w:rPr>
        <w:t xml:space="preserve">According to Zakhrabekovaa </w:t>
      </w:r>
      <w:r w:rsidR="006B78DD" w:rsidRPr="006B78DD">
        <w:rPr>
          <w:rFonts w:ascii="Arial" w:hAnsi="Arial" w:cs="Arial"/>
          <w:i/>
          <w:iCs/>
        </w:rPr>
        <w:t>et al.,</w:t>
      </w:r>
      <w:r w:rsidRPr="00C07175">
        <w:rPr>
          <w:rFonts w:ascii="Arial" w:hAnsi="Arial" w:cs="Arial"/>
        </w:rPr>
        <w:t xml:space="preserve"> (2013), the process of forward genetics has three steps </w:t>
      </w:r>
    </w:p>
    <w:p w14:paraId="4F21A918" w14:textId="77777777" w:rsidR="004B50C9" w:rsidRPr="00C07175" w:rsidRDefault="004B50C9" w:rsidP="00F025BC">
      <w:pPr>
        <w:spacing w:line="360" w:lineRule="auto"/>
        <w:rPr>
          <w:rFonts w:ascii="Arial" w:hAnsi="Arial" w:cs="Arial"/>
        </w:rPr>
      </w:pPr>
      <w:r w:rsidRPr="00C07175">
        <w:rPr>
          <w:rFonts w:ascii="Arial" w:hAnsi="Arial" w:cs="Arial"/>
        </w:rPr>
        <w:t>1) Getting mutants (could be natural variation or induce mutations).</w:t>
      </w:r>
    </w:p>
    <w:p w14:paraId="5960DC0D" w14:textId="77777777" w:rsidR="004B50C9" w:rsidRPr="00C07175" w:rsidRDefault="004B50C9" w:rsidP="00F025BC">
      <w:pPr>
        <w:spacing w:line="360" w:lineRule="auto"/>
        <w:rPr>
          <w:rFonts w:ascii="Arial" w:hAnsi="Arial" w:cs="Arial"/>
        </w:rPr>
      </w:pPr>
      <w:r w:rsidRPr="00C07175">
        <w:rPr>
          <w:rFonts w:ascii="Arial" w:hAnsi="Arial" w:cs="Arial"/>
        </w:rPr>
        <w:t>2) Selecting phenotype.</w:t>
      </w:r>
    </w:p>
    <w:p w14:paraId="00DCFA8A" w14:textId="2146A33C" w:rsidR="00163742" w:rsidRPr="00C07175" w:rsidRDefault="004B50C9" w:rsidP="00744EBA">
      <w:pPr>
        <w:spacing w:line="360" w:lineRule="auto"/>
        <w:jc w:val="both"/>
        <w:rPr>
          <w:rFonts w:ascii="Arial" w:hAnsi="Arial" w:cs="Arial"/>
        </w:rPr>
      </w:pPr>
      <w:r w:rsidRPr="00C07175">
        <w:rPr>
          <w:rFonts w:ascii="Arial" w:hAnsi="Arial" w:cs="Arial"/>
        </w:rPr>
        <w:t>3) Identifying the gene and its function.</w:t>
      </w:r>
    </w:p>
    <w:p w14:paraId="26DEC0F4" w14:textId="3D3A4E5C" w:rsidR="004B50C9" w:rsidRPr="00C07175" w:rsidRDefault="004B50C9" w:rsidP="00F025BC">
      <w:pPr>
        <w:spacing w:line="360" w:lineRule="auto"/>
        <w:rPr>
          <w:rFonts w:ascii="Arial" w:hAnsi="Arial" w:cs="Arial"/>
        </w:rPr>
      </w:pPr>
      <w:r w:rsidRPr="00C07175">
        <w:rPr>
          <w:rFonts w:ascii="Arial" w:hAnsi="Arial" w:cs="Arial"/>
        </w:rPr>
        <w:t xml:space="preserve">Two types of mutations were majorly used in the forward mutation </w:t>
      </w:r>
    </w:p>
    <w:p w14:paraId="215A0B24" w14:textId="4CE97821" w:rsidR="004B50C9" w:rsidRPr="00C07175" w:rsidRDefault="004B50C9" w:rsidP="00F025BC">
      <w:pPr>
        <w:pStyle w:val="ListParagraph"/>
        <w:numPr>
          <w:ilvl w:val="0"/>
          <w:numId w:val="11"/>
        </w:numPr>
        <w:spacing w:line="360" w:lineRule="auto"/>
        <w:jc w:val="both"/>
        <w:rPr>
          <w:rFonts w:ascii="Arial" w:hAnsi="Arial" w:cs="Arial"/>
          <w:sz w:val="22"/>
          <w:szCs w:val="22"/>
        </w:rPr>
      </w:pPr>
      <w:r w:rsidRPr="00C07175">
        <w:rPr>
          <w:rFonts w:ascii="Arial" w:hAnsi="Arial" w:cs="Arial"/>
          <w:sz w:val="22"/>
          <w:szCs w:val="22"/>
        </w:rPr>
        <w:t>Spontaneous mutation</w:t>
      </w:r>
    </w:p>
    <w:p w14:paraId="6741D434" w14:textId="7B1B2ECA" w:rsidR="004B50C9" w:rsidRPr="00C07175" w:rsidRDefault="004B50C9" w:rsidP="00F025BC">
      <w:pPr>
        <w:pStyle w:val="ListParagraph"/>
        <w:numPr>
          <w:ilvl w:val="0"/>
          <w:numId w:val="11"/>
        </w:numPr>
        <w:spacing w:line="360" w:lineRule="auto"/>
        <w:jc w:val="both"/>
        <w:rPr>
          <w:rFonts w:ascii="Arial" w:hAnsi="Arial" w:cs="Arial"/>
          <w:sz w:val="22"/>
          <w:szCs w:val="22"/>
        </w:rPr>
      </w:pPr>
      <w:r w:rsidRPr="00C07175">
        <w:rPr>
          <w:rFonts w:ascii="Arial" w:hAnsi="Arial" w:cs="Arial"/>
          <w:sz w:val="22"/>
          <w:szCs w:val="22"/>
        </w:rPr>
        <w:t xml:space="preserve">Induced mutation </w:t>
      </w:r>
    </w:p>
    <w:p w14:paraId="3DEE16F0" w14:textId="62187E54" w:rsidR="00163742" w:rsidRPr="00C07175" w:rsidRDefault="004B50C9" w:rsidP="00F025BC">
      <w:pPr>
        <w:spacing w:line="360" w:lineRule="auto"/>
        <w:ind w:firstLine="360"/>
        <w:jc w:val="both"/>
        <w:rPr>
          <w:rFonts w:ascii="Arial" w:hAnsi="Arial" w:cs="Arial"/>
        </w:rPr>
      </w:pPr>
      <w:r w:rsidRPr="00C07175">
        <w:rPr>
          <w:rFonts w:ascii="Arial" w:hAnsi="Arial" w:cs="Arial"/>
        </w:rPr>
        <w:t xml:space="preserve">Inheritable changes in the DNA sequence that occur due to replication errors or exposure to mutagens are known as mutations. These mutations are a key driver of genetic variation and evolution in organisms. Methods to induce mutations include the use of chemical, physical, or biological agents (Mba </w:t>
      </w:r>
      <w:r w:rsidR="006B78DD" w:rsidRPr="006B78DD">
        <w:rPr>
          <w:rFonts w:ascii="Arial" w:hAnsi="Arial" w:cs="Arial"/>
          <w:i/>
          <w:iCs/>
        </w:rPr>
        <w:t>et al.,</w:t>
      </w:r>
      <w:r w:rsidRPr="00C07175">
        <w:rPr>
          <w:rFonts w:ascii="Arial" w:hAnsi="Arial" w:cs="Arial"/>
        </w:rPr>
        <w:t xml:space="preserve"> 2010). Chemical mutagens include N-methyl-N-nitrosourea (MNU), sodium azide, hydrogen fluoride (HF), methyl methane sulfonate (MMS), and ethyl methane sulfonate (EMS). Physical mutagens encompass fast neutron radiation, UV radiation, and X-rays. Important biological mutagens include Agrobacterium and transposon-based chromosomal integration (Krishnan </w:t>
      </w:r>
      <w:r w:rsidR="006B78DD" w:rsidRPr="006B78DD">
        <w:rPr>
          <w:rFonts w:ascii="Arial" w:hAnsi="Arial" w:cs="Arial"/>
          <w:i/>
          <w:iCs/>
        </w:rPr>
        <w:t>et al.,</w:t>
      </w:r>
      <w:r w:rsidRPr="00C07175">
        <w:rPr>
          <w:rFonts w:ascii="Arial" w:hAnsi="Arial" w:cs="Arial"/>
        </w:rPr>
        <w:t xml:space="preserve"> 2009)</w:t>
      </w:r>
    </w:p>
    <w:p w14:paraId="67DE3D31" w14:textId="23DBCBCF" w:rsidR="000252EE" w:rsidRPr="00E72F3A" w:rsidRDefault="00D92D0B" w:rsidP="00F025BC">
      <w:pPr>
        <w:spacing w:line="360" w:lineRule="auto"/>
        <w:jc w:val="both"/>
        <w:rPr>
          <w:rFonts w:ascii="Arial" w:hAnsi="Arial" w:cs="Arial"/>
          <w:b/>
          <w:bCs/>
        </w:rPr>
      </w:pPr>
      <w:r w:rsidRPr="00E72F3A">
        <w:rPr>
          <w:rFonts w:ascii="Arial" w:hAnsi="Arial" w:cs="Arial"/>
          <w:b/>
          <w:bCs/>
        </w:rPr>
        <w:lastRenderedPageBreak/>
        <w:t>2.1.</w:t>
      </w:r>
      <w:r w:rsidR="0071629D" w:rsidRPr="00E72F3A">
        <w:rPr>
          <w:rFonts w:ascii="Arial" w:hAnsi="Arial" w:cs="Arial"/>
          <w:b/>
          <w:bCs/>
        </w:rPr>
        <w:t xml:space="preserve">QTL mapping </w:t>
      </w:r>
    </w:p>
    <w:p w14:paraId="73C2C173" w14:textId="77777777" w:rsidR="00744EBA" w:rsidRPr="00C07175" w:rsidRDefault="00D62C8D" w:rsidP="00F025BC">
      <w:pPr>
        <w:spacing w:line="360" w:lineRule="auto"/>
        <w:jc w:val="both"/>
        <w:rPr>
          <w:rFonts w:ascii="Arial" w:hAnsi="Arial" w:cs="Arial"/>
        </w:rPr>
      </w:pPr>
      <w:r w:rsidRPr="00C07175">
        <w:rPr>
          <w:rFonts w:ascii="Arial" w:hAnsi="Arial" w:cs="Arial"/>
          <w:lang w:val="en-US"/>
        </w:rPr>
        <w:tab/>
      </w:r>
      <w:r w:rsidR="0071629D" w:rsidRPr="00C07175">
        <w:rPr>
          <w:rFonts w:ascii="Arial" w:hAnsi="Arial" w:cs="Arial"/>
          <w:lang w:val="en-US"/>
        </w:rPr>
        <w:t>QTL is that region of the genome that is associated with an effect on a quantitative trait and it can be a single gene, or it may be a cluster of linked genes</w:t>
      </w:r>
      <w:r w:rsidR="0071629D" w:rsidRPr="00C07175">
        <w:rPr>
          <w:rFonts w:ascii="Arial" w:hAnsi="Arial" w:cs="Arial"/>
        </w:rPr>
        <w:t xml:space="preserve"> that affect the trait.</w:t>
      </w:r>
      <w:r w:rsidR="0071629D" w:rsidRPr="00C07175">
        <w:rPr>
          <w:rFonts w:ascii="Arial" w:eastAsiaTheme="minorEastAsia" w:hAnsi="Arial" w:cs="Arial"/>
          <w:color w:val="000000" w:themeColor="text1"/>
          <w:kern w:val="24"/>
          <w:lang w:val="en-US" w:eastAsia="en-IN"/>
          <w14:ligatures w14:val="none"/>
        </w:rPr>
        <w:t xml:space="preserve"> </w:t>
      </w:r>
      <w:r w:rsidR="0071629D" w:rsidRPr="00C07175">
        <w:rPr>
          <w:rFonts w:ascii="Arial" w:hAnsi="Arial" w:cs="Arial"/>
          <w:lang w:val="en-US"/>
        </w:rPr>
        <w:t>Quantitative Trait Locus (QTL) analysis, a description of the number, genetic effects</w:t>
      </w:r>
      <w:r w:rsidR="00B27F69" w:rsidRPr="00C07175">
        <w:rPr>
          <w:rFonts w:ascii="Arial" w:hAnsi="Arial" w:cs="Arial"/>
          <w:lang w:val="en-US"/>
        </w:rPr>
        <w:t xml:space="preserve"> </w:t>
      </w:r>
      <w:r w:rsidR="0071629D" w:rsidRPr="00C07175">
        <w:rPr>
          <w:rFonts w:ascii="Arial" w:hAnsi="Arial" w:cs="Arial"/>
          <w:lang w:val="en-US"/>
        </w:rPr>
        <w:t>and chromosomal positions for genes underlying many agronomic traits have been obtained. QTL analysis can be a powerful complementary technology with genomics to “discover” and isolate the genes of interest. The QTL map is the correlation of genotypic data of individuals from mapping population with phenotypic information.</w:t>
      </w:r>
      <w:r w:rsidR="0071629D" w:rsidRPr="00C07175">
        <w:rPr>
          <w:rFonts w:ascii="Arial" w:hAnsi="Arial" w:cs="Arial"/>
        </w:rPr>
        <w:t xml:space="preserve"> It is not easy to do this analysis manually and so with the help of the computer and a software it is done.</w:t>
      </w:r>
      <w:r w:rsidR="00B27F69" w:rsidRPr="00C07175">
        <w:rPr>
          <w:rFonts w:ascii="Arial" w:hAnsi="Arial" w:cs="Arial"/>
        </w:rPr>
        <w:t xml:space="preserve"> </w:t>
      </w:r>
    </w:p>
    <w:p w14:paraId="58D9E5F6" w14:textId="6A783999" w:rsidR="0021181D" w:rsidRPr="00C07175" w:rsidRDefault="0021181D" w:rsidP="00F025BC">
      <w:pPr>
        <w:spacing w:line="360" w:lineRule="auto"/>
        <w:jc w:val="both"/>
        <w:rPr>
          <w:rFonts w:ascii="Arial" w:hAnsi="Arial" w:cs="Arial"/>
        </w:rPr>
      </w:pPr>
    </w:p>
    <w:p w14:paraId="6D8B205C" w14:textId="628FD6E4" w:rsidR="0071629D" w:rsidRPr="00C07175" w:rsidRDefault="0021181D" w:rsidP="00F025BC">
      <w:pPr>
        <w:spacing w:line="360" w:lineRule="auto"/>
        <w:jc w:val="both"/>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59264" behindDoc="0" locked="0" layoutInCell="1" allowOverlap="1" wp14:anchorId="27C1CBAD" wp14:editId="2DB11186">
                <wp:simplePos x="0" y="0"/>
                <wp:positionH relativeFrom="column">
                  <wp:posOffset>2933510</wp:posOffset>
                </wp:positionH>
                <wp:positionV relativeFrom="paragraph">
                  <wp:posOffset>205105</wp:posOffset>
                </wp:positionV>
                <wp:extent cx="123825" cy="276225"/>
                <wp:effectExtent l="19050" t="0" r="47625" b="47625"/>
                <wp:wrapNone/>
                <wp:docPr id="115142540"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1CB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1pt;margin-top:16.15pt;width:9.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Selection of contrasting parent </w:t>
      </w:r>
    </w:p>
    <w:p w14:paraId="22654B91" w14:textId="77777777" w:rsidR="0021181D" w:rsidRPr="00C07175" w:rsidRDefault="0021181D" w:rsidP="00F025BC">
      <w:pPr>
        <w:spacing w:line="360" w:lineRule="auto"/>
        <w:jc w:val="both"/>
        <w:rPr>
          <w:rFonts w:ascii="Arial" w:hAnsi="Arial" w:cs="Arial"/>
        </w:rPr>
      </w:pPr>
    </w:p>
    <w:p w14:paraId="18018D12" w14:textId="3737C227" w:rsidR="00B27F69" w:rsidRPr="00C07175" w:rsidRDefault="0021181D" w:rsidP="00F025BC">
      <w:pPr>
        <w:spacing w:line="360" w:lineRule="auto"/>
        <w:jc w:val="both"/>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61312" behindDoc="0" locked="0" layoutInCell="1" allowOverlap="1" wp14:anchorId="6569190B" wp14:editId="480D169E">
                <wp:simplePos x="0" y="0"/>
                <wp:positionH relativeFrom="column">
                  <wp:posOffset>2928430</wp:posOffset>
                </wp:positionH>
                <wp:positionV relativeFrom="paragraph">
                  <wp:posOffset>233680</wp:posOffset>
                </wp:positionV>
                <wp:extent cx="123825" cy="276225"/>
                <wp:effectExtent l="19050" t="0" r="47625" b="47625"/>
                <wp:wrapNone/>
                <wp:docPr id="209222490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A26D6" id="Arrow: Down 1" o:spid="_x0000_s1026" type="#_x0000_t67" style="position:absolute;margin-left:230.6pt;margin-top:18.4pt;width:9.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Development of mapping population </w:t>
      </w:r>
    </w:p>
    <w:p w14:paraId="751B3946" w14:textId="27B2D3F6" w:rsidR="0021181D" w:rsidRPr="00C07175" w:rsidRDefault="0021181D" w:rsidP="00F025BC">
      <w:pPr>
        <w:spacing w:line="360" w:lineRule="auto"/>
        <w:jc w:val="both"/>
        <w:rPr>
          <w:rFonts w:ascii="Arial" w:hAnsi="Arial" w:cs="Arial"/>
        </w:rPr>
      </w:pPr>
    </w:p>
    <w:p w14:paraId="7D4447D6" w14:textId="63E3E473" w:rsidR="00B27F69" w:rsidRPr="00C07175" w:rsidRDefault="0021181D" w:rsidP="00F025BC">
      <w:pPr>
        <w:spacing w:line="360" w:lineRule="auto"/>
        <w:jc w:val="both"/>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63360" behindDoc="0" locked="0" layoutInCell="1" allowOverlap="1" wp14:anchorId="187F9FE1" wp14:editId="5899B4C4">
                <wp:simplePos x="0" y="0"/>
                <wp:positionH relativeFrom="column">
                  <wp:posOffset>2923095</wp:posOffset>
                </wp:positionH>
                <wp:positionV relativeFrom="paragraph">
                  <wp:posOffset>290195</wp:posOffset>
                </wp:positionV>
                <wp:extent cx="123825" cy="276225"/>
                <wp:effectExtent l="19050" t="0" r="47625" b="47625"/>
                <wp:wrapNone/>
                <wp:docPr id="213355133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379CA" id="Arrow: Down 1" o:spid="_x0000_s1026" type="#_x0000_t67" style="position:absolute;margin-left:230.15pt;margin-top:22.85pt;width:9.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Phenotyping of selected progenies</w:t>
      </w:r>
    </w:p>
    <w:p w14:paraId="4944553F" w14:textId="4EAD5831" w:rsidR="0021181D" w:rsidRPr="00C07175" w:rsidRDefault="0021181D" w:rsidP="00F025BC">
      <w:pPr>
        <w:spacing w:line="360" w:lineRule="auto"/>
        <w:jc w:val="both"/>
        <w:rPr>
          <w:rFonts w:ascii="Arial" w:hAnsi="Arial" w:cs="Arial"/>
        </w:rPr>
      </w:pPr>
    </w:p>
    <w:p w14:paraId="07E5CA9B" w14:textId="5D45900D" w:rsidR="0021181D" w:rsidRPr="00C07175" w:rsidRDefault="0021181D" w:rsidP="00F025BC">
      <w:pPr>
        <w:spacing w:line="360" w:lineRule="auto"/>
        <w:jc w:val="both"/>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65408" behindDoc="0" locked="0" layoutInCell="1" allowOverlap="1" wp14:anchorId="59DFDB9E" wp14:editId="7CBC8AF0">
                <wp:simplePos x="0" y="0"/>
                <wp:positionH relativeFrom="column">
                  <wp:posOffset>2912935</wp:posOffset>
                </wp:positionH>
                <wp:positionV relativeFrom="paragraph">
                  <wp:posOffset>290195</wp:posOffset>
                </wp:positionV>
                <wp:extent cx="123825" cy="276225"/>
                <wp:effectExtent l="19050" t="0" r="47625" b="47625"/>
                <wp:wrapNone/>
                <wp:docPr id="46828590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0EFF6" id="Arrow: Down 1" o:spid="_x0000_s1026" type="#_x0000_t67" style="position:absolute;margin-left:229.35pt;margin-top:22.85pt;width:9.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Selection of suitable molecular markers for genotyping</w:t>
      </w:r>
    </w:p>
    <w:p w14:paraId="1A2DE6F5" w14:textId="2B92A5B0" w:rsidR="0071629D" w:rsidRPr="00C07175" w:rsidRDefault="00B27F69" w:rsidP="00F025BC">
      <w:pPr>
        <w:spacing w:line="360" w:lineRule="auto"/>
        <w:jc w:val="both"/>
        <w:rPr>
          <w:rFonts w:ascii="Arial" w:hAnsi="Arial" w:cs="Arial"/>
        </w:rPr>
      </w:pPr>
      <w:r w:rsidRPr="00C07175">
        <w:rPr>
          <w:rFonts w:ascii="Arial" w:hAnsi="Arial" w:cs="Arial"/>
        </w:rPr>
        <w:t xml:space="preserve"> </w:t>
      </w:r>
    </w:p>
    <w:p w14:paraId="500067B8" w14:textId="7F07926D" w:rsidR="00B27F69" w:rsidRPr="00C07175" w:rsidRDefault="0021181D" w:rsidP="00F025BC">
      <w:pPr>
        <w:spacing w:line="360" w:lineRule="auto"/>
        <w:jc w:val="both"/>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67456" behindDoc="0" locked="0" layoutInCell="1" allowOverlap="1" wp14:anchorId="3761B8CF" wp14:editId="45BA3233">
                <wp:simplePos x="0" y="0"/>
                <wp:positionH relativeFrom="column">
                  <wp:posOffset>2904045</wp:posOffset>
                </wp:positionH>
                <wp:positionV relativeFrom="paragraph">
                  <wp:posOffset>228600</wp:posOffset>
                </wp:positionV>
                <wp:extent cx="135700" cy="276225"/>
                <wp:effectExtent l="19050" t="0" r="36195" b="47625"/>
                <wp:wrapNone/>
                <wp:docPr id="841933797" name="Arrow: Down 1"/>
                <wp:cNvGraphicFramePr/>
                <a:graphic xmlns:a="http://schemas.openxmlformats.org/drawingml/2006/main">
                  <a:graphicData uri="http://schemas.microsoft.com/office/word/2010/wordprocessingShape">
                    <wps:wsp>
                      <wps:cNvSpPr/>
                      <wps:spPr>
                        <a:xfrm>
                          <a:off x="0" y="0"/>
                          <a:ext cx="135700"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BEA9A" id="Arrow: Down 1" o:spid="_x0000_s1026" type="#_x0000_t67" style="position:absolute;margin-left:228.65pt;margin-top:18pt;width:10.7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" adj="16294"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Genotyping of selected progenies </w:t>
      </w:r>
    </w:p>
    <w:p w14:paraId="62A837F9" w14:textId="77777777" w:rsidR="00744EBA" w:rsidRPr="00C07175" w:rsidRDefault="00744EBA" w:rsidP="00F025BC">
      <w:pPr>
        <w:spacing w:line="360" w:lineRule="auto"/>
        <w:jc w:val="both"/>
        <w:rPr>
          <w:rFonts w:ascii="Arial" w:hAnsi="Arial" w:cs="Arial"/>
        </w:rPr>
      </w:pPr>
    </w:p>
    <w:p w14:paraId="6603E5D3" w14:textId="1C181346" w:rsidR="00B27F69" w:rsidRPr="00C07175" w:rsidRDefault="0021181D" w:rsidP="00F025BC">
      <w:pPr>
        <w:spacing w:line="360" w:lineRule="auto"/>
        <w:jc w:val="both"/>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69504" behindDoc="0" locked="0" layoutInCell="1" allowOverlap="1" wp14:anchorId="4A279A1F" wp14:editId="159C8AE7">
                <wp:simplePos x="0" y="0"/>
                <wp:positionH relativeFrom="column">
                  <wp:posOffset>2916745</wp:posOffset>
                </wp:positionH>
                <wp:positionV relativeFrom="paragraph">
                  <wp:posOffset>290195</wp:posOffset>
                </wp:positionV>
                <wp:extent cx="123825" cy="276225"/>
                <wp:effectExtent l="19050" t="0" r="47625" b="47625"/>
                <wp:wrapNone/>
                <wp:docPr id="170510589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E64C6" id="Arrow: Down 1" o:spid="_x0000_s1026" type="#_x0000_t67" style="position:absolute;margin-left:229.65pt;margin-top:22.85pt;width:9.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Correlation between phenotypic and genotypic data using suitable mapping software </w:t>
      </w:r>
    </w:p>
    <w:p w14:paraId="4BA470FF" w14:textId="62F3E788" w:rsidR="0021181D" w:rsidRPr="00C07175" w:rsidRDefault="0021181D" w:rsidP="00F025BC">
      <w:pPr>
        <w:spacing w:line="360" w:lineRule="auto"/>
        <w:jc w:val="both"/>
        <w:rPr>
          <w:rFonts w:ascii="Arial" w:hAnsi="Arial" w:cs="Arial"/>
        </w:rPr>
      </w:pPr>
    </w:p>
    <w:p w14:paraId="0389C491" w14:textId="39F312C7" w:rsidR="00B27F69" w:rsidRPr="00C07175" w:rsidRDefault="00202283" w:rsidP="00F025BC">
      <w:pPr>
        <w:spacing w:line="360" w:lineRule="auto"/>
        <w:jc w:val="both"/>
        <w:rPr>
          <w:rFonts w:ascii="Arial" w:hAnsi="Arial" w:cs="Arial"/>
        </w:rPr>
      </w:pPr>
      <w:r w:rsidRPr="00C07175">
        <w:rPr>
          <w:rFonts w:ascii="Arial" w:hAnsi="Arial" w:cs="Arial"/>
        </w:rPr>
        <w:t xml:space="preserve">                                                      </w:t>
      </w:r>
      <w:r w:rsidR="00E81D01" w:rsidRPr="00C07175">
        <w:rPr>
          <w:rFonts w:ascii="Arial" w:hAnsi="Arial" w:cs="Arial"/>
        </w:rPr>
        <w:t xml:space="preserve">Identify and characterize </w:t>
      </w:r>
      <w:r w:rsidR="00B27F69" w:rsidRPr="00C07175">
        <w:rPr>
          <w:rFonts w:ascii="Arial" w:hAnsi="Arial" w:cs="Arial"/>
        </w:rPr>
        <w:t xml:space="preserve">QTL </w:t>
      </w:r>
    </w:p>
    <w:p w14:paraId="35FE7870" w14:textId="60A30DEA" w:rsidR="0021181D" w:rsidRPr="00CC6043" w:rsidRDefault="004504A1" w:rsidP="00F025BC">
      <w:pPr>
        <w:spacing w:line="360" w:lineRule="auto"/>
        <w:jc w:val="both"/>
        <w:rPr>
          <w:rFonts w:ascii="Arial" w:hAnsi="Arial" w:cs="Arial"/>
          <w:b/>
          <w:bCs/>
        </w:rPr>
      </w:pPr>
      <w:r>
        <w:rPr>
          <w:rFonts w:ascii="Arial" w:hAnsi="Arial" w:cs="Arial"/>
        </w:rPr>
        <w:t>Flow chart 1:</w:t>
      </w:r>
      <w:r w:rsidR="00AE6C7B">
        <w:rPr>
          <w:rFonts w:ascii="Arial" w:hAnsi="Arial" w:cs="Arial"/>
        </w:rPr>
        <w:t xml:space="preserve"> </w:t>
      </w:r>
      <w:r w:rsidR="00AE6C7B" w:rsidRPr="00CC6043">
        <w:rPr>
          <w:rFonts w:ascii="Arial" w:hAnsi="Arial" w:cs="Arial"/>
          <w:b/>
          <w:bCs/>
          <w:lang w:val="en-US"/>
        </w:rPr>
        <w:t>QTL analysis</w:t>
      </w:r>
    </w:p>
    <w:p w14:paraId="14D1C422" w14:textId="17121F98" w:rsidR="00E81D01" w:rsidRPr="00E72F3A" w:rsidRDefault="00E81D01" w:rsidP="00F025BC">
      <w:pPr>
        <w:pStyle w:val="ListParagraph"/>
        <w:numPr>
          <w:ilvl w:val="0"/>
          <w:numId w:val="12"/>
        </w:numPr>
        <w:spacing w:line="360" w:lineRule="auto"/>
        <w:jc w:val="both"/>
        <w:rPr>
          <w:rFonts w:ascii="Arial" w:hAnsi="Arial" w:cs="Arial"/>
          <w:b/>
          <w:bCs/>
          <w:sz w:val="22"/>
          <w:szCs w:val="22"/>
          <w:u w:val="single"/>
        </w:rPr>
      </w:pPr>
      <w:r w:rsidRPr="00E72F3A">
        <w:rPr>
          <w:rFonts w:ascii="Arial" w:hAnsi="Arial" w:cs="Arial"/>
          <w:b/>
          <w:bCs/>
          <w:sz w:val="22"/>
          <w:szCs w:val="22"/>
          <w:u w:val="single"/>
        </w:rPr>
        <w:t>Size of mapping population used in QTL mapping</w:t>
      </w:r>
    </w:p>
    <w:p w14:paraId="7D1747EA" w14:textId="77777777"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rPr>
        <w:t xml:space="preserve">In large sample size, </w:t>
      </w:r>
      <w:r w:rsidRPr="00C07175">
        <w:rPr>
          <w:rFonts w:ascii="Arial" w:hAnsi="Arial" w:cs="Arial"/>
          <w:lang w:val="en-US"/>
        </w:rPr>
        <w:t>increase the power to detect QTL and can be especially important for detecting small-effect QTL.</w:t>
      </w:r>
    </w:p>
    <w:p w14:paraId="172995B9" w14:textId="48BB3AD2"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rPr>
        <w:t xml:space="preserve">In small sample size, </w:t>
      </w:r>
      <w:r w:rsidRPr="00C07175">
        <w:rPr>
          <w:rFonts w:ascii="Arial" w:hAnsi="Arial" w:cs="Arial"/>
          <w:lang w:val="en-US"/>
        </w:rPr>
        <w:t>decreased statistical power to detect QTL and QTL with major effects can be observed.</w:t>
      </w:r>
    </w:p>
    <w:p w14:paraId="274A0D42" w14:textId="090A6594" w:rsidR="00E81D01" w:rsidRPr="00E72F3A" w:rsidRDefault="00E81D01" w:rsidP="00F025BC">
      <w:pPr>
        <w:pStyle w:val="ListParagraph"/>
        <w:numPr>
          <w:ilvl w:val="0"/>
          <w:numId w:val="12"/>
        </w:numPr>
        <w:spacing w:line="360" w:lineRule="auto"/>
        <w:jc w:val="both"/>
        <w:rPr>
          <w:rFonts w:ascii="Arial" w:hAnsi="Arial" w:cs="Arial"/>
          <w:b/>
          <w:bCs/>
          <w:sz w:val="22"/>
          <w:szCs w:val="22"/>
          <w:u w:val="single"/>
        </w:rPr>
      </w:pPr>
      <w:r w:rsidRPr="00E72F3A">
        <w:rPr>
          <w:rFonts w:ascii="Arial" w:hAnsi="Arial" w:cs="Arial"/>
          <w:b/>
          <w:bCs/>
          <w:sz w:val="22"/>
          <w:szCs w:val="22"/>
          <w:u w:val="single"/>
        </w:rPr>
        <w:lastRenderedPageBreak/>
        <w:t>Type and number of markers in linkage map</w:t>
      </w:r>
    </w:p>
    <w:p w14:paraId="7E50C0DF" w14:textId="77777777"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lang w:val="en-US"/>
        </w:rPr>
        <w:t>The number of markers needed depends on the desired mapping resolution. Higher marker density or marker saturation provides better resolution and accuracy in mapping QTLs (Quantitative Trait Loci).</w:t>
      </w:r>
    </w:p>
    <w:p w14:paraId="4FD87B3B" w14:textId="3BEC92B6"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lang w:val="en-US"/>
        </w:rPr>
        <w:t>Codominant marker shows three types of genetic differences while dominant marker shows two types of genetic differences.</w:t>
      </w:r>
    </w:p>
    <w:p w14:paraId="0CF36FB1" w14:textId="39FD7222" w:rsidR="00E81D01" w:rsidRPr="00E72F3A" w:rsidRDefault="00E81D01" w:rsidP="00F025BC">
      <w:pPr>
        <w:pStyle w:val="ListParagraph"/>
        <w:numPr>
          <w:ilvl w:val="0"/>
          <w:numId w:val="12"/>
        </w:numPr>
        <w:spacing w:line="360" w:lineRule="auto"/>
        <w:jc w:val="both"/>
        <w:rPr>
          <w:rFonts w:ascii="Arial" w:hAnsi="Arial" w:cs="Arial"/>
          <w:b/>
          <w:bCs/>
          <w:sz w:val="22"/>
          <w:szCs w:val="22"/>
          <w:u w:val="single"/>
        </w:rPr>
      </w:pPr>
      <w:r w:rsidRPr="00E72F3A">
        <w:rPr>
          <w:rFonts w:ascii="Arial" w:hAnsi="Arial" w:cs="Arial"/>
          <w:b/>
          <w:bCs/>
          <w:sz w:val="22"/>
          <w:szCs w:val="22"/>
          <w:u w:val="single"/>
        </w:rPr>
        <w:t>Phenotyping of mapping population and sample size</w:t>
      </w:r>
    </w:p>
    <w:p w14:paraId="1B51C4B3" w14:textId="77777777"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rPr>
        <w:t xml:space="preserve">QTL data is typically pooled over locations and replications to obtain a single quantitative trait for the line. </w:t>
      </w:r>
    </w:p>
    <w:p w14:paraId="3D819869" w14:textId="6BC0EB71" w:rsidR="00E81D01" w:rsidRPr="00C07175" w:rsidRDefault="00E81D01" w:rsidP="00F025BC">
      <w:pPr>
        <w:pStyle w:val="ListParagraph"/>
        <w:numPr>
          <w:ilvl w:val="0"/>
          <w:numId w:val="3"/>
        </w:numPr>
        <w:spacing w:line="360" w:lineRule="auto"/>
        <w:jc w:val="both"/>
        <w:rPr>
          <w:rFonts w:ascii="Arial" w:hAnsi="Arial" w:cs="Arial"/>
          <w:sz w:val="22"/>
          <w:szCs w:val="22"/>
        </w:rPr>
      </w:pPr>
      <w:r w:rsidRPr="00C07175">
        <w:rPr>
          <w:rFonts w:ascii="Arial" w:eastAsiaTheme="minorEastAsia" w:hAnsi="Arial" w:cs="Arial"/>
          <w:sz w:val="22"/>
          <w:szCs w:val="22"/>
        </w:rPr>
        <w:t>It is also preferred to measure the target trait in experiments conducted in multiple location to have a better understanding of the QTL x Environment interaction.</w:t>
      </w:r>
    </w:p>
    <w:p w14:paraId="0440D3B2" w14:textId="77777777" w:rsidR="00AE1BAA" w:rsidRPr="00C07175" w:rsidRDefault="00AE1BAA" w:rsidP="00F025BC">
      <w:pPr>
        <w:pStyle w:val="ListParagraph"/>
        <w:spacing w:line="360" w:lineRule="auto"/>
        <w:jc w:val="both"/>
        <w:rPr>
          <w:rFonts w:ascii="Arial" w:hAnsi="Arial" w:cs="Arial"/>
          <w:sz w:val="22"/>
          <w:szCs w:val="22"/>
        </w:rPr>
      </w:pPr>
    </w:p>
    <w:p w14:paraId="6AADD1B7" w14:textId="3D3FA9D7" w:rsidR="00D92D0B" w:rsidRPr="00C07175" w:rsidRDefault="00AE1BAA" w:rsidP="00F025BC">
      <w:pPr>
        <w:spacing w:line="360" w:lineRule="auto"/>
        <w:jc w:val="both"/>
        <w:rPr>
          <w:rFonts w:ascii="Arial" w:hAnsi="Arial" w:cs="Arial"/>
        </w:rPr>
      </w:pPr>
      <w:r w:rsidRPr="00C07175">
        <w:rPr>
          <w:rFonts w:ascii="Arial" w:hAnsi="Arial" w:cs="Arial"/>
        </w:rPr>
        <w:t>Thirteen key genomic regions (in the form of MQTLs) associated with agronomic performance and drought responsive traits were identified Meta-QTL analysis bread wheat (</w:t>
      </w:r>
      <w:commentRangeStart w:id="1"/>
      <w:r w:rsidRPr="000D1A0F">
        <w:rPr>
          <w:rFonts w:ascii="Arial" w:hAnsi="Arial" w:cs="Arial"/>
          <w:i/>
          <w:iCs/>
        </w:rPr>
        <w:t>Triticum aestivum</w:t>
      </w:r>
      <w:commentRangeEnd w:id="1"/>
      <w:r w:rsidR="000D1A0F" w:rsidRPr="00C07175">
        <w:rPr>
          <w:rStyle w:val="CommentReference"/>
          <w:rFonts w:ascii="Arial" w:hAnsi="Arial" w:cs="Arial"/>
          <w:sz w:val="22"/>
          <w:szCs w:val="22"/>
        </w:rPr>
        <w:commentReference w:id="1"/>
      </w:r>
      <w:r w:rsidRPr="00C07175">
        <w:rPr>
          <w:rFonts w:ascii="Arial" w:hAnsi="Arial" w:cs="Arial"/>
        </w:rPr>
        <w:t xml:space="preserve"> L.) </w:t>
      </w:r>
      <w:r w:rsidRPr="00C07175">
        <w:rPr>
          <w:rFonts w:ascii="Arial" w:hAnsi="Arial" w:cs="Arial"/>
          <w:color w:val="000000" w:themeColor="text1"/>
        </w:rPr>
        <w:t>(</w:t>
      </w:r>
      <w:hyperlink r:id="rId12" w:history="1">
        <w:r w:rsidRPr="00C07175">
          <w:rPr>
            <w:rStyle w:val="Hyperlink"/>
            <w:rFonts w:ascii="Arial" w:hAnsi="Arial" w:cs="Arial"/>
            <w:color w:val="000000" w:themeColor="text1"/>
            <w:u w:val="none"/>
          </w:rPr>
          <w:t>Kumar</w:t>
        </w:r>
      </w:hyperlink>
      <w:r w:rsidRPr="00C07175">
        <w:rPr>
          <w:rFonts w:ascii="Arial" w:hAnsi="Arial" w:cs="Arial"/>
          <w:color w:val="000000" w:themeColor="text1"/>
        </w:rPr>
        <w:t xml:space="preserve"> </w:t>
      </w:r>
      <w:r w:rsidR="006B78DD" w:rsidRPr="006B78DD">
        <w:rPr>
          <w:rFonts w:ascii="Arial" w:hAnsi="Arial" w:cs="Arial"/>
          <w:i/>
          <w:iCs/>
          <w:color w:val="000000" w:themeColor="text1"/>
        </w:rPr>
        <w:t>et al.,</w:t>
      </w:r>
      <w:r w:rsidRPr="00C07175">
        <w:rPr>
          <w:rFonts w:ascii="Arial" w:hAnsi="Arial" w:cs="Arial"/>
        </w:rPr>
        <w:t xml:space="preserve"> 2020). Through QTL identification and candidate gene analysis in soybean identified two novel loci for salt tolerance, qST6 and qST10, that participate in defense mechanisms against ion toxicity and the physiological damage induced by salt stress, respectively, and together exert an additive effect on salt tolerance (Cho </w:t>
      </w:r>
      <w:r w:rsidR="006B78DD" w:rsidRPr="006B78DD">
        <w:rPr>
          <w:rFonts w:ascii="Arial" w:hAnsi="Arial" w:cs="Arial"/>
          <w:i/>
          <w:iCs/>
        </w:rPr>
        <w:t>et al</w:t>
      </w:r>
      <w:r w:rsidRPr="00C07175">
        <w:rPr>
          <w:rFonts w:ascii="Arial" w:hAnsi="Arial" w:cs="Arial"/>
        </w:rPr>
        <w:t xml:space="preserve">, 2021). Identification of One Major QTL and a Novel Gene OsIAA17q5 gene, screened by the QTL analysis in different growth stages, has a potential role in controlling the number of tillers </w:t>
      </w:r>
      <w:r w:rsidRPr="00C07175">
        <w:rPr>
          <w:rFonts w:ascii="Arial" w:hAnsi="Arial" w:cs="Arial"/>
          <w:color w:val="000000" w:themeColor="text1"/>
        </w:rPr>
        <w:t>(</w:t>
      </w:r>
      <w:hyperlink r:id="rId13" w:history="1">
        <w:r w:rsidRPr="00C07175">
          <w:rPr>
            <w:rStyle w:val="Hyperlink"/>
            <w:rFonts w:ascii="Arial" w:hAnsi="Arial" w:cs="Arial"/>
            <w:color w:val="000000" w:themeColor="text1"/>
            <w:u w:val="none"/>
          </w:rPr>
          <w:t>Zhao</w:t>
        </w:r>
      </w:hyperlink>
      <w:r w:rsidRPr="00C07175">
        <w:rPr>
          <w:rFonts w:ascii="Arial" w:hAnsi="Arial" w:cs="Arial"/>
          <w:color w:val="000000" w:themeColor="text1"/>
        </w:rPr>
        <w:t xml:space="preserve"> </w:t>
      </w:r>
      <w:r w:rsidR="006B78DD" w:rsidRPr="006B78DD">
        <w:rPr>
          <w:rFonts w:ascii="Arial" w:hAnsi="Arial" w:cs="Arial"/>
          <w:i/>
          <w:iCs/>
          <w:color w:val="000000" w:themeColor="text1"/>
        </w:rPr>
        <w:t>et al.,</w:t>
      </w:r>
      <w:r w:rsidRPr="00C07175">
        <w:rPr>
          <w:rFonts w:ascii="Arial" w:hAnsi="Arial" w:cs="Arial"/>
        </w:rPr>
        <w:t xml:space="preserve"> 2022). 38 MQTL for fungal disease resistance (12 diseases) on all chromosomes except chromosome 10. Five MQTL namely 1_4, 2_4, 3_2, 3_4, and 5_4 was linked with multiple FDR. Total of 1910 candidate genes were identified for all the MQTL regions, with protein kinase gene families, TFs, pathogenesis-related, and disease-responsive proteins directly or indirectly associated with FDR (Gupta </w:t>
      </w:r>
      <w:r w:rsidR="006B78DD" w:rsidRPr="006B78DD">
        <w:rPr>
          <w:rFonts w:ascii="Arial" w:hAnsi="Arial" w:cs="Arial"/>
          <w:i/>
          <w:iCs/>
        </w:rPr>
        <w:t>et al.,</w:t>
      </w:r>
      <w:r w:rsidRPr="00C07175">
        <w:rPr>
          <w:rFonts w:ascii="Arial" w:hAnsi="Arial" w:cs="Arial"/>
        </w:rPr>
        <w:t xml:space="preserve"> 2023).</w:t>
      </w:r>
    </w:p>
    <w:p w14:paraId="676AA6E7" w14:textId="6A59A3C5" w:rsidR="00E81D01" w:rsidRPr="00E72F3A" w:rsidRDefault="00D92D0B" w:rsidP="00F025BC">
      <w:pPr>
        <w:spacing w:line="360" w:lineRule="auto"/>
        <w:jc w:val="both"/>
        <w:rPr>
          <w:rFonts w:ascii="Arial" w:hAnsi="Arial" w:cs="Arial"/>
          <w:b/>
          <w:bCs/>
        </w:rPr>
      </w:pPr>
      <w:r w:rsidRPr="00E72F3A">
        <w:rPr>
          <w:rFonts w:ascii="Arial" w:hAnsi="Arial" w:cs="Arial"/>
          <w:b/>
          <w:bCs/>
        </w:rPr>
        <w:t>2.2.</w:t>
      </w:r>
      <w:r w:rsidR="00AE6C7B">
        <w:rPr>
          <w:rFonts w:ascii="Arial" w:hAnsi="Arial" w:cs="Arial"/>
          <w:b/>
          <w:bCs/>
        </w:rPr>
        <w:t xml:space="preserve"> </w:t>
      </w:r>
      <w:r w:rsidR="00E81D01" w:rsidRPr="00E72F3A">
        <w:rPr>
          <w:rFonts w:ascii="Arial" w:hAnsi="Arial" w:cs="Arial"/>
          <w:b/>
          <w:bCs/>
        </w:rPr>
        <w:t>Positional cloning or map-based cloning</w:t>
      </w:r>
    </w:p>
    <w:p w14:paraId="334485A8" w14:textId="426FAC35" w:rsidR="00D62C8D" w:rsidRPr="00C07175" w:rsidRDefault="00744EBA" w:rsidP="00F025BC">
      <w:pPr>
        <w:spacing w:line="360" w:lineRule="auto"/>
        <w:jc w:val="both"/>
        <w:rPr>
          <w:rFonts w:ascii="Arial" w:hAnsi="Arial" w:cs="Arial"/>
          <w:color w:val="000000"/>
          <w:shd w:val="clear" w:color="auto" w:fill="FFFFFF"/>
        </w:rPr>
      </w:pPr>
      <w:r w:rsidRPr="00C07175">
        <w:rPr>
          <w:rFonts w:ascii="Arial" w:hAnsi="Arial" w:cs="Arial"/>
          <w:noProof/>
          <w:color w:val="000000"/>
          <w:lang w:eastAsia="en-IN" w:bidi="te-IN"/>
        </w:rPr>
        <mc:AlternateContent>
          <mc:Choice Requires="wps">
            <w:drawing>
              <wp:anchor distT="0" distB="0" distL="114300" distR="114300" simplePos="0" relativeHeight="251725824" behindDoc="1" locked="0" layoutInCell="1" allowOverlap="1" wp14:anchorId="7067FB9C" wp14:editId="4329D6FD">
                <wp:simplePos x="0" y="0"/>
                <wp:positionH relativeFrom="column">
                  <wp:posOffset>-248920</wp:posOffset>
                </wp:positionH>
                <wp:positionV relativeFrom="paragraph">
                  <wp:posOffset>826770</wp:posOffset>
                </wp:positionV>
                <wp:extent cx="6246421" cy="3693226"/>
                <wp:effectExtent l="0" t="0" r="2540" b="2540"/>
                <wp:wrapNone/>
                <wp:docPr id="749494789" name="Rectangle 7"/>
                <wp:cNvGraphicFramePr/>
                <a:graphic xmlns:a="http://schemas.openxmlformats.org/drawingml/2006/main">
                  <a:graphicData uri="http://schemas.microsoft.com/office/word/2010/wordprocessingShape">
                    <wps:wsp>
                      <wps:cNvSpPr/>
                      <wps:spPr>
                        <a:xfrm>
                          <a:off x="0" y="0"/>
                          <a:ext cx="6246421" cy="3693226"/>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D50E6" id="Rectangle 7" o:spid="_x0000_s1026" style="position:absolute;margin-left:-19.6pt;margin-top:65.1pt;width:491.85pt;height:290.8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" fillcolor="white [3201]" stroked="f" strokeweight="1pt"/>
            </w:pict>
          </mc:Fallback>
        </mc:AlternateContent>
      </w:r>
      <w:r w:rsidR="00D62C8D" w:rsidRPr="00C07175">
        <w:rPr>
          <w:rFonts w:ascii="Arial" w:hAnsi="Arial" w:cs="Arial"/>
          <w:color w:val="000000"/>
          <w:shd w:val="clear" w:color="auto" w:fill="FFFFFF"/>
        </w:rPr>
        <w:tab/>
      </w:r>
      <w:r w:rsidR="00C16BB5" w:rsidRPr="00C07175">
        <w:rPr>
          <w:rFonts w:ascii="Arial" w:hAnsi="Arial" w:cs="Arial"/>
          <w:color w:val="000000"/>
          <w:shd w:val="clear" w:color="auto" w:fill="FFFFFF"/>
        </w:rPr>
        <w:t>Positional-based cloning</w:t>
      </w:r>
      <w:r w:rsidR="007E1797" w:rsidRPr="00C07175">
        <w:rPr>
          <w:rFonts w:ascii="Arial" w:hAnsi="Arial" w:cs="Arial"/>
          <w:color w:val="000000"/>
          <w:shd w:val="clear" w:color="auto" w:fill="FFFFFF"/>
        </w:rPr>
        <w:t xml:space="preserve"> </w:t>
      </w:r>
      <w:r w:rsidR="007E1797" w:rsidRPr="00C07175">
        <w:rPr>
          <w:rFonts w:ascii="Arial" w:hAnsi="Arial" w:cs="Arial"/>
        </w:rPr>
        <w:t xml:space="preserve">Positional cloning, also known as map-based cloning, </w:t>
      </w:r>
      <w:r w:rsidR="007E1797" w:rsidRPr="00C07175">
        <w:rPr>
          <w:rFonts w:ascii="Arial" w:hAnsi="Arial" w:cs="Arial"/>
          <w:color w:val="000000"/>
          <w:shd w:val="clear" w:color="auto" w:fill="FFFFFF"/>
        </w:rPr>
        <w:t xml:space="preserve">is a foundational method for understanding </w:t>
      </w:r>
      <w:r w:rsidR="007E1797" w:rsidRPr="00C07175">
        <w:rPr>
          <w:rFonts w:ascii="Arial" w:hAnsi="Arial" w:cs="Arial"/>
        </w:rPr>
        <w:t>the genetic basis of a trait by locating the specific gene or DNA sequence responsible</w:t>
      </w:r>
      <w:r w:rsidR="00C16BB5" w:rsidRPr="00C07175">
        <w:rPr>
          <w:rFonts w:ascii="Arial" w:hAnsi="Arial" w:cs="Arial"/>
          <w:color w:val="000000"/>
          <w:shd w:val="clear" w:color="auto" w:fill="FFFFFF"/>
        </w:rPr>
        <w:t>.</w:t>
      </w:r>
    </w:p>
    <w:p w14:paraId="4D3F1AFB" w14:textId="4AC9F53A" w:rsidR="00A64019" w:rsidRPr="00C07175" w:rsidRDefault="0021181D" w:rsidP="00F025BC">
      <w:pPr>
        <w:spacing w:line="360" w:lineRule="auto"/>
        <w:jc w:val="center"/>
        <w:rPr>
          <w:rFonts w:ascii="Arial" w:hAnsi="Arial" w:cs="Arial"/>
          <w:color w:val="000000"/>
        </w:rPr>
      </w:pPr>
      <w:r w:rsidRPr="00C07175">
        <w:rPr>
          <w:rFonts w:ascii="Arial" w:hAnsi="Arial" w:cs="Arial"/>
          <w:noProof/>
          <w:lang w:eastAsia="en-IN" w:bidi="te-IN"/>
        </w:rPr>
        <mc:AlternateContent>
          <mc:Choice Requires="wps">
            <w:drawing>
              <wp:anchor distT="0" distB="0" distL="114300" distR="114300" simplePos="0" relativeHeight="251671552" behindDoc="0" locked="0" layoutInCell="1" allowOverlap="1" wp14:anchorId="7DE97D25" wp14:editId="38EB8822">
                <wp:simplePos x="0" y="0"/>
                <wp:positionH relativeFrom="column">
                  <wp:posOffset>2657475</wp:posOffset>
                </wp:positionH>
                <wp:positionV relativeFrom="paragraph">
                  <wp:posOffset>290195</wp:posOffset>
                </wp:positionV>
                <wp:extent cx="123825" cy="276225"/>
                <wp:effectExtent l="19050" t="0" r="47625" b="47625"/>
                <wp:wrapNone/>
                <wp:docPr id="103246733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D39E4" id="Arrow: Down 1" o:spid="_x0000_s1026" type="#_x0000_t67" style="position:absolute;margin-left:209.25pt;margin-top:22.85pt;width:9.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" adj="16759" fillcolor="#4472c4 [3204]" strokecolor="#09101d [484]" strokeweight="1pt"/>
            </w:pict>
          </mc:Fallback>
        </mc:AlternateContent>
      </w:r>
      <w:r w:rsidR="00E80BFC" w:rsidRPr="00C07175">
        <w:rPr>
          <w:rFonts w:ascii="Arial" w:hAnsi="Arial" w:cs="Arial"/>
          <w:color w:val="000000"/>
        </w:rPr>
        <w:t xml:space="preserve">Identify </w:t>
      </w:r>
      <w:r w:rsidR="00A64019" w:rsidRPr="00C07175">
        <w:rPr>
          <w:rFonts w:ascii="Arial" w:hAnsi="Arial" w:cs="Arial"/>
          <w:color w:val="000000"/>
        </w:rPr>
        <w:t xml:space="preserve">a molecular marker that lies close to </w:t>
      </w:r>
      <w:r w:rsidR="00E80BFC" w:rsidRPr="00C07175">
        <w:rPr>
          <w:rFonts w:ascii="Arial" w:hAnsi="Arial" w:cs="Arial"/>
          <w:color w:val="000000"/>
        </w:rPr>
        <w:t>the</w:t>
      </w:r>
      <w:r w:rsidR="00A64019" w:rsidRPr="00C07175">
        <w:rPr>
          <w:rFonts w:ascii="Arial" w:hAnsi="Arial" w:cs="Arial"/>
          <w:color w:val="000000"/>
        </w:rPr>
        <w:t xml:space="preserve"> gene of interest</w:t>
      </w:r>
    </w:p>
    <w:p w14:paraId="7AC9771F" w14:textId="48499AF1" w:rsidR="0021181D" w:rsidRPr="00C07175" w:rsidRDefault="0021181D" w:rsidP="00F025BC">
      <w:pPr>
        <w:spacing w:line="360" w:lineRule="auto"/>
        <w:jc w:val="center"/>
        <w:rPr>
          <w:rFonts w:ascii="Arial" w:hAnsi="Arial" w:cs="Arial"/>
          <w:color w:val="000000"/>
        </w:rPr>
      </w:pPr>
    </w:p>
    <w:p w14:paraId="20C94610" w14:textId="392E040B" w:rsidR="00A64019" w:rsidRPr="00C07175" w:rsidRDefault="0021181D" w:rsidP="00F025BC">
      <w:pPr>
        <w:spacing w:line="360" w:lineRule="auto"/>
        <w:jc w:val="center"/>
        <w:rPr>
          <w:rFonts w:ascii="Arial" w:hAnsi="Arial" w:cs="Arial"/>
          <w:color w:val="000000"/>
        </w:rPr>
      </w:pPr>
      <w:r w:rsidRPr="00C07175">
        <w:rPr>
          <w:rFonts w:ascii="Arial" w:hAnsi="Arial" w:cs="Arial"/>
          <w:noProof/>
          <w:lang w:eastAsia="en-IN" w:bidi="te-IN"/>
        </w:rPr>
        <mc:AlternateContent>
          <mc:Choice Requires="wps">
            <w:drawing>
              <wp:anchor distT="0" distB="0" distL="114300" distR="114300" simplePos="0" relativeHeight="251673600" behindDoc="0" locked="0" layoutInCell="1" allowOverlap="1" wp14:anchorId="1D0CC086" wp14:editId="5310797C">
                <wp:simplePos x="0" y="0"/>
                <wp:positionH relativeFrom="column">
                  <wp:posOffset>2667000</wp:posOffset>
                </wp:positionH>
                <wp:positionV relativeFrom="paragraph">
                  <wp:posOffset>290195</wp:posOffset>
                </wp:positionV>
                <wp:extent cx="123825" cy="276225"/>
                <wp:effectExtent l="19050" t="0" r="47625" b="47625"/>
                <wp:wrapNone/>
                <wp:docPr id="95021086"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E40F" id="Arrow: Down 1" o:spid="_x0000_s1026" type="#_x0000_t67" style="position:absolute;margin-left:210pt;margin-top:22.85pt;width:9.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" adj="16759" fillcolor="#4472c4 [3204]" strokecolor="#09101d [484]" strokeweight="1pt"/>
            </w:pict>
          </mc:Fallback>
        </mc:AlternateContent>
      </w:r>
      <w:r w:rsidR="00E80BFC" w:rsidRPr="00C07175">
        <w:rPr>
          <w:rFonts w:ascii="Arial" w:hAnsi="Arial" w:cs="Arial"/>
          <w:color w:val="000000"/>
        </w:rPr>
        <w:t xml:space="preserve">Saturate </w:t>
      </w:r>
      <w:r w:rsidR="00A64019" w:rsidRPr="00C07175">
        <w:rPr>
          <w:rFonts w:ascii="Arial" w:hAnsi="Arial" w:cs="Arial"/>
          <w:color w:val="000000"/>
        </w:rPr>
        <w:t>the region around that original molecular marker with other markers.</w:t>
      </w:r>
    </w:p>
    <w:p w14:paraId="44BCFB1D" w14:textId="001ED069" w:rsidR="0021181D" w:rsidRPr="00C07175" w:rsidRDefault="0021181D" w:rsidP="00F025BC">
      <w:pPr>
        <w:spacing w:line="360" w:lineRule="auto"/>
        <w:jc w:val="center"/>
        <w:rPr>
          <w:rFonts w:ascii="Arial" w:hAnsi="Arial" w:cs="Arial"/>
          <w:color w:val="000000"/>
        </w:rPr>
      </w:pPr>
    </w:p>
    <w:p w14:paraId="3B611C3F" w14:textId="3EB8B531" w:rsidR="0021181D" w:rsidRPr="00C07175" w:rsidRDefault="00E80BFC" w:rsidP="00F025BC">
      <w:pPr>
        <w:spacing w:line="360" w:lineRule="auto"/>
        <w:jc w:val="center"/>
        <w:rPr>
          <w:rFonts w:ascii="Arial" w:hAnsi="Arial" w:cs="Arial"/>
          <w:color w:val="000000"/>
        </w:rPr>
      </w:pPr>
      <w:r w:rsidRPr="00C07175">
        <w:rPr>
          <w:rFonts w:ascii="Arial" w:hAnsi="Arial" w:cs="Arial"/>
          <w:color w:val="000000"/>
        </w:rPr>
        <w:lastRenderedPageBreak/>
        <w:t xml:space="preserve">Screen </w:t>
      </w:r>
      <w:r w:rsidR="00A64019" w:rsidRPr="00C07175">
        <w:rPr>
          <w:rFonts w:ascii="Arial" w:hAnsi="Arial" w:cs="Arial"/>
          <w:color w:val="000000"/>
        </w:rPr>
        <w:t>a large insert genomic library (BAC or YAC) with your marker to isolate clones that hybridize to your molecular marker</w:t>
      </w:r>
    </w:p>
    <w:p w14:paraId="198AA231" w14:textId="767CEA98" w:rsidR="0021181D" w:rsidRPr="00C07175" w:rsidRDefault="0021181D" w:rsidP="00F025BC">
      <w:pPr>
        <w:spacing w:line="360" w:lineRule="auto"/>
        <w:jc w:val="center"/>
        <w:rPr>
          <w:rFonts w:ascii="Arial" w:hAnsi="Arial" w:cs="Arial"/>
          <w:color w:val="000000"/>
        </w:rPr>
      </w:pPr>
      <w:r w:rsidRPr="00C07175">
        <w:rPr>
          <w:rFonts w:ascii="Arial" w:hAnsi="Arial" w:cs="Arial"/>
          <w:noProof/>
          <w:lang w:eastAsia="en-IN" w:bidi="te-IN"/>
        </w:rPr>
        <mc:AlternateContent>
          <mc:Choice Requires="wps">
            <w:drawing>
              <wp:anchor distT="0" distB="0" distL="114300" distR="114300" simplePos="0" relativeHeight="251675648" behindDoc="0" locked="0" layoutInCell="1" allowOverlap="1" wp14:anchorId="3140BD49" wp14:editId="476DA294">
                <wp:simplePos x="0" y="0"/>
                <wp:positionH relativeFrom="column">
                  <wp:posOffset>2657475</wp:posOffset>
                </wp:positionH>
                <wp:positionV relativeFrom="paragraph">
                  <wp:posOffset>0</wp:posOffset>
                </wp:positionV>
                <wp:extent cx="123825" cy="276225"/>
                <wp:effectExtent l="19050" t="0" r="47625" b="47625"/>
                <wp:wrapNone/>
                <wp:docPr id="2134734114"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EF87A" id="Arrow: Down 1" o:spid="_x0000_s1026" type="#_x0000_t67" style="position:absolute;margin-left:209.25pt;margin-top:0;width:9.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" adj="16759" fillcolor="#4472c4 [3204]" strokecolor="#09101d [484]" strokeweight="1pt"/>
            </w:pict>
          </mc:Fallback>
        </mc:AlternateContent>
      </w:r>
    </w:p>
    <w:p w14:paraId="4E341216" w14:textId="34133EA9" w:rsidR="00A64019" w:rsidRPr="00C07175" w:rsidRDefault="0021181D"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77696" behindDoc="0" locked="0" layoutInCell="1" allowOverlap="1" wp14:anchorId="1026B41F" wp14:editId="715F99C1">
                <wp:simplePos x="0" y="0"/>
                <wp:positionH relativeFrom="column">
                  <wp:posOffset>2666365</wp:posOffset>
                </wp:positionH>
                <wp:positionV relativeFrom="paragraph">
                  <wp:posOffset>534670</wp:posOffset>
                </wp:positionV>
                <wp:extent cx="123825" cy="276225"/>
                <wp:effectExtent l="19050" t="0" r="38100" b="47625"/>
                <wp:wrapNone/>
                <wp:docPr id="1602532067"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48E33C" w14:textId="77777777" w:rsidR="0021181D" w:rsidRDefault="0021181D" w:rsidP="0021181D">
                            <w:pPr>
                              <w:jc w:val="center"/>
                            </w:pPr>
                          </w:p>
                          <w:p w14:paraId="2A0BADE9" w14:textId="77777777" w:rsidR="0021181D" w:rsidRDefault="0021181D" w:rsidP="0021181D">
                            <w:pPr>
                              <w:jc w:val="center"/>
                            </w:pPr>
                          </w:p>
                          <w:p w14:paraId="47C02C5B" w14:textId="77777777" w:rsidR="0021181D" w:rsidRDefault="0021181D" w:rsidP="0021181D">
                            <w:pPr>
                              <w:jc w:val="center"/>
                            </w:pPr>
                          </w:p>
                          <w:p w14:paraId="6DB4544B" w14:textId="77777777" w:rsidR="0021181D" w:rsidRDefault="0021181D" w:rsidP="0021181D">
                            <w:pPr>
                              <w:jc w:val="center"/>
                            </w:pPr>
                          </w:p>
                          <w:p w14:paraId="783E9C71" w14:textId="77777777" w:rsidR="0021181D" w:rsidRDefault="0021181D" w:rsidP="0021181D">
                            <w:pPr>
                              <w:jc w:val="center"/>
                            </w:pPr>
                          </w:p>
                          <w:p w14:paraId="6AAB5677" w14:textId="77777777" w:rsidR="0021181D" w:rsidRDefault="0021181D" w:rsidP="0021181D">
                            <w:pPr>
                              <w:jc w:val="center"/>
                            </w:pPr>
                          </w:p>
                          <w:p w14:paraId="726375F3" w14:textId="77777777" w:rsidR="0021181D" w:rsidRDefault="0021181D" w:rsidP="0021181D">
                            <w:pPr>
                              <w:jc w:val="center"/>
                            </w:pPr>
                          </w:p>
                          <w:p w14:paraId="591E8CAD" w14:textId="77777777" w:rsidR="0021181D" w:rsidRDefault="0021181D" w:rsidP="0021181D">
                            <w:pPr>
                              <w:jc w:val="center"/>
                            </w:pPr>
                          </w:p>
                          <w:p w14:paraId="344987FD" w14:textId="77777777" w:rsidR="0021181D" w:rsidRDefault="0021181D" w:rsidP="0021181D">
                            <w:pPr>
                              <w:jc w:val="center"/>
                            </w:pPr>
                          </w:p>
                          <w:p w14:paraId="14D5AEB8" w14:textId="77777777" w:rsidR="0021181D" w:rsidRDefault="0021181D" w:rsidP="0021181D">
                            <w:pPr>
                              <w:jc w:val="center"/>
                            </w:pPr>
                          </w:p>
                          <w:p w14:paraId="62B62352" w14:textId="77777777" w:rsidR="0021181D" w:rsidRDefault="0021181D" w:rsidP="0021181D">
                            <w:pPr>
                              <w:jc w:val="center"/>
                            </w:pPr>
                          </w:p>
                          <w:p w14:paraId="477BBFB1" w14:textId="77777777" w:rsidR="0021181D" w:rsidRDefault="0021181D" w:rsidP="0021181D">
                            <w:pPr>
                              <w:jc w:val="center"/>
                            </w:pPr>
                          </w:p>
                          <w:p w14:paraId="4C0BAD63" w14:textId="77777777" w:rsidR="0021181D" w:rsidRDefault="0021181D" w:rsidP="0021181D">
                            <w:pPr>
                              <w:jc w:val="center"/>
                            </w:pPr>
                          </w:p>
                          <w:p w14:paraId="7A3174D0" w14:textId="77777777" w:rsidR="0021181D" w:rsidRDefault="0021181D" w:rsidP="0021181D">
                            <w:pPr>
                              <w:jc w:val="center"/>
                            </w:pPr>
                          </w:p>
                          <w:p w14:paraId="044A0F68" w14:textId="77777777" w:rsidR="0021181D" w:rsidRDefault="0021181D" w:rsidP="0021181D">
                            <w:pPr>
                              <w:jc w:val="center"/>
                            </w:pPr>
                          </w:p>
                          <w:p w14:paraId="64F01030" w14:textId="77777777" w:rsidR="0021181D" w:rsidRDefault="0021181D" w:rsidP="0021181D">
                            <w:pPr>
                              <w:jc w:val="center"/>
                            </w:pPr>
                          </w:p>
                          <w:p w14:paraId="5A19C443" w14:textId="77777777" w:rsidR="0021181D" w:rsidRDefault="0021181D" w:rsidP="0021181D">
                            <w:pPr>
                              <w:jc w:val="center"/>
                            </w:pPr>
                          </w:p>
                          <w:p w14:paraId="598CFE79" w14:textId="77777777" w:rsidR="0021181D" w:rsidRDefault="0021181D" w:rsidP="0021181D">
                            <w:pPr>
                              <w:jc w:val="center"/>
                            </w:pPr>
                          </w:p>
                          <w:p w14:paraId="7C5D2D6F" w14:textId="77777777" w:rsidR="0021181D" w:rsidRDefault="0021181D" w:rsidP="0021181D">
                            <w:pPr>
                              <w:jc w:val="center"/>
                            </w:pPr>
                          </w:p>
                          <w:p w14:paraId="5F49453B" w14:textId="10E44481" w:rsidR="0021181D" w:rsidRDefault="0021181D" w:rsidP="0021181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6B4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left:0;text-align:left;margin-left:209.95pt;margin-top:42.1pt;width:9.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" adj="16759" fillcolor="#4472c4 [3204]" strokecolor="#09101d [484]" strokeweight="1pt">
                <v:textbox>
                  <w:txbxContent>
                    <w:p w14:paraId="6E48E33C" w14:textId="77777777" w:rsidR="0021181D" w:rsidRDefault="0021181D" w:rsidP="0021181D">
                      <w:pPr>
                        <w:jc w:val="center"/>
                      </w:pPr>
                    </w:p>
                    <w:p w14:paraId="2A0BADE9" w14:textId="77777777" w:rsidR="0021181D" w:rsidRDefault="0021181D" w:rsidP="0021181D">
                      <w:pPr>
                        <w:jc w:val="center"/>
                      </w:pPr>
                    </w:p>
                    <w:p w14:paraId="47C02C5B" w14:textId="77777777" w:rsidR="0021181D" w:rsidRDefault="0021181D" w:rsidP="0021181D">
                      <w:pPr>
                        <w:jc w:val="center"/>
                      </w:pPr>
                    </w:p>
                    <w:p w14:paraId="6DB4544B" w14:textId="77777777" w:rsidR="0021181D" w:rsidRDefault="0021181D" w:rsidP="0021181D">
                      <w:pPr>
                        <w:jc w:val="center"/>
                      </w:pPr>
                    </w:p>
                    <w:p w14:paraId="783E9C71" w14:textId="77777777" w:rsidR="0021181D" w:rsidRDefault="0021181D" w:rsidP="0021181D">
                      <w:pPr>
                        <w:jc w:val="center"/>
                      </w:pPr>
                    </w:p>
                    <w:p w14:paraId="6AAB5677" w14:textId="77777777" w:rsidR="0021181D" w:rsidRDefault="0021181D" w:rsidP="0021181D">
                      <w:pPr>
                        <w:jc w:val="center"/>
                      </w:pPr>
                    </w:p>
                    <w:p w14:paraId="726375F3" w14:textId="77777777" w:rsidR="0021181D" w:rsidRDefault="0021181D" w:rsidP="0021181D">
                      <w:pPr>
                        <w:jc w:val="center"/>
                      </w:pPr>
                    </w:p>
                    <w:p w14:paraId="591E8CAD" w14:textId="77777777" w:rsidR="0021181D" w:rsidRDefault="0021181D" w:rsidP="0021181D">
                      <w:pPr>
                        <w:jc w:val="center"/>
                      </w:pPr>
                    </w:p>
                    <w:p w14:paraId="344987FD" w14:textId="77777777" w:rsidR="0021181D" w:rsidRDefault="0021181D" w:rsidP="0021181D">
                      <w:pPr>
                        <w:jc w:val="center"/>
                      </w:pPr>
                    </w:p>
                    <w:p w14:paraId="14D5AEB8" w14:textId="77777777" w:rsidR="0021181D" w:rsidRDefault="0021181D" w:rsidP="0021181D">
                      <w:pPr>
                        <w:jc w:val="center"/>
                      </w:pPr>
                    </w:p>
                    <w:p w14:paraId="62B62352" w14:textId="77777777" w:rsidR="0021181D" w:rsidRDefault="0021181D" w:rsidP="0021181D">
                      <w:pPr>
                        <w:jc w:val="center"/>
                      </w:pPr>
                    </w:p>
                    <w:p w14:paraId="477BBFB1" w14:textId="77777777" w:rsidR="0021181D" w:rsidRDefault="0021181D" w:rsidP="0021181D">
                      <w:pPr>
                        <w:jc w:val="center"/>
                      </w:pPr>
                    </w:p>
                    <w:p w14:paraId="4C0BAD63" w14:textId="77777777" w:rsidR="0021181D" w:rsidRDefault="0021181D" w:rsidP="0021181D">
                      <w:pPr>
                        <w:jc w:val="center"/>
                      </w:pPr>
                    </w:p>
                    <w:p w14:paraId="7A3174D0" w14:textId="77777777" w:rsidR="0021181D" w:rsidRDefault="0021181D" w:rsidP="0021181D">
                      <w:pPr>
                        <w:jc w:val="center"/>
                      </w:pPr>
                    </w:p>
                    <w:p w14:paraId="044A0F68" w14:textId="77777777" w:rsidR="0021181D" w:rsidRDefault="0021181D" w:rsidP="0021181D">
                      <w:pPr>
                        <w:jc w:val="center"/>
                      </w:pPr>
                    </w:p>
                    <w:p w14:paraId="64F01030" w14:textId="77777777" w:rsidR="0021181D" w:rsidRDefault="0021181D" w:rsidP="0021181D">
                      <w:pPr>
                        <w:jc w:val="center"/>
                      </w:pPr>
                    </w:p>
                    <w:p w14:paraId="5A19C443" w14:textId="77777777" w:rsidR="0021181D" w:rsidRDefault="0021181D" w:rsidP="0021181D">
                      <w:pPr>
                        <w:jc w:val="center"/>
                      </w:pPr>
                    </w:p>
                    <w:p w14:paraId="598CFE79" w14:textId="77777777" w:rsidR="0021181D" w:rsidRDefault="0021181D" w:rsidP="0021181D">
                      <w:pPr>
                        <w:jc w:val="center"/>
                      </w:pPr>
                    </w:p>
                    <w:p w14:paraId="7C5D2D6F" w14:textId="77777777" w:rsidR="0021181D" w:rsidRDefault="0021181D" w:rsidP="0021181D">
                      <w:pPr>
                        <w:jc w:val="center"/>
                      </w:pPr>
                    </w:p>
                    <w:p w14:paraId="5F49453B" w14:textId="10E44481" w:rsidR="0021181D" w:rsidRDefault="0021181D" w:rsidP="0021181D">
                      <w:pPr>
                        <w:jc w:val="center"/>
                      </w:pPr>
                      <w:r>
                        <w:t xml:space="preserve"> </w:t>
                      </w:r>
                    </w:p>
                  </w:txbxContent>
                </v:textbox>
              </v:shape>
            </w:pict>
          </mc:Fallback>
        </mc:AlternateContent>
      </w:r>
      <w:r w:rsidR="007E1797" w:rsidRPr="00C07175">
        <w:rPr>
          <w:rFonts w:ascii="Arial" w:hAnsi="Arial" w:cs="Arial"/>
        </w:rPr>
        <w:t>Construct a physical map of the region using techniques like chromosome walking or jumping.</w:t>
      </w:r>
    </w:p>
    <w:p w14:paraId="6C231F21" w14:textId="04F131E1" w:rsidR="0021181D" w:rsidRPr="00C07175" w:rsidRDefault="0021181D" w:rsidP="00F025BC">
      <w:pPr>
        <w:spacing w:line="360" w:lineRule="auto"/>
        <w:jc w:val="center"/>
        <w:rPr>
          <w:rFonts w:ascii="Arial" w:hAnsi="Arial" w:cs="Arial"/>
        </w:rPr>
      </w:pPr>
    </w:p>
    <w:p w14:paraId="23AEA6A3" w14:textId="430A08BA" w:rsidR="007E1797" w:rsidRPr="00C07175" w:rsidRDefault="0021181D"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79744" behindDoc="0" locked="0" layoutInCell="1" allowOverlap="1" wp14:anchorId="5625685D" wp14:editId="4D9023A0">
                <wp:simplePos x="0" y="0"/>
                <wp:positionH relativeFrom="column">
                  <wp:posOffset>2657475</wp:posOffset>
                </wp:positionH>
                <wp:positionV relativeFrom="paragraph">
                  <wp:posOffset>290195</wp:posOffset>
                </wp:positionV>
                <wp:extent cx="123825" cy="276225"/>
                <wp:effectExtent l="19050" t="0" r="47625" b="47625"/>
                <wp:wrapNone/>
                <wp:docPr id="1268219723"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CCA74" id="Arrow: Down 1" o:spid="_x0000_s1026" type="#_x0000_t67" style="position:absolute;margin-left:209.25pt;margin-top:22.85pt;width:9.7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" adj="16759" fillcolor="#4472c4 [3204]" strokecolor="#09101d [484]" strokeweight="1pt"/>
            </w:pict>
          </mc:Fallback>
        </mc:AlternateContent>
      </w:r>
      <w:r w:rsidR="007E1797" w:rsidRPr="00C07175">
        <w:rPr>
          <w:rFonts w:ascii="Arial" w:hAnsi="Arial" w:cs="Arial"/>
        </w:rPr>
        <w:t>Identify and prioritize candidate genes within the mapped region.</w:t>
      </w:r>
    </w:p>
    <w:p w14:paraId="791CDDA7" w14:textId="65D54D79" w:rsidR="0021181D" w:rsidRPr="00C07175" w:rsidRDefault="0021181D" w:rsidP="00F025BC">
      <w:pPr>
        <w:spacing w:line="360" w:lineRule="auto"/>
        <w:jc w:val="center"/>
        <w:rPr>
          <w:rFonts w:ascii="Arial" w:hAnsi="Arial" w:cs="Arial"/>
        </w:rPr>
      </w:pPr>
    </w:p>
    <w:p w14:paraId="4204C19F" w14:textId="6A65B10F" w:rsidR="00163742" w:rsidRDefault="00E80BFC" w:rsidP="00744EBA">
      <w:pPr>
        <w:spacing w:line="360" w:lineRule="auto"/>
        <w:jc w:val="center"/>
        <w:rPr>
          <w:rFonts w:ascii="Arial" w:hAnsi="Arial" w:cs="Arial"/>
        </w:rPr>
      </w:pPr>
      <w:r w:rsidRPr="00C07175">
        <w:rPr>
          <w:rFonts w:ascii="Arial" w:hAnsi="Arial" w:cs="Arial"/>
        </w:rPr>
        <w:t>Sequence and validate the role of candidate gene in the phenotype through functional assays.</w:t>
      </w:r>
    </w:p>
    <w:p w14:paraId="777B2455" w14:textId="3260E119" w:rsidR="00F20CBD" w:rsidRPr="00CC6043" w:rsidRDefault="00F20CBD" w:rsidP="00744EBA">
      <w:pPr>
        <w:spacing w:line="360" w:lineRule="auto"/>
        <w:jc w:val="center"/>
        <w:rPr>
          <w:rFonts w:ascii="Arial" w:hAnsi="Arial" w:cs="Arial"/>
          <w:b/>
          <w:bCs/>
        </w:rPr>
      </w:pPr>
      <w:r>
        <w:rPr>
          <w:rFonts w:ascii="Arial" w:hAnsi="Arial" w:cs="Arial"/>
        </w:rPr>
        <w:t xml:space="preserve">Flow chart 2: </w:t>
      </w:r>
      <w:r w:rsidR="00AE6C7B" w:rsidRPr="00CC6043">
        <w:rPr>
          <w:rFonts w:ascii="Arial" w:hAnsi="Arial" w:cs="Arial"/>
          <w:b/>
          <w:bCs/>
        </w:rPr>
        <w:t>Map-based cloning method</w:t>
      </w:r>
    </w:p>
    <w:p w14:paraId="665EEB0B" w14:textId="49765307" w:rsidR="00D62C8D" w:rsidRPr="00C07175" w:rsidRDefault="00AE1BAA" w:rsidP="00F025BC">
      <w:pPr>
        <w:spacing w:line="360" w:lineRule="auto"/>
        <w:jc w:val="both"/>
        <w:rPr>
          <w:rFonts w:ascii="Arial" w:hAnsi="Arial" w:cs="Arial"/>
        </w:rPr>
      </w:pPr>
      <w:r w:rsidRPr="00C07175">
        <w:rPr>
          <w:rFonts w:ascii="Arial" w:hAnsi="Arial" w:cs="Arial"/>
        </w:rPr>
        <w:t>Fine mapping and cloning of the major seed protein quantitative trait loci on soybean chromosome 20 (</w:t>
      </w:r>
      <w:commentRangeStart w:id="2"/>
      <w:r>
        <w:fldChar w:fldCharType="begin"/>
      </w:r>
      <w:r>
        <w:instrText>HYPERLINK "https://scholar.google.com/citations?user=fgcrjU8AAAAJ&amp;hl=en&amp;oi=sra"</w:instrText>
      </w:r>
      <w:r>
        <w:fldChar w:fldCharType="separate"/>
      </w:r>
      <w:r w:rsidRPr="00C07175">
        <w:rPr>
          <w:rStyle w:val="Hyperlink"/>
          <w:rFonts w:ascii="Arial" w:hAnsi="Arial" w:cs="Arial"/>
          <w:color w:val="000000" w:themeColor="text1"/>
        </w:rPr>
        <w:t>Fliege</w:t>
      </w:r>
      <w:r>
        <w:fldChar w:fldCharType="end"/>
      </w:r>
      <w:commentRangeEnd w:id="2"/>
      <w:r w:rsidR="000D1A0F" w:rsidRPr="00C07175">
        <w:rPr>
          <w:rStyle w:val="CommentReference"/>
          <w:rFonts w:ascii="Arial" w:hAnsi="Arial" w:cs="Arial"/>
          <w:sz w:val="22"/>
          <w:szCs w:val="22"/>
        </w:rPr>
        <w:commentReference w:id="2"/>
      </w:r>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2022). Two new semi-dwarfing mutants, named je0199 and je0105, were identified through cloning in the wild-type (WT) background of Jing411 from an in-house wheat mutant library generated via ethyl methanesulfonate (EMS) treatment. Phenotyping and genetic mapping analyses collectively suggested that these newly identified EMS-induced mutants are allelic to Rht8, leading to their renaming as Rht8-2 and Rht8-3, respectively </w:t>
      </w:r>
      <w:r w:rsidRPr="00C07175">
        <w:rPr>
          <w:rFonts w:ascii="Arial" w:hAnsi="Arial" w:cs="Arial"/>
          <w:color w:val="000000" w:themeColor="text1"/>
        </w:rPr>
        <w:t>(</w:t>
      </w:r>
      <w:hyperlink r:id="rId14" w:tooltip="Correspondence information about the author Hongchun Xiong" w:history="1">
        <w:r w:rsidRPr="00C07175">
          <w:rPr>
            <w:rStyle w:val="Hyperlink"/>
            <w:rFonts w:ascii="Arial" w:hAnsi="Arial" w:cs="Arial"/>
            <w:color w:val="000000" w:themeColor="text1"/>
            <w:u w:val="none"/>
          </w:rPr>
          <w:t>Xiong</w:t>
        </w:r>
      </w:hyperlink>
      <w:r w:rsidRPr="00C07175">
        <w:rPr>
          <w:rFonts w:ascii="Arial" w:hAnsi="Arial" w:cs="Arial"/>
          <w:color w:val="000000" w:themeColor="text1"/>
        </w:rPr>
        <w:t xml:space="preserve"> </w:t>
      </w:r>
      <w:r w:rsidR="006B78DD" w:rsidRPr="006B78DD">
        <w:rPr>
          <w:rFonts w:ascii="Arial" w:hAnsi="Arial" w:cs="Arial"/>
          <w:i/>
          <w:iCs/>
          <w:color w:val="000000" w:themeColor="text1"/>
        </w:rPr>
        <w:t>et al.,</w:t>
      </w:r>
      <w:r w:rsidRPr="00C07175">
        <w:rPr>
          <w:rFonts w:ascii="Arial" w:hAnsi="Arial" w:cs="Arial"/>
        </w:rPr>
        <w:t xml:space="preserve"> 2022). A reference-quality genome assembly of the wild diploid wheat relative </w:t>
      </w:r>
      <w:commentRangeStart w:id="3"/>
      <w:r w:rsidRPr="00C07175">
        <w:rPr>
          <w:rFonts w:ascii="Arial" w:hAnsi="Arial" w:cs="Arial"/>
        </w:rPr>
        <w:t xml:space="preserve">Aegilops sharonensis </w:t>
      </w:r>
      <w:commentRangeEnd w:id="3"/>
      <w:r w:rsidR="000D1A0F" w:rsidRPr="00C07175">
        <w:rPr>
          <w:rStyle w:val="CommentReference"/>
          <w:rFonts w:ascii="Arial" w:hAnsi="Arial" w:cs="Arial"/>
          <w:sz w:val="22"/>
          <w:szCs w:val="22"/>
        </w:rPr>
        <w:commentReference w:id="3"/>
      </w:r>
      <w:r w:rsidRPr="00C07175">
        <w:rPr>
          <w:rFonts w:ascii="Arial" w:hAnsi="Arial" w:cs="Arial"/>
        </w:rPr>
        <w:t xml:space="preserve">was developed, and positional mapping, mutagenesis, RNA-Seq, and transgenesis were used to identify the stem rust resistance gene Sr62, which has also been transferred to common wheat (Yu </w:t>
      </w:r>
      <w:r w:rsidR="006B78DD" w:rsidRPr="006B78DD">
        <w:rPr>
          <w:rFonts w:ascii="Arial" w:hAnsi="Arial" w:cs="Arial"/>
          <w:i/>
          <w:iCs/>
        </w:rPr>
        <w:t>et al.,</w:t>
      </w:r>
      <w:r w:rsidRPr="00C07175">
        <w:rPr>
          <w:rFonts w:ascii="Arial" w:hAnsi="Arial" w:cs="Arial"/>
        </w:rPr>
        <w:t xml:space="preserve">2022). </w:t>
      </w:r>
    </w:p>
    <w:p w14:paraId="3DEBE0B3" w14:textId="331FCF42" w:rsidR="00E80BFC" w:rsidRPr="00E72F3A" w:rsidRDefault="00D92D0B" w:rsidP="00F025BC">
      <w:pPr>
        <w:spacing w:line="360" w:lineRule="auto"/>
        <w:jc w:val="both"/>
        <w:rPr>
          <w:rFonts w:ascii="Arial" w:hAnsi="Arial" w:cs="Arial"/>
          <w:b/>
          <w:bCs/>
        </w:rPr>
      </w:pPr>
      <w:r w:rsidRPr="00E72F3A">
        <w:rPr>
          <w:rFonts w:ascii="Arial" w:hAnsi="Arial" w:cs="Arial"/>
          <w:b/>
          <w:bCs/>
        </w:rPr>
        <w:t>2.3.</w:t>
      </w:r>
      <w:r w:rsidR="00E80BFC" w:rsidRPr="00E72F3A">
        <w:rPr>
          <w:rFonts w:ascii="Arial" w:hAnsi="Arial" w:cs="Arial"/>
          <w:b/>
          <w:bCs/>
        </w:rPr>
        <w:t>DNA Microarray</w:t>
      </w:r>
    </w:p>
    <w:p w14:paraId="0518CF09" w14:textId="556296BA" w:rsidR="00E80BFC" w:rsidRPr="00C07175" w:rsidRDefault="00D62C8D" w:rsidP="00F025BC">
      <w:pPr>
        <w:spacing w:line="360" w:lineRule="auto"/>
        <w:jc w:val="both"/>
        <w:rPr>
          <w:rFonts w:ascii="Arial" w:hAnsi="Arial" w:cs="Arial"/>
        </w:rPr>
      </w:pPr>
      <w:r w:rsidRPr="00C07175">
        <w:rPr>
          <w:rFonts w:ascii="Arial" w:hAnsi="Arial" w:cs="Arial"/>
        </w:rPr>
        <w:tab/>
      </w:r>
      <w:r w:rsidR="00E80BFC" w:rsidRPr="00C07175">
        <w:rPr>
          <w:rFonts w:ascii="Arial" w:hAnsi="Arial" w:cs="Arial"/>
        </w:rPr>
        <w:t>DNA microarrays can simultaneously measure the expression level of thousands of genes. within a particular mRNA sample. A DNA array can be considered as a large parallel Southern or Northern blot analysis (instead of a gel, the probes are attached to an inert surface, which will become the microarray).</w:t>
      </w:r>
      <w:r w:rsidR="006D19D9" w:rsidRPr="00C07175">
        <w:rPr>
          <w:rFonts w:ascii="Arial" w:hAnsi="Arial" w:cs="Arial"/>
        </w:rPr>
        <w:t xml:space="preserve"> </w:t>
      </w:r>
      <w:r w:rsidR="00E80BFC" w:rsidRPr="00C07175">
        <w:rPr>
          <w:rFonts w:ascii="Arial" w:hAnsi="Arial" w:cs="Arial"/>
        </w:rPr>
        <w:t xml:space="preserve">mRNA is extracted from tissues or cells, reversed-transcribed and labelled with a dye (usually fluorescent), and hybridized on the array. </w:t>
      </w:r>
    </w:p>
    <w:p w14:paraId="4B7531FA" w14:textId="77777777" w:rsidR="006D19D9" w:rsidRPr="00C07175" w:rsidRDefault="006D19D9" w:rsidP="00F025BC">
      <w:pPr>
        <w:spacing w:line="360" w:lineRule="auto"/>
        <w:jc w:val="both"/>
        <w:rPr>
          <w:rFonts w:ascii="Arial" w:hAnsi="Arial" w:cs="Arial"/>
        </w:rPr>
      </w:pPr>
      <w:r w:rsidRPr="00C07175">
        <w:rPr>
          <w:rFonts w:ascii="Arial" w:hAnsi="Arial" w:cs="Arial"/>
        </w:rPr>
        <w:t>There are two microarray platforms in common use:</w:t>
      </w:r>
    </w:p>
    <w:p w14:paraId="1F75C564" w14:textId="7389A974" w:rsidR="006D19D9" w:rsidRPr="00C07175" w:rsidRDefault="006D19D9" w:rsidP="00F025BC">
      <w:pPr>
        <w:spacing w:line="360" w:lineRule="auto"/>
        <w:jc w:val="both"/>
        <w:rPr>
          <w:rFonts w:ascii="Arial" w:hAnsi="Arial" w:cs="Arial"/>
        </w:rPr>
      </w:pPr>
      <w:r w:rsidRPr="00C07175">
        <w:rPr>
          <w:rFonts w:ascii="Arial" w:hAnsi="Arial" w:cs="Arial"/>
        </w:rPr>
        <w:t>cDNA microarrays</w:t>
      </w:r>
      <w:r w:rsidR="0021181D" w:rsidRPr="00C07175">
        <w:rPr>
          <w:rFonts w:ascii="Arial" w:hAnsi="Arial" w:cs="Arial"/>
        </w:rPr>
        <w:t xml:space="preserve">- </w:t>
      </w:r>
      <w:r w:rsidRPr="00C07175">
        <w:rPr>
          <w:rFonts w:ascii="Arial" w:hAnsi="Arial" w:cs="Arial"/>
        </w:rPr>
        <w:t>which utilize cloned probe molecules corresponding to characterized expressed sequences</w:t>
      </w:r>
    </w:p>
    <w:p w14:paraId="723FD4D1" w14:textId="5191B4EB" w:rsidR="006D19D9" w:rsidRPr="00C07175" w:rsidRDefault="006D19D9" w:rsidP="00F025BC">
      <w:pPr>
        <w:spacing w:line="360" w:lineRule="auto"/>
        <w:jc w:val="both"/>
        <w:rPr>
          <w:rFonts w:ascii="Arial" w:hAnsi="Arial" w:cs="Arial"/>
        </w:rPr>
      </w:pPr>
      <w:r w:rsidRPr="00C07175">
        <w:rPr>
          <w:rFonts w:ascii="Arial" w:hAnsi="Arial" w:cs="Arial"/>
        </w:rPr>
        <w:lastRenderedPageBreak/>
        <w:t>oligonucleotide microarrays</w:t>
      </w:r>
      <w:r w:rsidR="0021181D" w:rsidRPr="00C07175">
        <w:rPr>
          <w:rFonts w:ascii="Arial" w:hAnsi="Arial" w:cs="Arial"/>
        </w:rPr>
        <w:t xml:space="preserve">- </w:t>
      </w:r>
      <w:r w:rsidRPr="00C07175">
        <w:rPr>
          <w:rFonts w:ascii="Arial" w:hAnsi="Arial" w:cs="Arial"/>
        </w:rPr>
        <w:t>made of synthetic probe sequences based on database information</w:t>
      </w:r>
    </w:p>
    <w:p w14:paraId="0C63B40C" w14:textId="703EE33B" w:rsidR="006D19D9" w:rsidRPr="007A53A9" w:rsidRDefault="00D92D0B" w:rsidP="00F025BC">
      <w:pPr>
        <w:spacing w:line="360" w:lineRule="auto"/>
        <w:jc w:val="both"/>
        <w:rPr>
          <w:rFonts w:ascii="Arial" w:hAnsi="Arial" w:cs="Arial"/>
          <w:b/>
          <w:bCs/>
        </w:rPr>
      </w:pPr>
      <w:r w:rsidRPr="007A53A9">
        <w:rPr>
          <w:rFonts w:ascii="Arial" w:hAnsi="Arial" w:cs="Arial"/>
          <w:b/>
          <w:bCs/>
        </w:rPr>
        <w:t>2.4.</w:t>
      </w:r>
      <w:r w:rsidR="006D19D9" w:rsidRPr="007A53A9">
        <w:rPr>
          <w:rFonts w:ascii="Arial" w:hAnsi="Arial" w:cs="Arial"/>
          <w:b/>
          <w:bCs/>
        </w:rPr>
        <w:t>RNA S</w:t>
      </w:r>
      <w:r w:rsidR="00202283" w:rsidRPr="007A53A9">
        <w:rPr>
          <w:rFonts w:ascii="Arial" w:hAnsi="Arial" w:cs="Arial"/>
          <w:b/>
          <w:bCs/>
        </w:rPr>
        <w:t>eq</w:t>
      </w:r>
    </w:p>
    <w:p w14:paraId="67DD2582" w14:textId="437F2392" w:rsidR="006D19D9" w:rsidRPr="00C07175" w:rsidRDefault="00D62C8D" w:rsidP="00F025BC">
      <w:pPr>
        <w:spacing w:line="360" w:lineRule="auto"/>
        <w:jc w:val="both"/>
        <w:rPr>
          <w:rFonts w:ascii="Arial" w:hAnsi="Arial" w:cs="Arial"/>
        </w:rPr>
      </w:pPr>
      <w:r w:rsidRPr="00C07175">
        <w:rPr>
          <w:rFonts w:ascii="Arial" w:hAnsi="Arial" w:cs="Arial"/>
        </w:rPr>
        <w:tab/>
      </w:r>
      <w:r w:rsidR="006D19D9" w:rsidRPr="00C07175">
        <w:rPr>
          <w:rFonts w:ascii="Arial" w:hAnsi="Arial" w:cs="Arial"/>
        </w:rPr>
        <w:t>RNA-seq (RNA-sequencing) is a technique that can examine the quantity and sequences of RNA in a sample using next-generation sequencing (NGS). It analyses the transcriptome, indicating which of the genes encoded in our DNA are turned on or off and to what extent. it facilitates the understanding of transcriptome as key to connect the information in our genome with its functional protein expression.</w:t>
      </w:r>
    </w:p>
    <w:p w14:paraId="09891134" w14:textId="77777777" w:rsidR="00744EBA" w:rsidRPr="00C07175" w:rsidRDefault="00744EBA" w:rsidP="00F025BC">
      <w:pPr>
        <w:spacing w:line="360" w:lineRule="auto"/>
        <w:rPr>
          <w:rFonts w:ascii="Arial" w:hAnsi="Arial" w:cs="Arial"/>
        </w:rPr>
      </w:pPr>
    </w:p>
    <w:p w14:paraId="6387AF12" w14:textId="5B8B9A07" w:rsidR="006D19D9" w:rsidRPr="00C07175" w:rsidRDefault="00202283" w:rsidP="00F025BC">
      <w:pPr>
        <w:spacing w:line="360" w:lineRule="auto"/>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24800" behindDoc="1" locked="0" layoutInCell="1" allowOverlap="1" wp14:anchorId="2BFB3098" wp14:editId="6C134AC2">
                <wp:simplePos x="0" y="0"/>
                <wp:positionH relativeFrom="column">
                  <wp:posOffset>1400175</wp:posOffset>
                </wp:positionH>
                <wp:positionV relativeFrom="paragraph">
                  <wp:posOffset>276225</wp:posOffset>
                </wp:positionV>
                <wp:extent cx="2933206" cy="3228975"/>
                <wp:effectExtent l="0" t="0" r="19685" b="28575"/>
                <wp:wrapNone/>
                <wp:docPr id="2144008689" name="Rectangle 6"/>
                <wp:cNvGraphicFramePr/>
                <a:graphic xmlns:a="http://schemas.openxmlformats.org/drawingml/2006/main">
                  <a:graphicData uri="http://schemas.microsoft.com/office/word/2010/wordprocessingShape">
                    <wps:wsp>
                      <wps:cNvSpPr/>
                      <wps:spPr>
                        <a:xfrm>
                          <a:off x="0" y="0"/>
                          <a:ext cx="2933206" cy="3228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4EA8F0" id="Rectangle 6" o:spid="_x0000_s1026" style="position:absolute;margin-left:110.25pt;margin-top:21.75pt;width:230.95pt;height:254.25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" fillcolor="white [3201]" strokecolor="#70ad47 [3209]" strokeweight="1pt"/>
            </w:pict>
          </mc:Fallback>
        </mc:AlternateContent>
      </w:r>
      <w:r w:rsidR="00AB6F73">
        <w:rPr>
          <w:rFonts w:ascii="Arial" w:hAnsi="Arial" w:cs="Arial"/>
        </w:rPr>
        <w:t xml:space="preserve">Flow chart 3: </w:t>
      </w:r>
      <w:r w:rsidR="006D19D9" w:rsidRPr="00C07175">
        <w:rPr>
          <w:rFonts w:ascii="Arial" w:hAnsi="Arial" w:cs="Arial"/>
        </w:rPr>
        <w:t>An RNA-seq workflow has several steps, which can be broadly summarized as:</w:t>
      </w:r>
    </w:p>
    <w:p w14:paraId="675420A6" w14:textId="6779F546" w:rsidR="006D19D9" w:rsidRPr="00C07175" w:rsidRDefault="0021181D"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81792" behindDoc="0" locked="0" layoutInCell="1" allowOverlap="1" wp14:anchorId="7DB95675" wp14:editId="3A54BE26">
                <wp:simplePos x="0" y="0"/>
                <wp:positionH relativeFrom="column">
                  <wp:posOffset>2828925</wp:posOffset>
                </wp:positionH>
                <wp:positionV relativeFrom="paragraph">
                  <wp:posOffset>290830</wp:posOffset>
                </wp:positionV>
                <wp:extent cx="123825" cy="276225"/>
                <wp:effectExtent l="19050" t="0" r="47625" b="47625"/>
                <wp:wrapNone/>
                <wp:docPr id="1132625176"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7813C" id="Arrow: Down 1" o:spid="_x0000_s1026" type="#_x0000_t67" style="position:absolute;margin-left:222.75pt;margin-top:22.9pt;width:9.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RNA extraction</w:t>
      </w:r>
    </w:p>
    <w:p w14:paraId="698B4079" w14:textId="5EBF2EF9" w:rsidR="0021181D" w:rsidRPr="00C07175" w:rsidRDefault="0021181D" w:rsidP="00F025BC">
      <w:pPr>
        <w:spacing w:line="360" w:lineRule="auto"/>
        <w:jc w:val="center"/>
        <w:rPr>
          <w:rFonts w:ascii="Arial" w:hAnsi="Arial" w:cs="Arial"/>
        </w:rPr>
      </w:pPr>
    </w:p>
    <w:p w14:paraId="21757BB7" w14:textId="20FB9800" w:rsidR="006D19D9" w:rsidRPr="00C07175" w:rsidRDefault="0021181D"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83840" behindDoc="0" locked="0" layoutInCell="1" allowOverlap="1" wp14:anchorId="00FA40AF" wp14:editId="15B57FAA">
                <wp:simplePos x="0" y="0"/>
                <wp:positionH relativeFrom="column">
                  <wp:posOffset>2828925</wp:posOffset>
                </wp:positionH>
                <wp:positionV relativeFrom="paragraph">
                  <wp:posOffset>290195</wp:posOffset>
                </wp:positionV>
                <wp:extent cx="123825" cy="276225"/>
                <wp:effectExtent l="19050" t="0" r="47625" b="47625"/>
                <wp:wrapNone/>
                <wp:docPr id="862394653"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E5C27" id="Arrow: Down 1" o:spid="_x0000_s1026" type="#_x0000_t67" style="position:absolute;margin-left:222.75pt;margin-top:22.85pt;width:9.7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Reverse transcription into cDNA</w:t>
      </w:r>
    </w:p>
    <w:p w14:paraId="4E7EADB1" w14:textId="2F59BEDB" w:rsidR="0021181D" w:rsidRPr="00C07175" w:rsidRDefault="0021181D" w:rsidP="00F025BC">
      <w:pPr>
        <w:spacing w:line="360" w:lineRule="auto"/>
        <w:jc w:val="center"/>
        <w:rPr>
          <w:rFonts w:ascii="Arial" w:hAnsi="Arial" w:cs="Arial"/>
        </w:rPr>
      </w:pPr>
    </w:p>
    <w:p w14:paraId="3317D52D" w14:textId="38B3E390" w:rsidR="006D19D9" w:rsidRPr="00C07175" w:rsidRDefault="0021181D"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85888" behindDoc="0" locked="0" layoutInCell="1" allowOverlap="1" wp14:anchorId="623BED86" wp14:editId="15FB3786">
                <wp:simplePos x="0" y="0"/>
                <wp:positionH relativeFrom="column">
                  <wp:posOffset>2828925</wp:posOffset>
                </wp:positionH>
                <wp:positionV relativeFrom="paragraph">
                  <wp:posOffset>290195</wp:posOffset>
                </wp:positionV>
                <wp:extent cx="123825" cy="276225"/>
                <wp:effectExtent l="19050" t="0" r="47625" b="47625"/>
                <wp:wrapNone/>
                <wp:docPr id="1698370480"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4A591" id="Arrow: Down 1" o:spid="_x0000_s1026" type="#_x0000_t67" style="position:absolute;margin-left:222.75pt;margin-top:22.85pt;width:9.7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Adapted ligation</w:t>
      </w:r>
    </w:p>
    <w:p w14:paraId="6D534610" w14:textId="6DA6F28C" w:rsidR="0021181D" w:rsidRPr="00C07175" w:rsidRDefault="0021181D" w:rsidP="00F025BC">
      <w:pPr>
        <w:spacing w:line="360" w:lineRule="auto"/>
        <w:jc w:val="center"/>
        <w:rPr>
          <w:rFonts w:ascii="Arial" w:hAnsi="Arial" w:cs="Arial"/>
        </w:rPr>
      </w:pPr>
    </w:p>
    <w:p w14:paraId="3459F3F1" w14:textId="0F17046F" w:rsidR="006D19D9" w:rsidRPr="00C07175" w:rsidRDefault="0021181D"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87936" behindDoc="0" locked="0" layoutInCell="1" allowOverlap="1" wp14:anchorId="0213849D" wp14:editId="453A87C4">
                <wp:simplePos x="0" y="0"/>
                <wp:positionH relativeFrom="column">
                  <wp:posOffset>2838450</wp:posOffset>
                </wp:positionH>
                <wp:positionV relativeFrom="paragraph">
                  <wp:posOffset>290830</wp:posOffset>
                </wp:positionV>
                <wp:extent cx="123825" cy="276225"/>
                <wp:effectExtent l="19050" t="0" r="47625" b="47625"/>
                <wp:wrapNone/>
                <wp:docPr id="94793055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12B53" id="Arrow: Down 1" o:spid="_x0000_s1026" type="#_x0000_t67" style="position:absolute;margin-left:223.5pt;margin-top:22.9pt;width:9.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Amplification</w:t>
      </w:r>
    </w:p>
    <w:p w14:paraId="057E18FF" w14:textId="77777777" w:rsidR="00744EBA" w:rsidRPr="00C07175" w:rsidRDefault="00744EBA" w:rsidP="00744EBA">
      <w:pPr>
        <w:spacing w:line="360" w:lineRule="auto"/>
        <w:jc w:val="center"/>
        <w:rPr>
          <w:rFonts w:ascii="Arial" w:hAnsi="Arial" w:cs="Arial"/>
        </w:rPr>
      </w:pPr>
    </w:p>
    <w:p w14:paraId="5B8D5A16" w14:textId="3B27EB63" w:rsidR="00EE393D" w:rsidRPr="00C07175" w:rsidRDefault="006D19D9" w:rsidP="00744EBA">
      <w:pPr>
        <w:spacing w:line="360" w:lineRule="auto"/>
        <w:jc w:val="center"/>
        <w:rPr>
          <w:rFonts w:ascii="Arial" w:hAnsi="Arial" w:cs="Arial"/>
          <w:u w:val="single"/>
        </w:rPr>
      </w:pPr>
      <w:r w:rsidRPr="00C07175">
        <w:rPr>
          <w:rFonts w:ascii="Arial" w:hAnsi="Arial" w:cs="Arial"/>
        </w:rPr>
        <w:t>Sequencing</w:t>
      </w:r>
    </w:p>
    <w:p w14:paraId="14779272" w14:textId="77777777" w:rsidR="00C07175" w:rsidRDefault="00C07175" w:rsidP="00F025BC">
      <w:pPr>
        <w:spacing w:line="360" w:lineRule="auto"/>
        <w:jc w:val="both"/>
        <w:rPr>
          <w:rFonts w:ascii="Arial" w:hAnsi="Arial" w:cs="Arial"/>
          <w:i/>
          <w:iCs/>
        </w:rPr>
      </w:pPr>
    </w:p>
    <w:p w14:paraId="6324EC48" w14:textId="643305EF" w:rsidR="00902659" w:rsidRPr="007A53A9" w:rsidRDefault="00D92D0B" w:rsidP="00F025BC">
      <w:pPr>
        <w:spacing w:line="360" w:lineRule="auto"/>
        <w:jc w:val="both"/>
        <w:rPr>
          <w:rFonts w:ascii="Arial" w:hAnsi="Arial" w:cs="Arial"/>
          <w:b/>
          <w:bCs/>
        </w:rPr>
      </w:pPr>
      <w:r w:rsidRPr="007A53A9">
        <w:rPr>
          <w:rFonts w:ascii="Arial" w:hAnsi="Arial" w:cs="Arial"/>
          <w:b/>
          <w:bCs/>
        </w:rPr>
        <w:t>2.5.</w:t>
      </w:r>
      <w:r w:rsidR="00902659" w:rsidRPr="007A53A9">
        <w:rPr>
          <w:rFonts w:ascii="Arial" w:hAnsi="Arial" w:cs="Arial"/>
          <w:b/>
          <w:bCs/>
        </w:rPr>
        <w:t xml:space="preserve">Exome sequencing </w:t>
      </w:r>
    </w:p>
    <w:p w14:paraId="6FD8CE4C" w14:textId="3E350507" w:rsidR="00902659" w:rsidRPr="00C07175" w:rsidRDefault="00902659" w:rsidP="00F025BC">
      <w:pPr>
        <w:spacing w:line="360" w:lineRule="auto"/>
        <w:jc w:val="both"/>
        <w:rPr>
          <w:rFonts w:ascii="Arial" w:hAnsi="Arial" w:cs="Arial"/>
        </w:rPr>
      </w:pPr>
      <w:r w:rsidRPr="00C07175">
        <w:rPr>
          <w:rFonts w:ascii="Arial" w:hAnsi="Arial" w:cs="Arial"/>
        </w:rPr>
        <w:t xml:space="preserve">It is a powerful method to selectively sequence the coding regions of the genome as a less costly alternative to whole genome sequencing (Ng </w:t>
      </w:r>
      <w:r w:rsidR="006B78DD" w:rsidRPr="006B78DD">
        <w:rPr>
          <w:rFonts w:ascii="Arial" w:hAnsi="Arial" w:cs="Arial"/>
          <w:i/>
          <w:iCs/>
        </w:rPr>
        <w:t>et al.,</w:t>
      </w:r>
      <w:r w:rsidRPr="00C07175">
        <w:rPr>
          <w:rFonts w:ascii="Arial" w:hAnsi="Arial" w:cs="Arial"/>
        </w:rPr>
        <w:t xml:space="preserve"> 2009). Exome sequencing restricts attention only to the genomic fraction that encodes for mRNA and eventually a phenotype, and is thus considered to be adequate to explain the molecular origin of genetic variation (induced/natural). Coding sequences </w:t>
      </w:r>
      <w:r w:rsidR="000D1A0F">
        <w:rPr>
          <w:rFonts w:ascii="Arial" w:hAnsi="Arial" w:cs="Arial"/>
        </w:rPr>
        <w:t>represent</w:t>
      </w:r>
      <w:r w:rsidRPr="00C07175">
        <w:rPr>
          <w:rFonts w:ascii="Arial" w:hAnsi="Arial" w:cs="Arial"/>
        </w:rPr>
        <w:t xml:space="preserve"> only 1–2% of genome depending on species (Warr </w:t>
      </w:r>
      <w:r w:rsidR="006B78DD" w:rsidRPr="006B78DD">
        <w:rPr>
          <w:rFonts w:ascii="Arial" w:hAnsi="Arial" w:cs="Arial"/>
          <w:i/>
          <w:iCs/>
        </w:rPr>
        <w:t>et al.,</w:t>
      </w:r>
      <w:r w:rsidRPr="00C07175">
        <w:rPr>
          <w:rFonts w:ascii="Arial" w:hAnsi="Arial" w:cs="Arial"/>
        </w:rPr>
        <w:t xml:space="preserve"> 2015) and comprises high level of functional variants and low repeat content. Whole exome sequencing (WES) holds certain advantages over its comparable approaches, like RNA sequencing, that is sometimes limited by the bias of transcript abundance and also dependent on tissue and stage while exome sequencing permits exploration of the genes and </w:t>
      </w:r>
      <w:r w:rsidRPr="00C07175">
        <w:rPr>
          <w:rFonts w:ascii="Arial" w:hAnsi="Arial" w:cs="Arial"/>
        </w:rPr>
        <w:lastRenderedPageBreak/>
        <w:t xml:space="preserve">alleles. s. Other methodologies viz., EST sequencing, high Cot DNA selection (Barbazuk </w:t>
      </w:r>
      <w:r w:rsidR="006B78DD" w:rsidRPr="006B78DD">
        <w:rPr>
          <w:rFonts w:ascii="Arial" w:hAnsi="Arial" w:cs="Arial"/>
          <w:i/>
          <w:iCs/>
        </w:rPr>
        <w:t>et al.,</w:t>
      </w:r>
      <w:r w:rsidRPr="00C07175">
        <w:rPr>
          <w:rFonts w:ascii="Arial" w:hAnsi="Arial" w:cs="Arial"/>
        </w:rPr>
        <w:t xml:space="preserve"> 2005) are less efficient in delivering specific sequences in targeted manner (Fu </w:t>
      </w:r>
      <w:r w:rsidR="006B78DD" w:rsidRPr="006B78DD">
        <w:rPr>
          <w:rFonts w:ascii="Arial" w:hAnsi="Arial" w:cs="Arial"/>
          <w:i/>
          <w:iCs/>
        </w:rPr>
        <w:t>et al.,</w:t>
      </w:r>
      <w:r w:rsidRPr="00C07175">
        <w:rPr>
          <w:rFonts w:ascii="Arial" w:hAnsi="Arial" w:cs="Arial"/>
        </w:rPr>
        <w:t xml:space="preserve"> 2010). Exome sequencing serves a great advantage when WGS is either not practical or necessary and as an adjunct to later. WES also holds a wide applicability for crop improvement namely in (a) investigation of the molecular basis of natural variation and induced mutation, (b) identification of new genetic markers and rare variants, (c) and as an effective alternative for genomics studies of non-model and related wild species.</w:t>
      </w:r>
    </w:p>
    <w:p w14:paraId="735EC12D" w14:textId="4EABC902" w:rsidR="00581C48" w:rsidRPr="007A53A9" w:rsidRDefault="00D92D0B" w:rsidP="00F025BC">
      <w:pPr>
        <w:spacing w:line="360" w:lineRule="auto"/>
        <w:jc w:val="both"/>
        <w:rPr>
          <w:rFonts w:ascii="Arial" w:hAnsi="Arial" w:cs="Arial"/>
          <w:b/>
          <w:bCs/>
        </w:rPr>
      </w:pPr>
      <w:r w:rsidRPr="007A53A9">
        <w:rPr>
          <w:rFonts w:ascii="Arial" w:hAnsi="Arial" w:cs="Arial"/>
          <w:b/>
          <w:bCs/>
        </w:rPr>
        <w:t>2.6.</w:t>
      </w:r>
      <w:r w:rsidR="00581C48" w:rsidRPr="007A53A9">
        <w:rPr>
          <w:rFonts w:ascii="Arial" w:hAnsi="Arial" w:cs="Arial"/>
          <w:b/>
          <w:bCs/>
        </w:rPr>
        <w:t xml:space="preserve">Enhancer trapping </w:t>
      </w:r>
    </w:p>
    <w:p w14:paraId="742A7710" w14:textId="43AFF366" w:rsidR="00581C48" w:rsidRPr="00C07175" w:rsidRDefault="00D62C8D" w:rsidP="00F025BC">
      <w:pPr>
        <w:spacing w:line="360" w:lineRule="auto"/>
        <w:jc w:val="both"/>
        <w:rPr>
          <w:rFonts w:ascii="Arial" w:hAnsi="Arial" w:cs="Arial"/>
        </w:rPr>
      </w:pPr>
      <w:r w:rsidRPr="00C07175">
        <w:rPr>
          <w:rFonts w:ascii="Arial" w:hAnsi="Arial" w:cs="Arial"/>
        </w:rPr>
        <w:tab/>
      </w:r>
      <w:r w:rsidR="00581C48" w:rsidRPr="00C07175">
        <w:rPr>
          <w:rFonts w:ascii="Arial" w:hAnsi="Arial" w:cs="Arial"/>
        </w:rPr>
        <w:t>Enhancer trapping is an effective method for identifying novel genes and regulatory elements. Enhancers are stretches of DNA sequences that regulate genes lying far downstream or upstream. They are capable of activating genes from long distances.</w:t>
      </w:r>
      <w:r w:rsidR="009B32AA" w:rsidRPr="00C07175">
        <w:rPr>
          <w:rFonts w:ascii="Arial" w:hAnsi="Arial" w:cs="Arial"/>
        </w:rPr>
        <w:t xml:space="preserve"> </w:t>
      </w:r>
      <w:r w:rsidR="002A21A1" w:rsidRPr="00C07175">
        <w:rPr>
          <w:rFonts w:ascii="Arial" w:hAnsi="Arial" w:cs="Arial"/>
        </w:rPr>
        <w:t>The enhancer trap system is a valuable technique for discovering novel genes and regulatory elements by observing the expression pattern of a reporter gene randomly integrated into the genome. In this system, the reporter gene is linked to a minimal promoter, usually containing a TATA box and a transcription start site. This minimal promoter alone cannot initiate reporter gene expression but can be activated by an enhancer element located in the adjacent genomic region.</w:t>
      </w:r>
    </w:p>
    <w:p w14:paraId="62342996" w14:textId="2CE13236" w:rsidR="002A21A1" w:rsidRPr="00C07175" w:rsidRDefault="002A21A1" w:rsidP="00F025BC">
      <w:pPr>
        <w:spacing w:line="360" w:lineRule="auto"/>
        <w:jc w:val="both"/>
        <w:rPr>
          <w:rFonts w:ascii="Arial" w:hAnsi="Arial" w:cs="Arial"/>
        </w:rPr>
      </w:pPr>
      <w:r w:rsidRPr="00C07175">
        <w:rPr>
          <w:rFonts w:ascii="Arial" w:hAnsi="Arial" w:cs="Arial"/>
        </w:rPr>
        <w:t xml:space="preserve">This technology was first applied in bacteria (Casadaban and Cohen, 1979) and is now widely used in animal research, especially in </w:t>
      </w:r>
      <w:r w:rsidRPr="007A53A9">
        <w:rPr>
          <w:rFonts w:ascii="Arial" w:hAnsi="Arial" w:cs="Arial"/>
          <w:i/>
          <w:iCs/>
        </w:rPr>
        <w:t>Drosophila</w:t>
      </w:r>
      <w:r w:rsidRPr="00C07175">
        <w:rPr>
          <w:rFonts w:ascii="Arial" w:hAnsi="Arial" w:cs="Arial"/>
        </w:rPr>
        <w:t xml:space="preserve"> (Bellen, 1999). There have also been reports on the establishment of such a system in Arabidopsis (Campisi </w:t>
      </w:r>
      <w:r w:rsidR="006B78DD" w:rsidRPr="006B78DD">
        <w:rPr>
          <w:rFonts w:ascii="Arial" w:hAnsi="Arial" w:cs="Arial"/>
          <w:i/>
          <w:iCs/>
        </w:rPr>
        <w:t>et al.,</w:t>
      </w:r>
      <w:r w:rsidRPr="00C07175">
        <w:rPr>
          <w:rFonts w:ascii="Arial" w:hAnsi="Arial" w:cs="Arial"/>
        </w:rPr>
        <w:t xml:space="preserve"> 1999; Sundaresan </w:t>
      </w:r>
      <w:r w:rsidR="006B78DD" w:rsidRPr="006B78DD">
        <w:rPr>
          <w:rFonts w:ascii="Arial" w:hAnsi="Arial" w:cs="Arial"/>
          <w:i/>
          <w:iCs/>
        </w:rPr>
        <w:t>et al.,</w:t>
      </w:r>
      <w:r w:rsidRPr="00C07175">
        <w:rPr>
          <w:rFonts w:ascii="Arial" w:hAnsi="Arial" w:cs="Arial"/>
        </w:rPr>
        <w:t xml:space="preserve"> 1995).</w:t>
      </w:r>
      <w:r w:rsidR="00FB6EA3" w:rsidRPr="00C07175">
        <w:rPr>
          <w:rFonts w:ascii="Arial" w:hAnsi="Arial" w:cs="Arial"/>
        </w:rPr>
        <w:t xml:space="preserve"> In ladybird beetle, </w:t>
      </w:r>
      <w:r w:rsidR="00FB6EA3" w:rsidRPr="00C07175">
        <w:rPr>
          <w:rFonts w:ascii="Arial" w:hAnsi="Arial" w:cs="Arial"/>
          <w:i/>
          <w:iCs/>
        </w:rPr>
        <w:t>Harmonia axyridis</w:t>
      </w:r>
      <w:r w:rsidR="00FB6EA3" w:rsidRPr="00C07175">
        <w:rPr>
          <w:rFonts w:ascii="Arial" w:hAnsi="Arial" w:cs="Arial"/>
        </w:rPr>
        <w:t xml:space="preserve">, the first enhancer-trap system was established by Kuwayama </w:t>
      </w:r>
      <w:r w:rsidR="006B78DD" w:rsidRPr="006B78DD">
        <w:rPr>
          <w:rFonts w:ascii="Arial" w:hAnsi="Arial" w:cs="Arial"/>
          <w:i/>
          <w:iCs/>
        </w:rPr>
        <w:t>et al.,</w:t>
      </w:r>
      <w:r w:rsidR="00FB6EA3" w:rsidRPr="00C07175">
        <w:rPr>
          <w:rFonts w:ascii="Arial" w:hAnsi="Arial" w:cs="Arial"/>
        </w:rPr>
        <w:t xml:space="preserve"> (2014). They used a single vector comprising two main elements: a "mutator" cassette that acted as the enhancer detector element and a transposase-expressing cassette to catalyze the remobilization of the "mutator," thus allowing the genome to be scanned for enhancers. </w:t>
      </w:r>
    </w:p>
    <w:p w14:paraId="34BF65C7" w14:textId="0B7E42E0" w:rsidR="00426EB9" w:rsidRPr="007A53A9" w:rsidRDefault="00D92D0B" w:rsidP="00F025BC">
      <w:pPr>
        <w:spacing w:line="360" w:lineRule="auto"/>
        <w:jc w:val="both"/>
        <w:rPr>
          <w:rFonts w:ascii="Arial" w:hAnsi="Arial" w:cs="Arial"/>
          <w:b/>
          <w:bCs/>
        </w:rPr>
      </w:pPr>
      <w:r w:rsidRPr="007A53A9">
        <w:rPr>
          <w:rFonts w:ascii="Arial" w:hAnsi="Arial" w:cs="Arial"/>
          <w:b/>
          <w:bCs/>
        </w:rPr>
        <w:t>2.7.</w:t>
      </w:r>
      <w:r w:rsidR="00823E82" w:rsidRPr="007A53A9">
        <w:rPr>
          <w:rFonts w:ascii="Arial" w:hAnsi="Arial" w:cs="Arial"/>
          <w:b/>
          <w:bCs/>
        </w:rPr>
        <w:t>Delete-a-gene</w:t>
      </w:r>
      <w:r w:rsidR="0021181D" w:rsidRPr="007A53A9">
        <w:rPr>
          <w:rFonts w:ascii="Arial" w:hAnsi="Arial" w:cs="Arial"/>
          <w:b/>
          <w:bCs/>
        </w:rPr>
        <w:t xml:space="preserve">   </w:t>
      </w:r>
    </w:p>
    <w:p w14:paraId="715B26E7" w14:textId="2A43E166" w:rsidR="00447A69" w:rsidRPr="00C07175" w:rsidRDefault="00D62C8D" w:rsidP="00F025BC">
      <w:pPr>
        <w:spacing w:line="360" w:lineRule="auto"/>
        <w:jc w:val="both"/>
        <w:rPr>
          <w:rFonts w:ascii="Arial" w:hAnsi="Arial" w:cs="Arial"/>
        </w:rPr>
      </w:pPr>
      <w:r w:rsidRPr="00C07175">
        <w:rPr>
          <w:rFonts w:ascii="Arial" w:hAnsi="Arial" w:cs="Arial"/>
        </w:rPr>
        <w:tab/>
      </w:r>
      <w:r w:rsidR="00426EB9" w:rsidRPr="00C07175">
        <w:rPr>
          <w:rFonts w:ascii="Arial" w:hAnsi="Arial" w:cs="Arial"/>
        </w:rPr>
        <w:t>Fast neutron mutagenesis has long been used for forward genetic studies in plants. Only recently has it been used for reverse genetics. By combining fast neutron mutagenesis and high throughput PCR screening, a new knockout methodology, Deleteagene (Delete-a-gene), was developed in Arabidopsis and rice to obtain deletion mutants for target genes</w:t>
      </w:r>
      <w:r w:rsidR="00DF21C6" w:rsidRPr="00C07175">
        <w:rPr>
          <w:rFonts w:ascii="Arial" w:hAnsi="Arial" w:cs="Arial"/>
        </w:rPr>
        <w:t xml:space="preserve">. In addition to the insertion-based knockout approaches, Deleteagene (Delete-a-gene) and TILLING (targeting induced local lesions in genomes) are two methods that are very effective in obtaining mutants for target genes in Arabidopsis (McCallum </w:t>
      </w:r>
      <w:r w:rsidR="006B78DD" w:rsidRPr="006B78DD">
        <w:rPr>
          <w:rFonts w:ascii="Arial" w:hAnsi="Arial" w:cs="Arial"/>
          <w:i/>
          <w:iCs/>
        </w:rPr>
        <w:t>et al.,</w:t>
      </w:r>
      <w:r w:rsidR="00DF21C6" w:rsidRPr="00C07175">
        <w:rPr>
          <w:rFonts w:ascii="Arial" w:hAnsi="Arial" w:cs="Arial"/>
        </w:rPr>
        <w:t xml:space="preserve"> 2000; Li </w:t>
      </w:r>
      <w:r w:rsidR="006B78DD" w:rsidRPr="006B78DD">
        <w:rPr>
          <w:rFonts w:ascii="Arial" w:hAnsi="Arial" w:cs="Arial"/>
          <w:i/>
          <w:iCs/>
        </w:rPr>
        <w:t>et al.,</w:t>
      </w:r>
      <w:r w:rsidR="00DF21C6" w:rsidRPr="00C07175">
        <w:rPr>
          <w:rFonts w:ascii="Arial" w:hAnsi="Arial" w:cs="Arial"/>
        </w:rPr>
        <w:t xml:space="preserve"> 2001). Deleteagene is used as the deletion-based gene knockout platform for plants. The tomato mutant database referred to as ‘TOMATOMA’, having phenotypic and metabolic data, was </w:t>
      </w:r>
      <w:r w:rsidR="00DF21C6" w:rsidRPr="00C07175">
        <w:rPr>
          <w:rFonts w:ascii="Arial" w:hAnsi="Arial" w:cs="Arial"/>
        </w:rPr>
        <w:lastRenderedPageBreak/>
        <w:t xml:space="preserve">developed after generating ethylmethane-sulphonate- or gamma-irradiation-derived tomato mutant lines, and this system has been used to screen for mutations for specific fruit traits and development of new varieties (Shikata </w:t>
      </w:r>
      <w:r w:rsidR="006B78DD" w:rsidRPr="006B78DD">
        <w:rPr>
          <w:rFonts w:ascii="Arial" w:hAnsi="Arial" w:cs="Arial"/>
          <w:i/>
          <w:iCs/>
        </w:rPr>
        <w:t>et al.,</w:t>
      </w:r>
      <w:r w:rsidR="00DF21C6" w:rsidRPr="00C07175">
        <w:rPr>
          <w:rFonts w:ascii="Arial" w:hAnsi="Arial" w:cs="Arial"/>
        </w:rPr>
        <w:t xml:space="preserve"> 2016: Shirasawa </w:t>
      </w:r>
      <w:r w:rsidR="006B78DD" w:rsidRPr="006B78DD">
        <w:rPr>
          <w:rFonts w:ascii="Arial" w:hAnsi="Arial" w:cs="Arial"/>
          <w:i/>
          <w:iCs/>
        </w:rPr>
        <w:t>et al.,</w:t>
      </w:r>
      <w:r w:rsidR="00DF21C6" w:rsidRPr="00C07175">
        <w:rPr>
          <w:rFonts w:ascii="Arial" w:hAnsi="Arial" w:cs="Arial"/>
        </w:rPr>
        <w:t xml:space="preserve"> 2016). </w:t>
      </w:r>
      <w:r w:rsidR="00B1714E" w:rsidRPr="00C07175">
        <w:rPr>
          <w:rFonts w:ascii="Arial" w:hAnsi="Arial" w:cs="Arial"/>
        </w:rPr>
        <w:t>Deleteagene can be applied to almost any plant species. In crop plants such as rice, which has large amount of genomic sequence information, Deleteagene can be used very effectively to knockout target genes. On the other hand, it is very difficult to saturate the rice genome with T-DNA or transposable elements since rice has a genome size three to four times larger than Arabidopsis and transformation in rice is not nearly as efficient as in Arabidopsis.</w:t>
      </w:r>
    </w:p>
    <w:p w14:paraId="5401787D" w14:textId="49780CEB" w:rsidR="00132F52" w:rsidRPr="00C07175" w:rsidRDefault="00B1714E" w:rsidP="00F025BC">
      <w:pPr>
        <w:spacing w:line="360" w:lineRule="auto"/>
        <w:jc w:val="both"/>
        <w:rPr>
          <w:rFonts w:ascii="Arial" w:hAnsi="Arial" w:cs="Arial"/>
        </w:rPr>
      </w:pPr>
      <w:r w:rsidRPr="00C07175">
        <w:rPr>
          <w:rFonts w:ascii="Arial" w:hAnsi="Arial" w:cs="Arial"/>
        </w:rPr>
        <w:t xml:space="preserve">In crop plants, deleting unwanted genes from the existing germlines can also be used as a strategy to generate desirable phenotypes for agriculture. For example, soybeans with reduced concentrations of antinutritional oligosaccarides, stachyose, raffinose, and galactose can be obtained by inactivating genes involved in the synthesis of these compounds </w:t>
      </w:r>
      <w:commentRangeStart w:id="4"/>
      <w:r w:rsidRPr="00C07175">
        <w:rPr>
          <w:rFonts w:ascii="Arial" w:hAnsi="Arial" w:cs="Arial"/>
        </w:rPr>
        <w:t xml:space="preserve">(Mazur </w:t>
      </w:r>
      <w:r w:rsidR="006B78DD" w:rsidRPr="006B78DD">
        <w:rPr>
          <w:rFonts w:ascii="Arial" w:hAnsi="Arial" w:cs="Arial"/>
          <w:i/>
          <w:iCs/>
        </w:rPr>
        <w:t>et al.,</w:t>
      </w:r>
      <w:r w:rsidRPr="00C07175">
        <w:rPr>
          <w:rFonts w:ascii="Arial" w:hAnsi="Arial" w:cs="Arial"/>
        </w:rPr>
        <w:t xml:space="preserve"> 1999). </w:t>
      </w:r>
      <w:commentRangeEnd w:id="4"/>
      <w:r w:rsidR="000D1A0F" w:rsidRPr="00C07175">
        <w:rPr>
          <w:rStyle w:val="CommentReference"/>
          <w:rFonts w:ascii="Arial" w:hAnsi="Arial" w:cs="Arial"/>
          <w:sz w:val="22"/>
          <w:szCs w:val="22"/>
        </w:rPr>
        <w:commentReference w:id="4"/>
      </w:r>
    </w:p>
    <w:p w14:paraId="57ECCFEE" w14:textId="40E96096" w:rsidR="004309A5" w:rsidRPr="00C07175" w:rsidRDefault="00823E82"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89984" behindDoc="0" locked="0" layoutInCell="1" allowOverlap="1" wp14:anchorId="67A8CC4A" wp14:editId="759E31CF">
                <wp:simplePos x="0" y="0"/>
                <wp:positionH relativeFrom="column">
                  <wp:posOffset>2686050</wp:posOffset>
                </wp:positionH>
                <wp:positionV relativeFrom="paragraph">
                  <wp:posOffset>290195</wp:posOffset>
                </wp:positionV>
                <wp:extent cx="123825" cy="276225"/>
                <wp:effectExtent l="19050" t="0" r="47625" b="47625"/>
                <wp:wrapNone/>
                <wp:docPr id="1525648669"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FD18B" id="Arrow: Down 1" o:spid="_x0000_s1026" type="#_x0000_t67" style="position:absolute;margin-left:211.5pt;margin-top:22.85pt;width: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" adj="16759" fillcolor="#4472c4 [3204]" strokecolor="#09101d [484]" strokeweight="1pt"/>
            </w:pict>
          </mc:Fallback>
        </mc:AlternateContent>
      </w:r>
      <w:r w:rsidRPr="00C07175">
        <w:rPr>
          <w:rFonts w:ascii="Arial" w:hAnsi="Arial" w:cs="Arial"/>
        </w:rPr>
        <w:t>Wild type seeds are treated with fast neutrons for the development of deletion library</w:t>
      </w:r>
    </w:p>
    <w:p w14:paraId="15359309" w14:textId="185FE74E" w:rsidR="00823E82" w:rsidRPr="00C07175" w:rsidRDefault="00823E82" w:rsidP="00F025BC">
      <w:pPr>
        <w:spacing w:line="360" w:lineRule="auto"/>
        <w:jc w:val="center"/>
        <w:rPr>
          <w:rFonts w:ascii="Arial" w:hAnsi="Arial" w:cs="Arial"/>
        </w:rPr>
      </w:pPr>
    </w:p>
    <w:p w14:paraId="225FAB1F" w14:textId="50C146EE" w:rsidR="004309A5" w:rsidRPr="00C07175" w:rsidRDefault="00823E82"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92032" behindDoc="0" locked="0" layoutInCell="1" allowOverlap="1" wp14:anchorId="17CA89EF" wp14:editId="50E9C6F0">
                <wp:simplePos x="0" y="0"/>
                <wp:positionH relativeFrom="column">
                  <wp:posOffset>2705100</wp:posOffset>
                </wp:positionH>
                <wp:positionV relativeFrom="paragraph">
                  <wp:posOffset>290195</wp:posOffset>
                </wp:positionV>
                <wp:extent cx="123825" cy="276225"/>
                <wp:effectExtent l="19050" t="0" r="47625" b="47625"/>
                <wp:wrapNone/>
                <wp:docPr id="100545659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AA142" id="Arrow: Down 1" o:spid="_x0000_s1026" type="#_x0000_t67" style="position:absolute;margin-left:213pt;margin-top:22.85pt;width:9.7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" adj="16759" fillcolor="#4472c4 [3204]" strokecolor="#09101d [484]" strokeweight="1pt"/>
            </w:pict>
          </mc:Fallback>
        </mc:AlternateContent>
      </w:r>
      <w:r w:rsidRPr="00C07175">
        <w:rPr>
          <w:rFonts w:ascii="Arial" w:hAnsi="Arial" w:cs="Arial"/>
        </w:rPr>
        <w:t>M2 seeds from the individual plants are harvested and stored</w:t>
      </w:r>
    </w:p>
    <w:p w14:paraId="4BE5C51F" w14:textId="6F98B76A" w:rsidR="00823E82" w:rsidRPr="00C07175" w:rsidRDefault="00823E82" w:rsidP="00F025BC">
      <w:pPr>
        <w:spacing w:line="360" w:lineRule="auto"/>
        <w:jc w:val="center"/>
        <w:rPr>
          <w:rFonts w:ascii="Arial" w:hAnsi="Arial" w:cs="Arial"/>
        </w:rPr>
      </w:pPr>
    </w:p>
    <w:p w14:paraId="3BDB4204" w14:textId="54E170D0" w:rsidR="004309A5" w:rsidRPr="00C07175" w:rsidRDefault="00823E82"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94080" behindDoc="0" locked="0" layoutInCell="1" allowOverlap="1" wp14:anchorId="3B9B5A41" wp14:editId="3381BF07">
                <wp:simplePos x="0" y="0"/>
                <wp:positionH relativeFrom="column">
                  <wp:posOffset>2714625</wp:posOffset>
                </wp:positionH>
                <wp:positionV relativeFrom="paragraph">
                  <wp:posOffset>290830</wp:posOffset>
                </wp:positionV>
                <wp:extent cx="123825" cy="276225"/>
                <wp:effectExtent l="19050" t="0" r="47625" b="47625"/>
                <wp:wrapNone/>
                <wp:docPr id="164716435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E377A" id="Arrow: Down 1" o:spid="_x0000_s1026" type="#_x0000_t67" style="position:absolute;margin-left:213.75pt;margin-top:22.9pt;width:9.7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" adj="16759" fillcolor="#4472c4 [3204]" strokecolor="#09101d [484]" strokeweight="1pt"/>
            </w:pict>
          </mc:Fallback>
        </mc:AlternateContent>
      </w:r>
      <w:r w:rsidRPr="00C07175">
        <w:rPr>
          <w:rFonts w:ascii="Arial" w:hAnsi="Arial" w:cs="Arial"/>
        </w:rPr>
        <w:t>A small portion of the M2 seeds from each m1 line is planted again.</w:t>
      </w:r>
    </w:p>
    <w:p w14:paraId="33112893" w14:textId="200E04F8" w:rsidR="00823E82" w:rsidRPr="00C07175" w:rsidRDefault="00823E82" w:rsidP="00F025BC">
      <w:pPr>
        <w:spacing w:line="360" w:lineRule="auto"/>
        <w:jc w:val="center"/>
        <w:rPr>
          <w:rFonts w:ascii="Arial" w:hAnsi="Arial" w:cs="Arial"/>
        </w:rPr>
      </w:pPr>
    </w:p>
    <w:p w14:paraId="4BD7A953" w14:textId="16AD3615" w:rsidR="004309A5" w:rsidRPr="00C07175" w:rsidRDefault="004309A5" w:rsidP="00F025BC">
      <w:pPr>
        <w:spacing w:line="360" w:lineRule="auto"/>
        <w:jc w:val="center"/>
        <w:rPr>
          <w:rFonts w:ascii="Arial" w:hAnsi="Arial" w:cs="Arial"/>
        </w:rPr>
      </w:pPr>
      <w:r w:rsidRPr="00C07175">
        <w:rPr>
          <w:rFonts w:ascii="Arial" w:hAnsi="Arial" w:cs="Arial"/>
        </w:rPr>
        <w:t xml:space="preserve">Tissue samples are </w:t>
      </w:r>
      <w:r w:rsidR="00823E82" w:rsidRPr="00C07175">
        <w:rPr>
          <w:rFonts w:ascii="Arial" w:hAnsi="Arial" w:cs="Arial"/>
        </w:rPr>
        <w:t>collected from the M2 seedlings and used to isolate genomic DNA representing the corresponding mutant lines</w:t>
      </w:r>
    </w:p>
    <w:p w14:paraId="5F5D02A8" w14:textId="06E1559F" w:rsidR="00823E82" w:rsidRPr="00C07175" w:rsidRDefault="00823E82"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96128" behindDoc="0" locked="0" layoutInCell="1" allowOverlap="1" wp14:anchorId="0D9E7893" wp14:editId="138A4138">
                <wp:simplePos x="0" y="0"/>
                <wp:positionH relativeFrom="column">
                  <wp:posOffset>2733675</wp:posOffset>
                </wp:positionH>
                <wp:positionV relativeFrom="paragraph">
                  <wp:posOffset>-635</wp:posOffset>
                </wp:positionV>
                <wp:extent cx="123825" cy="276225"/>
                <wp:effectExtent l="19050" t="0" r="47625" b="47625"/>
                <wp:wrapNone/>
                <wp:docPr id="49590823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9FFE3" id="Arrow: Down 1" o:spid="_x0000_s1026" type="#_x0000_t67" style="position:absolute;margin-left:215.25pt;margin-top:-.05pt;width:9.7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" adj="16759" fillcolor="#4472c4 [3204]" strokecolor="#09101d [484]" strokeweight="1pt"/>
            </w:pict>
          </mc:Fallback>
        </mc:AlternateContent>
      </w:r>
    </w:p>
    <w:p w14:paraId="18622BD6" w14:textId="2485346C" w:rsidR="004309A5" w:rsidRPr="00C07175" w:rsidRDefault="00823E82"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698176" behindDoc="0" locked="0" layoutInCell="1" allowOverlap="1" wp14:anchorId="7FAA3E25" wp14:editId="39F4B45F">
                <wp:simplePos x="0" y="0"/>
                <wp:positionH relativeFrom="column">
                  <wp:posOffset>2733675</wp:posOffset>
                </wp:positionH>
                <wp:positionV relativeFrom="paragraph">
                  <wp:posOffset>290830</wp:posOffset>
                </wp:positionV>
                <wp:extent cx="123825" cy="276225"/>
                <wp:effectExtent l="19050" t="0" r="47625" b="47625"/>
                <wp:wrapNone/>
                <wp:docPr id="822450527"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30950" id="Arrow: Down 1" o:spid="_x0000_s1026" type="#_x0000_t67" style="position:absolute;margin-left:215.25pt;margin-top:22.9pt;width:9.7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" adj="16759" fillcolor="#4472c4 [3204]" strokecolor="#09101d [484]" strokeweight="1pt"/>
            </w:pict>
          </mc:Fallback>
        </mc:AlternateContent>
      </w:r>
      <w:r w:rsidRPr="00C07175">
        <w:rPr>
          <w:rFonts w:ascii="Arial" w:hAnsi="Arial" w:cs="Arial"/>
        </w:rPr>
        <w:t>Pooling of DNA and subsequent screening</w:t>
      </w:r>
    </w:p>
    <w:p w14:paraId="1FF66777" w14:textId="7BA5D910" w:rsidR="00823E82" w:rsidRPr="00C07175" w:rsidRDefault="00823E82" w:rsidP="00F025BC">
      <w:pPr>
        <w:spacing w:line="360" w:lineRule="auto"/>
        <w:jc w:val="center"/>
        <w:rPr>
          <w:rFonts w:ascii="Arial" w:hAnsi="Arial" w:cs="Arial"/>
        </w:rPr>
      </w:pPr>
    </w:p>
    <w:p w14:paraId="23DD79F6" w14:textId="360D94F7" w:rsidR="004309A5" w:rsidRPr="00C07175" w:rsidRDefault="00823E82" w:rsidP="00F025BC">
      <w:pPr>
        <w:spacing w:line="360" w:lineRule="auto"/>
        <w:jc w:val="center"/>
        <w:rPr>
          <w:rFonts w:ascii="Arial" w:hAnsi="Arial" w:cs="Arial"/>
        </w:rPr>
      </w:pPr>
      <w:r w:rsidRPr="00C07175">
        <w:rPr>
          <w:rFonts w:ascii="Arial" w:hAnsi="Arial" w:cs="Arial"/>
        </w:rPr>
        <w:t>Insertion library screening by PCR using a gene-specific primer and a primer specific to the insertion element (only the mutant DNA is amplified).</w:t>
      </w:r>
    </w:p>
    <w:p w14:paraId="31B3B036" w14:textId="0B4C4DB1" w:rsidR="00823E82" w:rsidRPr="00C07175" w:rsidRDefault="00823E82"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00224" behindDoc="0" locked="0" layoutInCell="1" allowOverlap="1" wp14:anchorId="094D2E22" wp14:editId="7BB86EBC">
                <wp:simplePos x="0" y="0"/>
                <wp:positionH relativeFrom="column">
                  <wp:posOffset>2733675</wp:posOffset>
                </wp:positionH>
                <wp:positionV relativeFrom="paragraph">
                  <wp:posOffset>-635</wp:posOffset>
                </wp:positionV>
                <wp:extent cx="123825" cy="276225"/>
                <wp:effectExtent l="19050" t="0" r="47625" b="47625"/>
                <wp:wrapNone/>
                <wp:docPr id="190662245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2A649" id="Arrow: Down 1" o:spid="_x0000_s1026" type="#_x0000_t67" style="position:absolute;margin-left:215.25pt;margin-top:-.05pt;width:9.7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" adj="16759" fillcolor="#4472c4 [3204]" strokecolor="#09101d [484]" strokeweight="1pt"/>
            </w:pict>
          </mc:Fallback>
        </mc:AlternateContent>
      </w:r>
    </w:p>
    <w:p w14:paraId="5ED867E1" w14:textId="41ED7E66" w:rsidR="00E33274" w:rsidRPr="00C07175" w:rsidRDefault="00823E82" w:rsidP="00F025BC">
      <w:pPr>
        <w:spacing w:line="360" w:lineRule="auto"/>
        <w:jc w:val="center"/>
        <w:rPr>
          <w:rFonts w:ascii="Arial" w:hAnsi="Arial" w:cs="Arial"/>
        </w:rPr>
      </w:pPr>
      <w:r w:rsidRPr="00C07175">
        <w:rPr>
          <w:rFonts w:ascii="Arial" w:hAnsi="Arial" w:cs="Arial"/>
        </w:rPr>
        <w:t>Deletion mutant screening by PCR using two primers specific to the targeted locus (both wild type and mutant genes are amplified).</w:t>
      </w:r>
    </w:p>
    <w:p w14:paraId="5D002218" w14:textId="650E9411" w:rsidR="00F025BC" w:rsidRPr="00C07175" w:rsidRDefault="00F025BC" w:rsidP="00F025BC">
      <w:pPr>
        <w:spacing w:line="360" w:lineRule="auto"/>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02272" behindDoc="0" locked="0" layoutInCell="1" allowOverlap="1" wp14:anchorId="5B04DFF7" wp14:editId="461B5454">
                <wp:simplePos x="0" y="0"/>
                <wp:positionH relativeFrom="column">
                  <wp:posOffset>2686050</wp:posOffset>
                </wp:positionH>
                <wp:positionV relativeFrom="paragraph">
                  <wp:posOffset>21590</wp:posOffset>
                </wp:positionV>
                <wp:extent cx="123825" cy="276225"/>
                <wp:effectExtent l="19050" t="0" r="47625" b="47625"/>
                <wp:wrapNone/>
                <wp:docPr id="43101785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7A672" id="Arrow: Down 1" o:spid="_x0000_s1026" type="#_x0000_t67" style="position:absolute;margin-left:211.5pt;margin-top:1.7pt;width:9.7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" adj="16759" fillcolor="#4472c4 [3204]" strokecolor="#09101d [484]" strokeweight="1pt"/>
            </w:pict>
          </mc:Fallback>
        </mc:AlternateContent>
      </w:r>
    </w:p>
    <w:p w14:paraId="7DC69138" w14:textId="34420D8C" w:rsidR="00823E82" w:rsidRPr="00C07175" w:rsidRDefault="00823E82" w:rsidP="00F025BC">
      <w:pPr>
        <w:spacing w:line="360" w:lineRule="auto"/>
        <w:rPr>
          <w:rFonts w:ascii="Arial" w:hAnsi="Arial" w:cs="Arial"/>
        </w:rPr>
      </w:pPr>
      <w:r w:rsidRPr="00C07175">
        <w:rPr>
          <w:rFonts w:ascii="Arial" w:hAnsi="Arial" w:cs="Arial"/>
        </w:rPr>
        <w:lastRenderedPageBreak/>
        <w:t>In Delete</w:t>
      </w:r>
      <w:r w:rsidR="00F025BC" w:rsidRPr="00C07175">
        <w:rPr>
          <w:rFonts w:ascii="Arial" w:hAnsi="Arial" w:cs="Arial"/>
        </w:rPr>
        <w:t>-</w:t>
      </w:r>
      <w:r w:rsidRPr="00C07175">
        <w:rPr>
          <w:rFonts w:ascii="Arial" w:hAnsi="Arial" w:cs="Arial"/>
        </w:rPr>
        <w:t>a</w:t>
      </w:r>
      <w:r w:rsidR="00F025BC" w:rsidRPr="00C07175">
        <w:rPr>
          <w:rFonts w:ascii="Arial" w:hAnsi="Arial" w:cs="Arial"/>
        </w:rPr>
        <w:t>-</w:t>
      </w:r>
      <w:r w:rsidRPr="00C07175">
        <w:rPr>
          <w:rFonts w:ascii="Arial" w:hAnsi="Arial" w:cs="Arial"/>
        </w:rPr>
        <w:t>gene system, PCR extension time is shortened to suppress the amplification of the wild type fragment, allowing selective amplification of the mutant fragment.</w:t>
      </w:r>
    </w:p>
    <w:p w14:paraId="2610A8B2" w14:textId="4F98A044" w:rsidR="00F025BC" w:rsidRPr="00CC6043" w:rsidRDefault="00AB6F73" w:rsidP="00F025BC">
      <w:pPr>
        <w:spacing w:line="360" w:lineRule="auto"/>
        <w:jc w:val="both"/>
        <w:rPr>
          <w:rFonts w:ascii="Arial" w:hAnsi="Arial" w:cs="Arial"/>
          <w:b/>
          <w:bCs/>
          <w:i/>
          <w:iCs/>
        </w:rPr>
      </w:pPr>
      <w:r>
        <w:rPr>
          <w:rFonts w:ascii="Arial" w:hAnsi="Arial" w:cs="Arial"/>
          <w:i/>
          <w:iCs/>
        </w:rPr>
        <w:t>Flow chart 4</w:t>
      </w:r>
      <w:r w:rsidRPr="00CC6043">
        <w:rPr>
          <w:rFonts w:ascii="Arial" w:hAnsi="Arial" w:cs="Arial"/>
          <w:b/>
          <w:bCs/>
          <w:i/>
          <w:iCs/>
        </w:rPr>
        <w:t xml:space="preserve">: </w:t>
      </w:r>
      <w:r w:rsidR="00AE6C7B" w:rsidRPr="00CC6043">
        <w:rPr>
          <w:rFonts w:ascii="Arial" w:hAnsi="Arial" w:cs="Arial"/>
          <w:b/>
          <w:bCs/>
        </w:rPr>
        <w:t>Delete-a-gene method</w:t>
      </w:r>
    </w:p>
    <w:p w14:paraId="2B555BF2" w14:textId="34832434" w:rsidR="009E7C3A" w:rsidRPr="007A53A9" w:rsidRDefault="00D92D0B" w:rsidP="00F025BC">
      <w:pPr>
        <w:spacing w:line="360" w:lineRule="auto"/>
        <w:jc w:val="both"/>
        <w:rPr>
          <w:rFonts w:ascii="Arial" w:hAnsi="Arial" w:cs="Arial"/>
          <w:b/>
          <w:bCs/>
        </w:rPr>
      </w:pPr>
      <w:r w:rsidRPr="007A53A9">
        <w:rPr>
          <w:rFonts w:ascii="Arial" w:hAnsi="Arial" w:cs="Arial"/>
          <w:b/>
          <w:bCs/>
        </w:rPr>
        <w:t>2.8.</w:t>
      </w:r>
      <w:r w:rsidR="00BE45C9" w:rsidRPr="007A53A9">
        <w:rPr>
          <w:rFonts w:ascii="Arial" w:hAnsi="Arial" w:cs="Arial"/>
          <w:b/>
          <w:bCs/>
        </w:rPr>
        <w:t>Ectopic expression</w:t>
      </w:r>
    </w:p>
    <w:p w14:paraId="0B389147" w14:textId="57497EEC" w:rsidR="00823E82" w:rsidRPr="00C07175" w:rsidRDefault="00D62C8D" w:rsidP="00F025BC">
      <w:pPr>
        <w:spacing w:line="360" w:lineRule="auto"/>
        <w:jc w:val="both"/>
        <w:rPr>
          <w:rFonts w:ascii="Arial" w:hAnsi="Arial" w:cs="Arial"/>
          <w:b/>
          <w:bCs/>
          <w:u w:val="single"/>
        </w:rPr>
      </w:pPr>
      <w:r w:rsidRPr="00C07175">
        <w:rPr>
          <w:rFonts w:ascii="Arial" w:hAnsi="Arial" w:cs="Arial"/>
        </w:rPr>
        <w:tab/>
      </w:r>
      <w:r w:rsidR="009E7C3A" w:rsidRPr="00C07175">
        <w:rPr>
          <w:rFonts w:ascii="Arial" w:hAnsi="Arial" w:cs="Arial"/>
        </w:rPr>
        <w:t>"Ectopic expression" refers to the expression of a gene in an unusual or non-native location within an organism. This can involve expressing a gene in a tissue where it is not normally expressed, or expressing a gene from one species in a different species.  E</w:t>
      </w:r>
      <w:r w:rsidR="00BE45C9" w:rsidRPr="00C07175">
        <w:rPr>
          <w:rFonts w:ascii="Arial" w:hAnsi="Arial" w:cs="Arial"/>
        </w:rPr>
        <w:t xml:space="preserve">ctopic expression of osdreb1a gene in Arabidopsis also confers tolerance against drought, salinity and cold stress (Dubouzet </w:t>
      </w:r>
      <w:r w:rsidR="006B78DD" w:rsidRPr="006B78DD">
        <w:rPr>
          <w:rFonts w:ascii="Arial" w:hAnsi="Arial" w:cs="Arial"/>
          <w:i/>
          <w:iCs/>
        </w:rPr>
        <w:t>et al.,</w:t>
      </w:r>
      <w:r w:rsidR="00BE45C9" w:rsidRPr="00C07175">
        <w:rPr>
          <w:rFonts w:ascii="Arial" w:hAnsi="Arial" w:cs="Arial"/>
        </w:rPr>
        <w:t xml:space="preserve"> 2003). Ectopic expression of one of the rice receptor-like cytoplasm kinase (RLCK), osrlck253 in Arabidopsis makes the transgenic plants more tolerant to salinity and drought stress (Giri </w:t>
      </w:r>
      <w:r w:rsidR="006B78DD" w:rsidRPr="006B78DD">
        <w:rPr>
          <w:rFonts w:ascii="Arial" w:hAnsi="Arial" w:cs="Arial"/>
          <w:i/>
          <w:iCs/>
        </w:rPr>
        <w:t>et al.,</w:t>
      </w:r>
      <w:r w:rsidR="00BE45C9" w:rsidRPr="00C07175">
        <w:rPr>
          <w:rFonts w:ascii="Arial" w:hAnsi="Arial" w:cs="Arial"/>
        </w:rPr>
        <w:t xml:space="preserve"> 2011). Liu </w:t>
      </w:r>
      <w:r w:rsidR="006B78DD" w:rsidRPr="006B78DD">
        <w:rPr>
          <w:rFonts w:ascii="Arial" w:hAnsi="Arial" w:cs="Arial"/>
          <w:i/>
          <w:iCs/>
        </w:rPr>
        <w:t>et al.,</w:t>
      </w:r>
      <w:r w:rsidR="00BE45C9" w:rsidRPr="00C07175">
        <w:rPr>
          <w:rFonts w:ascii="Arial" w:hAnsi="Arial" w:cs="Arial"/>
        </w:rPr>
        <w:t xml:space="preserve"> (2014a, b) have shown that ectopic expression of rice stress related NAC TF, SNAC1 in cotton also makes transgenic cotton plants more tolerant to salt and drought stress. Ectopic expression of the WUSCHEL (atwus) gene in rice led to pleiotropic effects, including compact stems, panicle enclosure, delayed heading, and defects in seed setting and pollen viability. Furthermore, its overexpression improved regeneration in cotton, Capsicum, and Arabidopsis, at the embryogenic level (Victorathisayam &amp; Sridevi , 2020). Ectopic expression of gmhp08 in Arabidopsis improved drought resistance, likely due to reduced water loss, increased antioxidant enzyme activity, and changes in drought-related gene expression. Additionally, the plant's hypersensitivity to exogenous ABA and the altered stress-related gene transcription profiles suggest that gmhp08 may be involved in an ABA-dependent pathway (Chuong </w:t>
      </w:r>
      <w:r w:rsidR="006B78DD" w:rsidRPr="006B78DD">
        <w:rPr>
          <w:rFonts w:ascii="Arial" w:hAnsi="Arial" w:cs="Arial"/>
          <w:i/>
          <w:iCs/>
        </w:rPr>
        <w:t>et al</w:t>
      </w:r>
      <w:r w:rsidR="00BE45C9" w:rsidRPr="00C07175">
        <w:rPr>
          <w:rFonts w:ascii="Arial" w:hAnsi="Arial" w:cs="Arial"/>
        </w:rPr>
        <w:t xml:space="preserve">, 2021). The ectopic expression of osjazs, significantly improved through the antagonism of SA and JA, suggesting the manipulation of osjaz11 expression could be a promising strategy for enhancing plant defense mechanisms (Baolong </w:t>
      </w:r>
      <w:r w:rsidR="006B78DD" w:rsidRPr="006B78DD">
        <w:rPr>
          <w:rFonts w:ascii="Arial" w:hAnsi="Arial" w:cs="Arial"/>
          <w:i/>
          <w:iCs/>
        </w:rPr>
        <w:t>et al.,</w:t>
      </w:r>
      <w:r w:rsidR="00BE45C9" w:rsidRPr="00C07175">
        <w:rPr>
          <w:rFonts w:ascii="Arial" w:hAnsi="Arial" w:cs="Arial"/>
        </w:rPr>
        <w:t xml:space="preserve"> 2022). The Rice Big Grain1 (osbg1) gene significantly enhances grain yield in both rice and tobacco when ectopically and heterologously expressed, respectively, indicating its potential as a promising candidate for improving grain yield in both monocot and dicot plant systems through molecular breeding and genetic engineering (Ekta &amp; Maiti , 2024).</w:t>
      </w:r>
      <w:r w:rsidR="00BE45C9" w:rsidRPr="00C07175">
        <w:rPr>
          <w:rFonts w:ascii="Arial" w:hAnsi="Arial" w:cs="Arial"/>
          <w:b/>
          <w:bCs/>
        </w:rPr>
        <w:t xml:space="preserve"> </w:t>
      </w:r>
    </w:p>
    <w:p w14:paraId="14170931" w14:textId="0F473838" w:rsidR="00FE5E19" w:rsidRPr="007A53A9" w:rsidRDefault="00D92D0B" w:rsidP="00F025BC">
      <w:pPr>
        <w:spacing w:line="360" w:lineRule="auto"/>
        <w:jc w:val="both"/>
        <w:rPr>
          <w:rFonts w:ascii="Arial" w:hAnsi="Arial" w:cs="Arial"/>
          <w:b/>
          <w:bCs/>
        </w:rPr>
      </w:pPr>
      <w:r w:rsidRPr="007A53A9">
        <w:rPr>
          <w:rFonts w:ascii="Arial" w:hAnsi="Arial" w:cs="Arial"/>
          <w:b/>
          <w:bCs/>
        </w:rPr>
        <w:t>2.9.</w:t>
      </w:r>
      <w:r w:rsidR="00FE5E19" w:rsidRPr="007A53A9">
        <w:rPr>
          <w:rFonts w:ascii="Arial" w:hAnsi="Arial" w:cs="Arial"/>
          <w:b/>
          <w:bCs/>
        </w:rPr>
        <w:t xml:space="preserve">Genetic mapping </w:t>
      </w:r>
    </w:p>
    <w:p w14:paraId="52C867F4" w14:textId="55A27E12" w:rsidR="00FE5E19" w:rsidRPr="00C07175" w:rsidRDefault="00D62C8D" w:rsidP="00F025BC">
      <w:pPr>
        <w:spacing w:line="360" w:lineRule="auto"/>
        <w:jc w:val="both"/>
        <w:rPr>
          <w:rFonts w:ascii="Arial" w:hAnsi="Arial" w:cs="Arial"/>
        </w:rPr>
      </w:pPr>
      <w:r w:rsidRPr="00C07175">
        <w:rPr>
          <w:rFonts w:ascii="Arial" w:hAnsi="Arial" w:cs="Arial"/>
        </w:rPr>
        <w:tab/>
      </w:r>
      <w:r w:rsidR="00600047" w:rsidRPr="00C07175">
        <w:rPr>
          <w:rFonts w:ascii="Arial" w:hAnsi="Arial" w:cs="Arial"/>
        </w:rPr>
        <w:t xml:space="preserve">Genetic map indicates the position and relative genetic distances between markers along chromosomes, which is analogous to signs or landmarks along a highway where the genes are “houses” (Paterson, 1996; Collard </w:t>
      </w:r>
      <w:r w:rsidR="006B78DD" w:rsidRPr="006B78DD">
        <w:rPr>
          <w:rFonts w:ascii="Arial" w:hAnsi="Arial" w:cs="Arial"/>
          <w:i/>
          <w:iCs/>
        </w:rPr>
        <w:t>et al.,</w:t>
      </w:r>
      <w:r w:rsidR="00600047" w:rsidRPr="00C07175">
        <w:rPr>
          <w:rFonts w:ascii="Arial" w:hAnsi="Arial" w:cs="Arial"/>
        </w:rPr>
        <w:t xml:space="preserve"> 2005). The first genetic map was published in 1911 by T. H. Morgan and his student, Alfred Sturtevant, who showed the locations of 6 sex</w:t>
      </w:r>
      <w:r w:rsidR="00202283" w:rsidRPr="00C07175">
        <w:rPr>
          <w:rFonts w:ascii="Arial" w:hAnsi="Arial" w:cs="Arial"/>
        </w:rPr>
        <w:t xml:space="preserve"> </w:t>
      </w:r>
      <w:r w:rsidR="00600047" w:rsidRPr="00C07175">
        <w:rPr>
          <w:rFonts w:ascii="Arial" w:hAnsi="Arial" w:cs="Arial"/>
        </w:rPr>
        <w:t xml:space="preserve">linked genes on a fruit fly chromosome. </w:t>
      </w:r>
      <w:r w:rsidR="00FE5E19" w:rsidRPr="00C07175">
        <w:rPr>
          <w:rFonts w:ascii="Arial" w:hAnsi="Arial" w:cs="Arial"/>
        </w:rPr>
        <w:t xml:space="preserve"> Genetic map is a key tool in both classical and modern research (Cheema and Dicks, 2009). </w:t>
      </w:r>
      <w:r w:rsidR="00600047" w:rsidRPr="00C07175">
        <w:rPr>
          <w:rFonts w:ascii="Arial" w:hAnsi="Arial" w:cs="Arial"/>
        </w:rPr>
        <w:t xml:space="preserve">Genetic mapping is based on the principle that genes </w:t>
      </w:r>
      <w:r w:rsidR="00600047" w:rsidRPr="00C07175">
        <w:rPr>
          <w:rFonts w:ascii="Arial" w:hAnsi="Arial" w:cs="Arial"/>
        </w:rPr>
        <w:lastRenderedPageBreak/>
        <w:t>(markers or loci) segregate via chromosome recombination during meiosis (i.e. sexual reproduction), thus allowing their analysis in the progeny (Paterson, 1996).</w:t>
      </w:r>
    </w:p>
    <w:p w14:paraId="3B70AB2F" w14:textId="3AE99707" w:rsidR="00600047" w:rsidRPr="00C07175" w:rsidRDefault="00600047" w:rsidP="00F025BC">
      <w:pPr>
        <w:spacing w:line="360" w:lineRule="auto"/>
        <w:jc w:val="center"/>
        <w:rPr>
          <w:rFonts w:ascii="Arial" w:hAnsi="Arial" w:cs="Arial"/>
        </w:rPr>
      </w:pPr>
      <w:r w:rsidRPr="00C07175">
        <w:rPr>
          <w:rFonts w:ascii="Arial" w:hAnsi="Arial" w:cs="Arial"/>
        </w:rPr>
        <w:t>Develop appropriate mapping population by crossing genetically divergent parents and decide the sample size</w:t>
      </w:r>
    </w:p>
    <w:p w14:paraId="121C3D4A" w14:textId="606807AA" w:rsidR="00823E82" w:rsidRPr="00C07175" w:rsidRDefault="00823E82"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04320" behindDoc="0" locked="0" layoutInCell="1" allowOverlap="1" wp14:anchorId="11FADF0D" wp14:editId="2ED311DC">
                <wp:simplePos x="0" y="0"/>
                <wp:positionH relativeFrom="column">
                  <wp:posOffset>2781300</wp:posOffset>
                </wp:positionH>
                <wp:positionV relativeFrom="paragraph">
                  <wp:posOffset>0</wp:posOffset>
                </wp:positionV>
                <wp:extent cx="123825" cy="276225"/>
                <wp:effectExtent l="19050" t="0" r="47625" b="47625"/>
                <wp:wrapNone/>
                <wp:docPr id="258743707"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60C9D" id="Arrow: Down 1" o:spid="_x0000_s1026" type="#_x0000_t67" style="position:absolute;margin-left:219pt;margin-top:0;width:9.7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" adj="16759" fillcolor="#4472c4 [3204]" strokecolor="#09101d [484]" strokeweight="1pt"/>
            </w:pict>
          </mc:Fallback>
        </mc:AlternateContent>
      </w:r>
    </w:p>
    <w:p w14:paraId="6AC410D7" w14:textId="1B49F72F" w:rsidR="00600047" w:rsidRPr="00C07175" w:rsidRDefault="00823E82"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06368" behindDoc="0" locked="0" layoutInCell="1" allowOverlap="1" wp14:anchorId="6B4714D6" wp14:editId="34D1FF12">
                <wp:simplePos x="0" y="0"/>
                <wp:positionH relativeFrom="column">
                  <wp:posOffset>2790825</wp:posOffset>
                </wp:positionH>
                <wp:positionV relativeFrom="paragraph">
                  <wp:posOffset>290195</wp:posOffset>
                </wp:positionV>
                <wp:extent cx="123825" cy="276225"/>
                <wp:effectExtent l="19050" t="0" r="47625" b="47625"/>
                <wp:wrapNone/>
                <wp:docPr id="121088516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EAAC7" id="Arrow: Down 1" o:spid="_x0000_s1026" type="#_x0000_t67" style="position:absolute;margin-left:219.75pt;margin-top:22.85pt;width:9.7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" adj="16759" fillcolor="#4472c4 [3204]" strokecolor="#09101d [484]" strokeweight="1pt"/>
            </w:pict>
          </mc:Fallback>
        </mc:AlternateContent>
      </w:r>
      <w:r w:rsidR="00600047" w:rsidRPr="00C07175">
        <w:rPr>
          <w:rFonts w:ascii="Arial" w:hAnsi="Arial" w:cs="Arial"/>
        </w:rPr>
        <w:t>Decide the type of molecular marker(s) for genotyping the mapping population.</w:t>
      </w:r>
    </w:p>
    <w:p w14:paraId="09CA822D" w14:textId="1F58588E" w:rsidR="00823E82" w:rsidRPr="00C07175" w:rsidRDefault="00823E82" w:rsidP="00F025BC">
      <w:pPr>
        <w:spacing w:line="360" w:lineRule="auto"/>
        <w:jc w:val="center"/>
        <w:rPr>
          <w:rFonts w:ascii="Arial" w:hAnsi="Arial" w:cs="Arial"/>
        </w:rPr>
      </w:pPr>
    </w:p>
    <w:p w14:paraId="482B7351" w14:textId="4F736570" w:rsidR="00BE45C9" w:rsidRPr="00C07175" w:rsidRDefault="00600047" w:rsidP="00F025BC">
      <w:pPr>
        <w:spacing w:line="360" w:lineRule="auto"/>
        <w:jc w:val="center"/>
        <w:rPr>
          <w:rFonts w:ascii="Arial" w:hAnsi="Arial" w:cs="Arial"/>
        </w:rPr>
      </w:pPr>
      <w:r w:rsidRPr="00C07175">
        <w:rPr>
          <w:rFonts w:ascii="Arial" w:hAnsi="Arial" w:cs="Arial"/>
        </w:rPr>
        <w:t>Screen parents for marker polymorphism, and then genotype the mapping population (parents plus all progenies)</w:t>
      </w:r>
    </w:p>
    <w:p w14:paraId="7EB6900C" w14:textId="72DE4EE1" w:rsidR="00823E82" w:rsidRPr="00C07175" w:rsidRDefault="00823E82" w:rsidP="00F025BC">
      <w:pPr>
        <w:spacing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08416" behindDoc="0" locked="0" layoutInCell="1" allowOverlap="1" wp14:anchorId="558508D8" wp14:editId="4F3BDCE1">
                <wp:simplePos x="0" y="0"/>
                <wp:positionH relativeFrom="column">
                  <wp:posOffset>2800350</wp:posOffset>
                </wp:positionH>
                <wp:positionV relativeFrom="paragraph">
                  <wp:posOffset>0</wp:posOffset>
                </wp:positionV>
                <wp:extent cx="123825" cy="276225"/>
                <wp:effectExtent l="19050" t="0" r="47625" b="47625"/>
                <wp:wrapNone/>
                <wp:docPr id="1991510609"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098C1" id="Arrow: Down 1" o:spid="_x0000_s1026" type="#_x0000_t67" style="position:absolute;margin-left:220.5pt;margin-top:0;width:9.75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" adj="16759" fillcolor="#4472c4 [3204]" strokecolor="#09101d [484]" strokeweight="1pt"/>
            </w:pict>
          </mc:Fallback>
        </mc:AlternateContent>
      </w:r>
    </w:p>
    <w:p w14:paraId="721990C3" w14:textId="1DD5CDD1" w:rsidR="00D62C8D" w:rsidRDefault="00634BE8" w:rsidP="00BF5892">
      <w:pPr>
        <w:spacing w:before="240" w:line="360" w:lineRule="auto"/>
        <w:jc w:val="center"/>
        <w:rPr>
          <w:rFonts w:ascii="Arial" w:hAnsi="Arial" w:cs="Arial"/>
        </w:rPr>
      </w:pPr>
      <w:r w:rsidRPr="00C07175">
        <w:rPr>
          <w:rFonts w:ascii="Arial" w:hAnsi="Arial" w:cs="Arial"/>
        </w:rPr>
        <w:t>Perform linkage analyses (calculate pairwise recombination frequencies between markers, establish linkage groups, estimate map distances, and determine map order) using statistical programs).</w:t>
      </w:r>
    </w:p>
    <w:p w14:paraId="56164988" w14:textId="77777777" w:rsidR="00AB6F73" w:rsidRDefault="00AB6F73" w:rsidP="00BF5892">
      <w:pPr>
        <w:spacing w:before="240" w:line="360" w:lineRule="auto"/>
        <w:jc w:val="center"/>
        <w:rPr>
          <w:rFonts w:ascii="Arial" w:hAnsi="Arial" w:cs="Arial"/>
        </w:rPr>
      </w:pPr>
    </w:p>
    <w:p w14:paraId="673DC355" w14:textId="53FA6200" w:rsidR="00AB6F73" w:rsidRPr="00C07175" w:rsidRDefault="00AB6F73" w:rsidP="00BF5892">
      <w:pPr>
        <w:spacing w:before="240" w:line="360" w:lineRule="auto"/>
        <w:jc w:val="center"/>
        <w:rPr>
          <w:rFonts w:ascii="Arial" w:hAnsi="Arial" w:cs="Arial"/>
        </w:rPr>
      </w:pPr>
      <w:r>
        <w:rPr>
          <w:rFonts w:ascii="Arial" w:hAnsi="Arial" w:cs="Arial"/>
        </w:rPr>
        <w:t xml:space="preserve">Flow chart 5: </w:t>
      </w:r>
      <w:r w:rsidR="004B252D" w:rsidRPr="004B252D">
        <w:rPr>
          <w:rFonts w:ascii="Arial" w:hAnsi="Arial" w:cs="Arial"/>
          <w:b/>
          <w:bCs/>
        </w:rPr>
        <w:t>Development of Genetic</w:t>
      </w:r>
      <w:r w:rsidR="004B252D" w:rsidRPr="007A53A9">
        <w:rPr>
          <w:rFonts w:ascii="Arial" w:hAnsi="Arial" w:cs="Arial"/>
          <w:b/>
          <w:bCs/>
        </w:rPr>
        <w:t xml:space="preserve"> </w:t>
      </w:r>
      <w:r w:rsidR="004B252D">
        <w:rPr>
          <w:rFonts w:ascii="Arial" w:hAnsi="Arial" w:cs="Arial"/>
          <w:b/>
          <w:bCs/>
        </w:rPr>
        <w:t>Mapping</w:t>
      </w:r>
      <w:r w:rsidR="004B252D" w:rsidRPr="007A53A9">
        <w:rPr>
          <w:rFonts w:ascii="Arial" w:hAnsi="Arial" w:cs="Arial"/>
          <w:b/>
          <w:bCs/>
        </w:rPr>
        <w:t xml:space="preserve"> </w:t>
      </w:r>
    </w:p>
    <w:p w14:paraId="7EB8F24E" w14:textId="546642B2" w:rsidR="004C6755" w:rsidRPr="007A53A9" w:rsidRDefault="00D92D0B" w:rsidP="00F025BC">
      <w:pPr>
        <w:spacing w:before="240" w:line="360" w:lineRule="auto"/>
        <w:jc w:val="both"/>
        <w:rPr>
          <w:rFonts w:ascii="Arial" w:hAnsi="Arial" w:cs="Arial"/>
          <w:b/>
          <w:bCs/>
        </w:rPr>
      </w:pPr>
      <w:r w:rsidRPr="007A53A9">
        <w:rPr>
          <w:rFonts w:ascii="Arial" w:hAnsi="Arial" w:cs="Arial"/>
          <w:b/>
          <w:bCs/>
        </w:rPr>
        <w:t>2.10.</w:t>
      </w:r>
      <w:r w:rsidR="00823E82" w:rsidRPr="007A53A9">
        <w:rPr>
          <w:rFonts w:ascii="Arial" w:hAnsi="Arial" w:cs="Arial"/>
          <w:b/>
          <w:bCs/>
        </w:rPr>
        <w:t xml:space="preserve">Whole genome sequencing </w:t>
      </w:r>
    </w:p>
    <w:p w14:paraId="16DE84B5" w14:textId="6427CAE2" w:rsidR="005E025F" w:rsidRPr="00C07175" w:rsidRDefault="00D62C8D" w:rsidP="00F025BC">
      <w:pPr>
        <w:spacing w:before="240" w:line="360" w:lineRule="auto"/>
        <w:jc w:val="both"/>
        <w:rPr>
          <w:rFonts w:ascii="Arial" w:hAnsi="Arial" w:cs="Arial"/>
          <w:i/>
          <w:iCs/>
        </w:rPr>
      </w:pPr>
      <w:r w:rsidRPr="00C07175">
        <w:rPr>
          <w:rFonts w:ascii="Arial" w:hAnsi="Arial" w:cs="Arial"/>
        </w:rPr>
        <w:tab/>
      </w:r>
      <w:hyperlink r:id="rId15" w:history="1">
        <w:r w:rsidR="00EE016B" w:rsidRPr="00C07175">
          <w:rPr>
            <w:rStyle w:val="Hyperlink"/>
            <w:rFonts w:ascii="Arial" w:hAnsi="Arial" w:cs="Arial"/>
            <w:color w:val="000000" w:themeColor="text1"/>
            <w:u w:val="none"/>
          </w:rPr>
          <w:t>Whole Exome Sequencing</w:t>
        </w:r>
      </w:hyperlink>
      <w:r w:rsidR="00EE016B" w:rsidRPr="00C07175">
        <w:rPr>
          <w:rFonts w:ascii="Arial" w:hAnsi="Arial" w:cs="Arial"/>
          <w:color w:val="000000" w:themeColor="text1"/>
        </w:rPr>
        <w:t> (WES) involves utilizing target enrichment techniques to capture and sequence the entire exonic region of the genome. This method can directly detect Single Nucleotide Polymorphisms (SNPs) associated with functional variations in proteins. Within the human genome, despite exons (protein coding regions) comprising only 1% of the genic content, roughly 85% of disease-causing mutations are located in these reg</w:t>
      </w:r>
      <w:r w:rsidR="00EE016B" w:rsidRPr="00C07175">
        <w:rPr>
          <w:rFonts w:ascii="Arial" w:hAnsi="Arial" w:cs="Arial"/>
        </w:rPr>
        <w:t xml:space="preserve">ions, making WES crucially significant. </w:t>
      </w:r>
      <w:r w:rsidR="004C6755" w:rsidRPr="00C07175">
        <w:rPr>
          <w:rFonts w:ascii="Arial" w:hAnsi="Arial" w:cs="Arial"/>
        </w:rPr>
        <w:t xml:space="preserve">Application of whole genome sequencing (WGS) for simultaneous mapping and identification of the mutant gene was first reported in </w:t>
      </w:r>
      <w:r w:rsidR="004C6755" w:rsidRPr="00C07175">
        <w:rPr>
          <w:rFonts w:ascii="Arial" w:hAnsi="Arial" w:cs="Arial"/>
          <w:i/>
          <w:iCs/>
        </w:rPr>
        <w:t>Arabidopsis thalia</w:t>
      </w:r>
      <w:r w:rsidR="00132F52" w:rsidRPr="00C07175">
        <w:rPr>
          <w:rFonts w:ascii="Arial" w:hAnsi="Arial" w:cs="Arial"/>
          <w:i/>
          <w:iCs/>
        </w:rPr>
        <w:t>na.</w:t>
      </w:r>
    </w:p>
    <w:p w14:paraId="221AE9E2" w14:textId="2C661B08" w:rsidR="00D62C8D" w:rsidRPr="00C07175" w:rsidRDefault="00D62C8D" w:rsidP="00F025BC">
      <w:pPr>
        <w:spacing w:before="240"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36064" behindDoc="1" locked="0" layoutInCell="1" allowOverlap="1" wp14:anchorId="191093C3" wp14:editId="3CA037D4">
                <wp:simplePos x="0" y="0"/>
                <wp:positionH relativeFrom="column">
                  <wp:posOffset>790575</wp:posOffset>
                </wp:positionH>
                <wp:positionV relativeFrom="paragraph">
                  <wp:posOffset>187325</wp:posOffset>
                </wp:positionV>
                <wp:extent cx="4238625" cy="3181350"/>
                <wp:effectExtent l="0" t="0" r="9525" b="0"/>
                <wp:wrapNone/>
                <wp:docPr id="96296769" name="Rectangle 47"/>
                <wp:cNvGraphicFramePr/>
                <a:graphic xmlns:a="http://schemas.openxmlformats.org/drawingml/2006/main">
                  <a:graphicData uri="http://schemas.microsoft.com/office/word/2010/wordprocessingShape">
                    <wps:wsp>
                      <wps:cNvSpPr/>
                      <wps:spPr>
                        <a:xfrm>
                          <a:off x="0" y="0"/>
                          <a:ext cx="4238625" cy="3181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3D677C" id="Rectangle 47" o:spid="_x0000_s1026" style="position:absolute;margin-left:62.25pt;margin-top:14.75pt;width:333.75pt;height:250.5pt;z-index:-25158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" fillcolor="white [3201]" stroked="f" strokeweight="1pt"/>
            </w:pict>
          </mc:Fallback>
        </mc:AlternateContent>
      </w:r>
    </w:p>
    <w:p w14:paraId="02B5A87C" w14:textId="67C2849B" w:rsidR="00EE016B" w:rsidRPr="00C07175" w:rsidRDefault="00823E82" w:rsidP="00F025BC">
      <w:pPr>
        <w:spacing w:before="240"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10464" behindDoc="0" locked="0" layoutInCell="1" allowOverlap="1" wp14:anchorId="4272FFBC" wp14:editId="03C6F0A4">
                <wp:simplePos x="0" y="0"/>
                <wp:positionH relativeFrom="column">
                  <wp:posOffset>2914650</wp:posOffset>
                </wp:positionH>
                <wp:positionV relativeFrom="paragraph">
                  <wp:posOffset>340995</wp:posOffset>
                </wp:positionV>
                <wp:extent cx="123825" cy="276225"/>
                <wp:effectExtent l="19050" t="0" r="47625" b="47625"/>
                <wp:wrapNone/>
                <wp:docPr id="103219591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DA39" id="Arrow: Down 1" o:spid="_x0000_s1026" type="#_x0000_t67" style="position:absolute;margin-left:229.5pt;margin-top:26.85pt;width:9.7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" adj="16759" fillcolor="#4472c4 [3204]" strokecolor="#09101d [484]" strokeweight="1pt"/>
            </w:pict>
          </mc:Fallback>
        </mc:AlternateContent>
      </w:r>
      <w:r w:rsidRPr="00C07175">
        <w:rPr>
          <w:rFonts w:ascii="Arial" w:hAnsi="Arial" w:cs="Arial"/>
        </w:rPr>
        <w:t xml:space="preserve">Isolation </w:t>
      </w:r>
      <w:r w:rsidR="00EE016B" w:rsidRPr="00C07175">
        <w:rPr>
          <w:rFonts w:ascii="Arial" w:hAnsi="Arial" w:cs="Arial"/>
        </w:rPr>
        <w:t>of genomic DNA</w:t>
      </w:r>
    </w:p>
    <w:p w14:paraId="442C6E01" w14:textId="11320BE9" w:rsidR="00823E82" w:rsidRPr="00C07175" w:rsidRDefault="00823E82" w:rsidP="00F025BC">
      <w:pPr>
        <w:spacing w:before="240" w:line="360" w:lineRule="auto"/>
        <w:jc w:val="center"/>
        <w:rPr>
          <w:rFonts w:ascii="Arial" w:hAnsi="Arial" w:cs="Arial"/>
        </w:rPr>
      </w:pPr>
    </w:p>
    <w:p w14:paraId="52CEE430" w14:textId="55D2DD36" w:rsidR="00EE016B" w:rsidRPr="00C07175" w:rsidRDefault="00823E82" w:rsidP="00F025BC">
      <w:pPr>
        <w:spacing w:before="240"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12512" behindDoc="0" locked="0" layoutInCell="1" allowOverlap="1" wp14:anchorId="189B43FA" wp14:editId="020A7064">
                <wp:simplePos x="0" y="0"/>
                <wp:positionH relativeFrom="column">
                  <wp:posOffset>2905125</wp:posOffset>
                </wp:positionH>
                <wp:positionV relativeFrom="paragraph">
                  <wp:posOffset>340995</wp:posOffset>
                </wp:positionV>
                <wp:extent cx="123825" cy="276225"/>
                <wp:effectExtent l="19050" t="0" r="47625" b="47625"/>
                <wp:wrapNone/>
                <wp:docPr id="70476033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8FBEB" id="Arrow: Down 1" o:spid="_x0000_s1026" type="#_x0000_t67" style="position:absolute;margin-left:228.75pt;margin-top:26.85pt;width:9.75pt;height:2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" adj="16759" fillcolor="#4472c4 [3204]" strokecolor="#09101d [484]" strokeweight="1pt"/>
            </w:pict>
          </mc:Fallback>
        </mc:AlternateContent>
      </w:r>
      <w:r w:rsidRPr="00C07175">
        <w:rPr>
          <w:rFonts w:ascii="Arial" w:hAnsi="Arial" w:cs="Arial"/>
        </w:rPr>
        <w:t xml:space="preserve">Random fragmentation </w:t>
      </w:r>
      <w:r w:rsidR="00EE016B" w:rsidRPr="00C07175">
        <w:rPr>
          <w:rFonts w:ascii="Arial" w:hAnsi="Arial" w:cs="Arial"/>
        </w:rPr>
        <w:t>of the isolated DNA</w:t>
      </w:r>
    </w:p>
    <w:p w14:paraId="25EB6B10" w14:textId="0A0DFDEB" w:rsidR="00823E82" w:rsidRPr="00C07175" w:rsidRDefault="00823E82" w:rsidP="00F025BC">
      <w:pPr>
        <w:spacing w:before="240" w:line="360" w:lineRule="auto"/>
        <w:jc w:val="center"/>
        <w:rPr>
          <w:rFonts w:ascii="Arial" w:hAnsi="Arial" w:cs="Arial"/>
        </w:rPr>
      </w:pPr>
    </w:p>
    <w:p w14:paraId="6CEE1F21" w14:textId="64C80F78" w:rsidR="00EE016B" w:rsidRPr="00C07175" w:rsidRDefault="00823E82" w:rsidP="00F025BC">
      <w:pPr>
        <w:spacing w:before="240" w:line="360" w:lineRule="auto"/>
        <w:jc w:val="center"/>
        <w:rPr>
          <w:rFonts w:ascii="Arial" w:hAnsi="Arial" w:cs="Arial"/>
        </w:rPr>
      </w:pPr>
      <w:r w:rsidRPr="00C07175">
        <w:rPr>
          <w:rFonts w:ascii="Arial" w:hAnsi="Arial" w:cs="Arial"/>
          <w:noProof/>
          <w:lang w:eastAsia="en-IN" w:bidi="te-IN"/>
        </w:rPr>
        <w:lastRenderedPageBreak/>
        <mc:AlternateContent>
          <mc:Choice Requires="wps">
            <w:drawing>
              <wp:anchor distT="0" distB="0" distL="114300" distR="114300" simplePos="0" relativeHeight="251714560" behindDoc="0" locked="0" layoutInCell="1" allowOverlap="1" wp14:anchorId="56655D3B" wp14:editId="65865144">
                <wp:simplePos x="0" y="0"/>
                <wp:positionH relativeFrom="column">
                  <wp:posOffset>2905125</wp:posOffset>
                </wp:positionH>
                <wp:positionV relativeFrom="paragraph">
                  <wp:posOffset>341630</wp:posOffset>
                </wp:positionV>
                <wp:extent cx="123825" cy="276225"/>
                <wp:effectExtent l="19050" t="0" r="47625" b="47625"/>
                <wp:wrapNone/>
                <wp:docPr id="135072815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47B18" id="Arrow: Down 1" o:spid="_x0000_s1026" type="#_x0000_t67" style="position:absolute;margin-left:228.75pt;margin-top:26.9pt;width:9.75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" adj="16759" fillcolor="#4472c4 [3204]" strokecolor="#09101d [484]" strokeweight="1pt"/>
            </w:pict>
          </mc:Fallback>
        </mc:AlternateContent>
      </w:r>
      <w:r w:rsidR="00EE016B" w:rsidRPr="00C07175">
        <w:rPr>
          <w:rFonts w:ascii="Arial" w:hAnsi="Arial" w:cs="Arial"/>
        </w:rPr>
        <w:t>Extraction of Desired Fragment Sizes through gel electrophoresis</w:t>
      </w:r>
    </w:p>
    <w:p w14:paraId="17289B98" w14:textId="069387A9" w:rsidR="00823E82" w:rsidRPr="00C07175" w:rsidRDefault="00823E82" w:rsidP="00F025BC">
      <w:pPr>
        <w:spacing w:before="240" w:line="360" w:lineRule="auto"/>
        <w:jc w:val="center"/>
        <w:rPr>
          <w:rFonts w:ascii="Arial" w:hAnsi="Arial" w:cs="Arial"/>
        </w:rPr>
      </w:pPr>
    </w:p>
    <w:p w14:paraId="08AF98C3" w14:textId="792A1BEE" w:rsidR="00EE016B" w:rsidRPr="00C07175" w:rsidRDefault="00823E82" w:rsidP="00F025BC">
      <w:pPr>
        <w:spacing w:before="240"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16608" behindDoc="0" locked="0" layoutInCell="1" allowOverlap="1" wp14:anchorId="393DF7AB" wp14:editId="6CE88C99">
                <wp:simplePos x="0" y="0"/>
                <wp:positionH relativeFrom="column">
                  <wp:posOffset>2914650</wp:posOffset>
                </wp:positionH>
                <wp:positionV relativeFrom="paragraph">
                  <wp:posOffset>340995</wp:posOffset>
                </wp:positionV>
                <wp:extent cx="123825" cy="276225"/>
                <wp:effectExtent l="19050" t="0" r="47625" b="47625"/>
                <wp:wrapNone/>
                <wp:docPr id="99119506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70BC4" id="Arrow: Down 1" o:spid="_x0000_s1026" type="#_x0000_t67" style="position:absolute;margin-left:229.5pt;margin-top:26.85pt;width:9.7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" adj="16759" fillcolor="#4472c4 [3204]" strokecolor="#09101d [484]" strokeweight="1pt"/>
            </w:pict>
          </mc:Fallback>
        </mc:AlternateContent>
      </w:r>
      <w:r w:rsidRPr="00C07175">
        <w:rPr>
          <w:rFonts w:ascii="Arial" w:hAnsi="Arial" w:cs="Arial"/>
        </w:rPr>
        <w:t>Constructi</w:t>
      </w:r>
      <w:r w:rsidR="00EE016B" w:rsidRPr="00C07175">
        <w:rPr>
          <w:rFonts w:ascii="Arial" w:hAnsi="Arial" w:cs="Arial"/>
        </w:rPr>
        <w:t>on of the library</w:t>
      </w:r>
    </w:p>
    <w:p w14:paraId="18302B7B" w14:textId="1B32711D" w:rsidR="00823E82" w:rsidRPr="00C07175" w:rsidRDefault="00823E82" w:rsidP="00F025BC">
      <w:pPr>
        <w:spacing w:before="240" w:line="360" w:lineRule="auto"/>
        <w:jc w:val="center"/>
        <w:rPr>
          <w:rFonts w:ascii="Arial" w:hAnsi="Arial" w:cs="Arial"/>
        </w:rPr>
      </w:pPr>
    </w:p>
    <w:p w14:paraId="6A0C97CD" w14:textId="44BEEFE3" w:rsidR="00EE016B" w:rsidRDefault="00823E82" w:rsidP="00F025BC">
      <w:pPr>
        <w:spacing w:before="240" w:line="360" w:lineRule="auto"/>
        <w:jc w:val="center"/>
        <w:rPr>
          <w:rFonts w:ascii="Arial" w:hAnsi="Arial" w:cs="Arial"/>
        </w:rPr>
      </w:pPr>
      <w:r w:rsidRPr="00C07175">
        <w:rPr>
          <w:rFonts w:ascii="Arial" w:hAnsi="Arial" w:cs="Arial"/>
        </w:rPr>
        <w:t>Paired-e</w:t>
      </w:r>
      <w:r w:rsidR="00EE016B" w:rsidRPr="00C07175">
        <w:rPr>
          <w:rFonts w:ascii="Arial" w:hAnsi="Arial" w:cs="Arial"/>
        </w:rPr>
        <w:t>nd sequencing (PE sequencing) and genome assembly</w:t>
      </w:r>
    </w:p>
    <w:p w14:paraId="2A46C84D" w14:textId="77777777" w:rsidR="00AB6F73" w:rsidRDefault="00AB6F73" w:rsidP="00F025BC">
      <w:pPr>
        <w:spacing w:before="240" w:line="360" w:lineRule="auto"/>
        <w:jc w:val="center"/>
        <w:rPr>
          <w:rFonts w:ascii="Arial" w:hAnsi="Arial" w:cs="Arial"/>
        </w:rPr>
      </w:pPr>
    </w:p>
    <w:p w14:paraId="3996A308" w14:textId="2EAC9077" w:rsidR="00AB6F73" w:rsidRPr="00C07175" w:rsidRDefault="00AB6F73" w:rsidP="00F025BC">
      <w:pPr>
        <w:spacing w:before="240" w:line="360" w:lineRule="auto"/>
        <w:jc w:val="center"/>
        <w:rPr>
          <w:rFonts w:ascii="Arial" w:hAnsi="Arial" w:cs="Arial"/>
        </w:rPr>
      </w:pPr>
      <w:r>
        <w:rPr>
          <w:rFonts w:ascii="Arial" w:hAnsi="Arial" w:cs="Arial"/>
        </w:rPr>
        <w:t xml:space="preserve">Flow chart 6: </w:t>
      </w:r>
      <w:r w:rsidR="004B252D" w:rsidRPr="007A53A9">
        <w:rPr>
          <w:rFonts w:ascii="Arial" w:hAnsi="Arial" w:cs="Arial"/>
          <w:b/>
          <w:bCs/>
        </w:rPr>
        <w:t xml:space="preserve">Whole genome sequencing </w:t>
      </w:r>
    </w:p>
    <w:p w14:paraId="37B62D41" w14:textId="29022C19" w:rsidR="00823E82" w:rsidRPr="00C07175" w:rsidRDefault="00EE016B" w:rsidP="00F025BC">
      <w:pPr>
        <w:spacing w:before="240" w:line="360" w:lineRule="auto"/>
        <w:jc w:val="both"/>
        <w:rPr>
          <w:rFonts w:ascii="Arial" w:hAnsi="Arial" w:cs="Arial"/>
        </w:rPr>
      </w:pPr>
      <w:r w:rsidRPr="00C07175">
        <w:rPr>
          <w:rFonts w:ascii="Arial" w:hAnsi="Arial" w:cs="Arial"/>
        </w:rPr>
        <w:t xml:space="preserve">Reported the 261-Mb de novo assembled genome sequence of </w:t>
      </w:r>
      <w:r w:rsidRPr="00C07175">
        <w:rPr>
          <w:rFonts w:ascii="Arial" w:hAnsi="Arial" w:cs="Arial"/>
          <w:i/>
          <w:iCs/>
        </w:rPr>
        <w:t>Oryza brachyantha</w:t>
      </w:r>
      <w:r w:rsidRPr="00C07175">
        <w:rPr>
          <w:rFonts w:ascii="Arial" w:hAnsi="Arial" w:cs="Arial"/>
        </w:rPr>
        <w:t xml:space="preserve"> through whole genome sequencing which provides an important resource for functional and evolutionary studies in the genus </w:t>
      </w:r>
      <w:r w:rsidRPr="00C07175">
        <w:rPr>
          <w:rFonts w:ascii="Arial" w:hAnsi="Arial" w:cs="Arial"/>
          <w:i/>
          <w:iCs/>
        </w:rPr>
        <w:t xml:space="preserve">Oryza </w:t>
      </w:r>
      <w:r w:rsidRPr="00C07175">
        <w:rPr>
          <w:rFonts w:ascii="Arial" w:hAnsi="Arial" w:cs="Arial"/>
        </w:rPr>
        <w:t xml:space="preserve">(Chen </w:t>
      </w:r>
      <w:r w:rsidR="006B78DD" w:rsidRPr="006B78DD">
        <w:rPr>
          <w:rFonts w:ascii="Arial" w:hAnsi="Arial" w:cs="Arial"/>
          <w:i/>
          <w:iCs/>
        </w:rPr>
        <w:t>et al.,</w:t>
      </w:r>
      <w:r w:rsidRPr="00C07175">
        <w:rPr>
          <w:rFonts w:ascii="Arial" w:hAnsi="Arial" w:cs="Arial"/>
        </w:rPr>
        <w:t>2013). The whole-genome draft sequence of rye (</w:t>
      </w:r>
      <w:r w:rsidRPr="00C07175">
        <w:rPr>
          <w:rFonts w:ascii="Arial" w:hAnsi="Arial" w:cs="Arial"/>
          <w:i/>
          <w:iCs/>
        </w:rPr>
        <w:t>Secale cereale</w:t>
      </w:r>
      <w:r w:rsidRPr="00C07175">
        <w:rPr>
          <w:rFonts w:ascii="Arial" w:hAnsi="Arial" w:cs="Arial"/>
        </w:rPr>
        <w:t xml:space="preserve"> L.). Rye was done and developed the high-density Rye600k genotyping array with 600 843 markers, which enabled anchoring the sequence contigs along a high-density genetic map and establishing a synteny-based virtual gene order (Bauer </w:t>
      </w:r>
      <w:r w:rsidR="006B78DD" w:rsidRPr="006B78DD">
        <w:rPr>
          <w:rFonts w:ascii="Arial" w:hAnsi="Arial" w:cs="Arial"/>
          <w:i/>
          <w:iCs/>
        </w:rPr>
        <w:t>et al.,</w:t>
      </w:r>
      <w:r w:rsidRPr="00C07175">
        <w:rPr>
          <w:rFonts w:ascii="Arial" w:hAnsi="Arial" w:cs="Arial"/>
        </w:rPr>
        <w:t xml:space="preserve"> 2017). In Bitter gourd (</w:t>
      </w:r>
      <w:r w:rsidRPr="00C07175">
        <w:rPr>
          <w:rFonts w:ascii="Arial" w:hAnsi="Arial" w:cs="Arial"/>
          <w:i/>
          <w:iCs/>
        </w:rPr>
        <w:t>Momordica charantia</w:t>
      </w:r>
      <w:r w:rsidRPr="00C07175">
        <w:rPr>
          <w:rFonts w:ascii="Arial" w:hAnsi="Arial" w:cs="Arial"/>
        </w:rPr>
        <w:t xml:space="preserve">) whole-genome sequencing where performed which provides new insights into bitter gourd genetic diversity and domestication and will facilitate the future genomics-enabled improvement of bitter gourd (Cui </w:t>
      </w:r>
      <w:r w:rsidR="006B78DD" w:rsidRPr="006B78DD">
        <w:rPr>
          <w:rFonts w:ascii="Arial" w:hAnsi="Arial" w:cs="Arial"/>
          <w:i/>
          <w:iCs/>
        </w:rPr>
        <w:t>et al.,</w:t>
      </w:r>
      <w:r w:rsidRPr="00C07175">
        <w:rPr>
          <w:rFonts w:ascii="Arial" w:hAnsi="Arial" w:cs="Arial"/>
        </w:rPr>
        <w:t xml:space="preserve"> 2020). </w:t>
      </w:r>
      <w:hyperlink r:id="rId16" w:history="1">
        <w:r w:rsidRPr="00C07175">
          <w:rPr>
            <w:rStyle w:val="Hyperlink"/>
            <w:rFonts w:ascii="Arial" w:hAnsi="Arial" w:cs="Arial"/>
            <w:color w:val="000000" w:themeColor="text1"/>
            <w:u w:val="none"/>
          </w:rPr>
          <w:t>Kishor</w:t>
        </w:r>
      </w:hyperlink>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(2020) re-sequenced the whole genome of three traditional Basmati varieties at a coverage of more than 25X using Illumina HiSeq2500 and mapped the obtained sequences to the reference genome sequences of Nipponbare (japonica rice), Kasalath (aus rice), and Zhenshan 97 (indica rice). </w:t>
      </w:r>
    </w:p>
    <w:p w14:paraId="1FFE4788" w14:textId="6DEABC3B" w:rsidR="009D3686" w:rsidRPr="007A53A9" w:rsidRDefault="00D92D0B" w:rsidP="00F025BC">
      <w:pPr>
        <w:spacing w:before="240" w:line="360" w:lineRule="auto"/>
        <w:jc w:val="both"/>
        <w:rPr>
          <w:rFonts w:ascii="Arial" w:hAnsi="Arial" w:cs="Arial"/>
          <w:b/>
          <w:bCs/>
        </w:rPr>
      </w:pPr>
      <w:r w:rsidRPr="007A53A9">
        <w:rPr>
          <w:rFonts w:ascii="Arial" w:hAnsi="Arial" w:cs="Arial"/>
          <w:b/>
          <w:bCs/>
        </w:rPr>
        <w:t>2.11.</w:t>
      </w:r>
      <w:r w:rsidR="009D3686" w:rsidRPr="007A53A9">
        <w:rPr>
          <w:rFonts w:ascii="Arial" w:hAnsi="Arial" w:cs="Arial"/>
          <w:b/>
          <w:bCs/>
        </w:rPr>
        <w:t xml:space="preserve">Massively parallel sequencing </w:t>
      </w:r>
    </w:p>
    <w:p w14:paraId="0D3C9615" w14:textId="77777777" w:rsidR="00D62C8D" w:rsidRPr="00C07175" w:rsidRDefault="00D62C8D" w:rsidP="00F025BC">
      <w:pPr>
        <w:spacing w:before="240" w:line="360" w:lineRule="auto"/>
        <w:jc w:val="both"/>
        <w:rPr>
          <w:rFonts w:ascii="Arial" w:hAnsi="Arial" w:cs="Arial"/>
        </w:rPr>
      </w:pPr>
      <w:r w:rsidRPr="00C07175">
        <w:rPr>
          <w:rFonts w:ascii="Arial" w:hAnsi="Arial" w:cs="Arial"/>
        </w:rPr>
        <w:tab/>
      </w:r>
      <w:r w:rsidR="009D3686" w:rsidRPr="00C07175">
        <w:rPr>
          <w:rFonts w:ascii="Arial" w:hAnsi="Arial" w:cs="Arial"/>
        </w:rPr>
        <w:t xml:space="preserve">MPS is a technique that offers several high-throughput approaches to DNA sequencing. It is also often called next-generation sequencing (NGS). MPS is a high-throughput DNA sequencing method used to determine the entire genomic sequence of a person or organism. </w:t>
      </w:r>
    </w:p>
    <w:p w14:paraId="4EFA301F" w14:textId="1B22484E" w:rsidR="00132F52" w:rsidRPr="007A53A9" w:rsidRDefault="009D3686" w:rsidP="00F025BC">
      <w:pPr>
        <w:spacing w:before="240" w:line="360" w:lineRule="auto"/>
        <w:jc w:val="both"/>
        <w:rPr>
          <w:rFonts w:ascii="Arial" w:hAnsi="Arial" w:cs="Arial"/>
          <w:b/>
          <w:bCs/>
          <w:u w:val="single"/>
        </w:rPr>
      </w:pPr>
      <w:r w:rsidRPr="007A53A9">
        <w:rPr>
          <w:rFonts w:ascii="Arial" w:hAnsi="Arial" w:cs="Arial"/>
          <w:b/>
          <w:bCs/>
          <w:u w:val="single"/>
        </w:rPr>
        <w:t>MPS typically involves three basic steps:</w:t>
      </w:r>
    </w:p>
    <w:p w14:paraId="0F651E4C" w14:textId="77777777" w:rsidR="00132F52" w:rsidRPr="00C07175" w:rsidRDefault="00132F52" w:rsidP="00F025BC">
      <w:pPr>
        <w:spacing w:before="240" w:line="360" w:lineRule="auto"/>
        <w:jc w:val="both"/>
        <w:rPr>
          <w:rFonts w:ascii="Arial" w:hAnsi="Arial" w:cs="Arial"/>
        </w:rPr>
      </w:pPr>
    </w:p>
    <w:p w14:paraId="0E469010" w14:textId="6F688F24" w:rsidR="009D3686" w:rsidRPr="00C07175" w:rsidRDefault="00132F52" w:rsidP="00F025BC">
      <w:pPr>
        <w:spacing w:before="240"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37088" behindDoc="1" locked="0" layoutInCell="1" allowOverlap="1" wp14:anchorId="19484314" wp14:editId="3A414158">
                <wp:simplePos x="0" y="0"/>
                <wp:positionH relativeFrom="column">
                  <wp:posOffset>85725</wp:posOffset>
                </wp:positionH>
                <wp:positionV relativeFrom="paragraph">
                  <wp:posOffset>-333375</wp:posOffset>
                </wp:positionV>
                <wp:extent cx="5667375" cy="2276475"/>
                <wp:effectExtent l="0" t="0" r="9525" b="9525"/>
                <wp:wrapNone/>
                <wp:docPr id="931483288" name="Rectangle 48"/>
                <wp:cNvGraphicFramePr/>
                <a:graphic xmlns:a="http://schemas.openxmlformats.org/drawingml/2006/main">
                  <a:graphicData uri="http://schemas.microsoft.com/office/word/2010/wordprocessingShape">
                    <wps:wsp>
                      <wps:cNvSpPr/>
                      <wps:spPr>
                        <a:xfrm>
                          <a:off x="0" y="0"/>
                          <a:ext cx="5667375" cy="22764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685F5" id="Rectangle 48" o:spid="_x0000_s1026" style="position:absolute;margin-left:6.75pt;margin-top:-26.25pt;width:446.25pt;height:179.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" fillcolor="white [3201]" stroked="f" strokeweight="1pt"/>
            </w:pict>
          </mc:Fallback>
        </mc:AlternateContent>
      </w:r>
      <w:r w:rsidR="00823E82" w:rsidRPr="00C07175">
        <w:rPr>
          <w:rFonts w:ascii="Arial" w:hAnsi="Arial" w:cs="Arial"/>
          <w:noProof/>
          <w:lang w:eastAsia="en-IN" w:bidi="te-IN"/>
        </w:rPr>
        <mc:AlternateContent>
          <mc:Choice Requires="wps">
            <w:drawing>
              <wp:anchor distT="0" distB="0" distL="114300" distR="114300" simplePos="0" relativeHeight="251718656" behindDoc="0" locked="0" layoutInCell="1" allowOverlap="1" wp14:anchorId="686E9E18" wp14:editId="578A8B9F">
                <wp:simplePos x="0" y="0"/>
                <wp:positionH relativeFrom="column">
                  <wp:posOffset>2838450</wp:posOffset>
                </wp:positionH>
                <wp:positionV relativeFrom="paragraph">
                  <wp:posOffset>340995</wp:posOffset>
                </wp:positionV>
                <wp:extent cx="123825" cy="276225"/>
                <wp:effectExtent l="19050" t="0" r="47625" b="47625"/>
                <wp:wrapNone/>
                <wp:docPr id="1538215793"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9459A" id="Arrow: Down 1" o:spid="_x0000_s1026" type="#_x0000_t67" style="position:absolute;margin-left:223.5pt;margin-top:26.85pt;width:9.75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" adj="16759" fillcolor="#4472c4 [3204]" strokecolor="#09101d [484]" strokeweight="1pt"/>
            </w:pict>
          </mc:Fallback>
        </mc:AlternateContent>
      </w:r>
      <w:r w:rsidR="00823E82" w:rsidRPr="00C07175">
        <w:rPr>
          <w:rFonts w:ascii="Arial" w:hAnsi="Arial" w:cs="Arial"/>
        </w:rPr>
        <w:t>Construction of libraries</w:t>
      </w:r>
    </w:p>
    <w:p w14:paraId="0627517D" w14:textId="18E48127" w:rsidR="00823E82" w:rsidRPr="00C07175" w:rsidRDefault="00823E82" w:rsidP="00F025BC">
      <w:pPr>
        <w:spacing w:before="240" w:line="360" w:lineRule="auto"/>
        <w:jc w:val="center"/>
        <w:rPr>
          <w:rFonts w:ascii="Arial" w:hAnsi="Arial" w:cs="Arial"/>
        </w:rPr>
      </w:pPr>
    </w:p>
    <w:p w14:paraId="3B945862" w14:textId="37B00411" w:rsidR="009D3686" w:rsidRPr="00C07175" w:rsidRDefault="00823E82" w:rsidP="00F025BC">
      <w:pPr>
        <w:spacing w:before="240" w:line="360" w:lineRule="auto"/>
        <w:jc w:val="center"/>
        <w:rPr>
          <w:rFonts w:ascii="Arial" w:hAnsi="Arial" w:cs="Arial"/>
        </w:rPr>
      </w:pPr>
      <w:r w:rsidRPr="00C07175">
        <w:rPr>
          <w:rFonts w:ascii="Arial" w:hAnsi="Arial" w:cs="Arial"/>
          <w:noProof/>
          <w:lang w:eastAsia="en-IN" w:bidi="te-IN"/>
        </w:rPr>
        <mc:AlternateContent>
          <mc:Choice Requires="wps">
            <w:drawing>
              <wp:anchor distT="0" distB="0" distL="114300" distR="114300" simplePos="0" relativeHeight="251720704" behindDoc="0" locked="0" layoutInCell="1" allowOverlap="1" wp14:anchorId="4259889E" wp14:editId="791B4420">
                <wp:simplePos x="0" y="0"/>
                <wp:positionH relativeFrom="column">
                  <wp:posOffset>2847975</wp:posOffset>
                </wp:positionH>
                <wp:positionV relativeFrom="paragraph">
                  <wp:posOffset>340995</wp:posOffset>
                </wp:positionV>
                <wp:extent cx="123825" cy="276225"/>
                <wp:effectExtent l="19050" t="0" r="47625" b="47625"/>
                <wp:wrapNone/>
                <wp:docPr id="142748786"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C2BAF" id="Arrow: Down 1" o:spid="_x0000_s1026" type="#_x0000_t67" style="position:absolute;margin-left:224.25pt;margin-top:26.85pt;width:9.7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" adj="16759" fillcolor="#4472c4 [3204]" strokecolor="#09101d [484]" strokeweight="1pt"/>
            </w:pict>
          </mc:Fallback>
        </mc:AlternateContent>
      </w:r>
      <w:r w:rsidRPr="00C07175">
        <w:rPr>
          <w:rFonts w:ascii="Arial" w:hAnsi="Arial" w:cs="Arial"/>
        </w:rPr>
        <w:t>Sequencing by loading the libraries onto a flow cell and then placing on the sequencer.</w:t>
      </w:r>
    </w:p>
    <w:p w14:paraId="1152FD39" w14:textId="6F4EA8D6" w:rsidR="00823E82" w:rsidRPr="00C07175" w:rsidRDefault="00823E82" w:rsidP="00F025BC">
      <w:pPr>
        <w:spacing w:before="240" w:line="360" w:lineRule="auto"/>
        <w:jc w:val="center"/>
        <w:rPr>
          <w:rFonts w:ascii="Arial" w:hAnsi="Arial" w:cs="Arial"/>
        </w:rPr>
      </w:pPr>
    </w:p>
    <w:p w14:paraId="542FA994" w14:textId="020D1965" w:rsidR="009D3686" w:rsidRPr="00C07175" w:rsidRDefault="009D3686" w:rsidP="00F025BC">
      <w:pPr>
        <w:spacing w:before="240" w:line="360" w:lineRule="auto"/>
        <w:jc w:val="center"/>
        <w:rPr>
          <w:rFonts w:ascii="Arial" w:hAnsi="Arial" w:cs="Arial"/>
        </w:rPr>
      </w:pPr>
      <w:r w:rsidRPr="00C07175">
        <w:rPr>
          <w:rFonts w:ascii="Arial" w:hAnsi="Arial" w:cs="Arial"/>
        </w:rPr>
        <w:t>Data analysis by MPS instruments using special software programs identify nucleotides and analyze the sequencing data</w:t>
      </w:r>
    </w:p>
    <w:p w14:paraId="414BDCE2" w14:textId="2A850031" w:rsidR="00163742" w:rsidRPr="00C07175" w:rsidRDefault="00AB6F73" w:rsidP="00F025BC">
      <w:pPr>
        <w:spacing w:before="240" w:line="360" w:lineRule="auto"/>
        <w:jc w:val="both"/>
        <w:rPr>
          <w:rFonts w:ascii="Arial" w:hAnsi="Arial" w:cs="Arial"/>
        </w:rPr>
      </w:pPr>
      <w:r>
        <w:rPr>
          <w:rFonts w:ascii="Arial" w:hAnsi="Arial" w:cs="Arial"/>
        </w:rPr>
        <w:t xml:space="preserve">Flow chart 7: </w:t>
      </w:r>
      <w:r w:rsidR="00885D71">
        <w:rPr>
          <w:rFonts w:ascii="Arial" w:hAnsi="Arial" w:cs="Arial"/>
        </w:rPr>
        <w:t xml:space="preserve"> </w:t>
      </w:r>
      <w:r w:rsidR="00885D71" w:rsidRPr="007A53A9">
        <w:rPr>
          <w:rFonts w:ascii="Arial" w:hAnsi="Arial" w:cs="Arial"/>
          <w:b/>
          <w:bCs/>
        </w:rPr>
        <w:t>M</w:t>
      </w:r>
      <w:r w:rsidR="004F6C5B">
        <w:rPr>
          <w:rFonts w:ascii="Arial" w:hAnsi="Arial" w:cs="Arial"/>
          <w:b/>
          <w:bCs/>
        </w:rPr>
        <w:t>PS T</w:t>
      </w:r>
      <w:r w:rsidR="00885D71" w:rsidRPr="00885D71">
        <w:rPr>
          <w:rFonts w:ascii="Arial" w:hAnsi="Arial" w:cs="Arial"/>
          <w:b/>
          <w:bCs/>
        </w:rPr>
        <w:t>echnique</w:t>
      </w:r>
    </w:p>
    <w:p w14:paraId="7976AE07" w14:textId="46197872" w:rsidR="009D3686" w:rsidRPr="00C07175" w:rsidRDefault="00D321A5" w:rsidP="00F025BC">
      <w:pPr>
        <w:spacing w:before="240" w:line="360" w:lineRule="auto"/>
        <w:jc w:val="both"/>
        <w:rPr>
          <w:rFonts w:ascii="Arial" w:hAnsi="Arial" w:cs="Arial"/>
        </w:rPr>
      </w:pPr>
      <w:r w:rsidRPr="00C07175">
        <w:rPr>
          <w:rFonts w:ascii="Arial" w:hAnsi="Arial" w:cs="Arial"/>
        </w:rPr>
        <w:t xml:space="preserve">The development of massively parallel sequencing techniques has enabled faster “mapping-by-sequencing” methods. These methods combine genome-wide marker genotyping and DNA sequencing into a single step, which can be applied to individual organisms or pooled groups (Wang </w:t>
      </w:r>
      <w:r w:rsidR="006B78DD" w:rsidRPr="006B78DD">
        <w:rPr>
          <w:rFonts w:ascii="Arial" w:hAnsi="Arial" w:cs="Arial"/>
          <w:i/>
          <w:iCs/>
        </w:rPr>
        <w:t>et al.,</w:t>
      </w:r>
      <w:r w:rsidRPr="00C07175">
        <w:rPr>
          <w:rFonts w:ascii="Arial" w:hAnsi="Arial" w:cs="Arial"/>
        </w:rPr>
        <w:t xml:space="preserve"> 2015). Additionally, this technique is useful for identifying genes with induced mutations (Zhang, 2009).</w:t>
      </w:r>
    </w:p>
    <w:p w14:paraId="3B30701E" w14:textId="3892377F" w:rsidR="00D92D0B" w:rsidRPr="00C07175" w:rsidRDefault="007A53A9" w:rsidP="007A53A9">
      <w:pPr>
        <w:spacing w:line="360" w:lineRule="auto"/>
        <w:rPr>
          <w:rFonts w:ascii="Arial" w:hAnsi="Arial" w:cs="Arial"/>
          <w:b/>
          <w:bCs/>
        </w:rPr>
      </w:pPr>
      <w:r w:rsidRPr="00C07175">
        <w:rPr>
          <w:rFonts w:ascii="Arial" w:hAnsi="Arial" w:cs="Arial"/>
          <w:b/>
          <w:bCs/>
        </w:rPr>
        <w:t>3. REVERSE GENETICS</w:t>
      </w:r>
    </w:p>
    <w:p w14:paraId="66BD0871" w14:textId="73B409F3"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Reverse genetics, which emerged in the early 1980s with the development of advanced molecular techniques, introduced a transformative approach to genetic investigation. As described by Hardy </w:t>
      </w:r>
      <w:r w:rsidR="006B78DD" w:rsidRPr="006B78DD">
        <w:rPr>
          <w:rFonts w:ascii="Arial" w:hAnsi="Arial" w:cs="Arial"/>
          <w:i/>
          <w:iCs/>
        </w:rPr>
        <w:t>et al.,</w:t>
      </w:r>
      <w:r w:rsidR="000610C3" w:rsidRPr="00C07175">
        <w:rPr>
          <w:rFonts w:ascii="Arial" w:hAnsi="Arial" w:cs="Arial"/>
        </w:rPr>
        <w:t xml:space="preserve"> (2010), this methodology initiates inquiry from a known gene, aiming to elucidate its biological function by examining the phenotypic outcomes of deliberately engineered genetic alterations. In contrast to conventional forward genetics—where research begins with an observed mutant phenotype and progresses toward identifying the underlying genetic basis—reverse genetics operates in the opposite direction. It starts with a characterized DNA or protein sequence, potentially lacking prior functional annotation, and systematically introduces targeted mutations to assess the resultant phenotypic manifestations (Aklilu </w:t>
      </w:r>
      <w:r w:rsidR="006B78DD" w:rsidRPr="006B78DD">
        <w:rPr>
          <w:rFonts w:ascii="Arial" w:hAnsi="Arial" w:cs="Arial"/>
          <w:i/>
          <w:iCs/>
        </w:rPr>
        <w:t>et al.,</w:t>
      </w:r>
      <w:r w:rsidR="000610C3" w:rsidRPr="00C07175">
        <w:rPr>
          <w:rFonts w:ascii="Arial" w:hAnsi="Arial" w:cs="Arial"/>
        </w:rPr>
        <w:t xml:space="preserve"> 2021).The goal in reverse genetics is to investigate the impact of induced variation within a specific gene and to infer gene function. </w:t>
      </w:r>
    </w:p>
    <w:p w14:paraId="7CF9CA10" w14:textId="7D453087" w:rsidR="000610C3" w:rsidRPr="007A53A9" w:rsidRDefault="00D92D0B" w:rsidP="00F025BC">
      <w:pPr>
        <w:spacing w:line="360" w:lineRule="auto"/>
        <w:jc w:val="both"/>
        <w:rPr>
          <w:rFonts w:ascii="Arial" w:hAnsi="Arial" w:cs="Arial"/>
          <w:b/>
          <w:bCs/>
        </w:rPr>
      </w:pPr>
      <w:r w:rsidRPr="007A53A9">
        <w:rPr>
          <w:rFonts w:ascii="Arial" w:hAnsi="Arial" w:cs="Arial"/>
          <w:b/>
          <w:bCs/>
        </w:rPr>
        <w:t>3.1.</w:t>
      </w:r>
      <w:r w:rsidR="000610C3" w:rsidRPr="007A53A9">
        <w:rPr>
          <w:rFonts w:ascii="Arial" w:hAnsi="Arial" w:cs="Arial"/>
          <w:b/>
          <w:bCs/>
        </w:rPr>
        <w:t>TILLING and EcoTILLING</w:t>
      </w:r>
    </w:p>
    <w:p w14:paraId="15C9C10D" w14:textId="77777777" w:rsidR="000610C3" w:rsidRPr="00C07175" w:rsidRDefault="000610C3" w:rsidP="00F025BC">
      <w:pPr>
        <w:spacing w:line="360" w:lineRule="auto"/>
        <w:jc w:val="both"/>
        <w:rPr>
          <w:rFonts w:ascii="Arial" w:hAnsi="Arial" w:cs="Arial"/>
          <w:b/>
          <w:bCs/>
        </w:rPr>
      </w:pPr>
      <w:r w:rsidRPr="00C07175">
        <w:rPr>
          <w:rFonts w:ascii="Arial" w:hAnsi="Arial" w:cs="Arial"/>
        </w:rPr>
        <w:t>TILLING and EcoTILLING have been proven to be highly effective reverse genetic tools for functional genomic studies in plants and animals.</w:t>
      </w:r>
    </w:p>
    <w:p w14:paraId="77FFBF4D" w14:textId="7B324904"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3.1.1.</w:t>
      </w:r>
      <w:r w:rsidR="000610C3" w:rsidRPr="007A53A9">
        <w:rPr>
          <w:rFonts w:ascii="Arial" w:hAnsi="Arial" w:cs="Arial"/>
          <w:b/>
          <w:bCs/>
          <w:u w:val="single"/>
        </w:rPr>
        <w:t>TILLING</w:t>
      </w:r>
    </w:p>
    <w:p w14:paraId="295AD3ED" w14:textId="01F9A43A"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A pivotal breakthrough in non-recombinant reverse genetics emerged in the late 1990s with the advent of </w:t>
      </w:r>
      <w:r w:rsidR="000610C3" w:rsidRPr="00C07175">
        <w:rPr>
          <w:rFonts w:ascii="Arial" w:hAnsi="Arial" w:cs="Arial"/>
          <w:i/>
          <w:iCs/>
        </w:rPr>
        <w:t>Targeted Induced Local Lesions IN Genomes</w:t>
      </w:r>
      <w:r w:rsidR="000610C3" w:rsidRPr="00C07175">
        <w:rPr>
          <w:rFonts w:ascii="Arial" w:hAnsi="Arial" w:cs="Arial"/>
        </w:rPr>
        <w:t xml:space="preserve"> (TILLING), a high-throughput, non-transgenic approach to functional genomics. Unlike certain methodologies constrained by species specificity, TILLING possesses broad applicability across diverse taxa, integrating </w:t>
      </w:r>
      <w:r w:rsidR="000610C3" w:rsidRPr="00C07175">
        <w:rPr>
          <w:rFonts w:ascii="Arial" w:hAnsi="Arial" w:cs="Arial"/>
        </w:rPr>
        <w:lastRenderedPageBreak/>
        <w:t>classical chemical mutagenesis with advanced mutation discovery platforms, rendering it particularly suitable for a wide range of plant systems. The procedure exploits the activity of a mismatch-specific endonuclease, Cel I, to detect sequence alterations in a target gene resulting in heteroduplex formation. This entails PCR amplification of the gene of interest using fluorescently labeled primers, hybridization of wild-type and mutant DNA strands to generate heteroduplexes, and endonucleolytic cleavage at sites of ethyl methanesulfonate (EMS)-induced mismatches. The resultant fragments are resolved using technologies such as Li-COR imaging or matrix-assisted laser desorption/ionization time-of-flight (MALDI-TOF) mass spectrometry. TILLING enables the detection of missense variants as well as small insertions and deletions within coding sequences.</w:t>
      </w:r>
    </w:p>
    <w:p w14:paraId="1C80F4C1" w14:textId="424EB213" w:rsidR="000610C3" w:rsidRPr="00C07175" w:rsidRDefault="000610C3" w:rsidP="00F025BC">
      <w:pPr>
        <w:spacing w:line="360" w:lineRule="auto"/>
        <w:jc w:val="both"/>
        <w:rPr>
          <w:rFonts w:ascii="Arial" w:hAnsi="Arial" w:cs="Arial"/>
        </w:rPr>
      </w:pPr>
      <w:r w:rsidRPr="00C07175">
        <w:rPr>
          <w:rFonts w:ascii="Arial" w:hAnsi="Arial" w:cs="Arial"/>
        </w:rPr>
        <w:t>Initially established for </w:t>
      </w:r>
      <w:r w:rsidRPr="00C07175">
        <w:rPr>
          <w:rFonts w:ascii="Arial" w:hAnsi="Arial" w:cs="Arial"/>
          <w:i/>
          <w:iCs/>
        </w:rPr>
        <w:t>Arabidopsis thaliana</w:t>
      </w:r>
      <w:r w:rsidRPr="00C07175">
        <w:rPr>
          <w:rFonts w:ascii="Arial" w:hAnsi="Arial" w:cs="Arial"/>
        </w:rPr>
        <w:t>, TILLING has demonstrated remarkable versatility, being successfully implemented in species with substantially larger and more complex genomes, including barley (</w:t>
      </w:r>
      <w:r w:rsidRPr="00C07175">
        <w:rPr>
          <w:rFonts w:ascii="Arial" w:hAnsi="Arial" w:cs="Arial"/>
          <w:i/>
          <w:iCs/>
        </w:rPr>
        <w:t>Hordeum vulgare</w:t>
      </w:r>
      <w:r w:rsidRPr="00C07175">
        <w:rPr>
          <w:rFonts w:ascii="Arial" w:hAnsi="Arial" w:cs="Arial"/>
        </w:rPr>
        <w:t>) and wheat (</w:t>
      </w:r>
      <w:r w:rsidRPr="00C07175">
        <w:rPr>
          <w:rFonts w:ascii="Arial" w:hAnsi="Arial" w:cs="Arial"/>
          <w:i/>
          <w:iCs/>
        </w:rPr>
        <w:t>Triticum aestivum</w:t>
      </w:r>
      <w:r w:rsidRPr="00C07175">
        <w:rPr>
          <w:rFonts w:ascii="Arial" w:hAnsi="Arial" w:cs="Arial"/>
        </w:rPr>
        <w:t xml:space="preserve">) (Keller </w:t>
      </w:r>
      <w:r w:rsidR="006B78DD" w:rsidRPr="006B78DD">
        <w:rPr>
          <w:rFonts w:ascii="Arial" w:hAnsi="Arial" w:cs="Arial"/>
          <w:i/>
          <w:iCs/>
        </w:rPr>
        <w:t>et al.,</w:t>
      </w:r>
      <w:r w:rsidRPr="00C07175">
        <w:rPr>
          <w:rFonts w:ascii="Arial" w:hAnsi="Arial" w:cs="Arial"/>
        </w:rPr>
        <w:t xml:space="preserve"> 2005; Komatsuda </w:t>
      </w:r>
      <w:r w:rsidR="006B78DD" w:rsidRPr="006B78DD">
        <w:rPr>
          <w:rFonts w:ascii="Arial" w:hAnsi="Arial" w:cs="Arial"/>
          <w:i/>
          <w:iCs/>
        </w:rPr>
        <w:t>et al.,</w:t>
      </w:r>
      <w:r w:rsidRPr="00C07175">
        <w:rPr>
          <w:rFonts w:ascii="Arial" w:hAnsi="Arial" w:cs="Arial"/>
        </w:rPr>
        <w:t xml:space="preserve"> 2007; Krattinger </w:t>
      </w:r>
      <w:r w:rsidR="006B78DD" w:rsidRPr="006B78DD">
        <w:rPr>
          <w:rFonts w:ascii="Arial" w:hAnsi="Arial" w:cs="Arial"/>
          <w:i/>
          <w:iCs/>
        </w:rPr>
        <w:t>et al.,</w:t>
      </w:r>
      <w:r w:rsidRPr="00C07175">
        <w:rPr>
          <w:rFonts w:ascii="Arial" w:hAnsi="Arial" w:cs="Arial"/>
        </w:rPr>
        <w:t xml:space="preserve"> 2009; Zhang </w:t>
      </w:r>
      <w:r w:rsidR="006B78DD" w:rsidRPr="006B78DD">
        <w:rPr>
          <w:rFonts w:ascii="Arial" w:hAnsi="Arial" w:cs="Arial"/>
          <w:i/>
          <w:iCs/>
        </w:rPr>
        <w:t>et al.,</w:t>
      </w:r>
      <w:r w:rsidRPr="00C07175">
        <w:rPr>
          <w:rFonts w:ascii="Arial" w:hAnsi="Arial" w:cs="Arial"/>
        </w:rPr>
        <w:t xml:space="preserve"> 2009). This adaptability allows for both the characterization of functional genotypes in small-genome models and the elucidation of gene function in major cereal crops. Furthermore, the methodology has been extended to numerous agronomically significant species such as rice, maize, sorghum, soybean, rapeseed, and tomato, with large-scale services developed for model organisms spanning </w:t>
      </w:r>
      <w:r w:rsidRPr="00C07175">
        <w:rPr>
          <w:rFonts w:ascii="Arial" w:hAnsi="Arial" w:cs="Arial"/>
          <w:i/>
          <w:iCs/>
        </w:rPr>
        <w:t>Drosophila melanogaster</w:t>
      </w:r>
      <w:r w:rsidRPr="00C07175">
        <w:rPr>
          <w:rFonts w:ascii="Arial" w:hAnsi="Arial" w:cs="Arial"/>
        </w:rPr>
        <w:t>, </w:t>
      </w:r>
      <w:r w:rsidRPr="00C07175">
        <w:rPr>
          <w:rFonts w:ascii="Arial" w:hAnsi="Arial" w:cs="Arial"/>
          <w:i/>
          <w:iCs/>
        </w:rPr>
        <w:t>Caenorhabditis elegans</w:t>
      </w:r>
      <w:r w:rsidRPr="00C07175">
        <w:rPr>
          <w:rFonts w:ascii="Arial" w:hAnsi="Arial" w:cs="Arial"/>
        </w:rPr>
        <w:t>, </w:t>
      </w:r>
      <w:r w:rsidRPr="00C07175">
        <w:rPr>
          <w:rFonts w:ascii="Arial" w:hAnsi="Arial" w:cs="Arial"/>
          <w:i/>
          <w:iCs/>
        </w:rPr>
        <w:t>Danio rerio</w:t>
      </w:r>
      <w:r w:rsidRPr="00C07175">
        <w:rPr>
          <w:rFonts w:ascii="Arial" w:hAnsi="Arial" w:cs="Arial"/>
        </w:rPr>
        <w:t>, and </w:t>
      </w:r>
      <w:r w:rsidRPr="00C07175">
        <w:rPr>
          <w:rFonts w:ascii="Arial" w:hAnsi="Arial" w:cs="Arial"/>
          <w:i/>
          <w:iCs/>
        </w:rPr>
        <w:t>Rattus norvegicus</w:t>
      </w:r>
      <w:r w:rsidRPr="00C07175">
        <w:rPr>
          <w:rFonts w:ascii="Arial" w:hAnsi="Arial" w:cs="Arial"/>
        </w:rPr>
        <w:t xml:space="preserve"> (Winkler </w:t>
      </w:r>
      <w:r w:rsidR="006B78DD" w:rsidRPr="006B78DD">
        <w:rPr>
          <w:rFonts w:ascii="Arial" w:hAnsi="Arial" w:cs="Arial"/>
          <w:i/>
          <w:iCs/>
        </w:rPr>
        <w:t>et al.,</w:t>
      </w:r>
      <w:r w:rsidRPr="00C07175">
        <w:rPr>
          <w:rFonts w:ascii="Arial" w:hAnsi="Arial" w:cs="Arial"/>
        </w:rPr>
        <w:t xml:space="preserve"> 2005; Gilchrist </w:t>
      </w:r>
      <w:r w:rsidR="006B78DD" w:rsidRPr="006B78DD">
        <w:rPr>
          <w:rFonts w:ascii="Arial" w:hAnsi="Arial" w:cs="Arial"/>
          <w:i/>
          <w:iCs/>
        </w:rPr>
        <w:t>et al.,</w:t>
      </w:r>
      <w:r w:rsidRPr="00C07175">
        <w:rPr>
          <w:rFonts w:ascii="Arial" w:hAnsi="Arial" w:cs="Arial"/>
        </w:rPr>
        <w:t xml:space="preserve"> 2006; Wienholds </w:t>
      </w:r>
      <w:r w:rsidR="006B78DD" w:rsidRPr="006B78DD">
        <w:rPr>
          <w:rFonts w:ascii="Arial" w:hAnsi="Arial" w:cs="Arial"/>
          <w:i/>
          <w:iCs/>
        </w:rPr>
        <w:t>et al.,</w:t>
      </w:r>
      <w:r w:rsidRPr="00C07175">
        <w:rPr>
          <w:rFonts w:ascii="Arial" w:hAnsi="Arial" w:cs="Arial"/>
        </w:rPr>
        <w:t xml:space="preserve"> 2003; Smits </w:t>
      </w:r>
      <w:r w:rsidR="006B78DD" w:rsidRPr="006B78DD">
        <w:rPr>
          <w:rFonts w:ascii="Arial" w:hAnsi="Arial" w:cs="Arial"/>
          <w:i/>
          <w:iCs/>
        </w:rPr>
        <w:t>et al.,</w:t>
      </w:r>
      <w:r w:rsidRPr="00C07175">
        <w:rPr>
          <w:rFonts w:ascii="Arial" w:hAnsi="Arial" w:cs="Arial"/>
        </w:rPr>
        <w:t>2004).</w:t>
      </w:r>
    </w:p>
    <w:p w14:paraId="1A3A58CC" w14:textId="60126A3A" w:rsidR="000610C3" w:rsidRPr="00C07175" w:rsidRDefault="000610C3" w:rsidP="00F025BC">
      <w:pPr>
        <w:spacing w:line="360" w:lineRule="auto"/>
        <w:jc w:val="both"/>
        <w:rPr>
          <w:rFonts w:ascii="Arial" w:hAnsi="Arial" w:cs="Arial"/>
        </w:rPr>
      </w:pPr>
      <w:r w:rsidRPr="00C07175">
        <w:rPr>
          <w:rFonts w:ascii="Arial" w:hAnsi="Arial" w:cs="Arial"/>
        </w:rPr>
        <w:t xml:space="preserve">The efficacy of TILLING is contingent upon the generation of high-quality, well-curated mutant genomic libraries. Importantly, as it does not entail the production of genetically modified organisms (GMOs), it offers strategic advantages in enhancing the resolution of quantitative trait locus (QTL) mapping and genome-wide association studies. Limitations primarily arise from the mutagenic capacity of a given species and the necessity to maintain genetic purity and uniformity of seed stocks, which can be safeguarded through genotyping with microsatellite markers (Okabe </w:t>
      </w:r>
      <w:r w:rsidR="006B78DD" w:rsidRPr="006B78DD">
        <w:rPr>
          <w:rFonts w:ascii="Arial" w:hAnsi="Arial" w:cs="Arial"/>
          <w:i/>
          <w:iCs/>
        </w:rPr>
        <w:t>et al.,</w:t>
      </w:r>
      <w:r w:rsidRPr="00C07175">
        <w:rPr>
          <w:rFonts w:ascii="Arial" w:hAnsi="Arial" w:cs="Arial"/>
        </w:rPr>
        <w:t xml:space="preserve"> 2011).</w:t>
      </w:r>
    </w:p>
    <w:p w14:paraId="4B6D44ED" w14:textId="18330E90"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3.1.2.</w:t>
      </w:r>
      <w:r w:rsidR="000610C3" w:rsidRPr="007A53A9">
        <w:rPr>
          <w:rFonts w:ascii="Arial" w:hAnsi="Arial" w:cs="Arial"/>
          <w:b/>
          <w:bCs/>
          <w:u w:val="single"/>
        </w:rPr>
        <w:t>EcoTILLING</w:t>
      </w:r>
    </w:p>
    <w:p w14:paraId="39FA287E" w14:textId="286A9414"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EcoTILLING is a molecular approach analogous to TILLING, but it is designed to detect naturally occurring genetic polymorphisms rather than chemically induced mutations. This technique is particularly valuable for species unsuitable for mutagenic treatments, as it facilitates the identification of inherent genetic variants and their potential functional significance (Gilchrist </w:t>
      </w:r>
      <w:r w:rsidR="006B78DD" w:rsidRPr="006B78DD">
        <w:rPr>
          <w:rFonts w:ascii="Arial" w:hAnsi="Arial" w:cs="Arial"/>
          <w:i/>
          <w:iCs/>
        </w:rPr>
        <w:t>et al.,</w:t>
      </w:r>
      <w:r w:rsidR="000610C3" w:rsidRPr="00C07175">
        <w:rPr>
          <w:rFonts w:ascii="Arial" w:hAnsi="Arial" w:cs="Arial"/>
        </w:rPr>
        <w:t xml:space="preserve"> 2008). It is especially effective in studies involving well-established populations with comprehensive phenotypic or morphological datasets. EcoTILLING has </w:t>
      </w:r>
      <w:r w:rsidR="000610C3" w:rsidRPr="00C07175">
        <w:rPr>
          <w:rFonts w:ascii="Arial" w:hAnsi="Arial" w:cs="Arial"/>
        </w:rPr>
        <w:lastRenderedPageBreak/>
        <w:t xml:space="preserve">proven efficient in uncovering diverse forms of DNA polymorphisms, including variations in satellite repeat sequences (Till </w:t>
      </w:r>
      <w:r w:rsidR="006B78DD" w:rsidRPr="006B78DD">
        <w:rPr>
          <w:rFonts w:ascii="Arial" w:hAnsi="Arial" w:cs="Arial"/>
          <w:i/>
          <w:iCs/>
        </w:rPr>
        <w:t>et al.,</w:t>
      </w:r>
      <w:r w:rsidR="000610C3" w:rsidRPr="00C07175">
        <w:rPr>
          <w:rFonts w:ascii="Arial" w:hAnsi="Arial" w:cs="Arial"/>
        </w:rPr>
        <w:t xml:space="preserve"> 2006). The same mutation-screening technologies employed in TILLING are applicable to EcoTILLING, though in the conventional CELI-based EcoTILLING protocol, the number of individuals per pool is typically reduced to ensure detection sensitivity (Chen </w:t>
      </w:r>
      <w:r w:rsidR="006B78DD" w:rsidRPr="006B78DD">
        <w:rPr>
          <w:rFonts w:ascii="Arial" w:hAnsi="Arial" w:cs="Arial"/>
          <w:i/>
          <w:iCs/>
        </w:rPr>
        <w:t>et al.,</w:t>
      </w:r>
      <w:r w:rsidR="000610C3" w:rsidRPr="00C07175">
        <w:rPr>
          <w:rFonts w:ascii="Arial" w:hAnsi="Arial" w:cs="Arial"/>
        </w:rPr>
        <w:t xml:space="preserve"> 2012). This method can identify multiple polymorphisms within a single amplified fragment, as the CELI endonuclease cleaves only a limited proportion of heteroduplexes at specific mismatch sites (Gilchrist </w:t>
      </w:r>
      <w:r w:rsidR="006B78DD" w:rsidRPr="006B78DD">
        <w:rPr>
          <w:rFonts w:ascii="Arial" w:hAnsi="Arial" w:cs="Arial"/>
          <w:i/>
          <w:iCs/>
        </w:rPr>
        <w:t>et al.,</w:t>
      </w:r>
      <w:r w:rsidR="000610C3" w:rsidRPr="00C07175">
        <w:rPr>
          <w:rFonts w:ascii="Arial" w:hAnsi="Arial" w:cs="Arial"/>
        </w:rPr>
        <w:t xml:space="preserve"> 2008). While EcoTILLING has not achieved the same level of adoption as TILLING, its first application—adapted for the identification of natural sequence variation—was reported in </w:t>
      </w:r>
      <w:r w:rsidR="000610C3" w:rsidRPr="00C07175">
        <w:rPr>
          <w:rFonts w:ascii="Arial" w:hAnsi="Arial" w:cs="Arial"/>
          <w:i/>
          <w:iCs/>
        </w:rPr>
        <w:t>Arabidopsis thaliana</w:t>
      </w:r>
      <w:r w:rsidR="000610C3" w:rsidRPr="00C07175">
        <w:rPr>
          <w:rFonts w:ascii="Arial" w:hAnsi="Arial" w:cs="Arial"/>
        </w:rPr>
        <w:t xml:space="preserve"> in 2004 (Comai </w:t>
      </w:r>
      <w:r w:rsidR="006B78DD" w:rsidRPr="006B78DD">
        <w:rPr>
          <w:rFonts w:ascii="Arial" w:hAnsi="Arial" w:cs="Arial"/>
          <w:i/>
          <w:iCs/>
        </w:rPr>
        <w:t>et al.,</w:t>
      </w:r>
      <w:r w:rsidR="000610C3" w:rsidRPr="00C07175">
        <w:rPr>
          <w:rFonts w:ascii="Arial" w:hAnsi="Arial" w:cs="Arial"/>
        </w:rPr>
        <w:t xml:space="preserve"> 2004). Overall, EcoTILLING represents a rapid, cost-efficient, and precise strategy for characterizing haplotype diversity and natural allelic variation within target genes across populations.</w:t>
      </w:r>
    </w:p>
    <w:p w14:paraId="4CF02EEF" w14:textId="4BF763C9" w:rsidR="000610C3" w:rsidRPr="007A53A9" w:rsidRDefault="00D92D0B" w:rsidP="00F025BC">
      <w:pPr>
        <w:spacing w:line="360" w:lineRule="auto"/>
        <w:jc w:val="both"/>
        <w:rPr>
          <w:rFonts w:ascii="Arial" w:hAnsi="Arial" w:cs="Arial"/>
          <w:b/>
          <w:bCs/>
        </w:rPr>
      </w:pPr>
      <w:r w:rsidRPr="007A53A9">
        <w:rPr>
          <w:rFonts w:ascii="Arial" w:hAnsi="Arial" w:cs="Arial"/>
          <w:b/>
          <w:bCs/>
        </w:rPr>
        <w:t>3.2.</w:t>
      </w:r>
      <w:r w:rsidR="000610C3" w:rsidRPr="007A53A9">
        <w:rPr>
          <w:rFonts w:ascii="Arial" w:hAnsi="Arial" w:cs="Arial"/>
          <w:b/>
          <w:bCs/>
        </w:rPr>
        <w:t>RNA interference</w:t>
      </w:r>
    </w:p>
    <w:p w14:paraId="35455367" w14:textId="3304449D"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Over the past decade, RNA interference (RNAi) has become a transformative tool in functional genomics, providing a precise mechanism for elucidating gene function. This phenomenon was initially observed in petunia experiments investigating pigment variation, where unexpected gene silencing effects were noted. The term “RNA interference” was later introduced following the discovery that introducing double-stranded RNA (dsRNA) into the nematode </w:t>
      </w:r>
      <w:r w:rsidR="000610C3" w:rsidRPr="00C07175">
        <w:rPr>
          <w:rFonts w:ascii="Arial" w:hAnsi="Arial" w:cs="Arial"/>
          <w:i/>
          <w:iCs/>
        </w:rPr>
        <w:t>Caenorhabditis elegans</w:t>
      </w:r>
      <w:r w:rsidR="000610C3" w:rsidRPr="00C07175">
        <w:rPr>
          <w:rFonts w:ascii="Arial" w:hAnsi="Arial" w:cs="Arial"/>
        </w:rPr>
        <w:t xml:space="preserve"> specifically suppressed genes sharing sequence homology with the introduced RNA (Fleenor </w:t>
      </w:r>
      <w:r w:rsidR="006B78DD" w:rsidRPr="006B78DD">
        <w:rPr>
          <w:rFonts w:ascii="Arial" w:hAnsi="Arial" w:cs="Arial"/>
          <w:i/>
          <w:iCs/>
        </w:rPr>
        <w:t>et al.,</w:t>
      </w:r>
      <w:r w:rsidR="000610C3" w:rsidRPr="00C07175">
        <w:rPr>
          <w:rFonts w:ascii="Arial" w:hAnsi="Arial" w:cs="Arial"/>
        </w:rPr>
        <w:t xml:space="preserve"> 1999). RNAi functions by repressing gene expression through interactions involving both sense and antisense RNA molecules, resulting in silencing at the post-transcriptional or, less commonly, transcriptional level. Post-transcriptional suppression primarily entails the targeted degradation of mRNA via endonucleolytic cleavage, mediated by complementary base pairing between dsRNA and the target transcript. Given its specificity and efficiency, RNAi has been recognized as a powerful approach in reverse genetics (Waterhouse </w:t>
      </w:r>
      <w:r w:rsidR="006B78DD" w:rsidRPr="006B78DD">
        <w:rPr>
          <w:rFonts w:ascii="Arial" w:hAnsi="Arial" w:cs="Arial"/>
          <w:i/>
          <w:iCs/>
        </w:rPr>
        <w:t>et al.,</w:t>
      </w:r>
      <w:r w:rsidR="000610C3" w:rsidRPr="00C07175">
        <w:rPr>
          <w:rFonts w:ascii="Arial" w:hAnsi="Arial" w:cs="Arial"/>
        </w:rPr>
        <w:t xml:space="preserve"> 1998). Although transcriptional-level silencing is frequently observed in plants, it remains relatively uncommon in animals.</w:t>
      </w:r>
    </w:p>
    <w:p w14:paraId="3F9D6252" w14:textId="77777777" w:rsidR="000610C3" w:rsidRPr="00C07175" w:rsidRDefault="000610C3" w:rsidP="00F025BC">
      <w:pPr>
        <w:spacing w:line="360" w:lineRule="auto"/>
        <w:jc w:val="both"/>
        <w:rPr>
          <w:rFonts w:ascii="Arial" w:hAnsi="Arial" w:cs="Arial"/>
        </w:rPr>
      </w:pPr>
      <w:r w:rsidRPr="00C07175">
        <w:rPr>
          <w:rFonts w:ascii="Arial" w:hAnsi="Arial" w:cs="Arial"/>
        </w:rPr>
        <w:t xml:space="preserve">The canonical RNAi pathway is initiated when long dsRNA molecules are cleaved into small interfering RNAs (siRNAs) by the ribonuclease Dicer. Subsequently, one strand of the siRNA duplex is incorporated into an Argonaute protein—typically AGO2 in vertebrates and arthropods—which possesses endonucleolytic activity and mediates the cleavage of complementary mRNA at the central region of the siRNA duplex. Evolutionarily, canonical RNAi serves as an innate antiviral defense system in plants and invertebrates, targeting viral dsRNA for degradation (Ding and Voinnet, 2007). Mechanistically, exogenous dsRNA activates Dicer enzymes that process it into siRNA fragments of approximately 21–24 base </w:t>
      </w:r>
      <w:r w:rsidRPr="00C07175">
        <w:rPr>
          <w:rFonts w:ascii="Arial" w:hAnsi="Arial" w:cs="Arial"/>
        </w:rPr>
        <w:lastRenderedPageBreak/>
        <w:t>pairs, each featuring 3' overhangs of two to three nucleotides. Dicer proteins are structurally defined by the presence of an RNA helicase domain, dual RNase III catalytic motifs, and a PAZ domain responsible for nucleic acid binding. Following Dicer-mediated processing, the siRNA duplex is unwound, with the passenger strand degraded by Argonaute enzymes, while the guide strand is integrated into the RNA-induced silencing complex (RISC), which directs sequence-specific cleavage of the target mRNA transcript.</w:t>
      </w:r>
    </w:p>
    <w:p w14:paraId="13D1BDB5" w14:textId="77777777" w:rsidR="000610C3" w:rsidRPr="00C07175" w:rsidRDefault="000610C3" w:rsidP="00F025BC">
      <w:pPr>
        <w:spacing w:line="360" w:lineRule="auto"/>
        <w:jc w:val="center"/>
        <w:rPr>
          <w:rFonts w:ascii="Arial" w:hAnsi="Arial" w:cs="Arial"/>
        </w:rPr>
      </w:pPr>
      <w:r w:rsidRPr="00C07175">
        <w:rPr>
          <w:rFonts w:ascii="Arial" w:hAnsi="Arial" w:cs="Arial"/>
          <w:noProof/>
          <w:lang w:eastAsia="en-IN" w:bidi="te-IN"/>
        </w:rPr>
        <w:drawing>
          <wp:inline distT="0" distB="0" distL="0" distR="0" wp14:anchorId="03B6DA19" wp14:editId="18D9B2F2">
            <wp:extent cx="5134692" cy="4143953"/>
            <wp:effectExtent l="0" t="0" r="8890" b="9525"/>
            <wp:docPr id="761823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23286" name=""/>
                    <pic:cNvPicPr/>
                  </pic:nvPicPr>
                  <pic:blipFill>
                    <a:blip r:embed="rId17"/>
                    <a:stretch>
                      <a:fillRect/>
                    </a:stretch>
                  </pic:blipFill>
                  <pic:spPr>
                    <a:xfrm>
                      <a:off x="0" y="0"/>
                      <a:ext cx="5134692" cy="4143953"/>
                    </a:xfrm>
                    <a:prstGeom prst="rect">
                      <a:avLst/>
                    </a:prstGeom>
                  </pic:spPr>
                </pic:pic>
              </a:graphicData>
            </a:graphic>
          </wp:inline>
        </w:drawing>
      </w:r>
    </w:p>
    <w:p w14:paraId="70677B07" w14:textId="3F7100AE" w:rsidR="000610C3" w:rsidRPr="00C07175" w:rsidRDefault="00AB6F73" w:rsidP="00F025BC">
      <w:pPr>
        <w:spacing w:line="360" w:lineRule="auto"/>
        <w:jc w:val="center"/>
        <w:rPr>
          <w:rFonts w:ascii="Arial" w:hAnsi="Arial" w:cs="Arial"/>
        </w:rPr>
      </w:pPr>
      <w:r>
        <w:rPr>
          <w:rFonts w:ascii="Arial" w:hAnsi="Arial" w:cs="Arial"/>
        </w:rPr>
        <w:t xml:space="preserve">Fig 1: </w:t>
      </w:r>
      <w:r w:rsidR="000610C3" w:rsidRPr="00C07175">
        <w:rPr>
          <w:rFonts w:ascii="Arial" w:hAnsi="Arial" w:cs="Arial"/>
        </w:rPr>
        <w:t xml:space="preserve">Mechanism of RNA interference (RNAi) (source:Koeppe </w:t>
      </w:r>
      <w:r w:rsidR="006B78DD" w:rsidRPr="006B78DD">
        <w:rPr>
          <w:rFonts w:ascii="Arial" w:hAnsi="Arial" w:cs="Arial"/>
          <w:i/>
          <w:iCs/>
        </w:rPr>
        <w:t>et al.,</w:t>
      </w:r>
      <w:r w:rsidR="000610C3" w:rsidRPr="00C07175">
        <w:rPr>
          <w:rFonts w:ascii="Arial" w:hAnsi="Arial" w:cs="Arial"/>
        </w:rPr>
        <w:t>2023)</w:t>
      </w:r>
    </w:p>
    <w:p w14:paraId="4CE7B72D" w14:textId="005B8DE3" w:rsidR="000610C3" w:rsidRPr="007A53A9" w:rsidRDefault="00D92D0B" w:rsidP="00F025BC">
      <w:pPr>
        <w:spacing w:line="360" w:lineRule="auto"/>
        <w:jc w:val="both"/>
        <w:rPr>
          <w:rFonts w:ascii="Arial" w:hAnsi="Arial" w:cs="Arial"/>
          <w:b/>
          <w:bCs/>
        </w:rPr>
      </w:pPr>
      <w:r w:rsidRPr="007A53A9">
        <w:rPr>
          <w:rFonts w:ascii="Arial" w:hAnsi="Arial" w:cs="Arial"/>
          <w:b/>
          <w:bCs/>
        </w:rPr>
        <w:t>3.3.</w:t>
      </w:r>
      <w:r w:rsidR="000610C3" w:rsidRPr="007A53A9">
        <w:rPr>
          <w:rFonts w:ascii="Arial" w:hAnsi="Arial" w:cs="Arial"/>
          <w:b/>
          <w:bCs/>
        </w:rPr>
        <w:t>Virus Induced Gene Silencing (VIGS)</w:t>
      </w:r>
    </w:p>
    <w:p w14:paraId="706B0818" w14:textId="6AAEE090"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Virus-Induced Gene Silencing (VIGS) is a molecular tool that harnesses viral vectors to activate the plant’s innate RNA interference (RNAi) defense mechanism. The term “virus-induced gene silencing” was first coined by A. van Kammen in 1997 to describe the phenomenon of recovery from viral infection (van Kammen, 1997). Subsequently, the concept evolved to denote the use of engineered viruses to suppress endogenous gene expression (Baulcombe, 1999; Ruiz </w:t>
      </w:r>
      <w:r w:rsidR="006B78DD" w:rsidRPr="006B78DD">
        <w:rPr>
          <w:rFonts w:ascii="Arial" w:hAnsi="Arial" w:cs="Arial"/>
          <w:i/>
          <w:iCs/>
        </w:rPr>
        <w:t>et al.,</w:t>
      </w:r>
      <w:r w:rsidR="000610C3" w:rsidRPr="00C07175">
        <w:rPr>
          <w:rFonts w:ascii="Arial" w:hAnsi="Arial" w:cs="Arial"/>
        </w:rPr>
        <w:t xml:space="preserve"> 1998). The foundational discovery that recombinant viruses containing sequences homologous to plant genes could trigger post-transcriptional gene silencing (PTGS) was made in 1995 (Kumagai </w:t>
      </w:r>
      <w:r w:rsidR="006B78DD" w:rsidRPr="006B78DD">
        <w:rPr>
          <w:rFonts w:ascii="Arial" w:hAnsi="Arial" w:cs="Arial"/>
          <w:i/>
          <w:iCs/>
        </w:rPr>
        <w:t>et al.,</w:t>
      </w:r>
      <w:r w:rsidR="000610C3" w:rsidRPr="00C07175">
        <w:rPr>
          <w:rFonts w:ascii="Arial" w:hAnsi="Arial" w:cs="Arial"/>
        </w:rPr>
        <w:t xml:space="preserve"> 1995).</w:t>
      </w:r>
    </w:p>
    <w:p w14:paraId="55227D40" w14:textId="63F7C282" w:rsidR="000610C3" w:rsidRPr="00C07175" w:rsidRDefault="000610C3" w:rsidP="00F025BC">
      <w:pPr>
        <w:spacing w:line="360" w:lineRule="auto"/>
        <w:jc w:val="both"/>
        <w:rPr>
          <w:rFonts w:ascii="Arial" w:hAnsi="Arial" w:cs="Arial"/>
        </w:rPr>
      </w:pPr>
      <w:r w:rsidRPr="00C07175">
        <w:rPr>
          <w:rFonts w:ascii="Arial" w:hAnsi="Arial" w:cs="Arial"/>
        </w:rPr>
        <w:lastRenderedPageBreak/>
        <w:t xml:space="preserve">Over time, VIGS has developed into a powerful and adaptable approach for functional genomics, despite its transient nature (Alonso </w:t>
      </w:r>
      <w:r w:rsidR="006B78DD" w:rsidRPr="006B78DD">
        <w:rPr>
          <w:rFonts w:ascii="Arial" w:hAnsi="Arial" w:cs="Arial"/>
          <w:i/>
          <w:iCs/>
        </w:rPr>
        <w:t>et al.,</w:t>
      </w:r>
      <w:r w:rsidRPr="00C07175">
        <w:rPr>
          <w:rFonts w:ascii="Arial" w:hAnsi="Arial" w:cs="Arial"/>
        </w:rPr>
        <w:t xml:space="preserve"> 2003; Purkayastha </w:t>
      </w:r>
      <w:r w:rsidR="006B78DD" w:rsidRPr="006B78DD">
        <w:rPr>
          <w:rFonts w:ascii="Arial" w:hAnsi="Arial" w:cs="Arial"/>
          <w:i/>
          <w:iCs/>
        </w:rPr>
        <w:t>et al.,</w:t>
      </w:r>
      <w:r w:rsidRPr="00C07175">
        <w:rPr>
          <w:rFonts w:ascii="Arial" w:hAnsi="Arial" w:cs="Arial"/>
        </w:rPr>
        <w:t xml:space="preserve"> 2009). The Tobacco Mosaic Virus (TMV) served as the pioneering viral vector adapted for VIGS in plants, later followed by the Tobacco Rattle Virus (TRV), which became a preferred system for gene silencing studies. Mechanistically, VIGS operates through homology-dependent mRNA degradation, effectively reducing or silencing the expression of the target gene. The procedure involves inserting a 200–1300 bp cDNA fragment corresponding to the gene of interest into a DNA copy of an RNA virus genome, which is then introduced into the host plant via </w:t>
      </w:r>
      <w:r w:rsidRPr="00C07175">
        <w:rPr>
          <w:rFonts w:ascii="Arial" w:hAnsi="Arial" w:cs="Arial"/>
          <w:i/>
          <w:iCs/>
        </w:rPr>
        <w:t>Agrobacterium</w:t>
      </w:r>
      <w:r w:rsidRPr="00C07175">
        <w:rPr>
          <w:rFonts w:ascii="Arial" w:hAnsi="Arial" w:cs="Arial"/>
        </w:rPr>
        <w:t>-mediated transformation. During viral replication, double-stranded RNA (dsRNA) containing the gene insert is generated, subsequently cleaved into small interfering RNAs (siRNAs) by Dicer-like enzymes. These siRNAs initiate the RNA-induced silencing complex (RISC), which degrades the corresponding endogenous mRNA, leading to a knockdown or knockout phenotype.</w:t>
      </w:r>
    </w:p>
    <w:p w14:paraId="272BD5E5" w14:textId="51E2B5BD" w:rsidR="000610C3" w:rsidRPr="00C07175" w:rsidRDefault="000610C3" w:rsidP="00F025BC">
      <w:pPr>
        <w:spacing w:line="360" w:lineRule="auto"/>
        <w:jc w:val="both"/>
        <w:rPr>
          <w:rFonts w:ascii="Arial" w:hAnsi="Arial" w:cs="Arial"/>
        </w:rPr>
      </w:pPr>
      <w:r w:rsidRPr="00C07175">
        <w:rPr>
          <w:rFonts w:ascii="Arial" w:hAnsi="Arial" w:cs="Arial"/>
        </w:rPr>
        <w:t xml:space="preserve">Currently, VIGS is widely employed for targeted gene suppression across diverse monocot and dicot species, with several viral vector systems optimized for specific plant families. The TRV-based system, for instance, has demonstrated exceptional efficiency in silencing genes in Solanaceous species (Liu </w:t>
      </w:r>
      <w:r w:rsidR="006B78DD" w:rsidRPr="006B78DD">
        <w:rPr>
          <w:rFonts w:ascii="Arial" w:hAnsi="Arial" w:cs="Arial"/>
          <w:i/>
          <w:iCs/>
        </w:rPr>
        <w:t>et al.,</w:t>
      </w:r>
      <w:r w:rsidRPr="00C07175">
        <w:rPr>
          <w:rFonts w:ascii="Arial" w:hAnsi="Arial" w:cs="Arial"/>
        </w:rPr>
        <w:t xml:space="preserve"> 2002). One of the most significant advantages of VIGS lies in its ability to rapidly induce gene-silencing phenotypes without the necessity for stable plant transformation, thereby reducing both time and cost. This makes VIGS particularly beneficial for studying genes that are difficult to manipulate via transformation or those essential for early developmental processes and vital cellular functions (Ding </w:t>
      </w:r>
      <w:r w:rsidR="006B78DD" w:rsidRPr="006B78DD">
        <w:rPr>
          <w:rFonts w:ascii="Arial" w:hAnsi="Arial" w:cs="Arial"/>
          <w:i/>
          <w:iCs/>
        </w:rPr>
        <w:t>et al.,</w:t>
      </w:r>
      <w:r w:rsidRPr="00C07175">
        <w:rPr>
          <w:rFonts w:ascii="Arial" w:hAnsi="Arial" w:cs="Arial"/>
        </w:rPr>
        <w:t xml:space="preserve"> 2006; Tao </w:t>
      </w:r>
      <w:r w:rsidR="006B78DD" w:rsidRPr="006B78DD">
        <w:rPr>
          <w:rFonts w:ascii="Arial" w:hAnsi="Arial" w:cs="Arial"/>
          <w:i/>
          <w:iCs/>
        </w:rPr>
        <w:t>et al.,</w:t>
      </w:r>
      <w:r w:rsidRPr="00C07175">
        <w:rPr>
          <w:rFonts w:ascii="Arial" w:hAnsi="Arial" w:cs="Arial"/>
        </w:rPr>
        <w:t xml:space="preserve"> 2004).</w:t>
      </w:r>
    </w:p>
    <w:p w14:paraId="57B97D45" w14:textId="10783A2D" w:rsidR="000610C3" w:rsidRPr="00C07175" w:rsidRDefault="000610C3" w:rsidP="00F025BC">
      <w:pPr>
        <w:spacing w:line="360" w:lineRule="auto"/>
        <w:jc w:val="both"/>
        <w:rPr>
          <w:rFonts w:ascii="Arial" w:hAnsi="Arial" w:cs="Arial"/>
        </w:rPr>
      </w:pPr>
      <w:r w:rsidRPr="00C07175">
        <w:rPr>
          <w:rFonts w:ascii="Arial" w:hAnsi="Arial" w:cs="Arial"/>
        </w:rPr>
        <w:t xml:space="preserve">Nevertheless, VIGS is not without limitations. It typically results in partial suppression rather than complete gene inactivation, achieving around 75–90% reduction in transcript levels (Pflieger </w:t>
      </w:r>
      <w:r w:rsidR="006B78DD" w:rsidRPr="006B78DD">
        <w:rPr>
          <w:rFonts w:ascii="Arial" w:hAnsi="Arial" w:cs="Arial"/>
          <w:i/>
          <w:iCs/>
        </w:rPr>
        <w:t>et al.,</w:t>
      </w:r>
      <w:r w:rsidRPr="00C07175">
        <w:rPr>
          <w:rFonts w:ascii="Arial" w:hAnsi="Arial" w:cs="Arial"/>
        </w:rPr>
        <w:t xml:space="preserve"> 2008; Unver, 2008; Orzaez </w:t>
      </w:r>
      <w:r w:rsidR="006B78DD" w:rsidRPr="006B78DD">
        <w:rPr>
          <w:rFonts w:ascii="Arial" w:hAnsi="Arial" w:cs="Arial"/>
          <w:i/>
          <w:iCs/>
        </w:rPr>
        <w:t>et al.,</w:t>
      </w:r>
      <w:r w:rsidRPr="00C07175">
        <w:rPr>
          <w:rFonts w:ascii="Arial" w:hAnsi="Arial" w:cs="Arial"/>
        </w:rPr>
        <w:t xml:space="preserve"> 2006). Furthermore, off-target silencing can occasionally occur, leading to the unintended downregulation of non-target genes in the infected tissues (Burch-Smith </w:t>
      </w:r>
      <w:r w:rsidR="006B78DD" w:rsidRPr="006B78DD">
        <w:rPr>
          <w:rFonts w:ascii="Arial" w:hAnsi="Arial" w:cs="Arial"/>
          <w:i/>
          <w:iCs/>
        </w:rPr>
        <w:t>et al.,</w:t>
      </w:r>
      <w:r w:rsidRPr="00C07175">
        <w:rPr>
          <w:rFonts w:ascii="Arial" w:hAnsi="Arial" w:cs="Arial"/>
        </w:rPr>
        <w:t xml:space="preserve"> 2006). Despite these constraints, VIGS remains an invaluable and efficient reverse-genetic strategy for dissecting gene function in plants.</w:t>
      </w:r>
    </w:p>
    <w:p w14:paraId="02079A0F" w14:textId="6C8FA164" w:rsidR="000610C3" w:rsidRPr="007A53A9" w:rsidRDefault="00D92D0B" w:rsidP="00F025BC">
      <w:pPr>
        <w:spacing w:line="360" w:lineRule="auto"/>
        <w:jc w:val="both"/>
        <w:rPr>
          <w:rFonts w:ascii="Arial" w:hAnsi="Arial" w:cs="Arial"/>
          <w:b/>
          <w:bCs/>
        </w:rPr>
      </w:pPr>
      <w:r w:rsidRPr="007A53A9">
        <w:rPr>
          <w:rFonts w:ascii="Arial" w:hAnsi="Arial" w:cs="Arial"/>
          <w:b/>
          <w:bCs/>
        </w:rPr>
        <w:t>3.4.</w:t>
      </w:r>
      <w:r w:rsidR="000610C3" w:rsidRPr="007A53A9">
        <w:rPr>
          <w:rFonts w:ascii="Arial" w:hAnsi="Arial" w:cs="Arial"/>
          <w:b/>
          <w:bCs/>
        </w:rPr>
        <w:t>Targeted Modifications of Genome by Homologous Recombination (HR)</w:t>
      </w:r>
    </w:p>
    <w:p w14:paraId="78ADEAB1" w14:textId="14A3B19A"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Homologous recombination (HR) represents a fundamental genetic mechanism responsible for mediating crossover events between non-sister chromatids during meiosis and constitutes one of the principal pathways for repairing deleterious DNA double-strand breaks (DSBs). Beyond its natural role in maintaining genomic integrity, HR also serves as a sophisticated tool for precise gene modification at defined chromosomal loci. The pioneering HR-based approach in </w:t>
      </w:r>
      <w:r w:rsidR="000610C3" w:rsidRPr="00C07175">
        <w:rPr>
          <w:rFonts w:ascii="Arial" w:hAnsi="Arial" w:cs="Arial"/>
          <w:i/>
          <w:iCs/>
        </w:rPr>
        <w:t>Saccharomyces cerevisiae</w:t>
      </w:r>
      <w:r w:rsidR="000610C3" w:rsidRPr="00C07175">
        <w:rPr>
          <w:rFonts w:ascii="Arial" w:hAnsi="Arial" w:cs="Arial"/>
        </w:rPr>
        <w:t xml:space="preserve"> involved targeted gene disruption achieved by inserting a selectable marker into the gene’s coding sequence (Hinnen </w:t>
      </w:r>
      <w:r w:rsidR="006B78DD" w:rsidRPr="006B78DD">
        <w:rPr>
          <w:rFonts w:ascii="Arial" w:hAnsi="Arial" w:cs="Arial"/>
          <w:i/>
          <w:iCs/>
        </w:rPr>
        <w:t>et al.,</w:t>
      </w:r>
      <w:r w:rsidR="000610C3" w:rsidRPr="00C07175">
        <w:rPr>
          <w:rFonts w:ascii="Arial" w:hAnsi="Arial" w:cs="Arial"/>
        </w:rPr>
        <w:t xml:space="preserve"> 1978). </w:t>
      </w:r>
      <w:r w:rsidR="000610C3" w:rsidRPr="00C07175">
        <w:rPr>
          <w:rFonts w:ascii="Arial" w:hAnsi="Arial" w:cs="Arial"/>
        </w:rPr>
        <w:lastRenderedPageBreak/>
        <w:t>Moreover, HR facilitates the introduction of precise genetic alterations through the replacement of an endogenous allele with a specifically engineered DNA sequence derived </w:t>
      </w:r>
      <w:r w:rsidR="000610C3" w:rsidRPr="00C07175">
        <w:rPr>
          <w:rFonts w:ascii="Arial" w:hAnsi="Arial" w:cs="Arial"/>
          <w:i/>
          <w:iCs/>
        </w:rPr>
        <w:t>in vitro</w:t>
      </w:r>
      <w:r w:rsidR="000610C3" w:rsidRPr="00C07175">
        <w:rPr>
          <w:rFonts w:ascii="Arial" w:hAnsi="Arial" w:cs="Arial"/>
        </w:rPr>
        <w:t xml:space="preserve">, a process referred to as a knock-in (KI) (Hardy </w:t>
      </w:r>
      <w:r w:rsidR="006B78DD" w:rsidRPr="006B78DD">
        <w:rPr>
          <w:rFonts w:ascii="Arial" w:hAnsi="Arial" w:cs="Arial"/>
          <w:i/>
          <w:iCs/>
        </w:rPr>
        <w:t>et al.,</w:t>
      </w:r>
      <w:r w:rsidR="000610C3" w:rsidRPr="00C07175">
        <w:rPr>
          <w:rFonts w:ascii="Arial" w:hAnsi="Arial" w:cs="Arial"/>
        </w:rPr>
        <w:t xml:space="preserve"> 2010). The mechanistic understanding of gene targeting via HR is primarily described by the double-strand break repair and synthesis-dependent strand annealing models (Iida and Terada, 2004). Recently, a reverse-genetic platform leveraging HR has been implemented in </w:t>
      </w:r>
      <w:r w:rsidR="000610C3" w:rsidRPr="00C07175">
        <w:rPr>
          <w:rFonts w:ascii="Arial" w:hAnsi="Arial" w:cs="Arial"/>
          <w:i/>
          <w:iCs/>
        </w:rPr>
        <w:t>Drosophila</w:t>
      </w:r>
      <w:r w:rsidR="000610C3" w:rsidRPr="00C07175">
        <w:rPr>
          <w:rFonts w:ascii="Arial" w:hAnsi="Arial" w:cs="Arial"/>
        </w:rPr>
        <w:t>, demonstrating significant potential despite its time-intensive nature and reliance on the generation of particular transgenic lines (Stemple, 2004). The integration of HR-based gene targeting with site-specific recombination systems, such as Cre-lox, holds substantial promise for advancing efficient and precise genome engineering practices across a wide range of plant species (Iida and Terada, 2004).</w:t>
      </w:r>
    </w:p>
    <w:p w14:paraId="43117FD0" w14:textId="35EED03D" w:rsidR="000610C3" w:rsidRPr="007A53A9" w:rsidRDefault="00D92D0B" w:rsidP="00F025BC">
      <w:pPr>
        <w:spacing w:line="360" w:lineRule="auto"/>
        <w:jc w:val="both"/>
        <w:rPr>
          <w:rFonts w:ascii="Arial" w:hAnsi="Arial" w:cs="Arial"/>
          <w:b/>
          <w:bCs/>
        </w:rPr>
      </w:pPr>
      <w:r w:rsidRPr="007A53A9">
        <w:rPr>
          <w:rFonts w:ascii="Arial" w:hAnsi="Arial" w:cs="Arial"/>
          <w:b/>
          <w:bCs/>
        </w:rPr>
        <w:t>3.5.</w:t>
      </w:r>
      <w:r w:rsidR="000610C3" w:rsidRPr="007A53A9">
        <w:rPr>
          <w:rFonts w:ascii="Arial" w:hAnsi="Arial" w:cs="Arial"/>
          <w:b/>
          <w:bCs/>
        </w:rPr>
        <w:t>Insertional Mutagenesis</w:t>
      </w:r>
    </w:p>
    <w:p w14:paraId="51758E35" w14:textId="54B45280" w:rsidR="00D62C8D"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In higher plants, homologous recombination (HR) occurs at a very low frequency, making insertional mutagenesis a more effective approach for reverse genetics studies. The two primary systems employed for insertional mutagenesis are based on T-DNA and plant transposons. However, this approach encounters several challenges, including the demanding nature of plant transformation procedures and the relatively low mutation frequency, which restrict the development of large mutant populations.</w:t>
      </w:r>
    </w:p>
    <w:p w14:paraId="59297423" w14:textId="68564A84"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3.5.1.</w:t>
      </w:r>
      <w:r w:rsidR="000610C3" w:rsidRPr="007A53A9">
        <w:rPr>
          <w:rFonts w:ascii="Arial" w:hAnsi="Arial" w:cs="Arial"/>
          <w:b/>
          <w:bCs/>
          <w:u w:val="single"/>
        </w:rPr>
        <w:t>T-DNA Insertional Mutagenesis</w:t>
      </w:r>
    </w:p>
    <w:p w14:paraId="26595309" w14:textId="1A38576B"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T-DNA, a genomic segment derived from the Ti plasmid of </w:t>
      </w:r>
      <w:r w:rsidR="000610C3" w:rsidRPr="00C07175">
        <w:rPr>
          <w:rFonts w:ascii="Arial" w:hAnsi="Arial" w:cs="Arial"/>
          <w:i/>
          <w:iCs/>
        </w:rPr>
        <w:t>Agrobacterium tumefaciens</w:t>
      </w:r>
      <w:r w:rsidR="000610C3" w:rsidRPr="00C07175">
        <w:rPr>
          <w:rFonts w:ascii="Arial" w:hAnsi="Arial" w:cs="Arial"/>
        </w:rPr>
        <w:t xml:space="preserve">, serves as a powerful tool for insertional mutagenesis owing to its capacity for random integration into the plant genome, thereby causing gene disruption or activation depending on the construct design. The methodology employs a binary vector system comprising two plasmids: one </w:t>
      </w:r>
      <w:r w:rsidR="004900D5" w:rsidRPr="00C07175">
        <w:rPr>
          <w:rFonts w:ascii="Arial" w:hAnsi="Arial" w:cs="Arial"/>
        </w:rPr>
        <w:t>harbouring</w:t>
      </w:r>
      <w:r w:rsidR="000610C3" w:rsidRPr="00C07175">
        <w:rPr>
          <w:rFonts w:ascii="Arial" w:hAnsi="Arial" w:cs="Arial"/>
        </w:rPr>
        <w:t xml:space="preserve"> the insert DNA flanked by left and right T-DNA border sequences, and the other encoding the </w:t>
      </w:r>
      <w:r w:rsidR="000610C3" w:rsidRPr="00C07175">
        <w:rPr>
          <w:rFonts w:ascii="Arial" w:hAnsi="Arial" w:cs="Arial"/>
          <w:i/>
          <w:iCs/>
        </w:rPr>
        <w:t>vir</w:t>
      </w:r>
      <w:r w:rsidR="000610C3" w:rsidRPr="00C07175">
        <w:rPr>
          <w:rFonts w:ascii="Arial" w:hAnsi="Arial" w:cs="Arial"/>
        </w:rPr>
        <w:t xml:space="preserve"> genes required for T-DNA transfer. Beyond its application in generating knockout mutants, T-DNA mutagenesis is extensively utilized for promoter and enhancer tagging to investigate gene regulation. Typically, this strategy results in complete loss-of-function mutations, with insertions traceable via PCR analysis in segregating plant populations. Nevertheless, certain limitations persist—phenotypic manifestations may remain undetected when gene redundancy compensates for the loss, and disruptions in essential genes often result in lethality, thereby constraining functional analyses of such loci.</w:t>
      </w:r>
    </w:p>
    <w:p w14:paraId="4BD33E76" w14:textId="77777777" w:rsidR="000610C3" w:rsidRPr="00C07175" w:rsidRDefault="000610C3" w:rsidP="00F025BC">
      <w:pPr>
        <w:spacing w:line="360" w:lineRule="auto"/>
        <w:jc w:val="both"/>
        <w:rPr>
          <w:rFonts w:ascii="Arial" w:hAnsi="Arial" w:cs="Arial"/>
        </w:rPr>
      </w:pPr>
      <w:r w:rsidRPr="00C07175">
        <w:rPr>
          <w:rFonts w:ascii="Arial" w:hAnsi="Arial" w:cs="Arial"/>
          <w:noProof/>
          <w:lang w:eastAsia="en-IN" w:bidi="te-IN"/>
        </w:rPr>
        <w:lastRenderedPageBreak/>
        <w:drawing>
          <wp:inline distT="0" distB="0" distL="0" distR="0" wp14:anchorId="72B2BACA" wp14:editId="4DB4BF28">
            <wp:extent cx="4029637" cy="3067478"/>
            <wp:effectExtent l="0" t="0" r="9525" b="0"/>
            <wp:docPr id="44747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76393" name=""/>
                    <pic:cNvPicPr/>
                  </pic:nvPicPr>
                  <pic:blipFill>
                    <a:blip r:embed="rId18"/>
                    <a:stretch>
                      <a:fillRect/>
                    </a:stretch>
                  </pic:blipFill>
                  <pic:spPr>
                    <a:xfrm>
                      <a:off x="0" y="0"/>
                      <a:ext cx="4029637" cy="3067478"/>
                    </a:xfrm>
                    <a:prstGeom prst="rect">
                      <a:avLst/>
                    </a:prstGeom>
                  </pic:spPr>
                </pic:pic>
              </a:graphicData>
            </a:graphic>
          </wp:inline>
        </w:drawing>
      </w:r>
    </w:p>
    <w:p w14:paraId="02100592" w14:textId="27764AC8" w:rsidR="000610C3" w:rsidRPr="00C07175" w:rsidRDefault="000610C3" w:rsidP="00F025BC">
      <w:pPr>
        <w:spacing w:line="360" w:lineRule="auto"/>
        <w:jc w:val="both"/>
        <w:rPr>
          <w:rFonts w:ascii="Arial" w:hAnsi="Arial" w:cs="Arial"/>
        </w:rPr>
      </w:pPr>
      <w:r w:rsidRPr="00C07175">
        <w:rPr>
          <w:rFonts w:ascii="Arial" w:hAnsi="Arial" w:cs="Arial"/>
        </w:rPr>
        <w:t xml:space="preserve">                      </w:t>
      </w:r>
      <w:r w:rsidR="00AB6F73">
        <w:rPr>
          <w:rFonts w:ascii="Arial" w:hAnsi="Arial" w:cs="Arial"/>
        </w:rPr>
        <w:t xml:space="preserve">Fig 2: </w:t>
      </w:r>
      <w:r w:rsidRPr="00C07175">
        <w:rPr>
          <w:rFonts w:ascii="Arial" w:hAnsi="Arial" w:cs="Arial"/>
        </w:rPr>
        <w:t xml:space="preserve">  Major characteristics of a Ti-plasmid (source:Ram </w:t>
      </w:r>
      <w:r w:rsidR="006B78DD" w:rsidRPr="006B78DD">
        <w:rPr>
          <w:rFonts w:ascii="Arial" w:hAnsi="Arial" w:cs="Arial"/>
          <w:i/>
          <w:iCs/>
        </w:rPr>
        <w:t>et al.,</w:t>
      </w:r>
      <w:r w:rsidRPr="00C07175">
        <w:rPr>
          <w:rFonts w:ascii="Arial" w:hAnsi="Arial" w:cs="Arial"/>
        </w:rPr>
        <w:t>2019)</w:t>
      </w:r>
    </w:p>
    <w:p w14:paraId="3BB25734" w14:textId="7C6B6CB7"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3.5.2.</w:t>
      </w:r>
      <w:r w:rsidR="000610C3" w:rsidRPr="007A53A9">
        <w:rPr>
          <w:rFonts w:ascii="Arial" w:hAnsi="Arial" w:cs="Arial"/>
          <w:b/>
          <w:bCs/>
          <w:u w:val="single"/>
        </w:rPr>
        <w:t>Transposon Insertional Mutagenesis</w:t>
      </w:r>
    </w:p>
    <w:p w14:paraId="43C84354" w14:textId="58ECEE3E"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Transposons, commonly referred to as jumping genes, are short, mobile DNA sequences capable of relocating to new positions within a genome. These elements are extensively utilized in reverse genetics to induce gene disruptions and elucidate gene function. The approach, termed transposon-based mutagenesis, operates through two fundamental components: an autonomous element that encodes a transposase enzyme and one or more non-autonomous elements that are mobilized by the transposase activity provided by the autonomous element. Numerous transposon systems derived from plants—including </w:t>
      </w:r>
      <w:r w:rsidR="000610C3" w:rsidRPr="00C07175">
        <w:rPr>
          <w:rFonts w:ascii="Arial" w:hAnsi="Arial" w:cs="Arial"/>
          <w:i/>
          <w:iCs/>
        </w:rPr>
        <w:t>Zea mays</w:t>
      </w:r>
      <w:r w:rsidR="000610C3" w:rsidRPr="00C07175">
        <w:rPr>
          <w:rFonts w:ascii="Arial" w:hAnsi="Arial" w:cs="Arial"/>
        </w:rPr>
        <w:t> elements such as Ac/Ds (Activator/Dissociation), Spm (Suppressor-Mutator), and Mu (Mutator), as well as </w:t>
      </w:r>
      <w:r w:rsidR="000610C3" w:rsidRPr="00C07175">
        <w:rPr>
          <w:rFonts w:ascii="Arial" w:hAnsi="Arial" w:cs="Arial"/>
          <w:i/>
          <w:iCs/>
        </w:rPr>
        <w:t>Tph1</w:t>
      </w:r>
      <w:r w:rsidR="000610C3" w:rsidRPr="00C07175">
        <w:rPr>
          <w:rFonts w:ascii="Arial" w:hAnsi="Arial" w:cs="Arial"/>
        </w:rPr>
        <w:t> from petunia and </w:t>
      </w:r>
      <w:r w:rsidR="000610C3" w:rsidRPr="00C07175">
        <w:rPr>
          <w:rFonts w:ascii="Arial" w:hAnsi="Arial" w:cs="Arial"/>
          <w:i/>
          <w:iCs/>
        </w:rPr>
        <w:t>Tam3</w:t>
      </w:r>
      <w:r w:rsidR="000610C3" w:rsidRPr="00C07175">
        <w:rPr>
          <w:rFonts w:ascii="Arial" w:hAnsi="Arial" w:cs="Arial"/>
        </w:rPr>
        <w:t> from </w:t>
      </w:r>
      <w:r w:rsidR="000610C3" w:rsidRPr="00C07175">
        <w:rPr>
          <w:rFonts w:ascii="Arial" w:hAnsi="Arial" w:cs="Arial"/>
          <w:i/>
          <w:iCs/>
        </w:rPr>
        <w:t>Antirrhinum majus</w:t>
      </w:r>
      <w:r w:rsidR="000610C3" w:rsidRPr="00C07175">
        <w:rPr>
          <w:rFonts w:ascii="Arial" w:hAnsi="Arial" w:cs="Arial"/>
        </w:rPr>
        <w:t xml:space="preserve">—have been employed in large-scale mutagenesis studies. These transposable elements transiently generate double-strand DNA breaks, which are subsequently repaired through re-ligation of the DNA. Typically ranging from 500 to 1500 base pairs in length, transposons are often described as molecular parasites due to their capacity to replicate and disseminate with assistance from host cellular machinery (Dubin </w:t>
      </w:r>
      <w:r w:rsidR="006B78DD" w:rsidRPr="006B78DD">
        <w:rPr>
          <w:rFonts w:ascii="Arial" w:hAnsi="Arial" w:cs="Arial"/>
          <w:i/>
          <w:iCs/>
        </w:rPr>
        <w:t>et al.,</w:t>
      </w:r>
      <w:r w:rsidR="000610C3" w:rsidRPr="00C07175">
        <w:rPr>
          <w:rFonts w:ascii="Arial" w:hAnsi="Arial" w:cs="Arial"/>
        </w:rPr>
        <w:t xml:space="preserve"> 2018). The use of transposon-based signature-tagged mutagenesis has been particularly effective for identifying genes essential for survival and those mediating pathogenicity. Insertional mutagenesis strategies employing transposons have thus been adapted for diverse plant and animal model systems.</w:t>
      </w:r>
    </w:p>
    <w:p w14:paraId="6E217556" w14:textId="77777777" w:rsidR="007A53A9" w:rsidRDefault="007A53A9" w:rsidP="00F025BC">
      <w:pPr>
        <w:spacing w:line="360" w:lineRule="auto"/>
        <w:jc w:val="both"/>
        <w:rPr>
          <w:rFonts w:ascii="Arial" w:hAnsi="Arial" w:cs="Arial"/>
          <w:i/>
          <w:iCs/>
        </w:rPr>
      </w:pPr>
    </w:p>
    <w:p w14:paraId="41E01AF5" w14:textId="77777777" w:rsidR="007A53A9" w:rsidRDefault="007A53A9" w:rsidP="00F025BC">
      <w:pPr>
        <w:spacing w:line="360" w:lineRule="auto"/>
        <w:jc w:val="both"/>
        <w:rPr>
          <w:rFonts w:ascii="Arial" w:hAnsi="Arial" w:cs="Arial"/>
          <w:i/>
          <w:iCs/>
        </w:rPr>
      </w:pPr>
    </w:p>
    <w:p w14:paraId="74CBCB66" w14:textId="149F6486"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lastRenderedPageBreak/>
        <w:t>3.6.</w:t>
      </w:r>
      <w:r w:rsidR="000610C3" w:rsidRPr="007A53A9">
        <w:rPr>
          <w:rFonts w:ascii="Arial" w:hAnsi="Arial" w:cs="Arial"/>
          <w:b/>
          <w:bCs/>
          <w:u w:val="single"/>
        </w:rPr>
        <w:t>Chemical Mutagenesis</w:t>
      </w:r>
    </w:p>
    <w:p w14:paraId="4946F8BF" w14:textId="0DCA15F9"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Chemical mutagenesis employing agents such as ethyl methane sulphonate (EMS) or ethyl nitrosourea (ENU) induces point mutations across diverse species, with these mutations being stochastically distributed throughout the genome. Because point mutations generally exert less severe effects than extensive chromosomal rearrangements, this approach enables a high degree of mutational saturation within a given population, thereby facilitating comprehensive functional genomic analyses. Owing to its successful implementation in forward genetic screens across multiple model organisms, chemical mutagenesis demonstrates significant potential for application in reverse genetics (Henikoff </w:t>
      </w:r>
      <w:r w:rsidR="006B78DD" w:rsidRPr="006B78DD">
        <w:rPr>
          <w:rFonts w:ascii="Arial" w:hAnsi="Arial" w:cs="Arial"/>
          <w:i/>
          <w:iCs/>
        </w:rPr>
        <w:t>et al.,</w:t>
      </w:r>
      <w:r w:rsidR="000610C3" w:rsidRPr="00C07175">
        <w:rPr>
          <w:rFonts w:ascii="Arial" w:hAnsi="Arial" w:cs="Arial"/>
        </w:rPr>
        <w:t xml:space="preserve"> 2004). The method is particularly advantageous in this context, as it generates a broad spectrum of allelic variants, enhancing the scope of genetic investigation. Chemical mutagenesis typically introduces numerous recessive mutations per genome, distributed in a random manner (Gilchrist and Haughn, 2005). In contrast to most reverse genetic methodologies, which predominantly yield loss-of-function mutations, this technique is capable of producing both loss- and gain-of-function variants, resulting in null, hypomorphic, neomorphic, or hypermorphic phenotypes. Hypomorphic alleles are especially valuable for dissecting normal gene function, whereas neomorphic and hypermorphic alleles—often exhibiting dominant expression—can reveal distinct phenotypic manifestations, particularly in cases involving essential or functionally redundant genes.</w:t>
      </w:r>
    </w:p>
    <w:p w14:paraId="42C1986B" w14:textId="0BEED3AE"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3.7.</w:t>
      </w:r>
      <w:r w:rsidR="000610C3" w:rsidRPr="007A53A9">
        <w:rPr>
          <w:rFonts w:ascii="Arial" w:hAnsi="Arial" w:cs="Arial"/>
          <w:b/>
          <w:bCs/>
          <w:u w:val="single"/>
        </w:rPr>
        <w:t>Genome Editing</w:t>
      </w:r>
    </w:p>
    <w:p w14:paraId="18012354" w14:textId="1A4F2F95"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Plant biotechnology is undergoing a major shift as traditional random mutagenesis tools are being replaced by precise, sequence-specific genome editing technologies. Conventional genome editing techniques (GETs) include naturally occurring mutations through hybridization and induced mutations caused by physical agents such as X-rays and fast neutrons, or by chemical mutagens like ethyl methane sulfonate, sodium azide, and diepoxybutane. These methods generate diverse genetic variations, including point mutations, deletions, and chromosomal alterations.</w:t>
      </w:r>
    </w:p>
    <w:p w14:paraId="7EB51AEA" w14:textId="77777777" w:rsidR="000610C3" w:rsidRPr="00C07175" w:rsidRDefault="000610C3" w:rsidP="00F025BC">
      <w:pPr>
        <w:spacing w:line="360" w:lineRule="auto"/>
        <w:jc w:val="both"/>
        <w:rPr>
          <w:rFonts w:ascii="Arial" w:hAnsi="Arial" w:cs="Arial"/>
        </w:rPr>
      </w:pPr>
      <w:r w:rsidRPr="00C07175">
        <w:rPr>
          <w:rFonts w:ascii="Arial" w:hAnsi="Arial" w:cs="Arial"/>
        </w:rPr>
        <w:t>The development of advanced genome editing tools now enables rapid, efficient, and cost-effective introduction of targeted modifications across various organisms. These systems create precise DNA double-strand breaks at specific genomic sites. Genome editing technologies are broadly classified into protein-guided nucleases, such as ZFNs and TALENs, and RNA-guided nucleases, including the CRISPR-Cas9 system.</w:t>
      </w:r>
    </w:p>
    <w:p w14:paraId="6DB79626" w14:textId="77777777" w:rsidR="00F025BC" w:rsidRPr="00C07175" w:rsidRDefault="00F025BC" w:rsidP="00F025BC">
      <w:pPr>
        <w:spacing w:line="360" w:lineRule="auto"/>
        <w:jc w:val="both"/>
        <w:rPr>
          <w:rFonts w:ascii="Arial" w:hAnsi="Arial" w:cs="Arial"/>
          <w:i/>
          <w:iCs/>
        </w:rPr>
      </w:pPr>
    </w:p>
    <w:p w14:paraId="69059207" w14:textId="77777777" w:rsidR="007A53A9" w:rsidRDefault="007A53A9" w:rsidP="00F025BC">
      <w:pPr>
        <w:spacing w:line="360" w:lineRule="auto"/>
        <w:jc w:val="both"/>
        <w:rPr>
          <w:rFonts w:ascii="Arial" w:hAnsi="Arial" w:cs="Arial"/>
          <w:i/>
          <w:iCs/>
        </w:rPr>
      </w:pPr>
    </w:p>
    <w:p w14:paraId="04D67534" w14:textId="4D76FE46"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lastRenderedPageBreak/>
        <w:t>3.7.1.</w:t>
      </w:r>
      <w:r w:rsidR="000610C3" w:rsidRPr="007A53A9">
        <w:rPr>
          <w:rFonts w:ascii="Arial" w:hAnsi="Arial" w:cs="Arial"/>
          <w:b/>
          <w:bCs/>
          <w:u w:val="single"/>
        </w:rPr>
        <w:t>Zinc Finger Nucleases (ZFNs)</w:t>
      </w:r>
    </w:p>
    <w:p w14:paraId="325AF879" w14:textId="371E087B" w:rsidR="000610C3"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Zinc-finger nucleases (ZFNs) are engineered fusion proteins composed of a customized Cys2–His2 zinc-finger DNA-binding domain linked to the catalytic cleavage domain of the FokI restriction endonuclease (Kim </w:t>
      </w:r>
      <w:r w:rsidR="006B78DD" w:rsidRPr="006B78DD">
        <w:rPr>
          <w:rFonts w:ascii="Arial" w:hAnsi="Arial" w:cs="Arial"/>
          <w:i/>
          <w:iCs/>
        </w:rPr>
        <w:t>et al.,</w:t>
      </w:r>
      <w:r w:rsidR="000610C3" w:rsidRPr="00C07175">
        <w:rPr>
          <w:rFonts w:ascii="Arial" w:hAnsi="Arial" w:cs="Arial"/>
        </w:rPr>
        <w:t xml:space="preserve"> 1996). Representing the first class of targeted nucleases to achieve widespread application (Porteus and Carroll, 2005; Urnov </w:t>
      </w:r>
      <w:r w:rsidR="006B78DD" w:rsidRPr="006B78DD">
        <w:rPr>
          <w:rFonts w:ascii="Arial" w:hAnsi="Arial" w:cs="Arial"/>
          <w:i/>
          <w:iCs/>
        </w:rPr>
        <w:t>et al.,</w:t>
      </w:r>
      <w:r w:rsidR="000610C3" w:rsidRPr="00C07175">
        <w:rPr>
          <w:rFonts w:ascii="Arial" w:hAnsi="Arial" w:cs="Arial"/>
        </w:rPr>
        <w:t xml:space="preserve"> 2010), ZFNs function as obligate dimers, wherein each monomer binds to a distinct DNA “half-site” typically comprising 9–18 base pairs through its zinc-finger domain. The FokI nuclease domain mediates dimerization of the ZFN monomers, resulting in DNA cleavage within a five- to seven-base pair spacer region situated between the two cognate zinc-finger binding sites (Smith </w:t>
      </w:r>
      <w:r w:rsidR="006B78DD" w:rsidRPr="006B78DD">
        <w:rPr>
          <w:rFonts w:ascii="Arial" w:hAnsi="Arial" w:cs="Arial"/>
          <w:i/>
          <w:iCs/>
        </w:rPr>
        <w:t>et al.,</w:t>
      </w:r>
      <w:r w:rsidR="000610C3" w:rsidRPr="00C07175">
        <w:rPr>
          <w:rFonts w:ascii="Arial" w:hAnsi="Arial" w:cs="Arial"/>
        </w:rPr>
        <w:t xml:space="preserve"> 2000). Each ZFN typically incorporates three or four zinc-finger modules, with individual domains consisting of approximately 30 amino acids organized into a ββα structural motif (Pavletich and Pabo, 1991). The DNA-contacting residues are located within the α-helical portion of the structure, where they interact with specific triplet base pairs of the DNA sequence, occasionally overlapping with neighboring domains to refine target recognition (Wolfe </w:t>
      </w:r>
      <w:r w:rsidR="006B78DD" w:rsidRPr="006B78DD">
        <w:rPr>
          <w:rFonts w:ascii="Arial" w:hAnsi="Arial" w:cs="Arial"/>
          <w:i/>
          <w:iCs/>
        </w:rPr>
        <w:t>et al.,</w:t>
      </w:r>
      <w:r w:rsidR="000610C3" w:rsidRPr="00C07175">
        <w:rPr>
          <w:rFonts w:ascii="Arial" w:hAnsi="Arial" w:cs="Arial"/>
        </w:rPr>
        <w:t xml:space="preserve"> 2000).</w:t>
      </w:r>
    </w:p>
    <w:p w14:paraId="59A191B9" w14:textId="3B562EF4" w:rsidR="00AB6F73" w:rsidRPr="00C07175" w:rsidRDefault="00AB6F73" w:rsidP="00F025BC">
      <w:pPr>
        <w:spacing w:line="360" w:lineRule="auto"/>
        <w:jc w:val="both"/>
        <w:rPr>
          <w:rFonts w:ascii="Arial" w:hAnsi="Arial" w:cs="Arial"/>
        </w:rPr>
      </w:pPr>
      <w:r>
        <w:rPr>
          <w:rFonts w:ascii="Arial" w:hAnsi="Arial" w:cs="Arial"/>
        </w:rPr>
        <w:t xml:space="preserve">Fig 3: </w:t>
      </w:r>
      <w:r w:rsidR="00D87C3C">
        <w:rPr>
          <w:rFonts w:ascii="Arial" w:hAnsi="Arial" w:cs="Arial"/>
        </w:rPr>
        <w:t>Z</w:t>
      </w:r>
      <w:r w:rsidR="00D87C3C" w:rsidRPr="00C07175">
        <w:rPr>
          <w:rFonts w:ascii="Arial" w:hAnsi="Arial" w:cs="Arial"/>
        </w:rPr>
        <w:t xml:space="preserve">inc-finger </w:t>
      </w:r>
      <w:r w:rsidR="00D87C3C">
        <w:rPr>
          <w:rFonts w:ascii="Arial" w:hAnsi="Arial" w:cs="Arial"/>
        </w:rPr>
        <w:t xml:space="preserve">DNA </w:t>
      </w:r>
      <w:r w:rsidR="00D87C3C" w:rsidRPr="00C07175">
        <w:rPr>
          <w:rFonts w:ascii="Arial" w:hAnsi="Arial" w:cs="Arial"/>
        </w:rPr>
        <w:t xml:space="preserve">binding sites </w:t>
      </w:r>
    </w:p>
    <w:p w14:paraId="66FB16B7" w14:textId="77777777" w:rsidR="000610C3" w:rsidRPr="00C07175" w:rsidRDefault="000610C3" w:rsidP="00F025BC">
      <w:pPr>
        <w:spacing w:line="360" w:lineRule="auto"/>
        <w:jc w:val="both"/>
        <w:rPr>
          <w:rFonts w:ascii="Arial" w:hAnsi="Arial" w:cs="Arial"/>
        </w:rPr>
      </w:pPr>
      <w:r w:rsidRPr="00C07175">
        <w:rPr>
          <w:rFonts w:ascii="Arial" w:hAnsi="Arial" w:cs="Arial"/>
          <w:noProof/>
          <w:lang w:eastAsia="en-IN" w:bidi="te-IN"/>
        </w:rPr>
        <w:drawing>
          <wp:inline distT="0" distB="0" distL="0" distR="0" wp14:anchorId="2A165167" wp14:editId="353D972A">
            <wp:extent cx="4344006" cy="914528"/>
            <wp:effectExtent l="0" t="0" r="0" b="0"/>
            <wp:docPr id="75987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70794" name=""/>
                    <pic:cNvPicPr/>
                  </pic:nvPicPr>
                  <pic:blipFill>
                    <a:blip r:embed="rId19"/>
                    <a:stretch>
                      <a:fillRect/>
                    </a:stretch>
                  </pic:blipFill>
                  <pic:spPr>
                    <a:xfrm>
                      <a:off x="0" y="0"/>
                      <a:ext cx="4344006" cy="914528"/>
                    </a:xfrm>
                    <a:prstGeom prst="rect">
                      <a:avLst/>
                    </a:prstGeom>
                  </pic:spPr>
                </pic:pic>
              </a:graphicData>
            </a:graphic>
          </wp:inline>
        </w:drawing>
      </w:r>
    </w:p>
    <w:p w14:paraId="49A365BD" w14:textId="1BD9AF20" w:rsidR="000610C3" w:rsidRPr="00C07175" w:rsidRDefault="000610C3" w:rsidP="00F025BC">
      <w:pPr>
        <w:spacing w:line="360" w:lineRule="auto"/>
        <w:jc w:val="both"/>
        <w:rPr>
          <w:rFonts w:ascii="Arial" w:hAnsi="Arial" w:cs="Arial"/>
        </w:rPr>
      </w:pPr>
      <w:r w:rsidRPr="00C07175">
        <w:rPr>
          <w:rFonts w:ascii="Arial" w:hAnsi="Arial" w:cs="Arial"/>
        </w:rPr>
        <w:t xml:space="preserve">ZFNs </w:t>
      </w:r>
      <w:r w:rsidR="00D87C3C">
        <w:rPr>
          <w:rFonts w:ascii="Arial" w:hAnsi="Arial" w:cs="Arial"/>
        </w:rPr>
        <w:t>recognise</w:t>
      </w:r>
      <w:r w:rsidRPr="00C07175">
        <w:rPr>
          <w:rFonts w:ascii="Arial" w:hAnsi="Arial" w:cs="Arial"/>
        </w:rPr>
        <w:t xml:space="preserve"> target sites that consist of two zinc-finger binding sites that flank a 5- to 7-base pair (bp) spacer sequence recognized by the FokI cleavage domain. (Source: Gaj </w:t>
      </w:r>
      <w:r w:rsidR="006B78DD" w:rsidRPr="006B78DD">
        <w:rPr>
          <w:rFonts w:ascii="Arial" w:hAnsi="Arial" w:cs="Arial"/>
          <w:i/>
          <w:iCs/>
        </w:rPr>
        <w:t>et al.,</w:t>
      </w:r>
      <w:r w:rsidRPr="00C07175">
        <w:rPr>
          <w:rFonts w:ascii="Arial" w:hAnsi="Arial" w:cs="Arial"/>
          <w:i/>
          <w:iCs/>
        </w:rPr>
        <w:t xml:space="preserve"> </w:t>
      </w:r>
      <w:r w:rsidRPr="00C07175">
        <w:rPr>
          <w:rFonts w:ascii="Arial" w:hAnsi="Arial" w:cs="Arial"/>
        </w:rPr>
        <w:t>2016)</w:t>
      </w:r>
    </w:p>
    <w:p w14:paraId="1C82D5C9" w14:textId="53B779C5"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3.7.2.</w:t>
      </w:r>
      <w:r w:rsidR="000610C3" w:rsidRPr="007A53A9">
        <w:rPr>
          <w:rFonts w:ascii="Arial" w:hAnsi="Arial" w:cs="Arial"/>
          <w:b/>
          <w:bCs/>
          <w:u w:val="single"/>
        </w:rPr>
        <w:t>Transcriptor Activator-like Effector Nucleases (TALENs)</w:t>
      </w:r>
    </w:p>
    <w:p w14:paraId="6250367E" w14:textId="24F94742"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Transcription activator-like effector (TALE) proteins are bacterial effectors that serve as the foundation for TALENs, which can be engineered to modify virtually any gene. Similar to zinc finger nucleases (ZFNs), TALENs are modular constructs comprising an amino-terminal TALE DNA-binding domain fused to a carboxy-terminal FokI nuclease domain (Christian </w:t>
      </w:r>
      <w:r w:rsidR="006B78DD" w:rsidRPr="006B78DD">
        <w:rPr>
          <w:rFonts w:ascii="Arial" w:hAnsi="Arial" w:cs="Arial"/>
          <w:i/>
          <w:iCs/>
        </w:rPr>
        <w:t>et al.,</w:t>
      </w:r>
      <w:r w:rsidR="000610C3" w:rsidRPr="00C07175">
        <w:rPr>
          <w:rFonts w:ascii="Arial" w:hAnsi="Arial" w:cs="Arial"/>
        </w:rPr>
        <w:t xml:space="preserve"> 2010; Miller </w:t>
      </w:r>
      <w:r w:rsidR="006B78DD" w:rsidRPr="006B78DD">
        <w:rPr>
          <w:rFonts w:ascii="Arial" w:hAnsi="Arial" w:cs="Arial"/>
          <w:i/>
          <w:iCs/>
        </w:rPr>
        <w:t>et al.,</w:t>
      </w:r>
      <w:r w:rsidR="000610C3" w:rsidRPr="00C07175">
        <w:rPr>
          <w:rFonts w:ascii="Arial" w:hAnsi="Arial" w:cs="Arial"/>
        </w:rPr>
        <w:t xml:space="preserve"> 2011). The FokI domain mediates dimerization of TALENs, enabling cleavage within a 12–19 bp spacer region located between two TALE binding sites (Miller </w:t>
      </w:r>
      <w:r w:rsidR="006B78DD" w:rsidRPr="006B78DD">
        <w:rPr>
          <w:rFonts w:ascii="Arial" w:hAnsi="Arial" w:cs="Arial"/>
          <w:i/>
          <w:iCs/>
        </w:rPr>
        <w:t>et al.,</w:t>
      </w:r>
      <w:r w:rsidR="000610C3" w:rsidRPr="00C07175">
        <w:rPr>
          <w:rFonts w:ascii="Arial" w:hAnsi="Arial" w:cs="Arial"/>
        </w:rPr>
        <w:t xml:space="preserve"> 2011). Typically, TALE arrays are designed to recognize 12–20 base pairs of DNA, with longer recognition sequences conferring enhanced targeting specificity (Guilinger </w:t>
      </w:r>
      <w:r w:rsidR="006B78DD" w:rsidRPr="006B78DD">
        <w:rPr>
          <w:rFonts w:ascii="Arial" w:hAnsi="Arial" w:cs="Arial"/>
          <w:i/>
          <w:iCs/>
        </w:rPr>
        <w:t>et al.,</w:t>
      </w:r>
      <w:r w:rsidR="000610C3" w:rsidRPr="00C07175">
        <w:rPr>
          <w:rFonts w:ascii="Arial" w:hAnsi="Arial" w:cs="Arial"/>
        </w:rPr>
        <w:t xml:space="preserve"> 2014).</w:t>
      </w:r>
    </w:p>
    <w:p w14:paraId="3A475BA3" w14:textId="56D908CE" w:rsidR="000610C3" w:rsidRPr="00C07175" w:rsidRDefault="000610C3" w:rsidP="00F025BC">
      <w:pPr>
        <w:spacing w:line="360" w:lineRule="auto"/>
        <w:jc w:val="both"/>
        <w:rPr>
          <w:rFonts w:ascii="Arial" w:hAnsi="Arial" w:cs="Arial"/>
        </w:rPr>
      </w:pPr>
      <w:r w:rsidRPr="00C07175">
        <w:rPr>
          <w:rFonts w:ascii="Arial" w:hAnsi="Arial" w:cs="Arial"/>
        </w:rPr>
        <w:lastRenderedPageBreak/>
        <w:t xml:space="preserve">The advent of targeted nucleases such as TALENs has greatly accelerated the production of genetically modified organisms, enabling efficient generation of transgenic models in species including zebrafish (Doyon </w:t>
      </w:r>
      <w:r w:rsidR="006B78DD" w:rsidRPr="006B78DD">
        <w:rPr>
          <w:rFonts w:ascii="Arial" w:hAnsi="Arial" w:cs="Arial"/>
          <w:i/>
          <w:iCs/>
        </w:rPr>
        <w:t>et al.,</w:t>
      </w:r>
      <w:r w:rsidRPr="00C07175">
        <w:rPr>
          <w:rFonts w:ascii="Arial" w:hAnsi="Arial" w:cs="Arial"/>
        </w:rPr>
        <w:t xml:space="preserve"> 2008), mice (Cui </w:t>
      </w:r>
      <w:r w:rsidR="006B78DD" w:rsidRPr="006B78DD">
        <w:rPr>
          <w:rFonts w:ascii="Arial" w:hAnsi="Arial" w:cs="Arial"/>
          <w:i/>
          <w:iCs/>
        </w:rPr>
        <w:t>et al.,</w:t>
      </w:r>
      <w:r w:rsidRPr="00C07175">
        <w:rPr>
          <w:rFonts w:ascii="Arial" w:hAnsi="Arial" w:cs="Arial"/>
        </w:rPr>
        <w:t xml:space="preserve"> 2011), rats (Geurts </w:t>
      </w:r>
      <w:r w:rsidR="006B78DD" w:rsidRPr="006B78DD">
        <w:rPr>
          <w:rFonts w:ascii="Arial" w:hAnsi="Arial" w:cs="Arial"/>
          <w:i/>
          <w:iCs/>
        </w:rPr>
        <w:t>et al.,</w:t>
      </w:r>
      <w:r w:rsidRPr="00C07175">
        <w:rPr>
          <w:rFonts w:ascii="Arial" w:hAnsi="Arial" w:cs="Arial"/>
        </w:rPr>
        <w:t xml:space="preserve"> 2009), monkeys (Liu </w:t>
      </w:r>
      <w:r w:rsidR="006B78DD" w:rsidRPr="006B78DD">
        <w:rPr>
          <w:rFonts w:ascii="Arial" w:hAnsi="Arial" w:cs="Arial"/>
          <w:i/>
          <w:iCs/>
        </w:rPr>
        <w:t>et al.,</w:t>
      </w:r>
      <w:r w:rsidRPr="00C07175">
        <w:rPr>
          <w:rFonts w:ascii="Arial" w:hAnsi="Arial" w:cs="Arial"/>
        </w:rPr>
        <w:t xml:space="preserve"> 2014), and livestock (Hauschild </w:t>
      </w:r>
      <w:r w:rsidR="006B78DD" w:rsidRPr="006B78DD">
        <w:rPr>
          <w:rFonts w:ascii="Arial" w:hAnsi="Arial" w:cs="Arial"/>
          <w:i/>
          <w:iCs/>
        </w:rPr>
        <w:t>et al.,</w:t>
      </w:r>
      <w:r w:rsidRPr="00C07175">
        <w:rPr>
          <w:rFonts w:ascii="Arial" w:hAnsi="Arial" w:cs="Arial"/>
        </w:rPr>
        <w:t xml:space="preserve"> 2011; Carlson </w:t>
      </w:r>
      <w:r w:rsidR="006B78DD" w:rsidRPr="006B78DD">
        <w:rPr>
          <w:rFonts w:ascii="Arial" w:hAnsi="Arial" w:cs="Arial"/>
          <w:i/>
          <w:iCs/>
        </w:rPr>
        <w:t>et al.,</w:t>
      </w:r>
      <w:r w:rsidRPr="00C07175">
        <w:rPr>
          <w:rFonts w:ascii="Arial" w:hAnsi="Arial" w:cs="Arial"/>
        </w:rPr>
        <w:t xml:space="preserve"> 2012). These advances have significantly contributed to the study of human diseases and the development of novel therapeutics. In one study, TALEN-mediated disruption of nonessential genes in the fatty acid metabolic pathway of soybean produced simplified cells with reduced metabolic complexity (Haun </w:t>
      </w:r>
      <w:r w:rsidR="006B78DD" w:rsidRPr="006B78DD">
        <w:rPr>
          <w:rFonts w:ascii="Arial" w:hAnsi="Arial" w:cs="Arial"/>
          <w:i/>
          <w:iCs/>
        </w:rPr>
        <w:t>et al.,</w:t>
      </w:r>
      <w:r w:rsidRPr="00C07175">
        <w:rPr>
          <w:rFonts w:ascii="Arial" w:hAnsi="Arial" w:cs="Arial"/>
        </w:rPr>
        <w:t xml:space="preserve"> 2014).</w:t>
      </w:r>
    </w:p>
    <w:p w14:paraId="5E934A37" w14:textId="3905C136" w:rsidR="000610C3" w:rsidRDefault="000610C3" w:rsidP="00F025BC">
      <w:pPr>
        <w:spacing w:line="360" w:lineRule="auto"/>
        <w:jc w:val="both"/>
        <w:rPr>
          <w:rFonts w:ascii="Arial" w:hAnsi="Arial" w:cs="Arial"/>
        </w:rPr>
      </w:pPr>
      <w:r w:rsidRPr="00C07175">
        <w:rPr>
          <w:rFonts w:ascii="Arial" w:hAnsi="Arial" w:cs="Arial"/>
        </w:rPr>
        <w:t xml:space="preserve">Unlike zinc fingers, which recognize nucleotide triplets, each TALE repeat binds to a single base pair, with minimal interference between adjacent repeats (Deng </w:t>
      </w:r>
      <w:r w:rsidR="006B78DD" w:rsidRPr="006B78DD">
        <w:rPr>
          <w:rFonts w:ascii="Arial" w:hAnsi="Arial" w:cs="Arial"/>
          <w:i/>
          <w:iCs/>
        </w:rPr>
        <w:t>et al.,</w:t>
      </w:r>
      <w:r w:rsidRPr="00C07175">
        <w:rPr>
          <w:rFonts w:ascii="Arial" w:hAnsi="Arial" w:cs="Arial"/>
        </w:rPr>
        <w:t xml:space="preserve"> 2012; Mak </w:t>
      </w:r>
      <w:r w:rsidR="006B78DD" w:rsidRPr="006B78DD">
        <w:rPr>
          <w:rFonts w:ascii="Arial" w:hAnsi="Arial" w:cs="Arial"/>
          <w:i/>
          <w:iCs/>
        </w:rPr>
        <w:t>et al.,</w:t>
      </w:r>
      <w:r w:rsidRPr="00C07175">
        <w:rPr>
          <w:rFonts w:ascii="Arial" w:hAnsi="Arial" w:cs="Arial"/>
        </w:rPr>
        <w:t xml:space="preserve"> 2012). TALENs offer two major advantages in genome editing: first, they can be engineered without the need for selection or directed evolution, considerably simplifying and expediting nuclease design; and second, they exhibit higher specificity and lower cytotoxicity compared to some ZFNs (Mussolino </w:t>
      </w:r>
      <w:r w:rsidR="006B78DD" w:rsidRPr="006B78DD">
        <w:rPr>
          <w:rFonts w:ascii="Arial" w:hAnsi="Arial" w:cs="Arial"/>
          <w:i/>
          <w:iCs/>
        </w:rPr>
        <w:t>et al.,</w:t>
      </w:r>
      <w:r w:rsidRPr="00C07175">
        <w:rPr>
          <w:rFonts w:ascii="Arial" w:hAnsi="Arial" w:cs="Arial"/>
        </w:rPr>
        <w:t xml:space="preserve"> 2014), possibly due to stronger DNA-binding affinity (Meckler </w:t>
      </w:r>
      <w:r w:rsidR="006B78DD" w:rsidRPr="006B78DD">
        <w:rPr>
          <w:rFonts w:ascii="Arial" w:hAnsi="Arial" w:cs="Arial"/>
          <w:i/>
          <w:iCs/>
        </w:rPr>
        <w:t>et al.,</w:t>
      </w:r>
      <w:r w:rsidRPr="00C07175">
        <w:rPr>
          <w:rFonts w:ascii="Arial" w:hAnsi="Arial" w:cs="Arial"/>
        </w:rPr>
        <w:t xml:space="preserve"> 2013) or greater sensitivity to base mismatches. However, TALENs are substantially larger and more repetitive than ZFNs, which poses challenges for their efficient cellular delivery, particularly when using viral vectors such as lentiviruses (Holkers </w:t>
      </w:r>
      <w:r w:rsidR="006B78DD" w:rsidRPr="006B78DD">
        <w:rPr>
          <w:rFonts w:ascii="Arial" w:hAnsi="Arial" w:cs="Arial"/>
          <w:i/>
          <w:iCs/>
        </w:rPr>
        <w:t>et al.,</w:t>
      </w:r>
      <w:r w:rsidRPr="00C07175">
        <w:rPr>
          <w:rFonts w:ascii="Arial" w:hAnsi="Arial" w:cs="Arial"/>
        </w:rPr>
        <w:t xml:space="preserve"> 2013).</w:t>
      </w:r>
    </w:p>
    <w:p w14:paraId="2D3F0638" w14:textId="5FBC62CB" w:rsidR="00AB6F73" w:rsidRPr="00C07175" w:rsidRDefault="00AB6F73" w:rsidP="00F025BC">
      <w:pPr>
        <w:spacing w:line="360" w:lineRule="auto"/>
        <w:jc w:val="both"/>
        <w:rPr>
          <w:rFonts w:ascii="Arial" w:hAnsi="Arial" w:cs="Arial"/>
        </w:rPr>
      </w:pPr>
      <w:r>
        <w:rPr>
          <w:rFonts w:ascii="Arial" w:hAnsi="Arial" w:cs="Arial"/>
        </w:rPr>
        <w:t xml:space="preserve">Fig 4: </w:t>
      </w:r>
      <w:r w:rsidR="00D87C3C" w:rsidRPr="00C07175">
        <w:rPr>
          <w:rFonts w:ascii="Arial" w:hAnsi="Arial" w:cs="Arial"/>
        </w:rPr>
        <w:t xml:space="preserve">TALE DNA-binding sites </w:t>
      </w:r>
    </w:p>
    <w:p w14:paraId="5392FD31" w14:textId="77777777" w:rsidR="000610C3" w:rsidRPr="00C07175" w:rsidRDefault="000610C3" w:rsidP="00F025BC">
      <w:pPr>
        <w:spacing w:line="360" w:lineRule="auto"/>
        <w:jc w:val="both"/>
        <w:rPr>
          <w:rFonts w:ascii="Arial" w:hAnsi="Arial" w:cs="Arial"/>
        </w:rPr>
      </w:pPr>
      <w:r w:rsidRPr="00C07175">
        <w:rPr>
          <w:rFonts w:ascii="Arial" w:hAnsi="Arial" w:cs="Arial"/>
          <w:noProof/>
          <w:lang w:eastAsia="en-IN" w:bidi="te-IN"/>
        </w:rPr>
        <w:drawing>
          <wp:inline distT="0" distB="0" distL="0" distR="0" wp14:anchorId="16DCE952" wp14:editId="33EFB812">
            <wp:extent cx="5611008" cy="1228896"/>
            <wp:effectExtent l="0" t="0" r="8890" b="9525"/>
            <wp:docPr id="4754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8428" name=""/>
                    <pic:cNvPicPr/>
                  </pic:nvPicPr>
                  <pic:blipFill>
                    <a:blip r:embed="rId20"/>
                    <a:stretch>
                      <a:fillRect/>
                    </a:stretch>
                  </pic:blipFill>
                  <pic:spPr>
                    <a:xfrm>
                      <a:off x="0" y="0"/>
                      <a:ext cx="5611008" cy="1228896"/>
                    </a:xfrm>
                    <a:prstGeom prst="rect">
                      <a:avLst/>
                    </a:prstGeom>
                  </pic:spPr>
                </pic:pic>
              </a:graphicData>
            </a:graphic>
          </wp:inline>
        </w:drawing>
      </w:r>
    </w:p>
    <w:p w14:paraId="49081924" w14:textId="3B3ECD84" w:rsidR="000610C3" w:rsidRPr="00C07175" w:rsidRDefault="000610C3" w:rsidP="00F025BC">
      <w:pPr>
        <w:spacing w:line="360" w:lineRule="auto"/>
        <w:jc w:val="both"/>
        <w:rPr>
          <w:rFonts w:ascii="Arial" w:hAnsi="Arial" w:cs="Arial"/>
        </w:rPr>
      </w:pPr>
      <w:r w:rsidRPr="00C07175">
        <w:rPr>
          <w:rFonts w:ascii="Arial" w:hAnsi="Arial" w:cs="Arial"/>
        </w:rPr>
        <w:t xml:space="preserve">TALENs </w:t>
      </w:r>
      <w:r w:rsidR="00D87C3C">
        <w:rPr>
          <w:rFonts w:ascii="Arial" w:hAnsi="Arial" w:cs="Arial"/>
        </w:rPr>
        <w:t>recognise</w:t>
      </w:r>
      <w:r w:rsidRPr="00C07175">
        <w:rPr>
          <w:rFonts w:ascii="Arial" w:hAnsi="Arial" w:cs="Arial"/>
        </w:rPr>
        <w:t xml:space="preserve"> target sites that consist of two TALE DNA-binding sites that flank a 12- to 20-bp spacer sequence recognized by the FokI cleavage domain. (Source: Gaj </w:t>
      </w:r>
      <w:r w:rsidR="006B78DD" w:rsidRPr="006B78DD">
        <w:rPr>
          <w:rFonts w:ascii="Arial" w:hAnsi="Arial" w:cs="Arial"/>
          <w:i/>
          <w:iCs/>
        </w:rPr>
        <w:t>et al.,</w:t>
      </w:r>
      <w:r w:rsidRPr="00C07175">
        <w:rPr>
          <w:rFonts w:ascii="Arial" w:hAnsi="Arial" w:cs="Arial"/>
          <w:i/>
          <w:iCs/>
        </w:rPr>
        <w:t xml:space="preserve"> </w:t>
      </w:r>
      <w:r w:rsidRPr="00C07175">
        <w:rPr>
          <w:rFonts w:ascii="Arial" w:hAnsi="Arial" w:cs="Arial"/>
        </w:rPr>
        <w:t>2016)</w:t>
      </w:r>
    </w:p>
    <w:p w14:paraId="56B959D6" w14:textId="11E18C48"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3.7.3.</w:t>
      </w:r>
      <w:bookmarkStart w:id="5" w:name="_Hlk221722119"/>
      <w:r w:rsidR="000610C3" w:rsidRPr="007A53A9">
        <w:rPr>
          <w:rFonts w:ascii="Arial" w:hAnsi="Arial" w:cs="Arial"/>
          <w:b/>
          <w:bCs/>
          <w:u w:val="single"/>
        </w:rPr>
        <w:t>CRISPR</w:t>
      </w:r>
    </w:p>
    <w:bookmarkEnd w:id="5"/>
    <w:p w14:paraId="1FB845D4" w14:textId="1A421F6C"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Clustered Regularly Interspaced Short Palindromic Repeats (CRISPR) represents a cutting-edge advancement within the field of genome-editing technologies. The CRISPR/Cas system is composed of several fundamental  elements:</w:t>
      </w:r>
    </w:p>
    <w:p w14:paraId="7B5B9CBF" w14:textId="77777777" w:rsidR="000610C3" w:rsidRPr="00C07175" w:rsidRDefault="000610C3" w:rsidP="00F025BC">
      <w:pPr>
        <w:pStyle w:val="ListParagraph"/>
        <w:numPr>
          <w:ilvl w:val="0"/>
          <w:numId w:val="15"/>
        </w:numPr>
        <w:spacing w:after="160" w:line="360" w:lineRule="auto"/>
        <w:jc w:val="both"/>
        <w:rPr>
          <w:rFonts w:ascii="Arial" w:hAnsi="Arial" w:cs="Arial"/>
          <w:sz w:val="22"/>
          <w:szCs w:val="22"/>
        </w:rPr>
      </w:pPr>
      <w:r w:rsidRPr="00C07175">
        <w:rPr>
          <w:rFonts w:ascii="Arial" w:hAnsi="Arial" w:cs="Arial"/>
          <w:sz w:val="22"/>
          <w:szCs w:val="22"/>
        </w:rPr>
        <w:t>a guide RNA containing a 20-nucleotide sequence complementary to the intended genomic target site and</w:t>
      </w:r>
    </w:p>
    <w:p w14:paraId="04993736" w14:textId="77777777" w:rsidR="000610C3" w:rsidRPr="00C07175" w:rsidRDefault="000610C3" w:rsidP="00F025BC">
      <w:pPr>
        <w:pStyle w:val="ListParagraph"/>
        <w:numPr>
          <w:ilvl w:val="0"/>
          <w:numId w:val="15"/>
        </w:numPr>
        <w:spacing w:after="160" w:line="360" w:lineRule="auto"/>
        <w:jc w:val="both"/>
        <w:rPr>
          <w:rFonts w:ascii="Arial" w:hAnsi="Arial" w:cs="Arial"/>
          <w:sz w:val="22"/>
          <w:szCs w:val="22"/>
        </w:rPr>
      </w:pPr>
      <w:r w:rsidRPr="00C07175">
        <w:rPr>
          <w:rFonts w:ascii="Arial" w:hAnsi="Arial" w:cs="Arial"/>
          <w:sz w:val="22"/>
          <w:szCs w:val="22"/>
        </w:rPr>
        <w:t>the Cas9 endonuclease, which mediates the formation of a double-strand break (DSB) in the DNA.</w:t>
      </w:r>
    </w:p>
    <w:p w14:paraId="04E7D4C8" w14:textId="77777777" w:rsidR="000610C3" w:rsidRDefault="000610C3" w:rsidP="00F025BC">
      <w:pPr>
        <w:spacing w:line="360" w:lineRule="auto"/>
        <w:jc w:val="both"/>
        <w:rPr>
          <w:rFonts w:ascii="Arial" w:hAnsi="Arial" w:cs="Arial"/>
        </w:rPr>
      </w:pPr>
      <w:r w:rsidRPr="00C07175">
        <w:rPr>
          <w:rFonts w:ascii="Arial" w:hAnsi="Arial" w:cs="Arial"/>
        </w:rPr>
        <w:lastRenderedPageBreak/>
        <w:t>The guide RNA functions by directing Cas9 to the specific locus within the genome to facilitate precise cleavage. Cas9 harbors two catalytic domains—the HNH nuclease domain and the RuvC-like domain—each responsible for cleaving one of the two DNA strands. This platform employs a programmable guide RNA in conjunction with the Cas9 nuclease to target and sever a chosen DNA sequence. Following cleavage, the resulting DSB is resolved through the cell’s intrinsic DNA repair mechanisms.</w:t>
      </w:r>
    </w:p>
    <w:p w14:paraId="6EEDD685" w14:textId="03059543" w:rsidR="00D87C3C" w:rsidRDefault="00AB6F73" w:rsidP="00D87C3C">
      <w:pPr>
        <w:spacing w:line="360" w:lineRule="auto"/>
        <w:jc w:val="both"/>
        <w:rPr>
          <w:rFonts w:ascii="Arial" w:hAnsi="Arial" w:cs="Arial"/>
        </w:rPr>
      </w:pPr>
      <w:r>
        <w:rPr>
          <w:rFonts w:ascii="Arial" w:hAnsi="Arial" w:cs="Arial"/>
        </w:rPr>
        <w:t xml:space="preserve">Fig 5: </w:t>
      </w:r>
      <w:r w:rsidR="00D87C3C">
        <w:rPr>
          <w:rFonts w:ascii="Arial" w:hAnsi="Arial" w:cs="Arial"/>
        </w:rPr>
        <w:t xml:space="preserve"> </w:t>
      </w:r>
      <w:r w:rsidR="00D87C3C" w:rsidRPr="00D87C3C">
        <w:rPr>
          <w:rFonts w:ascii="Arial" w:hAnsi="Arial" w:cs="Arial"/>
        </w:rPr>
        <w:t>CRISPR</w:t>
      </w:r>
      <w:r w:rsidR="00C64CC8">
        <w:rPr>
          <w:rFonts w:ascii="Arial" w:hAnsi="Arial" w:cs="Arial"/>
        </w:rPr>
        <w:t xml:space="preserve"> S</w:t>
      </w:r>
      <w:r w:rsidR="00D87C3C" w:rsidRPr="00D87C3C">
        <w:rPr>
          <w:rFonts w:ascii="Arial" w:hAnsi="Arial" w:cs="Arial"/>
        </w:rPr>
        <w:t xml:space="preserve">ystem </w:t>
      </w:r>
    </w:p>
    <w:p w14:paraId="488EC7EB" w14:textId="354B919F" w:rsidR="00AB6F73" w:rsidRPr="00C07175" w:rsidRDefault="00AB6F73" w:rsidP="00F025BC">
      <w:pPr>
        <w:spacing w:line="360" w:lineRule="auto"/>
        <w:jc w:val="both"/>
        <w:rPr>
          <w:rFonts w:ascii="Arial" w:hAnsi="Arial" w:cs="Arial"/>
        </w:rPr>
      </w:pPr>
    </w:p>
    <w:p w14:paraId="4CDABF0B" w14:textId="77777777" w:rsidR="000610C3" w:rsidRPr="00C07175" w:rsidRDefault="000610C3" w:rsidP="00F025BC">
      <w:pPr>
        <w:spacing w:line="360" w:lineRule="auto"/>
        <w:jc w:val="center"/>
        <w:rPr>
          <w:rFonts w:ascii="Arial" w:hAnsi="Arial" w:cs="Arial"/>
        </w:rPr>
      </w:pPr>
      <w:r w:rsidRPr="00C07175">
        <w:rPr>
          <w:rFonts w:ascii="Arial" w:hAnsi="Arial" w:cs="Arial"/>
          <w:noProof/>
          <w:lang w:eastAsia="en-IN" w:bidi="te-IN"/>
        </w:rPr>
        <w:drawing>
          <wp:inline distT="0" distB="0" distL="0" distR="0" wp14:anchorId="0E7556BF" wp14:editId="468D8673">
            <wp:extent cx="3419952" cy="1733792"/>
            <wp:effectExtent l="0" t="0" r="9525" b="0"/>
            <wp:docPr id="1443507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07336" name=""/>
                    <pic:cNvPicPr/>
                  </pic:nvPicPr>
                  <pic:blipFill>
                    <a:blip r:embed="rId21"/>
                    <a:stretch>
                      <a:fillRect/>
                    </a:stretch>
                  </pic:blipFill>
                  <pic:spPr>
                    <a:xfrm>
                      <a:off x="0" y="0"/>
                      <a:ext cx="3419952" cy="1733792"/>
                    </a:xfrm>
                    <a:prstGeom prst="rect">
                      <a:avLst/>
                    </a:prstGeom>
                  </pic:spPr>
                </pic:pic>
              </a:graphicData>
            </a:graphic>
          </wp:inline>
        </w:drawing>
      </w:r>
    </w:p>
    <w:p w14:paraId="7EDFE049" w14:textId="0A00C1B7" w:rsidR="000610C3" w:rsidRPr="00C07175" w:rsidRDefault="000610C3" w:rsidP="00F025BC">
      <w:pPr>
        <w:spacing w:line="360" w:lineRule="auto"/>
        <w:jc w:val="both"/>
        <w:rPr>
          <w:rFonts w:ascii="Arial" w:hAnsi="Arial" w:cs="Arial"/>
        </w:rPr>
      </w:pPr>
      <w:r w:rsidRPr="00C07175">
        <w:rPr>
          <w:rFonts w:ascii="Arial" w:hAnsi="Arial" w:cs="Arial"/>
        </w:rPr>
        <w:t xml:space="preserve">In CRISPR, The Cas9 nuclease is targeted to DNA sequences complementary to the targeting sequence within the single guide RNA (gRNA) located immediately upstream of a compatible protospacer adjacent motif (PAM). (Source: Gaj </w:t>
      </w:r>
      <w:r w:rsidR="006B78DD" w:rsidRPr="006B78DD">
        <w:rPr>
          <w:rFonts w:ascii="Arial" w:hAnsi="Arial" w:cs="Arial"/>
          <w:i/>
          <w:iCs/>
        </w:rPr>
        <w:t>et al.,</w:t>
      </w:r>
      <w:r w:rsidRPr="00C07175">
        <w:rPr>
          <w:rFonts w:ascii="Arial" w:hAnsi="Arial" w:cs="Arial"/>
          <w:i/>
          <w:iCs/>
        </w:rPr>
        <w:t xml:space="preserve"> </w:t>
      </w:r>
      <w:r w:rsidRPr="00C07175">
        <w:rPr>
          <w:rFonts w:ascii="Arial" w:hAnsi="Arial" w:cs="Arial"/>
        </w:rPr>
        <w:t>2016)</w:t>
      </w:r>
    </w:p>
    <w:p w14:paraId="0465949E" w14:textId="178587AD" w:rsidR="000610C3" w:rsidRPr="00C07175" w:rsidRDefault="000610C3" w:rsidP="00F025BC">
      <w:pPr>
        <w:spacing w:line="360" w:lineRule="auto"/>
        <w:jc w:val="both"/>
        <w:rPr>
          <w:rFonts w:ascii="Arial" w:hAnsi="Arial" w:cs="Arial"/>
        </w:rPr>
      </w:pPr>
      <w:r w:rsidRPr="00C07175">
        <w:rPr>
          <w:rFonts w:ascii="Arial" w:hAnsi="Arial" w:cs="Arial"/>
        </w:rPr>
        <w:t xml:space="preserve">The CRISPR/Cas platform offers distinct advantages over earlier genome-editing systems such as zinc-finger nucleases (ZFNs) and transcription activator-like effector nucleases (TALENs), primarily because it relies on a single RNA molecule to confer target specificity. The guide RNA, typically comprising approximately 20 base pairs, is designed to be complementary to the target DNA sequence positioned adjacent to a protospacer adjacent motif (PAM) with the canonical NGG consensus. This structural simplicity renders the CRISPR system exceptionally straightforward to design, cost-efficient, and highly versatile across diverse biological contexts and cell types, thereby establishing it as the most prevalent programmable nuclease (Shen </w:t>
      </w:r>
      <w:r w:rsidR="006B78DD" w:rsidRPr="006B78DD">
        <w:rPr>
          <w:rFonts w:ascii="Arial" w:hAnsi="Arial" w:cs="Arial"/>
          <w:i/>
          <w:iCs/>
        </w:rPr>
        <w:t>et al.,</w:t>
      </w:r>
      <w:r w:rsidRPr="00C07175">
        <w:rPr>
          <w:rFonts w:ascii="Arial" w:hAnsi="Arial" w:cs="Arial"/>
        </w:rPr>
        <w:t xml:space="preserve"> 2013).Genome-wide knockout studies employing CRISPR technology have become invaluable tools in functional genomics (Hilton and Gersbach, 2015). These large-scale screens have facilitated the identification of genomic regions associated with drug resistance (Koike-Yusa </w:t>
      </w:r>
      <w:r w:rsidR="006B78DD" w:rsidRPr="006B78DD">
        <w:rPr>
          <w:rFonts w:ascii="Arial" w:hAnsi="Arial" w:cs="Arial"/>
          <w:i/>
          <w:iCs/>
        </w:rPr>
        <w:t>et al.,</w:t>
      </w:r>
      <w:r w:rsidRPr="00C07175">
        <w:rPr>
          <w:rFonts w:ascii="Arial" w:hAnsi="Arial" w:cs="Arial"/>
        </w:rPr>
        <w:t xml:space="preserve"> 2015), elucidated mechanisms underlying cellular regulation of immune pathways (Parnas </w:t>
      </w:r>
      <w:r w:rsidR="006B78DD" w:rsidRPr="006B78DD">
        <w:rPr>
          <w:rFonts w:ascii="Arial" w:hAnsi="Arial" w:cs="Arial"/>
          <w:i/>
          <w:iCs/>
        </w:rPr>
        <w:t>et al.,</w:t>
      </w:r>
      <w:r w:rsidRPr="00C07175">
        <w:rPr>
          <w:rFonts w:ascii="Arial" w:hAnsi="Arial" w:cs="Arial"/>
        </w:rPr>
        <w:t xml:space="preserve"> 2015), enhanced understanding of the genetic determinants of cellular viability (Hart </w:t>
      </w:r>
      <w:r w:rsidR="006B78DD" w:rsidRPr="006B78DD">
        <w:rPr>
          <w:rFonts w:ascii="Arial" w:hAnsi="Arial" w:cs="Arial"/>
          <w:i/>
          <w:iCs/>
        </w:rPr>
        <w:t>et al.,</w:t>
      </w:r>
      <w:r w:rsidRPr="00C07175">
        <w:rPr>
          <w:rFonts w:ascii="Arial" w:hAnsi="Arial" w:cs="Arial"/>
        </w:rPr>
        <w:t xml:space="preserve"> 2015), and provided insights into virus-induced cytotoxicity (Ma </w:t>
      </w:r>
      <w:r w:rsidR="006B78DD" w:rsidRPr="006B78DD">
        <w:rPr>
          <w:rFonts w:ascii="Arial" w:hAnsi="Arial" w:cs="Arial"/>
          <w:i/>
          <w:iCs/>
        </w:rPr>
        <w:t>et al.,</w:t>
      </w:r>
      <w:r w:rsidRPr="00C07175">
        <w:rPr>
          <w:rFonts w:ascii="Arial" w:hAnsi="Arial" w:cs="Arial"/>
        </w:rPr>
        <w:t xml:space="preserve"> 2015). Moreover, CRISPR-based screening </w:t>
      </w:r>
      <w:r w:rsidRPr="00C07175">
        <w:rPr>
          <w:rFonts w:ascii="Arial" w:hAnsi="Arial" w:cs="Arial"/>
        </w:rPr>
        <w:lastRenderedPageBreak/>
        <w:t xml:space="preserve">has proven instrumental in characterizing functional noncoding genomic regions (Korkmaz </w:t>
      </w:r>
      <w:r w:rsidR="006B78DD" w:rsidRPr="006B78DD">
        <w:rPr>
          <w:rFonts w:ascii="Arial" w:hAnsi="Arial" w:cs="Arial"/>
          <w:i/>
          <w:iCs/>
        </w:rPr>
        <w:t>et al.,</w:t>
      </w:r>
      <w:r w:rsidRPr="00C07175">
        <w:rPr>
          <w:rFonts w:ascii="Arial" w:hAnsi="Arial" w:cs="Arial"/>
        </w:rPr>
        <w:t xml:space="preserve"> 2016) and in advancing studies of genomic architecture and evolution.</w:t>
      </w:r>
    </w:p>
    <w:p w14:paraId="480332F6" w14:textId="7A3DD6FE" w:rsidR="000610C3" w:rsidRPr="00C07175" w:rsidRDefault="000610C3" w:rsidP="00F025BC">
      <w:pPr>
        <w:spacing w:line="360" w:lineRule="auto"/>
        <w:jc w:val="both"/>
        <w:rPr>
          <w:rFonts w:ascii="Arial" w:hAnsi="Arial" w:cs="Arial"/>
        </w:rPr>
      </w:pPr>
      <w:r w:rsidRPr="00C07175">
        <w:rPr>
          <w:rFonts w:ascii="Arial" w:hAnsi="Arial" w:cs="Arial"/>
        </w:rPr>
        <w:t xml:space="preserve">Due to its inherent scalability, the CRISPR/Cas system has rapidly emerged as a powerful tool for forward genetic investigations. Its application spans high-throughput screening initiatives and genome-wide association studies (GWAS), representing a major technological leap beyond traditional mutagenesis methods that employed chemical or radiative agents to generate random mutations requiring subsequent mapping. In contrast, CRISPR constitutes the first mutagenic platform capable of producing targeted mutation libraries across defined genomic loci (Shalem </w:t>
      </w:r>
      <w:r w:rsidR="006B78DD" w:rsidRPr="006B78DD">
        <w:rPr>
          <w:rFonts w:ascii="Arial" w:hAnsi="Arial" w:cs="Arial"/>
          <w:i/>
          <w:iCs/>
        </w:rPr>
        <w:t>et al.,</w:t>
      </w:r>
      <w:r w:rsidRPr="00C07175">
        <w:rPr>
          <w:rFonts w:ascii="Arial" w:hAnsi="Arial" w:cs="Arial"/>
        </w:rPr>
        <w:t xml:space="preserve"> 2014).</w:t>
      </w:r>
    </w:p>
    <w:p w14:paraId="3DC6DEBC" w14:textId="011245B0" w:rsidR="000610C3" w:rsidRPr="00C07175" w:rsidRDefault="007A53A9" w:rsidP="007A53A9">
      <w:pPr>
        <w:spacing w:line="360" w:lineRule="auto"/>
        <w:ind w:left="75"/>
        <w:rPr>
          <w:rFonts w:ascii="Arial" w:hAnsi="Arial" w:cs="Arial"/>
          <w:b/>
          <w:bCs/>
        </w:rPr>
      </w:pPr>
      <w:r w:rsidRPr="00C07175">
        <w:rPr>
          <w:rFonts w:ascii="Arial" w:hAnsi="Arial" w:cs="Arial"/>
          <w:b/>
          <w:bCs/>
        </w:rPr>
        <w:t>4. CONCLUSION</w:t>
      </w:r>
    </w:p>
    <w:p w14:paraId="25DA73D1" w14:textId="77777777" w:rsidR="00BF5892" w:rsidRPr="00C07175" w:rsidRDefault="00D62C8D" w:rsidP="00BF5892">
      <w:pPr>
        <w:spacing w:line="360" w:lineRule="auto"/>
        <w:jc w:val="both"/>
        <w:rPr>
          <w:rFonts w:ascii="Arial" w:hAnsi="Arial" w:cs="Arial"/>
        </w:rPr>
      </w:pPr>
      <w:r w:rsidRPr="00C07175">
        <w:rPr>
          <w:rFonts w:ascii="Arial" w:hAnsi="Arial" w:cs="Arial"/>
        </w:rPr>
        <w:tab/>
      </w:r>
      <w:r w:rsidR="000610C3" w:rsidRPr="00C07175">
        <w:rPr>
          <w:rFonts w:ascii="Arial" w:hAnsi="Arial" w:cs="Arial"/>
        </w:rPr>
        <w:t>A wide array of tools and methodologies are currently available for conducting reverse genetics research in plants, each possessing distinct merits and limitations contingent upon the target species, the investigator’s expertise, and the specific research objectives. Approaches such as Virus-Induced Gene Silencing (VIGS) and RNA interference (RNAi) provide relatively low-cost and efficient means for functional gene characterization, particularly in plant systems where these platforms have been well established. Similarly, the utilization of T-DNA and transposon insertional mutant populations constitutes a valuable resource for gene function studies. Although physical mutagenesis combined with reverse genetic screening is comparatively more expensive, it remains advantageous in cases where alternative strategies prove ineffective. Chemical mutagenesis and TILLING (Targeting Induced Local Lesions IN Genomes) also entail higher costs but often deliver broader and more detailed insights into mutational landscapes. With ongoing technological advancements, increasingly economical strategies for functional genomics—such as partial or whole-genome sequencing and forthcoming genome-scale analytical tools—are expected to dominate plant genetic research. Among these, CRISPR-based genome editing has rapidly emerged as a transformative approach in plant breeding, enabling precise genomic modifications akin to those achieved through traditional breeding methods. Owing to its flexibility and efficiency, CRISPR technology serves as a unifying framework that bridges and enhances both forward and reverse genetic methodologies, while also paralleling developments in human biomedical research.</w:t>
      </w:r>
    </w:p>
    <w:p w14:paraId="7FCB18C0" w14:textId="32996944" w:rsidR="00EE393D" w:rsidRPr="00C07175" w:rsidRDefault="007A53A9" w:rsidP="00BF5892">
      <w:pPr>
        <w:spacing w:line="360" w:lineRule="auto"/>
        <w:jc w:val="both"/>
        <w:rPr>
          <w:rFonts w:ascii="Arial" w:hAnsi="Arial" w:cs="Arial"/>
        </w:rPr>
      </w:pPr>
      <w:r w:rsidRPr="00C07175">
        <w:rPr>
          <w:rFonts w:ascii="Arial" w:hAnsi="Arial" w:cs="Arial"/>
          <w:b/>
          <w:bCs/>
        </w:rPr>
        <w:t>REFERENCES</w:t>
      </w:r>
      <w:r w:rsidRPr="00C07175">
        <w:rPr>
          <w:rFonts w:ascii="Arial" w:hAnsi="Arial" w:cs="Arial"/>
        </w:rPr>
        <w:t xml:space="preserve"> </w:t>
      </w:r>
    </w:p>
    <w:p w14:paraId="5CE37EB6"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Aklilu, E., 2021. Review on forward and reverse genetics in plant breeding. </w:t>
      </w:r>
      <w:r w:rsidRPr="00C07175">
        <w:rPr>
          <w:rFonts w:ascii="Arial" w:hAnsi="Arial" w:cs="Arial"/>
          <w:i/>
          <w:iCs/>
        </w:rPr>
        <w:t>All Life</w:t>
      </w:r>
      <w:r w:rsidRPr="00C07175">
        <w:rPr>
          <w:rFonts w:ascii="Arial" w:hAnsi="Arial" w:cs="Arial"/>
        </w:rPr>
        <w:t>, </w:t>
      </w:r>
      <w:r w:rsidRPr="00C07175">
        <w:rPr>
          <w:rFonts w:ascii="Arial" w:hAnsi="Arial" w:cs="Arial"/>
          <w:i/>
          <w:iCs/>
        </w:rPr>
        <w:t>14</w:t>
      </w:r>
      <w:r w:rsidRPr="00C07175">
        <w:rPr>
          <w:rFonts w:ascii="Arial" w:hAnsi="Arial" w:cs="Arial"/>
        </w:rPr>
        <w:t>(1), pp.127-135.</w:t>
      </w:r>
    </w:p>
    <w:p w14:paraId="1E80FE9C"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lastRenderedPageBreak/>
        <w:t>Alonso, J.</w:t>
      </w:r>
      <w:r w:rsidRPr="00C07175">
        <w:rPr>
          <w:rFonts w:ascii="Arial" w:hAnsi="Arial" w:cs="Arial"/>
        </w:rPr>
        <w:t>M., Stepanova, A.N., Leisse, T.J., Kim, C.J., Chen, H., Shinn, P., Stevenson, D.K., Zimmerman, J., Barajas, P., Cheuk, R. and Gadrinab, C., 2003. Genome-wide insertional mutagenesis of Arabidopsis thaliana. </w:t>
      </w:r>
      <w:r w:rsidRPr="00C07175">
        <w:rPr>
          <w:rFonts w:ascii="Arial" w:hAnsi="Arial" w:cs="Arial"/>
          <w:i/>
          <w:iCs/>
        </w:rPr>
        <w:t>Science</w:t>
      </w:r>
      <w:r w:rsidRPr="00C07175">
        <w:rPr>
          <w:rFonts w:ascii="Arial" w:hAnsi="Arial" w:cs="Arial"/>
        </w:rPr>
        <w:t>, </w:t>
      </w:r>
      <w:r w:rsidRPr="00C07175">
        <w:rPr>
          <w:rFonts w:ascii="Arial" w:hAnsi="Arial" w:cs="Arial"/>
          <w:i/>
          <w:iCs/>
        </w:rPr>
        <w:t>301</w:t>
      </w:r>
      <w:r w:rsidRPr="00C07175">
        <w:rPr>
          <w:rFonts w:ascii="Arial" w:hAnsi="Arial" w:cs="Arial"/>
        </w:rPr>
        <w:t>(5633), pp.653-657.</w:t>
      </w:r>
    </w:p>
    <w:p w14:paraId="55B46F20"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Barbazuk</w:t>
      </w:r>
      <w:r w:rsidRPr="00C07175">
        <w:rPr>
          <w:rFonts w:ascii="Arial" w:hAnsi="Arial" w:cs="Arial"/>
        </w:rPr>
        <w:t>, W.B., Bedell, J.A. and Rabinowicz, P.D., 2005. Reduced representation sequencing: a success in maize and a promise for other plant genomes. </w:t>
      </w:r>
      <w:r w:rsidRPr="00C07175">
        <w:rPr>
          <w:rFonts w:ascii="Arial" w:hAnsi="Arial" w:cs="Arial"/>
          <w:i/>
          <w:iCs/>
        </w:rPr>
        <w:t>Bioessays</w:t>
      </w:r>
      <w:r w:rsidRPr="00C07175">
        <w:rPr>
          <w:rFonts w:ascii="Arial" w:hAnsi="Arial" w:cs="Arial"/>
        </w:rPr>
        <w:t>, </w:t>
      </w:r>
      <w:r w:rsidRPr="00C07175">
        <w:rPr>
          <w:rFonts w:ascii="Arial" w:hAnsi="Arial" w:cs="Arial"/>
          <w:i/>
          <w:iCs/>
        </w:rPr>
        <w:t>27</w:t>
      </w:r>
      <w:r w:rsidRPr="00C07175">
        <w:rPr>
          <w:rFonts w:ascii="Arial" w:hAnsi="Arial" w:cs="Arial"/>
        </w:rPr>
        <w:t>(8), pp.839-848.</w:t>
      </w:r>
    </w:p>
    <w:p w14:paraId="0618114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Barkley, N.A. and Wang, M.L., 2008. Application of TILLING and EcoTILLING as reverse genetic approaches to elucidate the function of genes in plants and animals. </w:t>
      </w:r>
      <w:r w:rsidRPr="00C07175">
        <w:rPr>
          <w:rFonts w:ascii="Arial" w:hAnsi="Arial" w:cs="Arial"/>
          <w:i/>
          <w:iCs/>
        </w:rPr>
        <w:t>Current genomics</w:t>
      </w:r>
      <w:r w:rsidRPr="00C07175">
        <w:rPr>
          <w:rFonts w:ascii="Arial" w:hAnsi="Arial" w:cs="Arial"/>
        </w:rPr>
        <w:t>, </w:t>
      </w:r>
      <w:r w:rsidRPr="00C07175">
        <w:rPr>
          <w:rFonts w:ascii="Arial" w:hAnsi="Arial" w:cs="Arial"/>
          <w:i/>
          <w:iCs/>
        </w:rPr>
        <w:t>9</w:t>
      </w:r>
      <w:r w:rsidRPr="00C07175">
        <w:rPr>
          <w:rFonts w:ascii="Arial" w:hAnsi="Arial" w:cs="Arial"/>
        </w:rPr>
        <w:t>(4), pp.212-226.</w:t>
      </w:r>
    </w:p>
    <w:p w14:paraId="645B3418"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 xml:space="preserve">Bauer, </w:t>
      </w:r>
      <w:r w:rsidRPr="00C07175">
        <w:rPr>
          <w:rFonts w:ascii="Arial" w:hAnsi="Arial" w:cs="Arial"/>
        </w:rPr>
        <w:t>E., Schmutzer, T., Barilar, I., Mascher, M., Gundlach, H., Martis, M.M., Twardziok, S.O., Hackauf, B., Gordillo, A., Wilde, P. and Schmidt, M., 2017. Towards a whole</w:t>
      </w:r>
      <w:r w:rsidRPr="00C07175">
        <w:rPr>
          <w:rFonts w:ascii="Cambria Math" w:hAnsi="Cambria Math" w:cs="Cambria Math"/>
        </w:rPr>
        <w:t>‐</w:t>
      </w:r>
      <w:r w:rsidRPr="00C07175">
        <w:rPr>
          <w:rFonts w:ascii="Arial" w:hAnsi="Arial" w:cs="Arial"/>
        </w:rPr>
        <w:t>genome sequence for rye (Secale cereale L.). </w:t>
      </w:r>
      <w:r w:rsidRPr="00C07175">
        <w:rPr>
          <w:rFonts w:ascii="Arial" w:hAnsi="Arial" w:cs="Arial"/>
          <w:i/>
          <w:iCs/>
        </w:rPr>
        <w:t>The Plant Journal</w:t>
      </w:r>
      <w:r w:rsidRPr="00C07175">
        <w:rPr>
          <w:rFonts w:ascii="Arial" w:hAnsi="Arial" w:cs="Arial"/>
        </w:rPr>
        <w:t>, </w:t>
      </w:r>
      <w:r w:rsidRPr="00C07175">
        <w:rPr>
          <w:rFonts w:ascii="Arial" w:hAnsi="Arial" w:cs="Arial"/>
          <w:i/>
          <w:iCs/>
        </w:rPr>
        <w:t>89</w:t>
      </w:r>
      <w:r w:rsidRPr="00C07175">
        <w:rPr>
          <w:rFonts w:ascii="Arial" w:hAnsi="Arial" w:cs="Arial"/>
        </w:rPr>
        <w:t>(5), pp.853-869.</w:t>
      </w:r>
    </w:p>
    <w:p w14:paraId="19EA671F"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Baulcombe</w:t>
      </w:r>
      <w:r w:rsidRPr="00C07175">
        <w:rPr>
          <w:rFonts w:ascii="Arial" w:hAnsi="Arial" w:cs="Arial"/>
        </w:rPr>
        <w:t>, D.C., 1999. Fast forward genetics based on virus-induced gene silencing. </w:t>
      </w:r>
      <w:r w:rsidRPr="00C07175">
        <w:rPr>
          <w:rFonts w:ascii="Arial" w:hAnsi="Arial" w:cs="Arial"/>
          <w:i/>
          <w:iCs/>
        </w:rPr>
        <w:t>Current opinion in plant biology</w:t>
      </w:r>
      <w:r w:rsidRPr="00C07175">
        <w:rPr>
          <w:rFonts w:ascii="Arial" w:hAnsi="Arial" w:cs="Arial"/>
        </w:rPr>
        <w:t>, </w:t>
      </w:r>
      <w:r w:rsidRPr="00C07175">
        <w:rPr>
          <w:rFonts w:ascii="Arial" w:hAnsi="Arial" w:cs="Arial"/>
          <w:i/>
          <w:iCs/>
        </w:rPr>
        <w:t>2</w:t>
      </w:r>
      <w:r w:rsidRPr="00C07175">
        <w:rPr>
          <w:rFonts w:ascii="Arial" w:hAnsi="Arial" w:cs="Arial"/>
        </w:rPr>
        <w:t>(2), pp.109-113.</w:t>
      </w:r>
    </w:p>
    <w:p w14:paraId="5082C10A"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Bellen</w:t>
      </w:r>
      <w:r w:rsidRPr="00C07175">
        <w:rPr>
          <w:rFonts w:ascii="Arial" w:hAnsi="Arial" w:cs="Arial"/>
        </w:rPr>
        <w:t>, H.J., 1999. Ten years of enhancer detection: lessons from the fly. </w:t>
      </w:r>
      <w:r w:rsidRPr="00C07175">
        <w:rPr>
          <w:rFonts w:ascii="Arial" w:hAnsi="Arial" w:cs="Arial"/>
          <w:i/>
          <w:iCs/>
        </w:rPr>
        <w:t>The Plant Cell</w:t>
      </w:r>
      <w:r w:rsidRPr="00C07175">
        <w:rPr>
          <w:rFonts w:ascii="Arial" w:hAnsi="Arial" w:cs="Arial"/>
        </w:rPr>
        <w:t>, </w:t>
      </w:r>
      <w:r w:rsidRPr="00C07175">
        <w:rPr>
          <w:rFonts w:ascii="Arial" w:hAnsi="Arial" w:cs="Arial"/>
          <w:i/>
          <w:iCs/>
        </w:rPr>
        <w:t>11</w:t>
      </w:r>
      <w:r w:rsidRPr="00C07175">
        <w:rPr>
          <w:rFonts w:ascii="Arial" w:hAnsi="Arial" w:cs="Arial"/>
        </w:rPr>
        <w:t>(12), pp.2271-2281.</w:t>
      </w:r>
    </w:p>
    <w:p w14:paraId="43347FFD"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rPr>
        <w:t>Burch</w:t>
      </w:r>
      <w:r w:rsidRPr="003E449E">
        <w:rPr>
          <w:rFonts w:ascii="Cambria Math" w:hAnsi="Cambria Math" w:cs="Cambria Math"/>
        </w:rPr>
        <w:t>‐</w:t>
      </w:r>
      <w:r w:rsidRPr="003E449E">
        <w:rPr>
          <w:rFonts w:ascii="Arial" w:hAnsi="Arial" w:cs="Arial"/>
        </w:rPr>
        <w:t>Smith,</w:t>
      </w:r>
      <w:r w:rsidRPr="003E449E">
        <w:rPr>
          <w:rFonts w:ascii="Arial" w:hAnsi="Arial" w:cs="Arial"/>
          <w:color w:val="FF0000"/>
        </w:rPr>
        <w:t xml:space="preserve"> </w:t>
      </w:r>
      <w:r w:rsidRPr="00C07175">
        <w:rPr>
          <w:rFonts w:ascii="Arial" w:hAnsi="Arial" w:cs="Arial"/>
        </w:rPr>
        <w:t>T.M., Anderson, J.C., Martin, G.B. and Dinesh</w:t>
      </w:r>
      <w:r w:rsidRPr="00C07175">
        <w:rPr>
          <w:rFonts w:ascii="Cambria Math" w:hAnsi="Cambria Math" w:cs="Cambria Math"/>
        </w:rPr>
        <w:t>‐</w:t>
      </w:r>
      <w:r w:rsidRPr="00C07175">
        <w:rPr>
          <w:rFonts w:ascii="Arial" w:hAnsi="Arial" w:cs="Arial"/>
        </w:rPr>
        <w:t>Kumar, S.P., 2004. Applications and advantages of virus</w:t>
      </w:r>
      <w:r w:rsidRPr="00C07175">
        <w:rPr>
          <w:rFonts w:ascii="Cambria Math" w:hAnsi="Cambria Math" w:cs="Cambria Math"/>
        </w:rPr>
        <w:t>‐</w:t>
      </w:r>
      <w:r w:rsidRPr="00C07175">
        <w:rPr>
          <w:rFonts w:ascii="Arial" w:hAnsi="Arial" w:cs="Arial"/>
        </w:rPr>
        <w:t>induced gene silencing for gene function studies in plants. </w:t>
      </w:r>
      <w:r w:rsidRPr="00C07175">
        <w:rPr>
          <w:rFonts w:ascii="Arial" w:hAnsi="Arial" w:cs="Arial"/>
          <w:i/>
          <w:iCs/>
        </w:rPr>
        <w:t>The Plant Journal</w:t>
      </w:r>
      <w:r w:rsidRPr="00C07175">
        <w:rPr>
          <w:rFonts w:ascii="Arial" w:hAnsi="Arial" w:cs="Arial"/>
        </w:rPr>
        <w:t>, </w:t>
      </w:r>
      <w:r w:rsidRPr="00C07175">
        <w:rPr>
          <w:rFonts w:ascii="Arial" w:hAnsi="Arial" w:cs="Arial"/>
          <w:i/>
          <w:iCs/>
        </w:rPr>
        <w:t>39</w:t>
      </w:r>
      <w:r w:rsidRPr="00C07175">
        <w:rPr>
          <w:rFonts w:ascii="Arial" w:hAnsi="Arial" w:cs="Arial"/>
        </w:rPr>
        <w:t>(5), pp.734-746.</w:t>
      </w:r>
    </w:p>
    <w:p w14:paraId="501EE134"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 xml:space="preserve">Burch-Smith, </w:t>
      </w:r>
      <w:r w:rsidRPr="00C07175">
        <w:rPr>
          <w:rFonts w:ascii="Arial" w:hAnsi="Arial" w:cs="Arial"/>
        </w:rPr>
        <w:t>T.M., Schiff, M., Liu, Y. and Dinesh-Kumar, S.P., 2006. Efficient virus-induced gene silencing in Arabidopsis. </w:t>
      </w:r>
      <w:r w:rsidRPr="00C07175">
        <w:rPr>
          <w:rFonts w:ascii="Arial" w:hAnsi="Arial" w:cs="Arial"/>
          <w:i/>
          <w:iCs/>
        </w:rPr>
        <w:t>Plant physiology</w:t>
      </w:r>
      <w:r w:rsidRPr="00C07175">
        <w:rPr>
          <w:rFonts w:ascii="Arial" w:hAnsi="Arial" w:cs="Arial"/>
        </w:rPr>
        <w:t>, </w:t>
      </w:r>
      <w:r w:rsidRPr="00C07175">
        <w:rPr>
          <w:rFonts w:ascii="Arial" w:hAnsi="Arial" w:cs="Arial"/>
          <w:i/>
          <w:iCs/>
        </w:rPr>
        <w:t>142</w:t>
      </w:r>
      <w:r w:rsidRPr="00C07175">
        <w:rPr>
          <w:rFonts w:ascii="Arial" w:hAnsi="Arial" w:cs="Arial"/>
        </w:rPr>
        <w:t>(1), pp.21-27.</w:t>
      </w:r>
    </w:p>
    <w:p w14:paraId="4BB26EFE"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Campisi</w:t>
      </w:r>
      <w:r w:rsidRPr="00C07175">
        <w:rPr>
          <w:rFonts w:ascii="Arial" w:hAnsi="Arial" w:cs="Arial"/>
        </w:rPr>
        <w:t>, L., Yang, Y., Yi, Y., Heilig, E., Herman, B., Cassista, A.J., Allen, D.W., Xiang, H. and Jack, T., 1999. Generation of enhancer trap lines in Arabidopsis and characterization of expression patterns in the inflorescence. </w:t>
      </w:r>
      <w:r w:rsidRPr="00C07175">
        <w:rPr>
          <w:rFonts w:ascii="Arial" w:hAnsi="Arial" w:cs="Arial"/>
          <w:i/>
          <w:iCs/>
        </w:rPr>
        <w:t>The Plant Journal</w:t>
      </w:r>
      <w:r w:rsidRPr="00C07175">
        <w:rPr>
          <w:rFonts w:ascii="Arial" w:hAnsi="Arial" w:cs="Arial"/>
        </w:rPr>
        <w:t>, </w:t>
      </w:r>
      <w:r w:rsidRPr="00C07175">
        <w:rPr>
          <w:rFonts w:ascii="Arial" w:hAnsi="Arial" w:cs="Arial"/>
          <w:i/>
          <w:iCs/>
        </w:rPr>
        <w:t>17</w:t>
      </w:r>
      <w:r w:rsidRPr="00C07175">
        <w:rPr>
          <w:rFonts w:ascii="Arial" w:hAnsi="Arial" w:cs="Arial"/>
        </w:rPr>
        <w:t>(6), pp.699-707.</w:t>
      </w:r>
    </w:p>
    <w:p w14:paraId="1758DDB8"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Carlson</w:t>
      </w:r>
      <w:r w:rsidRPr="00C07175">
        <w:rPr>
          <w:rFonts w:ascii="Arial" w:hAnsi="Arial" w:cs="Arial"/>
        </w:rPr>
        <w:t>, D.F., Tan, W., Lillico, S.G., Stverakova, D., Proudfoot, C., Christian, M., Voytas, D.F., Long, C.R., Whitelaw, C.B.A. and Fahrenkrug, S.C., 2012. Efficient TALEN-mediated gene knockout in livestock.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109</w:t>
      </w:r>
      <w:r w:rsidRPr="00C07175">
        <w:rPr>
          <w:rFonts w:ascii="Arial" w:hAnsi="Arial" w:cs="Arial"/>
        </w:rPr>
        <w:t>(43), pp.17382-17387.</w:t>
      </w:r>
    </w:p>
    <w:p w14:paraId="473E8E58"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Casadaban</w:t>
      </w:r>
      <w:r w:rsidRPr="00C07175">
        <w:rPr>
          <w:rFonts w:ascii="Arial" w:hAnsi="Arial" w:cs="Arial"/>
        </w:rPr>
        <w:t>, M.J. and Cohen, S.N., 1979. Lactose genes fused to exogenous promoters in one step using a Mu-lac bacteriophage: in vivo probe for transcriptional control sequences.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76</w:t>
      </w:r>
      <w:r w:rsidRPr="00C07175">
        <w:rPr>
          <w:rFonts w:ascii="Arial" w:hAnsi="Arial" w:cs="Arial"/>
        </w:rPr>
        <w:t>(9), pp.4530-4533.</w:t>
      </w:r>
    </w:p>
    <w:p w14:paraId="45E7B02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Chaudhary, J., Deshmukh, R. and Sonah, H., 2019. Mutagenesis approaches and their role in crop improvement. </w:t>
      </w:r>
      <w:r w:rsidRPr="00C07175">
        <w:rPr>
          <w:rFonts w:ascii="Arial" w:hAnsi="Arial" w:cs="Arial"/>
          <w:i/>
          <w:iCs/>
        </w:rPr>
        <w:t>Plants</w:t>
      </w:r>
      <w:r w:rsidRPr="00C07175">
        <w:rPr>
          <w:rFonts w:ascii="Arial" w:hAnsi="Arial" w:cs="Arial"/>
        </w:rPr>
        <w:t>, </w:t>
      </w:r>
      <w:r w:rsidRPr="00C07175">
        <w:rPr>
          <w:rFonts w:ascii="Arial" w:hAnsi="Arial" w:cs="Arial"/>
          <w:i/>
          <w:iCs/>
        </w:rPr>
        <w:t>8</w:t>
      </w:r>
      <w:r w:rsidRPr="00C07175">
        <w:rPr>
          <w:rFonts w:ascii="Arial" w:hAnsi="Arial" w:cs="Arial"/>
        </w:rPr>
        <w:t>(11), p.467.</w:t>
      </w:r>
    </w:p>
    <w:p w14:paraId="645D3DAD"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Cheema</w:t>
      </w:r>
      <w:r w:rsidRPr="00C07175">
        <w:rPr>
          <w:rFonts w:ascii="Arial" w:hAnsi="Arial" w:cs="Arial"/>
        </w:rPr>
        <w:t>, J. and Dicks, J., 2009. Computational approaches and software tools for genetic linkage map estimation in plants. </w:t>
      </w:r>
      <w:r w:rsidRPr="00C07175">
        <w:rPr>
          <w:rFonts w:ascii="Arial" w:hAnsi="Arial" w:cs="Arial"/>
          <w:i/>
          <w:iCs/>
        </w:rPr>
        <w:t>Briefings in bioinformatics</w:t>
      </w:r>
      <w:r w:rsidRPr="00C07175">
        <w:rPr>
          <w:rFonts w:ascii="Arial" w:hAnsi="Arial" w:cs="Arial"/>
        </w:rPr>
        <w:t>, </w:t>
      </w:r>
      <w:r w:rsidRPr="00C07175">
        <w:rPr>
          <w:rFonts w:ascii="Arial" w:hAnsi="Arial" w:cs="Arial"/>
          <w:i/>
          <w:iCs/>
        </w:rPr>
        <w:t>10</w:t>
      </w:r>
      <w:r w:rsidRPr="00C07175">
        <w:rPr>
          <w:rFonts w:ascii="Arial" w:hAnsi="Arial" w:cs="Arial"/>
        </w:rPr>
        <w:t>(6), pp.595-608.</w:t>
      </w:r>
    </w:p>
    <w:p w14:paraId="68140590"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 xml:space="preserve">Chen, </w:t>
      </w:r>
      <w:r w:rsidRPr="00C07175">
        <w:rPr>
          <w:rFonts w:ascii="Arial" w:hAnsi="Arial" w:cs="Arial"/>
        </w:rPr>
        <w:t>J., Huang, Q., Gao, D., Wang, J., Lang, Y., Liu, T., Li, B., Bai, Z., Luis Goicoechea, J., Liang, C. and Chen, C., 2013. Whole-genome sequencing of Oryza brachyantha reveals mechanisms underlying Oryza genome evolution. </w:t>
      </w:r>
      <w:r w:rsidRPr="00C07175">
        <w:rPr>
          <w:rFonts w:ascii="Arial" w:hAnsi="Arial" w:cs="Arial"/>
          <w:i/>
          <w:iCs/>
        </w:rPr>
        <w:t>Nature Communications</w:t>
      </w:r>
      <w:r w:rsidRPr="00C07175">
        <w:rPr>
          <w:rFonts w:ascii="Arial" w:hAnsi="Arial" w:cs="Arial"/>
        </w:rPr>
        <w:t>, </w:t>
      </w:r>
      <w:r w:rsidRPr="00C07175">
        <w:rPr>
          <w:rFonts w:ascii="Arial" w:hAnsi="Arial" w:cs="Arial"/>
          <w:i/>
          <w:iCs/>
        </w:rPr>
        <w:t>4</w:t>
      </w:r>
      <w:r w:rsidRPr="00C07175">
        <w:rPr>
          <w:rFonts w:ascii="Arial" w:hAnsi="Arial" w:cs="Arial"/>
        </w:rPr>
        <w:t>(1), p.1595.</w:t>
      </w:r>
    </w:p>
    <w:p w14:paraId="63265ED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Chen, L., Hao, L., Parry, M.A., Phillips, A.L. and Hu, Y.G., 2014. Progress in TILLING as a tool for functional genomics and improvement of crops. </w:t>
      </w:r>
      <w:r w:rsidRPr="00C07175">
        <w:rPr>
          <w:rFonts w:ascii="Arial" w:hAnsi="Arial" w:cs="Arial"/>
          <w:i/>
          <w:iCs/>
        </w:rPr>
        <w:t>Journal of integrative plant biology</w:t>
      </w:r>
      <w:r w:rsidRPr="00C07175">
        <w:rPr>
          <w:rFonts w:ascii="Arial" w:hAnsi="Arial" w:cs="Arial"/>
        </w:rPr>
        <w:t>, </w:t>
      </w:r>
      <w:r w:rsidRPr="00C07175">
        <w:rPr>
          <w:rFonts w:ascii="Arial" w:hAnsi="Arial" w:cs="Arial"/>
          <w:i/>
          <w:iCs/>
        </w:rPr>
        <w:t>56</w:t>
      </w:r>
      <w:r w:rsidRPr="00C07175">
        <w:rPr>
          <w:rFonts w:ascii="Arial" w:hAnsi="Arial" w:cs="Arial"/>
        </w:rPr>
        <w:t>(5), pp.425-443.</w:t>
      </w:r>
    </w:p>
    <w:p w14:paraId="52117622"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Chen,</w:t>
      </w:r>
      <w:r w:rsidRPr="00C07175">
        <w:rPr>
          <w:rFonts w:ascii="Arial" w:hAnsi="Arial" w:cs="Arial"/>
        </w:rPr>
        <w:t xml:space="preserve"> L., Huang, L., Min, D., Phillips, A., Wang, S., Madgwick, P.J., Parry, M.A. and Hu, Y.G., 2012. Development and characterization of a new TILLING population of common bread wheat (Triticum aestivum L.). </w:t>
      </w:r>
      <w:r w:rsidRPr="00C07175">
        <w:rPr>
          <w:rFonts w:ascii="Arial" w:hAnsi="Arial" w:cs="Arial"/>
          <w:i/>
          <w:iCs/>
        </w:rPr>
        <w:t>PLoS One</w:t>
      </w:r>
      <w:r w:rsidRPr="00C07175">
        <w:rPr>
          <w:rFonts w:ascii="Arial" w:hAnsi="Arial" w:cs="Arial"/>
        </w:rPr>
        <w:t>, </w:t>
      </w:r>
      <w:r w:rsidRPr="00C07175">
        <w:rPr>
          <w:rFonts w:ascii="Arial" w:hAnsi="Arial" w:cs="Arial"/>
          <w:i/>
          <w:iCs/>
        </w:rPr>
        <w:t>7</w:t>
      </w:r>
      <w:r w:rsidRPr="00C07175">
        <w:rPr>
          <w:rFonts w:ascii="Arial" w:hAnsi="Arial" w:cs="Arial"/>
        </w:rPr>
        <w:t>(7), p.e41570.</w:t>
      </w:r>
    </w:p>
    <w:p w14:paraId="02EDE540"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Cho,</w:t>
      </w:r>
      <w:r w:rsidRPr="00C07175">
        <w:rPr>
          <w:rFonts w:ascii="Arial" w:hAnsi="Arial" w:cs="Arial"/>
        </w:rPr>
        <w:t xml:space="preserve"> K.H., Kim, M.Y., Kwon, H., Yang, X. and Lee, S.H., 2021. Novel QTL identification and candidate gene analysis for enhancing salt tolerance in soybean (Glycine max (L.) Merr.). </w:t>
      </w:r>
      <w:r w:rsidRPr="00C07175">
        <w:rPr>
          <w:rFonts w:ascii="Arial" w:hAnsi="Arial" w:cs="Arial"/>
          <w:i/>
          <w:iCs/>
        </w:rPr>
        <w:t>Plant Science</w:t>
      </w:r>
      <w:r w:rsidRPr="00C07175">
        <w:rPr>
          <w:rFonts w:ascii="Arial" w:hAnsi="Arial" w:cs="Arial"/>
        </w:rPr>
        <w:t>, </w:t>
      </w:r>
      <w:r w:rsidRPr="00C07175">
        <w:rPr>
          <w:rFonts w:ascii="Arial" w:hAnsi="Arial" w:cs="Arial"/>
          <w:i/>
          <w:iCs/>
        </w:rPr>
        <w:t>313</w:t>
      </w:r>
      <w:r w:rsidRPr="00C07175">
        <w:rPr>
          <w:rFonts w:ascii="Arial" w:hAnsi="Arial" w:cs="Arial"/>
        </w:rPr>
        <w:t>, p.111085.</w:t>
      </w:r>
    </w:p>
    <w:p w14:paraId="7B807521"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Christian</w:t>
      </w:r>
      <w:r w:rsidRPr="00C07175">
        <w:rPr>
          <w:rFonts w:ascii="Arial" w:hAnsi="Arial" w:cs="Arial"/>
        </w:rPr>
        <w:t>, M., Cermak, T., Doyle, E.L., Schmidt, C., Zhang, F., Hummel, A., Bogdanove, A.J. and Voytas, D.F., 2010. Targeting DNA double-strand breaks with TAL effector nucleases. </w:t>
      </w:r>
      <w:r w:rsidRPr="00C07175">
        <w:rPr>
          <w:rFonts w:ascii="Arial" w:hAnsi="Arial" w:cs="Arial"/>
          <w:i/>
          <w:iCs/>
        </w:rPr>
        <w:t>Genetics</w:t>
      </w:r>
      <w:r w:rsidRPr="00C07175">
        <w:rPr>
          <w:rFonts w:ascii="Arial" w:hAnsi="Arial" w:cs="Arial"/>
        </w:rPr>
        <w:t>, </w:t>
      </w:r>
      <w:r w:rsidRPr="00C07175">
        <w:rPr>
          <w:rFonts w:ascii="Arial" w:hAnsi="Arial" w:cs="Arial"/>
          <w:i/>
          <w:iCs/>
        </w:rPr>
        <w:t>186</w:t>
      </w:r>
      <w:r w:rsidRPr="00C07175">
        <w:rPr>
          <w:rFonts w:ascii="Arial" w:hAnsi="Arial" w:cs="Arial"/>
        </w:rPr>
        <w:t>(2), pp.757-761.</w:t>
      </w:r>
    </w:p>
    <w:p w14:paraId="0A1A6BA1" w14:textId="77777777" w:rsidR="00EE393D" w:rsidRPr="00C07175" w:rsidRDefault="00EE393D" w:rsidP="00F025BC">
      <w:pPr>
        <w:spacing w:line="360" w:lineRule="auto"/>
        <w:ind w:left="720" w:hanging="720"/>
        <w:jc w:val="both"/>
        <w:rPr>
          <w:rFonts w:ascii="Arial" w:hAnsi="Arial" w:cs="Arial"/>
        </w:rPr>
      </w:pPr>
      <w:r w:rsidRPr="003E449E">
        <w:rPr>
          <w:rFonts w:ascii="Arial" w:hAnsi="Arial" w:cs="Arial"/>
          <w:color w:val="FF0000"/>
        </w:rPr>
        <w:t>Chuong</w:t>
      </w:r>
      <w:r w:rsidRPr="00C07175">
        <w:rPr>
          <w:rFonts w:ascii="Arial" w:hAnsi="Arial" w:cs="Arial"/>
        </w:rPr>
        <w:t>, N.N., Hoang, X.L.T., Nghia, D.H.T., Nguyen, N.C., Thao, D.T.T., Tran, T.B., Ngoc, T.T.M., Thu, N.B.A., Nguyen, Q.T. and Thao, N.P., 2021. Ectopic expression of GmHP08 enhances resistance of transgenic Arabidopsis toward drought stress. </w:t>
      </w:r>
      <w:r w:rsidRPr="00C07175">
        <w:rPr>
          <w:rFonts w:ascii="Arial" w:hAnsi="Arial" w:cs="Arial"/>
          <w:i/>
          <w:iCs/>
        </w:rPr>
        <w:t>Plant Cell Reports</w:t>
      </w:r>
      <w:r w:rsidRPr="00C07175">
        <w:rPr>
          <w:rFonts w:ascii="Arial" w:hAnsi="Arial" w:cs="Arial"/>
        </w:rPr>
        <w:t>, </w:t>
      </w:r>
      <w:r w:rsidRPr="00C07175">
        <w:rPr>
          <w:rFonts w:ascii="Arial" w:hAnsi="Arial" w:cs="Arial"/>
          <w:i/>
          <w:iCs/>
        </w:rPr>
        <w:t>40</w:t>
      </w:r>
      <w:r w:rsidRPr="00C07175">
        <w:rPr>
          <w:rFonts w:ascii="Arial" w:hAnsi="Arial" w:cs="Arial"/>
        </w:rPr>
        <w:t>, pp.819-834.</w:t>
      </w:r>
    </w:p>
    <w:p w14:paraId="329FB49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Collard, B.C., Jahufer, M.Z.Z., Brouwer, J.B. and Pang, E.C.K., 2005. An introduction to markers, quantitative trait loci (QTL) mapping and marker-assisted selection for crop improvement: the basic concepts. </w:t>
      </w:r>
      <w:r w:rsidRPr="00C07175">
        <w:rPr>
          <w:rFonts w:ascii="Arial" w:hAnsi="Arial" w:cs="Arial"/>
          <w:i/>
          <w:iCs/>
        </w:rPr>
        <w:t>Euphytica</w:t>
      </w:r>
      <w:r w:rsidRPr="00C07175">
        <w:rPr>
          <w:rFonts w:ascii="Arial" w:hAnsi="Arial" w:cs="Arial"/>
        </w:rPr>
        <w:t>, </w:t>
      </w:r>
      <w:r w:rsidRPr="00C07175">
        <w:rPr>
          <w:rFonts w:ascii="Arial" w:hAnsi="Arial" w:cs="Arial"/>
          <w:i/>
          <w:iCs/>
        </w:rPr>
        <w:t>142</w:t>
      </w:r>
      <w:r w:rsidRPr="00C07175">
        <w:rPr>
          <w:rFonts w:ascii="Arial" w:hAnsi="Arial" w:cs="Arial"/>
        </w:rPr>
        <w:t>, pp.169-196.</w:t>
      </w:r>
    </w:p>
    <w:p w14:paraId="33E0BC8F" w14:textId="77777777" w:rsidR="00EE393D" w:rsidRPr="00C07175" w:rsidRDefault="00EE393D" w:rsidP="00F025BC">
      <w:pPr>
        <w:spacing w:line="360" w:lineRule="auto"/>
        <w:ind w:left="720" w:hanging="720"/>
        <w:jc w:val="both"/>
        <w:rPr>
          <w:rFonts w:ascii="Arial" w:hAnsi="Arial" w:cs="Arial"/>
        </w:rPr>
      </w:pPr>
      <w:r w:rsidRPr="00DE0A58">
        <w:rPr>
          <w:rFonts w:ascii="Arial" w:hAnsi="Arial" w:cs="Arial"/>
          <w:color w:val="FF0000"/>
        </w:rPr>
        <w:t>Comai</w:t>
      </w:r>
      <w:r w:rsidRPr="00C07175">
        <w:rPr>
          <w:rFonts w:ascii="Arial" w:hAnsi="Arial" w:cs="Arial"/>
        </w:rPr>
        <w:t>, L., Young, K., Till, B.J., Reynolds, S.H., Greene, E.A., Codomo, C.A., Enns, L.C., Johnson, J.E., Burtner, C., Odden, A.R. and Henikoff, S., 2004. Efficient discovery of DNA polymorphisms in natural populations by EcoTILLING. </w:t>
      </w:r>
      <w:r w:rsidRPr="00C07175">
        <w:rPr>
          <w:rFonts w:ascii="Arial" w:hAnsi="Arial" w:cs="Arial"/>
          <w:i/>
          <w:iCs/>
        </w:rPr>
        <w:t>The Plant Journal</w:t>
      </w:r>
      <w:r w:rsidRPr="00C07175">
        <w:rPr>
          <w:rFonts w:ascii="Arial" w:hAnsi="Arial" w:cs="Arial"/>
        </w:rPr>
        <w:t>, </w:t>
      </w:r>
      <w:r w:rsidRPr="00C07175">
        <w:rPr>
          <w:rFonts w:ascii="Arial" w:hAnsi="Arial" w:cs="Arial"/>
          <w:i/>
          <w:iCs/>
        </w:rPr>
        <w:t>37</w:t>
      </w:r>
      <w:r w:rsidRPr="00C07175">
        <w:rPr>
          <w:rFonts w:ascii="Arial" w:hAnsi="Arial" w:cs="Arial"/>
        </w:rPr>
        <w:t>(5), pp.778-786.</w:t>
      </w:r>
    </w:p>
    <w:p w14:paraId="4FAE8567"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Cui, J., Yang, Y., Luo, S., Wang, L., Huang, R., Wen, Q., Han, X., Miao, N., Cheng, J., Liu, Z. and Zhang, C., 2020. Whole-genome sequencing provides insights into the genetic diversity and domestication of bitter gourd (Momordica spp.). </w:t>
      </w:r>
      <w:r w:rsidRPr="00C07175">
        <w:rPr>
          <w:rFonts w:ascii="Arial" w:hAnsi="Arial" w:cs="Arial"/>
          <w:i/>
          <w:iCs/>
        </w:rPr>
        <w:t>Horticulture research</w:t>
      </w:r>
      <w:r w:rsidRPr="00C07175">
        <w:rPr>
          <w:rFonts w:ascii="Arial" w:hAnsi="Arial" w:cs="Arial"/>
        </w:rPr>
        <w:t>, </w:t>
      </w:r>
      <w:r w:rsidRPr="00C07175">
        <w:rPr>
          <w:rFonts w:ascii="Arial" w:hAnsi="Arial" w:cs="Arial"/>
          <w:i/>
          <w:iCs/>
        </w:rPr>
        <w:t>7</w:t>
      </w:r>
      <w:r w:rsidRPr="00C07175">
        <w:rPr>
          <w:rFonts w:ascii="Arial" w:hAnsi="Arial" w:cs="Arial"/>
        </w:rPr>
        <w:t>.</w:t>
      </w:r>
    </w:p>
    <w:p w14:paraId="754096E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Cui, X., Ji, D., Fisher, D.A., Wu, Y., Briner, D.M. and Weinstein, E.J., 2011. Targeted integration in rat and mouse embryos with zinc-finger nucleases. </w:t>
      </w:r>
      <w:r w:rsidRPr="00C07175">
        <w:rPr>
          <w:rFonts w:ascii="Arial" w:hAnsi="Arial" w:cs="Arial"/>
          <w:i/>
          <w:iCs/>
        </w:rPr>
        <w:t>Nature biotechnology</w:t>
      </w:r>
      <w:r w:rsidRPr="00C07175">
        <w:rPr>
          <w:rFonts w:ascii="Arial" w:hAnsi="Arial" w:cs="Arial"/>
        </w:rPr>
        <w:t>, </w:t>
      </w:r>
      <w:r w:rsidRPr="00C07175">
        <w:rPr>
          <w:rFonts w:ascii="Arial" w:hAnsi="Arial" w:cs="Arial"/>
          <w:i/>
          <w:iCs/>
        </w:rPr>
        <w:t>29</w:t>
      </w:r>
      <w:r w:rsidRPr="00C07175">
        <w:rPr>
          <w:rFonts w:ascii="Arial" w:hAnsi="Arial" w:cs="Arial"/>
        </w:rPr>
        <w:t>(1), pp.64-67.</w:t>
      </w:r>
    </w:p>
    <w:p w14:paraId="49E94D78" w14:textId="77777777" w:rsidR="00EE393D" w:rsidRPr="00C07175" w:rsidRDefault="00EE393D" w:rsidP="00F025BC">
      <w:pPr>
        <w:spacing w:line="360" w:lineRule="auto"/>
        <w:ind w:left="720" w:hanging="720"/>
        <w:jc w:val="both"/>
        <w:rPr>
          <w:rFonts w:ascii="Arial" w:hAnsi="Arial" w:cs="Arial"/>
        </w:rPr>
      </w:pPr>
      <w:r w:rsidRPr="00DE0A58">
        <w:rPr>
          <w:rFonts w:ascii="Arial" w:hAnsi="Arial" w:cs="Arial"/>
          <w:color w:val="FF0000"/>
        </w:rPr>
        <w:t>Deng</w:t>
      </w:r>
      <w:r w:rsidRPr="00C07175">
        <w:rPr>
          <w:rFonts w:ascii="Arial" w:hAnsi="Arial" w:cs="Arial"/>
        </w:rPr>
        <w:t>, D., Yan, C., Pan, X., Mahfouz, M., Wang, J., Zhu, J.K., Shi, Y. and Yan, N., 2012. Structural basis for sequence-specific recognition of DNA by TAL effectors. </w:t>
      </w:r>
      <w:r w:rsidRPr="00C07175">
        <w:rPr>
          <w:rFonts w:ascii="Arial" w:hAnsi="Arial" w:cs="Arial"/>
          <w:i/>
          <w:iCs/>
        </w:rPr>
        <w:t>Science</w:t>
      </w:r>
      <w:r w:rsidRPr="00C07175">
        <w:rPr>
          <w:rFonts w:ascii="Arial" w:hAnsi="Arial" w:cs="Arial"/>
        </w:rPr>
        <w:t>, </w:t>
      </w:r>
      <w:r w:rsidRPr="00C07175">
        <w:rPr>
          <w:rFonts w:ascii="Arial" w:hAnsi="Arial" w:cs="Arial"/>
          <w:i/>
          <w:iCs/>
        </w:rPr>
        <w:t>335</w:t>
      </w:r>
      <w:r w:rsidRPr="00C07175">
        <w:rPr>
          <w:rFonts w:ascii="Arial" w:hAnsi="Arial" w:cs="Arial"/>
        </w:rPr>
        <w:t>(6069), pp.720-723.</w:t>
      </w:r>
    </w:p>
    <w:p w14:paraId="164DC7B1"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Ding, S.W. and Voinnet, O., 2007. Antiviral immunity directed by small RNAs. </w:t>
      </w:r>
      <w:r w:rsidRPr="00C07175">
        <w:rPr>
          <w:rFonts w:ascii="Arial" w:hAnsi="Arial" w:cs="Arial"/>
          <w:i/>
          <w:iCs/>
        </w:rPr>
        <w:t>Cell</w:t>
      </w:r>
      <w:r w:rsidRPr="00C07175">
        <w:rPr>
          <w:rFonts w:ascii="Arial" w:hAnsi="Arial" w:cs="Arial"/>
        </w:rPr>
        <w:t>, </w:t>
      </w:r>
      <w:r w:rsidRPr="00C07175">
        <w:rPr>
          <w:rFonts w:ascii="Arial" w:hAnsi="Arial" w:cs="Arial"/>
          <w:i/>
          <w:iCs/>
        </w:rPr>
        <w:t>130</w:t>
      </w:r>
      <w:r w:rsidRPr="00C07175">
        <w:rPr>
          <w:rFonts w:ascii="Arial" w:hAnsi="Arial" w:cs="Arial"/>
        </w:rPr>
        <w:t>(3), pp.413-426.</w:t>
      </w:r>
    </w:p>
    <w:p w14:paraId="40F295A3"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Ding, X.S., Schneider, W.L., Chaluvadi, S.R., Mian, M.R. and Nelson, R.S., 2006. Characterization of a Brome mosaic virus strain and its use as a vector for gene silencing in monocotyledonous hosts. </w:t>
      </w:r>
      <w:r w:rsidRPr="00C07175">
        <w:rPr>
          <w:rFonts w:ascii="Arial" w:hAnsi="Arial" w:cs="Arial"/>
          <w:i/>
          <w:iCs/>
        </w:rPr>
        <w:t>Molecular Plant-Microbe Interactions</w:t>
      </w:r>
      <w:r w:rsidRPr="00C07175">
        <w:rPr>
          <w:rFonts w:ascii="Arial" w:hAnsi="Arial" w:cs="Arial"/>
        </w:rPr>
        <w:t>, </w:t>
      </w:r>
      <w:r w:rsidRPr="00C07175">
        <w:rPr>
          <w:rFonts w:ascii="Arial" w:hAnsi="Arial" w:cs="Arial"/>
          <w:i/>
          <w:iCs/>
        </w:rPr>
        <w:t>19</w:t>
      </w:r>
      <w:r w:rsidRPr="00C07175">
        <w:rPr>
          <w:rFonts w:ascii="Arial" w:hAnsi="Arial" w:cs="Arial"/>
        </w:rPr>
        <w:t>(11), pp.1229-1239.</w:t>
      </w:r>
    </w:p>
    <w:p w14:paraId="35635AD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Doyon, Y., McCammon, J.M., Miller, J.C., Faraji, F., Ngo, C., Katibah, G.E., Amora, R., Hocking, T.D., Zhang, L., Rebar, E.J. and Gregory, P.D., 2008. Heritable targeted gene disruption in zebrafish using designed zinc-finger nucleases. </w:t>
      </w:r>
      <w:r w:rsidRPr="00C07175">
        <w:rPr>
          <w:rFonts w:ascii="Arial" w:hAnsi="Arial" w:cs="Arial"/>
          <w:i/>
          <w:iCs/>
        </w:rPr>
        <w:t>Nature biotechnology</w:t>
      </w:r>
      <w:r w:rsidRPr="00C07175">
        <w:rPr>
          <w:rFonts w:ascii="Arial" w:hAnsi="Arial" w:cs="Arial"/>
        </w:rPr>
        <w:t>, </w:t>
      </w:r>
      <w:r w:rsidRPr="00C07175">
        <w:rPr>
          <w:rFonts w:ascii="Arial" w:hAnsi="Arial" w:cs="Arial"/>
          <w:i/>
          <w:iCs/>
        </w:rPr>
        <w:t>26</w:t>
      </w:r>
      <w:r w:rsidRPr="00C07175">
        <w:rPr>
          <w:rFonts w:ascii="Arial" w:hAnsi="Arial" w:cs="Arial"/>
        </w:rPr>
        <w:t>(6), pp.702-708.</w:t>
      </w:r>
    </w:p>
    <w:p w14:paraId="3FA1C98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Dubin, M.J., Scheid, O.M. and Becker, C., 2018. Transposons: a blessing curse. </w:t>
      </w:r>
      <w:r w:rsidRPr="00C07175">
        <w:rPr>
          <w:rFonts w:ascii="Arial" w:hAnsi="Arial" w:cs="Arial"/>
          <w:i/>
          <w:iCs/>
        </w:rPr>
        <w:t>Current opinion in plant biology</w:t>
      </w:r>
      <w:r w:rsidRPr="00C07175">
        <w:rPr>
          <w:rFonts w:ascii="Arial" w:hAnsi="Arial" w:cs="Arial"/>
        </w:rPr>
        <w:t>, </w:t>
      </w:r>
      <w:r w:rsidRPr="00C07175">
        <w:rPr>
          <w:rFonts w:ascii="Arial" w:hAnsi="Arial" w:cs="Arial"/>
          <w:i/>
          <w:iCs/>
        </w:rPr>
        <w:t>42</w:t>
      </w:r>
      <w:r w:rsidRPr="00C07175">
        <w:rPr>
          <w:rFonts w:ascii="Arial" w:hAnsi="Arial" w:cs="Arial"/>
        </w:rPr>
        <w:t>, pp.23-29.</w:t>
      </w:r>
    </w:p>
    <w:p w14:paraId="3CBCC91C"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Dubouzet, J.G., Sakuma, Y., Ito, Y., Kasuga, M., Dubouzet, E.G., Miura, S., Seki, M., Shinozaki, K. and Yamaguchi</w:t>
      </w:r>
      <w:r w:rsidRPr="00C07175">
        <w:rPr>
          <w:rFonts w:ascii="Cambria Math" w:hAnsi="Cambria Math" w:cs="Cambria Math"/>
        </w:rPr>
        <w:t>‐</w:t>
      </w:r>
      <w:r w:rsidRPr="00C07175">
        <w:rPr>
          <w:rFonts w:ascii="Arial" w:hAnsi="Arial" w:cs="Arial"/>
        </w:rPr>
        <w:t>Shinozaki, K., 2003. OsDREB genes in rice, Oryza sativa L., encode transcription activators that function in drought</w:t>
      </w:r>
      <w:r w:rsidRPr="00C07175">
        <w:rPr>
          <w:rFonts w:ascii="Cambria Math" w:hAnsi="Cambria Math" w:cs="Cambria Math"/>
        </w:rPr>
        <w:t>‐</w:t>
      </w:r>
      <w:r w:rsidRPr="00C07175">
        <w:rPr>
          <w:rFonts w:ascii="Arial" w:hAnsi="Arial" w:cs="Arial"/>
        </w:rPr>
        <w:t>, high</w:t>
      </w:r>
      <w:r w:rsidRPr="00C07175">
        <w:rPr>
          <w:rFonts w:ascii="Cambria Math" w:hAnsi="Cambria Math" w:cs="Cambria Math"/>
        </w:rPr>
        <w:t>‐</w:t>
      </w:r>
      <w:r w:rsidRPr="00C07175">
        <w:rPr>
          <w:rFonts w:ascii="Arial" w:hAnsi="Arial" w:cs="Arial"/>
        </w:rPr>
        <w:t>salt</w:t>
      </w:r>
      <w:r w:rsidRPr="00C07175">
        <w:rPr>
          <w:rFonts w:ascii="Cambria Math" w:hAnsi="Cambria Math" w:cs="Cambria Math"/>
        </w:rPr>
        <w:t>‐</w:t>
      </w:r>
      <w:r w:rsidRPr="00C07175">
        <w:rPr>
          <w:rFonts w:ascii="Arial" w:hAnsi="Arial" w:cs="Arial"/>
        </w:rPr>
        <w:t>and cold</w:t>
      </w:r>
      <w:r w:rsidRPr="00C07175">
        <w:rPr>
          <w:rFonts w:ascii="Cambria Math" w:hAnsi="Cambria Math" w:cs="Cambria Math"/>
        </w:rPr>
        <w:t>‐</w:t>
      </w:r>
      <w:r w:rsidRPr="00C07175">
        <w:rPr>
          <w:rFonts w:ascii="Arial" w:hAnsi="Arial" w:cs="Arial"/>
        </w:rPr>
        <w:t>responsive gene expression. </w:t>
      </w:r>
      <w:r w:rsidRPr="00C07175">
        <w:rPr>
          <w:rFonts w:ascii="Arial" w:hAnsi="Arial" w:cs="Arial"/>
          <w:i/>
          <w:iCs/>
        </w:rPr>
        <w:t>The Plant Journal</w:t>
      </w:r>
      <w:r w:rsidRPr="00C07175">
        <w:rPr>
          <w:rFonts w:ascii="Arial" w:hAnsi="Arial" w:cs="Arial"/>
        </w:rPr>
        <w:t>, </w:t>
      </w:r>
      <w:r w:rsidRPr="00C07175">
        <w:rPr>
          <w:rFonts w:ascii="Arial" w:hAnsi="Arial" w:cs="Arial"/>
          <w:i/>
          <w:iCs/>
        </w:rPr>
        <w:t>33</w:t>
      </w:r>
      <w:r w:rsidRPr="00C07175">
        <w:rPr>
          <w:rFonts w:ascii="Arial" w:hAnsi="Arial" w:cs="Arial"/>
        </w:rPr>
        <w:t>(4), pp.751-763.</w:t>
      </w:r>
    </w:p>
    <w:p w14:paraId="317C103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Ekta and Maiti, M.K., 2024. Rice Big Grain1 improves grain yield in ectopically expressing rice and heterologously expressing tobacco plants. </w:t>
      </w:r>
      <w:r w:rsidRPr="00C07175">
        <w:rPr>
          <w:rFonts w:ascii="Arial" w:hAnsi="Arial" w:cs="Arial"/>
          <w:i/>
          <w:iCs/>
        </w:rPr>
        <w:t>Plant Molecular Biology</w:t>
      </w:r>
      <w:r w:rsidRPr="00C07175">
        <w:rPr>
          <w:rFonts w:ascii="Arial" w:hAnsi="Arial" w:cs="Arial"/>
        </w:rPr>
        <w:t>, </w:t>
      </w:r>
      <w:r w:rsidRPr="00C07175">
        <w:rPr>
          <w:rFonts w:ascii="Arial" w:hAnsi="Arial" w:cs="Arial"/>
          <w:i/>
          <w:iCs/>
        </w:rPr>
        <w:t>114</w:t>
      </w:r>
      <w:r w:rsidRPr="00C07175">
        <w:rPr>
          <w:rFonts w:ascii="Arial" w:hAnsi="Arial" w:cs="Arial"/>
        </w:rPr>
        <w:t>(4), p.73.</w:t>
      </w:r>
    </w:p>
    <w:p w14:paraId="7F85D32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Fliege, C.E., Ward, R.A., Vogel, P., Nguyen, H., Quach, T., Guo, M., Viana, J.P.G., Dos Santos, L.B., Specht, J.E., Clemente, T.E. and Hudson, M.E., 2022. Fine mapping and cloning of the major seed protein quantitative trait loci on soybean chromosome 20. </w:t>
      </w:r>
      <w:r w:rsidRPr="00C07175">
        <w:rPr>
          <w:rFonts w:ascii="Arial" w:hAnsi="Arial" w:cs="Arial"/>
          <w:i/>
          <w:iCs/>
        </w:rPr>
        <w:t>The Plant Journal</w:t>
      </w:r>
      <w:r w:rsidRPr="00C07175">
        <w:rPr>
          <w:rFonts w:ascii="Arial" w:hAnsi="Arial" w:cs="Arial"/>
        </w:rPr>
        <w:t>, </w:t>
      </w:r>
      <w:r w:rsidRPr="00C07175">
        <w:rPr>
          <w:rFonts w:ascii="Arial" w:hAnsi="Arial" w:cs="Arial"/>
          <w:i/>
          <w:iCs/>
        </w:rPr>
        <w:t>110</w:t>
      </w:r>
      <w:r w:rsidRPr="00C07175">
        <w:rPr>
          <w:rFonts w:ascii="Arial" w:hAnsi="Arial" w:cs="Arial"/>
        </w:rPr>
        <w:t>(1), pp.114-128.</w:t>
      </w:r>
    </w:p>
    <w:p w14:paraId="4C03926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Fu, Y., Springer, N.M., Gerhardt, D.J., Ying, K., Yeh, C.T., Wu, W., Swanson</w:t>
      </w:r>
      <w:r w:rsidRPr="00C07175">
        <w:rPr>
          <w:rFonts w:ascii="Cambria Math" w:hAnsi="Cambria Math" w:cs="Cambria Math"/>
        </w:rPr>
        <w:t>‐</w:t>
      </w:r>
      <w:r w:rsidRPr="00C07175">
        <w:rPr>
          <w:rFonts w:ascii="Arial" w:hAnsi="Arial" w:cs="Arial"/>
        </w:rPr>
        <w:t>Wagner, R., D’Ascenzo, M., Millard, T., Freeberg, L. and Aoyama, N., 2010. Repeat subtraction</w:t>
      </w:r>
      <w:r w:rsidRPr="00C07175">
        <w:rPr>
          <w:rFonts w:ascii="Cambria Math" w:hAnsi="Cambria Math" w:cs="Cambria Math"/>
        </w:rPr>
        <w:t>‐</w:t>
      </w:r>
      <w:r w:rsidRPr="00C07175">
        <w:rPr>
          <w:rFonts w:ascii="Arial" w:hAnsi="Arial" w:cs="Arial"/>
        </w:rPr>
        <w:t>mediated sequence capture from a complex genome. </w:t>
      </w:r>
      <w:r w:rsidRPr="00C07175">
        <w:rPr>
          <w:rFonts w:ascii="Arial" w:hAnsi="Arial" w:cs="Arial"/>
          <w:i/>
          <w:iCs/>
        </w:rPr>
        <w:t>The Plant Journal</w:t>
      </w:r>
      <w:r w:rsidRPr="00C07175">
        <w:rPr>
          <w:rFonts w:ascii="Arial" w:hAnsi="Arial" w:cs="Arial"/>
        </w:rPr>
        <w:t>, </w:t>
      </w:r>
      <w:r w:rsidRPr="00C07175">
        <w:rPr>
          <w:rFonts w:ascii="Arial" w:hAnsi="Arial" w:cs="Arial"/>
          <w:i/>
          <w:iCs/>
        </w:rPr>
        <w:t>62</w:t>
      </w:r>
      <w:r w:rsidRPr="00C07175">
        <w:rPr>
          <w:rFonts w:ascii="Arial" w:hAnsi="Arial" w:cs="Arial"/>
        </w:rPr>
        <w:t>(5), pp.898-909.</w:t>
      </w:r>
    </w:p>
    <w:p w14:paraId="4015769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Gabriel, R., Lombardo, A., Arens, A., Miller, J.C., Genovese, P., Kaeppel, C., Nowrouzi, A., Bartholomae, C.C., Wang, J., Friedman, G. and Holmes, M.C., 2011. An unbiased genome-wide analysis of zinc-finger nuclease specificity. </w:t>
      </w:r>
      <w:r w:rsidRPr="00C07175">
        <w:rPr>
          <w:rFonts w:ascii="Arial" w:hAnsi="Arial" w:cs="Arial"/>
          <w:i/>
          <w:iCs/>
        </w:rPr>
        <w:t>Nature biotechnology</w:t>
      </w:r>
      <w:r w:rsidRPr="00C07175">
        <w:rPr>
          <w:rFonts w:ascii="Arial" w:hAnsi="Arial" w:cs="Arial"/>
        </w:rPr>
        <w:t>, </w:t>
      </w:r>
      <w:r w:rsidRPr="00C07175">
        <w:rPr>
          <w:rFonts w:ascii="Arial" w:hAnsi="Arial" w:cs="Arial"/>
          <w:i/>
          <w:iCs/>
        </w:rPr>
        <w:t>29</w:t>
      </w:r>
      <w:r w:rsidRPr="00C07175">
        <w:rPr>
          <w:rFonts w:ascii="Arial" w:hAnsi="Arial" w:cs="Arial"/>
        </w:rPr>
        <w:t>(9), pp.816-823.</w:t>
      </w:r>
    </w:p>
    <w:p w14:paraId="1272E5D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Gaj, T., Sirk, S.J., Shui, S.L. and Liu, J., 2016. Genome-editing technologies: principles and applications. </w:t>
      </w:r>
      <w:r w:rsidRPr="00C07175">
        <w:rPr>
          <w:rFonts w:ascii="Arial" w:hAnsi="Arial" w:cs="Arial"/>
          <w:i/>
          <w:iCs/>
        </w:rPr>
        <w:t>Cold Spring Harbor perspectives in biology</w:t>
      </w:r>
      <w:r w:rsidRPr="00C07175">
        <w:rPr>
          <w:rFonts w:ascii="Arial" w:hAnsi="Arial" w:cs="Arial"/>
        </w:rPr>
        <w:t>, </w:t>
      </w:r>
      <w:r w:rsidRPr="00C07175">
        <w:rPr>
          <w:rFonts w:ascii="Arial" w:hAnsi="Arial" w:cs="Arial"/>
          <w:i/>
          <w:iCs/>
        </w:rPr>
        <w:t>8</w:t>
      </w:r>
      <w:r w:rsidRPr="00C07175">
        <w:rPr>
          <w:rFonts w:ascii="Arial" w:hAnsi="Arial" w:cs="Arial"/>
        </w:rPr>
        <w:t>(12), p.a023754.</w:t>
      </w:r>
    </w:p>
    <w:p w14:paraId="5CE7DC97"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Geurts, A.M., Cost, G.J., Freyvert, Y., Zeitler, B., Miller, J.C., Choi, V.M., Jenkins, S.S., Wood, A., Cui, X., Meng, X. and Vincent, A., 2009. Knockout rats via embryo microinjection of zinc-finger nucleases. </w:t>
      </w:r>
      <w:r w:rsidRPr="00C07175">
        <w:rPr>
          <w:rFonts w:ascii="Arial" w:hAnsi="Arial" w:cs="Arial"/>
          <w:i/>
          <w:iCs/>
        </w:rPr>
        <w:t>Science</w:t>
      </w:r>
      <w:r w:rsidRPr="00C07175">
        <w:rPr>
          <w:rFonts w:ascii="Arial" w:hAnsi="Arial" w:cs="Arial"/>
        </w:rPr>
        <w:t>, </w:t>
      </w:r>
      <w:r w:rsidRPr="00C07175">
        <w:rPr>
          <w:rFonts w:ascii="Arial" w:hAnsi="Arial" w:cs="Arial"/>
          <w:i/>
          <w:iCs/>
        </w:rPr>
        <w:t>325</w:t>
      </w:r>
      <w:r w:rsidRPr="00C07175">
        <w:rPr>
          <w:rFonts w:ascii="Arial" w:hAnsi="Arial" w:cs="Arial"/>
        </w:rPr>
        <w:t>(5939), pp.433-433.</w:t>
      </w:r>
    </w:p>
    <w:p w14:paraId="4606803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Gilchrist, E.J. and Haughn, G.W., 2005. TILLING without a plough: a new method with applications for reverse genetics. </w:t>
      </w:r>
      <w:r w:rsidRPr="00C07175">
        <w:rPr>
          <w:rFonts w:ascii="Arial" w:hAnsi="Arial" w:cs="Arial"/>
          <w:i/>
          <w:iCs/>
        </w:rPr>
        <w:t>Current opinion in plant biology</w:t>
      </w:r>
      <w:r w:rsidRPr="00C07175">
        <w:rPr>
          <w:rFonts w:ascii="Arial" w:hAnsi="Arial" w:cs="Arial"/>
        </w:rPr>
        <w:t>, </w:t>
      </w:r>
      <w:r w:rsidRPr="00C07175">
        <w:rPr>
          <w:rFonts w:ascii="Arial" w:hAnsi="Arial" w:cs="Arial"/>
          <w:i/>
          <w:iCs/>
        </w:rPr>
        <w:t>8</w:t>
      </w:r>
      <w:r w:rsidRPr="00C07175">
        <w:rPr>
          <w:rFonts w:ascii="Arial" w:hAnsi="Arial" w:cs="Arial"/>
        </w:rPr>
        <w:t>(2), pp.211-215.</w:t>
      </w:r>
    </w:p>
    <w:p w14:paraId="0272C03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Giri, J., Vij, S., Dansana, P.K. and Tyagi, A.K., 2011. Rice A20/AN1 zinc</w:t>
      </w:r>
      <w:r w:rsidRPr="00C07175">
        <w:rPr>
          <w:rFonts w:ascii="Cambria Math" w:hAnsi="Cambria Math" w:cs="Cambria Math"/>
        </w:rPr>
        <w:t>‐</w:t>
      </w:r>
      <w:r w:rsidRPr="00C07175">
        <w:rPr>
          <w:rFonts w:ascii="Arial" w:hAnsi="Arial" w:cs="Arial"/>
        </w:rPr>
        <w:t>finger containing stress</w:t>
      </w:r>
      <w:r w:rsidRPr="00C07175">
        <w:rPr>
          <w:rFonts w:ascii="Cambria Math" w:hAnsi="Cambria Math" w:cs="Cambria Math"/>
        </w:rPr>
        <w:t>‐</w:t>
      </w:r>
      <w:r w:rsidRPr="00C07175">
        <w:rPr>
          <w:rFonts w:ascii="Arial" w:hAnsi="Arial" w:cs="Arial"/>
        </w:rPr>
        <w:t>associated proteins (SAP1/11) and a receptor</w:t>
      </w:r>
      <w:r w:rsidRPr="00C07175">
        <w:rPr>
          <w:rFonts w:ascii="Cambria Math" w:hAnsi="Cambria Math" w:cs="Cambria Math"/>
        </w:rPr>
        <w:t>‐</w:t>
      </w:r>
      <w:r w:rsidRPr="00C07175">
        <w:rPr>
          <w:rFonts w:ascii="Arial" w:hAnsi="Arial" w:cs="Arial"/>
        </w:rPr>
        <w:t>like cytoplasmic kinase (OsRLCK253) interact via A20 zinc</w:t>
      </w:r>
      <w:r w:rsidRPr="00C07175">
        <w:rPr>
          <w:rFonts w:ascii="Cambria Math" w:hAnsi="Cambria Math" w:cs="Cambria Math"/>
        </w:rPr>
        <w:t>‐</w:t>
      </w:r>
      <w:r w:rsidRPr="00C07175">
        <w:rPr>
          <w:rFonts w:ascii="Arial" w:hAnsi="Arial" w:cs="Arial"/>
        </w:rPr>
        <w:t>finger and confer abiotic stress tolerance in transgenic Arabidopsis plants. </w:t>
      </w:r>
      <w:r w:rsidRPr="00C07175">
        <w:rPr>
          <w:rFonts w:ascii="Arial" w:hAnsi="Arial" w:cs="Arial"/>
          <w:i/>
          <w:iCs/>
        </w:rPr>
        <w:t>New Phytologist</w:t>
      </w:r>
      <w:r w:rsidRPr="00C07175">
        <w:rPr>
          <w:rFonts w:ascii="Arial" w:hAnsi="Arial" w:cs="Arial"/>
        </w:rPr>
        <w:t>, </w:t>
      </w:r>
      <w:r w:rsidRPr="00C07175">
        <w:rPr>
          <w:rFonts w:ascii="Arial" w:hAnsi="Arial" w:cs="Arial"/>
          <w:i/>
          <w:iCs/>
        </w:rPr>
        <w:t>191</w:t>
      </w:r>
      <w:r w:rsidRPr="00C07175">
        <w:rPr>
          <w:rFonts w:ascii="Arial" w:hAnsi="Arial" w:cs="Arial"/>
        </w:rPr>
        <w:t>(3), pp.721-732.</w:t>
      </w:r>
    </w:p>
    <w:p w14:paraId="0745A55A"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Guiderdoni, E., Piffanelli, P., Sallaud, C., Bourgeois, E. and JOHNSON, A.T., 2005. Insertional mutagenesis: Lessons from Arabidopsis, gaining experience in rice. </w:t>
      </w:r>
      <w:r w:rsidRPr="00C07175">
        <w:rPr>
          <w:rFonts w:ascii="Arial" w:hAnsi="Arial" w:cs="Arial"/>
          <w:i/>
          <w:iCs/>
        </w:rPr>
        <w:t>Italy: Avenue Media</w:t>
      </w:r>
      <w:r w:rsidRPr="00C07175">
        <w:rPr>
          <w:rFonts w:ascii="Arial" w:hAnsi="Arial" w:cs="Arial"/>
        </w:rPr>
        <w:t>.</w:t>
      </w:r>
    </w:p>
    <w:p w14:paraId="15E5223A"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Guilinger, J.P., Pattanayak, V., Reyon, D., Tsai, S.Q., Sander, J.D., Joung, J.K. and Liu, D.R., 2014. Broad specificity profiling of TALENs results in engineered nucleases with improved DNA-cleavage specificity. </w:t>
      </w:r>
      <w:r w:rsidRPr="00C07175">
        <w:rPr>
          <w:rFonts w:ascii="Arial" w:hAnsi="Arial" w:cs="Arial"/>
          <w:i/>
          <w:iCs/>
        </w:rPr>
        <w:t>Nature methods</w:t>
      </w:r>
      <w:r w:rsidRPr="00C07175">
        <w:rPr>
          <w:rFonts w:ascii="Arial" w:hAnsi="Arial" w:cs="Arial"/>
        </w:rPr>
        <w:t>, </w:t>
      </w:r>
      <w:r w:rsidRPr="00C07175">
        <w:rPr>
          <w:rFonts w:ascii="Arial" w:hAnsi="Arial" w:cs="Arial"/>
          <w:i/>
          <w:iCs/>
        </w:rPr>
        <w:t>11</w:t>
      </w:r>
      <w:r w:rsidRPr="00C07175">
        <w:rPr>
          <w:rFonts w:ascii="Arial" w:hAnsi="Arial" w:cs="Arial"/>
        </w:rPr>
        <w:t>(4), pp.429-435.</w:t>
      </w:r>
    </w:p>
    <w:p w14:paraId="125EBBD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Gupta, M., Choudhary, M., Singh, A., Sheoran, S., Kumar, H., Singla, D. and Rakshit, S., 2023. Meta-QTL analysis for mining of candidate genes and constitutive gene network development for viral disease resistance in maize (Zea mays L.).</w:t>
      </w:r>
    </w:p>
    <w:p w14:paraId="0BAA2F7C"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Gurumurthy, C.B., Grati, M.H., Ohtsuka, M., Schilit, S.L., Quadros, R.M. and Liu, X.Z., 2016. CRISPR: a versatile tool for both forward and reverse genetics research. </w:t>
      </w:r>
      <w:r w:rsidRPr="00C07175">
        <w:rPr>
          <w:rFonts w:ascii="Arial" w:hAnsi="Arial" w:cs="Arial"/>
          <w:i/>
          <w:iCs/>
        </w:rPr>
        <w:t>Human genetics</w:t>
      </w:r>
      <w:r w:rsidRPr="00C07175">
        <w:rPr>
          <w:rFonts w:ascii="Arial" w:hAnsi="Arial" w:cs="Arial"/>
        </w:rPr>
        <w:t>, </w:t>
      </w:r>
      <w:r w:rsidRPr="00C07175">
        <w:rPr>
          <w:rFonts w:ascii="Arial" w:hAnsi="Arial" w:cs="Arial"/>
          <w:i/>
          <w:iCs/>
        </w:rPr>
        <w:t>135</w:t>
      </w:r>
      <w:r w:rsidRPr="00C07175">
        <w:rPr>
          <w:rFonts w:ascii="Arial" w:hAnsi="Arial" w:cs="Arial"/>
        </w:rPr>
        <w:t>, pp.971-976.</w:t>
      </w:r>
    </w:p>
    <w:p w14:paraId="76CDE8E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Hardy, S., Legagneux, V., Audic, Y. and Paillard, L., 2010. Reverse genetics in eukaryotes. </w:t>
      </w:r>
      <w:r w:rsidRPr="00C07175">
        <w:rPr>
          <w:rFonts w:ascii="Arial" w:hAnsi="Arial" w:cs="Arial"/>
          <w:i/>
          <w:iCs/>
        </w:rPr>
        <w:t>Biology of the Cell</w:t>
      </w:r>
      <w:r w:rsidRPr="00C07175">
        <w:rPr>
          <w:rFonts w:ascii="Arial" w:hAnsi="Arial" w:cs="Arial"/>
        </w:rPr>
        <w:t>, </w:t>
      </w:r>
      <w:r w:rsidRPr="00C07175">
        <w:rPr>
          <w:rFonts w:ascii="Arial" w:hAnsi="Arial" w:cs="Arial"/>
          <w:i/>
          <w:iCs/>
        </w:rPr>
        <w:t>102</w:t>
      </w:r>
      <w:r w:rsidRPr="00C07175">
        <w:rPr>
          <w:rFonts w:ascii="Arial" w:hAnsi="Arial" w:cs="Arial"/>
        </w:rPr>
        <w:t>(10), pp.561-580.</w:t>
      </w:r>
    </w:p>
    <w:p w14:paraId="546BE19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Hart, T., Chandrashekhar, M., Aregger, M., Steinhart, Z., Brown, K.R., MacLeod, G., Mis, M., Zimmermann, M., Fradet-Turcotte, A., Sun, S. and Mero, P., 2015. High-resolution CRISPR screens reveal fitness genes and genotype-specific cancer liabilities. </w:t>
      </w:r>
      <w:r w:rsidRPr="00C07175">
        <w:rPr>
          <w:rFonts w:ascii="Arial" w:hAnsi="Arial" w:cs="Arial"/>
          <w:i/>
          <w:iCs/>
        </w:rPr>
        <w:t>Cell</w:t>
      </w:r>
      <w:r w:rsidRPr="00C07175">
        <w:rPr>
          <w:rFonts w:ascii="Arial" w:hAnsi="Arial" w:cs="Arial"/>
        </w:rPr>
        <w:t>, </w:t>
      </w:r>
      <w:r w:rsidRPr="00C07175">
        <w:rPr>
          <w:rFonts w:ascii="Arial" w:hAnsi="Arial" w:cs="Arial"/>
          <w:i/>
          <w:iCs/>
        </w:rPr>
        <w:t>163</w:t>
      </w:r>
      <w:r w:rsidRPr="00C07175">
        <w:rPr>
          <w:rFonts w:ascii="Arial" w:hAnsi="Arial" w:cs="Arial"/>
        </w:rPr>
        <w:t>(6), pp.1515-1526.</w:t>
      </w:r>
    </w:p>
    <w:p w14:paraId="49BA66C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Haun, W., Coffman, A., Clasen, B.M., Demorest, Z.L., Lowy, A., Ray, E., Retterath, A., Stoddard, T., Juillerat, A., Cedrone, F. and Mathis, L., 2014. Improved soybean oil quality by targeted mutagenesis of the fatty acid desaturase 2 gene family. </w:t>
      </w:r>
      <w:r w:rsidRPr="00C07175">
        <w:rPr>
          <w:rFonts w:ascii="Arial" w:hAnsi="Arial" w:cs="Arial"/>
          <w:i/>
          <w:iCs/>
        </w:rPr>
        <w:t>Plant biotechnology journal</w:t>
      </w:r>
      <w:r w:rsidRPr="00C07175">
        <w:rPr>
          <w:rFonts w:ascii="Arial" w:hAnsi="Arial" w:cs="Arial"/>
        </w:rPr>
        <w:t>, </w:t>
      </w:r>
      <w:r w:rsidRPr="00C07175">
        <w:rPr>
          <w:rFonts w:ascii="Arial" w:hAnsi="Arial" w:cs="Arial"/>
          <w:i/>
          <w:iCs/>
        </w:rPr>
        <w:t>12</w:t>
      </w:r>
      <w:r w:rsidRPr="00C07175">
        <w:rPr>
          <w:rFonts w:ascii="Arial" w:hAnsi="Arial" w:cs="Arial"/>
        </w:rPr>
        <w:t>(7), pp.934-940.</w:t>
      </w:r>
    </w:p>
    <w:p w14:paraId="0F04A81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Hauschild, J., Petersen, B., Santiago, Y., Queisser, A.L., Carnwath, J.W., Lucas-Hahn, A., Zhang, L., Meng, X., Gregory, P.D., Schwinzer, R. and Cost, G.J., 2011. Efficient generation of a biallelic knockout in pigs using zinc-finger nucleases.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108</w:t>
      </w:r>
      <w:r w:rsidRPr="00C07175">
        <w:rPr>
          <w:rFonts w:ascii="Arial" w:hAnsi="Arial" w:cs="Arial"/>
        </w:rPr>
        <w:t>(29), pp.12013-12017.</w:t>
      </w:r>
    </w:p>
    <w:p w14:paraId="40B274F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Henikoff, S., Till, B.J. and Comai, L., 2004. TILLING. Traditional mutagenesis meets functional genomics. </w:t>
      </w:r>
      <w:r w:rsidRPr="00C07175">
        <w:rPr>
          <w:rFonts w:ascii="Arial" w:hAnsi="Arial" w:cs="Arial"/>
          <w:i/>
          <w:iCs/>
        </w:rPr>
        <w:t>Plant physiology</w:t>
      </w:r>
      <w:r w:rsidRPr="00C07175">
        <w:rPr>
          <w:rFonts w:ascii="Arial" w:hAnsi="Arial" w:cs="Arial"/>
        </w:rPr>
        <w:t>, </w:t>
      </w:r>
      <w:r w:rsidRPr="00C07175">
        <w:rPr>
          <w:rFonts w:ascii="Arial" w:hAnsi="Arial" w:cs="Arial"/>
          <w:i/>
          <w:iCs/>
        </w:rPr>
        <w:t>135</w:t>
      </w:r>
      <w:r w:rsidRPr="00C07175">
        <w:rPr>
          <w:rFonts w:ascii="Arial" w:hAnsi="Arial" w:cs="Arial"/>
        </w:rPr>
        <w:t>(2), pp.630-636.</w:t>
      </w:r>
    </w:p>
    <w:p w14:paraId="193E216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Hilton, I.B. and Gersbach, C.A., 2015. Enabling functional genomics with genome engineering. </w:t>
      </w:r>
      <w:r w:rsidRPr="00C07175">
        <w:rPr>
          <w:rFonts w:ascii="Arial" w:hAnsi="Arial" w:cs="Arial"/>
          <w:i/>
          <w:iCs/>
        </w:rPr>
        <w:t>Genome research</w:t>
      </w:r>
      <w:r w:rsidRPr="00C07175">
        <w:rPr>
          <w:rFonts w:ascii="Arial" w:hAnsi="Arial" w:cs="Arial"/>
        </w:rPr>
        <w:t>, </w:t>
      </w:r>
      <w:r w:rsidRPr="00C07175">
        <w:rPr>
          <w:rFonts w:ascii="Arial" w:hAnsi="Arial" w:cs="Arial"/>
          <w:i/>
          <w:iCs/>
        </w:rPr>
        <w:t>25</w:t>
      </w:r>
      <w:r w:rsidRPr="00C07175">
        <w:rPr>
          <w:rFonts w:ascii="Arial" w:hAnsi="Arial" w:cs="Arial"/>
        </w:rPr>
        <w:t>(10), pp.1442-1455.</w:t>
      </w:r>
    </w:p>
    <w:p w14:paraId="7F94B8B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Hinnen, A., Hicks, J.B. and Fink, G.R., 1978. Transformation of yeast.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75</w:t>
      </w:r>
      <w:r w:rsidRPr="00C07175">
        <w:rPr>
          <w:rFonts w:ascii="Arial" w:hAnsi="Arial" w:cs="Arial"/>
        </w:rPr>
        <w:t>(4), pp.1929-1933.</w:t>
      </w:r>
    </w:p>
    <w:p w14:paraId="07805E0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Holkers, M., Maggio, I., Henriques, S.F., Janssen, J.M., Cathomen, T. and Gonçalves, M.A., 2014. Adenoviral vector DNA for accurate genome editing with engineered nucleases. </w:t>
      </w:r>
      <w:r w:rsidRPr="00C07175">
        <w:rPr>
          <w:rFonts w:ascii="Arial" w:hAnsi="Arial" w:cs="Arial"/>
          <w:i/>
          <w:iCs/>
        </w:rPr>
        <w:t>Nature methods</w:t>
      </w:r>
      <w:r w:rsidRPr="00C07175">
        <w:rPr>
          <w:rFonts w:ascii="Arial" w:hAnsi="Arial" w:cs="Arial"/>
        </w:rPr>
        <w:t>, </w:t>
      </w:r>
      <w:r w:rsidRPr="00C07175">
        <w:rPr>
          <w:rFonts w:ascii="Arial" w:hAnsi="Arial" w:cs="Arial"/>
          <w:i/>
          <w:iCs/>
        </w:rPr>
        <w:t>11</w:t>
      </w:r>
      <w:r w:rsidRPr="00C07175">
        <w:rPr>
          <w:rFonts w:ascii="Arial" w:hAnsi="Arial" w:cs="Arial"/>
        </w:rPr>
        <w:t>(10), pp.1051-1057.</w:t>
      </w:r>
    </w:p>
    <w:p w14:paraId="62A479C7"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Hwang, H.H., Yu, M. and Lai, E.M., 2017. Agrobacterium-mediated plant transformation: biology and applications. </w:t>
      </w:r>
      <w:r w:rsidRPr="00C07175">
        <w:rPr>
          <w:rFonts w:ascii="Arial" w:hAnsi="Arial" w:cs="Arial"/>
          <w:i/>
          <w:iCs/>
        </w:rPr>
        <w:t>The arabidopsis book</w:t>
      </w:r>
      <w:r w:rsidRPr="00C07175">
        <w:rPr>
          <w:rFonts w:ascii="Arial" w:hAnsi="Arial" w:cs="Arial"/>
        </w:rPr>
        <w:t>, </w:t>
      </w:r>
      <w:r w:rsidRPr="00C07175">
        <w:rPr>
          <w:rFonts w:ascii="Arial" w:hAnsi="Arial" w:cs="Arial"/>
          <w:i/>
          <w:iCs/>
        </w:rPr>
        <w:t>15</w:t>
      </w:r>
      <w:r w:rsidRPr="00C07175">
        <w:rPr>
          <w:rFonts w:ascii="Arial" w:hAnsi="Arial" w:cs="Arial"/>
        </w:rPr>
        <w:t>.</w:t>
      </w:r>
    </w:p>
    <w:p w14:paraId="5AE0A07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Iida, S. and Terada, R., 2004. A tale of two integrations, transgene and T-DNA: gene targeting by homologous recombination in rice. </w:t>
      </w:r>
      <w:r w:rsidRPr="00C07175">
        <w:rPr>
          <w:rFonts w:ascii="Arial" w:hAnsi="Arial" w:cs="Arial"/>
          <w:i/>
          <w:iCs/>
        </w:rPr>
        <w:t>Current Opinion in Biotechnology</w:t>
      </w:r>
      <w:r w:rsidRPr="00C07175">
        <w:rPr>
          <w:rFonts w:ascii="Arial" w:hAnsi="Arial" w:cs="Arial"/>
        </w:rPr>
        <w:t>, </w:t>
      </w:r>
      <w:r w:rsidRPr="00C07175">
        <w:rPr>
          <w:rFonts w:ascii="Arial" w:hAnsi="Arial" w:cs="Arial"/>
          <w:i/>
          <w:iCs/>
        </w:rPr>
        <w:t>15</w:t>
      </w:r>
      <w:r w:rsidRPr="00C07175">
        <w:rPr>
          <w:rFonts w:ascii="Arial" w:hAnsi="Arial" w:cs="Arial"/>
        </w:rPr>
        <w:t>(2), pp.132-138.</w:t>
      </w:r>
    </w:p>
    <w:p w14:paraId="7678882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Kashtwari, M., Wani, A.A. and Rather, R.N., 2019. TILLING: an alternative path for crop improvement. Journal of Crop Improvement, 33(1), pp.83-109.</w:t>
      </w:r>
    </w:p>
    <w:p w14:paraId="090D718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Keller, B., Feuillet, C. and Yahiaoui, N., 2005. Map-based isolation of disease resistance genes from bread wheat: cloning in a supersize genome. </w:t>
      </w:r>
      <w:r w:rsidRPr="00C07175">
        <w:rPr>
          <w:rFonts w:ascii="Arial" w:hAnsi="Arial" w:cs="Arial"/>
          <w:i/>
          <w:iCs/>
        </w:rPr>
        <w:t>Genetics Research</w:t>
      </w:r>
      <w:r w:rsidRPr="00C07175">
        <w:rPr>
          <w:rFonts w:ascii="Arial" w:hAnsi="Arial" w:cs="Arial"/>
        </w:rPr>
        <w:t>, </w:t>
      </w:r>
      <w:r w:rsidRPr="00C07175">
        <w:rPr>
          <w:rFonts w:ascii="Arial" w:hAnsi="Arial" w:cs="Arial"/>
          <w:i/>
          <w:iCs/>
        </w:rPr>
        <w:t>85</w:t>
      </w:r>
      <w:r w:rsidRPr="00C07175">
        <w:rPr>
          <w:rFonts w:ascii="Arial" w:hAnsi="Arial" w:cs="Arial"/>
        </w:rPr>
        <w:t>(2), pp.93-100.</w:t>
      </w:r>
    </w:p>
    <w:p w14:paraId="63CA1F7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Kim, Y.G., Cha, J. and Chandrasegaran, S., 1996. Hybrid restriction enzymes: zinc finger fusions to Fok I cleavage domain.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93</w:t>
      </w:r>
      <w:r w:rsidRPr="00C07175">
        <w:rPr>
          <w:rFonts w:ascii="Arial" w:hAnsi="Arial" w:cs="Arial"/>
        </w:rPr>
        <w:t>(3), pp.1156-1160.</w:t>
      </w:r>
    </w:p>
    <w:p w14:paraId="5C24F72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Kishor, D.S., Seo, J., Chin, J.H. and Koh, H.J., 2020. Evaluation of whole-genome sequence, genetic diversity, and agronomic traits of Basmati rice (Oryza sativa L.). </w:t>
      </w:r>
      <w:r w:rsidRPr="00C07175">
        <w:rPr>
          <w:rFonts w:ascii="Arial" w:hAnsi="Arial" w:cs="Arial"/>
          <w:i/>
          <w:iCs/>
        </w:rPr>
        <w:t>Frontiers in Genetics</w:t>
      </w:r>
      <w:r w:rsidRPr="00C07175">
        <w:rPr>
          <w:rFonts w:ascii="Arial" w:hAnsi="Arial" w:cs="Arial"/>
        </w:rPr>
        <w:t>, </w:t>
      </w:r>
      <w:r w:rsidRPr="00C07175">
        <w:rPr>
          <w:rFonts w:ascii="Arial" w:hAnsi="Arial" w:cs="Arial"/>
          <w:i/>
          <w:iCs/>
        </w:rPr>
        <w:t>11</w:t>
      </w:r>
      <w:r w:rsidRPr="00C07175">
        <w:rPr>
          <w:rFonts w:ascii="Arial" w:hAnsi="Arial" w:cs="Arial"/>
        </w:rPr>
        <w:t>, p.86.</w:t>
      </w:r>
    </w:p>
    <w:p w14:paraId="1129BF5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Koeppe, S., Kawchuk, L. and Kalischuk, M., 2023. RNA interference past and future applications in plants. </w:t>
      </w:r>
      <w:r w:rsidRPr="00C07175">
        <w:rPr>
          <w:rFonts w:ascii="Arial" w:hAnsi="Arial" w:cs="Arial"/>
          <w:i/>
          <w:iCs/>
        </w:rPr>
        <w:t>International Journal of Molecular Sciences</w:t>
      </w:r>
      <w:r w:rsidRPr="00C07175">
        <w:rPr>
          <w:rFonts w:ascii="Arial" w:hAnsi="Arial" w:cs="Arial"/>
        </w:rPr>
        <w:t>, </w:t>
      </w:r>
      <w:r w:rsidRPr="00C07175">
        <w:rPr>
          <w:rFonts w:ascii="Arial" w:hAnsi="Arial" w:cs="Arial"/>
          <w:i/>
          <w:iCs/>
        </w:rPr>
        <w:t>24</w:t>
      </w:r>
      <w:r w:rsidRPr="00C07175">
        <w:rPr>
          <w:rFonts w:ascii="Arial" w:hAnsi="Arial" w:cs="Arial"/>
        </w:rPr>
        <w:t>(11), p.9755.</w:t>
      </w:r>
    </w:p>
    <w:p w14:paraId="099DA32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Komatsuda, T., Pourkheirandish, M., He, C., Azhaguvel, P., Kanamori, H., Perovic, D., Stein, N., Graner, A., Wicker, T., Tagiri, A. and Lundqvist, U., 2007. Six-rowed barley originated from a mutation in a homeodomain-leucine zipper I-class homeobox gene.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104</w:t>
      </w:r>
      <w:r w:rsidRPr="00C07175">
        <w:rPr>
          <w:rFonts w:ascii="Arial" w:hAnsi="Arial" w:cs="Arial"/>
        </w:rPr>
        <w:t>(4), pp.1424-1429.</w:t>
      </w:r>
    </w:p>
    <w:p w14:paraId="7F89CEE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Korkmaz, G., Lopes, R., Ugalde, A.P., Nevedomskaya, E., Han, R., Myacheva, K., Zwart, W., Elkon, R. and Agami, R., 2016. Functional genetic screens for enhancer elements in the human genome using CRISPR-Cas9. </w:t>
      </w:r>
      <w:r w:rsidRPr="00C07175">
        <w:rPr>
          <w:rFonts w:ascii="Arial" w:hAnsi="Arial" w:cs="Arial"/>
          <w:i/>
          <w:iCs/>
        </w:rPr>
        <w:t>Nature biotechnology</w:t>
      </w:r>
      <w:r w:rsidRPr="00C07175">
        <w:rPr>
          <w:rFonts w:ascii="Arial" w:hAnsi="Arial" w:cs="Arial"/>
        </w:rPr>
        <w:t>, </w:t>
      </w:r>
      <w:r w:rsidRPr="00C07175">
        <w:rPr>
          <w:rFonts w:ascii="Arial" w:hAnsi="Arial" w:cs="Arial"/>
          <w:i/>
          <w:iCs/>
        </w:rPr>
        <w:t>34</w:t>
      </w:r>
      <w:r w:rsidRPr="00C07175">
        <w:rPr>
          <w:rFonts w:ascii="Arial" w:hAnsi="Arial" w:cs="Arial"/>
        </w:rPr>
        <w:t>(2), pp.192-198.</w:t>
      </w:r>
    </w:p>
    <w:p w14:paraId="64D2B6A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Krattinger, S., Wicker, T. and Keller, B., 2009. Map-based cloning of genes in Triticeae (wheat and barley). </w:t>
      </w:r>
      <w:r w:rsidRPr="00C07175">
        <w:rPr>
          <w:rFonts w:ascii="Arial" w:hAnsi="Arial" w:cs="Arial"/>
          <w:i/>
          <w:iCs/>
        </w:rPr>
        <w:t>Genetics and Genomics of the Triticeae</w:t>
      </w:r>
      <w:r w:rsidRPr="00C07175">
        <w:rPr>
          <w:rFonts w:ascii="Arial" w:hAnsi="Arial" w:cs="Arial"/>
        </w:rPr>
        <w:t>, pp.337-357.</w:t>
      </w:r>
    </w:p>
    <w:p w14:paraId="02B50227"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Krejci, L., Altmannova, V., Spirek, M. and Zhao, X., 2012. Homologous recombination and its regulation. </w:t>
      </w:r>
      <w:r w:rsidRPr="00C07175">
        <w:rPr>
          <w:rFonts w:ascii="Arial" w:hAnsi="Arial" w:cs="Arial"/>
          <w:i/>
          <w:iCs/>
        </w:rPr>
        <w:t>Nucleic acids research</w:t>
      </w:r>
      <w:r w:rsidRPr="00C07175">
        <w:rPr>
          <w:rFonts w:ascii="Arial" w:hAnsi="Arial" w:cs="Arial"/>
        </w:rPr>
        <w:t>, </w:t>
      </w:r>
      <w:r w:rsidRPr="00C07175">
        <w:rPr>
          <w:rFonts w:ascii="Arial" w:hAnsi="Arial" w:cs="Arial"/>
          <w:i/>
          <w:iCs/>
        </w:rPr>
        <w:t>40</w:t>
      </w:r>
      <w:r w:rsidRPr="00C07175">
        <w:rPr>
          <w:rFonts w:ascii="Arial" w:hAnsi="Arial" w:cs="Arial"/>
        </w:rPr>
        <w:t>(13), pp.5795-5818.</w:t>
      </w:r>
    </w:p>
    <w:p w14:paraId="75204677"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Kumagai, M.H., Donson, J., Della-Cioppa, G., Harvey, D., Hanley, K. and Grill, L., 1995. Cytoplasmic inhibition of carotenoid biosynthesis with virus-derived RNA.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92</w:t>
      </w:r>
      <w:r w:rsidRPr="00C07175">
        <w:rPr>
          <w:rFonts w:ascii="Arial" w:hAnsi="Arial" w:cs="Arial"/>
        </w:rPr>
        <w:t>(5), pp.1679-1683.</w:t>
      </w:r>
    </w:p>
    <w:p w14:paraId="723C3B31"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Kumar, A., Saripalli, G., Jan, I., Kumar, K., Sharma, P.K., Balyan, H.S. and Gupta, P.K., 2020. Meta-QTL analysis and identification of candidate genes for drought tolerance in bread wheat (Triticum aestivum L.). </w:t>
      </w:r>
      <w:r w:rsidRPr="00C07175">
        <w:rPr>
          <w:rFonts w:ascii="Arial" w:hAnsi="Arial" w:cs="Arial"/>
          <w:i/>
          <w:iCs/>
        </w:rPr>
        <w:t>Physiology and Molecular Biology of Plants</w:t>
      </w:r>
      <w:r w:rsidRPr="00C07175">
        <w:rPr>
          <w:rFonts w:ascii="Arial" w:hAnsi="Arial" w:cs="Arial"/>
        </w:rPr>
        <w:t>, </w:t>
      </w:r>
      <w:r w:rsidRPr="00C07175">
        <w:rPr>
          <w:rFonts w:ascii="Arial" w:hAnsi="Arial" w:cs="Arial"/>
          <w:i/>
          <w:iCs/>
        </w:rPr>
        <w:t>26</w:t>
      </w:r>
      <w:r w:rsidRPr="00C07175">
        <w:rPr>
          <w:rFonts w:ascii="Arial" w:hAnsi="Arial" w:cs="Arial"/>
        </w:rPr>
        <w:t>, pp.1713-1725.</w:t>
      </w:r>
    </w:p>
    <w:p w14:paraId="0BB7B03A"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Kurowska, M., Daszkowska-Golec, A., Gruszka, D., Marzec, M., Szurman, M., Szarejko, I. and Maluszynski, M., 2011. TILLING-a shortcut in functional genomics. </w:t>
      </w:r>
      <w:r w:rsidRPr="00C07175">
        <w:rPr>
          <w:rFonts w:ascii="Arial" w:hAnsi="Arial" w:cs="Arial"/>
          <w:i/>
          <w:iCs/>
        </w:rPr>
        <w:t>Journal of applied genetics</w:t>
      </w:r>
      <w:r w:rsidRPr="00C07175">
        <w:rPr>
          <w:rFonts w:ascii="Arial" w:hAnsi="Arial" w:cs="Arial"/>
        </w:rPr>
        <w:t>, </w:t>
      </w:r>
      <w:r w:rsidRPr="00C07175">
        <w:rPr>
          <w:rFonts w:ascii="Arial" w:hAnsi="Arial" w:cs="Arial"/>
          <w:i/>
          <w:iCs/>
        </w:rPr>
        <w:t>52</w:t>
      </w:r>
      <w:r w:rsidRPr="00C07175">
        <w:rPr>
          <w:rFonts w:ascii="Arial" w:hAnsi="Arial" w:cs="Arial"/>
        </w:rPr>
        <w:t>, pp.371-390.</w:t>
      </w:r>
    </w:p>
    <w:p w14:paraId="20F06A6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Kuwayama, H., Gotoh, H., Konishi, Y., Nishikawa, H., Yaginuma, T. and Niimi, T., 2014. Establishment of transgenic lines for jumpstarter method using a composite transposon vector in the ladybird beetle, Harmonia axyridis. </w:t>
      </w:r>
      <w:r w:rsidRPr="00C07175">
        <w:rPr>
          <w:rFonts w:ascii="Arial" w:hAnsi="Arial" w:cs="Arial"/>
          <w:i/>
          <w:iCs/>
        </w:rPr>
        <w:t>PLoS One</w:t>
      </w:r>
      <w:r w:rsidRPr="00C07175">
        <w:rPr>
          <w:rFonts w:ascii="Arial" w:hAnsi="Arial" w:cs="Arial"/>
        </w:rPr>
        <w:t>, </w:t>
      </w:r>
      <w:r w:rsidRPr="00C07175">
        <w:rPr>
          <w:rFonts w:ascii="Arial" w:hAnsi="Arial" w:cs="Arial"/>
          <w:i/>
          <w:iCs/>
        </w:rPr>
        <w:t>9</w:t>
      </w:r>
      <w:r w:rsidRPr="00C07175">
        <w:rPr>
          <w:rFonts w:ascii="Arial" w:hAnsi="Arial" w:cs="Arial"/>
        </w:rPr>
        <w:t>(6), p.e100804.</w:t>
      </w:r>
    </w:p>
    <w:p w14:paraId="422FAAC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Li X, Song Y, Century K, Straight S, Ronald P, Dong X, Lassner M, Zhang Y (2001) A fast neutron deletion mutagenesis-based reverse genetics system for plants. Plant J 27:235–242</w:t>
      </w:r>
    </w:p>
    <w:p w14:paraId="39B712D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Liu, G., Li, X., Jin, S., Liu, X., Zhu, L., Nie, Y. and Zhang, X., 2014. Overexpression of rice NAC gene SNAC1 improves drought and salt tolerance by enhancing root development and reducing transpiration rate in transgenic cotton. </w:t>
      </w:r>
      <w:r w:rsidRPr="00C07175">
        <w:rPr>
          <w:rFonts w:ascii="Arial" w:hAnsi="Arial" w:cs="Arial"/>
          <w:i/>
          <w:iCs/>
        </w:rPr>
        <w:t>PLoS One</w:t>
      </w:r>
      <w:r w:rsidRPr="00C07175">
        <w:rPr>
          <w:rFonts w:ascii="Arial" w:hAnsi="Arial" w:cs="Arial"/>
        </w:rPr>
        <w:t>, </w:t>
      </w:r>
      <w:r w:rsidRPr="00C07175">
        <w:rPr>
          <w:rFonts w:ascii="Arial" w:hAnsi="Arial" w:cs="Arial"/>
          <w:i/>
          <w:iCs/>
        </w:rPr>
        <w:t>9</w:t>
      </w:r>
      <w:r w:rsidRPr="00C07175">
        <w:rPr>
          <w:rFonts w:ascii="Arial" w:hAnsi="Arial" w:cs="Arial"/>
        </w:rPr>
        <w:t>(1), p.e86895.</w:t>
      </w:r>
    </w:p>
    <w:p w14:paraId="3F5BBD8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Liu, J., Gaj, T., Patterson, J.T., Sirk, S.J. and Barbas III, C.F., 2014. Cell-penetrating peptide-mediated delivery of TALEN proteins via bioconjugation for genome engineering. </w:t>
      </w:r>
      <w:r w:rsidRPr="00C07175">
        <w:rPr>
          <w:rFonts w:ascii="Arial" w:hAnsi="Arial" w:cs="Arial"/>
          <w:i/>
          <w:iCs/>
        </w:rPr>
        <w:t>PloS one</w:t>
      </w:r>
      <w:r w:rsidRPr="00C07175">
        <w:rPr>
          <w:rFonts w:ascii="Arial" w:hAnsi="Arial" w:cs="Arial"/>
        </w:rPr>
        <w:t>, </w:t>
      </w:r>
      <w:r w:rsidRPr="00C07175">
        <w:rPr>
          <w:rFonts w:ascii="Arial" w:hAnsi="Arial" w:cs="Arial"/>
          <w:i/>
          <w:iCs/>
        </w:rPr>
        <w:t>9</w:t>
      </w:r>
      <w:r w:rsidRPr="00C07175">
        <w:rPr>
          <w:rFonts w:ascii="Arial" w:hAnsi="Arial" w:cs="Arial"/>
        </w:rPr>
        <w:t>(1), p.e85755.</w:t>
      </w:r>
    </w:p>
    <w:p w14:paraId="3D8350B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Liu, Y., Schiff, M., Marathe, R. and Dinesh</w:t>
      </w:r>
      <w:r w:rsidRPr="00C07175">
        <w:rPr>
          <w:rFonts w:ascii="Cambria Math" w:hAnsi="Cambria Math" w:cs="Cambria Math"/>
        </w:rPr>
        <w:t>‐</w:t>
      </w:r>
      <w:r w:rsidRPr="00C07175">
        <w:rPr>
          <w:rFonts w:ascii="Arial" w:hAnsi="Arial" w:cs="Arial"/>
        </w:rPr>
        <w:t>Kumar, S.P., 2002. Tobacco Rar1, EDS1 and NPR1/NIM1 like genes are required for N</w:t>
      </w:r>
      <w:r w:rsidRPr="00C07175">
        <w:rPr>
          <w:rFonts w:ascii="Cambria Math" w:hAnsi="Cambria Math" w:cs="Cambria Math"/>
        </w:rPr>
        <w:t>‐</w:t>
      </w:r>
      <w:r w:rsidRPr="00C07175">
        <w:rPr>
          <w:rFonts w:ascii="Arial" w:hAnsi="Arial" w:cs="Arial"/>
        </w:rPr>
        <w:t>mediated resistance to tobacco mosaic virus. </w:t>
      </w:r>
      <w:r w:rsidRPr="00C07175">
        <w:rPr>
          <w:rFonts w:ascii="Arial" w:hAnsi="Arial" w:cs="Arial"/>
          <w:i/>
          <w:iCs/>
        </w:rPr>
        <w:t>The Plant Journal</w:t>
      </w:r>
      <w:r w:rsidRPr="00C07175">
        <w:rPr>
          <w:rFonts w:ascii="Arial" w:hAnsi="Arial" w:cs="Arial"/>
        </w:rPr>
        <w:t>, </w:t>
      </w:r>
      <w:r w:rsidRPr="00C07175">
        <w:rPr>
          <w:rFonts w:ascii="Arial" w:hAnsi="Arial" w:cs="Arial"/>
          <w:i/>
          <w:iCs/>
        </w:rPr>
        <w:t>30</w:t>
      </w:r>
      <w:r w:rsidRPr="00C07175">
        <w:rPr>
          <w:rFonts w:ascii="Arial" w:hAnsi="Arial" w:cs="Arial"/>
        </w:rPr>
        <w:t>(4), pp.415-429.</w:t>
      </w:r>
    </w:p>
    <w:p w14:paraId="71BD5B4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Lu, R., Martin-Hernandez, A.M., Peart, J.R., Malcuit, I. and Baulcombe, D.C., 2003. Virus-induced gene silencing in plants. </w:t>
      </w:r>
      <w:r w:rsidRPr="00C07175">
        <w:rPr>
          <w:rFonts w:ascii="Arial" w:hAnsi="Arial" w:cs="Arial"/>
          <w:i/>
          <w:iCs/>
        </w:rPr>
        <w:t>Methods</w:t>
      </w:r>
      <w:r w:rsidRPr="00C07175">
        <w:rPr>
          <w:rFonts w:ascii="Arial" w:hAnsi="Arial" w:cs="Arial"/>
        </w:rPr>
        <w:t>, </w:t>
      </w:r>
      <w:r w:rsidRPr="00C07175">
        <w:rPr>
          <w:rFonts w:ascii="Arial" w:hAnsi="Arial" w:cs="Arial"/>
          <w:i/>
          <w:iCs/>
        </w:rPr>
        <w:t>30</w:t>
      </w:r>
      <w:r w:rsidRPr="00C07175">
        <w:rPr>
          <w:rFonts w:ascii="Arial" w:hAnsi="Arial" w:cs="Arial"/>
        </w:rPr>
        <w:t>(4), pp.296-303.</w:t>
      </w:r>
    </w:p>
    <w:p w14:paraId="08643706"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Ma, H., Dang, Y., Wu, Y., Jia, G., Anaya, E., Zhang, J., Abraham, S., Choi, J.G., Shi, G., Qi, L. and Manjunath, N., 2015. A CRISPR-based screen identifies genes essential for West-Nile-virus-induced cell death. </w:t>
      </w:r>
      <w:r w:rsidRPr="00C07175">
        <w:rPr>
          <w:rFonts w:ascii="Arial" w:hAnsi="Arial" w:cs="Arial"/>
          <w:i/>
          <w:iCs/>
        </w:rPr>
        <w:t>Cell reports</w:t>
      </w:r>
      <w:r w:rsidRPr="00C07175">
        <w:rPr>
          <w:rFonts w:ascii="Arial" w:hAnsi="Arial" w:cs="Arial"/>
        </w:rPr>
        <w:t>, </w:t>
      </w:r>
      <w:r w:rsidRPr="00C07175">
        <w:rPr>
          <w:rFonts w:ascii="Arial" w:hAnsi="Arial" w:cs="Arial"/>
          <w:i/>
          <w:iCs/>
        </w:rPr>
        <w:t>12</w:t>
      </w:r>
      <w:r w:rsidRPr="00C07175">
        <w:rPr>
          <w:rFonts w:ascii="Arial" w:hAnsi="Arial" w:cs="Arial"/>
        </w:rPr>
        <w:t>(4), pp.673-683.</w:t>
      </w:r>
    </w:p>
    <w:p w14:paraId="079F8E8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Mak, A.N.S., Bradley, P., Cernadas, R.A., Bogdanove, A.J. and Stoddard, B.L., 2012. The crystal structure of TAL effector PthXo1 bound to its DNA target. </w:t>
      </w:r>
      <w:r w:rsidRPr="00C07175">
        <w:rPr>
          <w:rFonts w:ascii="Arial" w:hAnsi="Arial" w:cs="Arial"/>
          <w:i/>
          <w:iCs/>
        </w:rPr>
        <w:t>Science</w:t>
      </w:r>
      <w:r w:rsidRPr="00C07175">
        <w:rPr>
          <w:rFonts w:ascii="Arial" w:hAnsi="Arial" w:cs="Arial"/>
        </w:rPr>
        <w:t>, </w:t>
      </w:r>
      <w:r w:rsidRPr="00C07175">
        <w:rPr>
          <w:rFonts w:ascii="Arial" w:hAnsi="Arial" w:cs="Arial"/>
          <w:i/>
          <w:iCs/>
        </w:rPr>
        <w:t>335</w:t>
      </w:r>
      <w:r w:rsidRPr="00C07175">
        <w:rPr>
          <w:rFonts w:ascii="Arial" w:hAnsi="Arial" w:cs="Arial"/>
        </w:rPr>
        <w:t>(6069), pp.716-719.</w:t>
      </w:r>
    </w:p>
    <w:p w14:paraId="0F2B0D5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Mba, C., Afza, R., Bado, S. and Jain, S.M., 2010. Induced mutagenesis in plants using physical and chemical agents. </w:t>
      </w:r>
      <w:r w:rsidRPr="00C07175">
        <w:rPr>
          <w:rFonts w:ascii="Arial" w:hAnsi="Arial" w:cs="Arial"/>
          <w:i/>
          <w:iCs/>
        </w:rPr>
        <w:t>Plant cell culture: essential methods</w:t>
      </w:r>
      <w:r w:rsidRPr="00C07175">
        <w:rPr>
          <w:rFonts w:ascii="Arial" w:hAnsi="Arial" w:cs="Arial"/>
        </w:rPr>
        <w:t>, </w:t>
      </w:r>
      <w:r w:rsidRPr="00C07175">
        <w:rPr>
          <w:rFonts w:ascii="Arial" w:hAnsi="Arial" w:cs="Arial"/>
          <w:i/>
          <w:iCs/>
        </w:rPr>
        <w:t>20</w:t>
      </w:r>
      <w:r w:rsidRPr="00C07175">
        <w:rPr>
          <w:rFonts w:ascii="Arial" w:hAnsi="Arial" w:cs="Arial"/>
        </w:rPr>
        <w:t>, pp.111-130.</w:t>
      </w:r>
    </w:p>
    <w:p w14:paraId="01AA61C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McCallum CM, Comai L, Greene EA, Henikoff S (2000) Targeted screening for induced mutations. Nat Biotechnol 18:455–457</w:t>
      </w:r>
    </w:p>
    <w:p w14:paraId="0074B24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Meckler, J.F., Bhakta, M.S., Kim, M.S., Ovadia, R., Habrian, C.H., Zykovich, A., Yu, A., Lockwood, S.H., Morbitzer, R., Elsäesser, J. and Lahaye, T., 2013. Quantitative </w:t>
      </w:r>
      <w:r w:rsidRPr="00C07175">
        <w:rPr>
          <w:rFonts w:ascii="Arial" w:hAnsi="Arial" w:cs="Arial"/>
        </w:rPr>
        <w:lastRenderedPageBreak/>
        <w:t>analysis of TALE–DNA interactions suggests polarity effects. </w:t>
      </w:r>
      <w:r w:rsidRPr="00C07175">
        <w:rPr>
          <w:rFonts w:ascii="Arial" w:hAnsi="Arial" w:cs="Arial"/>
          <w:i/>
          <w:iCs/>
        </w:rPr>
        <w:t>Nucleic acids research</w:t>
      </w:r>
      <w:r w:rsidRPr="00C07175">
        <w:rPr>
          <w:rFonts w:ascii="Arial" w:hAnsi="Arial" w:cs="Arial"/>
        </w:rPr>
        <w:t>, </w:t>
      </w:r>
      <w:r w:rsidRPr="00C07175">
        <w:rPr>
          <w:rFonts w:ascii="Arial" w:hAnsi="Arial" w:cs="Arial"/>
          <w:i/>
          <w:iCs/>
        </w:rPr>
        <w:t>41</w:t>
      </w:r>
      <w:r w:rsidRPr="00C07175">
        <w:rPr>
          <w:rFonts w:ascii="Arial" w:hAnsi="Arial" w:cs="Arial"/>
        </w:rPr>
        <w:t>(7), pp.4118-4128.</w:t>
      </w:r>
    </w:p>
    <w:p w14:paraId="17E7479A"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Miller, J.C., Tan, S., Qiao, G., Barlow, K.A., Wang, J., Xia, D.F., Meng, X., Paschon, D.E., Leung, E., Hinkley, S.J. and Dulay, G.P., 2011. A TALE nuclease architecture for efficient genome editing. </w:t>
      </w:r>
      <w:r w:rsidRPr="00C07175">
        <w:rPr>
          <w:rFonts w:ascii="Arial" w:hAnsi="Arial" w:cs="Arial"/>
          <w:i/>
          <w:iCs/>
        </w:rPr>
        <w:t>Nature biotechnology</w:t>
      </w:r>
      <w:r w:rsidRPr="00C07175">
        <w:rPr>
          <w:rFonts w:ascii="Arial" w:hAnsi="Arial" w:cs="Arial"/>
        </w:rPr>
        <w:t>, </w:t>
      </w:r>
      <w:r w:rsidRPr="00C07175">
        <w:rPr>
          <w:rFonts w:ascii="Arial" w:hAnsi="Arial" w:cs="Arial"/>
          <w:i/>
          <w:iCs/>
        </w:rPr>
        <w:t>29</w:t>
      </w:r>
      <w:r w:rsidRPr="00C07175">
        <w:rPr>
          <w:rFonts w:ascii="Arial" w:hAnsi="Arial" w:cs="Arial"/>
        </w:rPr>
        <w:t>(2), pp.143-148.</w:t>
      </w:r>
    </w:p>
    <w:p w14:paraId="1EB29D3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Mussolino, C., Alzubi, J., Fine, E.J., Morbitzer, R., Cradick, T.J., Lahaye, T., Bao, G. and Cathomen, T., 2014. TALENs facilitate targeted genome editing in human cells with high specificity and low cytotoxicity. </w:t>
      </w:r>
      <w:r w:rsidRPr="00C07175">
        <w:rPr>
          <w:rFonts w:ascii="Arial" w:hAnsi="Arial" w:cs="Arial"/>
          <w:i/>
          <w:iCs/>
        </w:rPr>
        <w:t>Nucleic acids research</w:t>
      </w:r>
      <w:r w:rsidRPr="00C07175">
        <w:rPr>
          <w:rFonts w:ascii="Arial" w:hAnsi="Arial" w:cs="Arial"/>
        </w:rPr>
        <w:t>, </w:t>
      </w:r>
      <w:r w:rsidRPr="00C07175">
        <w:rPr>
          <w:rFonts w:ascii="Arial" w:hAnsi="Arial" w:cs="Arial"/>
          <w:i/>
          <w:iCs/>
        </w:rPr>
        <w:t>42</w:t>
      </w:r>
      <w:r w:rsidRPr="00C07175">
        <w:rPr>
          <w:rFonts w:ascii="Arial" w:hAnsi="Arial" w:cs="Arial"/>
        </w:rPr>
        <w:t>(10), pp.6762-6773.</w:t>
      </w:r>
    </w:p>
    <w:p w14:paraId="4545BEC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Ng, P.C. and Kirkness, E.F., 2010. Whole genome sequencing. </w:t>
      </w:r>
      <w:r w:rsidRPr="00C07175">
        <w:rPr>
          <w:rFonts w:ascii="Arial" w:hAnsi="Arial" w:cs="Arial"/>
          <w:i/>
          <w:iCs/>
        </w:rPr>
        <w:t>Genetic variation: Methods and protocols</w:t>
      </w:r>
      <w:r w:rsidRPr="00C07175">
        <w:rPr>
          <w:rFonts w:ascii="Arial" w:hAnsi="Arial" w:cs="Arial"/>
        </w:rPr>
        <w:t>, pp.215-226.</w:t>
      </w:r>
    </w:p>
    <w:p w14:paraId="1FB55B2C"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Orzaez, D., Mirabel, S., Wieland, W.H. and Granell, A., 2006. Agroinjection of tomato fruits. A tool for rapid functional analysis of transgenes directly in fruit. </w:t>
      </w:r>
      <w:r w:rsidRPr="00C07175">
        <w:rPr>
          <w:rFonts w:ascii="Arial" w:hAnsi="Arial" w:cs="Arial"/>
          <w:i/>
          <w:iCs/>
        </w:rPr>
        <w:t>Plant physiology</w:t>
      </w:r>
      <w:r w:rsidRPr="00C07175">
        <w:rPr>
          <w:rFonts w:ascii="Arial" w:hAnsi="Arial" w:cs="Arial"/>
        </w:rPr>
        <w:t>, </w:t>
      </w:r>
      <w:r w:rsidRPr="00C07175">
        <w:rPr>
          <w:rFonts w:ascii="Arial" w:hAnsi="Arial" w:cs="Arial"/>
          <w:i/>
          <w:iCs/>
        </w:rPr>
        <w:t>140</w:t>
      </w:r>
      <w:r w:rsidRPr="00C07175">
        <w:rPr>
          <w:rFonts w:ascii="Arial" w:hAnsi="Arial" w:cs="Arial"/>
        </w:rPr>
        <w:t>(1), pp.3-11.</w:t>
      </w:r>
    </w:p>
    <w:p w14:paraId="0B77704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Parnas, O., Jovanovic, M., Eisenhaure, T.M., Herbst, R.H., Dixit, A., Ye, C.J., Przybylski, D., Platt, R.J., Tirosh, I., Sanjana, N.E. and Shalem, O., 2015. A genome-wide CRISPR screen in primary immune cells to dissect regulatory networks. </w:t>
      </w:r>
      <w:r w:rsidRPr="00C07175">
        <w:rPr>
          <w:rFonts w:ascii="Arial" w:hAnsi="Arial" w:cs="Arial"/>
          <w:i/>
          <w:iCs/>
        </w:rPr>
        <w:t>Cell</w:t>
      </w:r>
      <w:r w:rsidRPr="00C07175">
        <w:rPr>
          <w:rFonts w:ascii="Arial" w:hAnsi="Arial" w:cs="Arial"/>
        </w:rPr>
        <w:t>, </w:t>
      </w:r>
      <w:r w:rsidRPr="00C07175">
        <w:rPr>
          <w:rFonts w:ascii="Arial" w:hAnsi="Arial" w:cs="Arial"/>
          <w:i/>
          <w:iCs/>
        </w:rPr>
        <w:t>162</w:t>
      </w:r>
      <w:r w:rsidRPr="00C07175">
        <w:rPr>
          <w:rFonts w:ascii="Arial" w:hAnsi="Arial" w:cs="Arial"/>
        </w:rPr>
        <w:t>(3), pp.675-686.</w:t>
      </w:r>
    </w:p>
    <w:p w14:paraId="001AACE9"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Paterson, A.H., 1996. Making genetic maps In: Paterson AH (ed) Genome Mapping in Plants RG Landes Company San Diego California.</w:t>
      </w:r>
    </w:p>
    <w:p w14:paraId="1A680FB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Pattanayak, V., Ramirez, C.L., Joung, J.K. and Liu, D.R., 2011. Revealing off-target cleavage specificities of zinc-finger nucleases by in vitro selection. </w:t>
      </w:r>
      <w:r w:rsidRPr="00C07175">
        <w:rPr>
          <w:rFonts w:ascii="Arial" w:hAnsi="Arial" w:cs="Arial"/>
          <w:i/>
          <w:iCs/>
        </w:rPr>
        <w:t>Nature methods</w:t>
      </w:r>
      <w:r w:rsidRPr="00C07175">
        <w:rPr>
          <w:rFonts w:ascii="Arial" w:hAnsi="Arial" w:cs="Arial"/>
        </w:rPr>
        <w:t>, </w:t>
      </w:r>
      <w:r w:rsidRPr="00C07175">
        <w:rPr>
          <w:rFonts w:ascii="Arial" w:hAnsi="Arial" w:cs="Arial"/>
          <w:i/>
          <w:iCs/>
        </w:rPr>
        <w:t>8</w:t>
      </w:r>
      <w:r w:rsidRPr="00C07175">
        <w:rPr>
          <w:rFonts w:ascii="Arial" w:hAnsi="Arial" w:cs="Arial"/>
        </w:rPr>
        <w:t>(9), pp.765-770.</w:t>
      </w:r>
    </w:p>
    <w:p w14:paraId="252F5AEA"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Pavletich, N.P. and Pabo, C.O., 1991. Zinc finger-DNA recognition: crystal structure of a Zif268-DNA complex at 2.1 Å. </w:t>
      </w:r>
      <w:r w:rsidRPr="00C07175">
        <w:rPr>
          <w:rFonts w:ascii="Arial" w:hAnsi="Arial" w:cs="Arial"/>
          <w:i/>
          <w:iCs/>
        </w:rPr>
        <w:t>Science</w:t>
      </w:r>
      <w:r w:rsidRPr="00C07175">
        <w:rPr>
          <w:rFonts w:ascii="Arial" w:hAnsi="Arial" w:cs="Arial"/>
        </w:rPr>
        <w:t>, </w:t>
      </w:r>
      <w:r w:rsidRPr="00C07175">
        <w:rPr>
          <w:rFonts w:ascii="Arial" w:hAnsi="Arial" w:cs="Arial"/>
          <w:i/>
          <w:iCs/>
        </w:rPr>
        <w:t>252</w:t>
      </w:r>
      <w:r w:rsidRPr="00C07175">
        <w:rPr>
          <w:rFonts w:ascii="Arial" w:hAnsi="Arial" w:cs="Arial"/>
        </w:rPr>
        <w:t>(5007), pp.809-817.</w:t>
      </w:r>
    </w:p>
    <w:p w14:paraId="24BF81C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Pflieger, S., Blanchet, S., Camborde, L., Drugeon, G., Rousseau, A., Noizet, M., Planchais, S. and Jupin, I., 2008. Efficient virus</w:t>
      </w:r>
      <w:r w:rsidRPr="00C07175">
        <w:rPr>
          <w:rFonts w:ascii="Cambria Math" w:hAnsi="Cambria Math" w:cs="Cambria Math"/>
        </w:rPr>
        <w:t>‐</w:t>
      </w:r>
      <w:r w:rsidRPr="00C07175">
        <w:rPr>
          <w:rFonts w:ascii="Arial" w:hAnsi="Arial" w:cs="Arial"/>
        </w:rPr>
        <w:t>induced gene silencing in Arabidopsis using a ‘one</w:t>
      </w:r>
      <w:r w:rsidRPr="00C07175">
        <w:rPr>
          <w:rFonts w:ascii="Cambria Math" w:hAnsi="Cambria Math" w:cs="Cambria Math"/>
        </w:rPr>
        <w:t>‐</w:t>
      </w:r>
      <w:r w:rsidRPr="00C07175">
        <w:rPr>
          <w:rFonts w:ascii="Arial" w:hAnsi="Arial" w:cs="Arial"/>
        </w:rPr>
        <w:t>step’TYMV</w:t>
      </w:r>
      <w:r w:rsidRPr="00C07175">
        <w:rPr>
          <w:rFonts w:ascii="Cambria Math" w:hAnsi="Cambria Math" w:cs="Cambria Math"/>
        </w:rPr>
        <w:t>‐</w:t>
      </w:r>
      <w:r w:rsidRPr="00C07175">
        <w:rPr>
          <w:rFonts w:ascii="Arial" w:hAnsi="Arial" w:cs="Arial"/>
        </w:rPr>
        <w:t>derived vector. </w:t>
      </w:r>
      <w:r w:rsidRPr="00C07175">
        <w:rPr>
          <w:rFonts w:ascii="Arial" w:hAnsi="Arial" w:cs="Arial"/>
          <w:i/>
          <w:iCs/>
        </w:rPr>
        <w:t>The Plant Journal</w:t>
      </w:r>
      <w:r w:rsidRPr="00C07175">
        <w:rPr>
          <w:rFonts w:ascii="Arial" w:hAnsi="Arial" w:cs="Arial"/>
        </w:rPr>
        <w:t>, </w:t>
      </w:r>
      <w:r w:rsidRPr="00C07175">
        <w:rPr>
          <w:rFonts w:ascii="Arial" w:hAnsi="Arial" w:cs="Arial"/>
          <w:i/>
          <w:iCs/>
        </w:rPr>
        <w:t>56</w:t>
      </w:r>
      <w:r w:rsidRPr="00C07175">
        <w:rPr>
          <w:rFonts w:ascii="Arial" w:hAnsi="Arial" w:cs="Arial"/>
        </w:rPr>
        <w:t>(4), pp.678-690.</w:t>
      </w:r>
    </w:p>
    <w:p w14:paraId="61E2993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Porteus, M.H. and Carroll, D., 2005. Gene targeting using zinc finger nucleases. </w:t>
      </w:r>
      <w:r w:rsidRPr="00C07175">
        <w:rPr>
          <w:rFonts w:ascii="Arial" w:hAnsi="Arial" w:cs="Arial"/>
          <w:i/>
          <w:iCs/>
        </w:rPr>
        <w:t>Nature biotechnology</w:t>
      </w:r>
      <w:r w:rsidRPr="00C07175">
        <w:rPr>
          <w:rFonts w:ascii="Arial" w:hAnsi="Arial" w:cs="Arial"/>
        </w:rPr>
        <w:t>, </w:t>
      </w:r>
      <w:r w:rsidRPr="00C07175">
        <w:rPr>
          <w:rFonts w:ascii="Arial" w:hAnsi="Arial" w:cs="Arial"/>
          <w:i/>
          <w:iCs/>
        </w:rPr>
        <w:t>23</w:t>
      </w:r>
      <w:r w:rsidRPr="00C07175">
        <w:rPr>
          <w:rFonts w:ascii="Arial" w:hAnsi="Arial" w:cs="Arial"/>
        </w:rPr>
        <w:t>(8), pp.967-973.</w:t>
      </w:r>
    </w:p>
    <w:p w14:paraId="4D1DB33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Purkayastha, A. and Dasgupta, I., 2009. Virus-induced gene silencing: a versatile tool for discovery of gene functions in plants. </w:t>
      </w:r>
      <w:r w:rsidRPr="00C07175">
        <w:rPr>
          <w:rFonts w:ascii="Arial" w:hAnsi="Arial" w:cs="Arial"/>
          <w:i/>
          <w:iCs/>
        </w:rPr>
        <w:t>Plant Physiology and Biochemistry</w:t>
      </w:r>
      <w:r w:rsidRPr="00C07175">
        <w:rPr>
          <w:rFonts w:ascii="Arial" w:hAnsi="Arial" w:cs="Arial"/>
        </w:rPr>
        <w:t>, </w:t>
      </w:r>
      <w:r w:rsidRPr="00C07175">
        <w:rPr>
          <w:rFonts w:ascii="Arial" w:hAnsi="Arial" w:cs="Arial"/>
          <w:i/>
          <w:iCs/>
        </w:rPr>
        <w:t>47</w:t>
      </w:r>
      <w:r w:rsidRPr="00C07175">
        <w:rPr>
          <w:rFonts w:ascii="Arial" w:hAnsi="Arial" w:cs="Arial"/>
        </w:rPr>
        <w:t>(11-12), pp.967-976.</w:t>
      </w:r>
    </w:p>
    <w:p w14:paraId="07714111"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Raingam, M., Bhatt, M., Sinha, A. and Lohani, P., 2018. Forward and reverse genetics in plant breeding. </w:t>
      </w:r>
      <w:r w:rsidRPr="00C07175">
        <w:rPr>
          <w:rFonts w:ascii="Arial" w:hAnsi="Arial" w:cs="Arial"/>
          <w:i/>
          <w:iCs/>
        </w:rPr>
        <w:t>Apple Academic Press eBooks</w:t>
      </w:r>
      <w:r w:rsidRPr="00C07175">
        <w:rPr>
          <w:rFonts w:ascii="Arial" w:hAnsi="Arial" w:cs="Arial"/>
        </w:rPr>
        <w:t>, </w:t>
      </w:r>
      <w:r w:rsidRPr="00C07175">
        <w:rPr>
          <w:rFonts w:ascii="Arial" w:hAnsi="Arial" w:cs="Arial"/>
          <w:i/>
          <w:iCs/>
        </w:rPr>
        <w:t>1</w:t>
      </w:r>
      <w:r w:rsidRPr="00C07175">
        <w:rPr>
          <w:rFonts w:ascii="Arial" w:hAnsi="Arial" w:cs="Arial"/>
        </w:rPr>
        <w:t>, pp.49-76.</w:t>
      </w:r>
    </w:p>
    <w:p w14:paraId="1ED9D4D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Ram, H., Soni, P., Salvi, P., Gandass, N., Sharma, A., Kaur, A. and Sharma, T.R., 2019. Insertional mutagenesis approaches and their use in rice for functional genomics. </w:t>
      </w:r>
      <w:r w:rsidRPr="00C07175">
        <w:rPr>
          <w:rFonts w:ascii="Arial" w:hAnsi="Arial" w:cs="Arial"/>
          <w:i/>
          <w:iCs/>
        </w:rPr>
        <w:t>Plants</w:t>
      </w:r>
      <w:r w:rsidRPr="00C07175">
        <w:rPr>
          <w:rFonts w:ascii="Arial" w:hAnsi="Arial" w:cs="Arial"/>
        </w:rPr>
        <w:t>, </w:t>
      </w:r>
      <w:r w:rsidRPr="00C07175">
        <w:rPr>
          <w:rFonts w:ascii="Arial" w:hAnsi="Arial" w:cs="Arial"/>
          <w:i/>
          <w:iCs/>
        </w:rPr>
        <w:t>8</w:t>
      </w:r>
      <w:r w:rsidRPr="00C07175">
        <w:rPr>
          <w:rFonts w:ascii="Arial" w:hAnsi="Arial" w:cs="Arial"/>
        </w:rPr>
        <w:t>(9), p.310.</w:t>
      </w:r>
    </w:p>
    <w:p w14:paraId="25C7D1C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Ruiz, M.T., Voinnet, O. and Baulcombe, D.C., 1998. Initiation and maintenance of virus-induced gene silencing. </w:t>
      </w:r>
      <w:r w:rsidRPr="00C07175">
        <w:rPr>
          <w:rFonts w:ascii="Arial" w:hAnsi="Arial" w:cs="Arial"/>
          <w:i/>
          <w:iCs/>
        </w:rPr>
        <w:t>The Plant Cell</w:t>
      </w:r>
      <w:r w:rsidRPr="00C07175">
        <w:rPr>
          <w:rFonts w:ascii="Arial" w:hAnsi="Arial" w:cs="Arial"/>
        </w:rPr>
        <w:t>, </w:t>
      </w:r>
      <w:r w:rsidRPr="00C07175">
        <w:rPr>
          <w:rFonts w:ascii="Arial" w:hAnsi="Arial" w:cs="Arial"/>
          <w:i/>
          <w:iCs/>
        </w:rPr>
        <w:t>10</w:t>
      </w:r>
      <w:r w:rsidRPr="00C07175">
        <w:rPr>
          <w:rFonts w:ascii="Arial" w:hAnsi="Arial" w:cs="Arial"/>
        </w:rPr>
        <w:t>(6), pp.937-946.</w:t>
      </w:r>
    </w:p>
    <w:p w14:paraId="7DC8125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Shalem, O., Sanjana, N.E. and Zhang, F., 2015. High-throughput functional genomics using CRISPR–Cas9. </w:t>
      </w:r>
      <w:r w:rsidRPr="00C07175">
        <w:rPr>
          <w:rFonts w:ascii="Arial" w:hAnsi="Arial" w:cs="Arial"/>
          <w:i/>
          <w:iCs/>
        </w:rPr>
        <w:t>Nature Reviews Genetics</w:t>
      </w:r>
      <w:r w:rsidRPr="00C07175">
        <w:rPr>
          <w:rFonts w:ascii="Arial" w:hAnsi="Arial" w:cs="Arial"/>
        </w:rPr>
        <w:t>, </w:t>
      </w:r>
      <w:r w:rsidRPr="00C07175">
        <w:rPr>
          <w:rFonts w:ascii="Arial" w:hAnsi="Arial" w:cs="Arial"/>
          <w:i/>
          <w:iCs/>
        </w:rPr>
        <w:t>16</w:t>
      </w:r>
      <w:r w:rsidRPr="00C07175">
        <w:rPr>
          <w:rFonts w:ascii="Arial" w:hAnsi="Arial" w:cs="Arial"/>
        </w:rPr>
        <w:t>(5), pp.299-311.</w:t>
      </w:r>
    </w:p>
    <w:p w14:paraId="7F756DC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Sharma, R., Anguela, X.M., Doyon, Y., Wechsler, T., DeKelver, R.C., Sproul, S., Paschon, D.E., Miller, J.C., Davidson, R.J., Shivak, D. and Zhou, S., 2015. In vivo genome editing of the albumin locus as a platform for protein replacement therapy. </w:t>
      </w:r>
      <w:r w:rsidRPr="00C07175">
        <w:rPr>
          <w:rFonts w:ascii="Arial" w:hAnsi="Arial" w:cs="Arial"/>
          <w:i/>
          <w:iCs/>
        </w:rPr>
        <w:t>Blood, The Journal of the American Society of Hematology</w:t>
      </w:r>
      <w:r w:rsidRPr="00C07175">
        <w:rPr>
          <w:rFonts w:ascii="Arial" w:hAnsi="Arial" w:cs="Arial"/>
        </w:rPr>
        <w:t>, </w:t>
      </w:r>
      <w:r w:rsidRPr="00C07175">
        <w:rPr>
          <w:rFonts w:ascii="Arial" w:hAnsi="Arial" w:cs="Arial"/>
          <w:i/>
          <w:iCs/>
        </w:rPr>
        <w:t>126</w:t>
      </w:r>
      <w:r w:rsidRPr="00C07175">
        <w:rPr>
          <w:rFonts w:ascii="Arial" w:hAnsi="Arial" w:cs="Arial"/>
        </w:rPr>
        <w:t>(15), pp.1777-1784.</w:t>
      </w:r>
    </w:p>
    <w:p w14:paraId="570125A9"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Shen, B., Zhang, J., Wu, H., Wang, J., Ma, K., Li, Z., Zhang, X., Zhang, P. and Huang, X., 2013. Generation of gene-modified mice via Cas9/RNA-mediated gene targeting. </w:t>
      </w:r>
      <w:r w:rsidRPr="00C07175">
        <w:rPr>
          <w:rFonts w:ascii="Arial" w:hAnsi="Arial" w:cs="Arial"/>
          <w:i/>
          <w:iCs/>
        </w:rPr>
        <w:t>Cell research</w:t>
      </w:r>
      <w:r w:rsidRPr="00C07175">
        <w:rPr>
          <w:rFonts w:ascii="Arial" w:hAnsi="Arial" w:cs="Arial"/>
        </w:rPr>
        <w:t>, </w:t>
      </w:r>
      <w:r w:rsidRPr="00C07175">
        <w:rPr>
          <w:rFonts w:ascii="Arial" w:hAnsi="Arial" w:cs="Arial"/>
          <w:i/>
          <w:iCs/>
        </w:rPr>
        <w:t>23</w:t>
      </w:r>
      <w:r w:rsidRPr="00C07175">
        <w:rPr>
          <w:rFonts w:ascii="Arial" w:hAnsi="Arial" w:cs="Arial"/>
        </w:rPr>
        <w:t>(5), pp.720-723.</w:t>
      </w:r>
    </w:p>
    <w:p w14:paraId="620EB16A"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Shikata, M., Hoshikawa, K., Ariizumi, T., Fukuda, N., Yamazaki, Y. and Ezura, H., 2016. TOMATOMA update: phenotypic and metabolite information in the micro-tom mutant resource. </w:t>
      </w:r>
      <w:r w:rsidRPr="00C07175">
        <w:rPr>
          <w:rFonts w:ascii="Arial" w:hAnsi="Arial" w:cs="Arial"/>
          <w:i/>
          <w:iCs/>
        </w:rPr>
        <w:t>Plant and Cell Physiology</w:t>
      </w:r>
      <w:r w:rsidRPr="00C07175">
        <w:rPr>
          <w:rFonts w:ascii="Arial" w:hAnsi="Arial" w:cs="Arial"/>
        </w:rPr>
        <w:t>, </w:t>
      </w:r>
      <w:r w:rsidRPr="00C07175">
        <w:rPr>
          <w:rFonts w:ascii="Arial" w:hAnsi="Arial" w:cs="Arial"/>
          <w:i/>
          <w:iCs/>
        </w:rPr>
        <w:t>57</w:t>
      </w:r>
      <w:r w:rsidRPr="00C07175">
        <w:rPr>
          <w:rFonts w:ascii="Arial" w:hAnsi="Arial" w:cs="Arial"/>
        </w:rPr>
        <w:t>(1), pp.e11-e11.</w:t>
      </w:r>
    </w:p>
    <w:p w14:paraId="68B9145C"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Shirasawa, K., Hirakawa, H., Nunome, T., Tabata, S. and Isobe, S., 2016. Genome</w:t>
      </w:r>
      <w:r w:rsidRPr="00C07175">
        <w:rPr>
          <w:rFonts w:ascii="Cambria Math" w:hAnsi="Cambria Math" w:cs="Cambria Math"/>
        </w:rPr>
        <w:t>‐</w:t>
      </w:r>
      <w:r w:rsidRPr="00C07175">
        <w:rPr>
          <w:rFonts w:ascii="Arial" w:hAnsi="Arial" w:cs="Arial"/>
        </w:rPr>
        <w:t>wide survey of artificial mutations induced by ethyl methanesulfonate and gamma rays in tomato. </w:t>
      </w:r>
      <w:r w:rsidRPr="00C07175">
        <w:rPr>
          <w:rFonts w:ascii="Arial" w:hAnsi="Arial" w:cs="Arial"/>
          <w:i/>
          <w:iCs/>
        </w:rPr>
        <w:t>Plant biotechnology journal</w:t>
      </w:r>
      <w:r w:rsidRPr="00C07175">
        <w:rPr>
          <w:rFonts w:ascii="Arial" w:hAnsi="Arial" w:cs="Arial"/>
        </w:rPr>
        <w:t>, </w:t>
      </w:r>
      <w:r w:rsidRPr="00C07175">
        <w:rPr>
          <w:rFonts w:ascii="Arial" w:hAnsi="Arial" w:cs="Arial"/>
          <w:i/>
          <w:iCs/>
        </w:rPr>
        <w:t>14</w:t>
      </w:r>
      <w:r w:rsidRPr="00C07175">
        <w:rPr>
          <w:rFonts w:ascii="Arial" w:hAnsi="Arial" w:cs="Arial"/>
        </w:rPr>
        <w:t>(1), pp.51-60.</w:t>
      </w:r>
    </w:p>
    <w:p w14:paraId="1F4EF9F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Smith, J., Bibikova, M., Whitby, F.G., Reddy, A.R., Chandrasegaran, S. and Carroll, D., 2000. Requirements for double-strand cleavage by chimeric restriction enzymes with zinc finger DNA-recognition domains. </w:t>
      </w:r>
      <w:r w:rsidRPr="00C07175">
        <w:rPr>
          <w:rFonts w:ascii="Arial" w:hAnsi="Arial" w:cs="Arial"/>
          <w:i/>
          <w:iCs/>
        </w:rPr>
        <w:t>Nucleic acids research</w:t>
      </w:r>
      <w:r w:rsidRPr="00C07175">
        <w:rPr>
          <w:rFonts w:ascii="Arial" w:hAnsi="Arial" w:cs="Arial"/>
        </w:rPr>
        <w:t>, </w:t>
      </w:r>
      <w:r w:rsidRPr="00C07175">
        <w:rPr>
          <w:rFonts w:ascii="Arial" w:hAnsi="Arial" w:cs="Arial"/>
          <w:i/>
          <w:iCs/>
        </w:rPr>
        <w:t>28</w:t>
      </w:r>
      <w:r w:rsidRPr="00C07175">
        <w:rPr>
          <w:rFonts w:ascii="Arial" w:hAnsi="Arial" w:cs="Arial"/>
        </w:rPr>
        <w:t>(17), pp.3361-3369.</w:t>
      </w:r>
    </w:p>
    <w:p w14:paraId="33D966A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Smits, B.M., Mudde, J., Plasterk, R.H. and Cuppen, E., 2004. Target-selected mutagenesis of the rat. </w:t>
      </w:r>
      <w:r w:rsidRPr="00C07175">
        <w:rPr>
          <w:rFonts w:ascii="Arial" w:hAnsi="Arial" w:cs="Arial"/>
          <w:i/>
          <w:iCs/>
        </w:rPr>
        <w:t>Genomics</w:t>
      </w:r>
      <w:r w:rsidRPr="00C07175">
        <w:rPr>
          <w:rFonts w:ascii="Arial" w:hAnsi="Arial" w:cs="Arial"/>
        </w:rPr>
        <w:t>, </w:t>
      </w:r>
      <w:r w:rsidRPr="00C07175">
        <w:rPr>
          <w:rFonts w:ascii="Arial" w:hAnsi="Arial" w:cs="Arial"/>
          <w:i/>
          <w:iCs/>
        </w:rPr>
        <w:t>83</w:t>
      </w:r>
      <w:r w:rsidRPr="00C07175">
        <w:rPr>
          <w:rFonts w:ascii="Arial" w:hAnsi="Arial" w:cs="Arial"/>
        </w:rPr>
        <w:t>(2), pp.332-334.</w:t>
      </w:r>
    </w:p>
    <w:p w14:paraId="3645002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Stemple, Derek L. "TILLING—a high-throughput harvest for functional genomics." </w:t>
      </w:r>
      <w:r w:rsidRPr="00C07175">
        <w:rPr>
          <w:rFonts w:ascii="Arial" w:hAnsi="Arial" w:cs="Arial"/>
          <w:i/>
          <w:iCs/>
        </w:rPr>
        <w:t>Nature Reviews Genetics</w:t>
      </w:r>
      <w:r w:rsidRPr="00C07175">
        <w:rPr>
          <w:rFonts w:ascii="Arial" w:hAnsi="Arial" w:cs="Arial"/>
        </w:rPr>
        <w:t> 5, no. 2 (2004): 145-150.</w:t>
      </w:r>
    </w:p>
    <w:p w14:paraId="10236A9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Sun, B., Shang, L., Li, Y., Zhang, Q., Chu, Z., He, S., Yang, W. and Ding, X., 2022. Ectopic expression of OsJAZs alters plant defense and development. </w:t>
      </w:r>
      <w:r w:rsidRPr="00C07175">
        <w:rPr>
          <w:rFonts w:ascii="Arial" w:hAnsi="Arial" w:cs="Arial"/>
          <w:i/>
          <w:iCs/>
        </w:rPr>
        <w:t>International journal of molecular sciences</w:t>
      </w:r>
      <w:r w:rsidRPr="00C07175">
        <w:rPr>
          <w:rFonts w:ascii="Arial" w:hAnsi="Arial" w:cs="Arial"/>
        </w:rPr>
        <w:t>, </w:t>
      </w:r>
      <w:r w:rsidRPr="00C07175">
        <w:rPr>
          <w:rFonts w:ascii="Arial" w:hAnsi="Arial" w:cs="Arial"/>
          <w:i/>
          <w:iCs/>
        </w:rPr>
        <w:t>23</w:t>
      </w:r>
      <w:r w:rsidRPr="00C07175">
        <w:rPr>
          <w:rFonts w:ascii="Arial" w:hAnsi="Arial" w:cs="Arial"/>
        </w:rPr>
        <w:t>(9), p.4581.</w:t>
      </w:r>
    </w:p>
    <w:p w14:paraId="39BD63A6"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Sun, Q. and Zhou, D.X., 2008. Rice jmjC domain-containing gene JMJ706 encodes H3K9 demethylase required for floral organ development.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105</w:t>
      </w:r>
      <w:r w:rsidRPr="00C07175">
        <w:rPr>
          <w:rFonts w:ascii="Arial" w:hAnsi="Arial" w:cs="Arial"/>
        </w:rPr>
        <w:t>(36), pp.13679-13684.</w:t>
      </w:r>
    </w:p>
    <w:p w14:paraId="31A498A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Sundaresan, V., Springer, P., Volpe, T., Haward, S., Jones, J.D., Dean, C., Ma, H. and Martienssen, R., 1995. Patterns of gene action in plant development revealed by enhancer trap and gene trap transposable elements. </w:t>
      </w:r>
      <w:r w:rsidRPr="00C07175">
        <w:rPr>
          <w:rFonts w:ascii="Arial" w:hAnsi="Arial" w:cs="Arial"/>
          <w:i/>
          <w:iCs/>
        </w:rPr>
        <w:t>Genes &amp; development</w:t>
      </w:r>
      <w:r w:rsidRPr="00C07175">
        <w:rPr>
          <w:rFonts w:ascii="Arial" w:hAnsi="Arial" w:cs="Arial"/>
        </w:rPr>
        <w:t>, </w:t>
      </w:r>
      <w:r w:rsidRPr="00C07175">
        <w:rPr>
          <w:rFonts w:ascii="Arial" w:hAnsi="Arial" w:cs="Arial"/>
          <w:i/>
          <w:iCs/>
        </w:rPr>
        <w:t>9</w:t>
      </w:r>
      <w:r w:rsidRPr="00C07175">
        <w:rPr>
          <w:rFonts w:ascii="Arial" w:hAnsi="Arial" w:cs="Arial"/>
        </w:rPr>
        <w:t>(14), pp.1797-1810.</w:t>
      </w:r>
    </w:p>
    <w:p w14:paraId="1280B46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Tabara, H., Sarkissian, M., Kelly, W.G., Fleenor, J., Grishok, A., Timmons, L., Fire, A. and Mello, C.C., 1999. The rde-1 gene, RNA interference, and transposon silencing in C. elegans. </w:t>
      </w:r>
      <w:r w:rsidRPr="00C07175">
        <w:rPr>
          <w:rFonts w:ascii="Arial" w:hAnsi="Arial" w:cs="Arial"/>
          <w:i/>
          <w:iCs/>
        </w:rPr>
        <w:t>Cell</w:t>
      </w:r>
      <w:r w:rsidRPr="00C07175">
        <w:rPr>
          <w:rFonts w:ascii="Arial" w:hAnsi="Arial" w:cs="Arial"/>
        </w:rPr>
        <w:t>, </w:t>
      </w:r>
      <w:r w:rsidRPr="00C07175">
        <w:rPr>
          <w:rFonts w:ascii="Arial" w:hAnsi="Arial" w:cs="Arial"/>
          <w:i/>
          <w:iCs/>
        </w:rPr>
        <w:t>99</w:t>
      </w:r>
      <w:r w:rsidRPr="00C07175">
        <w:rPr>
          <w:rFonts w:ascii="Arial" w:hAnsi="Arial" w:cs="Arial"/>
        </w:rPr>
        <w:t>(2), pp.123-132.</w:t>
      </w:r>
    </w:p>
    <w:p w14:paraId="6E95B1A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Tao, X. and Zhou, X., 2004. A modified viral satellite DNA that suppresses gene expression in plants. </w:t>
      </w:r>
      <w:r w:rsidRPr="00C07175">
        <w:rPr>
          <w:rFonts w:ascii="Arial" w:hAnsi="Arial" w:cs="Arial"/>
          <w:i/>
          <w:iCs/>
        </w:rPr>
        <w:t>The Plant Journal</w:t>
      </w:r>
      <w:r w:rsidRPr="00C07175">
        <w:rPr>
          <w:rFonts w:ascii="Arial" w:hAnsi="Arial" w:cs="Arial"/>
        </w:rPr>
        <w:t>, </w:t>
      </w:r>
      <w:r w:rsidRPr="00C07175">
        <w:rPr>
          <w:rFonts w:ascii="Arial" w:hAnsi="Arial" w:cs="Arial"/>
          <w:i/>
          <w:iCs/>
        </w:rPr>
        <w:t>38</w:t>
      </w:r>
      <w:r w:rsidRPr="00C07175">
        <w:rPr>
          <w:rFonts w:ascii="Arial" w:hAnsi="Arial" w:cs="Arial"/>
        </w:rPr>
        <w:t>(5), pp.850-860.</w:t>
      </w:r>
    </w:p>
    <w:p w14:paraId="7FCE270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Tebas, P., Stein, D., Tang, W.W., Frank, I., Wang, S.Q., Lee, G., Spratt, S.K., Surosky, R.T., Giedlin, M.A., Nichol, G. and Holmes, M.C., 2014. Gene editing of CCR5 in autologous CD4 T cells of persons infected with HIV. </w:t>
      </w:r>
      <w:r w:rsidRPr="00C07175">
        <w:rPr>
          <w:rFonts w:ascii="Arial" w:hAnsi="Arial" w:cs="Arial"/>
          <w:i/>
          <w:iCs/>
        </w:rPr>
        <w:t>New England Journal of Medicine</w:t>
      </w:r>
      <w:r w:rsidRPr="00C07175">
        <w:rPr>
          <w:rFonts w:ascii="Arial" w:hAnsi="Arial" w:cs="Arial"/>
        </w:rPr>
        <w:t>, </w:t>
      </w:r>
      <w:r w:rsidRPr="00C07175">
        <w:rPr>
          <w:rFonts w:ascii="Arial" w:hAnsi="Arial" w:cs="Arial"/>
          <w:i/>
          <w:iCs/>
        </w:rPr>
        <w:t>370</w:t>
      </w:r>
      <w:r w:rsidRPr="00C07175">
        <w:rPr>
          <w:rFonts w:ascii="Arial" w:hAnsi="Arial" w:cs="Arial"/>
        </w:rPr>
        <w:t>(10), pp.901-910.</w:t>
      </w:r>
    </w:p>
    <w:p w14:paraId="22BBB75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Till, B.J., Zerr, T., Comai, L. and Henikoff, S., 2006. A protocol for TILLING and EcoTILLING in plants and animals. </w:t>
      </w:r>
      <w:r w:rsidRPr="00C07175">
        <w:rPr>
          <w:rFonts w:ascii="Arial" w:hAnsi="Arial" w:cs="Arial"/>
          <w:i/>
          <w:iCs/>
        </w:rPr>
        <w:t>Nature protocols</w:t>
      </w:r>
      <w:r w:rsidRPr="00C07175">
        <w:rPr>
          <w:rFonts w:ascii="Arial" w:hAnsi="Arial" w:cs="Arial"/>
        </w:rPr>
        <w:t>, </w:t>
      </w:r>
      <w:r w:rsidRPr="00C07175">
        <w:rPr>
          <w:rFonts w:ascii="Arial" w:hAnsi="Arial" w:cs="Arial"/>
          <w:i/>
          <w:iCs/>
        </w:rPr>
        <w:t>1</w:t>
      </w:r>
      <w:r w:rsidRPr="00C07175">
        <w:rPr>
          <w:rFonts w:ascii="Arial" w:hAnsi="Arial" w:cs="Arial"/>
        </w:rPr>
        <w:t>(5), pp.2465-2477.</w:t>
      </w:r>
    </w:p>
    <w:p w14:paraId="167489C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Unver, T. and Budak, H., 2009. Virus-induced gene silencing, a post transcriptional gene silencing method. </w:t>
      </w:r>
      <w:r w:rsidRPr="00C07175">
        <w:rPr>
          <w:rFonts w:ascii="Arial" w:hAnsi="Arial" w:cs="Arial"/>
          <w:i/>
          <w:iCs/>
        </w:rPr>
        <w:t>International journal of plant genomics</w:t>
      </w:r>
      <w:r w:rsidRPr="00C07175">
        <w:rPr>
          <w:rFonts w:ascii="Arial" w:hAnsi="Arial" w:cs="Arial"/>
        </w:rPr>
        <w:t>, </w:t>
      </w:r>
      <w:r w:rsidRPr="00C07175">
        <w:rPr>
          <w:rFonts w:ascii="Arial" w:hAnsi="Arial" w:cs="Arial"/>
          <w:i/>
          <w:iCs/>
        </w:rPr>
        <w:t>2009</w:t>
      </w:r>
      <w:r w:rsidRPr="00C07175">
        <w:rPr>
          <w:rFonts w:ascii="Arial" w:hAnsi="Arial" w:cs="Arial"/>
        </w:rPr>
        <w:t>(1), p.198680.</w:t>
      </w:r>
    </w:p>
    <w:p w14:paraId="0FD73C1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Ünver, T., 2008. Detection and characterization of plant genes involved in various biotic and abiotic stress conditions using ddrt-pcr and isolation of interacting proteins.</w:t>
      </w:r>
    </w:p>
    <w:p w14:paraId="4F29F8A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Urnov, F.D., Rebar, E.J., Holmes, M.C., Zhang, H.S. and Gregory, P.D., 2010. Genome editing with engineered zinc finger nucleases. </w:t>
      </w:r>
      <w:r w:rsidRPr="00C07175">
        <w:rPr>
          <w:rFonts w:ascii="Arial" w:hAnsi="Arial" w:cs="Arial"/>
          <w:i/>
          <w:iCs/>
        </w:rPr>
        <w:t>Nature Reviews Genetics</w:t>
      </w:r>
      <w:r w:rsidRPr="00C07175">
        <w:rPr>
          <w:rFonts w:ascii="Arial" w:hAnsi="Arial" w:cs="Arial"/>
        </w:rPr>
        <w:t>, </w:t>
      </w:r>
      <w:r w:rsidRPr="00C07175">
        <w:rPr>
          <w:rFonts w:ascii="Arial" w:hAnsi="Arial" w:cs="Arial"/>
          <w:i/>
          <w:iCs/>
        </w:rPr>
        <w:t>11</w:t>
      </w:r>
      <w:r w:rsidRPr="00C07175">
        <w:rPr>
          <w:rFonts w:ascii="Arial" w:hAnsi="Arial" w:cs="Arial"/>
        </w:rPr>
        <w:t>(9), pp.636-646.</w:t>
      </w:r>
    </w:p>
    <w:p w14:paraId="18360461"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Victorathisayam, T. and Sridevi, G., 2020. Ectopic expression of WUSCHEL (AtWUS) gene alters plant growth and development in rice. </w:t>
      </w:r>
      <w:r w:rsidRPr="00C07175">
        <w:rPr>
          <w:rFonts w:ascii="Arial" w:hAnsi="Arial" w:cs="Arial"/>
          <w:i/>
          <w:iCs/>
        </w:rPr>
        <w:t>Plant</w:t>
      </w:r>
      <w:r w:rsidRPr="00C07175">
        <w:rPr>
          <w:rFonts w:ascii="Arial" w:hAnsi="Arial" w:cs="Arial"/>
        </w:rPr>
        <w:t>, </w:t>
      </w:r>
      <w:r w:rsidRPr="00C07175">
        <w:rPr>
          <w:rFonts w:ascii="Arial" w:hAnsi="Arial" w:cs="Arial"/>
          <w:i/>
          <w:iCs/>
        </w:rPr>
        <w:t>8</w:t>
      </w:r>
      <w:r w:rsidRPr="00C07175">
        <w:rPr>
          <w:rFonts w:ascii="Arial" w:hAnsi="Arial" w:cs="Arial"/>
        </w:rPr>
        <w:t>(3), p.43.</w:t>
      </w:r>
    </w:p>
    <w:p w14:paraId="6B52B68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Warr, A., Robert, C., Hume, D., Archibald, A., Deeb, N. and Watson, M., 2015. Exome sequencing: current and future perspectives. </w:t>
      </w:r>
      <w:r w:rsidRPr="00C07175">
        <w:rPr>
          <w:rFonts w:ascii="Arial" w:hAnsi="Arial" w:cs="Arial"/>
          <w:i/>
          <w:iCs/>
        </w:rPr>
        <w:t>G3: Genes, Genomes, Genetics</w:t>
      </w:r>
      <w:r w:rsidRPr="00C07175">
        <w:rPr>
          <w:rFonts w:ascii="Arial" w:hAnsi="Arial" w:cs="Arial"/>
        </w:rPr>
        <w:t>, </w:t>
      </w:r>
      <w:r w:rsidRPr="00C07175">
        <w:rPr>
          <w:rFonts w:ascii="Arial" w:hAnsi="Arial" w:cs="Arial"/>
          <w:i/>
          <w:iCs/>
        </w:rPr>
        <w:t>5</w:t>
      </w:r>
      <w:r w:rsidRPr="00C07175">
        <w:rPr>
          <w:rFonts w:ascii="Arial" w:hAnsi="Arial" w:cs="Arial"/>
        </w:rPr>
        <w:t>(8), pp.1543-1550.</w:t>
      </w:r>
    </w:p>
    <w:p w14:paraId="5F32641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Waterhouse, P.M., Graham, M.W. and Wang, M.B., 1998. Virus resistance and gene silencing in plants can be induced by simultaneous expression of sense and antisense RNA.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95</w:t>
      </w:r>
      <w:r w:rsidRPr="00C07175">
        <w:rPr>
          <w:rFonts w:ascii="Arial" w:hAnsi="Arial" w:cs="Arial"/>
        </w:rPr>
        <w:t>(23), pp.13959-13964.</w:t>
      </w:r>
    </w:p>
    <w:p w14:paraId="2B35AB0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Wienholds, E., van Eeden, F., Kosters, M., Mudde, J., Plasterk, R.H. and Cuppen, E., 2003. Efficient target-selected mutagenesis in zebrafish. </w:t>
      </w:r>
      <w:r w:rsidRPr="00C07175">
        <w:rPr>
          <w:rFonts w:ascii="Arial" w:hAnsi="Arial" w:cs="Arial"/>
          <w:i/>
          <w:iCs/>
        </w:rPr>
        <w:t>Genome research</w:t>
      </w:r>
      <w:r w:rsidRPr="00C07175">
        <w:rPr>
          <w:rFonts w:ascii="Arial" w:hAnsi="Arial" w:cs="Arial"/>
        </w:rPr>
        <w:t>, </w:t>
      </w:r>
      <w:r w:rsidRPr="00C07175">
        <w:rPr>
          <w:rFonts w:ascii="Arial" w:hAnsi="Arial" w:cs="Arial"/>
          <w:i/>
          <w:iCs/>
        </w:rPr>
        <w:t>13</w:t>
      </w:r>
      <w:r w:rsidRPr="00C07175">
        <w:rPr>
          <w:rFonts w:ascii="Arial" w:hAnsi="Arial" w:cs="Arial"/>
        </w:rPr>
        <w:t>(12), pp.2700-2707.</w:t>
      </w:r>
    </w:p>
    <w:p w14:paraId="44EF16F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Winkler, S., Schwabedissen, A., Backasch, D., Bökel, C., Seidel, C., Bönisch, S., Fürthauer, M., Kuhrs, A., Cobreros, L., Brand, M. and González-Gaitán, M., 2005. Target-selected mutant screen by TILLING in Drosophila. </w:t>
      </w:r>
      <w:r w:rsidRPr="00C07175">
        <w:rPr>
          <w:rFonts w:ascii="Arial" w:hAnsi="Arial" w:cs="Arial"/>
          <w:i/>
          <w:iCs/>
        </w:rPr>
        <w:t>Genome research</w:t>
      </w:r>
      <w:r w:rsidRPr="00C07175">
        <w:rPr>
          <w:rFonts w:ascii="Arial" w:hAnsi="Arial" w:cs="Arial"/>
        </w:rPr>
        <w:t>, </w:t>
      </w:r>
      <w:r w:rsidRPr="00C07175">
        <w:rPr>
          <w:rFonts w:ascii="Arial" w:hAnsi="Arial" w:cs="Arial"/>
          <w:i/>
          <w:iCs/>
        </w:rPr>
        <w:t>15</w:t>
      </w:r>
      <w:r w:rsidRPr="00C07175">
        <w:rPr>
          <w:rFonts w:ascii="Arial" w:hAnsi="Arial" w:cs="Arial"/>
        </w:rPr>
        <w:t>(5), pp.718-723.</w:t>
      </w:r>
    </w:p>
    <w:p w14:paraId="2351D3E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Wolfe, S.A., Nekludova, L. and Pabo, C.O., 2000. DNA recognition by Cys2His2 zinc finger proteins. </w:t>
      </w:r>
      <w:r w:rsidRPr="00C07175">
        <w:rPr>
          <w:rFonts w:ascii="Arial" w:hAnsi="Arial" w:cs="Arial"/>
          <w:i/>
          <w:iCs/>
        </w:rPr>
        <w:t>Annual review of biophysics and biomolecular structure</w:t>
      </w:r>
      <w:r w:rsidRPr="00C07175">
        <w:rPr>
          <w:rFonts w:ascii="Arial" w:hAnsi="Arial" w:cs="Arial"/>
        </w:rPr>
        <w:t>, </w:t>
      </w:r>
      <w:r w:rsidRPr="00C07175">
        <w:rPr>
          <w:rFonts w:ascii="Arial" w:hAnsi="Arial" w:cs="Arial"/>
          <w:i/>
          <w:iCs/>
        </w:rPr>
        <w:t>29</w:t>
      </w:r>
      <w:r w:rsidRPr="00C07175">
        <w:rPr>
          <w:rFonts w:ascii="Arial" w:hAnsi="Arial" w:cs="Arial"/>
        </w:rPr>
        <w:t>(1), pp.183-212.</w:t>
      </w:r>
    </w:p>
    <w:p w14:paraId="153A5521"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Xiong, H., Zhou, C., Fu, M., Guo, H., Xie, Y., Zhao, L., Gu, J., Zhao, S., Ding, Y., Li, Y. and Zhang, J., 2022. Cloning and functional characterization of Rht8, a “Green Revolution” replacement gene in wheat. </w:t>
      </w:r>
      <w:r w:rsidRPr="00C07175">
        <w:rPr>
          <w:rFonts w:ascii="Arial" w:hAnsi="Arial" w:cs="Arial"/>
          <w:i/>
          <w:iCs/>
        </w:rPr>
        <w:t>Molecular Plant</w:t>
      </w:r>
      <w:r w:rsidRPr="00C07175">
        <w:rPr>
          <w:rFonts w:ascii="Arial" w:hAnsi="Arial" w:cs="Arial"/>
        </w:rPr>
        <w:t>, </w:t>
      </w:r>
      <w:r w:rsidRPr="00C07175">
        <w:rPr>
          <w:rFonts w:ascii="Arial" w:hAnsi="Arial" w:cs="Arial"/>
          <w:i/>
          <w:iCs/>
        </w:rPr>
        <w:t>15</w:t>
      </w:r>
      <w:r w:rsidRPr="00C07175">
        <w:rPr>
          <w:rFonts w:ascii="Arial" w:hAnsi="Arial" w:cs="Arial"/>
        </w:rPr>
        <w:t>(3), pp.373-376.</w:t>
      </w:r>
    </w:p>
    <w:p w14:paraId="79E08629"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Yu, G., Matny, O., Champouret, N., Steuernagel, B., Moscou, M.J., Hernández-Pinzón, I., Green, P., Hayta, S., Smedley, M., Harwood, W. and Kangara, N., 2022. Aegilops sharonensis genome-assisted identification of stem rust resistance gene Sr62. </w:t>
      </w:r>
      <w:r w:rsidRPr="00C07175">
        <w:rPr>
          <w:rFonts w:ascii="Arial" w:hAnsi="Arial" w:cs="Arial"/>
          <w:i/>
          <w:iCs/>
        </w:rPr>
        <w:t>Nature communications</w:t>
      </w:r>
      <w:r w:rsidRPr="00C07175">
        <w:rPr>
          <w:rFonts w:ascii="Arial" w:hAnsi="Arial" w:cs="Arial"/>
        </w:rPr>
        <w:t>, </w:t>
      </w:r>
      <w:r w:rsidRPr="00C07175">
        <w:rPr>
          <w:rFonts w:ascii="Arial" w:hAnsi="Arial" w:cs="Arial"/>
          <w:i/>
          <w:iCs/>
        </w:rPr>
        <w:t>13</w:t>
      </w:r>
      <w:r w:rsidRPr="00C07175">
        <w:rPr>
          <w:rFonts w:ascii="Arial" w:hAnsi="Arial" w:cs="Arial"/>
        </w:rPr>
        <w:t>(1), p.1607.</w:t>
      </w:r>
    </w:p>
    <w:p w14:paraId="3587D56C"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Yusa, K., 2015. Genome-wide recessive genetic screening in mammalian cells with a lentiviral CRISPR-guide RNA library. </w:t>
      </w:r>
      <w:r w:rsidRPr="00C07175">
        <w:rPr>
          <w:rFonts w:ascii="Arial" w:hAnsi="Arial" w:cs="Arial"/>
          <w:i/>
          <w:iCs/>
        </w:rPr>
        <w:t>Human Gene Therapy</w:t>
      </w:r>
      <w:r w:rsidRPr="00C07175">
        <w:rPr>
          <w:rFonts w:ascii="Arial" w:hAnsi="Arial" w:cs="Arial"/>
        </w:rPr>
        <w:t>, </w:t>
      </w:r>
      <w:r w:rsidRPr="00C07175">
        <w:rPr>
          <w:rFonts w:ascii="Arial" w:hAnsi="Arial" w:cs="Arial"/>
          <w:i/>
          <w:iCs/>
        </w:rPr>
        <w:t>26</w:t>
      </w:r>
      <w:r w:rsidRPr="00C07175">
        <w:rPr>
          <w:rFonts w:ascii="Arial" w:hAnsi="Arial" w:cs="Arial"/>
        </w:rPr>
        <w:t>, pp.A3-A3.</w:t>
      </w:r>
    </w:p>
    <w:p w14:paraId="371353E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Zhang, K., Raboanatahiry, N., Zhu, B. and Li, M., 2017. Progress in genome editing technology and its application in plants. </w:t>
      </w:r>
      <w:r w:rsidRPr="00C07175">
        <w:rPr>
          <w:rFonts w:ascii="Arial" w:hAnsi="Arial" w:cs="Arial"/>
          <w:i/>
          <w:iCs/>
        </w:rPr>
        <w:t>Frontiers in Plant science</w:t>
      </w:r>
      <w:r w:rsidRPr="00C07175">
        <w:rPr>
          <w:rFonts w:ascii="Arial" w:hAnsi="Arial" w:cs="Arial"/>
        </w:rPr>
        <w:t>, </w:t>
      </w:r>
      <w:r w:rsidRPr="00C07175">
        <w:rPr>
          <w:rFonts w:ascii="Arial" w:hAnsi="Arial" w:cs="Arial"/>
          <w:i/>
          <w:iCs/>
        </w:rPr>
        <w:t>8</w:t>
      </w:r>
      <w:r w:rsidRPr="00C07175">
        <w:rPr>
          <w:rFonts w:ascii="Arial" w:hAnsi="Arial" w:cs="Arial"/>
        </w:rPr>
        <w:t>, p.177.</w:t>
      </w:r>
    </w:p>
    <w:p w14:paraId="724356C8" w14:textId="6843491A" w:rsidR="0071629D" w:rsidRPr="00C07175" w:rsidRDefault="00EE393D" w:rsidP="00C07175">
      <w:pPr>
        <w:spacing w:line="360" w:lineRule="auto"/>
        <w:ind w:left="720" w:hanging="720"/>
        <w:jc w:val="both"/>
        <w:rPr>
          <w:rFonts w:ascii="Arial" w:hAnsi="Arial" w:cs="Arial"/>
        </w:rPr>
      </w:pPr>
      <w:r w:rsidRPr="00C07175">
        <w:rPr>
          <w:rFonts w:ascii="Arial" w:hAnsi="Arial" w:cs="Arial"/>
        </w:rPr>
        <w:t>Zhao, D.D., Park, J.R., Jang, Y.H., Kim, E.G., Du, X.X., Farooq, M., Yun, B.J. and Kim, K.M., 2022. Identification of one major QTL and a novel gene OsIAA17q5 associated with tiller number in rice using QTL analysis. </w:t>
      </w:r>
      <w:r w:rsidRPr="00C07175">
        <w:rPr>
          <w:rFonts w:ascii="Arial" w:hAnsi="Arial" w:cs="Arial"/>
          <w:i/>
          <w:iCs/>
        </w:rPr>
        <w:t>Plants</w:t>
      </w:r>
      <w:r w:rsidRPr="00C07175">
        <w:rPr>
          <w:rFonts w:ascii="Arial" w:hAnsi="Arial" w:cs="Arial"/>
        </w:rPr>
        <w:t>, </w:t>
      </w:r>
      <w:r w:rsidRPr="00C07175">
        <w:rPr>
          <w:rFonts w:ascii="Arial" w:hAnsi="Arial" w:cs="Arial"/>
          <w:i/>
          <w:iCs/>
        </w:rPr>
        <w:t>11</w:t>
      </w:r>
      <w:r w:rsidRPr="00C07175">
        <w:rPr>
          <w:rFonts w:ascii="Arial" w:hAnsi="Arial" w:cs="Arial"/>
        </w:rPr>
        <w:t>(4), p.538.</w:t>
      </w:r>
    </w:p>
    <w:sectPr w:rsidR="0071629D" w:rsidRPr="00C0717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limigundla Amarnath" w:date="2026-02-13T10:33:00Z" w:initials="kA">
    <w:p w14:paraId="130EAC72" w14:textId="77777777" w:rsidR="000D1A0F" w:rsidRDefault="000D1A0F" w:rsidP="000D1A0F">
      <w:pPr>
        <w:pStyle w:val="CommentText"/>
      </w:pPr>
      <w:r>
        <w:rPr>
          <w:rStyle w:val="CommentReference"/>
        </w:rPr>
        <w:annotationRef/>
      </w:r>
      <w:r>
        <w:rPr>
          <w:lang w:val="en-US"/>
        </w:rPr>
        <w:t>Why forward and reverse genetics must come in the abstract.</w:t>
      </w:r>
    </w:p>
  </w:comment>
  <w:comment w:id="1" w:author="kolimigundla Amarnath" w:date="2026-02-13T10:29:00Z" w:initials="kA">
    <w:p w14:paraId="13C32DB0" w14:textId="77777777" w:rsidR="000D1A0F" w:rsidRDefault="000D1A0F" w:rsidP="000D1A0F">
      <w:pPr>
        <w:pStyle w:val="CommentText"/>
      </w:pPr>
      <w:r>
        <w:rPr>
          <w:rStyle w:val="CommentReference"/>
        </w:rPr>
        <w:annotationRef/>
      </w:r>
      <w:r>
        <w:rPr>
          <w:lang w:val="en-US"/>
        </w:rPr>
        <w:t>Scientific names must be in italics</w:t>
      </w:r>
    </w:p>
  </w:comment>
  <w:comment w:id="2" w:author="kolimigundla Amarnath" w:date="2026-02-13T10:33:00Z" w:initials="kA">
    <w:p w14:paraId="7C6C1829" w14:textId="77777777" w:rsidR="000D1A0F" w:rsidRDefault="000D1A0F" w:rsidP="000D1A0F">
      <w:pPr>
        <w:pStyle w:val="CommentText"/>
      </w:pPr>
      <w:r>
        <w:rPr>
          <w:rStyle w:val="CommentReference"/>
        </w:rPr>
        <w:annotationRef/>
      </w:r>
      <w:r>
        <w:rPr>
          <w:lang w:val="en-US"/>
        </w:rPr>
        <w:t>No need to underline the author name</w:t>
      </w:r>
    </w:p>
  </w:comment>
  <w:comment w:id="3" w:author="kolimigundla Amarnath" w:date="2026-02-13T10:33:00Z" w:initials="kA">
    <w:p w14:paraId="1E8BAE46" w14:textId="77777777" w:rsidR="000D1A0F" w:rsidRDefault="000D1A0F" w:rsidP="000D1A0F">
      <w:pPr>
        <w:pStyle w:val="CommentText"/>
      </w:pPr>
      <w:r>
        <w:rPr>
          <w:rStyle w:val="CommentReference"/>
        </w:rPr>
        <w:annotationRef/>
      </w:r>
      <w:r>
        <w:rPr>
          <w:lang w:val="en-US"/>
        </w:rPr>
        <w:t>Should be in italics</w:t>
      </w:r>
      <w:r>
        <w:rPr>
          <w:lang w:val="en-US"/>
        </w:rPr>
        <w:br/>
      </w:r>
    </w:p>
  </w:comment>
  <w:comment w:id="4" w:author="kolimigundla Amarnath" w:date="2026-02-13T10:35:00Z" w:initials="kA">
    <w:p w14:paraId="423D30AA" w14:textId="77777777" w:rsidR="000D1A0F" w:rsidRDefault="000D1A0F" w:rsidP="000D1A0F">
      <w:pPr>
        <w:pStyle w:val="CommentText"/>
      </w:pPr>
      <w:r>
        <w:rPr>
          <w:rStyle w:val="CommentReference"/>
        </w:rPr>
        <w:annotationRef/>
      </w:r>
      <w:r>
        <w:rPr>
          <w:lang w:val="en-US"/>
        </w:rPr>
        <w:t xml:space="preserve">Old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0EAC72" w15:done="0"/>
  <w15:commentEx w15:paraId="13C32DB0" w15:done="0"/>
  <w15:commentEx w15:paraId="7C6C1829" w15:done="0"/>
  <w15:commentEx w15:paraId="1E8BAE46" w15:done="0"/>
  <w15:commentEx w15:paraId="423D30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B80BA0" w16cex:dateUtc="2026-02-13T05:03:00Z"/>
  <w16cex:commentExtensible w16cex:durableId="06478008" w16cex:dateUtc="2026-02-13T04:59:00Z"/>
  <w16cex:commentExtensible w16cex:durableId="0A7C5C46" w16cex:dateUtc="2026-02-13T05:03:00Z"/>
  <w16cex:commentExtensible w16cex:durableId="12C1DF41" w16cex:dateUtc="2026-02-13T05:03:00Z"/>
  <w16cex:commentExtensible w16cex:durableId="3CDBB218" w16cex:dateUtc="2026-02-13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0EAC72" w16cid:durableId="79B80BA0"/>
  <w16cid:commentId w16cid:paraId="13C32DB0" w16cid:durableId="06478008"/>
  <w16cid:commentId w16cid:paraId="7C6C1829" w16cid:durableId="0A7C5C46"/>
  <w16cid:commentId w16cid:paraId="1E8BAE46" w16cid:durableId="12C1DF41"/>
  <w16cid:commentId w16cid:paraId="423D30AA" w16cid:durableId="3CDBB2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4F67" w14:textId="77777777" w:rsidR="00FE1BCE" w:rsidRDefault="00FE1BCE" w:rsidP="00F37221">
      <w:pPr>
        <w:spacing w:after="0" w:line="240" w:lineRule="auto"/>
      </w:pPr>
      <w:r>
        <w:separator/>
      </w:r>
    </w:p>
  </w:endnote>
  <w:endnote w:type="continuationSeparator" w:id="0">
    <w:p w14:paraId="71CAC63F" w14:textId="77777777" w:rsidR="00FE1BCE" w:rsidRDefault="00FE1BCE" w:rsidP="00F3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B5EC" w14:textId="77777777" w:rsidR="00F37221" w:rsidRDefault="00F37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8B84" w14:textId="77777777" w:rsidR="00F37221" w:rsidRDefault="00F37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9647" w14:textId="77777777" w:rsidR="00F37221" w:rsidRDefault="00F3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73E9" w14:textId="77777777" w:rsidR="00FE1BCE" w:rsidRDefault="00FE1BCE" w:rsidP="00F37221">
      <w:pPr>
        <w:spacing w:after="0" w:line="240" w:lineRule="auto"/>
      </w:pPr>
      <w:r>
        <w:separator/>
      </w:r>
    </w:p>
  </w:footnote>
  <w:footnote w:type="continuationSeparator" w:id="0">
    <w:p w14:paraId="46E6AAB1" w14:textId="77777777" w:rsidR="00FE1BCE" w:rsidRDefault="00FE1BCE" w:rsidP="00F37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0941" w14:textId="59E2893F" w:rsidR="00F37221" w:rsidRDefault="00FE1BCE">
    <w:pPr>
      <w:pStyle w:val="Header"/>
    </w:pPr>
    <w:r>
      <w:rPr>
        <w:noProof/>
      </w:rPr>
      <w:pict w14:anchorId="1532D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EF2F" w14:textId="60B75D01" w:rsidR="00F37221" w:rsidRDefault="00FE1BCE">
    <w:pPr>
      <w:pStyle w:val="Header"/>
    </w:pPr>
    <w:r>
      <w:rPr>
        <w:noProof/>
      </w:rPr>
      <w:pict w14:anchorId="6C49A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4710" w14:textId="0470299C" w:rsidR="00F37221" w:rsidRDefault="00FE1BCE">
    <w:pPr>
      <w:pStyle w:val="Header"/>
    </w:pPr>
    <w:r>
      <w:rPr>
        <w:noProof/>
      </w:rPr>
      <w:pict w14:anchorId="63B07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2C5"/>
    <w:multiLevelType w:val="hybridMultilevel"/>
    <w:tmpl w:val="B6A43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434F74"/>
    <w:multiLevelType w:val="hybridMultilevel"/>
    <w:tmpl w:val="993AC90A"/>
    <w:lvl w:ilvl="0" w:tplc="3CEC9B60">
      <w:start w:val="1"/>
      <w:numFmt w:val="bullet"/>
      <w:lvlText w:val="•"/>
      <w:lvlJc w:val="left"/>
      <w:pPr>
        <w:tabs>
          <w:tab w:val="num" w:pos="720"/>
        </w:tabs>
        <w:ind w:left="720" w:hanging="360"/>
      </w:pPr>
      <w:rPr>
        <w:rFonts w:ascii="Arial" w:hAnsi="Arial" w:hint="default"/>
      </w:rPr>
    </w:lvl>
    <w:lvl w:ilvl="1" w:tplc="327E7B82" w:tentative="1">
      <w:start w:val="1"/>
      <w:numFmt w:val="bullet"/>
      <w:lvlText w:val="•"/>
      <w:lvlJc w:val="left"/>
      <w:pPr>
        <w:tabs>
          <w:tab w:val="num" w:pos="1440"/>
        </w:tabs>
        <w:ind w:left="1440" w:hanging="360"/>
      </w:pPr>
      <w:rPr>
        <w:rFonts w:ascii="Arial" w:hAnsi="Arial" w:hint="default"/>
      </w:rPr>
    </w:lvl>
    <w:lvl w:ilvl="2" w:tplc="8872204A" w:tentative="1">
      <w:start w:val="1"/>
      <w:numFmt w:val="bullet"/>
      <w:lvlText w:val="•"/>
      <w:lvlJc w:val="left"/>
      <w:pPr>
        <w:tabs>
          <w:tab w:val="num" w:pos="2160"/>
        </w:tabs>
        <w:ind w:left="2160" w:hanging="360"/>
      </w:pPr>
      <w:rPr>
        <w:rFonts w:ascii="Arial" w:hAnsi="Arial" w:hint="default"/>
      </w:rPr>
    </w:lvl>
    <w:lvl w:ilvl="3" w:tplc="21260DB0" w:tentative="1">
      <w:start w:val="1"/>
      <w:numFmt w:val="bullet"/>
      <w:lvlText w:val="•"/>
      <w:lvlJc w:val="left"/>
      <w:pPr>
        <w:tabs>
          <w:tab w:val="num" w:pos="2880"/>
        </w:tabs>
        <w:ind w:left="2880" w:hanging="360"/>
      </w:pPr>
      <w:rPr>
        <w:rFonts w:ascii="Arial" w:hAnsi="Arial" w:hint="default"/>
      </w:rPr>
    </w:lvl>
    <w:lvl w:ilvl="4" w:tplc="7374A9E4" w:tentative="1">
      <w:start w:val="1"/>
      <w:numFmt w:val="bullet"/>
      <w:lvlText w:val="•"/>
      <w:lvlJc w:val="left"/>
      <w:pPr>
        <w:tabs>
          <w:tab w:val="num" w:pos="3600"/>
        </w:tabs>
        <w:ind w:left="3600" w:hanging="360"/>
      </w:pPr>
      <w:rPr>
        <w:rFonts w:ascii="Arial" w:hAnsi="Arial" w:hint="default"/>
      </w:rPr>
    </w:lvl>
    <w:lvl w:ilvl="5" w:tplc="17F8E216" w:tentative="1">
      <w:start w:val="1"/>
      <w:numFmt w:val="bullet"/>
      <w:lvlText w:val="•"/>
      <w:lvlJc w:val="left"/>
      <w:pPr>
        <w:tabs>
          <w:tab w:val="num" w:pos="4320"/>
        </w:tabs>
        <w:ind w:left="4320" w:hanging="360"/>
      </w:pPr>
      <w:rPr>
        <w:rFonts w:ascii="Arial" w:hAnsi="Arial" w:hint="default"/>
      </w:rPr>
    </w:lvl>
    <w:lvl w:ilvl="6" w:tplc="2708D5CC" w:tentative="1">
      <w:start w:val="1"/>
      <w:numFmt w:val="bullet"/>
      <w:lvlText w:val="•"/>
      <w:lvlJc w:val="left"/>
      <w:pPr>
        <w:tabs>
          <w:tab w:val="num" w:pos="5040"/>
        </w:tabs>
        <w:ind w:left="5040" w:hanging="360"/>
      </w:pPr>
      <w:rPr>
        <w:rFonts w:ascii="Arial" w:hAnsi="Arial" w:hint="default"/>
      </w:rPr>
    </w:lvl>
    <w:lvl w:ilvl="7" w:tplc="9EC463C6" w:tentative="1">
      <w:start w:val="1"/>
      <w:numFmt w:val="bullet"/>
      <w:lvlText w:val="•"/>
      <w:lvlJc w:val="left"/>
      <w:pPr>
        <w:tabs>
          <w:tab w:val="num" w:pos="5760"/>
        </w:tabs>
        <w:ind w:left="5760" w:hanging="360"/>
      </w:pPr>
      <w:rPr>
        <w:rFonts w:ascii="Arial" w:hAnsi="Arial" w:hint="default"/>
      </w:rPr>
    </w:lvl>
    <w:lvl w:ilvl="8" w:tplc="193A2E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D61EF9"/>
    <w:multiLevelType w:val="multilevel"/>
    <w:tmpl w:val="E96A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75A69"/>
    <w:multiLevelType w:val="hybridMultilevel"/>
    <w:tmpl w:val="36F00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271246"/>
    <w:multiLevelType w:val="hybridMultilevel"/>
    <w:tmpl w:val="C75CA7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990B05"/>
    <w:multiLevelType w:val="hybridMultilevel"/>
    <w:tmpl w:val="768079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BC5714"/>
    <w:multiLevelType w:val="hybridMultilevel"/>
    <w:tmpl w:val="C63C68D8"/>
    <w:lvl w:ilvl="0" w:tplc="BA4C6E24">
      <w:start w:val="1"/>
      <w:numFmt w:val="bullet"/>
      <w:lvlText w:val="•"/>
      <w:lvlJc w:val="left"/>
      <w:pPr>
        <w:tabs>
          <w:tab w:val="num" w:pos="720"/>
        </w:tabs>
        <w:ind w:left="720" w:hanging="360"/>
      </w:pPr>
      <w:rPr>
        <w:rFonts w:ascii="Arial" w:hAnsi="Arial" w:hint="default"/>
      </w:rPr>
    </w:lvl>
    <w:lvl w:ilvl="1" w:tplc="BF68935C" w:tentative="1">
      <w:start w:val="1"/>
      <w:numFmt w:val="bullet"/>
      <w:lvlText w:val="•"/>
      <w:lvlJc w:val="left"/>
      <w:pPr>
        <w:tabs>
          <w:tab w:val="num" w:pos="1440"/>
        </w:tabs>
        <w:ind w:left="1440" w:hanging="360"/>
      </w:pPr>
      <w:rPr>
        <w:rFonts w:ascii="Arial" w:hAnsi="Arial" w:hint="default"/>
      </w:rPr>
    </w:lvl>
    <w:lvl w:ilvl="2" w:tplc="977CFB58" w:tentative="1">
      <w:start w:val="1"/>
      <w:numFmt w:val="bullet"/>
      <w:lvlText w:val="•"/>
      <w:lvlJc w:val="left"/>
      <w:pPr>
        <w:tabs>
          <w:tab w:val="num" w:pos="2160"/>
        </w:tabs>
        <w:ind w:left="2160" w:hanging="360"/>
      </w:pPr>
      <w:rPr>
        <w:rFonts w:ascii="Arial" w:hAnsi="Arial" w:hint="default"/>
      </w:rPr>
    </w:lvl>
    <w:lvl w:ilvl="3" w:tplc="126617B4" w:tentative="1">
      <w:start w:val="1"/>
      <w:numFmt w:val="bullet"/>
      <w:lvlText w:val="•"/>
      <w:lvlJc w:val="left"/>
      <w:pPr>
        <w:tabs>
          <w:tab w:val="num" w:pos="2880"/>
        </w:tabs>
        <w:ind w:left="2880" w:hanging="360"/>
      </w:pPr>
      <w:rPr>
        <w:rFonts w:ascii="Arial" w:hAnsi="Arial" w:hint="default"/>
      </w:rPr>
    </w:lvl>
    <w:lvl w:ilvl="4" w:tplc="A6CC702E" w:tentative="1">
      <w:start w:val="1"/>
      <w:numFmt w:val="bullet"/>
      <w:lvlText w:val="•"/>
      <w:lvlJc w:val="left"/>
      <w:pPr>
        <w:tabs>
          <w:tab w:val="num" w:pos="3600"/>
        </w:tabs>
        <w:ind w:left="3600" w:hanging="360"/>
      </w:pPr>
      <w:rPr>
        <w:rFonts w:ascii="Arial" w:hAnsi="Arial" w:hint="default"/>
      </w:rPr>
    </w:lvl>
    <w:lvl w:ilvl="5" w:tplc="12627E56" w:tentative="1">
      <w:start w:val="1"/>
      <w:numFmt w:val="bullet"/>
      <w:lvlText w:val="•"/>
      <w:lvlJc w:val="left"/>
      <w:pPr>
        <w:tabs>
          <w:tab w:val="num" w:pos="4320"/>
        </w:tabs>
        <w:ind w:left="4320" w:hanging="360"/>
      </w:pPr>
      <w:rPr>
        <w:rFonts w:ascii="Arial" w:hAnsi="Arial" w:hint="default"/>
      </w:rPr>
    </w:lvl>
    <w:lvl w:ilvl="6" w:tplc="1DE8C9AA" w:tentative="1">
      <w:start w:val="1"/>
      <w:numFmt w:val="bullet"/>
      <w:lvlText w:val="•"/>
      <w:lvlJc w:val="left"/>
      <w:pPr>
        <w:tabs>
          <w:tab w:val="num" w:pos="5040"/>
        </w:tabs>
        <w:ind w:left="5040" w:hanging="360"/>
      </w:pPr>
      <w:rPr>
        <w:rFonts w:ascii="Arial" w:hAnsi="Arial" w:hint="default"/>
      </w:rPr>
    </w:lvl>
    <w:lvl w:ilvl="7" w:tplc="1F36B0AC" w:tentative="1">
      <w:start w:val="1"/>
      <w:numFmt w:val="bullet"/>
      <w:lvlText w:val="•"/>
      <w:lvlJc w:val="left"/>
      <w:pPr>
        <w:tabs>
          <w:tab w:val="num" w:pos="5760"/>
        </w:tabs>
        <w:ind w:left="5760" w:hanging="360"/>
      </w:pPr>
      <w:rPr>
        <w:rFonts w:ascii="Arial" w:hAnsi="Arial" w:hint="default"/>
      </w:rPr>
    </w:lvl>
    <w:lvl w:ilvl="8" w:tplc="298EA9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A53D6D"/>
    <w:multiLevelType w:val="hybridMultilevel"/>
    <w:tmpl w:val="8182F27C"/>
    <w:lvl w:ilvl="0" w:tplc="487C4C68">
      <w:start w:val="1"/>
      <w:numFmt w:val="bullet"/>
      <w:lvlText w:val="•"/>
      <w:lvlJc w:val="left"/>
      <w:pPr>
        <w:tabs>
          <w:tab w:val="num" w:pos="720"/>
        </w:tabs>
        <w:ind w:left="720" w:hanging="360"/>
      </w:pPr>
      <w:rPr>
        <w:rFonts w:ascii="Arial" w:hAnsi="Arial" w:hint="default"/>
      </w:rPr>
    </w:lvl>
    <w:lvl w:ilvl="1" w:tplc="7FA0B96C" w:tentative="1">
      <w:start w:val="1"/>
      <w:numFmt w:val="bullet"/>
      <w:lvlText w:val="•"/>
      <w:lvlJc w:val="left"/>
      <w:pPr>
        <w:tabs>
          <w:tab w:val="num" w:pos="1440"/>
        </w:tabs>
        <w:ind w:left="1440" w:hanging="360"/>
      </w:pPr>
      <w:rPr>
        <w:rFonts w:ascii="Arial" w:hAnsi="Arial" w:hint="default"/>
      </w:rPr>
    </w:lvl>
    <w:lvl w:ilvl="2" w:tplc="04E66C24" w:tentative="1">
      <w:start w:val="1"/>
      <w:numFmt w:val="bullet"/>
      <w:lvlText w:val="•"/>
      <w:lvlJc w:val="left"/>
      <w:pPr>
        <w:tabs>
          <w:tab w:val="num" w:pos="2160"/>
        </w:tabs>
        <w:ind w:left="2160" w:hanging="360"/>
      </w:pPr>
      <w:rPr>
        <w:rFonts w:ascii="Arial" w:hAnsi="Arial" w:hint="default"/>
      </w:rPr>
    </w:lvl>
    <w:lvl w:ilvl="3" w:tplc="FC7827EA" w:tentative="1">
      <w:start w:val="1"/>
      <w:numFmt w:val="bullet"/>
      <w:lvlText w:val="•"/>
      <w:lvlJc w:val="left"/>
      <w:pPr>
        <w:tabs>
          <w:tab w:val="num" w:pos="2880"/>
        </w:tabs>
        <w:ind w:left="2880" w:hanging="360"/>
      </w:pPr>
      <w:rPr>
        <w:rFonts w:ascii="Arial" w:hAnsi="Arial" w:hint="default"/>
      </w:rPr>
    </w:lvl>
    <w:lvl w:ilvl="4" w:tplc="BFCA205A" w:tentative="1">
      <w:start w:val="1"/>
      <w:numFmt w:val="bullet"/>
      <w:lvlText w:val="•"/>
      <w:lvlJc w:val="left"/>
      <w:pPr>
        <w:tabs>
          <w:tab w:val="num" w:pos="3600"/>
        </w:tabs>
        <w:ind w:left="3600" w:hanging="360"/>
      </w:pPr>
      <w:rPr>
        <w:rFonts w:ascii="Arial" w:hAnsi="Arial" w:hint="default"/>
      </w:rPr>
    </w:lvl>
    <w:lvl w:ilvl="5" w:tplc="A4166614" w:tentative="1">
      <w:start w:val="1"/>
      <w:numFmt w:val="bullet"/>
      <w:lvlText w:val="•"/>
      <w:lvlJc w:val="left"/>
      <w:pPr>
        <w:tabs>
          <w:tab w:val="num" w:pos="4320"/>
        </w:tabs>
        <w:ind w:left="4320" w:hanging="360"/>
      </w:pPr>
      <w:rPr>
        <w:rFonts w:ascii="Arial" w:hAnsi="Arial" w:hint="default"/>
      </w:rPr>
    </w:lvl>
    <w:lvl w:ilvl="6" w:tplc="9664F3F0" w:tentative="1">
      <w:start w:val="1"/>
      <w:numFmt w:val="bullet"/>
      <w:lvlText w:val="•"/>
      <w:lvlJc w:val="left"/>
      <w:pPr>
        <w:tabs>
          <w:tab w:val="num" w:pos="5040"/>
        </w:tabs>
        <w:ind w:left="5040" w:hanging="360"/>
      </w:pPr>
      <w:rPr>
        <w:rFonts w:ascii="Arial" w:hAnsi="Arial" w:hint="default"/>
      </w:rPr>
    </w:lvl>
    <w:lvl w:ilvl="7" w:tplc="0944D6D6" w:tentative="1">
      <w:start w:val="1"/>
      <w:numFmt w:val="bullet"/>
      <w:lvlText w:val="•"/>
      <w:lvlJc w:val="left"/>
      <w:pPr>
        <w:tabs>
          <w:tab w:val="num" w:pos="5760"/>
        </w:tabs>
        <w:ind w:left="5760" w:hanging="360"/>
      </w:pPr>
      <w:rPr>
        <w:rFonts w:ascii="Arial" w:hAnsi="Arial" w:hint="default"/>
      </w:rPr>
    </w:lvl>
    <w:lvl w:ilvl="8" w:tplc="708295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84713F"/>
    <w:multiLevelType w:val="multilevel"/>
    <w:tmpl w:val="81C0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A26DF"/>
    <w:multiLevelType w:val="hybridMultilevel"/>
    <w:tmpl w:val="DDD6F32C"/>
    <w:lvl w:ilvl="0" w:tplc="8C04EC8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B515C3"/>
    <w:multiLevelType w:val="hybridMultilevel"/>
    <w:tmpl w:val="235E4902"/>
    <w:lvl w:ilvl="0" w:tplc="3666759C">
      <w:start w:val="1"/>
      <w:numFmt w:val="bullet"/>
      <w:lvlText w:val="•"/>
      <w:lvlJc w:val="left"/>
      <w:pPr>
        <w:tabs>
          <w:tab w:val="num" w:pos="720"/>
        </w:tabs>
        <w:ind w:left="720" w:hanging="360"/>
      </w:pPr>
      <w:rPr>
        <w:rFonts w:ascii="Arial" w:hAnsi="Arial" w:hint="default"/>
      </w:rPr>
    </w:lvl>
    <w:lvl w:ilvl="1" w:tplc="4508AA02" w:tentative="1">
      <w:start w:val="1"/>
      <w:numFmt w:val="bullet"/>
      <w:lvlText w:val="•"/>
      <w:lvlJc w:val="left"/>
      <w:pPr>
        <w:tabs>
          <w:tab w:val="num" w:pos="1440"/>
        </w:tabs>
        <w:ind w:left="1440" w:hanging="360"/>
      </w:pPr>
      <w:rPr>
        <w:rFonts w:ascii="Arial" w:hAnsi="Arial" w:hint="default"/>
      </w:rPr>
    </w:lvl>
    <w:lvl w:ilvl="2" w:tplc="A2320120" w:tentative="1">
      <w:start w:val="1"/>
      <w:numFmt w:val="bullet"/>
      <w:lvlText w:val="•"/>
      <w:lvlJc w:val="left"/>
      <w:pPr>
        <w:tabs>
          <w:tab w:val="num" w:pos="2160"/>
        </w:tabs>
        <w:ind w:left="2160" w:hanging="360"/>
      </w:pPr>
      <w:rPr>
        <w:rFonts w:ascii="Arial" w:hAnsi="Arial" w:hint="default"/>
      </w:rPr>
    </w:lvl>
    <w:lvl w:ilvl="3" w:tplc="9ADEB3D8" w:tentative="1">
      <w:start w:val="1"/>
      <w:numFmt w:val="bullet"/>
      <w:lvlText w:val="•"/>
      <w:lvlJc w:val="left"/>
      <w:pPr>
        <w:tabs>
          <w:tab w:val="num" w:pos="2880"/>
        </w:tabs>
        <w:ind w:left="2880" w:hanging="360"/>
      </w:pPr>
      <w:rPr>
        <w:rFonts w:ascii="Arial" w:hAnsi="Arial" w:hint="default"/>
      </w:rPr>
    </w:lvl>
    <w:lvl w:ilvl="4" w:tplc="F5D44E30" w:tentative="1">
      <w:start w:val="1"/>
      <w:numFmt w:val="bullet"/>
      <w:lvlText w:val="•"/>
      <w:lvlJc w:val="left"/>
      <w:pPr>
        <w:tabs>
          <w:tab w:val="num" w:pos="3600"/>
        </w:tabs>
        <w:ind w:left="3600" w:hanging="360"/>
      </w:pPr>
      <w:rPr>
        <w:rFonts w:ascii="Arial" w:hAnsi="Arial" w:hint="default"/>
      </w:rPr>
    </w:lvl>
    <w:lvl w:ilvl="5" w:tplc="FE2EE37C" w:tentative="1">
      <w:start w:val="1"/>
      <w:numFmt w:val="bullet"/>
      <w:lvlText w:val="•"/>
      <w:lvlJc w:val="left"/>
      <w:pPr>
        <w:tabs>
          <w:tab w:val="num" w:pos="4320"/>
        </w:tabs>
        <w:ind w:left="4320" w:hanging="360"/>
      </w:pPr>
      <w:rPr>
        <w:rFonts w:ascii="Arial" w:hAnsi="Arial" w:hint="default"/>
      </w:rPr>
    </w:lvl>
    <w:lvl w:ilvl="6" w:tplc="CB504AC8" w:tentative="1">
      <w:start w:val="1"/>
      <w:numFmt w:val="bullet"/>
      <w:lvlText w:val="•"/>
      <w:lvlJc w:val="left"/>
      <w:pPr>
        <w:tabs>
          <w:tab w:val="num" w:pos="5040"/>
        </w:tabs>
        <w:ind w:left="5040" w:hanging="360"/>
      </w:pPr>
      <w:rPr>
        <w:rFonts w:ascii="Arial" w:hAnsi="Arial" w:hint="default"/>
      </w:rPr>
    </w:lvl>
    <w:lvl w:ilvl="7" w:tplc="4FA62802" w:tentative="1">
      <w:start w:val="1"/>
      <w:numFmt w:val="bullet"/>
      <w:lvlText w:val="•"/>
      <w:lvlJc w:val="left"/>
      <w:pPr>
        <w:tabs>
          <w:tab w:val="num" w:pos="5760"/>
        </w:tabs>
        <w:ind w:left="5760" w:hanging="360"/>
      </w:pPr>
      <w:rPr>
        <w:rFonts w:ascii="Arial" w:hAnsi="Arial" w:hint="default"/>
      </w:rPr>
    </w:lvl>
    <w:lvl w:ilvl="8" w:tplc="4BD6C5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3855AD"/>
    <w:multiLevelType w:val="hybridMultilevel"/>
    <w:tmpl w:val="37BC9AC8"/>
    <w:lvl w:ilvl="0" w:tplc="2FD0C43E">
      <w:start w:val="1"/>
      <w:numFmt w:val="lowerRoman"/>
      <w:lvlText w:val="(%1)"/>
      <w:lvlJc w:val="left"/>
      <w:pPr>
        <w:ind w:left="795" w:hanging="720"/>
      </w:pPr>
    </w:lvl>
    <w:lvl w:ilvl="1" w:tplc="40090019">
      <w:start w:val="1"/>
      <w:numFmt w:val="lowerLetter"/>
      <w:lvlText w:val="%2."/>
      <w:lvlJc w:val="left"/>
      <w:pPr>
        <w:ind w:left="1155" w:hanging="360"/>
      </w:pPr>
    </w:lvl>
    <w:lvl w:ilvl="2" w:tplc="4009001B">
      <w:start w:val="1"/>
      <w:numFmt w:val="lowerRoman"/>
      <w:lvlText w:val="%3."/>
      <w:lvlJc w:val="right"/>
      <w:pPr>
        <w:ind w:left="1875" w:hanging="180"/>
      </w:pPr>
    </w:lvl>
    <w:lvl w:ilvl="3" w:tplc="4009000F">
      <w:start w:val="1"/>
      <w:numFmt w:val="decimal"/>
      <w:lvlText w:val="%4."/>
      <w:lvlJc w:val="left"/>
      <w:pPr>
        <w:ind w:left="2595" w:hanging="360"/>
      </w:pPr>
    </w:lvl>
    <w:lvl w:ilvl="4" w:tplc="40090019">
      <w:start w:val="1"/>
      <w:numFmt w:val="lowerLetter"/>
      <w:lvlText w:val="%5."/>
      <w:lvlJc w:val="left"/>
      <w:pPr>
        <w:ind w:left="3315" w:hanging="360"/>
      </w:pPr>
    </w:lvl>
    <w:lvl w:ilvl="5" w:tplc="4009001B">
      <w:start w:val="1"/>
      <w:numFmt w:val="lowerRoman"/>
      <w:lvlText w:val="%6."/>
      <w:lvlJc w:val="right"/>
      <w:pPr>
        <w:ind w:left="4035" w:hanging="180"/>
      </w:pPr>
    </w:lvl>
    <w:lvl w:ilvl="6" w:tplc="4009000F">
      <w:start w:val="1"/>
      <w:numFmt w:val="decimal"/>
      <w:lvlText w:val="%7."/>
      <w:lvlJc w:val="left"/>
      <w:pPr>
        <w:ind w:left="4755" w:hanging="360"/>
      </w:pPr>
    </w:lvl>
    <w:lvl w:ilvl="7" w:tplc="40090019">
      <w:start w:val="1"/>
      <w:numFmt w:val="lowerLetter"/>
      <w:lvlText w:val="%8."/>
      <w:lvlJc w:val="left"/>
      <w:pPr>
        <w:ind w:left="5475" w:hanging="360"/>
      </w:pPr>
    </w:lvl>
    <w:lvl w:ilvl="8" w:tplc="4009001B">
      <w:start w:val="1"/>
      <w:numFmt w:val="lowerRoman"/>
      <w:lvlText w:val="%9."/>
      <w:lvlJc w:val="right"/>
      <w:pPr>
        <w:ind w:left="6195" w:hanging="180"/>
      </w:pPr>
    </w:lvl>
  </w:abstractNum>
  <w:abstractNum w:abstractNumId="12" w15:restartNumberingAfterBreak="0">
    <w:nsid w:val="6E6E39CF"/>
    <w:multiLevelType w:val="hybridMultilevel"/>
    <w:tmpl w:val="17DCAAAE"/>
    <w:lvl w:ilvl="0" w:tplc="4E4E6DC2">
      <w:start w:val="1"/>
      <w:numFmt w:val="bullet"/>
      <w:lvlText w:val="•"/>
      <w:lvlJc w:val="left"/>
      <w:pPr>
        <w:tabs>
          <w:tab w:val="num" w:pos="720"/>
        </w:tabs>
        <w:ind w:left="720" w:hanging="360"/>
      </w:pPr>
      <w:rPr>
        <w:rFonts w:ascii="Arial" w:hAnsi="Arial" w:hint="default"/>
      </w:rPr>
    </w:lvl>
    <w:lvl w:ilvl="1" w:tplc="48A43B66" w:tentative="1">
      <w:start w:val="1"/>
      <w:numFmt w:val="bullet"/>
      <w:lvlText w:val="•"/>
      <w:lvlJc w:val="left"/>
      <w:pPr>
        <w:tabs>
          <w:tab w:val="num" w:pos="1440"/>
        </w:tabs>
        <w:ind w:left="1440" w:hanging="360"/>
      </w:pPr>
      <w:rPr>
        <w:rFonts w:ascii="Arial" w:hAnsi="Arial" w:hint="default"/>
      </w:rPr>
    </w:lvl>
    <w:lvl w:ilvl="2" w:tplc="1E0C1BC2" w:tentative="1">
      <w:start w:val="1"/>
      <w:numFmt w:val="bullet"/>
      <w:lvlText w:val="•"/>
      <w:lvlJc w:val="left"/>
      <w:pPr>
        <w:tabs>
          <w:tab w:val="num" w:pos="2160"/>
        </w:tabs>
        <w:ind w:left="2160" w:hanging="360"/>
      </w:pPr>
      <w:rPr>
        <w:rFonts w:ascii="Arial" w:hAnsi="Arial" w:hint="default"/>
      </w:rPr>
    </w:lvl>
    <w:lvl w:ilvl="3" w:tplc="595ED102" w:tentative="1">
      <w:start w:val="1"/>
      <w:numFmt w:val="bullet"/>
      <w:lvlText w:val="•"/>
      <w:lvlJc w:val="left"/>
      <w:pPr>
        <w:tabs>
          <w:tab w:val="num" w:pos="2880"/>
        </w:tabs>
        <w:ind w:left="2880" w:hanging="360"/>
      </w:pPr>
      <w:rPr>
        <w:rFonts w:ascii="Arial" w:hAnsi="Arial" w:hint="default"/>
      </w:rPr>
    </w:lvl>
    <w:lvl w:ilvl="4" w:tplc="DDACA60C" w:tentative="1">
      <w:start w:val="1"/>
      <w:numFmt w:val="bullet"/>
      <w:lvlText w:val="•"/>
      <w:lvlJc w:val="left"/>
      <w:pPr>
        <w:tabs>
          <w:tab w:val="num" w:pos="3600"/>
        </w:tabs>
        <w:ind w:left="3600" w:hanging="360"/>
      </w:pPr>
      <w:rPr>
        <w:rFonts w:ascii="Arial" w:hAnsi="Arial" w:hint="default"/>
      </w:rPr>
    </w:lvl>
    <w:lvl w:ilvl="5" w:tplc="AC6A0BE8" w:tentative="1">
      <w:start w:val="1"/>
      <w:numFmt w:val="bullet"/>
      <w:lvlText w:val="•"/>
      <w:lvlJc w:val="left"/>
      <w:pPr>
        <w:tabs>
          <w:tab w:val="num" w:pos="4320"/>
        </w:tabs>
        <w:ind w:left="4320" w:hanging="360"/>
      </w:pPr>
      <w:rPr>
        <w:rFonts w:ascii="Arial" w:hAnsi="Arial" w:hint="default"/>
      </w:rPr>
    </w:lvl>
    <w:lvl w:ilvl="6" w:tplc="435C867C" w:tentative="1">
      <w:start w:val="1"/>
      <w:numFmt w:val="bullet"/>
      <w:lvlText w:val="•"/>
      <w:lvlJc w:val="left"/>
      <w:pPr>
        <w:tabs>
          <w:tab w:val="num" w:pos="5040"/>
        </w:tabs>
        <w:ind w:left="5040" w:hanging="360"/>
      </w:pPr>
      <w:rPr>
        <w:rFonts w:ascii="Arial" w:hAnsi="Arial" w:hint="default"/>
      </w:rPr>
    </w:lvl>
    <w:lvl w:ilvl="7" w:tplc="B9244FC2" w:tentative="1">
      <w:start w:val="1"/>
      <w:numFmt w:val="bullet"/>
      <w:lvlText w:val="•"/>
      <w:lvlJc w:val="left"/>
      <w:pPr>
        <w:tabs>
          <w:tab w:val="num" w:pos="5760"/>
        </w:tabs>
        <w:ind w:left="5760" w:hanging="360"/>
      </w:pPr>
      <w:rPr>
        <w:rFonts w:ascii="Arial" w:hAnsi="Arial" w:hint="default"/>
      </w:rPr>
    </w:lvl>
    <w:lvl w:ilvl="8" w:tplc="2AC87D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F043C15"/>
    <w:multiLevelType w:val="multilevel"/>
    <w:tmpl w:val="1AFE0A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3B5F7A"/>
    <w:multiLevelType w:val="multilevel"/>
    <w:tmpl w:val="439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22DB8"/>
    <w:multiLevelType w:val="multilevel"/>
    <w:tmpl w:val="5182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992365">
    <w:abstractNumId w:val="10"/>
  </w:num>
  <w:num w:numId="2" w16cid:durableId="490757660">
    <w:abstractNumId w:val="6"/>
  </w:num>
  <w:num w:numId="3" w16cid:durableId="2110462575">
    <w:abstractNumId w:val="1"/>
  </w:num>
  <w:num w:numId="4" w16cid:durableId="624695259">
    <w:abstractNumId w:val="7"/>
  </w:num>
  <w:num w:numId="5" w16cid:durableId="770274611">
    <w:abstractNumId w:val="12"/>
  </w:num>
  <w:num w:numId="6" w16cid:durableId="218442905">
    <w:abstractNumId w:val="3"/>
  </w:num>
  <w:num w:numId="7" w16cid:durableId="1401055934">
    <w:abstractNumId w:val="2"/>
  </w:num>
  <w:num w:numId="8" w16cid:durableId="1977683559">
    <w:abstractNumId w:val="14"/>
  </w:num>
  <w:num w:numId="9" w16cid:durableId="1912039544">
    <w:abstractNumId w:val="8"/>
  </w:num>
  <w:num w:numId="10" w16cid:durableId="1792479557">
    <w:abstractNumId w:val="15"/>
  </w:num>
  <w:num w:numId="11" w16cid:durableId="681707921">
    <w:abstractNumId w:val="9"/>
  </w:num>
  <w:num w:numId="12" w16cid:durableId="2129466973">
    <w:abstractNumId w:val="5"/>
  </w:num>
  <w:num w:numId="13" w16cid:durableId="1904901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3169129">
    <w:abstractNumId w:val="4"/>
  </w:num>
  <w:num w:numId="15" w16cid:durableId="1773086189">
    <w:abstractNumId w:val="0"/>
  </w:num>
  <w:num w:numId="16" w16cid:durableId="139716340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limigundla Amarnath">
    <w15:presenceInfo w15:providerId="Windows Live" w15:userId="09e92991e4327d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yMDKxNDM1trA0tDBS0lEKTi0uzszPAykwrAUAu74PLywAAAA="/>
  </w:docVars>
  <w:rsids>
    <w:rsidRoot w:val="0071629D"/>
    <w:rsid w:val="000252EE"/>
    <w:rsid w:val="000610C3"/>
    <w:rsid w:val="000A4BDF"/>
    <w:rsid w:val="000B18BC"/>
    <w:rsid w:val="000D1A0F"/>
    <w:rsid w:val="00132F52"/>
    <w:rsid w:val="00140297"/>
    <w:rsid w:val="00163742"/>
    <w:rsid w:val="00185146"/>
    <w:rsid w:val="00202283"/>
    <w:rsid w:val="0021181D"/>
    <w:rsid w:val="00264337"/>
    <w:rsid w:val="002A21A1"/>
    <w:rsid w:val="002C10CD"/>
    <w:rsid w:val="002D3810"/>
    <w:rsid w:val="00316CB2"/>
    <w:rsid w:val="00321207"/>
    <w:rsid w:val="00325341"/>
    <w:rsid w:val="00335D3A"/>
    <w:rsid w:val="003A6CED"/>
    <w:rsid w:val="003B6923"/>
    <w:rsid w:val="003D2D89"/>
    <w:rsid w:val="003E449E"/>
    <w:rsid w:val="004167B3"/>
    <w:rsid w:val="00426EB9"/>
    <w:rsid w:val="004309A5"/>
    <w:rsid w:val="00447A69"/>
    <w:rsid w:val="004504A1"/>
    <w:rsid w:val="00480377"/>
    <w:rsid w:val="004900D5"/>
    <w:rsid w:val="004B252D"/>
    <w:rsid w:val="004B50C9"/>
    <w:rsid w:val="004C6755"/>
    <w:rsid w:val="004F6C5B"/>
    <w:rsid w:val="00502922"/>
    <w:rsid w:val="00581C48"/>
    <w:rsid w:val="00593FE2"/>
    <w:rsid w:val="005E025F"/>
    <w:rsid w:val="005E62A5"/>
    <w:rsid w:val="005F2579"/>
    <w:rsid w:val="00600047"/>
    <w:rsid w:val="00634BE8"/>
    <w:rsid w:val="006478EC"/>
    <w:rsid w:val="00680FCD"/>
    <w:rsid w:val="006A6809"/>
    <w:rsid w:val="006B78DD"/>
    <w:rsid w:val="006D19D9"/>
    <w:rsid w:val="0071629D"/>
    <w:rsid w:val="00717EB7"/>
    <w:rsid w:val="00744EBA"/>
    <w:rsid w:val="00745492"/>
    <w:rsid w:val="00776C5C"/>
    <w:rsid w:val="007A53A9"/>
    <w:rsid w:val="007E1797"/>
    <w:rsid w:val="00802232"/>
    <w:rsid w:val="00823E82"/>
    <w:rsid w:val="00885D71"/>
    <w:rsid w:val="009024C3"/>
    <w:rsid w:val="00902659"/>
    <w:rsid w:val="00964283"/>
    <w:rsid w:val="009B32AA"/>
    <w:rsid w:val="009C79FD"/>
    <w:rsid w:val="009D3686"/>
    <w:rsid w:val="009E7C3A"/>
    <w:rsid w:val="009F53CB"/>
    <w:rsid w:val="00A360D9"/>
    <w:rsid w:val="00A42A3A"/>
    <w:rsid w:val="00A64019"/>
    <w:rsid w:val="00A86193"/>
    <w:rsid w:val="00AB6F73"/>
    <w:rsid w:val="00AE1BAA"/>
    <w:rsid w:val="00AE2253"/>
    <w:rsid w:val="00AE6C7B"/>
    <w:rsid w:val="00B1714E"/>
    <w:rsid w:val="00B27F69"/>
    <w:rsid w:val="00B5012E"/>
    <w:rsid w:val="00B75694"/>
    <w:rsid w:val="00B95677"/>
    <w:rsid w:val="00BA0951"/>
    <w:rsid w:val="00BA57C3"/>
    <w:rsid w:val="00BE45C9"/>
    <w:rsid w:val="00BE6A7A"/>
    <w:rsid w:val="00BF5892"/>
    <w:rsid w:val="00C07175"/>
    <w:rsid w:val="00C16BB5"/>
    <w:rsid w:val="00C64CC8"/>
    <w:rsid w:val="00CC1185"/>
    <w:rsid w:val="00CC6043"/>
    <w:rsid w:val="00CF0846"/>
    <w:rsid w:val="00D321A5"/>
    <w:rsid w:val="00D62C8D"/>
    <w:rsid w:val="00D66351"/>
    <w:rsid w:val="00D87C3C"/>
    <w:rsid w:val="00D92D0B"/>
    <w:rsid w:val="00DE0A58"/>
    <w:rsid w:val="00DF21C6"/>
    <w:rsid w:val="00E04623"/>
    <w:rsid w:val="00E33274"/>
    <w:rsid w:val="00E72F3A"/>
    <w:rsid w:val="00E80BFC"/>
    <w:rsid w:val="00E81D01"/>
    <w:rsid w:val="00EE016B"/>
    <w:rsid w:val="00EE393D"/>
    <w:rsid w:val="00F025BC"/>
    <w:rsid w:val="00F20CBD"/>
    <w:rsid w:val="00F260D3"/>
    <w:rsid w:val="00F37221"/>
    <w:rsid w:val="00F46B84"/>
    <w:rsid w:val="00FB6EA3"/>
    <w:rsid w:val="00FE1BCE"/>
    <w:rsid w:val="00FE5E1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AA648"/>
  <w15:chartTrackingRefBased/>
  <w15:docId w15:val="{155B9CC0-616B-4B89-85B9-2E72364E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29D"/>
    <w:pPr>
      <w:spacing w:after="0" w:line="240" w:lineRule="auto"/>
      <w:ind w:left="720"/>
      <w:contextualSpacing/>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E016B"/>
    <w:rPr>
      <w:color w:val="0563C1" w:themeColor="hyperlink"/>
      <w:u w:val="single"/>
    </w:rPr>
  </w:style>
  <w:style w:type="character" w:customStyle="1" w:styleId="UnresolvedMention1">
    <w:name w:val="Unresolved Mention1"/>
    <w:basedOn w:val="DefaultParagraphFont"/>
    <w:uiPriority w:val="99"/>
    <w:semiHidden/>
    <w:unhideWhenUsed/>
    <w:rsid w:val="00EE016B"/>
    <w:rPr>
      <w:color w:val="605E5C"/>
      <w:shd w:val="clear" w:color="auto" w:fill="E1DFDD"/>
    </w:rPr>
  </w:style>
  <w:style w:type="table" w:styleId="TableGrid">
    <w:name w:val="Table Grid"/>
    <w:basedOn w:val="TableNormal"/>
    <w:uiPriority w:val="39"/>
    <w:rsid w:val="002D381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221"/>
  </w:style>
  <w:style w:type="paragraph" w:styleId="Footer">
    <w:name w:val="footer"/>
    <w:basedOn w:val="Normal"/>
    <w:link w:val="FooterChar"/>
    <w:uiPriority w:val="99"/>
    <w:unhideWhenUsed/>
    <w:rsid w:val="00F37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221"/>
  </w:style>
  <w:style w:type="character" w:styleId="CommentReference">
    <w:name w:val="annotation reference"/>
    <w:basedOn w:val="DefaultParagraphFont"/>
    <w:uiPriority w:val="99"/>
    <w:semiHidden/>
    <w:unhideWhenUsed/>
    <w:rsid w:val="000D1A0F"/>
    <w:rPr>
      <w:sz w:val="16"/>
      <w:szCs w:val="16"/>
    </w:rPr>
  </w:style>
  <w:style w:type="paragraph" w:styleId="CommentText">
    <w:name w:val="annotation text"/>
    <w:basedOn w:val="Normal"/>
    <w:link w:val="CommentTextChar"/>
    <w:uiPriority w:val="99"/>
    <w:unhideWhenUsed/>
    <w:rsid w:val="000D1A0F"/>
    <w:pPr>
      <w:spacing w:line="240" w:lineRule="auto"/>
    </w:pPr>
    <w:rPr>
      <w:sz w:val="20"/>
      <w:szCs w:val="20"/>
    </w:rPr>
  </w:style>
  <w:style w:type="character" w:customStyle="1" w:styleId="CommentTextChar">
    <w:name w:val="Comment Text Char"/>
    <w:basedOn w:val="DefaultParagraphFont"/>
    <w:link w:val="CommentText"/>
    <w:uiPriority w:val="99"/>
    <w:rsid w:val="000D1A0F"/>
    <w:rPr>
      <w:sz w:val="20"/>
      <w:szCs w:val="20"/>
    </w:rPr>
  </w:style>
  <w:style w:type="paragraph" w:styleId="CommentSubject">
    <w:name w:val="annotation subject"/>
    <w:basedOn w:val="CommentText"/>
    <w:next w:val="CommentText"/>
    <w:link w:val="CommentSubjectChar"/>
    <w:uiPriority w:val="99"/>
    <w:semiHidden/>
    <w:unhideWhenUsed/>
    <w:rsid w:val="000D1A0F"/>
    <w:rPr>
      <w:b/>
      <w:bCs/>
    </w:rPr>
  </w:style>
  <w:style w:type="character" w:customStyle="1" w:styleId="CommentSubjectChar">
    <w:name w:val="Comment Subject Char"/>
    <w:basedOn w:val="CommentTextChar"/>
    <w:link w:val="CommentSubject"/>
    <w:uiPriority w:val="99"/>
    <w:semiHidden/>
    <w:rsid w:val="000D1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2924">
      <w:bodyDiv w:val="1"/>
      <w:marLeft w:val="0"/>
      <w:marRight w:val="0"/>
      <w:marTop w:val="0"/>
      <w:marBottom w:val="0"/>
      <w:divBdr>
        <w:top w:val="none" w:sz="0" w:space="0" w:color="auto"/>
        <w:left w:val="none" w:sz="0" w:space="0" w:color="auto"/>
        <w:bottom w:val="none" w:sz="0" w:space="0" w:color="auto"/>
        <w:right w:val="none" w:sz="0" w:space="0" w:color="auto"/>
      </w:divBdr>
    </w:div>
    <w:div w:id="357439435">
      <w:bodyDiv w:val="1"/>
      <w:marLeft w:val="0"/>
      <w:marRight w:val="0"/>
      <w:marTop w:val="0"/>
      <w:marBottom w:val="0"/>
      <w:divBdr>
        <w:top w:val="none" w:sz="0" w:space="0" w:color="auto"/>
        <w:left w:val="none" w:sz="0" w:space="0" w:color="auto"/>
        <w:bottom w:val="none" w:sz="0" w:space="0" w:color="auto"/>
        <w:right w:val="none" w:sz="0" w:space="0" w:color="auto"/>
      </w:divBdr>
    </w:div>
    <w:div w:id="461921634">
      <w:bodyDiv w:val="1"/>
      <w:marLeft w:val="0"/>
      <w:marRight w:val="0"/>
      <w:marTop w:val="0"/>
      <w:marBottom w:val="0"/>
      <w:divBdr>
        <w:top w:val="none" w:sz="0" w:space="0" w:color="auto"/>
        <w:left w:val="none" w:sz="0" w:space="0" w:color="auto"/>
        <w:bottom w:val="none" w:sz="0" w:space="0" w:color="auto"/>
        <w:right w:val="none" w:sz="0" w:space="0" w:color="auto"/>
      </w:divBdr>
    </w:div>
    <w:div w:id="623197187">
      <w:bodyDiv w:val="1"/>
      <w:marLeft w:val="0"/>
      <w:marRight w:val="0"/>
      <w:marTop w:val="0"/>
      <w:marBottom w:val="0"/>
      <w:divBdr>
        <w:top w:val="none" w:sz="0" w:space="0" w:color="auto"/>
        <w:left w:val="none" w:sz="0" w:space="0" w:color="auto"/>
        <w:bottom w:val="none" w:sz="0" w:space="0" w:color="auto"/>
        <w:right w:val="none" w:sz="0" w:space="0" w:color="auto"/>
      </w:divBdr>
    </w:div>
    <w:div w:id="784151235">
      <w:bodyDiv w:val="1"/>
      <w:marLeft w:val="0"/>
      <w:marRight w:val="0"/>
      <w:marTop w:val="0"/>
      <w:marBottom w:val="0"/>
      <w:divBdr>
        <w:top w:val="none" w:sz="0" w:space="0" w:color="auto"/>
        <w:left w:val="none" w:sz="0" w:space="0" w:color="auto"/>
        <w:bottom w:val="none" w:sz="0" w:space="0" w:color="auto"/>
        <w:right w:val="none" w:sz="0" w:space="0" w:color="auto"/>
      </w:divBdr>
    </w:div>
    <w:div w:id="880752119">
      <w:bodyDiv w:val="1"/>
      <w:marLeft w:val="0"/>
      <w:marRight w:val="0"/>
      <w:marTop w:val="0"/>
      <w:marBottom w:val="0"/>
      <w:divBdr>
        <w:top w:val="none" w:sz="0" w:space="0" w:color="auto"/>
        <w:left w:val="none" w:sz="0" w:space="0" w:color="auto"/>
        <w:bottom w:val="none" w:sz="0" w:space="0" w:color="auto"/>
        <w:right w:val="none" w:sz="0" w:space="0" w:color="auto"/>
      </w:divBdr>
      <w:divsChild>
        <w:div w:id="1711951633">
          <w:marLeft w:val="360"/>
          <w:marRight w:val="0"/>
          <w:marTop w:val="200"/>
          <w:marBottom w:val="0"/>
          <w:divBdr>
            <w:top w:val="none" w:sz="0" w:space="0" w:color="auto"/>
            <w:left w:val="none" w:sz="0" w:space="0" w:color="auto"/>
            <w:bottom w:val="none" w:sz="0" w:space="0" w:color="auto"/>
            <w:right w:val="none" w:sz="0" w:space="0" w:color="auto"/>
          </w:divBdr>
        </w:div>
        <w:div w:id="838540061">
          <w:marLeft w:val="360"/>
          <w:marRight w:val="0"/>
          <w:marTop w:val="200"/>
          <w:marBottom w:val="0"/>
          <w:divBdr>
            <w:top w:val="none" w:sz="0" w:space="0" w:color="auto"/>
            <w:left w:val="none" w:sz="0" w:space="0" w:color="auto"/>
            <w:bottom w:val="none" w:sz="0" w:space="0" w:color="auto"/>
            <w:right w:val="none" w:sz="0" w:space="0" w:color="auto"/>
          </w:divBdr>
        </w:div>
        <w:div w:id="1701475018">
          <w:marLeft w:val="360"/>
          <w:marRight w:val="0"/>
          <w:marTop w:val="200"/>
          <w:marBottom w:val="0"/>
          <w:divBdr>
            <w:top w:val="none" w:sz="0" w:space="0" w:color="auto"/>
            <w:left w:val="none" w:sz="0" w:space="0" w:color="auto"/>
            <w:bottom w:val="none" w:sz="0" w:space="0" w:color="auto"/>
            <w:right w:val="none" w:sz="0" w:space="0" w:color="auto"/>
          </w:divBdr>
        </w:div>
        <w:div w:id="1473403268">
          <w:marLeft w:val="360"/>
          <w:marRight w:val="0"/>
          <w:marTop w:val="200"/>
          <w:marBottom w:val="0"/>
          <w:divBdr>
            <w:top w:val="none" w:sz="0" w:space="0" w:color="auto"/>
            <w:left w:val="none" w:sz="0" w:space="0" w:color="auto"/>
            <w:bottom w:val="none" w:sz="0" w:space="0" w:color="auto"/>
            <w:right w:val="none" w:sz="0" w:space="0" w:color="auto"/>
          </w:divBdr>
        </w:div>
      </w:divsChild>
    </w:div>
    <w:div w:id="948391953">
      <w:bodyDiv w:val="1"/>
      <w:marLeft w:val="0"/>
      <w:marRight w:val="0"/>
      <w:marTop w:val="0"/>
      <w:marBottom w:val="0"/>
      <w:divBdr>
        <w:top w:val="none" w:sz="0" w:space="0" w:color="auto"/>
        <w:left w:val="none" w:sz="0" w:space="0" w:color="auto"/>
        <w:bottom w:val="none" w:sz="0" w:space="0" w:color="auto"/>
        <w:right w:val="none" w:sz="0" w:space="0" w:color="auto"/>
      </w:divBdr>
      <w:divsChild>
        <w:div w:id="357514962">
          <w:marLeft w:val="360"/>
          <w:marRight w:val="0"/>
          <w:marTop w:val="200"/>
          <w:marBottom w:val="0"/>
          <w:divBdr>
            <w:top w:val="none" w:sz="0" w:space="0" w:color="auto"/>
            <w:left w:val="none" w:sz="0" w:space="0" w:color="auto"/>
            <w:bottom w:val="none" w:sz="0" w:space="0" w:color="auto"/>
            <w:right w:val="none" w:sz="0" w:space="0" w:color="auto"/>
          </w:divBdr>
        </w:div>
        <w:div w:id="716390446">
          <w:marLeft w:val="360"/>
          <w:marRight w:val="0"/>
          <w:marTop w:val="200"/>
          <w:marBottom w:val="0"/>
          <w:divBdr>
            <w:top w:val="none" w:sz="0" w:space="0" w:color="auto"/>
            <w:left w:val="none" w:sz="0" w:space="0" w:color="auto"/>
            <w:bottom w:val="none" w:sz="0" w:space="0" w:color="auto"/>
            <w:right w:val="none" w:sz="0" w:space="0" w:color="auto"/>
          </w:divBdr>
        </w:div>
      </w:divsChild>
    </w:div>
    <w:div w:id="1003165665">
      <w:bodyDiv w:val="1"/>
      <w:marLeft w:val="0"/>
      <w:marRight w:val="0"/>
      <w:marTop w:val="0"/>
      <w:marBottom w:val="0"/>
      <w:divBdr>
        <w:top w:val="none" w:sz="0" w:space="0" w:color="auto"/>
        <w:left w:val="none" w:sz="0" w:space="0" w:color="auto"/>
        <w:bottom w:val="none" w:sz="0" w:space="0" w:color="auto"/>
        <w:right w:val="none" w:sz="0" w:space="0" w:color="auto"/>
      </w:divBdr>
      <w:divsChild>
        <w:div w:id="562641181">
          <w:marLeft w:val="360"/>
          <w:marRight w:val="0"/>
          <w:marTop w:val="200"/>
          <w:marBottom w:val="0"/>
          <w:divBdr>
            <w:top w:val="none" w:sz="0" w:space="0" w:color="auto"/>
            <w:left w:val="none" w:sz="0" w:space="0" w:color="auto"/>
            <w:bottom w:val="none" w:sz="0" w:space="0" w:color="auto"/>
            <w:right w:val="none" w:sz="0" w:space="0" w:color="auto"/>
          </w:divBdr>
        </w:div>
        <w:div w:id="525143312">
          <w:marLeft w:val="360"/>
          <w:marRight w:val="0"/>
          <w:marTop w:val="200"/>
          <w:marBottom w:val="0"/>
          <w:divBdr>
            <w:top w:val="none" w:sz="0" w:space="0" w:color="auto"/>
            <w:left w:val="none" w:sz="0" w:space="0" w:color="auto"/>
            <w:bottom w:val="none" w:sz="0" w:space="0" w:color="auto"/>
            <w:right w:val="none" w:sz="0" w:space="0" w:color="auto"/>
          </w:divBdr>
        </w:div>
      </w:divsChild>
    </w:div>
    <w:div w:id="1036663685">
      <w:bodyDiv w:val="1"/>
      <w:marLeft w:val="0"/>
      <w:marRight w:val="0"/>
      <w:marTop w:val="0"/>
      <w:marBottom w:val="0"/>
      <w:divBdr>
        <w:top w:val="none" w:sz="0" w:space="0" w:color="auto"/>
        <w:left w:val="none" w:sz="0" w:space="0" w:color="auto"/>
        <w:bottom w:val="none" w:sz="0" w:space="0" w:color="auto"/>
        <w:right w:val="none" w:sz="0" w:space="0" w:color="auto"/>
      </w:divBdr>
      <w:divsChild>
        <w:div w:id="1456290306">
          <w:marLeft w:val="360"/>
          <w:marRight w:val="0"/>
          <w:marTop w:val="200"/>
          <w:marBottom w:val="0"/>
          <w:divBdr>
            <w:top w:val="none" w:sz="0" w:space="0" w:color="auto"/>
            <w:left w:val="none" w:sz="0" w:space="0" w:color="auto"/>
            <w:bottom w:val="none" w:sz="0" w:space="0" w:color="auto"/>
            <w:right w:val="none" w:sz="0" w:space="0" w:color="auto"/>
          </w:divBdr>
        </w:div>
        <w:div w:id="748842390">
          <w:marLeft w:val="360"/>
          <w:marRight w:val="0"/>
          <w:marTop w:val="200"/>
          <w:marBottom w:val="0"/>
          <w:divBdr>
            <w:top w:val="none" w:sz="0" w:space="0" w:color="auto"/>
            <w:left w:val="none" w:sz="0" w:space="0" w:color="auto"/>
            <w:bottom w:val="none" w:sz="0" w:space="0" w:color="auto"/>
            <w:right w:val="none" w:sz="0" w:space="0" w:color="auto"/>
          </w:divBdr>
        </w:div>
      </w:divsChild>
    </w:div>
    <w:div w:id="1127044520">
      <w:bodyDiv w:val="1"/>
      <w:marLeft w:val="0"/>
      <w:marRight w:val="0"/>
      <w:marTop w:val="0"/>
      <w:marBottom w:val="0"/>
      <w:divBdr>
        <w:top w:val="none" w:sz="0" w:space="0" w:color="auto"/>
        <w:left w:val="none" w:sz="0" w:space="0" w:color="auto"/>
        <w:bottom w:val="none" w:sz="0" w:space="0" w:color="auto"/>
        <w:right w:val="none" w:sz="0" w:space="0" w:color="auto"/>
      </w:divBdr>
    </w:div>
    <w:div w:id="1160778057">
      <w:bodyDiv w:val="1"/>
      <w:marLeft w:val="0"/>
      <w:marRight w:val="0"/>
      <w:marTop w:val="0"/>
      <w:marBottom w:val="0"/>
      <w:divBdr>
        <w:top w:val="none" w:sz="0" w:space="0" w:color="auto"/>
        <w:left w:val="none" w:sz="0" w:space="0" w:color="auto"/>
        <w:bottom w:val="none" w:sz="0" w:space="0" w:color="auto"/>
        <w:right w:val="none" w:sz="0" w:space="0" w:color="auto"/>
      </w:divBdr>
    </w:div>
    <w:div w:id="1430202535">
      <w:bodyDiv w:val="1"/>
      <w:marLeft w:val="0"/>
      <w:marRight w:val="0"/>
      <w:marTop w:val="0"/>
      <w:marBottom w:val="0"/>
      <w:divBdr>
        <w:top w:val="none" w:sz="0" w:space="0" w:color="auto"/>
        <w:left w:val="none" w:sz="0" w:space="0" w:color="auto"/>
        <w:bottom w:val="none" w:sz="0" w:space="0" w:color="auto"/>
        <w:right w:val="none" w:sz="0" w:space="0" w:color="auto"/>
      </w:divBdr>
    </w:div>
    <w:div w:id="1838766460">
      <w:bodyDiv w:val="1"/>
      <w:marLeft w:val="0"/>
      <w:marRight w:val="0"/>
      <w:marTop w:val="0"/>
      <w:marBottom w:val="0"/>
      <w:divBdr>
        <w:top w:val="none" w:sz="0" w:space="0" w:color="auto"/>
        <w:left w:val="none" w:sz="0" w:space="0" w:color="auto"/>
        <w:bottom w:val="none" w:sz="0" w:space="0" w:color="auto"/>
        <w:right w:val="none" w:sz="0" w:space="0" w:color="auto"/>
      </w:divBdr>
      <w:divsChild>
        <w:div w:id="1925336739">
          <w:marLeft w:val="360"/>
          <w:marRight w:val="0"/>
          <w:marTop w:val="200"/>
          <w:marBottom w:val="0"/>
          <w:divBdr>
            <w:top w:val="none" w:sz="0" w:space="0" w:color="auto"/>
            <w:left w:val="none" w:sz="0" w:space="0" w:color="auto"/>
            <w:bottom w:val="none" w:sz="0" w:space="0" w:color="auto"/>
            <w:right w:val="none" w:sz="0" w:space="0" w:color="auto"/>
          </w:divBdr>
        </w:div>
      </w:divsChild>
    </w:div>
    <w:div w:id="1843667256">
      <w:bodyDiv w:val="1"/>
      <w:marLeft w:val="0"/>
      <w:marRight w:val="0"/>
      <w:marTop w:val="0"/>
      <w:marBottom w:val="0"/>
      <w:divBdr>
        <w:top w:val="none" w:sz="0" w:space="0" w:color="auto"/>
        <w:left w:val="none" w:sz="0" w:space="0" w:color="auto"/>
        <w:bottom w:val="none" w:sz="0" w:space="0" w:color="auto"/>
        <w:right w:val="none" w:sz="0" w:space="0" w:color="auto"/>
      </w:divBdr>
    </w:div>
    <w:div w:id="207211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cholar.google.com/citations?user=AEiNioYAAAAJ&amp;hl=en&amp;oi=sra"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scholar.google.com/citations?user=RXUA7goAAAAJ&amp;hl=en&amp;oi=sra"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cholar.google.com/citations?user=ZPyKVZQAAAAJ&amp;hl=en&amp;oi=sra" TargetMode="External"/><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genomics.com/whole-exome-sequencing.html"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3.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cell.com/molecular-plant/fulltext/S1674-2052(22)00014-4"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1A43E-766E-4645-8E6E-9C5FFE8C2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34</Pages>
  <Words>11276</Words>
  <Characters>64276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Aswathy Nair R S</dc:creator>
  <cp:keywords/>
  <dc:description/>
  <cp:lastModifiedBy>kolimigundla Amarnath</cp:lastModifiedBy>
  <cp:revision>44</cp:revision>
  <cp:lastPrinted>2024-08-01T09:25:00Z</cp:lastPrinted>
  <dcterms:created xsi:type="dcterms:W3CDTF">2025-05-08T07:21:00Z</dcterms:created>
  <dcterms:modified xsi:type="dcterms:W3CDTF">2026-02-13T05:06:00Z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9ebbbfa4-9c22-4741-afe0-5f84478c712a</vt:lpwstr>
  </property>
</Properties>
</file>