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0B16" w14:textId="77777777" w:rsidR="00A14203" w:rsidRDefault="00A14203" w:rsidP="00A14203">
      <w:pPr>
        <w:spacing w:before="100" w:beforeAutospacing="1" w:after="100" w:afterAutospacing="1" w:line="240" w:lineRule="auto"/>
        <w:rPr>
          <w:rFonts w:ascii="Times New Roman" w:eastAsia="Times New Roman" w:hAnsi="Times New Roman" w:cs="Times New Roman"/>
          <w:b/>
          <w:bCs/>
          <w:kern w:val="0"/>
        </w:rPr>
      </w:pPr>
      <w:r w:rsidRPr="00466766">
        <w:rPr>
          <w:rFonts w:ascii="Times New Roman" w:eastAsia="Times New Roman" w:hAnsi="Times New Roman" w:cs="Times New Roman"/>
          <w:b/>
          <w:bCs/>
          <w:kern w:val="0"/>
        </w:rPr>
        <w:t>The Application of Artificial Intelligence in Transforming Agriculture in Ghana: A Systematic Review of Empirical Evidence, Impacts, and Scaling Constraints</w:t>
      </w:r>
      <w:r w:rsidR="00435E44">
        <w:rPr>
          <w:rFonts w:ascii="Times New Roman" w:eastAsia="Times New Roman" w:hAnsi="Times New Roman" w:cs="Times New Roman"/>
          <w:b/>
          <w:bCs/>
          <w:kern w:val="0"/>
        </w:rPr>
        <w:t xml:space="preserve">. </w:t>
      </w:r>
    </w:p>
    <w:p w14:paraId="5C181030" w14:textId="77777777" w:rsidR="00FD58C5" w:rsidRDefault="00FD58C5" w:rsidP="001E2E21">
      <w:pPr>
        <w:spacing w:before="100" w:beforeAutospacing="1" w:after="100" w:afterAutospacing="1" w:line="240" w:lineRule="auto"/>
        <w:outlineLvl w:val="1"/>
        <w:rPr>
          <w:rFonts w:ascii="Times New Roman" w:eastAsia="Times New Roman" w:hAnsi="Times New Roman" w:cs="Times New Roman"/>
          <w:b/>
          <w:bCs/>
          <w:kern w:val="0"/>
        </w:rPr>
      </w:pPr>
    </w:p>
    <w:p w14:paraId="2231E4A5" w14:textId="77777777" w:rsidR="001E2E21" w:rsidRPr="001E2E21" w:rsidRDefault="001E2E21" w:rsidP="001E2E21">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Abstract</w:t>
      </w:r>
    </w:p>
    <w:p w14:paraId="6F1D544C" w14:textId="77777777"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Background</w:t>
      </w:r>
    </w:p>
    <w:p w14:paraId="5337D6F4" w14:textId="77777777"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Agriculture remains a cornerstone of Ghana’s economy, contributing significantly to employment, rural livelihoods, and food security. However, persistent challenges related to low productivity, climate variability, market inefficiencies, and limited extension capacity continue to constrain sectoral performance. Recent advances in artificial intelligence (AI) offer new opportunities to address these challenges through data-driven decision support, precision farming, and digital value-chain integration.</w:t>
      </w:r>
    </w:p>
    <w:p w14:paraId="203E257C" w14:textId="77777777"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Methods</w:t>
      </w:r>
    </w:p>
    <w:p w14:paraId="0B30CD88" w14:textId="77777777"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 xml:space="preserve">This study conducted a </w:t>
      </w:r>
      <w:r w:rsidRPr="001E2E21">
        <w:rPr>
          <w:rFonts w:ascii="Times New Roman" w:eastAsia="Times New Roman" w:hAnsi="Times New Roman" w:cs="Times New Roman"/>
          <w:b/>
          <w:bCs/>
          <w:kern w:val="0"/>
        </w:rPr>
        <w:t>PRISMA 2020–compliant systematic review</w:t>
      </w:r>
      <w:r w:rsidRPr="001E2E21">
        <w:rPr>
          <w:rFonts w:ascii="Times New Roman" w:eastAsia="Times New Roman" w:hAnsi="Times New Roman" w:cs="Times New Roman"/>
          <w:kern w:val="0"/>
        </w:rPr>
        <w:t xml:space="preserve"> of peer-reviewed and grey literature published between </w:t>
      </w:r>
      <w:r w:rsidRPr="001E2E21">
        <w:rPr>
          <w:rFonts w:ascii="Times New Roman" w:eastAsia="Times New Roman" w:hAnsi="Times New Roman" w:cs="Times New Roman"/>
          <w:b/>
          <w:bCs/>
          <w:kern w:val="0"/>
        </w:rPr>
        <w:t>2015 and 2025</w:t>
      </w:r>
      <w:r w:rsidRPr="001E2E21">
        <w:rPr>
          <w:rFonts w:ascii="Times New Roman" w:eastAsia="Times New Roman" w:hAnsi="Times New Roman" w:cs="Times New Roman"/>
          <w:kern w:val="0"/>
        </w:rPr>
        <w:t xml:space="preserve">. Searches were conducted across </w:t>
      </w:r>
      <w:r w:rsidRPr="001E2E21">
        <w:rPr>
          <w:rFonts w:ascii="Times New Roman" w:eastAsia="Times New Roman" w:hAnsi="Times New Roman" w:cs="Times New Roman"/>
          <w:b/>
          <w:bCs/>
          <w:kern w:val="0"/>
        </w:rPr>
        <w:t>Scopus, Web of Science, PubMed, IEEE Xplore, and Google Scholar</w:t>
      </w:r>
      <w:r w:rsidRPr="001E2E21">
        <w:rPr>
          <w:rFonts w:ascii="Times New Roman" w:eastAsia="Times New Roman" w:hAnsi="Times New Roman" w:cs="Times New Roman"/>
          <w:kern w:val="0"/>
        </w:rPr>
        <w:t xml:space="preserve">, yielding </w:t>
      </w:r>
      <w:r w:rsidRPr="001E2E21">
        <w:rPr>
          <w:rFonts w:ascii="Times New Roman" w:eastAsia="Times New Roman" w:hAnsi="Times New Roman" w:cs="Times New Roman"/>
          <w:b/>
          <w:bCs/>
          <w:kern w:val="0"/>
        </w:rPr>
        <w:t>78 eligible studies</w:t>
      </w:r>
      <w:r w:rsidRPr="001E2E21">
        <w:rPr>
          <w:rFonts w:ascii="Times New Roman" w:eastAsia="Times New Roman" w:hAnsi="Times New Roman" w:cs="Times New Roman"/>
          <w:kern w:val="0"/>
        </w:rPr>
        <w:t xml:space="preserve"> that examined empirical applications of AI in Ghanaian agriculture. Data were extracted on AI application types, reported outcomes, and adoption barriers, and synthesized using a narrative quantitative approach.</w:t>
      </w:r>
    </w:p>
    <w:p w14:paraId="6A4998D2" w14:textId="77777777"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Results</w:t>
      </w:r>
    </w:p>
    <w:p w14:paraId="247895E5" w14:textId="77777777"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 xml:space="preserve">The review identified </w:t>
      </w:r>
      <w:r w:rsidRPr="001E2E21">
        <w:rPr>
          <w:rFonts w:ascii="Times New Roman" w:eastAsia="Times New Roman" w:hAnsi="Times New Roman" w:cs="Times New Roman"/>
          <w:b/>
          <w:bCs/>
          <w:kern w:val="0"/>
        </w:rPr>
        <w:t>11 empirically evaluated AI pilot initiatives</w:t>
      </w:r>
      <w:r w:rsidRPr="001E2E21">
        <w:rPr>
          <w:rFonts w:ascii="Times New Roman" w:eastAsia="Times New Roman" w:hAnsi="Times New Roman" w:cs="Times New Roman"/>
          <w:kern w:val="0"/>
        </w:rPr>
        <w:t xml:space="preserve"> across crop production, climate services, pest and disease detection, market linkages, and financial inclusion. Aggregated evidence indicates </w:t>
      </w:r>
      <w:r w:rsidRPr="001E2E21">
        <w:rPr>
          <w:rFonts w:ascii="Times New Roman" w:eastAsia="Times New Roman" w:hAnsi="Times New Roman" w:cs="Times New Roman"/>
          <w:b/>
          <w:bCs/>
          <w:kern w:val="0"/>
        </w:rPr>
        <w:t>yield increases ranging from 10% to 92%</w:t>
      </w:r>
      <w:r w:rsidRPr="001E2E21">
        <w:rPr>
          <w:rFonts w:ascii="Times New Roman" w:eastAsia="Times New Roman" w:hAnsi="Times New Roman" w:cs="Times New Roman"/>
          <w:kern w:val="0"/>
        </w:rPr>
        <w:t xml:space="preserve">, </w:t>
      </w:r>
      <w:r w:rsidRPr="001E2E21">
        <w:rPr>
          <w:rFonts w:ascii="Times New Roman" w:eastAsia="Times New Roman" w:hAnsi="Times New Roman" w:cs="Times New Roman"/>
          <w:b/>
          <w:bCs/>
          <w:kern w:val="0"/>
        </w:rPr>
        <w:t>farmer income gains of 10–15%</w:t>
      </w:r>
      <w:r w:rsidRPr="001E2E21">
        <w:rPr>
          <w:rFonts w:ascii="Times New Roman" w:eastAsia="Times New Roman" w:hAnsi="Times New Roman" w:cs="Times New Roman"/>
          <w:kern w:val="0"/>
        </w:rPr>
        <w:t xml:space="preserve">, </w:t>
      </w:r>
      <w:r w:rsidRPr="001E2E21">
        <w:rPr>
          <w:rFonts w:ascii="Times New Roman" w:eastAsia="Times New Roman" w:hAnsi="Times New Roman" w:cs="Times New Roman"/>
          <w:b/>
          <w:bCs/>
          <w:kern w:val="0"/>
        </w:rPr>
        <w:t>reductions in post-harvest losses of 25–30%</w:t>
      </w:r>
      <w:r w:rsidRPr="001E2E21">
        <w:rPr>
          <w:rFonts w:ascii="Times New Roman" w:eastAsia="Times New Roman" w:hAnsi="Times New Roman" w:cs="Times New Roman"/>
          <w:kern w:val="0"/>
        </w:rPr>
        <w:t xml:space="preserve">, and </w:t>
      </w:r>
      <w:r w:rsidRPr="001E2E21">
        <w:rPr>
          <w:rFonts w:ascii="Times New Roman" w:eastAsia="Times New Roman" w:hAnsi="Times New Roman" w:cs="Times New Roman"/>
          <w:b/>
          <w:bCs/>
          <w:kern w:val="0"/>
        </w:rPr>
        <w:t>input efficiency improvements of up to 25%</w:t>
      </w:r>
      <w:r w:rsidRPr="001E2E21">
        <w:rPr>
          <w:rFonts w:ascii="Times New Roman" w:eastAsia="Times New Roman" w:hAnsi="Times New Roman" w:cs="Times New Roman"/>
          <w:kern w:val="0"/>
        </w:rPr>
        <w:t xml:space="preserve">. AI-enabled climate advisory tools improved harvest outcomes for approximately </w:t>
      </w:r>
      <w:r w:rsidRPr="001E2E21">
        <w:rPr>
          <w:rFonts w:ascii="Times New Roman" w:eastAsia="Times New Roman" w:hAnsi="Times New Roman" w:cs="Times New Roman"/>
          <w:b/>
          <w:bCs/>
          <w:kern w:val="0"/>
        </w:rPr>
        <w:t>84% of participating farmers</w:t>
      </w:r>
      <w:r w:rsidRPr="001E2E21">
        <w:rPr>
          <w:rFonts w:ascii="Times New Roman" w:eastAsia="Times New Roman" w:hAnsi="Times New Roman" w:cs="Times New Roman"/>
          <w:kern w:val="0"/>
        </w:rPr>
        <w:t xml:space="preserve">, while digital financial platforms increased formal financial inclusion by </w:t>
      </w:r>
      <w:r w:rsidRPr="001E2E21">
        <w:rPr>
          <w:rFonts w:ascii="Times New Roman" w:eastAsia="Times New Roman" w:hAnsi="Times New Roman" w:cs="Times New Roman"/>
          <w:b/>
          <w:bCs/>
          <w:kern w:val="0"/>
        </w:rPr>
        <w:t>15%</w:t>
      </w:r>
      <w:r w:rsidRPr="001E2E21">
        <w:rPr>
          <w:rFonts w:ascii="Times New Roman" w:eastAsia="Times New Roman" w:hAnsi="Times New Roman" w:cs="Times New Roman"/>
          <w:kern w:val="0"/>
        </w:rPr>
        <w:t>.</w:t>
      </w:r>
    </w:p>
    <w:p w14:paraId="411B315B" w14:textId="77777777"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Limitations</w:t>
      </w:r>
    </w:p>
    <w:p w14:paraId="4B414E9E" w14:textId="77777777"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The evidence base is characterized by heterogeneous methodologies, pilot-scale dominance, and limited longitudinal evaluation.</w:t>
      </w:r>
    </w:p>
    <w:p w14:paraId="2371E615" w14:textId="77777777"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Conclusion</w:t>
      </w:r>
    </w:p>
    <w:p w14:paraId="63946F92" w14:textId="77777777"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 xml:space="preserve">AI applications in Ghanaian agriculture are </w:t>
      </w:r>
      <w:r w:rsidRPr="001E2E21">
        <w:rPr>
          <w:rFonts w:ascii="Times New Roman" w:eastAsia="Times New Roman" w:hAnsi="Times New Roman" w:cs="Times New Roman"/>
          <w:b/>
          <w:bCs/>
          <w:kern w:val="0"/>
        </w:rPr>
        <w:t>technically proven but institutionally constrained</w:t>
      </w:r>
      <w:r w:rsidRPr="001E2E21">
        <w:rPr>
          <w:rFonts w:ascii="Times New Roman" w:eastAsia="Times New Roman" w:hAnsi="Times New Roman" w:cs="Times New Roman"/>
          <w:kern w:val="0"/>
        </w:rPr>
        <w:t>. Scaling their impact will require coordinated policy frameworks, investments in digital infrastructure and data ecosystems, and targeted capacity-building initiatives to enable inclusive and sustainable adoption.</w:t>
      </w:r>
    </w:p>
    <w:p w14:paraId="508919DE" w14:textId="77777777" w:rsidR="001E2E21" w:rsidRPr="001E2E21" w:rsidRDefault="001E2E21" w:rsidP="001E2E21">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lastRenderedPageBreak/>
        <w:t>Keywords</w:t>
      </w:r>
    </w:p>
    <w:p w14:paraId="36B22DB8" w14:textId="77777777"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Artificial Intelligence; Precision Agriculture; Smallholder Farming; Digital Agriculture; Climate Resilience; Ghana</w:t>
      </w:r>
    </w:p>
    <w:p w14:paraId="6C90BE0A" w14:textId="77777777" w:rsidR="003752DA" w:rsidRPr="003752DA" w:rsidRDefault="003752DA" w:rsidP="003752DA">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1. Introduction</w:t>
      </w:r>
    </w:p>
    <w:p w14:paraId="07D76971"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1.1 Role of Agriculture in Ghana’s Economy</w:t>
      </w:r>
    </w:p>
    <w:p w14:paraId="6DF4C56D"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Agriculture remains a foundational pillar of Ghana’s economy, contributing approximately </w:t>
      </w:r>
      <w:r w:rsidRPr="003752DA">
        <w:rPr>
          <w:rFonts w:ascii="Times New Roman" w:eastAsia="Times New Roman" w:hAnsi="Times New Roman" w:cs="Times New Roman"/>
          <w:b/>
          <w:bCs/>
          <w:kern w:val="0"/>
        </w:rPr>
        <w:t>17–20% of national GDP</w:t>
      </w:r>
      <w:r w:rsidRPr="003752DA">
        <w:rPr>
          <w:rFonts w:ascii="Times New Roman" w:eastAsia="Times New Roman" w:hAnsi="Times New Roman" w:cs="Times New Roman"/>
          <w:kern w:val="0"/>
        </w:rPr>
        <w:t xml:space="preserve"> and employing </w:t>
      </w:r>
      <w:r w:rsidRPr="003752DA">
        <w:rPr>
          <w:rFonts w:ascii="Times New Roman" w:eastAsia="Times New Roman" w:hAnsi="Times New Roman" w:cs="Times New Roman"/>
          <w:b/>
          <w:bCs/>
          <w:kern w:val="0"/>
        </w:rPr>
        <w:t>30–40% of the workforce</w:t>
      </w:r>
      <w:r w:rsidRPr="003752DA">
        <w:rPr>
          <w:rFonts w:ascii="Times New Roman" w:eastAsia="Times New Roman" w:hAnsi="Times New Roman" w:cs="Times New Roman"/>
          <w:kern w:val="0"/>
        </w:rPr>
        <w:t xml:space="preserve">, with over </w:t>
      </w:r>
      <w:r w:rsidRPr="003752DA">
        <w:rPr>
          <w:rFonts w:ascii="Times New Roman" w:eastAsia="Times New Roman" w:hAnsi="Times New Roman" w:cs="Times New Roman"/>
          <w:b/>
          <w:bCs/>
          <w:kern w:val="0"/>
        </w:rPr>
        <w:t>70% of agricultural producers classified as smallholder farmers operating on less than two hectares</w:t>
      </w:r>
      <w:r w:rsidR="009C0FDA">
        <w:rPr>
          <w:rFonts w:ascii="Times New Roman" w:eastAsia="Times New Roman" w:hAnsi="Times New Roman" w:cs="Times New Roman"/>
          <w:b/>
          <w:bCs/>
          <w:kern w:val="0"/>
        </w:rPr>
        <w:fldChar w:fldCharType="begin"/>
      </w:r>
      <w:r w:rsidR="000F7443">
        <w:rPr>
          <w:rFonts w:ascii="Times New Roman" w:eastAsia="Times New Roman" w:hAnsi="Times New Roman" w:cs="Times New Roman"/>
          <w:b/>
          <w:bCs/>
          <w:kern w:val="0"/>
        </w:rPr>
        <w:instrText xml:space="preserve"> ADDIN ZOTERO_ITEM CSL_CITATION {"citationID":"MgdASRgD","properties":{"formattedCitation":"[1]","plainCitation":"[1]","noteIndex":0},"citationItems":[{"id":12919,"uris":["http://zotero.org/users/16652950/items/YGQEZNFD"],"itemData":{"id":12919,"type":"article-journal","abstract":"Government interventions play a crucial role in supporting smallholder farmers, as evidenced by this study that explores how government agricultural policies in Ghana impact the productivity of smallholder farmers, a vital sector of the nation’s economy. Through panel data analysis and fixed effects models, the study examines the influence of input subsidies, price supports, credit access, and extension services on farmer yields. The findings demonstrate a statistically significant positive effect of all these policies on productivity. These results emphasize the importance of government intervention for supporting smallholder farmers and propelling Ghana’s agricultural development. The study recommends continued and targeted policy implementation, robust data collection, stakeholder collaboration, and exploring climate-smart practices. Through these recommendations, Ghana can cultivate a supportive environment for smallholder farmers, fostering sustainable agricultural growth and bolstering their livelihoods.","container-title":"Open Access Library Journal","DOI":"10.4236/oalib.1111895","issue":"8","language":"en","license":"http://creativecommons.org/licenses/by/4.0/","note":"publisher: Scientific Research Publishing","page":"1-14","source":"www.scirp.org","title":"The Impact of Government Agricultural Policies on the Productivity of Smallholder Farmers in Ghana","volume":"11","author":[{"family":"Quist","given":"Alberta"},{"family":"Xiao","given":"Bo"}],"issued":{"date-parts":[["2024",8,13]]}}}],"schema":"https://github.com/citation-style-language/schema/raw/master/csl-citation.json"} </w:instrText>
      </w:r>
      <w:r w:rsidR="009C0FDA">
        <w:rPr>
          <w:rFonts w:ascii="Times New Roman" w:eastAsia="Times New Roman" w:hAnsi="Times New Roman" w:cs="Times New Roman"/>
          <w:b/>
          <w:bCs/>
          <w:kern w:val="0"/>
        </w:rPr>
        <w:fldChar w:fldCharType="separate"/>
      </w:r>
      <w:r w:rsidR="000F7443" w:rsidRPr="000F7443">
        <w:rPr>
          <w:rFonts w:ascii="Times New Roman" w:hAnsi="Times New Roman" w:cs="Times New Roman"/>
        </w:rPr>
        <w:t>[1]</w:t>
      </w:r>
      <w:r w:rsidR="009C0FDA">
        <w:rPr>
          <w:rFonts w:ascii="Times New Roman" w:eastAsia="Times New Roman" w:hAnsi="Times New Roman" w:cs="Times New Roman"/>
          <w:b/>
          <w:bCs/>
          <w:kern w:val="0"/>
        </w:rPr>
        <w:fldChar w:fldCharType="end"/>
      </w:r>
      <w:r w:rsidRPr="003752DA">
        <w:rPr>
          <w:rFonts w:ascii="Times New Roman" w:eastAsia="Times New Roman" w:hAnsi="Times New Roman" w:cs="Times New Roman"/>
          <w:kern w:val="0"/>
        </w:rPr>
        <w:t>. Beyond its macroeconomic contribution, the sector plays a critical role in rural livelihoods, food security, and poverty reduction.</w:t>
      </w:r>
    </w:p>
    <w:p w14:paraId="6246DB56"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Despite its importance, Ghanaian agriculture is characterized by </w:t>
      </w:r>
      <w:r w:rsidRPr="003752DA">
        <w:rPr>
          <w:rFonts w:ascii="Times New Roman" w:eastAsia="Times New Roman" w:hAnsi="Times New Roman" w:cs="Times New Roman"/>
          <w:b/>
          <w:bCs/>
          <w:kern w:val="0"/>
        </w:rPr>
        <w:t>persistent structural challenges</w:t>
      </w:r>
      <w:r w:rsidRPr="003752DA">
        <w:rPr>
          <w:rFonts w:ascii="Times New Roman" w:eastAsia="Times New Roman" w:hAnsi="Times New Roman" w:cs="Times New Roman"/>
          <w:kern w:val="0"/>
        </w:rPr>
        <w:t xml:space="preserve">. Productivity levels remain low relative to global benchmarks, driven by limited access to modern inputs, inefficient resource use, and weak extension systems </w:t>
      </w:r>
      <w:r w:rsidR="009C0FDA">
        <w:rPr>
          <w:rFonts w:ascii="Times New Roman" w:eastAsia="Times New Roman" w:hAnsi="Times New Roman" w:cs="Times New Roman"/>
          <w:kern w:val="0"/>
        </w:rPr>
        <w:fldChar w:fldCharType="begin"/>
      </w:r>
      <w:r w:rsidR="000F7443">
        <w:rPr>
          <w:rFonts w:ascii="Times New Roman" w:eastAsia="Times New Roman" w:hAnsi="Times New Roman" w:cs="Times New Roman"/>
          <w:kern w:val="0"/>
        </w:rPr>
        <w:instrText xml:space="preserve"> ADDIN ZOTERO_ITEM CSL_CITATION {"citationID":"tqEEMjDZ","properties":{"formattedCitation":"[2,3]","plainCitation":"[2,3]","noteIndex":0},"citationItems":[{"id":12921,"uris":["http://zotero.org/users/16652950/items/UY4VS8W7"],"itemData":{"id":12921,"type":"article-journal","abstract":"Sustainable agricultural practices (SAPs) remain the panacea to addressing challenges relating to climate change, low rainfall, and low agricultural p...","container-title":"Sustainability","DOI":"10.3390/su16229766","ISSN":"2071-1050","issue":"22","language":"en","license":"http://creativecommons.org/licenses/by/3.0/","note":"Company: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publisher","source":"www.mdpi.com","title":"Sustainable Agricultural Practices in Sub-Saharan Africa: A Review of Adoption Trends, Impacts, and Challenges Among Smallholder Farmers","title-short":"Sustainable Agricultural Practices in Sub-Saharan Africa","URL":"https://www.mdpi.com/2071-1050/16/22/9766","volume":"16","author":[{"family":"Sithole","given":"Ally"},{"family":"Olorunfemi","given":"Oluwasogo David"},{"family":"Sithole","given":"Ally"},{"family":"Olorunfemi","given":"Oluwasogo David"}],"accessed":{"date-parts":[["2026",1,7]]},"issued":{"date-parts":[["2024",11,7]]}}},{"id":12923,"uris":["http://zotero.org/users/16652950/items/MIGDGPSS"],"itemData":{"id":12923,"type":"article-journal","abstract":"The drive to hasten the development of smallholder livestock farming through research-extension-farmer-input linkage systems (REFILS) is being promoted in African countries. Resource-constrained smallholders face various challenges including poor access to timely and relevant research-based innovations. Weak research-extension-farmer-input linkages exacerbate this issue. This review explores the evolution of Knowledge Transfer and Agricultural Extension Theories, emphasising the shift from centralised top-down dissemination to participatory and user-driven models. The paper characterises “research”, “extension”, “farmer”, and “input” as the main pillars of agricultural knowledge systems and how their lack of interconnectedness impacts their effectiveness. Examining the dynamics of these pillars provides a comprehensive rationale for strengthening REFILS. Also, REFILS adoption disparities such as limited funding and investment, institutional and organisational inefficiencies, and social and cultural factors were discussed. The identified key challenges form an intricate web of interconnected issues which should not be addressed in isolation but collectively. The proposed measures for REFILS enhancement include building strong public-private partnerships, full participation and collaboration by all key actors including farmers, digitalisation of smallholder agriculture, and policy and institutional reorganisation towards a stronger REFILS. Moreover, the study acts as a foundational guide for strengthening REFILS at national, regional, and continental levels to foster economic, environmental, and social sustainability in Africa’s livestock industry.","container-title":"Tropical Animal Health and Production","DOI":"10.1007/s11250-024-04210-9","ISSN":"0049-4747","issue":"8","journalAbbreviation":"Trop Anim Health Prod","note":"PMID: 39466464\nPMCID: PMC11519287","page":"363","source":"PubMed Central","title":"Strengthening research-extension-farmer-input linkage system for sustainable smallholder livestock farming in Africa: progress and prospects","title-short":"Strengthening research-extension-farmer-input linkage system for sustainable smallholder livestock farming in Africa","volume":"56","author":[{"family":"Mapiye","given":"Obvious"},{"family":"Dzama","given":"Kennedy"}],"issued":{"date-parts":[["2024"]]}}}],"schema":"https://github.com/citation-style-language/schema/raw/master/csl-citation.json"} </w:instrText>
      </w:r>
      <w:r w:rsidR="009C0FDA">
        <w:rPr>
          <w:rFonts w:ascii="Times New Roman" w:eastAsia="Times New Roman" w:hAnsi="Times New Roman" w:cs="Times New Roman"/>
          <w:kern w:val="0"/>
        </w:rPr>
        <w:fldChar w:fldCharType="separate"/>
      </w:r>
      <w:r w:rsidR="000F7443" w:rsidRPr="000F7443">
        <w:rPr>
          <w:rFonts w:ascii="Times New Roman" w:hAnsi="Times New Roman" w:cs="Times New Roman"/>
        </w:rPr>
        <w:t>[2,3]</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Climate change further exacerbates these challenges, with increasing rainfall variability, rising temperatures, and pest pressures undermining yield stability in key staple and export crops such as maize, cassava, and cocoa</w:t>
      </w:r>
      <w:r w:rsidR="009C0FDA">
        <w:rPr>
          <w:rFonts w:ascii="Times New Roman" w:eastAsia="Times New Roman" w:hAnsi="Times New Roman" w:cs="Times New Roman"/>
          <w:kern w:val="0"/>
        </w:rPr>
        <w:fldChar w:fldCharType="begin"/>
      </w:r>
      <w:r w:rsidR="001A2905">
        <w:rPr>
          <w:rFonts w:ascii="Times New Roman" w:eastAsia="Times New Roman" w:hAnsi="Times New Roman" w:cs="Times New Roman"/>
          <w:kern w:val="0"/>
        </w:rPr>
        <w:instrText xml:space="preserve"> ADDIN ZOTERO_ITEM CSL_CITATION {"citationID":"9DPZWq9l","properties":{"formattedCitation":"[4,5]","plainCitation":"[4,5]","noteIndex":0},"citationItems":[{"id":12926,"uris":["http://zotero.org/users/16652950/items/9Q2C6DV5"],"itemData":{"id":12926,"type":"article-journal","abstract":"Background: Climate change is increasingly recognised as a driver of foodborne pathogen emergence, range expansion, and toxin production, yet no up-to-date systematic synthesis has critically appraised both observed risks and predictive modelling evidence.\nAim: This systematic review evaluates the strength of evidence linking specific climate variables to emerging foodborne pathogen risks and assesses the performance and projections of current predictive modelling approaches.\nMethods: In accordance with PRISMA 2020 guidelines, PubMed, Scopus, Web of Science, Embase,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form.\nResults: Fifteen studies covering bacterial (Vibrio, Salmonella, Campylobacter, STEC, Listeria), viral (norovirus, hepatitis A), parasitic (Cryptosporidium, Cyclospora,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We also found strong evidence that more carbon dioxide, heat, and drought can increase aflatoxin (a dangerous toxin in crops) by 70–300% by 2050–2080. These toxins are already being found for the first time in southern Europe.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systems.\nConclusion: Climate change is making foodborne diseases more common around the world. The biggest concerns are toxins in crops (mycotoxins) and Vibrio bacteria in water bodies. Current prediction tools are helpful, but they do not cover all regions and do not fully include ways to adapt. Urgent translation of these tools, especially in low- and middle-income countries is required to protect global food safety.","container-title":"Journal of Advances in Food Science &amp; Technology","DOI":"10.56557/jafsat/2026/v13i110102","ISSN":"2454-4213","issue":"1","language":"en","page":"1-20","source":"ikprress.org","title":"Climate Change and Foodborne Pathogens: A Comprehensive Review of Emerging Risks and Predictive Modelling","title-short":"Climate Change and Foodborne Pathogens","volume":"13","author":[{"family":"Olorunkosebi","given":"Mary Tomi"},{"family":"Ismaila","given":"Emmanuel Oluwasegun"},{"family":"Lagbel","given":"Gabriel"},{"family":"Farinde","given":"Tobi David"},{"family":"Jimoh","given":"Taofeek Saka"},{"family":"John","given":"Ajutor Lawrence"}],"issued":{"date-parts":[["2026",1,3]]}}},{"id":12928,"uris":["http://zotero.org/users/16652950/items/GNJB49D5"],"itemData":{"id":12928,"type":"article-journal","abstract":"Climate change poses a significant threat to Nigeria's agricultural sector, which is a cornerstone of its economy and food security. The increasing frequency of extreme weather events, erratic rainfall patterns, and rising temperatures have disrupted agricultural productivity, threatening the livelihoods of millions of Nigerians. Through a comprehensive literature review, synthesizing data from peer-reviewed journals, institutional reports, and credible online sources from 2000 to 2023, this study aims to explore the multi-faceted impacts of climate variability on agricultural production, livestock, fisheries, and food security in Nigeria, and to identify effective adaptation strategies to mitigate these impacts. The findings reveal that climate change has significantly disrupted agricultural productivity in Nigeria, with erratic rainfall, rising temperatures, and extreme weather events leading to reduced crop yields, increased pest and disease pressure, and land degradation. Vulnerable crops such as maize, cassava, and rice are particularly affected, while livestock production faces challenges such as heat stress and reduced feed availability. The fisheries sector is also impacted, with shrinking water resources and increasing contamination levels threatening livelihoods. Adaptation strategies, including crop diversification, improved irrigation, and indigenous knowledge practices, offer some resilience but require substantial policy and financial support. The study highlights the urgency of implementing climate-smart agricultural practices, enhancing infrastructure, and promoting public-private partnerships to mitigate climate-induced risks. Recommendations align with the United Nations Sustainable Development Goals (SDGs) 2 (Zero Hunger), 13 (Climate Action), and 15 (Life on Land), emphasizing the need for sustainable agricultural practices, ecosystem preservation, and adaptive policy frameworks to ensure food security and economic stability in Nigeria. This study provides valuable insights into the impacts of climate change on Nigeria's agricultural sector and offers practical recommendations for building resilience and ensuring sustainable food systems. It reveals the importance of collaborative efforts at all levels to address the challenges posed by climate change and safeguard the nation's agricultural heritage for future generations.","container-title":"Science in One Health","DOI":"10.1016/j.soh.2025.100113","ISSN":"2949-7043","journalAbbreviation":"Science in One Health","page":"100113","source":"ScienceDirect","title":"Multi-impacts of climate change and mitigation strategies in Nigeria: agricultural production and food security","title-short":"Multi-impacts of climate change and mitigation strategies in Nigeria","volume":"4","author":[{"family":"Omokaro","given":"Godspower Oke"}],"issued":{"date-parts":[["2025",1,1]]}}}],"schema":"https://github.com/citation-style-language/schema/raw/master/csl-citation.json"} </w:instrText>
      </w:r>
      <w:r w:rsidR="009C0FDA">
        <w:rPr>
          <w:rFonts w:ascii="Times New Roman" w:eastAsia="Times New Roman" w:hAnsi="Times New Roman" w:cs="Times New Roman"/>
          <w:kern w:val="0"/>
        </w:rPr>
        <w:fldChar w:fldCharType="separate"/>
      </w:r>
      <w:r w:rsidR="001A2905" w:rsidRPr="001A2905">
        <w:rPr>
          <w:rFonts w:ascii="Times New Roman" w:hAnsi="Times New Roman" w:cs="Times New Roman"/>
        </w:rPr>
        <w:t>[4,5]</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Market inefficiencies, post-harvest losses, and constrained access to finance continue to reduce farm-level profitability and discourage investment, particularly among smallholders</w:t>
      </w:r>
      <w:r w:rsidR="009C0FDA">
        <w:rPr>
          <w:rFonts w:ascii="Times New Roman" w:eastAsia="Times New Roman" w:hAnsi="Times New Roman" w:cs="Times New Roman"/>
          <w:kern w:val="0"/>
        </w:rPr>
        <w:fldChar w:fldCharType="begin"/>
      </w:r>
      <w:r w:rsidR="001A2905">
        <w:rPr>
          <w:rFonts w:ascii="Times New Roman" w:eastAsia="Times New Roman" w:hAnsi="Times New Roman" w:cs="Times New Roman"/>
          <w:kern w:val="0"/>
        </w:rPr>
        <w:instrText xml:space="preserve"> ADDIN ZOTERO_ITEM CSL_CITATION {"citationID":"6lm6BmBQ","properties":{"formattedCitation":"[6]","plainCitation":"[6]","noteIndex":0},"citationItems":[{"id":12931,"uris":["http://zotero.org/users/16652950/items/6GSF9SWX"],"itemData":{"id":12931,"type":"article-journal","abstract":"Maize, primarily composed of carbohydrates, is the cheapest source of calories. It plays a crucial role in domestic food supply, income generation, and employment. Additionally, maize constitutes a large share of the marketable surplus and is allocated a significant portion of cereal farmland. However, despite recent opportunities in production and marketing, the maize sector has faced various constraints, leading to significant declines in production, productivity, and marketable surplus in Ethiopia. By doing so, this study reviews the constraints and opportunities in maize production and marketing in Ethiopia, drawing from a range of sources including articles, documents, and workshop papers. Key constraints identified include limited access of improved seed varieties, irrigation, storage facilities, transportation, market place; outdated technology; poor pest management; market inefficiencies. In addition, soil degradation and land fertility issues combined with high input costs, delayed agricultural inputs, and insufficient credit and extension services hinder both production and marketing. Despite these challenges, there are notable opportunities for maize in Ethiopia. The crop thrives across diverse ecological zones, is resilient to various natural disasters, benefits from fertile soils, regular rainfall, a stable environment, and abundant water resources. Additionally, favorable government policies, increasing demand for maize, and the expansion of agro-processing industries present significant opportunities. To enhance maize production and marketing in Ethiopia, several actions are recommended, for instance, improving land tenure security, developing rural infrastructure, conserving natural resources and the environment, providing modern agricultural inputs, stabilizing maize prices, reducing transaction costs, and promoting agricultural extension services.","container-title":"Heliyon","DOI":"10.1016/j.heliyon.2024.e39606","ISSN":"2405-8440","issue":"20","journalAbbreviation":"Heliyon","page":"e39606","source":"ScienceDirect","title":"Analysis of constraints and opportunities in maize production and marketing in Ethiopia","volume":"10","author":[{"family":"Asfaw","given":"Dagmawe Menelek"},{"family":"Asnakew","given":"Yibeltal Walle"},{"family":"Sendkie","given":"Fentahun Baylie"},{"family":"Abdulkadr","given":"Ahmed Abduletif"},{"family":"Mekonnen","given":"Belayneh Asmare"},{"family":"Tiruneh","given":"Hailu Desalegn"},{"family":"Ebad","given":"Aden Mohammed"}],"issued":{"date-parts":[["2024",10,30]]}}}],"schema":"https://github.com/citation-style-language/schema/raw/master/csl-citation.json"} </w:instrText>
      </w:r>
      <w:r w:rsidR="009C0FDA">
        <w:rPr>
          <w:rFonts w:ascii="Times New Roman" w:eastAsia="Times New Roman" w:hAnsi="Times New Roman" w:cs="Times New Roman"/>
          <w:kern w:val="0"/>
        </w:rPr>
        <w:fldChar w:fldCharType="separate"/>
      </w:r>
      <w:r w:rsidR="001A2905" w:rsidRPr="001A2905">
        <w:rPr>
          <w:rFonts w:ascii="Times New Roman" w:hAnsi="Times New Roman" w:cs="Times New Roman"/>
        </w:rPr>
        <w:t>[6]</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14:paraId="53594C15"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Collectively, these constraints highlight the need for </w:t>
      </w:r>
      <w:r w:rsidRPr="003752DA">
        <w:rPr>
          <w:rFonts w:ascii="Times New Roman" w:eastAsia="Times New Roman" w:hAnsi="Times New Roman" w:cs="Times New Roman"/>
          <w:b/>
          <w:bCs/>
          <w:kern w:val="0"/>
        </w:rPr>
        <w:t>innovative, scalable solutions</w:t>
      </w:r>
      <w:r w:rsidRPr="003752DA">
        <w:rPr>
          <w:rFonts w:ascii="Times New Roman" w:eastAsia="Times New Roman" w:hAnsi="Times New Roman" w:cs="Times New Roman"/>
          <w:kern w:val="0"/>
        </w:rPr>
        <w:t xml:space="preserve"> capable of improving productivity, resilience, and market integration within Ghana’s predominantly smallholder-based agricultural system.</w:t>
      </w:r>
    </w:p>
    <w:p w14:paraId="23C8934E"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1.2 Artificial Intelligence in Global and African Agriculture</w:t>
      </w:r>
    </w:p>
    <w:p w14:paraId="60C7CA5C"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Artificial intelligence (AI) has emerged globally as a transformative force in agriculture, enabling data-driven decision-making across production, logistics, and value-chain coordination. Empirical studies from diverse agricultural systems demonstrate that AI applications—including machine learning-based yield prediction, precision input management, computer-vision pest diagnostics, and predictive weather analytics—can increase yields by </w:t>
      </w:r>
      <w:r w:rsidRPr="003752DA">
        <w:rPr>
          <w:rFonts w:ascii="Times New Roman" w:eastAsia="Times New Roman" w:hAnsi="Times New Roman" w:cs="Times New Roman"/>
          <w:b/>
          <w:bCs/>
          <w:kern w:val="0"/>
        </w:rPr>
        <w:t>10–30%</w:t>
      </w:r>
      <w:r w:rsidRPr="003752DA">
        <w:rPr>
          <w:rFonts w:ascii="Times New Roman" w:eastAsia="Times New Roman" w:hAnsi="Times New Roman" w:cs="Times New Roman"/>
          <w:kern w:val="0"/>
        </w:rPr>
        <w:t>, reduce input inefficiencies, and enhance environmental sustainability</w:t>
      </w:r>
      <w:r w:rsidR="009C0FDA">
        <w:rPr>
          <w:rFonts w:ascii="Times New Roman" w:eastAsia="Times New Roman" w:hAnsi="Times New Roman" w:cs="Times New Roman"/>
          <w:kern w:val="0"/>
        </w:rPr>
        <w:fldChar w:fldCharType="begin"/>
      </w:r>
      <w:r w:rsidR="00EC4487">
        <w:rPr>
          <w:rFonts w:ascii="Times New Roman" w:eastAsia="Times New Roman" w:hAnsi="Times New Roman" w:cs="Times New Roman"/>
          <w:kern w:val="0"/>
        </w:rPr>
        <w:instrText xml:space="preserve"> ADDIN ZOTERO_ITEM CSL_CITATION {"citationID":"bOsZHmA0","properties":{"formattedCitation":"[7\\uc0\\u8211{}9]","plainCitation":"[7–9]","noteIndex":0},"citationItems":[{"id":12934,"uris":["http://zotero.org/users/16652950/items/EWEFYUEH"],"itemData":{"id":12934,"type":"article-journal","abstract":"The deep integration of artificial intelligence (AI) is a core driver for digitalization and intelligence in agricultural and food engineering, boosti...","container-title":"Electronics","DOI":"10.3390/electronics14203994","ISSN":"2079-9292","issue":"20","language":"en","license":"http://creativecommons.org/licenses/by/3.0/","note":"Company: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Comprehensive Review of AI Methods in Agri-Food Engineering: Applications, Challenges, and Future Directions","title-short":"A Comprehensive Review of AI Methods in Agri-Food Engineering","URL":"https://www.mdpi.com/2079-9292/14/20/3994","volume":"14","author":[{"family":"Wu","given":"Kaichen"},{"family":"Ji","given":"Zhenyang"},{"family":"Wang","given":"Hanyue"},{"family":"Shao","given":"Xiaoyan"},{"family":"Li","given":"Haohan"},{"family":"Zhang","given":"Wence"},{"family":"Kong","given":"Wa"},{"family":"Xia","given":"Jing"},{"family":"Bao","given":"Xu"},{"family":"Wu","given":"Kaichen"},{"family":"Ji","given":"Zhenyang"},{"family":"Wang","given":"Hanyue"},{"family":"Shao","given":"Xiaoyan"},{"family":"Li","given":"Haohan"},{"family":"Zhang","given":"Wence"},{"family":"Kong","given":"Wa"},{"family":"Xia","given":"Jing"},{"family":"Bao","given":"Xu"}],"accessed":{"date-parts":[["2026",1,7]]},"issued":{"date-parts":[["2025",10,11]]}}},{"id":12936,"uris":["http://zotero.org/users/16652950/items/NCN7MR5U"],"itemData":{"id":12936,"type":"article-journal","abstract":"Artificial intelligence is emerging as a transformative force in addressing the multifaceted challenges of food safety, food quality, and food security. This review synthesizes advancements in AI-driven technologies, such as machine learning, deep learning, natural language processing, and computer vision, and their applications across the food supply chain, based on a comprehensive analysis of literature published from 1990 to 2024. AI enhances food safety through real-time contamination detection, predictive risk modeling, and compliance monitoring, reducing public health risks. It improves food quality by automating defect detection, optimizing shelf-life predictions, and ensuring consistency in taste, texture, and appearance. Furthermore, AI addresses food security by enabling resource-efficient agriculture, yield forecasting, and supply chain optimization to ensure the availability and accessibility of nutritious food resources. This review also highlights the integration of AI with advanced food processing techniques such as high-pressure processing, ultraviolet treatment, pulsed electric fields, cold plasma, and irradiation, which ensure microbial safety, extend shelf life, and enhance product quality. Additionally, the integration of AI with emerging technologies such as the Internet of Things, blockchain, and AI-powered sensors enables proactive risk management, predictive analytics, and automated quality control. By examining these innovations' potential to enhance transparency, efficiency, and decision-making within food systems, this review identifies current research gaps and proposes strategies to address barriers such as data limitations, model generalizability, and ethical concerns. These insights underscore the critical role of AI in advancing safer, higher-quality, and more secure food systems, guiding future research and fostering sustainable food systems that benefit public health and consumer trust.","container-title":"Discover Applied Sciences","DOI":"10.1007/s42452-025-06472-w","ISSN":"3004-9261","issue":"1","journalAbbreviation":"Discov Appl Sci","language":"en","page":"75","source":"Springer Link","title":"Leveraging artificial intelligence and advanced food processing techniques for enhanced food safety, quality, and security: a comprehensive review","title-short":"Leveraging artificial intelligence and advanced food processing techniques for enhanced food safety, quality, and security","volume":"7","author":[{"family":"Dhal","given":"Sambandh Bhusan"},{"family":"Kar","given":"Debashish"}],"issued":{"date-parts":[["2025",1,11]]}}},{"id":12032,"uris":["http://zotero.org/users/16652950/items/HPFSGRMU"],"itemData":{"id":12032,"type":"article-journal","abstract":"The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EC4487" w:rsidRPr="00EC4487">
        <w:rPr>
          <w:rFonts w:ascii="Times New Roman" w:hAnsi="Times New Roman" w:cs="Times New Roman"/>
        </w:rPr>
        <w:t>[7–9]</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14:paraId="6BAB2002"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In the African context, AI is increasingly framed as a </w:t>
      </w:r>
      <w:r w:rsidRPr="003752DA">
        <w:rPr>
          <w:rFonts w:ascii="Times New Roman" w:eastAsia="Times New Roman" w:hAnsi="Times New Roman" w:cs="Times New Roman"/>
          <w:b/>
          <w:bCs/>
          <w:kern w:val="0"/>
        </w:rPr>
        <w:t>leapfrogging technology</w:t>
      </w:r>
      <w:r w:rsidRPr="003752DA">
        <w:rPr>
          <w:rFonts w:ascii="Times New Roman" w:eastAsia="Times New Roman" w:hAnsi="Times New Roman" w:cs="Times New Roman"/>
          <w:kern w:val="0"/>
        </w:rPr>
        <w:t xml:space="preserve"> capable of compensating for gaps in conventional extension services and infrastructure</w:t>
      </w:r>
      <w:r w:rsidR="009C0FDA">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{"citationID":"e32ZL3Dj","properties":{"formattedCitation":"[10,11]","plainCitation":"[10,11]","noteIndex":0},"citationItems":[{"id":12938,"uris":["http://zotero.org/users/16652950/items/QVDFTPKB"],"itemData":{"id":12938,"type":"article-journal","abstract":"Artificial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id":9513,"uris":["http://zotero.org/users/16652950/items/J2XZLMR9"],"itemData":{"id":9513,"type":"article-journal","abstract":"This article presents a narrative literature review of the emerging intersection between Generative Artificial Intelligence (GenAI) and Agile Project Management (APM). Using purposive, iterative searches across academic and practitioner sources, we screen for relevance to GenAI applications along the Agile lifecycle (planning, backlog refinement, estimation, development, testing, and retrospectives) and synthesize findings through a concept-centric, thematic analysis. The paper makes three contributions: (1) an integrative GenAI–APM alignment framework that maps core GenAI capabilities (e.g., requirements elaboration, code and test generation, risk sensing, knowledge summarization) to Agile roles, ceremonies, and artifacts; (2) an evidence-weighted assessment of opportunities (speed, decision support, collaboration) and risks (bias, privacy, model drift, over-reliance), with associated governance controls; and (3) a research agenda with testable propositions on effectiveness, human–AI teaming, measurement, compliance, and adoption barriers. Scholarly implications include clearer constructs and operational definitions to support cumulative empirical work. Practical implications include actionable guidance for PMOs and Scrum teams on where to pilot GenAI, how to measure value, and how to implement safeguards (data governance, responsible-AI checklists, and role/skill adjustments). By clarifying method, contribution, and significance, the review consolidates a fragmented discourse and offers a roadmap for rigorous research and responsible deployment of GenAI in Agile settings.","container-title":"Journal of Global Economics, Management and Business Research","DOI":"10.56557/jgembr/2025/v17i39877","ISSN":"2454-2504","issue":"3","language":"en","page":"349-360","source":"ikprress.org","title":"AI-Augmented Agility: A Comprehensive Review of Generative AI Applications in Agile Project Management","title-short":"AI-Augmented Agility","volume":"17","author":[{"family":"Enabulele","given":"Amienye Babatunde Omo"},{"family":"Ojo","given":"Damilola Ayodele"},{"family":"Egwatu","given":"Joshua Okechukwu"},{"family":"Thomas","given":"George Ayobami"}],"issued":{"date-parts":[["2025",10,24]]}}}],"schema":"https://github.com/citation-style-language/schema/raw/master/csl-citation.json"} </w:instrText>
      </w:r>
      <w:r w:rsidR="009C0FDA">
        <w:rPr>
          <w:rFonts w:ascii="Times New Roman" w:eastAsia="Times New Roman" w:hAnsi="Times New Roman" w:cs="Times New Roman"/>
          <w:kern w:val="0"/>
        </w:rPr>
        <w:fldChar w:fldCharType="separate"/>
      </w:r>
      <w:r w:rsidR="003018B9" w:rsidRPr="003018B9">
        <w:rPr>
          <w:rFonts w:ascii="Times New Roman" w:hAnsi="Times New Roman" w:cs="Times New Roman"/>
        </w:rPr>
        <w:t>[10,11]</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xml:space="preserve">. AI-enabled mobile platforms, satellite-based analytics, and low-cost diagnostic tools have been piloted across multiple countries, offering tailored advisory services to smallholders at scale </w:t>
      </w:r>
      <w:r w:rsidR="009C0FDA">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{"citationID":"jX9rOurF","properties":{"formattedCitation":"[12]","plainCitation":"[12]","noteIndex":0},"citationItems":[{"id":8410,"uris":["http://zotero.org/users/16652950/items/I9ME3MVG"],"itemData":{"id":8410,"type":"article-journal","abstract":"The global crisis of antimicrobial resistance (AMR) demands innovative diagnostic solutions, particularly in resource-limited settings. This paper examines the integration of artificial intelligence (AI) with point-of-care (POC) diagnostics for AMR detection in Nigerian healthcare systems. A systematic search of literature published between 2018 and 2024 was conducted across major databases including PubMed, Scopus, and Web of Science, yielding 127 relevant studies. Current evidence indicates that AI-enabled POC platforms demonstrate 92-97% accuracy in pathogen identification and can reduce diagnostic turnaround time from 48-72 hours to 2-4 hours. Machine learning algorithms, particularly deep neural networks and random forests, have shown promising results in predicting resistance patterns with 89% sensitivity and 94% specificity. Implementation challenges in Nigeria include limited infrastructure, with only 23% of healthcare facilities having adequate diagnostic capabilities, and a significant workforce shortage, with a ratio of 1 laboratory scientist to 20,000 patients. Economic analyses suggest that AI-POC integration could reduce diagnostic costs by 60% and decrease inappropriate antibiotic prescriptions by 40%. Literature indicates that AI-augmented POC diagnostics represent a viable solution for enhancing AMR surveillance and antimicrobial stewardship in Nigeria.","container-title":"Journal of Pharma Insights and Research","DOI":"10.69613/reeh4906","ISSN":"3048-5428","issue":"2","language":"en","license":"Copyright (c) 2025 Journal of Pharma Insights and Research","page":"166-175","source":"jopir.in","title":"A Review on Artificial Intelligence and Point-of-Care Diagnostics to Combat Antimicrobial Resistance in Resource-Limited Healthcare Settings like Nigeria: Review Article","title-short":"A Review on Artificial Intelligence and Point-of-Care Diagnostics to Combat Antimicrobial Resistance in Resource-Limited Healthcare Settings like Nigeria","volume":"3","author":[{"family":"Lawal","given":"Olabisi"},{"family":"Elechi","given":"Kelechi"},{"family":"Adekunle","given":"Favour"},{"family":"Farinde","given":"Olutayo"},{"family":"Kolapo","given":"Toluwanimi"},{"family":"Igbokwe","given":"Christopher"},{"family":"Elechi","given":"Ubalaeze"},{"family":"Victoria","given":""},{"family":"Chikezie","given":"Onyebuchi"}],"issued":{"date-parts":[["2025",4,5]]}}}],"schema":"https://github.com/citation-style-language/schema/raw/master/csl-citation.json"} </w:instrText>
      </w:r>
      <w:r w:rsidR="009C0FDA">
        <w:rPr>
          <w:rFonts w:ascii="Times New Roman" w:eastAsia="Times New Roman" w:hAnsi="Times New Roman" w:cs="Times New Roman"/>
          <w:kern w:val="0"/>
        </w:rPr>
        <w:fldChar w:fldCharType="separate"/>
      </w:r>
      <w:r w:rsidR="003018B9" w:rsidRPr="003018B9">
        <w:rPr>
          <w:rFonts w:ascii="Times New Roman" w:hAnsi="Times New Roman" w:cs="Times New Roman"/>
        </w:rPr>
        <w:t>[12]</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However, Africa-focused studies also emphasize that the effectiveness of AI solutions is highly contingent on enabling conditions, including digital connectivity, data availability, institutional support, and farmer digital literacy</w:t>
      </w:r>
      <w:r w:rsidR="009C0FDA">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{"citationID":"m9ZxQIoy","properties":{"formattedCitation":"[9]","plainCitation":"[9]","noteIndex":0},"citationItems":[{"id":12032,"uris":["http://zotero.org/users/16652950/items/HPFSGRMU"],"itemData":{"id":12032,"type":"article-journal","abstract":"The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3018B9" w:rsidRPr="003018B9">
        <w:rPr>
          <w:rFonts w:ascii="Times New Roman" w:hAnsi="Times New Roman" w:cs="Times New Roman"/>
        </w:rPr>
        <w:t>[9]</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14:paraId="1EF7DED8"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While conceptual and regional analyses highlight substantial promise, they also caution that without targeted policy frameworks and localized data ecosystems, AI adoption risks reinforcing existing inequalities rather than delivering inclus</w:t>
      </w:r>
      <w:r w:rsidR="000C17B1">
        <w:rPr>
          <w:rFonts w:ascii="Times New Roman" w:eastAsia="Times New Roman" w:hAnsi="Times New Roman" w:cs="Times New Roman"/>
          <w:kern w:val="0"/>
        </w:rPr>
        <w:t xml:space="preserve">ive agricultural transformation. </w:t>
      </w:r>
    </w:p>
    <w:p w14:paraId="262CD086"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1.3 Research Gap</w:t>
      </w:r>
    </w:p>
    <w:p w14:paraId="2048662B"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Despite growing global and continental literature on AI in agriculture, </w:t>
      </w:r>
      <w:r w:rsidRPr="003752DA">
        <w:rPr>
          <w:rFonts w:ascii="Times New Roman" w:eastAsia="Times New Roman" w:hAnsi="Times New Roman" w:cs="Times New Roman"/>
          <w:b/>
          <w:bCs/>
          <w:kern w:val="0"/>
        </w:rPr>
        <w:t>evidence specific to Ghana remains fragmented, uneven, and largely pilot-based</w:t>
      </w:r>
      <w:r w:rsidRPr="003752DA">
        <w:rPr>
          <w:rFonts w:ascii="Times New Roman" w:eastAsia="Times New Roman" w:hAnsi="Times New Roman" w:cs="Times New Roman"/>
          <w:kern w:val="0"/>
        </w:rPr>
        <w:t>. Existing studies typically focus on indiv</w:t>
      </w:r>
      <w:r w:rsidR="00EA5905">
        <w:rPr>
          <w:rFonts w:ascii="Times New Roman" w:eastAsia="Times New Roman" w:hAnsi="Times New Roman" w:cs="Times New Roman"/>
          <w:kern w:val="0"/>
        </w:rPr>
        <w:t xml:space="preserve">idual platforms or technologies </w:t>
      </w:r>
      <w:r w:rsidRPr="003752DA">
        <w:rPr>
          <w:rFonts w:ascii="Times New Roman" w:eastAsia="Times New Roman" w:hAnsi="Times New Roman" w:cs="Times New Roman"/>
          <w:kern w:val="0"/>
        </w:rPr>
        <w:t>such as weather advisory services, pest diagn</w:t>
      </w:r>
      <w:r w:rsidR="00EA5905">
        <w:rPr>
          <w:rFonts w:ascii="Times New Roman" w:eastAsia="Times New Roman" w:hAnsi="Times New Roman" w:cs="Times New Roman"/>
          <w:kern w:val="0"/>
        </w:rPr>
        <w:t xml:space="preserve">ostics, or digital marketplaces </w:t>
      </w:r>
      <w:r w:rsidRPr="003752DA">
        <w:rPr>
          <w:rFonts w:ascii="Times New Roman" w:eastAsia="Times New Roman" w:hAnsi="Times New Roman" w:cs="Times New Roman"/>
          <w:kern w:val="0"/>
        </w:rPr>
        <w:t>without synthesizing outcomes across applications or assessing their comparative advantages over traditional</w:t>
      </w:r>
      <w:r w:rsidR="00EA5905">
        <w:rPr>
          <w:rFonts w:ascii="Times New Roman" w:eastAsia="Times New Roman" w:hAnsi="Times New Roman" w:cs="Times New Roman"/>
          <w:kern w:val="0"/>
        </w:rPr>
        <w:t xml:space="preserve"> agricultural extension systems</w:t>
      </w:r>
      <w:r w:rsidR="009C0FDA">
        <w:rPr>
          <w:rFonts w:ascii="Times New Roman" w:eastAsia="Times New Roman" w:hAnsi="Times New Roman" w:cs="Times New Roman"/>
          <w:kern w:val="0"/>
        </w:rPr>
        <w:fldChar w:fldCharType="begin"/>
      </w:r>
      <w:r w:rsidR="009955B6">
        <w:rPr>
          <w:rFonts w:ascii="Times New Roman" w:eastAsia="Times New Roman" w:hAnsi="Times New Roman" w:cs="Times New Roman"/>
          <w:kern w:val="0"/>
        </w:rPr>
        <w:instrText xml:space="preserve"> ADDIN ZOTERO_ITEM CSL_CITATION {"citationID":"Xcvrvqi7","properties":{"formattedCitation":"[13]","plainCitation":"[13]","noteIndex":0},"citationItems":[{"id":12941,"uris":["http://zotero.org/users/16652950/items/S7SXKVVM"],"itemData":{"id":12941,"type":"article-journal","abstract":"Higher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Mahender"}],"issued":{"date-parts":[["2025",8,11]]}}}],"schema":"https://github.com/citation-style-language/schema/raw/master/csl-citation.json"} </w:instrText>
      </w:r>
      <w:r w:rsidR="009C0FDA">
        <w:rPr>
          <w:rFonts w:ascii="Times New Roman" w:eastAsia="Times New Roman" w:hAnsi="Times New Roman" w:cs="Times New Roman"/>
          <w:kern w:val="0"/>
        </w:rPr>
        <w:fldChar w:fldCharType="separate"/>
      </w:r>
      <w:r w:rsidR="009955B6" w:rsidRPr="009955B6">
        <w:rPr>
          <w:rFonts w:ascii="Times New Roman" w:hAnsi="Times New Roman" w:cs="Times New Roman"/>
        </w:rPr>
        <w:t>[13]</w:t>
      </w:r>
      <w:r w:rsidR="009C0FDA">
        <w:rPr>
          <w:rFonts w:ascii="Times New Roman" w:eastAsia="Times New Roman" w:hAnsi="Times New Roman" w:cs="Times New Roman"/>
          <w:kern w:val="0"/>
        </w:rPr>
        <w:fldChar w:fldCharType="end"/>
      </w:r>
      <w:r w:rsidR="00EA5905">
        <w:rPr>
          <w:rFonts w:ascii="Times New Roman" w:eastAsia="Times New Roman" w:hAnsi="Times New Roman" w:cs="Times New Roman"/>
          <w:kern w:val="0"/>
        </w:rPr>
        <w:t xml:space="preserve">. </w:t>
      </w:r>
    </w:p>
    <w:p w14:paraId="14845006"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Moreover, while some studies report impressive localized outcomes, including yield gains and income improvements, there is a </w:t>
      </w:r>
      <w:r w:rsidRPr="003752DA">
        <w:rPr>
          <w:rFonts w:ascii="Times New Roman" w:eastAsia="Times New Roman" w:hAnsi="Times New Roman" w:cs="Times New Roman"/>
          <w:b/>
          <w:bCs/>
          <w:kern w:val="0"/>
        </w:rPr>
        <w:t>lack of aggregated quantitative synthesis</w:t>
      </w:r>
      <w:r w:rsidRPr="003752DA">
        <w:rPr>
          <w:rFonts w:ascii="Times New Roman" w:eastAsia="Times New Roman" w:hAnsi="Times New Roman" w:cs="Times New Roman"/>
          <w:kern w:val="0"/>
        </w:rPr>
        <w:t xml:space="preserve"> that consolidates these findings into coherent empirical patterns. Equally absent is a systematic assessment of the </w:t>
      </w:r>
      <w:r w:rsidRPr="003752DA">
        <w:rPr>
          <w:rFonts w:ascii="Times New Roman" w:eastAsia="Times New Roman" w:hAnsi="Times New Roman" w:cs="Times New Roman"/>
          <w:b/>
          <w:bCs/>
          <w:kern w:val="0"/>
        </w:rPr>
        <w:t>structural constraints</w:t>
      </w:r>
      <w:r w:rsidR="009955B6">
        <w:rPr>
          <w:rFonts w:ascii="Times New Roman" w:eastAsia="Times New Roman" w:hAnsi="Times New Roman" w:cs="Times New Roman"/>
          <w:kern w:val="0"/>
        </w:rPr>
        <w:t xml:space="preserve"> </w:t>
      </w:r>
      <w:r w:rsidRPr="003752DA">
        <w:rPr>
          <w:rFonts w:ascii="Times New Roman" w:eastAsia="Times New Roman" w:hAnsi="Times New Roman" w:cs="Times New Roman"/>
          <w:kern w:val="0"/>
        </w:rPr>
        <w:t>infrastructural, so</w:t>
      </w:r>
      <w:r w:rsidR="009955B6">
        <w:rPr>
          <w:rFonts w:ascii="Times New Roman" w:eastAsia="Times New Roman" w:hAnsi="Times New Roman" w:cs="Times New Roman"/>
          <w:kern w:val="0"/>
        </w:rPr>
        <w:t xml:space="preserve">cio-economic, and technological </w:t>
      </w:r>
      <w:r w:rsidRPr="003752DA">
        <w:rPr>
          <w:rFonts w:ascii="Times New Roman" w:eastAsia="Times New Roman" w:hAnsi="Times New Roman" w:cs="Times New Roman"/>
          <w:kern w:val="0"/>
        </w:rPr>
        <w:t>that limit the scalability of AI innovations beyon</w:t>
      </w:r>
      <w:r w:rsidR="009955B6">
        <w:rPr>
          <w:rFonts w:ascii="Times New Roman" w:eastAsia="Times New Roman" w:hAnsi="Times New Roman" w:cs="Times New Roman"/>
          <w:kern w:val="0"/>
        </w:rPr>
        <w:t>d isolated pilots</w:t>
      </w:r>
      <w:r w:rsidR="009C0FDA">
        <w:rPr>
          <w:rFonts w:ascii="Times New Roman" w:eastAsia="Times New Roman" w:hAnsi="Times New Roman" w:cs="Times New Roman"/>
          <w:kern w:val="0"/>
        </w:rPr>
        <w:fldChar w:fldCharType="begin"/>
      </w:r>
      <w:r w:rsidR="00E67F64">
        <w:rPr>
          <w:rFonts w:ascii="Times New Roman" w:eastAsia="Times New Roman" w:hAnsi="Times New Roman" w:cs="Times New Roman"/>
          <w:kern w:val="0"/>
        </w:rPr>
        <w:instrText xml:space="preserve"> ADDIN ZOTERO_ITEM CSL_CITATION {"citationID":"KJfeuza7","properties":{"formattedCitation":"[14]","plainCitation":"[14]","noteIndex":0},"citationItems":[{"id":12943,"uris":["http://zotero.org/users/16652950/items/NIH9CB9H"],"itemData":{"id":12943,"type":"article-journal","abstract":"Food waste is a critical global issue with severe environmental, economic, and social impacts, necessitating effective management strategies. This paper presents a systematic review of the literature on data-driven approaches for food waste and loss management, focusing on trends, research gaps, and future directions. The review follows PRISMA guidelines, encompassing literature search, screening, bibliometric analysis, and content analysis. The dataset includes peer-reviewed papers published between 2009 and 2025, with 77 articles selected after screening and exclusions. Bibliometric analysis, conducted using VOSviewer, validated the themes identified through content analysis, highlighting key areas such as waste-to-energy conversion, food waste valorization, and smart sensing technologies. It also revealed dominant keywords and research trends, including machine learning applications, IoT technologies, and circular economy principles. Despite these advancements, the review identifies gaps such as limited research on higher-tier recovery strategies, the scalability of AI-driven solutions, and the lack of cross-sector collaboration for effective food waste reduction. To advance the field, future research should prioritize higher-tier recovery strategies, enhance AI-driven methodologies for real-time waste prediction, and foster collaboration between industries, policymakers, and researchers. By synthesizing current research and providing a roadmap for future investigations, this review contributes to advancing knowledge and promoting innovative, data-driven solutions for reducing food waste.","container-title":"Cleaner Waste Systems","DOI":"10.1016/j.clwas.2025.100448","ISSN":"2772-9125","journalAbbreviation":"Cleaner Waste Systems","page":"100448","source":"ScienceDirect","title":"A systematic review of data-driven approaches to food waste and loss management","volume":"12","author":[{"family":"Shadid","given":"Nada"},{"family":"Ahmed","given":"Vian"},{"family":"Bahroun","given":"Zied"}],"issued":{"date-parts":[["2025",12,1]]}}}],"schema":"https://github.com/citation-style-language/schema/raw/master/csl-citation.json"}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E67F64" w:rsidRPr="00E67F64">
        <w:rPr>
          <w:rFonts w:ascii="Times New Roman" w:hAnsi="Times New Roman" w:cs="Times New Roman"/>
        </w:rPr>
        <w:t>[14]</w:t>
      </w:r>
      <w:r w:rsidR="009C0FDA">
        <w:rPr>
          <w:rFonts w:ascii="Times New Roman" w:eastAsia="Times New Roman" w:hAnsi="Times New Roman" w:cs="Times New Roman"/>
          <w:kern w:val="0"/>
        </w:rPr>
        <w:fldChar w:fldCharType="end"/>
      </w:r>
      <w:r w:rsidR="009955B6">
        <w:rPr>
          <w:rFonts w:ascii="Times New Roman" w:eastAsia="Times New Roman" w:hAnsi="Times New Roman" w:cs="Times New Roman"/>
          <w:kern w:val="0"/>
        </w:rPr>
        <w:t xml:space="preserve"> </w:t>
      </w:r>
    </w:p>
    <w:p w14:paraId="32FEA5D6" w14:textId="77777777" w:rsidR="00A14203" w:rsidRDefault="003752DA" w:rsidP="00A14203">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As a result, policymakers and development partners lack a consolidated evidence base to evaluate whether AI in Ghanaian agriculture is primarily constrained by technical feasibility or by institutional and systemic barriers.</w:t>
      </w:r>
    </w:p>
    <w:p w14:paraId="6E2CCA4C" w14:textId="77777777" w:rsidR="003752DA" w:rsidRPr="003752DA" w:rsidRDefault="003752DA" w:rsidP="00A14203">
      <w:pPr>
        <w:spacing w:before="100" w:beforeAutospacing="1" w:after="100" w:afterAutospacing="1" w:line="240" w:lineRule="auto"/>
        <w:rPr>
          <w:rFonts w:ascii="Times New Roman" w:eastAsia="Times New Roman" w:hAnsi="Times New Roman" w:cs="Times New Roman"/>
          <w:kern w:val="0"/>
        </w:rPr>
      </w:pPr>
      <w:r w:rsidRPr="00A14203">
        <w:rPr>
          <w:rFonts w:ascii="Times New Roman" w:eastAsia="Times New Roman" w:hAnsi="Times New Roman" w:cs="Times New Roman"/>
          <w:b/>
          <w:bCs/>
          <w:kern w:val="0"/>
        </w:rPr>
        <w:t>1.4 Objectives and Research Questions</w:t>
      </w:r>
    </w:p>
    <w:p w14:paraId="4759B15B"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To address these gaps, this study undertakes a </w:t>
      </w:r>
      <w:r w:rsidRPr="003752DA">
        <w:rPr>
          <w:rFonts w:ascii="Times New Roman" w:eastAsia="Times New Roman" w:hAnsi="Times New Roman" w:cs="Times New Roman"/>
          <w:b/>
          <w:bCs/>
          <w:kern w:val="0"/>
        </w:rPr>
        <w:t>systematic comprehensive review</w:t>
      </w:r>
      <w:r w:rsidRPr="003752DA">
        <w:rPr>
          <w:rFonts w:ascii="Times New Roman" w:eastAsia="Times New Roman" w:hAnsi="Times New Roman" w:cs="Times New Roman"/>
          <w:kern w:val="0"/>
        </w:rPr>
        <w:t xml:space="preserve"> of AI applications in Ghanaian agriculture, synthesizing empirical evidence from peer-reviewed and grey literature published between 2015 and 2025.</w:t>
      </w:r>
    </w:p>
    <w:p w14:paraId="56F5D1B0"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The review is guided by four interrelated research questions:</w:t>
      </w:r>
    </w:p>
    <w:p w14:paraId="2F7A40C7" w14:textId="77777777"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types of artificial intelligence applications have been deployed within Ghanaian agricultural systems?</w:t>
      </w:r>
    </w:p>
    <w:p w14:paraId="0013E518" w14:textId="77777777"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empirical evidence exists regarding their impacts on agricultural productivity, efficiency, climate resilience, and farmer livelihoods?</w:t>
      </w:r>
    </w:p>
    <w:p w14:paraId="1648722F" w14:textId="77777777"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structural barriers constrain the large-scale adoption of AI in Ghanaian agriculture?</w:t>
      </w:r>
    </w:p>
    <w:p w14:paraId="74512BD8" w14:textId="77777777"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policy pathways and institutional interventions are required to enable scalable and inclusive AI integration?</w:t>
      </w:r>
    </w:p>
    <w:p w14:paraId="690C02DC" w14:textId="77777777" w:rsid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By integrating quantitative outcome synthesis, a structured barrier taxonomy, and policy-oriented interpretation, this review aims to provide a robust evidence base to inform research, policy design, and investment decisions related to AI-driven agricultural transformation in Ghana.</w:t>
      </w:r>
    </w:p>
    <w:p w14:paraId="0CD69043"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A14203">
        <w:rPr>
          <w:rFonts w:ascii="Times New Roman" w:eastAsia="Times New Roman" w:hAnsi="Times New Roman" w:cs="Times New Roman"/>
          <w:b/>
          <w:bCs/>
          <w:kern w:val="36"/>
        </w:rPr>
        <w:t>2. Materials and Methods</w:t>
      </w:r>
    </w:p>
    <w:p w14:paraId="1E6901C1"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2.1 Review Design</w:t>
      </w:r>
    </w:p>
    <w:p w14:paraId="3D75116B"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 xml:space="preserve">This study employed a </w:t>
      </w:r>
      <w:r w:rsidRPr="003752DA">
        <w:rPr>
          <w:rFonts w:ascii="Times New Roman" w:eastAsia="Times New Roman" w:hAnsi="Times New Roman" w:cs="Times New Roman"/>
          <w:b/>
          <w:bCs/>
          <w:kern w:val="0"/>
        </w:rPr>
        <w:t>systematic comprehensive review design</w:t>
      </w:r>
      <w:r w:rsidRPr="003752DA">
        <w:rPr>
          <w:rFonts w:ascii="Times New Roman" w:eastAsia="Times New Roman" w:hAnsi="Times New Roman" w:cs="Times New Roman"/>
          <w:kern w:val="0"/>
        </w:rPr>
        <w:t xml:space="preserve">, conducted in accordance with the </w:t>
      </w:r>
      <w:r w:rsidRPr="003752DA">
        <w:rPr>
          <w:rFonts w:ascii="Times New Roman" w:eastAsia="Times New Roman" w:hAnsi="Times New Roman" w:cs="Times New Roman"/>
          <w:b/>
          <w:bCs/>
          <w:kern w:val="0"/>
        </w:rPr>
        <w:t>Preferred Reporting Items for Systematic Reviews and Meta-Analyses (PRISMA) 2020 guidelines</w:t>
      </w:r>
      <w:r w:rsidRPr="003752DA">
        <w:rPr>
          <w:rFonts w:ascii="Times New Roman" w:eastAsia="Times New Roman" w:hAnsi="Times New Roman" w:cs="Times New Roman"/>
          <w:kern w:val="0"/>
        </w:rPr>
        <w:t>. The PRISMA framework was adopted to ensure methodological transparency, reproducibility, and rigor in the identification, screening, and synthesis of relevant literature.</w:t>
      </w:r>
    </w:p>
    <w:p w14:paraId="4F2A1A93"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 systematic review approach was selected due to the </w:t>
      </w:r>
      <w:r w:rsidRPr="003752DA">
        <w:rPr>
          <w:rFonts w:ascii="Times New Roman" w:eastAsia="Times New Roman" w:hAnsi="Times New Roman" w:cs="Times New Roman"/>
          <w:b/>
          <w:bCs/>
          <w:kern w:val="0"/>
        </w:rPr>
        <w:t>fragmented and multidisciplinary nature</w:t>
      </w:r>
      <w:r w:rsidRPr="003752DA">
        <w:rPr>
          <w:rFonts w:ascii="Times New Roman" w:eastAsia="Times New Roman" w:hAnsi="Times New Roman" w:cs="Times New Roman"/>
          <w:kern w:val="0"/>
        </w:rPr>
        <w:t xml:space="preserve"> of research on artificial intelligence (AI) in Ghanaian agriculture. Existing evidence spans agronomy, computer science, development economics, and policy domains, necessitating an integrative method capable of synthesizing heterogeneous empirical findings into coherent conclusions.</w:t>
      </w:r>
    </w:p>
    <w:p w14:paraId="1D4A580A"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2.2 Literature Search Strategy</w:t>
      </w:r>
    </w:p>
    <w:p w14:paraId="48203AEB"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 comprehensive literature search was conducted across five major academic databases: </w:t>
      </w:r>
      <w:r w:rsidRPr="003752DA">
        <w:rPr>
          <w:rFonts w:ascii="Times New Roman" w:eastAsia="Times New Roman" w:hAnsi="Times New Roman" w:cs="Times New Roman"/>
          <w:b/>
          <w:bCs/>
          <w:kern w:val="0"/>
        </w:rPr>
        <w:t>Scopus, Web of Science, PubMed, IEEE Xplore, and Google Scholar</w:t>
      </w:r>
      <w:r w:rsidRPr="003752DA">
        <w:rPr>
          <w:rFonts w:ascii="Times New Roman" w:eastAsia="Times New Roman" w:hAnsi="Times New Roman" w:cs="Times New Roman"/>
          <w:kern w:val="0"/>
        </w:rPr>
        <w:t>. These databases were selected to capture interdisciplinary research covering agricultural science, artificial intelligence, engineering, and development studies.</w:t>
      </w:r>
    </w:p>
    <w:p w14:paraId="1781278F"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search covered publications from </w:t>
      </w:r>
      <w:r w:rsidRPr="003752DA">
        <w:rPr>
          <w:rFonts w:ascii="Times New Roman" w:eastAsia="Times New Roman" w:hAnsi="Times New Roman" w:cs="Times New Roman"/>
          <w:b/>
          <w:bCs/>
          <w:kern w:val="0"/>
        </w:rPr>
        <w:t>January 2015 to June 2025</w:t>
      </w:r>
      <w:r w:rsidRPr="003752DA">
        <w:rPr>
          <w:rFonts w:ascii="Times New Roman" w:eastAsia="Times New Roman" w:hAnsi="Times New Roman" w:cs="Times New Roman"/>
          <w:kern w:val="0"/>
        </w:rPr>
        <w:t>, reflecting the period during which AI applications in agriculture expanded significantly following advances in machine learning and the adoption of the Sustainable Development Goals.</w:t>
      </w:r>
    </w:p>
    <w:p w14:paraId="50D758CA"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Search strings combined AI-related terms with agricultural and geographic descriptors using Boolean operators, including:</w:t>
      </w:r>
    </w:p>
    <w:p w14:paraId="70760DEE" w14:textId="77777777" w:rsidR="003752DA" w:rsidRPr="003752DA" w:rsidRDefault="003752DA" w:rsidP="003752DA">
      <w:pPr>
        <w:spacing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(“artificial intelligence” OR “machine learning” OR “deep learning” OR “neural networks”)</w:t>
      </w:r>
      <w:r w:rsidRPr="003752DA">
        <w:rPr>
          <w:rFonts w:ascii="Times New Roman" w:eastAsia="Times New Roman" w:hAnsi="Times New Roman" w:cs="Times New Roman"/>
          <w:kern w:val="0"/>
        </w:rPr>
        <w:br/>
        <w:t>AND (“agriculture” OR “farming” OR “crop”)</w:t>
      </w:r>
      <w:r w:rsidRPr="003752DA">
        <w:rPr>
          <w:rFonts w:ascii="Times New Roman" w:eastAsia="Times New Roman" w:hAnsi="Times New Roman" w:cs="Times New Roman"/>
          <w:kern w:val="0"/>
        </w:rPr>
        <w:br/>
        <w:t>AND (“Ghana” OR “West Africa”)</w:t>
      </w:r>
      <w:r w:rsidRPr="003752DA">
        <w:rPr>
          <w:rFonts w:ascii="Times New Roman" w:eastAsia="Times New Roman" w:hAnsi="Times New Roman" w:cs="Times New Roman"/>
          <w:kern w:val="0"/>
        </w:rPr>
        <w:br/>
        <w:t>AND (“precision” OR “pest” OR “disease” OR “yield” OR “adoption”)</w:t>
      </w:r>
    </w:p>
    <w:p w14:paraId="7C014769"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To complement peer-reviewed literature, </w:t>
      </w:r>
      <w:r w:rsidRPr="003752DA">
        <w:rPr>
          <w:rFonts w:ascii="Times New Roman" w:eastAsia="Times New Roman" w:hAnsi="Times New Roman" w:cs="Times New Roman"/>
          <w:b/>
          <w:bCs/>
          <w:kern w:val="0"/>
        </w:rPr>
        <w:t>grey literature</w:t>
      </w:r>
      <w:r w:rsidRPr="003752DA">
        <w:rPr>
          <w:rFonts w:ascii="Times New Roman" w:eastAsia="Times New Roman" w:hAnsi="Times New Roman" w:cs="Times New Roman"/>
          <w:kern w:val="0"/>
        </w:rPr>
        <w:t xml:space="preserve"> was systematically searched, including reports from the Food and Agriculture Organization (FAO), Ghana’s Ministry of Food and Agriculture (</w:t>
      </w:r>
      <w:proofErr w:type="spellStart"/>
      <w:r w:rsidRPr="003752DA">
        <w:rPr>
          <w:rFonts w:ascii="Times New Roman" w:eastAsia="Times New Roman" w:hAnsi="Times New Roman" w:cs="Times New Roman"/>
          <w:kern w:val="0"/>
        </w:rPr>
        <w:t>MoFA</w:t>
      </w:r>
      <w:proofErr w:type="spellEnd"/>
      <w:r w:rsidRPr="003752DA">
        <w:rPr>
          <w:rFonts w:ascii="Times New Roman" w:eastAsia="Times New Roman" w:hAnsi="Times New Roman" w:cs="Times New Roman"/>
          <w:kern w:val="0"/>
        </w:rPr>
        <w:t>), the World Bank, the GSM Association (GSMA), and the International Food Policy Research Institute (IFPRI). This step was essential for capturing rigorously documented pilot studies and policy evaluations often absent from academic journals.</w:t>
      </w:r>
    </w:p>
    <w:p w14:paraId="581D9356"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2.3 Inclusion and Exclusion Criteria</w:t>
      </w:r>
    </w:p>
    <w:p w14:paraId="01AA1E64"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Studies were included in the review if they met the following criteria:</w:t>
      </w:r>
    </w:p>
    <w:p w14:paraId="765C9520" w14:textId="77777777"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Empirical or analytical focus</w:t>
      </w:r>
      <w:r w:rsidRPr="003752DA">
        <w:rPr>
          <w:rFonts w:ascii="Times New Roman" w:eastAsia="Times New Roman" w:hAnsi="Times New Roman" w:cs="Times New Roman"/>
          <w:kern w:val="0"/>
        </w:rPr>
        <w:t xml:space="preserve"> on artificial intelligence applications in agriculture;</w:t>
      </w:r>
    </w:p>
    <w:p w14:paraId="58D1F2AC" w14:textId="77777777"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Geographic relevance</w:t>
      </w:r>
      <w:r w:rsidRPr="003752DA">
        <w:rPr>
          <w:rFonts w:ascii="Times New Roman" w:eastAsia="Times New Roman" w:hAnsi="Times New Roman" w:cs="Times New Roman"/>
          <w:kern w:val="0"/>
        </w:rPr>
        <w:t xml:space="preserve"> to Ghana or the West African sub-region, with explicit applicability to Ghanaian agricultural systems;</w:t>
      </w:r>
    </w:p>
    <w:p w14:paraId="09579438" w14:textId="77777777"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Publication in English</w:t>
      </w:r>
      <w:r w:rsidRPr="003752DA">
        <w:rPr>
          <w:rFonts w:ascii="Times New Roman" w:eastAsia="Times New Roman" w:hAnsi="Times New Roman" w:cs="Times New Roman"/>
          <w:kern w:val="0"/>
        </w:rPr>
        <w:t>;</w:t>
      </w:r>
    </w:p>
    <w:p w14:paraId="7FDDD2C0" w14:textId="77777777"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Publication between 2015 and 2025</w:t>
      </w:r>
      <w:r w:rsidRPr="003752DA">
        <w:rPr>
          <w:rFonts w:ascii="Times New Roman" w:eastAsia="Times New Roman" w:hAnsi="Times New Roman" w:cs="Times New Roman"/>
          <w:kern w:val="0"/>
        </w:rPr>
        <w:t>.</w:t>
      </w:r>
    </w:p>
    <w:p w14:paraId="7BEB089B"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Studies were excluded if they were:</w:t>
      </w:r>
    </w:p>
    <w:p w14:paraId="02B62211" w14:textId="77777777"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Purely conceptual or speculative with no empirical grounding;</w:t>
      </w:r>
    </w:p>
    <w:p w14:paraId="20458E1D" w14:textId="77777777"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Focused on digital technologies unrelated to AI;</w:t>
      </w:r>
    </w:p>
    <w:p w14:paraId="2769C143" w14:textId="77777777"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Based on pre-2015 data;</w:t>
      </w:r>
    </w:p>
    <w:p w14:paraId="1F27DFD7" w14:textId="77777777"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Duplicates or inaccessible full texts.</w:t>
      </w:r>
    </w:p>
    <w:p w14:paraId="57C2ECEF"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These criteria ensured that the review focused on </w:t>
      </w:r>
      <w:r w:rsidRPr="003752DA">
        <w:rPr>
          <w:rFonts w:ascii="Times New Roman" w:eastAsia="Times New Roman" w:hAnsi="Times New Roman" w:cs="Times New Roman"/>
          <w:b/>
          <w:bCs/>
          <w:kern w:val="0"/>
        </w:rPr>
        <w:t>evidence-based assessments</w:t>
      </w:r>
      <w:r w:rsidRPr="003752DA">
        <w:rPr>
          <w:rFonts w:ascii="Times New Roman" w:eastAsia="Times New Roman" w:hAnsi="Times New Roman" w:cs="Times New Roman"/>
          <w:kern w:val="0"/>
        </w:rPr>
        <w:t xml:space="preserve"> of AI impacts and adoption dynamics relevant to Ghana.</w:t>
      </w:r>
    </w:p>
    <w:p w14:paraId="6C085EA5"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2.4 Study Selection Process</w:t>
      </w:r>
    </w:p>
    <w:p w14:paraId="1823C745"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The study selection process followed PRISMA 2020 procedures and is summarized in a PRISMA flow diagram (Figure 1).</w:t>
      </w:r>
    </w:p>
    <w:p w14:paraId="2FA06820"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initial database search yielded </w:t>
      </w:r>
      <w:r w:rsidRPr="003752DA">
        <w:rPr>
          <w:rFonts w:ascii="Times New Roman" w:eastAsia="Times New Roman" w:hAnsi="Times New Roman" w:cs="Times New Roman"/>
          <w:b/>
          <w:bCs/>
          <w:kern w:val="0"/>
        </w:rPr>
        <w:t>1,245 records</w:t>
      </w:r>
      <w:r w:rsidRPr="003752DA">
        <w:rPr>
          <w:rFonts w:ascii="Times New Roman" w:eastAsia="Times New Roman" w:hAnsi="Times New Roman" w:cs="Times New Roman"/>
          <w:kern w:val="0"/>
        </w:rPr>
        <w:t xml:space="preserve">. After removing </w:t>
      </w:r>
      <w:r w:rsidRPr="003752DA">
        <w:rPr>
          <w:rFonts w:ascii="Times New Roman" w:eastAsia="Times New Roman" w:hAnsi="Times New Roman" w:cs="Times New Roman"/>
          <w:b/>
          <w:bCs/>
          <w:kern w:val="0"/>
        </w:rPr>
        <w:t>312 duplicates</w:t>
      </w:r>
      <w:r w:rsidRPr="003752DA">
        <w:rPr>
          <w:rFonts w:ascii="Times New Roman" w:eastAsia="Times New Roman" w:hAnsi="Times New Roman" w:cs="Times New Roman"/>
          <w:kern w:val="0"/>
        </w:rPr>
        <w:t xml:space="preserve">, </w:t>
      </w:r>
      <w:r w:rsidRPr="003752DA">
        <w:rPr>
          <w:rFonts w:ascii="Times New Roman" w:eastAsia="Times New Roman" w:hAnsi="Times New Roman" w:cs="Times New Roman"/>
          <w:b/>
          <w:bCs/>
          <w:kern w:val="0"/>
        </w:rPr>
        <w:t>933 records</w:t>
      </w:r>
      <w:r w:rsidRPr="003752DA">
        <w:rPr>
          <w:rFonts w:ascii="Times New Roman" w:eastAsia="Times New Roman" w:hAnsi="Times New Roman" w:cs="Times New Roman"/>
          <w:kern w:val="0"/>
        </w:rPr>
        <w:t xml:space="preserve"> were screened based on titles and abstracts. Of these, </w:t>
      </w:r>
      <w:r w:rsidRPr="003752DA">
        <w:rPr>
          <w:rFonts w:ascii="Times New Roman" w:eastAsia="Times New Roman" w:hAnsi="Times New Roman" w:cs="Times New Roman"/>
          <w:b/>
          <w:bCs/>
          <w:kern w:val="0"/>
        </w:rPr>
        <w:t>821 records</w:t>
      </w:r>
      <w:r w:rsidRPr="003752DA">
        <w:rPr>
          <w:rFonts w:ascii="Times New Roman" w:eastAsia="Times New Roman" w:hAnsi="Times New Roman" w:cs="Times New Roman"/>
          <w:kern w:val="0"/>
        </w:rPr>
        <w:t xml:space="preserve"> were excluded for lack of relevance to AI in agriculture or the Ghanaian context.</w:t>
      </w:r>
    </w:p>
    <w:p w14:paraId="37C76719"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Full-text screening was conducted for </w:t>
      </w:r>
      <w:r w:rsidRPr="003752DA">
        <w:rPr>
          <w:rFonts w:ascii="Times New Roman" w:eastAsia="Times New Roman" w:hAnsi="Times New Roman" w:cs="Times New Roman"/>
          <w:b/>
          <w:bCs/>
          <w:kern w:val="0"/>
        </w:rPr>
        <w:t>112 articles</w:t>
      </w:r>
      <w:r w:rsidRPr="003752DA">
        <w:rPr>
          <w:rFonts w:ascii="Times New Roman" w:eastAsia="Times New Roman" w:hAnsi="Times New Roman" w:cs="Times New Roman"/>
          <w:kern w:val="0"/>
        </w:rPr>
        <w:t xml:space="preserve">, resulting in </w:t>
      </w:r>
      <w:r w:rsidRPr="003752DA">
        <w:rPr>
          <w:rFonts w:ascii="Times New Roman" w:eastAsia="Times New Roman" w:hAnsi="Times New Roman" w:cs="Times New Roman"/>
          <w:b/>
          <w:bCs/>
          <w:kern w:val="0"/>
        </w:rPr>
        <w:t>78 studies</w:t>
      </w:r>
      <w:r w:rsidRPr="003752DA">
        <w:rPr>
          <w:rFonts w:ascii="Times New Roman" w:eastAsia="Times New Roman" w:hAnsi="Times New Roman" w:cs="Times New Roman"/>
          <w:kern w:val="0"/>
        </w:rPr>
        <w:t xml:space="preserve"> that met all inclusion criteria and were retained for final synthesis. The final corpus comprised peer-reviewed journal articles, institutional reports, and rigorously documented pilot evaluations.</w:t>
      </w:r>
    </w:p>
    <w:p w14:paraId="77CAEAE4"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2.5 Data Extraction</w:t>
      </w:r>
    </w:p>
    <w:p w14:paraId="3EA2319A"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Data extraction was conducted using a structured spreadsheet to ensure consistency and traceability. The following variables were extracted from each study:</w:t>
      </w:r>
    </w:p>
    <w:p w14:paraId="6F55B5B0" w14:textId="77777777"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Publication details (authors, year, source);</w:t>
      </w:r>
    </w:p>
    <w:p w14:paraId="46280B7C" w14:textId="77777777"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AI application type (e.g., precision agriculture, weather forecasting, pest diagnostics);</w:t>
      </w:r>
    </w:p>
    <w:p w14:paraId="094D7947" w14:textId="77777777"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Study design and context;</w:t>
      </w:r>
    </w:p>
    <w:p w14:paraId="7C325B7A" w14:textId="77777777"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Reported outcomes</w:t>
      </w:r>
      <w:r w:rsidRPr="003752DA">
        <w:rPr>
          <w:rFonts w:ascii="Times New Roman" w:eastAsia="Times New Roman" w:hAnsi="Times New Roman" w:cs="Times New Roman"/>
          <w:kern w:val="0"/>
        </w:rPr>
        <w:t>, including:</w:t>
      </w:r>
    </w:p>
    <w:p w14:paraId="32EC4A7C" w14:textId="77777777"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Yield changes,</w:t>
      </w:r>
    </w:p>
    <w:p w14:paraId="2DF257EE" w14:textId="77777777"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Income effects,</w:t>
      </w:r>
    </w:p>
    <w:p w14:paraId="452419FB" w14:textId="77777777"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Post-harvest loss reductions,</w:t>
      </w:r>
    </w:p>
    <w:p w14:paraId="150587D4" w14:textId="77777777"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Adoption or usage rates;</w:t>
      </w:r>
    </w:p>
    <w:p w14:paraId="10389B19" w14:textId="77777777"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Identified barriers and enabling factors</w:t>
      </w:r>
      <w:r w:rsidRPr="003752DA">
        <w:rPr>
          <w:rFonts w:ascii="Times New Roman" w:eastAsia="Times New Roman" w:hAnsi="Times New Roman" w:cs="Times New Roman"/>
          <w:kern w:val="0"/>
        </w:rPr>
        <w:t>, including infrastructural, socio-economic, and technological constraints.</w:t>
      </w:r>
    </w:p>
    <w:p w14:paraId="66A2C1B5"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Qualitative coding and thematic organization of extracted data were supported using NVivo software to identify recurring patterns across studies.</w:t>
      </w:r>
    </w:p>
    <w:p w14:paraId="0CEE1C5E"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2.6 Quality Assessment</w:t>
      </w:r>
    </w:p>
    <w:p w14:paraId="25C2ECEF"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 xml:space="preserve">The methodological quality of included studies was assessed using the </w:t>
      </w:r>
      <w:r w:rsidRPr="003752DA">
        <w:rPr>
          <w:rFonts w:ascii="Times New Roman" w:eastAsia="Times New Roman" w:hAnsi="Times New Roman" w:cs="Times New Roman"/>
          <w:b/>
          <w:bCs/>
          <w:kern w:val="0"/>
        </w:rPr>
        <w:t>Mixed Methods Appraisal Tool (MMAT), version 2018</w:t>
      </w:r>
      <w:r w:rsidRPr="003752DA">
        <w:rPr>
          <w:rFonts w:ascii="Times New Roman" w:eastAsia="Times New Roman" w:hAnsi="Times New Roman" w:cs="Times New Roman"/>
          <w:kern w:val="0"/>
        </w:rPr>
        <w:t>, which is specifically designed for reviews integrating qualitative, quantitative, and mixed-methods research.</w:t>
      </w:r>
    </w:p>
    <w:p w14:paraId="42085BCD"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Each study was evaluated against criteria appropriate to its design and assigned a quality rating. Of the 78 included studies, </w:t>
      </w:r>
      <w:r w:rsidRPr="003752DA">
        <w:rPr>
          <w:rFonts w:ascii="Times New Roman" w:eastAsia="Times New Roman" w:hAnsi="Times New Roman" w:cs="Times New Roman"/>
          <w:b/>
          <w:bCs/>
          <w:kern w:val="0"/>
        </w:rPr>
        <w:t>48 (62%) were classified as high-quality</w:t>
      </w:r>
      <w:r w:rsidRPr="003752DA">
        <w:rPr>
          <w:rFonts w:ascii="Times New Roman" w:eastAsia="Times New Roman" w:hAnsi="Times New Roman" w:cs="Times New Roman"/>
          <w:kern w:val="0"/>
        </w:rPr>
        <w:t xml:space="preserve">, typically published in Q1–Q2 journals with robust methodologies, while </w:t>
      </w:r>
      <w:r w:rsidRPr="003752DA">
        <w:rPr>
          <w:rFonts w:ascii="Times New Roman" w:eastAsia="Times New Roman" w:hAnsi="Times New Roman" w:cs="Times New Roman"/>
          <w:b/>
          <w:bCs/>
          <w:kern w:val="0"/>
        </w:rPr>
        <w:t>30 (38%) were rated as moderate quality</w:t>
      </w:r>
      <w:r w:rsidRPr="003752DA">
        <w:rPr>
          <w:rFonts w:ascii="Times New Roman" w:eastAsia="Times New Roman" w:hAnsi="Times New Roman" w:cs="Times New Roman"/>
          <w:kern w:val="0"/>
        </w:rPr>
        <w:t>, often comprising grey literature or studies with limited sample sizes.</w:t>
      </w:r>
    </w:p>
    <w:p w14:paraId="55B68C2E"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Quality assessments informed the synthesis process, with </w:t>
      </w:r>
      <w:r w:rsidRPr="003752DA">
        <w:rPr>
          <w:rFonts w:ascii="Times New Roman" w:eastAsia="Times New Roman" w:hAnsi="Times New Roman" w:cs="Times New Roman"/>
          <w:b/>
          <w:bCs/>
          <w:kern w:val="0"/>
        </w:rPr>
        <w:t>greater interpretive weight assigned to higher-quality studies</w:t>
      </w:r>
      <w:r w:rsidRPr="003752DA">
        <w:rPr>
          <w:rFonts w:ascii="Times New Roman" w:eastAsia="Times New Roman" w:hAnsi="Times New Roman" w:cs="Times New Roman"/>
          <w:kern w:val="0"/>
        </w:rPr>
        <w:t xml:space="preserve"> when aggregating empirical outcomes.</w:t>
      </w:r>
    </w:p>
    <w:p w14:paraId="572CB034" w14:textId="77777777"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2.7 Data Synthesis Approach</w:t>
      </w:r>
    </w:p>
    <w:p w14:paraId="68709F84"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Due to substantial </w:t>
      </w:r>
      <w:r w:rsidRPr="003752DA">
        <w:rPr>
          <w:rFonts w:ascii="Times New Roman" w:eastAsia="Times New Roman" w:hAnsi="Times New Roman" w:cs="Times New Roman"/>
          <w:b/>
          <w:bCs/>
          <w:kern w:val="0"/>
        </w:rPr>
        <w:t>heterogeneity in study designs, outcome metrics, and intervention contexts</w:t>
      </w:r>
      <w:r w:rsidRPr="003752DA">
        <w:rPr>
          <w:rFonts w:ascii="Times New Roman" w:eastAsia="Times New Roman" w:hAnsi="Times New Roman" w:cs="Times New Roman"/>
          <w:kern w:val="0"/>
        </w:rPr>
        <w:t xml:space="preserve">, a formal meta-analysis was not feasible. Instead, the review employed a </w:t>
      </w:r>
      <w:r w:rsidRPr="003752DA">
        <w:rPr>
          <w:rFonts w:ascii="Times New Roman" w:eastAsia="Times New Roman" w:hAnsi="Times New Roman" w:cs="Times New Roman"/>
          <w:b/>
          <w:bCs/>
          <w:kern w:val="0"/>
        </w:rPr>
        <w:t>narrative quantitative synthesis</w:t>
      </w:r>
      <w:r w:rsidRPr="003752DA">
        <w:rPr>
          <w:rFonts w:ascii="Times New Roman" w:eastAsia="Times New Roman" w:hAnsi="Times New Roman" w:cs="Times New Roman"/>
          <w:kern w:val="0"/>
        </w:rPr>
        <w:t xml:space="preserve"> approach.</w:t>
      </w:r>
    </w:p>
    <w:p w14:paraId="43A488FC"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This method involved aggregating reported outcomes into comparable ranges (e.g., yield gains, income increases, loss reductions) and synthesizing patterns across AI application domains. The approach aligns with best practice for systematic reviews where standardization of outcome measures is limited but policy-relevant synthesis is required.</w:t>
      </w:r>
    </w:p>
    <w:p w14:paraId="1A27F2F5" w14:textId="77777777"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This synthesis strategy enabled identification of </w:t>
      </w:r>
      <w:r w:rsidRPr="003752DA">
        <w:rPr>
          <w:rFonts w:ascii="Times New Roman" w:eastAsia="Times New Roman" w:hAnsi="Times New Roman" w:cs="Times New Roman"/>
          <w:b/>
          <w:bCs/>
          <w:kern w:val="0"/>
        </w:rPr>
        <w:t>consistent empirical trends</w:t>
      </w:r>
      <w:r w:rsidRPr="003752DA">
        <w:rPr>
          <w:rFonts w:ascii="Times New Roman" w:eastAsia="Times New Roman" w:hAnsi="Times New Roman" w:cs="Times New Roman"/>
          <w:kern w:val="0"/>
        </w:rPr>
        <w:t>, comparative advantages of AI interventions, and structural barriers limiting scalability across Ghanaian agricultural systems.</w:t>
      </w:r>
    </w:p>
    <w:p w14:paraId="09A05874" w14:textId="77777777" w:rsidR="000C6A27" w:rsidRDefault="000C6A27" w:rsidP="000C6A27">
      <w:pPr>
        <w:rPr>
          <w:noProof/>
        </w:rPr>
      </w:pPr>
    </w:p>
    <w:p w14:paraId="676E1D80" w14:textId="77777777" w:rsidR="000C6A27" w:rsidRDefault="00F267E3" w:rsidP="000C6A27">
      <w:pPr>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lastRenderedPageBreak/>
        <w:drawing>
          <wp:inline distT="0" distB="0" distL="0" distR="0" wp14:anchorId="6CDA825E" wp14:editId="15C84989">
            <wp:extent cx="5054600" cy="3587750"/>
            <wp:effectExtent l="19050" t="0" r="0" b="0"/>
            <wp:docPr id="1" name="Picture 0" descr="IMG-20260109-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09-WA0034.jpg"/>
                    <pic:cNvPicPr/>
                  </pic:nvPicPr>
                  <pic:blipFill>
                    <a:blip r:embed="rId7"/>
                    <a:stretch>
                      <a:fillRect/>
                    </a:stretch>
                  </pic:blipFill>
                  <pic:spPr>
                    <a:xfrm>
                      <a:off x="0" y="0"/>
                      <a:ext cx="5054600" cy="3587750"/>
                    </a:xfrm>
                    <a:prstGeom prst="rect">
                      <a:avLst/>
                    </a:prstGeom>
                  </pic:spPr>
                </pic:pic>
              </a:graphicData>
            </a:graphic>
          </wp:inline>
        </w:drawing>
      </w:r>
    </w:p>
    <w:p w14:paraId="066E9CA8" w14:textId="77777777" w:rsidR="00A14203" w:rsidRDefault="00F1190E" w:rsidP="000C6A27">
      <w:pPr>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Fig 1: </w:t>
      </w:r>
      <w:r w:rsidRPr="00F1190E">
        <w:rPr>
          <w:rFonts w:ascii="Times New Roman" w:eastAsia="Times New Roman" w:hAnsi="Times New Roman" w:cs="Times New Roman"/>
          <w:b/>
          <w:bCs/>
          <w:kern w:val="36"/>
        </w:rPr>
        <w:t>Identification of studies via databases and registers</w:t>
      </w:r>
    </w:p>
    <w:p w14:paraId="5C7C94BF" w14:textId="77777777" w:rsidR="003F0B06" w:rsidRDefault="003F0B06" w:rsidP="000C6A27">
      <w:pPr>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3. Results: Synthesized Empirical Evidence on AI in Ghanaian Agriculture</w:t>
      </w:r>
    </w:p>
    <w:p w14:paraId="32635AAC" w14:textId="77777777" w:rsidR="00261D41" w:rsidRDefault="00261D41" w:rsidP="00261D41">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Table 1. Empirical impacts of artificial intelligence applications in Ghanaian agriculture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1736"/>
        <w:gridCol w:w="2654"/>
        <w:gridCol w:w="1526"/>
        <w:gridCol w:w="2289"/>
        <w:gridCol w:w="1155"/>
      </w:tblGrid>
      <w:tr w:rsidR="00261D41" w14:paraId="33401F9D" w14:textId="77777777" w:rsidTr="006F531A">
        <w:trPr>
          <w:tblHeader/>
          <w:tblCellSpacing w:w="15" w:type="dxa"/>
        </w:trPr>
        <w:tc>
          <w:tcPr>
            <w:tcW w:w="0" w:type="auto"/>
            <w:tcMar>
              <w:top w:w="15" w:type="dxa"/>
              <w:left w:w="15" w:type="dxa"/>
              <w:bottom w:w="15" w:type="dxa"/>
              <w:right w:w="15" w:type="dxa"/>
            </w:tcMar>
            <w:vAlign w:val="center"/>
            <w:hideMark/>
          </w:tcPr>
          <w:p w14:paraId="289A58EB" w14:textId="77777777"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AI application domain</w:t>
            </w:r>
          </w:p>
        </w:tc>
        <w:tc>
          <w:tcPr>
            <w:tcW w:w="0" w:type="auto"/>
            <w:tcMar>
              <w:top w:w="15" w:type="dxa"/>
              <w:left w:w="15" w:type="dxa"/>
              <w:bottom w:w="15" w:type="dxa"/>
              <w:right w:w="15" w:type="dxa"/>
            </w:tcMar>
            <w:vAlign w:val="center"/>
            <w:hideMark/>
          </w:tcPr>
          <w:p w14:paraId="44520072" w14:textId="77777777"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Representative AI functions</w:t>
            </w:r>
          </w:p>
        </w:tc>
        <w:tc>
          <w:tcPr>
            <w:tcW w:w="0" w:type="auto"/>
            <w:tcMar>
              <w:top w:w="15" w:type="dxa"/>
              <w:left w:w="15" w:type="dxa"/>
              <w:bottom w:w="15" w:type="dxa"/>
              <w:right w:w="15" w:type="dxa"/>
            </w:tcMar>
            <w:vAlign w:val="center"/>
            <w:hideMark/>
          </w:tcPr>
          <w:p w14:paraId="18E7DD6C" w14:textId="77777777"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Key crops / systems</w:t>
            </w:r>
          </w:p>
        </w:tc>
        <w:tc>
          <w:tcPr>
            <w:tcW w:w="0" w:type="auto"/>
            <w:tcMar>
              <w:top w:w="15" w:type="dxa"/>
              <w:left w:w="15" w:type="dxa"/>
              <w:bottom w:w="15" w:type="dxa"/>
              <w:right w:w="15" w:type="dxa"/>
            </w:tcMar>
            <w:vAlign w:val="center"/>
            <w:hideMark/>
          </w:tcPr>
          <w:p w14:paraId="12264111" w14:textId="77777777"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Aggregated empirical outcomes</w:t>
            </w:r>
          </w:p>
        </w:tc>
        <w:tc>
          <w:tcPr>
            <w:tcW w:w="0" w:type="auto"/>
            <w:tcMar>
              <w:top w:w="15" w:type="dxa"/>
              <w:left w:w="15" w:type="dxa"/>
              <w:bottom w:w="15" w:type="dxa"/>
              <w:right w:w="15" w:type="dxa"/>
            </w:tcMar>
            <w:vAlign w:val="center"/>
            <w:hideMark/>
          </w:tcPr>
          <w:p w14:paraId="609AF1EE" w14:textId="77777777" w:rsidR="00261D41" w:rsidRDefault="00261D41">
            <w:pPr>
              <w:spacing w:after="0" w:line="24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Evidence base</w:t>
            </w:r>
          </w:p>
        </w:tc>
      </w:tr>
      <w:tr w:rsidR="00261D41" w14:paraId="689FA644" w14:textId="77777777" w:rsidTr="006F531A">
        <w:trPr>
          <w:tblCellSpacing w:w="15" w:type="dxa"/>
        </w:trPr>
        <w:tc>
          <w:tcPr>
            <w:tcW w:w="0" w:type="auto"/>
            <w:tcMar>
              <w:top w:w="15" w:type="dxa"/>
              <w:left w:w="15" w:type="dxa"/>
              <w:bottom w:w="15" w:type="dxa"/>
              <w:right w:w="15" w:type="dxa"/>
            </w:tcMar>
            <w:vAlign w:val="center"/>
            <w:hideMark/>
          </w:tcPr>
          <w:p w14:paraId="3E098FF2"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Precision agriculture</w:t>
            </w:r>
          </w:p>
        </w:tc>
        <w:tc>
          <w:tcPr>
            <w:tcW w:w="0" w:type="auto"/>
            <w:tcMar>
              <w:top w:w="15" w:type="dxa"/>
              <w:left w:w="15" w:type="dxa"/>
              <w:bottom w:w="15" w:type="dxa"/>
              <w:right w:w="15" w:type="dxa"/>
            </w:tcMar>
            <w:vAlign w:val="center"/>
            <w:hideMark/>
          </w:tcPr>
          <w:p w14:paraId="0FE3FC73"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Soil monitoring, crop health analytics, site-specific input recommendations</w:t>
            </w:r>
          </w:p>
        </w:tc>
        <w:tc>
          <w:tcPr>
            <w:tcW w:w="0" w:type="auto"/>
            <w:tcMar>
              <w:top w:w="15" w:type="dxa"/>
              <w:left w:w="15" w:type="dxa"/>
              <w:bottom w:w="15" w:type="dxa"/>
              <w:right w:w="15" w:type="dxa"/>
            </w:tcMar>
            <w:vAlign w:val="center"/>
            <w:hideMark/>
          </w:tcPr>
          <w:p w14:paraId="385890D5"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Cocoa, maize, cereals</w:t>
            </w:r>
          </w:p>
        </w:tc>
        <w:tc>
          <w:tcPr>
            <w:tcW w:w="0" w:type="auto"/>
            <w:tcMar>
              <w:top w:w="15" w:type="dxa"/>
              <w:left w:w="15" w:type="dxa"/>
              <w:bottom w:w="15" w:type="dxa"/>
              <w:right w:w="15" w:type="dxa"/>
            </w:tcMar>
            <w:vAlign w:val="center"/>
            <w:hideMark/>
          </w:tcPr>
          <w:p w14:paraId="38B9190A"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Yield increases </w:t>
            </w:r>
            <w:r>
              <w:rPr>
                <w:rFonts w:ascii="Times New Roman" w:eastAsia="Times New Roman" w:hAnsi="Times New Roman" w:cs="Times New Roman"/>
                <w:b/>
                <w:bCs/>
                <w:kern w:val="0"/>
              </w:rPr>
              <w:t>15–35%</w:t>
            </w:r>
            <w:r>
              <w:rPr>
                <w:rFonts w:ascii="Times New Roman" w:eastAsia="Times New Roman" w:hAnsi="Times New Roman" w:cs="Times New Roman"/>
                <w:kern w:val="0"/>
              </w:rPr>
              <w:t>; input efficiency gains (fertilizer, water)</w:t>
            </w:r>
          </w:p>
        </w:tc>
        <w:tc>
          <w:tcPr>
            <w:tcW w:w="0" w:type="auto"/>
            <w:tcMar>
              <w:top w:w="15" w:type="dxa"/>
              <w:left w:w="15" w:type="dxa"/>
              <w:bottom w:w="15" w:type="dxa"/>
              <w:right w:w="15" w:type="dxa"/>
            </w:tcMar>
            <w:vAlign w:val="center"/>
            <w:hideMark/>
          </w:tcPr>
          <w:p w14:paraId="3002706C"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[23–28]</w:t>
            </w:r>
          </w:p>
        </w:tc>
      </w:tr>
      <w:tr w:rsidR="00261D41" w14:paraId="47522455" w14:textId="77777777" w:rsidTr="006F531A">
        <w:trPr>
          <w:tblCellSpacing w:w="15" w:type="dxa"/>
        </w:trPr>
        <w:tc>
          <w:tcPr>
            <w:tcW w:w="0" w:type="auto"/>
            <w:tcMar>
              <w:top w:w="15" w:type="dxa"/>
              <w:left w:w="15" w:type="dxa"/>
              <w:bottom w:w="15" w:type="dxa"/>
              <w:right w:w="15" w:type="dxa"/>
            </w:tcMar>
            <w:vAlign w:val="center"/>
            <w:hideMark/>
          </w:tcPr>
          <w:p w14:paraId="4FBA6009"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Predictive analytics &amp; weather forecasting</w:t>
            </w:r>
          </w:p>
        </w:tc>
        <w:tc>
          <w:tcPr>
            <w:tcW w:w="0" w:type="auto"/>
            <w:tcMar>
              <w:top w:w="15" w:type="dxa"/>
              <w:left w:w="15" w:type="dxa"/>
              <w:bottom w:w="15" w:type="dxa"/>
              <w:right w:w="15" w:type="dxa"/>
            </w:tcMar>
            <w:vAlign w:val="center"/>
            <w:hideMark/>
          </w:tcPr>
          <w:p w14:paraId="3C03113C"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AI-based weather prediction, planting-date optimization</w:t>
            </w:r>
          </w:p>
        </w:tc>
        <w:tc>
          <w:tcPr>
            <w:tcW w:w="0" w:type="auto"/>
            <w:tcMar>
              <w:top w:w="15" w:type="dxa"/>
              <w:left w:w="15" w:type="dxa"/>
              <w:bottom w:w="15" w:type="dxa"/>
              <w:right w:w="15" w:type="dxa"/>
            </w:tcMar>
            <w:vAlign w:val="center"/>
            <w:hideMark/>
          </w:tcPr>
          <w:p w14:paraId="5CB90E13"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Cassava, maize, cocoa</w:t>
            </w:r>
          </w:p>
        </w:tc>
        <w:tc>
          <w:tcPr>
            <w:tcW w:w="0" w:type="auto"/>
            <w:tcMar>
              <w:top w:w="15" w:type="dxa"/>
              <w:left w:w="15" w:type="dxa"/>
              <w:bottom w:w="15" w:type="dxa"/>
              <w:right w:w="15" w:type="dxa"/>
            </w:tcMar>
            <w:vAlign w:val="center"/>
            <w:hideMark/>
          </w:tcPr>
          <w:p w14:paraId="425DE298"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Yield increases </w:t>
            </w:r>
            <w:r>
              <w:rPr>
                <w:rFonts w:ascii="Times New Roman" w:eastAsia="Times New Roman" w:hAnsi="Times New Roman" w:cs="Times New Roman"/>
                <w:b/>
                <w:bCs/>
                <w:kern w:val="0"/>
              </w:rPr>
              <w:t>10–92%</w:t>
            </w:r>
            <w:r>
              <w:rPr>
                <w:rFonts w:ascii="Times New Roman" w:eastAsia="Times New Roman" w:hAnsi="Times New Roman" w:cs="Times New Roman"/>
                <w:kern w:val="0"/>
              </w:rPr>
              <w:t xml:space="preserve">; </w:t>
            </w:r>
            <w:r>
              <w:rPr>
                <w:rFonts w:ascii="Times New Roman" w:eastAsia="Times New Roman" w:hAnsi="Times New Roman" w:cs="Times New Roman"/>
                <w:b/>
                <w:bCs/>
                <w:kern w:val="0"/>
              </w:rPr>
              <w:t>84%</w:t>
            </w:r>
            <w:r>
              <w:rPr>
                <w:rFonts w:ascii="Times New Roman" w:eastAsia="Times New Roman" w:hAnsi="Times New Roman" w:cs="Times New Roman"/>
                <w:kern w:val="0"/>
              </w:rPr>
              <w:t xml:space="preserve"> of farmers reporting improved harvest outcomes</w:t>
            </w:r>
          </w:p>
        </w:tc>
        <w:tc>
          <w:tcPr>
            <w:tcW w:w="0" w:type="auto"/>
            <w:tcMar>
              <w:top w:w="15" w:type="dxa"/>
              <w:left w:w="15" w:type="dxa"/>
              <w:bottom w:w="15" w:type="dxa"/>
              <w:right w:w="15" w:type="dxa"/>
            </w:tcMar>
            <w:vAlign w:val="center"/>
            <w:hideMark/>
          </w:tcPr>
          <w:p w14:paraId="26CAA614"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[29–32]</w:t>
            </w:r>
          </w:p>
        </w:tc>
      </w:tr>
      <w:tr w:rsidR="00261D41" w14:paraId="6DABC3FB" w14:textId="77777777" w:rsidTr="006F531A">
        <w:trPr>
          <w:tblCellSpacing w:w="15" w:type="dxa"/>
        </w:trPr>
        <w:tc>
          <w:tcPr>
            <w:tcW w:w="0" w:type="auto"/>
            <w:tcMar>
              <w:top w:w="15" w:type="dxa"/>
              <w:left w:w="15" w:type="dxa"/>
              <w:bottom w:w="15" w:type="dxa"/>
              <w:right w:w="15" w:type="dxa"/>
            </w:tcMar>
            <w:vAlign w:val="center"/>
            <w:hideMark/>
          </w:tcPr>
          <w:p w14:paraId="3548AD44"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Pest and disease detection</w:t>
            </w:r>
          </w:p>
        </w:tc>
        <w:tc>
          <w:tcPr>
            <w:tcW w:w="0" w:type="auto"/>
            <w:tcMar>
              <w:top w:w="15" w:type="dxa"/>
              <w:left w:w="15" w:type="dxa"/>
              <w:bottom w:w="15" w:type="dxa"/>
              <w:right w:w="15" w:type="dxa"/>
            </w:tcMar>
            <w:vAlign w:val="center"/>
            <w:hideMark/>
          </w:tcPr>
          <w:p w14:paraId="402BE21E"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Computer vision–based diagnostics, early-warning systems</w:t>
            </w:r>
          </w:p>
        </w:tc>
        <w:tc>
          <w:tcPr>
            <w:tcW w:w="0" w:type="auto"/>
            <w:tcMar>
              <w:top w:w="15" w:type="dxa"/>
              <w:left w:w="15" w:type="dxa"/>
              <w:bottom w:w="15" w:type="dxa"/>
              <w:right w:w="15" w:type="dxa"/>
            </w:tcMar>
            <w:vAlign w:val="center"/>
            <w:hideMark/>
          </w:tcPr>
          <w:p w14:paraId="6E8E7F9F"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Cassava</w:t>
            </w:r>
          </w:p>
        </w:tc>
        <w:tc>
          <w:tcPr>
            <w:tcW w:w="0" w:type="auto"/>
            <w:tcMar>
              <w:top w:w="15" w:type="dxa"/>
              <w:left w:w="15" w:type="dxa"/>
              <w:bottom w:w="15" w:type="dxa"/>
              <w:right w:w="15" w:type="dxa"/>
            </w:tcMar>
            <w:vAlign w:val="center"/>
            <w:hideMark/>
          </w:tcPr>
          <w:p w14:paraId="6BC2F816"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Diagnostic accuracy </w:t>
            </w:r>
            <w:r>
              <w:rPr>
                <w:rFonts w:ascii="Times New Roman" w:eastAsia="Times New Roman" w:hAnsi="Times New Roman" w:cs="Times New Roman"/>
                <w:b/>
                <w:bCs/>
                <w:kern w:val="0"/>
              </w:rPr>
              <w:t>≈98%</w:t>
            </w:r>
            <w:r>
              <w:rPr>
                <w:rFonts w:ascii="Times New Roman" w:eastAsia="Times New Roman" w:hAnsi="Times New Roman" w:cs="Times New Roman"/>
                <w:kern w:val="0"/>
              </w:rPr>
              <w:t xml:space="preserve">; pesticide reduction </w:t>
            </w:r>
            <w:r>
              <w:rPr>
                <w:rFonts w:ascii="Times New Roman" w:eastAsia="Times New Roman" w:hAnsi="Times New Roman" w:cs="Times New Roman"/>
                <w:b/>
                <w:bCs/>
                <w:kern w:val="0"/>
              </w:rPr>
              <w:t>up to 25%</w:t>
            </w:r>
          </w:p>
        </w:tc>
        <w:tc>
          <w:tcPr>
            <w:tcW w:w="0" w:type="auto"/>
            <w:tcMar>
              <w:top w:w="15" w:type="dxa"/>
              <w:left w:w="15" w:type="dxa"/>
              <w:bottom w:w="15" w:type="dxa"/>
              <w:right w:w="15" w:type="dxa"/>
            </w:tcMar>
            <w:vAlign w:val="center"/>
            <w:hideMark/>
          </w:tcPr>
          <w:p w14:paraId="31B4519D"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[33–35]</w:t>
            </w:r>
          </w:p>
        </w:tc>
      </w:tr>
      <w:tr w:rsidR="00261D41" w14:paraId="081B0DAD" w14:textId="77777777" w:rsidTr="006F531A">
        <w:trPr>
          <w:tblCellSpacing w:w="15" w:type="dxa"/>
        </w:trPr>
        <w:tc>
          <w:tcPr>
            <w:tcW w:w="0" w:type="auto"/>
            <w:tcMar>
              <w:top w:w="15" w:type="dxa"/>
              <w:left w:w="15" w:type="dxa"/>
              <w:bottom w:w="15" w:type="dxa"/>
              <w:right w:w="15" w:type="dxa"/>
            </w:tcMar>
            <w:vAlign w:val="center"/>
            <w:hideMark/>
          </w:tcPr>
          <w:p w14:paraId="718A6D1D"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Market linkages</w:t>
            </w:r>
          </w:p>
        </w:tc>
        <w:tc>
          <w:tcPr>
            <w:tcW w:w="0" w:type="auto"/>
            <w:tcMar>
              <w:top w:w="15" w:type="dxa"/>
              <w:left w:w="15" w:type="dxa"/>
              <w:bottom w:w="15" w:type="dxa"/>
              <w:right w:w="15" w:type="dxa"/>
            </w:tcMar>
            <w:vAlign w:val="center"/>
            <w:hideMark/>
          </w:tcPr>
          <w:p w14:paraId="6688F854"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Price prediction, buyer–seller matching, logistics optimization</w:t>
            </w:r>
          </w:p>
        </w:tc>
        <w:tc>
          <w:tcPr>
            <w:tcW w:w="0" w:type="auto"/>
            <w:tcMar>
              <w:top w:w="15" w:type="dxa"/>
              <w:left w:w="15" w:type="dxa"/>
              <w:bottom w:w="15" w:type="dxa"/>
              <w:right w:w="15" w:type="dxa"/>
            </w:tcMar>
            <w:vAlign w:val="center"/>
            <w:hideMark/>
          </w:tcPr>
          <w:p w14:paraId="2FABA607"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Staple and horticultural crops</w:t>
            </w:r>
          </w:p>
        </w:tc>
        <w:tc>
          <w:tcPr>
            <w:tcW w:w="0" w:type="auto"/>
            <w:tcMar>
              <w:top w:w="15" w:type="dxa"/>
              <w:left w:w="15" w:type="dxa"/>
              <w:bottom w:w="15" w:type="dxa"/>
              <w:right w:w="15" w:type="dxa"/>
            </w:tcMar>
            <w:vAlign w:val="center"/>
            <w:hideMark/>
          </w:tcPr>
          <w:p w14:paraId="670D2984"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Income gains </w:t>
            </w:r>
            <w:r>
              <w:rPr>
                <w:rFonts w:ascii="Times New Roman" w:eastAsia="Times New Roman" w:hAnsi="Times New Roman" w:cs="Times New Roman"/>
                <w:b/>
                <w:bCs/>
                <w:kern w:val="0"/>
              </w:rPr>
              <w:t>10–15%</w:t>
            </w:r>
            <w:r>
              <w:rPr>
                <w:rFonts w:ascii="Times New Roman" w:eastAsia="Times New Roman" w:hAnsi="Times New Roman" w:cs="Times New Roman"/>
                <w:kern w:val="0"/>
              </w:rPr>
              <w:t xml:space="preserve">; post-harvest loss reduction </w:t>
            </w:r>
            <w:r>
              <w:rPr>
                <w:rFonts w:ascii="Times New Roman" w:eastAsia="Times New Roman" w:hAnsi="Times New Roman" w:cs="Times New Roman"/>
                <w:b/>
                <w:bCs/>
                <w:kern w:val="0"/>
              </w:rPr>
              <w:t>25–30%</w:t>
            </w:r>
          </w:p>
        </w:tc>
        <w:tc>
          <w:tcPr>
            <w:tcW w:w="0" w:type="auto"/>
            <w:tcMar>
              <w:top w:w="15" w:type="dxa"/>
              <w:left w:w="15" w:type="dxa"/>
              <w:bottom w:w="15" w:type="dxa"/>
              <w:right w:w="15" w:type="dxa"/>
            </w:tcMar>
            <w:vAlign w:val="center"/>
            <w:hideMark/>
          </w:tcPr>
          <w:p w14:paraId="7EFE9806"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[36–39]</w:t>
            </w:r>
          </w:p>
        </w:tc>
      </w:tr>
      <w:tr w:rsidR="00261D41" w14:paraId="28FF3D60" w14:textId="77777777" w:rsidTr="006F531A">
        <w:trPr>
          <w:tblCellSpacing w:w="15" w:type="dxa"/>
        </w:trPr>
        <w:tc>
          <w:tcPr>
            <w:tcW w:w="0" w:type="auto"/>
            <w:tcMar>
              <w:top w:w="15" w:type="dxa"/>
              <w:left w:w="15" w:type="dxa"/>
              <w:bottom w:w="15" w:type="dxa"/>
              <w:right w:w="15" w:type="dxa"/>
            </w:tcMar>
            <w:vAlign w:val="center"/>
            <w:hideMark/>
          </w:tcPr>
          <w:p w14:paraId="10E8641E"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lastRenderedPageBreak/>
              <w:t>Financial inclusion &amp; livestock services</w:t>
            </w:r>
          </w:p>
        </w:tc>
        <w:tc>
          <w:tcPr>
            <w:tcW w:w="0" w:type="auto"/>
            <w:tcMar>
              <w:top w:w="15" w:type="dxa"/>
              <w:left w:w="15" w:type="dxa"/>
              <w:bottom w:w="15" w:type="dxa"/>
              <w:right w:w="15" w:type="dxa"/>
            </w:tcMar>
            <w:vAlign w:val="center"/>
            <w:hideMark/>
          </w:tcPr>
          <w:p w14:paraId="3E558434"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Digital credit scoring, AI-enabled veterinary advisory</w:t>
            </w:r>
          </w:p>
        </w:tc>
        <w:tc>
          <w:tcPr>
            <w:tcW w:w="0" w:type="auto"/>
            <w:tcMar>
              <w:top w:w="15" w:type="dxa"/>
              <w:left w:w="15" w:type="dxa"/>
              <w:bottom w:w="15" w:type="dxa"/>
              <w:right w:w="15" w:type="dxa"/>
            </w:tcMar>
            <w:vAlign w:val="center"/>
            <w:hideMark/>
          </w:tcPr>
          <w:p w14:paraId="71BD864B"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Livestock systems</w:t>
            </w:r>
          </w:p>
        </w:tc>
        <w:tc>
          <w:tcPr>
            <w:tcW w:w="0" w:type="auto"/>
            <w:tcMar>
              <w:top w:w="15" w:type="dxa"/>
              <w:left w:w="15" w:type="dxa"/>
              <w:bottom w:w="15" w:type="dxa"/>
              <w:right w:w="15" w:type="dxa"/>
            </w:tcMar>
            <w:vAlign w:val="center"/>
            <w:hideMark/>
          </w:tcPr>
          <w:p w14:paraId="0ED5EF6C"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Financial inclusion increase </w:t>
            </w:r>
            <w:r>
              <w:rPr>
                <w:rFonts w:ascii="Times New Roman" w:eastAsia="Times New Roman" w:hAnsi="Times New Roman" w:cs="Times New Roman"/>
                <w:b/>
                <w:bCs/>
                <w:kern w:val="0"/>
              </w:rPr>
              <w:t>≈15%</w:t>
            </w:r>
            <w:r>
              <w:rPr>
                <w:rFonts w:ascii="Times New Roman" w:eastAsia="Times New Roman" w:hAnsi="Times New Roman" w:cs="Times New Roman"/>
                <w:kern w:val="0"/>
              </w:rPr>
              <w:t xml:space="preserve">; livestock mortality reduction </w:t>
            </w:r>
            <w:r>
              <w:rPr>
                <w:rFonts w:ascii="Times New Roman" w:eastAsia="Times New Roman" w:hAnsi="Times New Roman" w:cs="Times New Roman"/>
                <w:b/>
                <w:bCs/>
                <w:kern w:val="0"/>
              </w:rPr>
              <w:t>≈20%</w:t>
            </w:r>
          </w:p>
        </w:tc>
        <w:tc>
          <w:tcPr>
            <w:tcW w:w="0" w:type="auto"/>
            <w:tcMar>
              <w:top w:w="15" w:type="dxa"/>
              <w:left w:w="15" w:type="dxa"/>
              <w:bottom w:w="15" w:type="dxa"/>
              <w:right w:w="15" w:type="dxa"/>
            </w:tcMar>
            <w:vAlign w:val="center"/>
            <w:hideMark/>
          </w:tcPr>
          <w:p w14:paraId="404EC598" w14:textId="77777777"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[20,38,39]</w:t>
            </w:r>
          </w:p>
        </w:tc>
      </w:tr>
    </w:tbl>
    <w:p w14:paraId="62E24797" w14:textId="77777777" w:rsidR="00261D41" w:rsidRPr="003F0B06" w:rsidRDefault="00261D41" w:rsidP="000C6A27">
      <w:pPr>
        <w:rPr>
          <w:b/>
        </w:rPr>
      </w:pPr>
    </w:p>
    <w:p w14:paraId="1DE16325"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3.1 Overview of Synthesized Results</w:t>
      </w:r>
    </w:p>
    <w:p w14:paraId="6AA53C82"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The systematic review synthesized evidence from </w:t>
      </w:r>
      <w:r w:rsidRPr="003F0B06">
        <w:rPr>
          <w:rFonts w:ascii="Times New Roman" w:eastAsia="Times New Roman" w:hAnsi="Times New Roman" w:cs="Times New Roman"/>
          <w:b/>
          <w:bCs/>
          <w:kern w:val="0"/>
        </w:rPr>
        <w:t>78 studies</w:t>
      </w:r>
      <w:r w:rsidRPr="003F0B06">
        <w:rPr>
          <w:rFonts w:ascii="Times New Roman" w:eastAsia="Times New Roman" w:hAnsi="Times New Roman" w:cs="Times New Roman"/>
          <w:kern w:val="0"/>
        </w:rPr>
        <w:t xml:space="preserve">, documenting </w:t>
      </w:r>
      <w:r w:rsidRPr="003F0B06">
        <w:rPr>
          <w:rFonts w:ascii="Times New Roman" w:eastAsia="Times New Roman" w:hAnsi="Times New Roman" w:cs="Times New Roman"/>
          <w:b/>
          <w:bCs/>
          <w:kern w:val="0"/>
        </w:rPr>
        <w:t>11 empirically evaluated AI pilot initiatives</w:t>
      </w:r>
      <w:r w:rsidRPr="003F0B06">
        <w:rPr>
          <w:rFonts w:ascii="Times New Roman" w:eastAsia="Times New Roman" w:hAnsi="Times New Roman" w:cs="Times New Roman"/>
          <w:kern w:val="0"/>
        </w:rPr>
        <w:t xml:space="preserve"> deployed within Ghanaian agricultural systems between 2015 and 2025</w:t>
      </w:r>
      <w:r w:rsidR="009C0FDA">
        <w:rPr>
          <w:rFonts w:ascii="Times New Roman" w:eastAsia="Times New Roman" w:hAnsi="Times New Roman" w:cs="Times New Roman"/>
          <w:kern w:val="0"/>
        </w:rPr>
        <w:fldChar w:fldCharType="begin"/>
      </w:r>
      <w:r w:rsidR="00454DFE">
        <w:rPr>
          <w:rFonts w:ascii="Times New Roman" w:eastAsia="Times New Roman" w:hAnsi="Times New Roman" w:cs="Times New Roman"/>
          <w:kern w:val="0"/>
        </w:rPr>
        <w:instrText xml:space="preserve"> ADDIN ZOTERO_ITEM CSL_CITATION {"citationID":"AWtzU8r7","properties":{"formattedCitation":"[13,15\\uc0\\u8211{}17]","plainCitation":"[13,15–17]","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Mahender"}],"issued":{"date-parts":[["2025",8,11]]}}},{"id":12946,"uris":["http://zotero.org/users/16652950/items/9Y7CR8GM"],"itemData":{"id":12946,"type":"article-journal","abstract":"The application of Artificial Intelligence (AI) and blockchain in aquaculture remains technologically siloed, creating a significant gap between predictive capabilities and verifiable trust. This study makes a novel contribution by proposing and critically examining a fully integrated socio-technical framework that moves beyond the technological dichotomy prevalent in the literature. Through a systematic review of 36 peer-reviewed studies, we move beyond technological solutionism to construct a socio-technical model that demonstrates the synergistic interdependence of these technologies: AI's predictive power for. Contextualised for Ghana's aquaculture sector—a setting characterised by high import dependency and smallholder dominance—our findings yield a distinctive, phased implementation roadmap. This roadmap prioritises mobile-first, offline-capable solutions and cooperative governance to ensure inclusivity. Our study provides two primary scientific contributions: (1) the novel conceptualisation of \"verified precision aquaculture\" as a paradigm enabled by deep AI-blockchain integration, and (2) a contextually grounded, phased implementation roadmap that translates cyber-physical systems theory into an actionable strategy for resource-constrained environments.","container-title":"Smart Agricultural Technology","DOI":"10.1016/j.atech.2025.101576","ISSN":"2772-3755","journalAbbreviation":"Smart Agricultural Technology","page":"101576","source":"ScienceDirect","title":"Beyond silos: An integrated AI-blockchain framework for sustainable aquaculture in Ghana","title-short":"Beyond silos","volume":"12","author":[{"family":"Agya","given":"Bosompem Ahunoabirim"},{"family":"Agyemang","given":"Portia"},{"family":"Anokye","given":"Kwame"}],"issued":{"date-parts":[["2025",12,1]]}}},{"id":12948,"uris":["http://zotero.org/users/16652950/items/6LGM9CXD"],"itemData":{"id":12948,"type":"article-journal","abstract":"The integration of Artificial Intelligence (AI) into remote sensing data classification has revolutionized agriculture and environmental monitoring. A...","container-title":"Sustainability","DOI":"10.3390/su17198526","ISSN":"2071-1050","issue":"19","language":"en","license":"http://creativecommons.org/licenses/by/3.0/","note":"Company: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Systematic Review of AI-Based Classifications Used in Agricultural Monitoring in the Context of Achieving the Sustainable Development Goals","URL":"https://www.mdpi.com/2071-1050/17/19/8526","volume":"17","author":[{"family":"Nan","given":"Vasile Adrian"},{"family":"Badea","given":"Gheorghe"},{"family":"Badea","given":"Ana Cornelia"},{"family":"Grădinaru","given":"Anca Patricia"},{"family":"Nan","given":"Vasile Adrian"},{"family":"Badea","given":"Gheorghe"},{"family":"Badea","given":"Ana Cornelia"},{"family":"Grădinaru","given":"Anca Patricia"}],"accessed":{"date-parts":[["2026",1,7]]},"issued":{"date-parts":[["2025",9,22]]}}},{"id":12850,"uris":["http://zotero.org/users/16652950/items/PWSK7U79"],"itemData":{"id":12850,"type":"article-journal","abstract":"Global climate change destabilizes ecosystems, weather, and human livelihoods. Because it uses the industrial farming model, agriculture generates 10% of the global greenhouse gas emissions. However, food production must increase by 70% by 2050; achieving this goal under the evolving and dynamic climate change and its impacts and repercussions is challenging. This review explores how environmental adaptation engineering can transform agriculture to a sustainable, resilient, low-carbon system that balances productivity with environmental stewardship, and describes policies and practices supporting this transformation. It uses a comprehensive bibliometric analysis, updated climate data (e.g., IPCC AR6), and an integrative literature review of agricultural practices, environmental engineering innovations, adaptive biotechnologies, socioeconomic aspects, community involvement, and policy implications. It introduces the novel ecological farm model that aligns climate resilience, resource efficiency, and circular economy principles. It innovatively bridges a gap in the literature by synthesizing advances in hydroponics, anaerobic digestion, and microalgae technologies as an integrated adaptation strategy to address agricultural vulnerabilities under climate change. It highlights the potential of these environmental engineering solutions to manage waste, reduce emissions, generate renewable biofuels, sequester and convert CO2 into biomass, optimize water use, recover nutrients, enhance crop quality and yield, and restore the environment. We highlight how important community engagement, knowledge sharing, and capacity building are in adopting adaptation practices across diverse socioeconomic settings. By integrating these approaches, adaptation engineering can align agricultural productivity with ecological responsibility. The findings suggest that incorporating adaptive technologies in agriculture is crucial to mitigate climate impacts and build sustainable, inclusive, and resilient food systems, ensuring long-term environmental and societal well-being.","container-title":"Green Technologies and Sustainability","DOI":"10.1016/j.grets.2025.100242","ISSN":"2949-7361","issue":"1","journalAbbreviation":"Green Technologies and Sustainability","page":"100242","source":"ScienceDirect","title":"Sustainable agriculture through environmental adaptation engineering for waste management","volume":"4","author":[{"family":"Behera","given":"Debasmita"},{"family":"Fathima","given":"Jesna"},{"family":"Saady","given":"Noori M. Cata"},{"family":"Zendehboudi","given":"Sohrab"},{"family":"Albayati","given":"Talib M."},{"family":"Al-nayili","given":"Abbas"},{"family":"Chatterjee","given":"Pritha"},{"family":"Ponnusami","given":"V."},{"family":"Peach","given":"Brian"},{"family":"Espinoza","given":"Juan E. Ruiz"}],"issued":{"date-parts":[["2026",1,1]]}}}],"schema":"https://github.com/citation-style-language/schema/raw/master/csl-citation.json"} </w:instrText>
      </w:r>
      <w:r w:rsidR="009C0FDA">
        <w:rPr>
          <w:rFonts w:ascii="Times New Roman" w:eastAsia="Times New Roman" w:hAnsi="Times New Roman" w:cs="Times New Roman"/>
          <w:kern w:val="0"/>
        </w:rPr>
        <w:fldChar w:fldCharType="separate"/>
      </w:r>
      <w:r w:rsidR="00454DFE" w:rsidRPr="00454DFE">
        <w:rPr>
          <w:rFonts w:ascii="Times New Roman" w:hAnsi="Times New Roman" w:cs="Times New Roman"/>
        </w:rPr>
        <w:t>[13,15–17]</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w:t>
      </w:r>
      <w:r w:rsidR="00454DFE">
        <w:rPr>
          <w:rFonts w:ascii="Times New Roman" w:eastAsia="Times New Roman" w:hAnsi="Times New Roman" w:cs="Times New Roman"/>
          <w:kern w:val="0"/>
        </w:rPr>
        <w:t xml:space="preserve">. </w:t>
      </w:r>
      <w:r w:rsidRPr="003F0B06">
        <w:rPr>
          <w:rFonts w:ascii="Times New Roman" w:eastAsia="Times New Roman" w:hAnsi="Times New Roman" w:cs="Times New Roman"/>
          <w:kern w:val="0"/>
        </w:rPr>
        <w:t xml:space="preserve">Although adoption remains limited in scale, the reviewed studies demonstrate </w:t>
      </w:r>
      <w:r w:rsidRPr="003F0B06">
        <w:rPr>
          <w:rFonts w:ascii="Times New Roman" w:eastAsia="Times New Roman" w:hAnsi="Times New Roman" w:cs="Times New Roman"/>
          <w:b/>
          <w:bCs/>
          <w:kern w:val="0"/>
        </w:rPr>
        <w:t>consistent and measurable impacts</w:t>
      </w:r>
      <w:r w:rsidRPr="003F0B06">
        <w:rPr>
          <w:rFonts w:ascii="Times New Roman" w:eastAsia="Times New Roman" w:hAnsi="Times New Roman" w:cs="Times New Roman"/>
          <w:kern w:val="0"/>
        </w:rPr>
        <w:t xml:space="preserve"> across crop production, climate resilience, market integration, and farmer livelihoods.</w:t>
      </w:r>
    </w:p>
    <w:p w14:paraId="600F3EA9"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Aggregated findings across AI application domains indicate </w:t>
      </w:r>
      <w:r w:rsidRPr="003F0B06">
        <w:rPr>
          <w:rFonts w:ascii="Times New Roman" w:eastAsia="Times New Roman" w:hAnsi="Times New Roman" w:cs="Times New Roman"/>
          <w:b/>
          <w:bCs/>
          <w:kern w:val="0"/>
        </w:rPr>
        <w:t>crop yield increases ranging from 10% to 92%</w:t>
      </w:r>
      <w:r w:rsidRPr="003F0B06">
        <w:rPr>
          <w:rFonts w:ascii="Times New Roman" w:eastAsia="Times New Roman" w:hAnsi="Times New Roman" w:cs="Times New Roman"/>
          <w:kern w:val="0"/>
        </w:rPr>
        <w:t xml:space="preserve">, reductions in input use of up to </w:t>
      </w:r>
      <w:r w:rsidRPr="003F0B06">
        <w:rPr>
          <w:rFonts w:ascii="Times New Roman" w:eastAsia="Times New Roman" w:hAnsi="Times New Roman" w:cs="Times New Roman"/>
          <w:b/>
          <w:bCs/>
          <w:kern w:val="0"/>
        </w:rPr>
        <w:t>25%</w:t>
      </w:r>
      <w:r w:rsidRPr="003F0B06">
        <w:rPr>
          <w:rFonts w:ascii="Times New Roman" w:eastAsia="Times New Roman" w:hAnsi="Times New Roman" w:cs="Times New Roman"/>
          <w:kern w:val="0"/>
        </w:rPr>
        <w:t xml:space="preserve">, post-harvest loss reductions averaging </w:t>
      </w:r>
      <w:r w:rsidRPr="003F0B06">
        <w:rPr>
          <w:rFonts w:ascii="Times New Roman" w:eastAsia="Times New Roman" w:hAnsi="Times New Roman" w:cs="Times New Roman"/>
          <w:b/>
          <w:bCs/>
          <w:kern w:val="0"/>
        </w:rPr>
        <w:t>25–30%</w:t>
      </w:r>
      <w:r w:rsidRPr="003F0B06">
        <w:rPr>
          <w:rFonts w:ascii="Times New Roman" w:eastAsia="Times New Roman" w:hAnsi="Times New Roman" w:cs="Times New Roman"/>
          <w:kern w:val="0"/>
        </w:rPr>
        <w:t xml:space="preserve">, and farmer income gains of </w:t>
      </w:r>
      <w:r w:rsidRPr="003F0B06">
        <w:rPr>
          <w:rFonts w:ascii="Times New Roman" w:eastAsia="Times New Roman" w:hAnsi="Times New Roman" w:cs="Times New Roman"/>
          <w:b/>
          <w:bCs/>
          <w:kern w:val="0"/>
        </w:rPr>
        <w:t>10–15%</w:t>
      </w:r>
      <w:r w:rsidR="009C0FDA">
        <w:rPr>
          <w:rFonts w:ascii="Times New Roman" w:eastAsia="Times New Roman" w:hAnsi="Times New Roman" w:cs="Times New Roman"/>
          <w:b/>
          <w:bCs/>
          <w:kern w:val="0"/>
        </w:rPr>
        <w:fldChar w:fldCharType="begin"/>
      </w:r>
      <w:r w:rsidR="00454DFE">
        <w:rPr>
          <w:rFonts w:ascii="Times New Roman" w:eastAsia="Times New Roman" w:hAnsi="Times New Roman" w:cs="Times New Roman"/>
          <w:b/>
          <w:bCs/>
          <w:kern w:val="0"/>
        </w:rPr>
        <w:instrText xml:space="preserve"> ADDIN ZOTERO_ITEM CSL_CITATION {"citationID":"WhbsFCKw","properties":{"formattedCitation":"[18,19]","plainCitation":"[18,19]","noteIndex":0},"citationItems":[{"id":12950,"uris":["http://zotero.org/users/16652950/items/YEIH7NF7"],"itemData":{"id":12950,"type":"article-journal","abstract":"Integrating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id":12953,"uris":["http://zotero.org/users/16652950/items/SS2JMD78"],"itemData":{"id":12953,"type":"article-journal","abstract":"Agriculture holds a crucial position in maintaining livelihoods and securing food sources, particularly in nations such as Ethiopia, where a substantial portion of the population depends on agricultural pursuits. However, meeting the growing demand for food production amidst population growth presents considerable challenges. Recent advancements in technology, particularly in the areas of Machine Learning (ML), Deep Learning (DL), and the Internet of Things (IoT) offer promising solutions to address these challenges. This paper explores the potential of integrating ML, DL, and IoT technologies in agriculture to revolutionize the sector. By harnessing data-driven insights, farmers can make informed decisions regarding crop management, soil health, and weather patterns, leading to optimized resource allocation and increased productivity. Moreover, IoT devices enable the real-time monitoring and control of agricultural operations, enhancing sustainability and productivity. Despite the opportunities presented by these technologies, there are also challenges to overcome, such as data quality, connectivity issues, and the need for farmer education. However, with concerted efforts and investment, Ethiopia and other agricultural regions can unlock the full potential of ML, DL, and IoT technologies to ensure food security, alleviate poverty, and drive economic development. This review paper offers perspectives on the present status, challenges, and future possibilities regarding the integration of ML, DL, and IoT in agriculture. It underscores the transformative potential of these technologies within the sector.","container-title":"Discover Agriculture","DOI":"10.1007/s44279-024-00066-7","ISSN":"2731-9598","issue":"1","journalAbbreviation":"Discov Agric","language":"en","page":"63","source":"Springer Link","title":"Transforming agriculture with Machine Learning, Deep Learning, and IoT: perspectives from Ethiopia—challenges and opportunities","title-short":"Transforming agriculture with Machine Learning, Deep Learning, and IoT","volume":"2","author":[{"family":"Benti","given":"Natei Ermias"},{"family":"Chaka","given":"Mesfin Diro"},{"family":"Semie","given":"Addisu Gezahegn"},{"family":"Warkineh","given":"Bikila"},{"family":"Soromessa","given":"Teshome"}],"issued":{"date-parts":[["2024",10,1]]}}}],"schema":"https://github.com/citation-style-language/schema/raw/master/csl-citation.json"} </w:instrText>
      </w:r>
      <w:r w:rsidR="009C0FDA">
        <w:rPr>
          <w:rFonts w:ascii="Times New Roman" w:eastAsia="Times New Roman" w:hAnsi="Times New Roman" w:cs="Times New Roman"/>
          <w:b/>
          <w:bCs/>
          <w:kern w:val="0"/>
        </w:rPr>
        <w:fldChar w:fldCharType="separate"/>
      </w:r>
      <w:r w:rsidR="00454DFE" w:rsidRPr="00454DFE">
        <w:rPr>
          <w:rFonts w:ascii="Times New Roman" w:hAnsi="Times New Roman" w:cs="Times New Roman"/>
        </w:rPr>
        <w:t>[18,19]</w:t>
      </w:r>
      <w:r w:rsidR="009C0FDA">
        <w:rPr>
          <w:rFonts w:ascii="Times New Roman" w:eastAsia="Times New Roman" w:hAnsi="Times New Roman" w:cs="Times New Roman"/>
          <w:b/>
          <w:bCs/>
          <w:kern w:val="0"/>
        </w:rPr>
        <w:fldChar w:fldCharType="end"/>
      </w:r>
      <w:r w:rsidRPr="003F0B06">
        <w:rPr>
          <w:rFonts w:ascii="Times New Roman" w:eastAsia="Times New Roman" w:hAnsi="Times New Roman" w:cs="Times New Roman"/>
          <w:kern w:val="0"/>
        </w:rPr>
        <w:t xml:space="preserve">. Digital financial platforms increased formal financial inclusion by approximately </w:t>
      </w:r>
      <w:r w:rsidRPr="003F0B06">
        <w:rPr>
          <w:rFonts w:ascii="Times New Roman" w:eastAsia="Times New Roman" w:hAnsi="Times New Roman" w:cs="Times New Roman"/>
          <w:b/>
          <w:bCs/>
          <w:kern w:val="0"/>
        </w:rPr>
        <w:t>15%</w:t>
      </w:r>
      <w:r w:rsidRPr="003F0B06">
        <w:rPr>
          <w:rFonts w:ascii="Times New Roman" w:eastAsia="Times New Roman" w:hAnsi="Times New Roman" w:cs="Times New Roman"/>
          <w:kern w:val="0"/>
        </w:rPr>
        <w:t xml:space="preserve">, while livestock-focused AI services reduced mortality by approximately </w:t>
      </w:r>
      <w:r w:rsidRPr="003F0B06">
        <w:rPr>
          <w:rFonts w:ascii="Times New Roman" w:eastAsia="Times New Roman" w:hAnsi="Times New Roman" w:cs="Times New Roman"/>
          <w:b/>
          <w:bCs/>
          <w:kern w:val="0"/>
        </w:rPr>
        <w:t>20%</w:t>
      </w:r>
      <w:r w:rsidRPr="003F0B06">
        <w:rPr>
          <w:rFonts w:ascii="Times New Roman" w:eastAsia="Times New Roman" w:hAnsi="Times New Roman" w:cs="Times New Roman"/>
          <w:kern w:val="0"/>
        </w:rPr>
        <w:t xml:space="preserve"> </w:t>
      </w:r>
      <w:r w:rsidR="009C0FDA">
        <w:rPr>
          <w:rFonts w:ascii="Times New Roman" w:eastAsia="Times New Roman" w:hAnsi="Times New Roman" w:cs="Times New Roman"/>
          <w:kern w:val="0"/>
        </w:rPr>
        <w:fldChar w:fldCharType="begin"/>
      </w:r>
      <w:r w:rsidR="00454DFE">
        <w:rPr>
          <w:rFonts w:ascii="Times New Roman" w:eastAsia="Times New Roman" w:hAnsi="Times New Roman" w:cs="Times New Roman"/>
          <w:kern w:val="0"/>
        </w:rPr>
        <w:instrText xml:space="preserve"> ADDIN ZOTERO_ITEM CSL_CITATION {"citationID":"nWhQxgAM","properties":{"formattedCitation":"[20,21]","plainCitation":"[20,21]","noteIndex":0},"citationItems":[{"id":12955,"uris":["http://zotero.org/users/16652950/items/UG9IUV6M"],"itemData":{"id":12955,"type":"article-journal","abstract":"Improving agricultural green total factor productivity is important for achieving high-quality economic development and the SDGs. Digital inclusive fi...","container-title":"Sustainability","DOI":"10.3390/su15086436","ISSN":"2071-1050","issue":"8","language":"en","license":"http://creativecommons.org/licenses/by/3.0/","note":"Company: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publisher","source":"www.mdpi.com","title":"Digital Financial Inclusion, Land Transfer, and Agricultural Green Total Factor Productivity","URL":"https://www.mdpi.com/2071-1050/15/8/6436","volume":"15","author":[{"family":"Shen","given":"Yang"},{"family":"Guo","given":"Xiaoyang"},{"family":"Zhang","given":"Xiuwu"},{"family":"Shen","given":"Yang"},{"family":"Guo","given":"Xiaoyang"},{"family":"Zhang","given":"Xiuwu"}],"accessed":{"date-parts":[["2026",1,7]]},"issued":{"date-parts":[["2023",4,9]]}}},{"id":10202,"uris":["http://zotero.org/users/16652950/items/BEGQAQB6"],"itemData":{"id":10202,"type":"article-journal","abstract":"Effective project risk monitoring remains central to successful project delivery, yet traditional approaches based on static registers and qualitative assessments fail to reflect dynamic project performance. This study reviews how historical business performance data can be leveraged through Decision Intelligence (DI) and predictive analytics to enhance risk monitoring and inform future project planning. Drawing on literature across project management, business analytics, and DI, it identifies how metrics such as budget variance, schedule adherence, and resource utilization can support data-driven forecasting and proactive risk control. The paper proposes a Data-Driven Risk Intelligence Framework (DRIF) that integrates performance data, analytics, and iterative learning to transform risk management into an adaptive, continuously improving process. The findings highlight both the promise of DI-enabled risk systems and the lack of empirical validation and standardized models across sectors. The study calls for cross-disciplinary research to operationalize DI frameworks and establish unified metrics for predictive, evidence-based risk management.","container-title":"Journal of Management, and Development Research","DOI":"10.69739/jmdr.v2i2.1171","ISSN":"3079-2568","issue":"2","language":"en","license":"Copyright (c) 2025 Damilola Ayodele Ojo (Author)","page":"125-136","source":"journals.stecab.com","title":"A Data-Driven Framework for Project Risk Monitoring Using Decision Intelligence and Predictive Analytics","volume":"2","author":[{"family":"Ojo","given":"Damilola Ayodele"}],"issued":{"date-parts":[["2025",11,10]]}}}],"schema":"https://github.com/citation-style-language/schema/raw/master/csl-citation.json"} </w:instrText>
      </w:r>
      <w:r w:rsidR="009C0FDA">
        <w:rPr>
          <w:rFonts w:ascii="Times New Roman" w:eastAsia="Times New Roman" w:hAnsi="Times New Roman" w:cs="Times New Roman"/>
          <w:kern w:val="0"/>
        </w:rPr>
        <w:fldChar w:fldCharType="separate"/>
      </w:r>
      <w:r w:rsidR="00454DFE" w:rsidRPr="00454DFE">
        <w:rPr>
          <w:rFonts w:ascii="Times New Roman" w:hAnsi="Times New Roman" w:cs="Times New Roman"/>
        </w:rPr>
        <w:t>[20,21]</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43E3C7C4"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Across application categories, three cross-cutting empirical patterns emerge:</w:t>
      </w:r>
      <w:r w:rsidRPr="003F0B06">
        <w:rPr>
          <w:rFonts w:ascii="Times New Roman" w:eastAsia="Times New Roman" w:hAnsi="Times New Roman" w:cs="Times New Roman"/>
          <w:kern w:val="0"/>
        </w:rPr>
        <w:br/>
        <w:t>(</w:t>
      </w:r>
      <w:proofErr w:type="spellStart"/>
      <w:r w:rsidRPr="003F0B06">
        <w:rPr>
          <w:rFonts w:ascii="Times New Roman" w:eastAsia="Times New Roman" w:hAnsi="Times New Roman" w:cs="Times New Roman"/>
          <w:kern w:val="0"/>
        </w:rPr>
        <w:t>i</w:t>
      </w:r>
      <w:proofErr w:type="spellEnd"/>
      <w:r w:rsidRPr="003F0B06">
        <w:rPr>
          <w:rFonts w:ascii="Times New Roman" w:eastAsia="Times New Roman" w:hAnsi="Times New Roman" w:cs="Times New Roman"/>
          <w:kern w:val="0"/>
        </w:rPr>
        <w:t>) AI-enabled interventions consistently outperform conventional ext</w:t>
      </w:r>
      <w:r w:rsidR="00124161">
        <w:rPr>
          <w:rFonts w:ascii="Times New Roman" w:eastAsia="Times New Roman" w:hAnsi="Times New Roman" w:cs="Times New Roman"/>
          <w:kern w:val="0"/>
        </w:rPr>
        <w:t>ension-based approaches</w:t>
      </w:r>
      <w:r w:rsidR="009C0FDA">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{"citationID":"92uuewj6","properties":{"formattedCitation":"[9]","plainCitation":"[9]","noteIndex":0},"citationItems":[{"id":12032,"uris":["http://zotero.org/users/16652950/items/HPFSGRMU"],"itemData":{"id":12032,"type":"article-journal","abstract":"The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124161" w:rsidRPr="00124161">
        <w:rPr>
          <w:rFonts w:ascii="Times New Roman" w:hAnsi="Times New Roman" w:cs="Times New Roman"/>
        </w:rPr>
        <w:t>[9]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r w:rsidRPr="003F0B06">
        <w:rPr>
          <w:rFonts w:ascii="Times New Roman" w:eastAsia="Times New Roman" w:hAnsi="Times New Roman" w:cs="Times New Roman"/>
          <w:kern w:val="0"/>
        </w:rPr>
        <w:br/>
        <w:t>(ii) impact magnitude is strongly conditioned by data availability, connectivity, and farmer digital literacy</w:t>
      </w:r>
      <w:r w:rsidR="009C0FDA">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{"citationID":"kA1Fp9wD","properties":{"formattedCitation":"[22]","plainCitation":"[22]","noteIndex":0},"citationItems":[{"id":12957,"uris":["http://zotero.org/users/16652950/items/4RHXH5YN"],"itemData":{"id":12957,"type":"article-journal","abstract":"Digital literacy (DL) among farmers serves as a vital link between digital technology and green sustainable development, significantly enhancing agric...","container-title":"Sustainability","DOI":"10.3390/su17209255","ISSN":"2071-1050","issue":"20","language":"en","license":"http://creativecommons.org/licenses/by/3.0/","note":"Company: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publisher","source":"www.mdpi.com","title":"Farmers’ Digital Literacy and Its Impact on Agricultural Green Total Factor Productivity: Evidence from China","title-short":"Farmers’ Digital Literacy and Its Impact on Agricultural Green Total Factor Productivity","URL":"https://www.mdpi.com/2071-1050/17/20/9255","volume":"17","author":[{"family":"Wang","given":"Hubang"},{"family":"Mao","given":"Yuyang"},{"family":"Zhou","given":"Mingzhang"},{"family":"Li","given":"Xueyang"}],"accessed":{"date-parts":[["2026",1,7]]},"issued":{"date-parts":[["2025",10,18]]}}}],"schema":"https://github.com/citation-style-language/schema/raw/master/csl-citation.json"} </w:instrText>
      </w:r>
      <w:r w:rsidR="009C0FDA">
        <w:rPr>
          <w:rFonts w:ascii="Times New Roman" w:eastAsia="Times New Roman" w:hAnsi="Times New Roman" w:cs="Times New Roman"/>
          <w:kern w:val="0"/>
        </w:rPr>
        <w:fldChar w:fldCharType="separate"/>
      </w:r>
      <w:r w:rsidR="00124161" w:rsidRPr="00124161">
        <w:rPr>
          <w:rFonts w:ascii="Times New Roman" w:hAnsi="Times New Roman" w:cs="Times New Roman"/>
        </w:rPr>
        <w:t>[22]</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and</w:t>
      </w:r>
      <w:r w:rsidRPr="003F0B06">
        <w:rPr>
          <w:rFonts w:ascii="Times New Roman" w:eastAsia="Times New Roman" w:hAnsi="Times New Roman" w:cs="Times New Roman"/>
          <w:kern w:val="0"/>
        </w:rPr>
        <w:br/>
        <w:t>(iii) benefits extend beyond productivity to include cost efficiency, climate risk reduction, and livelihood stabilization</w:t>
      </w:r>
      <w:r w:rsidR="009C0FDA">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{"citationID":"iMn3UhV8","properties":{"formattedCitation":"[5]","plainCitation":"[5]","noteIndex":0},"citationItems":[{"id":12928,"uris":["http://zotero.org/users/16652950/items/GNJB49D5"],"itemData":{"id":12928,"type":"article-journal","abstract":"Climate change poses a significant threat to Nigeria's agricultural sector, which is a cornerstone of its economy and food security. The increasing frequency of extreme weather events, erratic rainfall patterns, and rising temperatures have disrupted agricultural productivity, threatening the livelihoods of millions of Nigerians. Through a comprehensive literature review, synthesizing data from peer-reviewed journals, institutional reports, and credible online sources from 2000 to 2023, this study aims to explore the multi-faceted impacts of climate variability on agricultural production, livestock, fisheries, and food security in Nigeria, and to identify effective adaptation strategies to mitigate these impacts. The findings reveal that climate change has significantly disrupted agricultural productivity in Nigeria, with erratic rainfall, rising temperatures, and extreme weather events leading to reduced crop yields, increased pest and disease pressure, and land degradation. Vulnerable crops such as maize, cassava, and rice are particularly affected, while livestock production faces challenges such as heat stress and reduced feed availability. The fisheries sector is also impacted, with shrinking water resources and increasing contamination levels threatening livelihoods. Adaptation strategies, including crop diversification, improved irrigation, and indigenous knowledge practices, offer some resilience but require substantial policy and financial support. The study highlights the urgency of implementing climate-smart agricultural practices, enhancing infrastructure, and promoting public-private partnerships to mitigate climate-induced risks. Recommendations align with the United Nations Sustainable Development Goals (SDGs) 2 (Zero Hunger), 13 (Climate Action), and 15 (Life on Land), emphasizing the need for sustainable agricultural practices, ecosystem preservation, and adaptive policy frameworks to ensure food security and economic stability in Nigeria. This study provides valuable insights into the impacts of climate change on Nigeria's agricultural sector and offers practical recommendations for building resilience and ensuring sustainable food systems. It reveals the importance of collaborative efforts at all levels to address the challenges posed by climate change and safeguard the nation's agricultural heritage for future generations.","container-title":"Science in One Health","DOI":"10.1016/j.soh.2025.100113","ISSN":"2949-7043","journalAbbreviation":"Science in One Health","page":"100113","source":"ScienceDirect","title":"Multi-impacts of climate change and mitigation strategies in Nigeria: agricultural production and food security","title-short":"Multi-impacts of climate change and mitigation strategies in Nigeria","volume":"4","author":[{"family":"Omokaro","given":"Godspower Oke"}],"issued":{"date-parts":[["2025",1,1]]}}}],"schema":"https://github.com/citation-style-language/schema/raw/master/csl-citation.json"} </w:instrText>
      </w:r>
      <w:r w:rsidR="009C0FDA">
        <w:rPr>
          <w:rFonts w:ascii="Times New Roman" w:eastAsia="Times New Roman" w:hAnsi="Times New Roman" w:cs="Times New Roman"/>
          <w:kern w:val="0"/>
        </w:rPr>
        <w:fldChar w:fldCharType="separate"/>
      </w:r>
      <w:r w:rsidR="00124161" w:rsidRPr="00124161">
        <w:rPr>
          <w:rFonts w:ascii="Times New Roman" w:hAnsi="Times New Roman" w:cs="Times New Roman"/>
        </w:rPr>
        <w:t>[5]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14737309"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3.2 AI in Precision Agriculture</w:t>
      </w:r>
    </w:p>
    <w:p w14:paraId="2C10E907"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14:paraId="1FC87355"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AI-enabled precision agriculture applications demonstrated </w:t>
      </w:r>
      <w:r w:rsidRPr="003F0B06">
        <w:rPr>
          <w:rFonts w:ascii="Times New Roman" w:eastAsia="Times New Roman" w:hAnsi="Times New Roman" w:cs="Times New Roman"/>
          <w:b/>
          <w:bCs/>
          <w:kern w:val="0"/>
        </w:rPr>
        <w:t>aggregated yield gains ranging from approximately 15% to 35%</w:t>
      </w:r>
      <w:r w:rsidRPr="003F0B06">
        <w:rPr>
          <w:rFonts w:ascii="Times New Roman" w:eastAsia="Times New Roman" w:hAnsi="Times New Roman" w:cs="Times New Roman"/>
          <w:kern w:val="0"/>
        </w:rPr>
        <w:t>, driven by site-specific input recommendations, AI-assisted soil monitoring, and crop health assessment</w:t>
      </w:r>
      <w:r w:rsidR="009C0FDA">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{"citationID":"medfZKz9","properties":{"formattedCitation":"[23,24]","plainCitation":"[23,24]","noteIndex":0},"citationItems":[{"id":12959,"uris":["http://zotero.org/users/16652950/items/CJ4YFNT6"],"itemData":{"id":12959,"type":"article-journal","abstract":"Improving soil health evaluation and crop output forecasting are essential for developing sustainable agricultural methods. By applying data-driven insights, farmers may optimize resources, increase productivity, and promote environmental sustainability. The intricacy of environmental conditions and the lack of access to trustworthy data make it difficult to anticipate crop yields and evaluate soil health accurately. The goal of this research is•to make sophisticated models for precise crop production forecasting and thorough evaluation of soil health,•to improve sustainability by optimize farming methods, and•to assist farmers in making well-informed decisions.Iterative Partitioning-Ensemble Filter (IP-EF) is a technique used for feature selection, enhancing model performance by iteratively partitioning data and refining feature subsets. Back-propagation Neural Network (BPNN) is an SL algorithm applied for predicting complex patterns, especially in crop yield and soil health assessments. Multi-Source Data Fusion-Geographical Information Systems (MSDF-GIS) combines diverse data sources with GIS to map and analyze spatial agricultural data, improving decision-making for sustainable farming practices. These methods collectively optimize prediction accuracy and resource management. The result shows that the suggested model significant improvement in precision, recall, and F1-Score for crop yield, reaching 93 %, 94 %, and 93 %, implemented using Python software. Future advancements may include real-time monitoring, integrating AI by IoT expedients for dynamic decision-making, and enhancing sustainability by minimizing water usage, fertilizers, and environmental impact in agriculture.","container-title":"MethodsX","DOI":"10.1016/j.mex.2025.103418","ISSN":"2215-0161","journalAbbreviation":"MethodsX","page":"103418","source":"ScienceDirect","title":"Enhancing prediction of crop yield and soil health assessment for sustainable agriculture using machine learning approach","volume":"14","author":[{"family":"Vhatkar","given":"Kapil Netaji"},{"family":"Koparde","given":"Shweta Ashish"},{"family":"Kothari","given":"Sonali"},{"family":"Sarwade","given":"Jayesh"},{"family":"Sakur","given":"Kishor"}],"issued":{"date-parts":[["2025",6,1]]}}},{"id":12962,"uris":["http://zotero.org/users/16652950/items/W4W8FASM"],"itemData":{"id":12962,"type":"article-journal","abstract":"Smart farming leverages Artificial Intelligence (AI) to address modern agricultural sustainability challenges. This study investigates the application...","container-title":"Sustainability","DOI":"10.3390/su17052281","ISSN":"2071-1050","issue":"5","language":"en","license":"http://creativecommons.org/licenses/by/3.0/","note":"Company: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for Sustainable Agriculture: A Comprehensive Review of AI-Driven Technologies in Crop Production","title-short":"Artificial Intelligence for Sustainable Agriculture","URL":"https://www.mdpi.com/2071-1050/17/5/2281","volume":"17","author":[{"family":"Ali","given":"Zulfiqar"},{"family":"Muhammad","given":"Asif"},{"family":"Lee","given":"Nangkyeong"},{"family":"Waqar","given":"Muhammad"},{"family":"Lee","given":"Seung Won"},{"family":"Ali","given":"Zulfiqar"},{"family":"Muhammad","given":"Asif"},{"family":"Lee","given":"Nangkyeong"},{"family":"Waqar","given":"Muhammad"},{"family":"Lee","given":"Seung Won"}],"accessed":{"date-parts":[["2026",1,7]]},"issued":{"date-parts":[["2025",3,4]]}}}],"schema":"https://github.com/citation-style-language/schema/raw/master/csl-citation.json"} </w:instrText>
      </w:r>
      <w:r w:rsidR="009C0FDA">
        <w:rPr>
          <w:rFonts w:ascii="Times New Roman" w:eastAsia="Times New Roman" w:hAnsi="Times New Roman" w:cs="Times New Roman"/>
          <w:kern w:val="0"/>
        </w:rPr>
        <w:fldChar w:fldCharType="separate"/>
      </w:r>
      <w:r w:rsidR="007F203E" w:rsidRPr="007F203E">
        <w:rPr>
          <w:rFonts w:ascii="Times New Roman" w:hAnsi="Times New Roman" w:cs="Times New Roman"/>
        </w:rPr>
        <w:t>[23,24]</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Studies reported improved resource-use efficiency through optimized fertilizer application, targeted irrigation, and reduced chemical misuse</w:t>
      </w:r>
      <w:r w:rsidR="009C0FDA">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{"citationID":"WU7WtdbR","properties":{"formattedCitation":"[25]","plainCitation":"[25]","noteIndex":0},"citationItems":[{"id":12964,"uris":["http://zotero.org/users/16652950/items/LQHKL3UI"],"itemData":{"id":12964,"type":"article-journal","abstract":"This comprehensive review delved into the economic and environmental benefits of Digital Agricultural Technologies (DATs) in crop production, synthesising data from 136 peer-reviewed papers and 28 documents with empirical data from relevant EU projects. This analysis highlighted the substantial contribution of DATs across five key categories: Recording and Mapping Technologies (RMT), Guidance and Controlled Traffic Farming (CTF) Technologies, Variable Rate Technologies (VRT), Robotic Systems or Smart Machines (RSSM), and Farm Management Information Systems (FMIS). Specifically, it provided an overview of the various benefits that these technologies can deliver with the most significant ones revealing reductions of up to 80 % in fertiliser usage with RMT and CTF applications, while VRT demonstrated a 60 % decrease in fertiliser usage and up to 80 % reduction in pesticide use. VRT also showed an increase in yield by 62 %. RSSM was able to reduce labour by 97 % and diesel consumption by 50 %. FMIS improved yield by 10 % to 15 %, facilitating simultaneous reductions in labour and input costs, illustrating the critical role of integrated digital solutions in enhancing agricultural efficiency and sustainability. From an environmental point of view, VRT has emerged as a major factor in environmental sustainability, demonstrating water savings of 20 % to 50 % in vineyards and pear orchards and a significant reduction in greenhouse gas emissions. These findings highlighted the significant benefits of DATs on enhancing productivity and promoting environmental sustainability. They provided a compelling case for further investment and research in DATs through quantifiable benefits in crop production.","container-title":"Smart Agricultural Technology","DOI":"10.1016/j.atech.2024.100441","ISSN":"2772-3755","journalAbbreviation":"Smart Agricultural Technology","page":"100441","source":"ScienceDirect","title":"Economic and environmental benefits of digital agricultural technologies in crop production: A review","title-short":"Economic and environmental benefits of digital agricultural technologies in crop production","volume":"8","author":[{"family":"Papadopoulos","given":"George"},{"family":"Arduini","given":"Simone"},{"family":"Uyar","given":"Havva"},{"family":"Psiroukis","given":"Vasilis"},{"family":"Kasimati","given":"Aikaterini"},{"family":"Fountas","given":"Spyros"}],"issued":{"date-parts":[["2024",8,1]]}}}],"schema":"https://github.com/citation-style-language/schema/raw/master/csl-citation.json"} </w:instrText>
      </w:r>
      <w:r w:rsidR="009C0FDA">
        <w:rPr>
          <w:rFonts w:ascii="Times New Roman" w:eastAsia="Times New Roman" w:hAnsi="Times New Roman" w:cs="Times New Roman"/>
          <w:kern w:val="0"/>
        </w:rPr>
        <w:fldChar w:fldCharType="separate"/>
      </w:r>
      <w:r w:rsidR="007F203E" w:rsidRPr="007F203E">
        <w:rPr>
          <w:rFonts w:ascii="Times New Roman" w:hAnsi="Times New Roman" w:cs="Times New Roman"/>
        </w:rPr>
        <w:t>[25]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67FD49C9"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In Ghana, precision agriculture initiatives have been most prominently documented in cocoa and cereal systems, where pilot projects showed improved productivity but uneven performance due to infrastructural limitations </w:t>
      </w:r>
      <w:r w:rsidR="009C0FDA">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{"citationID":"LtixNob2","properties":{"formattedCitation":"[26]","plainCitation":"[26]","noteIndex":0},"citationItems":[{"id":12967,"uris":["http://zotero.org/users/16652950/items/CJUZNM9R"],"itemData":{"id":12967,"type":"article-journal","abstract":"Ghana is the second largest producer of cocoa in the world and cocoa farming supports the livelihoods of 25-30% of Ghana's population. However, average yield is only about 30% of the potential yield. Cocoa farms established on recently cleared rainforest are initially productive, but then productivity declines as soils become depleted of nutrients. Further expansion of cultivated land by deforesting tropical rainforests is environmentally costly, socially unacceptable, and inherently unsustainable. Therefore, strategies are urgently required to maintain and restore the productivity of existing smallholder farms to close this yield gap and sustainably increase cocoa production to meet growing demand. In this narrative review we provide context to the issues and highlight recent advances that offer promising opportunities to restore the soil health of Ghana's cocoa farms and sustainably reduce the yield gap. The shade trees in traditional agroforestry farms help prolong productivity for longer by supporting soil ecological functions and this has sparked renewed interest in the establishment of sustainable agroforestry cocoa farms. The single rate and formulation of mineral fertiliser recommended to farmers nationwide fails to account for variability in the response of different soil types to inputs. Therefore, site-specific fertiliser recommendations that also quantify the benefits of organic amendments are emerging. Composting and returning cocoa pod husks to the soil offers a considerable opportunity to close nutrient cycles (particularly for P and K) on cocoa farms and to help build and maintain soil organic matter. However, research is required to overcome the risk that recycling cocoa pod husks may contribute to the spread of black pod disease. Soil health indicators that quantify the soil ecological functions provided by these sustainable land management practices require benchmarking to monitor the impact of these interventions.","container-title":"Scientific African","DOI":"10.1016/j.sciaf.2021.e01075","ISSN":"2468-2276","journalAbbreviation":"Scientific African","page":"e01075","source":"ScienceDirect","title":"Improving soil health and closing the yield gap of cocoa production in Ghana – A review","volume":"15","author":[{"family":"Amponsah-Doku","given":"Betty"},{"family":"Daymond","given":"Andrew"},{"family":"Robinson","given":"Steve"},{"family":"Atuah","given":"Laura"},{"family":"Sizmur","given":"Tom"}],"issued":{"date-parts":[["2022",3,1]]}}}],"schema":"https://github.com/citation-style-language/schema/raw/master/csl-citation.json"} </w:instrText>
      </w:r>
      <w:r w:rsidR="009C0FDA">
        <w:rPr>
          <w:rFonts w:ascii="Times New Roman" w:eastAsia="Times New Roman" w:hAnsi="Times New Roman" w:cs="Times New Roman"/>
          <w:kern w:val="0"/>
        </w:rPr>
        <w:fldChar w:fldCharType="separate"/>
      </w:r>
      <w:r w:rsidR="007F203E" w:rsidRPr="007F203E">
        <w:rPr>
          <w:rFonts w:ascii="Times New Roman" w:hAnsi="Times New Roman" w:cs="Times New Roman"/>
        </w:rPr>
        <w:t>[26]</w:t>
      </w:r>
      <w:r w:rsidR="009C0FDA">
        <w:rPr>
          <w:rFonts w:ascii="Times New Roman" w:eastAsia="Times New Roman" w:hAnsi="Times New Roman" w:cs="Times New Roman"/>
          <w:kern w:val="0"/>
        </w:rPr>
        <w:fldChar w:fldCharType="end"/>
      </w:r>
      <w:r w:rsidR="007F203E">
        <w:rPr>
          <w:rFonts w:ascii="Times New Roman" w:eastAsia="Times New Roman" w:hAnsi="Times New Roman" w:cs="Times New Roman"/>
          <w:kern w:val="0"/>
        </w:rPr>
        <w:t xml:space="preserve">. </w:t>
      </w:r>
    </w:p>
    <w:p w14:paraId="7B048FEA"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Interpretation</w:t>
      </w:r>
    </w:p>
    <w:p w14:paraId="7911F36C" w14:textId="77777777" w:rsidR="000C6A27" w:rsidRDefault="003F0B06" w:rsidP="000C6A27">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lastRenderedPageBreak/>
        <w:t xml:space="preserve">Compared with conventional agricultural extension approaches, which rely on periodic, generalized advisories, AI-driven precision agriculture enables </w:t>
      </w:r>
      <w:r w:rsidRPr="003F0B06">
        <w:rPr>
          <w:rFonts w:ascii="Times New Roman" w:eastAsia="Times New Roman" w:hAnsi="Times New Roman" w:cs="Times New Roman"/>
          <w:b/>
          <w:bCs/>
          <w:kern w:val="0"/>
        </w:rPr>
        <w:t>continuous, data-responsive farm management</w:t>
      </w:r>
      <w:r w:rsidR="009C0FDA">
        <w:rPr>
          <w:rFonts w:ascii="Times New Roman" w:eastAsia="Times New Roman" w:hAnsi="Times New Roman" w:cs="Times New Roman"/>
          <w:b/>
          <w:bCs/>
          <w:kern w:val="0"/>
        </w:rPr>
        <w:fldChar w:fldCharType="begin"/>
      </w:r>
      <w:r w:rsidR="00FA3712">
        <w:rPr>
          <w:rFonts w:ascii="Times New Roman" w:eastAsia="Times New Roman" w:hAnsi="Times New Roman" w:cs="Times New Roman"/>
          <w:b/>
          <w:bCs/>
          <w:kern w:val="0"/>
        </w:rPr>
        <w:instrText xml:space="preserve"> ADDIN ZOTERO_ITEM CSL_CITATION {"citationID":"kqMuL6vX","properties":{"formattedCitation":"[27]","plainCitation":"[27]","noteIndex":0},"citationItems":[{"id":12972,"uris":["http://zotero.org/users/16652950/items/KRFVE8BR"],"itemData":{"id":12972,"type":"article-journal","abstract":"The convergence of artificial intelligence (AI) with solar-powered smart irrigation offers a transformative solution to global agricultural challenges, enabling improved water management, higher crop productivity, and enhanced climate resilience. This study presents a systematic literature review (SLR) of 29 peer-reviewed articles published between 2016 and 2025, following the PRISMA 2020 framework. The review examines the technological innovations, resource-use efficiency outcomes, implementation barriers, and sustainability impacts of AI-driven, solar-powered smart irrigation systems. Eight key technological clusters are identified, including IoT-based environmental sensing, machine learning algorithms, solar photovoltaic (PV) pumping systems, real-time monitoring, and cloud–satellite integration—together forming a foundation for precision irrigation. The findings highlight water-use efficiency improvements of up to 70 %, crop yield increases of 15–40 %, and significant reductions in energy consumption and greenhouse gas emissions. These advancements directly contribute to several Sustainable Development Goals: especially SDG 2 (Zero Hunger) through improved food production, SDG 6 (Clean Water and Sanitation) via efficient water use, SDG 7 (Affordable and Clean Energy) by utilizing renewable solar energy, and SDG 13 (Climate Action) by mitigating carbon emissions. Despite these benefits, major challenges persist in real-world adoption, particularly in developing regions—such as inadequate infrastructure, high initial costs, and limited digital literacy. To address these challenges, the review proposes a future roadmap emphasizing modular and open system architectures that integrate predictive analytics, soil–climate modeling, and renewable energy optimization. Such AI-powered irrigation systems must be adaptive, scalable, and inclusive to support climate-resilient and sustainable agriculture. The insights from this review are crucial for guiding future research, informing policy, and accelerating the development of smart irrigation technologies aligned with global sustainability goals.","container-title":"Smart Agricultural Technology","DOI":"10.1016/j.atech.2025.101665","ISSN":"2772-3755","journalAbbreviation":"Smart Agricultural Technology","page":"101665","source":"ScienceDirect","title":"Artificial intelligence-driven solar smart irrigation for sustainable agriculture: Trends, challenges, and SDG implications – A systematic review","title-short":"Artificial intelligence-driven solar smart irrigation for sustainable agriculture","volume":"12","author":[{"literal":"Nurmalitasari"},{"literal":"Nurchim"},{"family":"Lestari","given":"Retna Dewi"}],"issued":{"date-parts":[["2025",12,1]]}}}],"schema":"https://github.com/citation-style-language/schema/raw/master/csl-citation.json"} </w:instrText>
      </w:r>
      <w:r w:rsidR="009C0FDA">
        <w:rPr>
          <w:rFonts w:ascii="Times New Roman" w:eastAsia="Times New Roman" w:hAnsi="Times New Roman" w:cs="Times New Roman"/>
          <w:b/>
          <w:bCs/>
          <w:kern w:val="0"/>
        </w:rPr>
        <w:fldChar w:fldCharType="separate"/>
      </w:r>
      <w:r w:rsidR="00FA3712" w:rsidRPr="00FA3712">
        <w:rPr>
          <w:rFonts w:ascii="Times New Roman" w:hAnsi="Times New Roman" w:cs="Times New Roman"/>
        </w:rPr>
        <w:t>[27]</w:t>
      </w:r>
      <w:r w:rsidR="009C0FDA">
        <w:rPr>
          <w:rFonts w:ascii="Times New Roman" w:eastAsia="Times New Roman" w:hAnsi="Times New Roman" w:cs="Times New Roman"/>
          <w:b/>
          <w:bCs/>
          <w:kern w:val="0"/>
        </w:rPr>
        <w:fldChar w:fldCharType="end"/>
      </w:r>
      <w:r w:rsidRPr="003F0B06">
        <w:rPr>
          <w:rFonts w:ascii="Times New Roman" w:eastAsia="Times New Roman" w:hAnsi="Times New Roman" w:cs="Times New Roman"/>
          <w:kern w:val="0"/>
        </w:rPr>
        <w:t xml:space="preserve">. However, empirical outcomes highlight strong </w:t>
      </w:r>
      <w:r w:rsidRPr="003F0B06">
        <w:rPr>
          <w:rFonts w:ascii="Times New Roman" w:eastAsia="Times New Roman" w:hAnsi="Times New Roman" w:cs="Times New Roman"/>
          <w:b/>
          <w:bCs/>
          <w:kern w:val="0"/>
        </w:rPr>
        <w:t>infrastructure dependence</w:t>
      </w:r>
      <w:r w:rsidRPr="003F0B06">
        <w:rPr>
          <w:rFonts w:ascii="Times New Roman" w:eastAsia="Times New Roman" w:hAnsi="Times New Roman" w:cs="Times New Roman"/>
          <w:kern w:val="0"/>
        </w:rPr>
        <w:t>, with effectiveness constrained by limited access to soil testing facilities, sensors, connectivity, and technical support services</w:t>
      </w:r>
      <w:r w:rsidR="009C0FDA">
        <w:rPr>
          <w:rFonts w:ascii="Times New Roman" w:eastAsia="Times New Roman" w:hAnsi="Times New Roman" w:cs="Times New Roman"/>
          <w:kern w:val="0"/>
        </w:rPr>
        <w:fldChar w:fldCharType="begin"/>
      </w:r>
      <w:r w:rsidR="00FA3712">
        <w:rPr>
          <w:rFonts w:ascii="Times New Roman" w:eastAsia="Times New Roman" w:hAnsi="Times New Roman" w:cs="Times New Roman"/>
          <w:kern w:val="0"/>
        </w:rPr>
        <w:instrText xml:space="preserve"> ADDIN ZOTERO_ITEM CSL_CITATION {"citationID":"agIoCJxe","properties":{"formattedCitation":"[28]","plainCitation":"[28]","noteIndex":0},"citationItems":[{"id":12974,"uris":["http://zotero.org/users/16652950/items/Q23LAHEG"],"itemData":{"id":12974,"type":"article-journal","abstract":"Agricultural productivity in China is a fundamental driver of food security and economic growth. Yet, the sector faces profound challenges due to envi...","container-title":"Sustainability","DOI":"10.3390/su16198480","ISSN":"2071-1050","issue":"19","language":"en","license":"http://creativecommons.org/licenses/by/3.0/","note":"Company: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Technological Innovations on Agricultural Productivity and Environmental Sustainability in China","URL":"https://www.mdpi.com/2071-1050/16/19/8480","volume":"16","author":[{"family":"Huang","given":"Weilun"},{"family":"Wang","given":"Xucheng"},{"family":"Huang","given":"Weilun"},{"family":"Wang","given":"Xucheng"}],"accessed":{"date-parts":[["2026",1,7]]},"issued":{"date-parts":[["2024",9,28]]}}}],"schema":"https://github.com/citation-style-language/schema/raw/master/csl-citation.json"} </w:instrText>
      </w:r>
      <w:r w:rsidR="009C0FDA">
        <w:rPr>
          <w:rFonts w:ascii="Times New Roman" w:eastAsia="Times New Roman" w:hAnsi="Times New Roman" w:cs="Times New Roman"/>
          <w:kern w:val="0"/>
        </w:rPr>
        <w:fldChar w:fldCharType="separate"/>
      </w:r>
      <w:r w:rsidR="00FA3712" w:rsidRPr="00FA3712">
        <w:rPr>
          <w:rFonts w:ascii="Times New Roman" w:hAnsi="Times New Roman" w:cs="Times New Roman"/>
        </w:rPr>
        <w:t>[28]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As a result, precision agriculture applications exhibit high technical efficacy but limited scalability under current conditions.</w:t>
      </w:r>
    </w:p>
    <w:p w14:paraId="40B47A55"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3.3 Predictive Analytics and Weather Forecasting</w:t>
      </w:r>
    </w:p>
    <w:p w14:paraId="66C5F1B5"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14:paraId="52D69CFF"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Predictive analytics for weather forecasting represents the </w:t>
      </w:r>
      <w:r w:rsidRPr="003F0B06">
        <w:rPr>
          <w:rFonts w:ascii="Times New Roman" w:eastAsia="Times New Roman" w:hAnsi="Times New Roman" w:cs="Times New Roman"/>
          <w:b/>
          <w:bCs/>
          <w:kern w:val="0"/>
        </w:rPr>
        <w:t>most empirically robust AI application domain</w:t>
      </w:r>
      <w:r w:rsidRPr="003F0B06">
        <w:rPr>
          <w:rFonts w:ascii="Times New Roman" w:eastAsia="Times New Roman" w:hAnsi="Times New Roman" w:cs="Times New Roman"/>
          <w:kern w:val="0"/>
        </w:rPr>
        <w:t xml:space="preserve"> identified in the review. Synthesized evidence indicates </w:t>
      </w:r>
      <w:r w:rsidRPr="003F0B06">
        <w:rPr>
          <w:rFonts w:ascii="Times New Roman" w:eastAsia="Times New Roman" w:hAnsi="Times New Roman" w:cs="Times New Roman"/>
          <w:b/>
          <w:bCs/>
          <w:kern w:val="0"/>
        </w:rPr>
        <w:t>yield increases ranging from 10% to 92%</w:t>
      </w:r>
      <w:r w:rsidRPr="003F0B06">
        <w:rPr>
          <w:rFonts w:ascii="Times New Roman" w:eastAsia="Times New Roman" w:hAnsi="Times New Roman" w:cs="Times New Roman"/>
          <w:kern w:val="0"/>
        </w:rPr>
        <w:t xml:space="preserve">, particularly in climate-sensitive crops such as cassava, maize, and cocoa </w:t>
      </w:r>
      <w:r w:rsidR="009C0FDA">
        <w:rPr>
          <w:rFonts w:ascii="Times New Roman" w:eastAsia="Times New Roman" w:hAnsi="Times New Roman" w:cs="Times New Roman"/>
          <w:kern w:val="0"/>
        </w:rPr>
        <w:fldChar w:fldCharType="begin"/>
      </w:r>
      <w:r w:rsidR="00FA3712">
        <w:rPr>
          <w:rFonts w:ascii="Times New Roman" w:eastAsia="Times New Roman" w:hAnsi="Times New Roman" w:cs="Times New Roman"/>
          <w:kern w:val="0"/>
        </w:rPr>
        <w:instrText xml:space="preserve"> ADDIN ZOTERO_ITEM CSL_CITATION {"citationID":"SfLNsdIw","properties":{"formattedCitation":"[29,30]","plainCitation":"[29,30]","noteIndex":0},"citationItems":[{"id":12976,"uris":["http://zotero.org/users/16652950/items/CFN3ZHQ4"],"itemData":{"id":12976,"type":"article-journal","abstract":"This article presents a detailed review of methodologies for estimating crop yields in the context of growing global concern for food security and agr...","container-title":"Agriculture","DOI":"10.3390/agriculture15232438","ISSN":"2077-0472","issue":"23","language":"en","license":"http://creativecommons.org/licenses/by/3.0/","note":"Company: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publisher","source":"www.mdpi.com","title":"Predictive Models Based on Artificial Intelligence to Estimate Crop Yield: A Literature Review","title-short":"Predictive Models Based on Artificial Intelligence to Estimate Crop Yield","URL":"https://www.mdpi.com/2077-0472/15/23/2438","volume":"15","author":[{"family":"Hernández","given":"Guillermo C. Hernández"},{"family":"Gómez","given":"Jorge Gómez"},{"family":"Jiménez-Cabas","given":"Javier"},{"family":"Hernández","given":"Guillermo C. Hernández"},{"family":"Gómez","given":"Jorge Gómez"},{"family":"Jiménez-Cabas","given":"Javier"}],"accessed":{"date-parts":[["2026",1,7]]},"issued":{"date-parts":[["2025",11,25]]}}},{"id":12978,"uris":["http://zotero.org/users/16652950/items/3RMQYPZS"],"itemData":{"id":12978,"type":"article-journal","container-title":"International Journal of Environment and Climate Change","DOI":"10.9734/ijecc/2025/v15i115137","ISSN":"2581-8627","issue":"11","language":"en","page":"594-609","source":"journalijecc.com","title":"Integrated Artificial Intelligence in Weather Forecasting for Agriculture: Opportunities, Challenges, and the Road Ahead","title-short":"Integrated Artificial Intelligence in Weather Forecasting for Agriculture","volume":"15","author":[{"family":"Rana","given":"Arjun"},{"family":"Lone","given":"Asma Fayaz"}],"issued":{"date-parts":[["2025",11,22]]}}}],"schema":"https://github.com/citation-style-language/schema/raw/master/csl-citation.json"} </w:instrText>
      </w:r>
      <w:r w:rsidR="009C0FDA">
        <w:rPr>
          <w:rFonts w:ascii="Times New Roman" w:eastAsia="Times New Roman" w:hAnsi="Times New Roman" w:cs="Times New Roman"/>
          <w:kern w:val="0"/>
        </w:rPr>
        <w:fldChar w:fldCharType="separate"/>
      </w:r>
      <w:r w:rsidR="00FA3712" w:rsidRPr="00FA3712">
        <w:rPr>
          <w:rFonts w:ascii="Times New Roman" w:hAnsi="Times New Roman" w:cs="Times New Roman"/>
        </w:rPr>
        <w:t>[29,30]</w:t>
      </w:r>
      <w:r w:rsidR="009C0FDA">
        <w:rPr>
          <w:rFonts w:ascii="Times New Roman" w:eastAsia="Times New Roman" w:hAnsi="Times New Roman" w:cs="Times New Roman"/>
          <w:kern w:val="0"/>
        </w:rPr>
        <w:fldChar w:fldCharType="end"/>
      </w:r>
      <w:r w:rsidR="00FA3712">
        <w:rPr>
          <w:rFonts w:ascii="Times New Roman" w:eastAsia="Times New Roman" w:hAnsi="Times New Roman" w:cs="Times New Roman"/>
          <w:kern w:val="0"/>
        </w:rPr>
        <w:t xml:space="preserve">. </w:t>
      </w:r>
    </w:p>
    <w:p w14:paraId="0E51C03A"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Across AI-enabled weather advisory platforms, approximately </w:t>
      </w:r>
      <w:r w:rsidRPr="003F0B06">
        <w:rPr>
          <w:rFonts w:ascii="Times New Roman" w:eastAsia="Times New Roman" w:hAnsi="Times New Roman" w:cs="Times New Roman"/>
          <w:b/>
          <w:bCs/>
          <w:kern w:val="0"/>
        </w:rPr>
        <w:t>84% of participating farmers reported improved harvest outcomes</w:t>
      </w:r>
      <w:r w:rsidRPr="003F0B06">
        <w:rPr>
          <w:rFonts w:ascii="Times New Roman" w:eastAsia="Times New Roman" w:hAnsi="Times New Roman" w:cs="Times New Roman"/>
          <w:kern w:val="0"/>
        </w:rPr>
        <w:t>, attributing gains to improved planting decisions, optimized fertilizer timing, and reduced weather-related crop losses</w:t>
      </w:r>
      <w:r w:rsidR="009C0FDA">
        <w:rPr>
          <w:rFonts w:ascii="Times New Roman" w:eastAsia="Times New Roman" w:hAnsi="Times New Roman" w:cs="Times New Roman"/>
          <w:kern w:val="0"/>
        </w:rPr>
        <w:fldChar w:fldCharType="begin"/>
      </w:r>
      <w:r w:rsidR="009107F5">
        <w:rPr>
          <w:rFonts w:ascii="Times New Roman" w:eastAsia="Times New Roman" w:hAnsi="Times New Roman" w:cs="Times New Roman"/>
          <w:kern w:val="0"/>
        </w:rPr>
        <w:instrText xml:space="preserve"> ADDIN ZOTERO_ITEM CSL_CITATION {"citationID":"wgqHf4z7","properties":{"formattedCitation":"[31]","plainCitation":"[31]","noteIndex":0},"citationItems":[{"id":12980,"uris":["http://zotero.org/users/16652950/items/A5F49ZA3"],"itemData":{"id":12980,"type":"article-journal","abstract":"Modern agricultural technologies are crucial for addressing global food security and environmental sustainability challenges amidst a growing population and climate change. These innovations, including precision agriculture, biotechnology, smart irrigation, automation, vertical farming, and artificial intelligence (AI), significantly enhance productivity and land use efficiency. Precision agriculture, utilizing GPS, drones, and IoT, improves yields by 20–30% and cuts input waste by 40–60%. Biotechnology, with CRISPR and GMOs, delivers drought and pest-resistant crops, stabilizing yields, as seen with Bt cotton reducing pesticide use by 50% in India. Smart irrigation boosts water efficiency by 40–60%, while automation and robotics mitigate labor shortages and reduce costs by 25%. Vertical farming increases yields 10–20 times with 95% less land and water, supporting urban food security. AI analytics enhance decision-making with over 90% accuracy in forecasting and resource allocation. Despite these benefits, high costs, technological illiteracy, and regulatory issues hinder adoption, especially among smallholders. Policy support, public-private partnerships, and training are vital for broader technology access and fair benefits. Integrating renewable energy and circular economy principles into aggrotech presents a path to sustainability. This review highlights the transformative potential of modern technologies for sustainable intensification, increasing productivity without expanding farmland, while lessening environmental impacts. It underscores the need for coordinated efforts to overcome adoption challenges and harness these innovations for global food security and climate resilience.","container-title":"Frontiers in Plant Science","DOI":"10.3389/fpls.2025.1675657","ISSN":"1664-462X","journalAbbreviation":"Front Plant Sci","note":"PMID: 41036393\nPMCID: PMC12481170","page":"1675657","source":"PubMed Central","title":"The role of modern agricultural technologies in improving agricultural productivity and land use efficiency","volume":"16","author":[{"family":"Chen","given":"Xie"}],"issued":{"date-parts":[["2025",9,16]]}}}],"schema":"https://github.com/citation-style-language/schema/raw/master/csl-citation.json"} </w:instrText>
      </w:r>
      <w:r w:rsidR="009C0FDA">
        <w:rPr>
          <w:rFonts w:ascii="Times New Roman" w:eastAsia="Times New Roman" w:hAnsi="Times New Roman" w:cs="Times New Roman"/>
          <w:kern w:val="0"/>
        </w:rPr>
        <w:fldChar w:fldCharType="separate"/>
      </w:r>
      <w:r w:rsidR="009107F5" w:rsidRPr="009107F5">
        <w:rPr>
          <w:rFonts w:ascii="Times New Roman" w:hAnsi="Times New Roman" w:cs="Times New Roman"/>
        </w:rPr>
        <w:t>[31]</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71481F86"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Climate Resilience Interpretation</w:t>
      </w:r>
    </w:p>
    <w:p w14:paraId="76EE4931"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AI-driven weather intelligence reduced climate risk primarily by improving </w:t>
      </w:r>
      <w:r w:rsidRPr="003F0B06">
        <w:rPr>
          <w:rFonts w:ascii="Times New Roman" w:eastAsia="Times New Roman" w:hAnsi="Times New Roman" w:cs="Times New Roman"/>
          <w:b/>
          <w:bCs/>
          <w:kern w:val="0"/>
        </w:rPr>
        <w:t>temporal decision accuracy</w:t>
      </w:r>
      <w:r w:rsidRPr="003F0B06">
        <w:rPr>
          <w:rFonts w:ascii="Times New Roman" w:eastAsia="Times New Roman" w:hAnsi="Times New Roman" w:cs="Times New Roman"/>
          <w:kern w:val="0"/>
        </w:rPr>
        <w:t>, enabling farmers to align planting, input application, and harvesting with localized rainfall patterns</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{"citationID":"7t6GKVN4","properties":{"formattedCitation":"[32]","plainCitation":"[32]","noteIndex":0},"citationItems":[{"id":12983,"uris":["http://zotero.org/users/16652950/items/83EP3MHA"],"itemData":{"id":12983,"type":"article-journal","abstract":"Artificial Intelligence (AI) is reshaping agriculture by driving smarter, data-driven practices that enhance regional weather forecasting and support proactive, informed decision-making. Advances in Big Data, IoT, Remote Sensing, and Machine Learning are accelerating this transformation, with Transformer architectures increasingly pivotal in refining agricultural management strategies, especially in Taiwan. In this study, we develop a hybrid Convolutional Autoencoder and LSTM-based Transformer Network (CAE-LSTMT) to downscale six-hour simulation data into precise hourly forecasts, validated using 55,538 temperature and relative humidity records (2020–2023) from Taiwan’s Jhuoshuei River basin, provided by the Central Weather Administration (CWA). The model was trained (70 %), validated (10 %), and tested (20 %) to optimize its configuration and performance. This CAE-LSTMT model substantially enhances spatiotemporal weather forecast resolution, transforming six-hour regional data into hourly forecasts with improved accuracy. It yields temperature forecast gains of 5.66 % to 20.39 % and relative humidity improvements of 8.05 % to 12.76 %, with reduced forecast biases compared to traditional LSTM models. The model demonstrates exceptional accuracy in vapor pressure deficit (VPD) predictions, achieving mean absolute errors (MAE) between 0.15 to 0.21 kPa across regions and 0.16 to 0.20 kPa seasonally, significantly outperforming the CWA model. Accurate VPD forecasts allow farmers to manage irrigation and minimize crop stress, directly supporting plant health and yield optimization. For heat index classification, the model achieves up to 96 % ACCURACY, with mean absolute percentage errors (MAPE) of 4 % to 23 %, significantly exceeding the CWA model’s ACCURACY range of 35 % to 79 % and MAPE of 29 % to 70 %. This high precision in heat index forecasting empowers farmers to protect crops and livestock against heat stress. By extracting critical features from high-dimensional data, the CAE-LSTMT model advances environmental downscaling for multi-site, multi-horizon weather data, showing significant promise for Smart Agriculture and Health Advisory Systems. This approach offers precise, actionable forecasts, optimizing agricultural practices and reducing climate-related risks, underscoring its impact on sustainable agricultural and environmental management.","container-title":"Computers and Electronics in Agriculture","DOI":"10.1016/j.compag.2025.110129","ISSN":"0168-1699","journalAbbreviation":"Computers and Electronics in Agriculture","page":"110129","source":"ScienceDirect","title":"AI-driven weather downscaling for smart agriculture using autoencoders and transformers","volume":"232","author":[{"family":"Kow","given":"Pu-Yun"},{"family":"Wang","given":"Yun-Ting"},{"family":"Chang","given":"Yu-Wen"},{"family":"Lee","given":"Meng-Hsin"},{"family":"Yao","given":"Ming-Hwi"},{"family":"Chang","given":"Li-Chiu"},{"family":"Chang","given":"Fi-John"}],"issued":{"date-parts":[["2025",5,1]]}}}],"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[32]</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These findings position predictive analytics as </w:t>
      </w:r>
      <w:r w:rsidRPr="003F0B06">
        <w:rPr>
          <w:rFonts w:ascii="Times New Roman" w:eastAsia="Times New Roman" w:hAnsi="Times New Roman" w:cs="Times New Roman"/>
          <w:b/>
          <w:bCs/>
          <w:kern w:val="0"/>
        </w:rPr>
        <w:t>scalable climate-resilience interventions</w:t>
      </w:r>
      <w:r w:rsidRPr="003F0B06">
        <w:rPr>
          <w:rFonts w:ascii="Times New Roman" w:eastAsia="Times New Roman" w:hAnsi="Times New Roman" w:cs="Times New Roman"/>
          <w:kern w:val="0"/>
        </w:rPr>
        <w:t>, capable of mitigating increasing rainfall variability and extreme weather exposure in Ghanaian agriculture.</w:t>
      </w:r>
    </w:p>
    <w:p w14:paraId="2E7AE433"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3.4 Pest and Disease Detection</w:t>
      </w:r>
    </w:p>
    <w:p w14:paraId="3B9134B2"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14:paraId="4C9F6508"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AI-powered pest and disease diagnostic tools demonstrated </w:t>
      </w:r>
      <w:r w:rsidRPr="003F0B06">
        <w:rPr>
          <w:rFonts w:ascii="Times New Roman" w:eastAsia="Times New Roman" w:hAnsi="Times New Roman" w:cs="Times New Roman"/>
          <w:b/>
          <w:bCs/>
          <w:kern w:val="0"/>
        </w:rPr>
        <w:t>exceptionally high technical performance</w:t>
      </w:r>
      <w:r w:rsidRPr="003F0B06">
        <w:rPr>
          <w:rFonts w:ascii="Times New Roman" w:eastAsia="Times New Roman" w:hAnsi="Times New Roman" w:cs="Times New Roman"/>
          <w:kern w:val="0"/>
        </w:rPr>
        <w:t xml:space="preserve">. Image-based diagnostic systems achieved </w:t>
      </w:r>
      <w:r w:rsidRPr="003F0B06">
        <w:rPr>
          <w:rFonts w:ascii="Times New Roman" w:eastAsia="Times New Roman" w:hAnsi="Times New Roman" w:cs="Times New Roman"/>
          <w:b/>
          <w:bCs/>
          <w:kern w:val="0"/>
        </w:rPr>
        <w:t>98% detection accuracy</w:t>
      </w:r>
      <w:r w:rsidRPr="003F0B06">
        <w:rPr>
          <w:rFonts w:ascii="Times New Roman" w:eastAsia="Times New Roman" w:hAnsi="Times New Roman" w:cs="Times New Roman"/>
          <w:kern w:val="0"/>
        </w:rPr>
        <w:t xml:space="preserve"> for cassava viral diseases, enabling rapid field-level identification of Cassava Mosaic Disease and Cassava Brown Streak Disease</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{"citationID":"Y5bJQako","properties":{"formattedCitation":"[33]","plainCitation":"[33]","noteIndex":0},"citationItems":[{"id":12985,"uris":["http://zotero.org/users/16652950/items/ZIJZJQMP"],"itemData":{"id":12985,"type":"article-journal","abstract":"In the area of plant health, there has been little work using participatory approaches to control emerging infectious diseases such as cassava mosaic disease (CMD) and cassava brown streak disease (CBSD). These diseases cause significant yield losses in Sub-Saharan Africa. The current study provided low cost and early detection method of cassava viral diseases surveillance, based on participatory approaches using an AI tool (Plantvillage nuru app). The study involved farmers, agricultural extension agents (AEA), and cassava diseases diagnosis experts. Farmers were made aware of CMD and CBSD damage through a national campaign, while AEA received training to identify CMD, CBSD, and cassava green mite (CGM) symptoms using an AI-based diagnostic tool. Sixty trained AEA, equipped with smartphones running the AI tool, conducted fields surveillance either through visual inspection or with AI tool. The participation rate of the AEA and the diagnostic accuracy of the AI tool and visual assessments were evaluated and compared to experts perception validated by molecular analysis. Workshops and smartphones allocation enhanced AEA participation rate to 60%, and increased surveyed fields number to 132. CMD detection revealed no significant difference between users of AI tool (p-value = 0.709) and visual inspection (p-value = 0.997). The mean scores of CMD detection were 29.83 ± 12.99% for AI tool, 37.12 ± 12.78% for experts, and 36.10 ± 12.74% for molecular analysis among AI tool users. With visual inspection users, the mean scores detection were 46.07 ± 13.00% for AEA and experts perception, and 43.87 ± 12.07% for molecular analysis. The AI tool misdiagnosed 5% of CMD as CBSD, but molecular analysis confirmed it as CMD. The CMD infected fields was 31.06%, with a predominantly African Cassava Mosaic Virus (93.33%) detected. The results demonstrated that participatory approaches could be effective in the plant pathogens early management.","container-title":"Frontiers in Sustainable Food Systems","DOI":"10.3389/fsufs.2025.1597039","ISSN":"2571-581X","journalAbbreviation":"Front. Sustain. Food Syst.","language":"English","note":"publisher: Frontiers","source":"Frontiers","title":"Artificial intelligence tool for cassava viral diseases diagnosis using participatory surveillance in Burkina Faso","URL":"https://www.frontiersin.org/journals/sustainable-food-systems/articles/10.3389/fsufs.2025.1597039/full","volume":"9","author":[{"family":"Sawadogo","given":"Seydou"},{"family":"Tiendrebeogo","given":"Fidèle"},{"family":"Tibiri","given":"Ezechiel B."},{"family":"Name","given":"Pakyendou E."},{"family":"Djigma","given":"Florencia"},{"family":"Traoré","given":"Lassina"},{"family":"Pita","given":"Justin S."},{"family":"Eni","given":"Angela O."}],"accessed":{"date-parts":[["2026",1,7]]},"issued":{"date-parts":[["2025",9,2]]}}}],"schema":"https://github.com/citation-style-language/schema/raw/master/csl-citation.json"}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[33]</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19F3D1FB"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Across reviewed applications, AI-assisted diagnostics reduced </w:t>
      </w:r>
      <w:r w:rsidRPr="003F0B06">
        <w:rPr>
          <w:rFonts w:ascii="Times New Roman" w:eastAsia="Times New Roman" w:hAnsi="Times New Roman" w:cs="Times New Roman"/>
          <w:b/>
          <w:bCs/>
          <w:kern w:val="0"/>
        </w:rPr>
        <w:t>pesticide use by up to 25%</w:t>
      </w:r>
      <w:r w:rsidRPr="003F0B06">
        <w:rPr>
          <w:rFonts w:ascii="Times New Roman" w:eastAsia="Times New Roman" w:hAnsi="Times New Roman" w:cs="Times New Roman"/>
          <w:kern w:val="0"/>
        </w:rPr>
        <w:t>, primarily through early detection and precise targeting of interventions</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{"citationID":"LtmDjGga","properties":{"formattedCitation":"[34]","plainCitation":"[34]","noteIndex":0},"citationItems":[{"id":12987,"uris":["http://zotero.org/users/16652950/items/RR7W25YU"],"itemData":{"id":12987,"type":"article-journal","abstract":"Precision agriculture technologies (PATs) are revolutionizing the agricultural sector by minimizing the reliance on plant protection products (PPPs) i...","container-title":"AgriEngineering","DOI":"10.3390/agriengineering7100346","ISSN":"2624-7402","issue":"10","language":"en","license":"http://creativecommons.org/licenses/by/3.0/","note":"Company: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publisher","source":"www.mdpi.com","title":"Toward Modern Pesticide Use Reduction Strategies in Advancing Precision Agriculture: A Bibliometric Review","title-short":"Toward Modern Pesticide Use Reduction Strategies in Advancing Precision Agriculture","URL":"https://www.mdpi.com/2624-7402/7/10/346","volume":"7","author":[{"family":"Lupica","given":"Sebastian"},{"family":"Privitera","given":"Salvatore"},{"family":"Sfrazzetto","given":"Antonio Trusso"},{"family":"Cerruto","given":"Emanuele"},{"family":"Manetto","given":"Giuseppe"},{"family":"Lupica","given":"Sebastian"},{"family":"Privitera","given":"Salvatore"},{"family":"Sfrazzetto","given":"Antonio Trusso"},{"family":"Cerruto","given":"Emanuele"},{"family":"Manetto","given":"Giuseppe"}],"accessed":{"date-parts":[["2026",1,7]]},"issued":{"date-parts":[["2025",10,11]]}}}],"schema":"https://github.com/citation-style-language/schema/raw/master/csl-citation.json"}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[34]</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39CB3724"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Interpretation</w:t>
      </w:r>
    </w:p>
    <w:p w14:paraId="440F3951" w14:textId="77777777" w:rsidR="003F0B06" w:rsidRPr="003F0B06" w:rsidRDefault="003F0B06" w:rsidP="000C6A27">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Early disease detection enabled by AI significantly reduced crop losses and intervention delays compared to visual inspect</w:t>
      </w:r>
      <w:r w:rsidR="00940981">
        <w:rPr>
          <w:rFonts w:ascii="Times New Roman" w:eastAsia="Times New Roman" w:hAnsi="Times New Roman" w:cs="Times New Roman"/>
          <w:kern w:val="0"/>
        </w:rPr>
        <w:t>ion-based extension systems</w:t>
      </w:r>
      <w:r w:rsidRPr="003F0B06">
        <w:rPr>
          <w:rFonts w:ascii="Times New Roman" w:eastAsia="Times New Roman" w:hAnsi="Times New Roman" w:cs="Times New Roman"/>
          <w:kern w:val="0"/>
        </w:rPr>
        <w:t xml:space="preserve">. In addition to productivity benefits, reduced chemical application contributes to </w:t>
      </w:r>
      <w:r w:rsidRPr="003F0B06">
        <w:rPr>
          <w:rFonts w:ascii="Times New Roman" w:eastAsia="Times New Roman" w:hAnsi="Times New Roman" w:cs="Times New Roman"/>
          <w:b/>
          <w:bCs/>
          <w:kern w:val="0"/>
        </w:rPr>
        <w:t>environmental sustainability and improved farmer health</w:t>
      </w:r>
      <w:r w:rsidRPr="003F0B06">
        <w:rPr>
          <w:rFonts w:ascii="Times New Roman" w:eastAsia="Times New Roman" w:hAnsi="Times New Roman" w:cs="Times New Roman"/>
          <w:kern w:val="0"/>
        </w:rPr>
        <w:t>, reinforcing the ecological advantages of AI-enabled diagnostics</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{"citationID":"HApnlIT6","properties":{"formattedCitation":"[35]","plainCitation":"[35]","noteIndex":0},"citationItems":[{"id":12019,"uris":["http://zotero.org/users/16652950/items/9VSP8DGD"],"itemData":{"id":12019,"type":"article-journal","abstract":"The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1716BF15"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lastRenderedPageBreak/>
        <w:t>3.5 Market Linkages and Financial Inclusion</w:t>
      </w:r>
    </w:p>
    <w:p w14:paraId="5EAD3642"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14:paraId="36077392"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AI-enabled market and financial platforms demonstrated </w:t>
      </w:r>
      <w:r w:rsidRPr="003F0B06">
        <w:rPr>
          <w:rFonts w:ascii="Times New Roman" w:eastAsia="Times New Roman" w:hAnsi="Times New Roman" w:cs="Times New Roman"/>
          <w:b/>
          <w:bCs/>
          <w:kern w:val="0"/>
        </w:rPr>
        <w:t>consistent value-chain-level impacts</w:t>
      </w:r>
      <w:r w:rsidRPr="003F0B06">
        <w:rPr>
          <w:rFonts w:ascii="Times New Roman" w:eastAsia="Times New Roman" w:hAnsi="Times New Roman" w:cs="Times New Roman"/>
          <w:kern w:val="0"/>
        </w:rPr>
        <w:t xml:space="preserve">. Synthesized evidence indicates </w:t>
      </w:r>
      <w:r w:rsidRPr="003F0B06">
        <w:rPr>
          <w:rFonts w:ascii="Times New Roman" w:eastAsia="Times New Roman" w:hAnsi="Times New Roman" w:cs="Times New Roman"/>
          <w:b/>
          <w:bCs/>
          <w:kern w:val="0"/>
        </w:rPr>
        <w:t>farmer income gains of 10–15%</w:t>
      </w:r>
      <w:r w:rsidRPr="003F0B06">
        <w:rPr>
          <w:rFonts w:ascii="Times New Roman" w:eastAsia="Times New Roman" w:hAnsi="Times New Roman" w:cs="Times New Roman"/>
          <w:kern w:val="0"/>
        </w:rPr>
        <w:t>, driven by improved price transparency, reduced intermediary losses, and enhanced buyer–seller matching</w:t>
      </w:r>
      <w:r w:rsidR="009C0FDA">
        <w:rPr>
          <w:rFonts w:ascii="Times New Roman" w:eastAsia="Times New Roman" w:hAnsi="Times New Roman" w:cs="Times New Roman"/>
          <w:kern w:val="0"/>
        </w:rPr>
        <w:fldChar w:fldCharType="begin"/>
      </w:r>
      <w:r w:rsidR="008558F5">
        <w:rPr>
          <w:rFonts w:ascii="Times New Roman" w:eastAsia="Times New Roman" w:hAnsi="Times New Roman" w:cs="Times New Roman"/>
          <w:kern w:val="0"/>
        </w:rPr>
        <w:instrText xml:space="preserve"> ADDIN ZOTERO_ITEM CSL_CITATION {"citationID":"f5eTaPU9","properties":{"formattedCitation":"[36]","plainCitation":"[36]","noteIndex":0},"citationItems":[{"id":12989,"uris":["http://zotero.org/users/16652950/items/PP8GWGET"],"itemData":{"id":12989,"type":"article-journal","abstract":"This study presents a comprehensive framework for digitalizing traditional agri-food supply chains (TASCs) in developing economies, paving the way towards digital transformation. Digitizing is the initial step of digital transformation, which is the conversion of analog information into digital form. Digitalization is the use of digital technologies to improve existing processes, and digital transformation is the comprehensive integration of digital technologies to fundamentally reshape operations and business models. TASCs in developing economies rely on manual information, leading to inefficiencies and resource wastage. Employing an abductive reasoning approach, the study investigates a case study in a developing economy. A social network analysis was conducted along with process mapping for the identified case study to evaluate stakeholder interactions, identifying key metrics like degree centrality, betweenness centrality, and closeness centrality. The study identified farming input suppliers, agriculture field officers and distribution center managers as critical influencing stakeholders in this social network. The framework introduced in the study emphasizes regulated digitalization, where governing bodies oversee seed supply and production planning to ensure alignment with market demand. The proposed framework offers benefits for all supply chain stakeholders while improving transparency, optimizing resources, leading to improved production planning, minimized post-harvest wastage, reducing price volatility and increasing food security. The framework offers strategic insights for both policymakers and researchers aiming to modernize TASCs by triangulation of data with stakeholder benefits. Overall, this study provides a structured roadmap for digitalizing the TASCs in developing economies, laying the foundation towards digital transformation and agricultural sustainability.","container-title":"Sustainable Futures","DOI":"10.1016/j.sftr.2025.101356","ISSN":"2666-1888","journalAbbreviation":"Sustainable Futures","page":"101356","source":"ScienceDirect","title":"Digitalizing traditional agri-food supply chains in developing economies: A pathway to regulated sustainable governance","title-short":"Digitalizing traditional agri-food supply chains in developing economies","volume":"10","author":[{"family":"Jayalath","given":"Madushan Madhava"},{"family":"Ratnayake","given":"R. M. Chandima"},{"family":"Perera","given":"H. Niles"},{"family":"Thibbotuwawa","given":"Amila"}],"issued":{"date-parts":[["2025",12,1]]}}}],"schema":"https://github.com/citation-style-language/schema/raw/master/csl-citation.json"}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8558F5" w:rsidRPr="008558F5">
        <w:rPr>
          <w:rFonts w:ascii="Times New Roman" w:hAnsi="Times New Roman" w:cs="Times New Roman"/>
        </w:rPr>
        <w:t>[36]</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56E9699A"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Post-harvest loss reductions ranged between </w:t>
      </w:r>
      <w:r w:rsidRPr="003F0B06">
        <w:rPr>
          <w:rFonts w:ascii="Times New Roman" w:eastAsia="Times New Roman" w:hAnsi="Times New Roman" w:cs="Times New Roman"/>
          <w:b/>
          <w:bCs/>
          <w:kern w:val="0"/>
        </w:rPr>
        <w:t>25% and 30%</w:t>
      </w:r>
      <w:r w:rsidRPr="003F0B06">
        <w:rPr>
          <w:rFonts w:ascii="Times New Roman" w:eastAsia="Times New Roman" w:hAnsi="Times New Roman" w:cs="Times New Roman"/>
          <w:kern w:val="0"/>
        </w:rPr>
        <w:t xml:space="preserve">, reflecting improved logistics coordination and access to structured markets </w:t>
      </w:r>
      <w:r w:rsidR="009C0FDA">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{"citationID":"NIgxJnwf","properties":{"formattedCitation":"[37]","plainCitation":"[37]","noteIndex":0},"citationItems":[{"id":12991,"uris":["http://zotero.org/users/16652950/items/BH4C55SC"],"itemData":{"id":12991,"type":"article-journal","abstract":"Vegetables, rich in essential bioactive compounds, are crucial for human health and vital to the global food system. However, the supply chain for vegetables is intricate, marked by product seasonality, demand variability, and limited shelf life. These factors contribute to significant losses, with 44 % of global vegetable production wasted at various stages in the food chain. Postharvest losses (PHLs) are a considerable issue, posing risks to food security and economic sustainability. Despite numerous interventions aimed at reducing PHLs, a comprehensive understanding of the primary causes remains insufficient, preventing the implementation of practical solutions. The study investigates the factors causing PHLs in the vegetable supply chain. A structured questionnaire was used to collect the data from 238 farmers. The study adopted a cross-sectional research design and a multi-stratified random sampling method. Descriptive statistics and log-linear regression were used to analyze the data. The results revealed that 56 % of the farmers were women, with an average age of 45 and a household size of five. Most farmers had completed 12 years of education, with 76 % being unemployed and 78 % depending on farming as their primary source of income. The regression analysis showed that age, distance to markets, and lack of transportation were significant factors at the 1 % level. In contrast, education, farming experience, market access, and weather conditions were significant at the 5 % level. The study recommends policies promoting innovative postharvest technologies alongside investment in infrastructure to mitigate these losses.","container-title":"Heliyon","DOI":"10.1016/j.heliyon.2024.e39565","ISSN":"2405-8440","issue":"20","journalAbbreviation":"Heliyon","page":"e39565","source":"ScienceDirect","title":"Modeling the critical causal factors of postharvest losses in the vegetable supply chain in eThekwini metropolitan municipality: The log-linear regression model","title-short":"Modeling the critical causal factors of postharvest losses in the vegetable supply chain in eThekwini metropolitan municipality","volume":"10","author":[{"family":"Qange","given":"Siphesihle"},{"family":"Mdoda","given":"Lelethu"},{"family":"Mditshwa","given":"Asanda"}],"issued":{"date-parts":[["2024",10,30]]}}}],"schema":"https://github.com/citation-style-language/schema/raw/master/csl-citation.json"} </w:instrText>
      </w:r>
      <w:r w:rsidR="009C0FDA">
        <w:rPr>
          <w:rFonts w:ascii="Times New Roman" w:eastAsia="Times New Roman" w:hAnsi="Times New Roman" w:cs="Times New Roman"/>
          <w:kern w:val="0"/>
        </w:rPr>
        <w:fldChar w:fldCharType="separate"/>
      </w:r>
      <w:r w:rsidR="00FB4A71" w:rsidRPr="00FB4A71">
        <w:rPr>
          <w:rFonts w:ascii="Times New Roman" w:hAnsi="Times New Roman" w:cs="Times New Roman"/>
        </w:rPr>
        <w:t>[37]</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Digital financial platforms increased </w:t>
      </w:r>
      <w:r w:rsidRPr="003F0B06">
        <w:rPr>
          <w:rFonts w:ascii="Times New Roman" w:eastAsia="Times New Roman" w:hAnsi="Times New Roman" w:cs="Times New Roman"/>
          <w:b/>
          <w:bCs/>
          <w:kern w:val="0"/>
        </w:rPr>
        <w:t>formal financial inclusion by approximately 15%</w:t>
      </w:r>
      <w:r w:rsidRPr="003F0B06">
        <w:rPr>
          <w:rFonts w:ascii="Times New Roman" w:eastAsia="Times New Roman" w:hAnsi="Times New Roman" w:cs="Times New Roman"/>
          <w:kern w:val="0"/>
        </w:rPr>
        <w:t xml:space="preserve">, expanding access to credit, savings, and insurance services </w:t>
      </w:r>
      <w:r w:rsidR="009C0FDA">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{"citationID":"LMi9QjSg","properties":{"formattedCitation":"[38]","plainCitation":"[38]","noteIndex":0},"citationItems":[{"id":12994,"uris":["http://zotero.org/users/16652950/items/PMZ7HK8U"],"itemData":{"id":12994,"type":"article-journal","abstract":"The covid-19 pandemic revolutionises digital financial services, and hence digital financial inclusion is essential to ensure everyone can access digital financial services and thus promote sustainable economic growth. The development and activities promoting digital financial inclusion must align and help attain 2030 Sustainable Development Goals (SDGs). While the pandemic is anticipated to increase the usage of digital financial services, it has also created challenges for certain countries. Hence, a systematic literature review explores digital financial inclusion across countries. This research finds that developing countries, mainly Asian countries, embrace and improve digital financial inclusion to help reduce poverty. However, the results indicate that in developing countries, a persistent divide exists between gender, the wealthy and the poor, and urban and rural areas regarding access to and usage of digital financial services. At the end of the study, we propose a few recommendations, focusing on improving digital infrastructure, simplifying the complicated banking procedures, and stressing the importance of financial education, enabling the smooth implication of digital financial inclusion across countries.","container-title":"Heliyon","DOI":"10.1016/j.heliyon.2022.e09766","ISSN":"2405-8440","issue":"6","journalAbbreviation":"Heliyon","page":"e09766","source":"ScienceDirect","title":"Digital financial inclusion: A gateway to sustainable development","title-short":"Digital financial inclusion","volume":"8","author":[{"family":"Tay","given":"Lee-Ying"},{"family":"Tai","given":"Hen-Toong"},{"family":"Tan","given":"Gek-Siang"}],"issued":{"date-parts":[["2022",6,1]]}}}],"schema":"https://github.com/citation-style-language/schema/raw/master/csl-citation.json"} </w:instrText>
      </w:r>
      <w:r w:rsidR="009C0FDA">
        <w:rPr>
          <w:rFonts w:ascii="Times New Roman" w:eastAsia="Times New Roman" w:hAnsi="Times New Roman" w:cs="Times New Roman"/>
          <w:kern w:val="0"/>
        </w:rPr>
        <w:fldChar w:fldCharType="separate"/>
      </w:r>
      <w:r w:rsidR="00FB4A71" w:rsidRPr="00FB4A71">
        <w:rPr>
          <w:rFonts w:ascii="Times New Roman" w:hAnsi="Times New Roman" w:cs="Times New Roman"/>
        </w:rPr>
        <w:t>[38]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In livestock systems, AI-supported veterinary platforms reduced </w:t>
      </w:r>
      <w:r w:rsidRPr="003F0B06">
        <w:rPr>
          <w:rFonts w:ascii="Times New Roman" w:eastAsia="Times New Roman" w:hAnsi="Times New Roman" w:cs="Times New Roman"/>
          <w:b/>
          <w:bCs/>
          <w:kern w:val="0"/>
        </w:rPr>
        <w:t>mortality rates by approximately 20%</w:t>
      </w:r>
      <w:r w:rsidRPr="003F0B06">
        <w:rPr>
          <w:rFonts w:ascii="Times New Roman" w:eastAsia="Times New Roman" w:hAnsi="Times New Roman" w:cs="Times New Roman"/>
          <w:kern w:val="0"/>
        </w:rPr>
        <w:t>, improving household income stability and food security</w:t>
      </w:r>
      <w:r w:rsidR="009C0FDA">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{"citationID":"bELt1zF9","properties":{"formattedCitation":"[9]","plainCitation":"[9]","noteIndex":0},"citationItems":[{"id":12032,"uris":["http://zotero.org/users/16652950/items/HPFSGRMU"],"itemData":{"id":12032,"type":"article-journal","abstract":"The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FB4A71" w:rsidRPr="00FB4A71">
        <w:rPr>
          <w:rFonts w:ascii="Times New Roman" w:hAnsi="Times New Roman" w:cs="Times New Roman"/>
        </w:rPr>
        <w:t>[9]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53851050" w14:textId="77777777"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Value Chain Interpretation</w:t>
      </w:r>
    </w:p>
    <w:p w14:paraId="32CF9EF6"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Unlike production-focused AI tools, market and financial applications generated </w:t>
      </w:r>
      <w:r w:rsidRPr="003F0B06">
        <w:rPr>
          <w:rFonts w:ascii="Times New Roman" w:eastAsia="Times New Roman" w:hAnsi="Times New Roman" w:cs="Times New Roman"/>
          <w:b/>
          <w:bCs/>
          <w:kern w:val="0"/>
        </w:rPr>
        <w:t>system-level efficiency gains</w:t>
      </w:r>
      <w:r w:rsidRPr="003F0B06">
        <w:rPr>
          <w:rFonts w:ascii="Times New Roman" w:eastAsia="Times New Roman" w:hAnsi="Times New Roman" w:cs="Times New Roman"/>
          <w:kern w:val="0"/>
        </w:rPr>
        <w:t>, affecting multiple nodes of the agricultural value chain simultaneously. These findings demonstrate that AI adoption delivers compounded benefits when interventions extend beyond farm-level productivity to include market access and financial services.</w:t>
      </w:r>
    </w:p>
    <w:p w14:paraId="62120B4C" w14:textId="77777777" w:rsidR="003F0B06" w:rsidRPr="003F0B06" w:rsidRDefault="003F0B06" w:rsidP="003F0B06">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4. Discussion</w:t>
      </w:r>
    </w:p>
    <w:p w14:paraId="69484AD5"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4.1 Comparative Advantages over Traditional Agricultural Extension</w:t>
      </w:r>
    </w:p>
    <w:p w14:paraId="156BC09F"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The synthesized results demonstrate that AI-enabled agricultural interventions offer </w:t>
      </w:r>
      <w:r w:rsidRPr="003F0B06">
        <w:rPr>
          <w:rFonts w:ascii="Times New Roman" w:eastAsia="Times New Roman" w:hAnsi="Times New Roman" w:cs="Times New Roman"/>
          <w:b/>
          <w:bCs/>
          <w:kern w:val="0"/>
        </w:rPr>
        <w:t>distinct comparative advantages</w:t>
      </w:r>
      <w:r w:rsidRPr="003F0B06">
        <w:rPr>
          <w:rFonts w:ascii="Times New Roman" w:eastAsia="Times New Roman" w:hAnsi="Times New Roman" w:cs="Times New Roman"/>
          <w:kern w:val="0"/>
        </w:rPr>
        <w:t xml:space="preserve"> over conventional extension systems in terms of </w:t>
      </w:r>
      <w:r w:rsidRPr="003F0B06">
        <w:rPr>
          <w:rFonts w:ascii="Times New Roman" w:eastAsia="Times New Roman" w:hAnsi="Times New Roman" w:cs="Times New Roman"/>
          <w:b/>
          <w:bCs/>
          <w:kern w:val="0"/>
        </w:rPr>
        <w:t>speed, precision, and cost efficiency</w:t>
      </w:r>
      <w:r w:rsidRPr="003F0B06">
        <w:rPr>
          <w:rFonts w:ascii="Times New Roman" w:eastAsia="Times New Roman" w:hAnsi="Times New Roman" w:cs="Times New Roman"/>
          <w:kern w:val="0"/>
        </w:rPr>
        <w:t xml:space="preserve">. Traditional extension in Ghana, as in much of sub-Saharan Africa, is constrained by limited staffing, infrequent farm visits, and generalized advisory content, resulting in </w:t>
      </w:r>
      <w:r w:rsidR="003837F6">
        <w:rPr>
          <w:rFonts w:ascii="Times New Roman" w:eastAsia="Times New Roman" w:hAnsi="Times New Roman" w:cs="Times New Roman"/>
          <w:kern w:val="0"/>
        </w:rPr>
        <w:t>modest productivity gains</w:t>
      </w:r>
      <w:r w:rsidRPr="003F0B06">
        <w:rPr>
          <w:rFonts w:ascii="Times New Roman" w:eastAsia="Times New Roman" w:hAnsi="Times New Roman" w:cs="Times New Roman"/>
          <w:kern w:val="0"/>
        </w:rPr>
        <w:t>.</w:t>
      </w:r>
    </w:p>
    <w:p w14:paraId="61C9552C"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AI-driven platforms, by contrast, deliver </w:t>
      </w:r>
      <w:r w:rsidRPr="003F0B06">
        <w:rPr>
          <w:rFonts w:ascii="Times New Roman" w:eastAsia="Times New Roman" w:hAnsi="Times New Roman" w:cs="Times New Roman"/>
          <w:b/>
          <w:bCs/>
          <w:kern w:val="0"/>
        </w:rPr>
        <w:t>near-real-time decision support</w:t>
      </w:r>
      <w:r w:rsidRPr="003F0B06">
        <w:rPr>
          <w:rFonts w:ascii="Times New Roman" w:eastAsia="Times New Roman" w:hAnsi="Times New Roman" w:cs="Times New Roman"/>
          <w:kern w:val="0"/>
        </w:rPr>
        <w:t>, enabling farmers to respond rapidly to weather variability, pest outbreaks,</w:t>
      </w:r>
      <w:r w:rsidR="00C34D67">
        <w:rPr>
          <w:rFonts w:ascii="Times New Roman" w:eastAsia="Times New Roman" w:hAnsi="Times New Roman" w:cs="Times New Roman"/>
          <w:kern w:val="0"/>
        </w:rPr>
        <w:t xml:space="preserve"> and market fluctuations</w:t>
      </w:r>
      <w:r w:rsidRPr="003F0B06">
        <w:rPr>
          <w:rFonts w:ascii="Times New Roman" w:eastAsia="Times New Roman" w:hAnsi="Times New Roman" w:cs="Times New Roman"/>
          <w:kern w:val="0"/>
        </w:rPr>
        <w:t>. This temporal advantage is particularly evident in predictive analytics and pest diagnostics, where early warnings sub</w:t>
      </w:r>
      <w:r w:rsidR="003837F6">
        <w:rPr>
          <w:rFonts w:ascii="Times New Roman" w:eastAsia="Times New Roman" w:hAnsi="Times New Roman" w:cs="Times New Roman"/>
          <w:kern w:val="0"/>
        </w:rPr>
        <w:t xml:space="preserve">stantially reduce yield losses </w:t>
      </w:r>
      <w:r w:rsidR="009C0FDA">
        <w:rPr>
          <w:rFonts w:ascii="Times New Roman" w:eastAsia="Times New Roman" w:hAnsi="Times New Roman" w:cs="Times New Roman"/>
          <w:kern w:val="0"/>
        </w:rPr>
        <w:fldChar w:fldCharType="begin"/>
      </w:r>
      <w:r w:rsidR="003837F6">
        <w:rPr>
          <w:rFonts w:ascii="Times New Roman" w:eastAsia="Times New Roman" w:hAnsi="Times New Roman" w:cs="Times New Roman"/>
          <w:kern w:val="0"/>
        </w:rPr>
        <w:instrText xml:space="preserve"> ADDIN ZOTERO_ITEM CSL_CITATION {"citationID":"4jY34ZXU","properties":{"formattedCitation":"[18]","plainCitation":"[18]","noteIndex":0},"citationItems":[{"id":12950,"uris":["http://zotero.org/users/16652950/items/YEIH7NF7"],"itemData":{"id":12950,"type":"article-journal","abstract":"Integrating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schema":"https://github.com/citation-style-language/schema/raw/master/csl-citation.json"} </w:instrText>
      </w:r>
      <w:r w:rsidR="009C0FDA">
        <w:rPr>
          <w:rFonts w:ascii="Times New Roman" w:eastAsia="Times New Roman" w:hAnsi="Times New Roman" w:cs="Times New Roman"/>
          <w:kern w:val="0"/>
        </w:rPr>
        <w:fldChar w:fldCharType="separate"/>
      </w:r>
      <w:r w:rsidR="003837F6" w:rsidRPr="003837F6">
        <w:rPr>
          <w:rFonts w:ascii="Times New Roman" w:hAnsi="Times New Roman" w:cs="Times New Roman"/>
        </w:rPr>
        <w:t>[18]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03D568C8"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Precision represents a second major advantage. While conventional extension typically disseminates uniform recommendations, AI systems tailor advice based on localized data inputs, including soil conditions, crop phenol</w:t>
      </w:r>
      <w:r w:rsidR="00C34D67">
        <w:rPr>
          <w:rFonts w:ascii="Times New Roman" w:eastAsia="Times New Roman" w:hAnsi="Times New Roman" w:cs="Times New Roman"/>
          <w:kern w:val="0"/>
        </w:rPr>
        <w:t>ogy, and microclimatic patterns</w:t>
      </w:r>
      <w:r w:rsidRPr="003F0B06">
        <w:rPr>
          <w:rFonts w:ascii="Times New Roman" w:eastAsia="Times New Roman" w:hAnsi="Times New Roman" w:cs="Times New Roman"/>
          <w:kern w:val="0"/>
        </w:rPr>
        <w:t xml:space="preserve">. The substantially higher yield gains observed in AI-enabled pilots—up to 92% in some cases—underscore the productivity implications of </w:t>
      </w:r>
      <w:r w:rsidR="00A4595E">
        <w:rPr>
          <w:rFonts w:ascii="Times New Roman" w:eastAsia="Times New Roman" w:hAnsi="Times New Roman" w:cs="Times New Roman"/>
          <w:kern w:val="0"/>
        </w:rPr>
        <w:t xml:space="preserve">this precision advantage </w:t>
      </w:r>
      <w:r w:rsidR="009C0FDA">
        <w:rPr>
          <w:rFonts w:ascii="Times New Roman" w:eastAsia="Times New Roman" w:hAnsi="Times New Roman" w:cs="Times New Roman"/>
          <w:kern w:val="0"/>
        </w:rPr>
        <w:fldChar w:fldCharType="begin"/>
      </w:r>
      <w:r w:rsidR="00A4595E">
        <w:rPr>
          <w:rFonts w:ascii="Times New Roman" w:eastAsia="Times New Roman" w:hAnsi="Times New Roman" w:cs="Times New Roman"/>
          <w:kern w:val="0"/>
        </w:rPr>
        <w:instrText xml:space="preserve"> ADDIN ZOTERO_ITEM CSL_CITATION {"citationID":"rLKgBHtz","properties":{"formattedCitation":"[18]","plainCitation":"[18]","noteIndex":0},"citationItems":[{"id":12950,"uris":["http://zotero.org/users/16652950/items/YEIH7NF7"],"itemData":{"id":12950,"type":"article-journal","abstract":"Integrating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schema":"https://github.com/citation-style-language/schema/raw/master/csl-citation.json"} </w:instrText>
      </w:r>
      <w:r w:rsidR="009C0FDA">
        <w:rPr>
          <w:rFonts w:ascii="Times New Roman" w:eastAsia="Times New Roman" w:hAnsi="Times New Roman" w:cs="Times New Roman"/>
          <w:kern w:val="0"/>
        </w:rPr>
        <w:fldChar w:fldCharType="separate"/>
      </w:r>
      <w:r w:rsidR="00A4595E" w:rsidRPr="00A4595E">
        <w:rPr>
          <w:rFonts w:ascii="Times New Roman" w:hAnsi="Times New Roman" w:cs="Times New Roman"/>
        </w:rPr>
        <w:t>[18]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2D21746F"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Finally, AI interventions demonstrate superior </w:t>
      </w:r>
      <w:r w:rsidRPr="003F0B06">
        <w:rPr>
          <w:rFonts w:ascii="Times New Roman" w:eastAsia="Times New Roman" w:hAnsi="Times New Roman" w:cs="Times New Roman"/>
          <w:b/>
          <w:bCs/>
          <w:kern w:val="0"/>
        </w:rPr>
        <w:t>cost efficiency</w:t>
      </w:r>
      <w:r w:rsidRPr="003F0B06">
        <w:rPr>
          <w:rFonts w:ascii="Times New Roman" w:eastAsia="Times New Roman" w:hAnsi="Times New Roman" w:cs="Times New Roman"/>
          <w:kern w:val="0"/>
        </w:rPr>
        <w:t>. Reductions in pesticide use of up to 25% and post-harvest loss reductions of 25–30% translate into higher net returns without proportional increases in input costs</w:t>
      </w:r>
      <w:r w:rsidR="009C0FDA">
        <w:rPr>
          <w:rFonts w:ascii="Times New Roman" w:eastAsia="Times New Roman" w:hAnsi="Times New Roman" w:cs="Times New Roman"/>
          <w:kern w:val="0"/>
        </w:rPr>
        <w:fldChar w:fldCharType="begin"/>
      </w:r>
      <w:r w:rsidR="00E978B2">
        <w:rPr>
          <w:rFonts w:ascii="Times New Roman" w:eastAsia="Times New Roman" w:hAnsi="Times New Roman" w:cs="Times New Roman"/>
          <w:kern w:val="0"/>
        </w:rPr>
        <w:instrText xml:space="preserve"> ADDIN ZOTERO_ITEM CSL_CITATION {"citationID":"yUSrdqZd","properties":{"formattedCitation":"[39]","plainCitation":"[39]","noteIndex":0},"citationItems":[{"id":12997,"uris":["http://zotero.org/users/16652950/items/UY3IYENP"],"itemData":{"id":12997,"type":"article-journal","abstract":"Food loss continues to be a major global challenge that impacts environmental sustainability, economic stability and food security. An inventive strategy for lowering food loss across the supply chain is AI-driven monitoring. The foundation of human civilization has always been agriculture, which supplies the vital resources needed for growth and nutrition. Higher quality crops with improved nutritional value, increased resilience to pests and diseases and improved adaptability to varying climatic conditions are in greater demand as the world's population continues to grow. Despite their effectiveness, traditional agricultural methods frequently fail to effectively meet these objectives; therefore, an innovative strategy for raising crop quality is the incorporation of artificial intelligence (AI) into agricultural operations. This paper examines the role of AI-driven monitoring in reducing food loss, focusing on its applications, benefits and implications for the food industry. AI driven technologies like machine learning, IoT-based smart sensors and computer vision can enhance efficiency in food production, storage, transportation and retail. By utilizing AI-driven solutions, stakeholders can optimize resource utilization, reduce waste, and contribute to sustainable food systems. AI-assisted processing can optimize various stages of crop production, from planting and growing to harvesting and postharvest management, thereby improving the overall quality of agricultural produce.","container-title":"Journal of Agriculture and Rural Development Studies","issue":"3","language":"en","note":"publisher: \"Dunarea de Jos\" University of Galati, Doctoral Field Engineering and Management in Agriculture and Rural Development","page":"5-16","source":"ideas.repec.org","title":"Smart Postharvest Management: Leveraging AI for Reduced Food Loss, Waste, and Improved Quality","title-short":"Smart Postharvest Management","author":[{"family":"Adediran","given":"Blessing Iyanuoluwa"},{"family":"Onyegbula","given":"Akudo Francilia"},{"family":"Oyeyipo","given":"Stephen Olufemi"},{"family":"Ahmed","given":"Tawakalitu"},{"family":"Fashanu","given":"Titilope Abosede"},{"family":"Ariyo","given":"Damilola Olubunmi"}],"issued":{"date-parts":[["2025"]]}}}],"schema":"https://github.com/citation-style-language/schema/raw/master/csl-citation.json"} </w:instrText>
      </w:r>
      <w:r w:rsidR="009C0FDA">
        <w:rPr>
          <w:rFonts w:ascii="Times New Roman" w:eastAsia="Times New Roman" w:hAnsi="Times New Roman" w:cs="Times New Roman"/>
          <w:kern w:val="0"/>
        </w:rPr>
        <w:fldChar w:fldCharType="separate"/>
      </w:r>
      <w:r w:rsidR="00E978B2" w:rsidRPr="00E978B2">
        <w:rPr>
          <w:rFonts w:ascii="Times New Roman" w:hAnsi="Times New Roman" w:cs="Times New Roman"/>
        </w:rPr>
        <w:t>[39]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These efficiency gains are rarely achievable through </w:t>
      </w:r>
      <w:r w:rsidRPr="003F0B06">
        <w:rPr>
          <w:rFonts w:ascii="Times New Roman" w:eastAsia="Times New Roman" w:hAnsi="Times New Roman" w:cs="Times New Roman"/>
          <w:kern w:val="0"/>
        </w:rPr>
        <w:lastRenderedPageBreak/>
        <w:t>traditional extension alone, highlighting AI’s potential to complement and enhance existing advisory systems rather than replace them.</w:t>
      </w:r>
    </w:p>
    <w:p w14:paraId="777C8D81" w14:textId="77777777" w:rsidR="003F0B06" w:rsidRPr="003F0B06" w:rsidRDefault="003F0B06" w:rsidP="003F0B06">
      <w:pPr>
        <w:spacing w:after="0" w:line="240" w:lineRule="auto"/>
        <w:rPr>
          <w:rFonts w:ascii="Times New Roman" w:eastAsia="Times New Roman" w:hAnsi="Times New Roman" w:cs="Times New Roman"/>
          <w:kern w:val="0"/>
        </w:rPr>
      </w:pPr>
    </w:p>
    <w:p w14:paraId="004D7D23"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4.2 Structural Constraints Limiting Scale</w:t>
      </w:r>
    </w:p>
    <w:p w14:paraId="37C65127"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Despite strong technical performance, the review finds that AI adoption in Ghanaian agriculture remains </w:t>
      </w:r>
      <w:r w:rsidRPr="003F0B06">
        <w:rPr>
          <w:rFonts w:ascii="Times New Roman" w:eastAsia="Times New Roman" w:hAnsi="Times New Roman" w:cs="Times New Roman"/>
          <w:b/>
          <w:bCs/>
          <w:kern w:val="0"/>
        </w:rPr>
        <w:t>institutionally constrained</w:t>
      </w:r>
      <w:r w:rsidRPr="003F0B06">
        <w:rPr>
          <w:rFonts w:ascii="Times New Roman" w:eastAsia="Times New Roman" w:hAnsi="Times New Roman" w:cs="Times New Roman"/>
          <w:kern w:val="0"/>
        </w:rPr>
        <w:t>, with scaling limited by four interrelated structural barriers.</w:t>
      </w:r>
    </w:p>
    <w:p w14:paraId="4E2409CE"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First, </w:t>
      </w:r>
      <w:r w:rsidRPr="003F0B06">
        <w:rPr>
          <w:rFonts w:ascii="Times New Roman" w:eastAsia="Times New Roman" w:hAnsi="Times New Roman" w:cs="Times New Roman"/>
          <w:b/>
          <w:bCs/>
          <w:kern w:val="0"/>
        </w:rPr>
        <w:t>digital connectivity</w:t>
      </w:r>
      <w:r w:rsidRPr="003F0B06">
        <w:rPr>
          <w:rFonts w:ascii="Times New Roman" w:eastAsia="Times New Roman" w:hAnsi="Times New Roman" w:cs="Times New Roman"/>
          <w:kern w:val="0"/>
        </w:rPr>
        <w:t xml:space="preserve"> remains inadequate. Rural mobile network coverage remains below </w:t>
      </w:r>
      <w:r w:rsidRPr="003F0B06">
        <w:rPr>
          <w:rFonts w:ascii="Times New Roman" w:eastAsia="Times New Roman" w:hAnsi="Times New Roman" w:cs="Times New Roman"/>
          <w:b/>
          <w:bCs/>
          <w:kern w:val="0"/>
        </w:rPr>
        <w:t>30%</w:t>
      </w:r>
      <w:r w:rsidRPr="003F0B06">
        <w:rPr>
          <w:rFonts w:ascii="Times New Roman" w:eastAsia="Times New Roman" w:hAnsi="Times New Roman" w:cs="Times New Roman"/>
          <w:kern w:val="0"/>
        </w:rPr>
        <w:t xml:space="preserve">, restricting the functionality of AI systems reliant on mobile data, cloud processing, and real-time information exchange </w:t>
      </w:r>
      <w:r w:rsidR="009C0FDA">
        <w:rPr>
          <w:rFonts w:ascii="Times New Roman" w:eastAsia="Times New Roman" w:hAnsi="Times New Roman" w:cs="Times New Roman"/>
          <w:kern w:val="0"/>
        </w:rPr>
        <w:fldChar w:fldCharType="begin"/>
      </w:r>
      <w:r w:rsidR="00691FFA">
        <w:rPr>
          <w:rFonts w:ascii="Times New Roman" w:eastAsia="Times New Roman" w:hAnsi="Times New Roman" w:cs="Times New Roman"/>
          <w:kern w:val="0"/>
        </w:rPr>
        <w:instrText xml:space="preserve"> ADDIN ZOTERO_ITEM CSL_CITATION {"citationID":"QbRXd0Pe","properties":{"formattedCitation":"[40]","plainCitation":"[40]","noteIndex":0},"citationItems":[{"id":13000,"uris":["http://zotero.org/users/16652950/items/TARZSB35"],"itemData":{"id":13000,"type":"article-journal","abstract":"Background and objective\nEmpowering rural life through digital technology reflects the collective aspirations of millions of farmers striving for a better quality of life. Ensuring that the benefits of digital advancements reach every corner of the population is a crucial and inevitable choice. To expedite the establishment of an inclusive digital life for all citizens, the Chinese government has exerted substantial efforts by positioning the development of digital villages as a national strategy. Through comprehensive initiatives in digital village construction, facilitating the extension of \"Internet+\" services such as education, healthcare, transportation, and entertainment to rural areas. 24-hour digital village libraries, smart health stations, intelligent homes, facial recognition payments, unmanned supermarkets, and a variety of digitized, networked, and intelligent lifestyle applications are increasingly prevalent in Chinese rural regions. The digital gap between urban and rural areas in China is gradually diminishing, and the ongoing evolution of rural digital lifestyles paints a picturesque picture of an enhanced rural life. This study endeavors to provide a meticulous analysis of the digital landscape in Chinese villages, seeking to unravel the intricacies behind the swift development of rural digital life.\nMethods\nUsing the top 100 counties in China's 2020 Rural Life Digitization Index ranking as case studies, this research collected the necessary data through industry research reports and official statistical sources. To begin with, based on the Technology-Organization-Environment (TOE) analysis framework, variables such as digital infrastructure, government policy support, funds are put into utilization, digital economy level, and farmer digital literacy were identified. The fuzzy set qualitative comparative analysis (fsQCA) method was then employed to recognize the influencing factors of rural digital life and combinations of condition variables. Subsequently, utilizing the system dynamics methodology, the relationships between factors were analyzed, simulating changes in rural digital life development to gain a deeper understanding of the key elements affecting rural digital life. Sensitivity analysis was conducted to further reveal the extent of influence of these key elements on rural digital life.\nResults\nThe fuzzy set qualitative comparative analysis reveals that the evolution of rural digital life in China is a complex outcome influenced by the simultaneous interplay of multiple factors. It demonstrates a pattern of diverse combinations and parallel pathways encompassing various variables. Among these configurations, six paths stand out with the highest coverage. These six paths can be further classified into three modes of rural digital life development in China: environment-empowered type, organization-pushed type, and compound-driven type. Further dissection of causal combinations through a system dynamics model unveils that the progression of rural digital life is intricately linked to key factors such as information infrastructure, policy intensity, and digital learning and development. Over time, there is a discernible upward trajectory in the level of rural digital life, characterized by an accelerating pace of improvement. The influence of policy intensity on rural digital life surpasses that of information infrastructure and digital learning and development, indicating that policy intensity exerts the most significant impact overall.\nConclusion\nThe evolution of rural digital life in China is a complex, long-term process propelled by a combination of multiple factors. China's experience demonstrates that achieving high-level development in rural digital life demands attention not only to the synergistic interplay of various factors but also a strategic focus on leveraging specific key elements. This entails skillfully integrating diverse factors and identifying pivotal areas to maximize the impact of relevant conditions to the greatest extent possible.","container-title":"Heliyon","DOI":"10.1016/j.heliyon.2024.e39511","ISSN":"2405-8440","issue":"22","journalAbbreviation":"Heliyon","page":"e39511","source":"ScienceDirect","title":"What drives the development of digital rural life in China?","volume":"10","author":[{"family":"Xiong","given":"Chunlin"},{"family":"Wang","given":"Yaling"},{"family":"Wu","given":"Zhenyu"},{"family":"Liu","given":"Fen"}],"issued":{"date-parts":[["2024",11,30]]}}}],"schema":"https://github.com/citation-style-language/schema/raw/master/csl-citation.json"} </w:instrText>
      </w:r>
      <w:r w:rsidR="009C0FDA">
        <w:rPr>
          <w:rFonts w:ascii="Times New Roman" w:eastAsia="Times New Roman" w:hAnsi="Times New Roman" w:cs="Times New Roman"/>
          <w:kern w:val="0"/>
        </w:rPr>
        <w:fldChar w:fldCharType="separate"/>
      </w:r>
      <w:r w:rsidR="00691FFA" w:rsidRPr="00691FFA">
        <w:rPr>
          <w:rFonts w:ascii="Times New Roman" w:hAnsi="Times New Roman" w:cs="Times New Roman"/>
        </w:rPr>
        <w:t>[40]</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Second, </w:t>
      </w:r>
      <w:r w:rsidRPr="003F0B06">
        <w:rPr>
          <w:rFonts w:ascii="Times New Roman" w:eastAsia="Times New Roman" w:hAnsi="Times New Roman" w:cs="Times New Roman"/>
          <w:b/>
          <w:bCs/>
          <w:kern w:val="0"/>
        </w:rPr>
        <w:t>digital literacy</w:t>
      </w:r>
      <w:r w:rsidRPr="003F0B06">
        <w:rPr>
          <w:rFonts w:ascii="Times New Roman" w:eastAsia="Times New Roman" w:hAnsi="Times New Roman" w:cs="Times New Roman"/>
          <w:kern w:val="0"/>
        </w:rPr>
        <w:t xml:space="preserve"> among smallholder farmers remains below </w:t>
      </w:r>
      <w:r w:rsidRPr="003F0B06">
        <w:rPr>
          <w:rFonts w:ascii="Times New Roman" w:eastAsia="Times New Roman" w:hAnsi="Times New Roman" w:cs="Times New Roman"/>
          <w:b/>
          <w:bCs/>
          <w:kern w:val="0"/>
        </w:rPr>
        <w:t>25%</w:t>
      </w:r>
      <w:r w:rsidRPr="003F0B06">
        <w:rPr>
          <w:rFonts w:ascii="Times New Roman" w:eastAsia="Times New Roman" w:hAnsi="Times New Roman" w:cs="Times New Roman"/>
          <w:kern w:val="0"/>
        </w:rPr>
        <w:t>, limiting effective utilization of AI tools even where connectivity exists</w:t>
      </w:r>
      <w:r w:rsidR="009C0FDA">
        <w:rPr>
          <w:rFonts w:ascii="Times New Roman" w:eastAsia="Times New Roman" w:hAnsi="Times New Roman" w:cs="Times New Roman"/>
          <w:kern w:val="0"/>
        </w:rPr>
        <w:fldChar w:fldCharType="begin"/>
      </w:r>
      <w:r w:rsidR="00691FFA">
        <w:rPr>
          <w:rFonts w:ascii="Times New Roman" w:eastAsia="Times New Roman" w:hAnsi="Times New Roman" w:cs="Times New Roman"/>
          <w:kern w:val="0"/>
        </w:rPr>
        <w:instrText xml:space="preserve"> ADDIN ZOTERO_ITEM CSL_CITATION {"citationID":"YiVXjGyt","properties":{"formattedCitation":"[41]","plainCitation":"[41]","noteIndex":0},"citationItems":[{"id":13003,"uris":["http://zotero.org/users/16652950/items/2ATN7YD8"],"itemData":{"id":13003,"type":"article-journal","abstract":"Digitalisation in agriculture is transforming the way farming is practised worldwide, and its potential benefits for smallholder farmers in sub-Saharan Africa (SSA) are particularly promising. Yet, scientific evidence on the digital technologies utilised by smallholder food producers in SSA and the associated challenges still needs improvement. This review attempts to provide a thorough overview of the technologies currently being employed by smallholder farmers in SSA while also exploring the associated challenges and opportunities. Through a systematic literature search, 27 relevant studies were analysed to identify the region-wise current technologies, challenges, and opportunities. Results show that various digital technologies are employed, including digital extension services and digital marketing of agricultural products. These technologies improve access to information and markets and enhance productivity. However, challenges hinder widespread adoption. Limited internet connectivity, low digital literacy, inadequate infrastructure, and affordability issues impede progress. Gender disparities further limit the equitable distribution of digitalisation benefits. Despite these challenges, significant opportunities arise from adopting digital technologies. The potential advantages are market access, better decision-making capabilities, and increased income and livelihoods. Digitalisation offers transformative possibilities for smallholder farmers in SSA. Overcoming barriers such as limited connectivity and low digital literacy is crucial. By harnessing the opportunities digital technologies can offer, the livelihoods of smallholder farmers can be uplifted, contributing to the growth of agriculture in SSA.","container-title":"Journal of Agriculture and Food Research","DOI":"10.1016/j.jafr.2024.101286","ISSN":"2666-1543","journalAbbreviation":"Journal of Agriculture and Food Research","page":"101286","source":"ScienceDirect","title":"Digitalisation in agriculture: A scoping review of technologies in practice, challenges, and opportunities for smallholder farmers in sub-saharan africa","title-short":"Digitalisation in agriculture","volume":"18","author":[{"family":"Choruma","given":"Dennis Junior"},{"family":"Dirwai","given":"Tinashe Lindel"},{"family":"Mutenje","given":"Munyaradzi Junia"},{"family":"Mustafa","given":"Maysoun"},{"family":"Chimonyo","given":"Vimbayi Grace Petrova"},{"family":"Jacobs-Mata","given":"Inga"},{"family":"Mabhaudhi","given":"Tafadzwanashe"}],"issued":{"date-parts":[["2024",12,1]]}}}],"schema":"https://github.com/citation-style-language/schema/raw/master/csl-citation.json"} </w:instrText>
      </w:r>
      <w:r w:rsidR="009C0FDA">
        <w:rPr>
          <w:rFonts w:ascii="Times New Roman" w:eastAsia="Times New Roman" w:hAnsi="Times New Roman" w:cs="Times New Roman"/>
          <w:kern w:val="0"/>
        </w:rPr>
        <w:fldChar w:fldCharType="separate"/>
      </w:r>
      <w:r w:rsidR="00691FFA" w:rsidRPr="00691FFA">
        <w:rPr>
          <w:rFonts w:ascii="Times New Roman" w:hAnsi="Times New Roman" w:cs="Times New Roman"/>
        </w:rPr>
        <w:t>[41]</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5798F462"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Third, </w:t>
      </w:r>
      <w:r w:rsidRPr="003F0B06">
        <w:rPr>
          <w:rFonts w:ascii="Times New Roman" w:eastAsia="Times New Roman" w:hAnsi="Times New Roman" w:cs="Times New Roman"/>
          <w:b/>
          <w:bCs/>
          <w:kern w:val="0"/>
        </w:rPr>
        <w:t>data scarcity</w:t>
      </w:r>
      <w:r w:rsidRPr="003F0B06">
        <w:rPr>
          <w:rFonts w:ascii="Times New Roman" w:eastAsia="Times New Roman" w:hAnsi="Times New Roman" w:cs="Times New Roman"/>
          <w:kern w:val="0"/>
        </w:rPr>
        <w:t xml:space="preserve"> presents a fundamental technological constraint. Fewer than </w:t>
      </w:r>
      <w:r w:rsidRPr="003F0B06">
        <w:rPr>
          <w:rFonts w:ascii="Times New Roman" w:eastAsia="Times New Roman" w:hAnsi="Times New Roman" w:cs="Times New Roman"/>
          <w:b/>
          <w:bCs/>
          <w:kern w:val="0"/>
        </w:rPr>
        <w:t>five publicly available, localized agricultural datasets</w:t>
      </w:r>
      <w:r w:rsidRPr="003F0B06">
        <w:rPr>
          <w:rFonts w:ascii="Times New Roman" w:eastAsia="Times New Roman" w:hAnsi="Times New Roman" w:cs="Times New Roman"/>
          <w:kern w:val="0"/>
        </w:rPr>
        <w:t xml:space="preserve"> exist for training and validating AI models in Ghana, resulting in accuracy degradation of 18–32% when off-t</w:t>
      </w:r>
      <w:r w:rsidR="00B54115">
        <w:rPr>
          <w:rFonts w:ascii="Times New Roman" w:eastAsia="Times New Roman" w:hAnsi="Times New Roman" w:cs="Times New Roman"/>
          <w:kern w:val="0"/>
        </w:rPr>
        <w:t xml:space="preserve">he-shelf models are applied </w:t>
      </w:r>
      <w:r w:rsidR="009C0FDA">
        <w:rPr>
          <w:rFonts w:ascii="Times New Roman" w:eastAsia="Times New Roman" w:hAnsi="Times New Roman" w:cs="Times New Roman"/>
          <w:kern w:val="0"/>
        </w:rPr>
        <w:fldChar w:fldCharType="begin"/>
      </w:r>
      <w:r w:rsidR="00B54115">
        <w:rPr>
          <w:rFonts w:ascii="Times New Roman" w:eastAsia="Times New Roman" w:hAnsi="Times New Roman" w:cs="Times New Roman"/>
          <w:kern w:val="0"/>
        </w:rPr>
        <w:instrText xml:space="preserve"> ADDIN ZOTERO_ITEM CSL_CITATION {"citationID":"egbrK4tp","properties":{"formattedCitation":"[42]","plainCitation":"[42]","noteIndex":0},"citationItems":[{"id":13006,"uris":["http://zotero.org/users/16652950/items/FBXHE73W"],"itemData":{"id":13006,"type":"article-journal","abstract":"AI enhances aquatic resource management by automating species detection, optimizing feed, forecasting water quality, protecting species interactions, ...","container-title":"Big Data and Cognitive Computing","DOI":"10.3390/bdcc10010019","ISSN":"2504-2289","issue":"1","language":"en","license":"http://creativecommons.org/licenses/by/3.0/","note":"Company: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publisher","source":"www.mdpi.com","title":"Applications of Artificial Intelligence in Fisheries: From Data to Decisions","title-short":"Applications of Artificial Intelligence in Fisheries","URL":"https://www.mdpi.com/2504-2289/10/1/19","volume":"10","author":[{"family":"Haque","given":"Syed Ariful"},{"family":"Jufaili","given":"Saud M. Al"}],"accessed":{"date-parts":[["2026",1,7]]},"issued":{"date-parts":[["2026",1,5]]}}}],"schema":"https://github.com/citation-style-language/schema/raw/master/csl-citation.json"} </w:instrText>
      </w:r>
      <w:r w:rsidR="009C0FDA">
        <w:rPr>
          <w:rFonts w:ascii="Times New Roman" w:eastAsia="Times New Roman" w:hAnsi="Times New Roman" w:cs="Times New Roman"/>
          <w:kern w:val="0"/>
        </w:rPr>
        <w:fldChar w:fldCharType="separate"/>
      </w:r>
      <w:r w:rsidR="00B54115" w:rsidRPr="00B54115">
        <w:rPr>
          <w:rFonts w:ascii="Times New Roman" w:hAnsi="Times New Roman" w:cs="Times New Roman"/>
        </w:rPr>
        <w:t>[42]</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This undermines reliability and farmer trust, particularly in early-stage deployments.</w:t>
      </w:r>
    </w:p>
    <w:p w14:paraId="21E4378F"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Finally, </w:t>
      </w:r>
      <w:r w:rsidRPr="003F0B06">
        <w:rPr>
          <w:rFonts w:ascii="Times New Roman" w:eastAsia="Times New Roman" w:hAnsi="Times New Roman" w:cs="Times New Roman"/>
          <w:b/>
          <w:bCs/>
          <w:kern w:val="0"/>
        </w:rPr>
        <w:t>high entry costs</w:t>
      </w:r>
      <w:r w:rsidRPr="003F0B06">
        <w:rPr>
          <w:rFonts w:ascii="Times New Roman" w:eastAsia="Times New Roman" w:hAnsi="Times New Roman" w:cs="Times New Roman"/>
          <w:kern w:val="0"/>
        </w:rPr>
        <w:t xml:space="preserve"> restrict adoption. Basic AI-enabled tools, such as drones or sensor systems, require initial investments exceeding </w:t>
      </w:r>
      <w:r w:rsidRPr="003F0B06">
        <w:rPr>
          <w:rFonts w:ascii="Times New Roman" w:eastAsia="Times New Roman" w:hAnsi="Times New Roman" w:cs="Times New Roman"/>
          <w:b/>
          <w:bCs/>
          <w:kern w:val="0"/>
        </w:rPr>
        <w:t>GHS 15,000</w:t>
      </w:r>
      <w:r w:rsidRPr="003F0B06">
        <w:rPr>
          <w:rFonts w:ascii="Times New Roman" w:eastAsia="Times New Roman" w:hAnsi="Times New Roman" w:cs="Times New Roman"/>
          <w:kern w:val="0"/>
        </w:rPr>
        <w:t xml:space="preserve">, placing them beyond the reach of most smallholders without subsidies or cooperative models </w:t>
      </w:r>
      <w:r w:rsidR="009C0FDA">
        <w:rPr>
          <w:rFonts w:ascii="Times New Roman" w:eastAsia="Times New Roman" w:hAnsi="Times New Roman" w:cs="Times New Roman"/>
          <w:kern w:val="0"/>
        </w:rPr>
        <w:fldChar w:fldCharType="begin"/>
      </w:r>
      <w:r w:rsidR="00B54115">
        <w:rPr>
          <w:rFonts w:ascii="Times New Roman" w:eastAsia="Times New Roman" w:hAnsi="Times New Roman" w:cs="Times New Roman"/>
          <w:kern w:val="0"/>
        </w:rPr>
        <w:instrText xml:space="preserve"> ADDIN ZOTERO_ITEM CSL_CITATION {"citationID":"sWN1b2Rw","properties":{"formattedCitation":"[43]","plainCitation":"[43]","noteIndex":0},"citationItems":[{"id":13008,"uris":["http://zotero.org/users/16652950/items/PYRSLUFC"],"itemData":{"id":13008,"type":"article-journal","abstract":"Enormous Literature indicates that agriculture remains a source of livelihood for about 86% of rural people and generates job opportunities for approx...","container-title":"Agriculture","DOI":"10.3390/agriculture12111760","ISSN":"2077-0472","issue":"11","language":"en","license":"http://creativecommons.org/licenses/by/3.0/","note":"Company: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Government Agricultural Development Support on Agricultural Income, Production and Food Security of Beneficiary Small-Scale Farmers in South Africa","URL":"https://www.mdpi.com/2077-0472/12/11/1760","volume":"12","author":[{"family":"Mokgomo","given":"Mahlako Nthabeleng"},{"family":"Chagwiza","given":"Clarietta"},{"family":"Tshilowa","given":"Phathutshedzo Fancy"},{"family":"Mokgomo","given":"Mahlako Nthabeleng"},{"family":"Chagwiza","given":"Clarietta"},{"family":"Tshilowa","given":"Phathutshedzo Fancy"}],"accessed":{"date-parts":[["2026",1,7]]},"issued":{"date-parts":[["2022",10,24]]}}}],"schema":"https://github.com/citation-style-language/schema/raw/master/csl-citation.json"} </w:instrText>
      </w:r>
      <w:r w:rsidR="009C0FDA">
        <w:rPr>
          <w:rFonts w:ascii="Times New Roman" w:eastAsia="Times New Roman" w:hAnsi="Times New Roman" w:cs="Times New Roman"/>
          <w:kern w:val="0"/>
        </w:rPr>
        <w:fldChar w:fldCharType="separate"/>
      </w:r>
      <w:r w:rsidR="00B54115" w:rsidRPr="00B54115">
        <w:rPr>
          <w:rFonts w:ascii="Times New Roman" w:hAnsi="Times New Roman" w:cs="Times New Roman"/>
        </w:rPr>
        <w:t>[43]</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These constraints explain why empirically successful pilots have not transitioned into nationally scaled systems.</w:t>
      </w:r>
    </w:p>
    <w:p w14:paraId="4B342843"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4.3 Ethical and Equity Considerations</w:t>
      </w:r>
    </w:p>
    <w:p w14:paraId="2AF97ED6"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Beyond structural barriers, the expansion of AI in agriculture raises important </w:t>
      </w:r>
      <w:r w:rsidRPr="003F0B06">
        <w:rPr>
          <w:rFonts w:ascii="Times New Roman" w:eastAsia="Times New Roman" w:hAnsi="Times New Roman" w:cs="Times New Roman"/>
          <w:b/>
          <w:bCs/>
          <w:kern w:val="0"/>
        </w:rPr>
        <w:t>ethical and equity considerations</w:t>
      </w:r>
      <w:r w:rsidRPr="003F0B06">
        <w:rPr>
          <w:rFonts w:ascii="Times New Roman" w:eastAsia="Times New Roman" w:hAnsi="Times New Roman" w:cs="Times New Roman"/>
          <w:kern w:val="0"/>
        </w:rPr>
        <w:t>. Data ownership and privacy remain central concerns, as AI systems depend on extensive farm-level and personal data. Without robust governance frameworks, farmers risk losing control over data generated from thei</w:t>
      </w:r>
      <w:r w:rsidR="0036552A">
        <w:rPr>
          <w:rFonts w:ascii="Times New Roman" w:eastAsia="Times New Roman" w:hAnsi="Times New Roman" w:cs="Times New Roman"/>
          <w:kern w:val="0"/>
        </w:rPr>
        <w:t>r own production activities</w:t>
      </w:r>
      <w:r w:rsidR="009C0FDA">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{"citationID":"UJVcV9R0","properties":{"formattedCitation":"[9]","plainCitation":"[9]","noteIndex":0},"citationItems":[{"id":12032,"uris":["http://zotero.org/users/16652950/items/HPFSGRMU"],"itemData":{"id":12032,"type":"article-journal","abstract":"The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36552A" w:rsidRPr="0036552A">
        <w:rPr>
          <w:rFonts w:ascii="Times New Roman" w:hAnsi="Times New Roman" w:cs="Times New Roman"/>
        </w:rPr>
        <w:t>[9]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4083B22E"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Algorithmic bias represents a second ethical challenge. AI models trained on non-representative datasets may underperform for women farmers, marginal agroecological zones, or minority farming systems, thereby reinforcing existing inequalities</w:t>
      </w:r>
      <w:r w:rsidR="009C0FDA">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{"citationID":"Cfp0Chd5","properties":{"formattedCitation":"[35]","plainCitation":"[35]","noteIndex":0},"citationItems":[{"id":12019,"uris":["http://zotero.org/users/16652950/items/9VSP8DGD"],"itemData":{"id":12019,"type":"article-journal","abstract":"The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9C0FDA">
        <w:rPr>
          <w:rFonts w:ascii="Times New Roman" w:eastAsia="Times New Roman" w:hAnsi="Times New Roman" w:cs="Times New Roman"/>
          <w:kern w:val="0"/>
        </w:rPr>
        <w:fldChar w:fldCharType="separate"/>
      </w:r>
      <w:r w:rsidR="0036552A" w:rsidRPr="0036552A">
        <w:rPr>
          <w:rFonts w:ascii="Times New Roman" w:hAnsi="Times New Roman" w:cs="Times New Roman"/>
        </w:rPr>
        <w:t>[35]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Given the dominance of smallholder and informal production systems in Ghana, inclusive dataset development is essential to prevent exclusionary outcomes.</w:t>
      </w:r>
    </w:p>
    <w:p w14:paraId="175771C5"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Equity considerations are particularly salient for </w:t>
      </w:r>
      <w:r w:rsidRPr="003F0B06">
        <w:rPr>
          <w:rFonts w:ascii="Times New Roman" w:eastAsia="Times New Roman" w:hAnsi="Times New Roman" w:cs="Times New Roman"/>
          <w:b/>
          <w:bCs/>
          <w:kern w:val="0"/>
        </w:rPr>
        <w:t>women and marginalized farmers</w:t>
      </w:r>
      <w:r w:rsidRPr="003F0B06">
        <w:rPr>
          <w:rFonts w:ascii="Times New Roman" w:eastAsia="Times New Roman" w:hAnsi="Times New Roman" w:cs="Times New Roman"/>
          <w:kern w:val="0"/>
        </w:rPr>
        <w:t>, who often face disproportionate barriers to digital access, credit, and training</w:t>
      </w:r>
      <w:r w:rsidR="009C0FDA">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{"citationID":"RVfd1tif","properties":{"formattedCitation":"[44]","plainCitation":"[44]","noteIndex":0},"citationItems":[{"id":13010,"uris":["http://zotero.org/users/16652950/items/BQ9YAJPW"],"itemData":{"id":13010,"type":"article-journal","abstract":"This paper will examine the social and ethical impacts of using artificial intelligence (AI) in the agricultural sector. It will identify what are some of the most prevalent challenges and impacts identified in the literature, how this correlates with those discussed in the domain of AI ethics, and are being implemented into AI ethics guidelines. This will be achieved by examining published articles and conference proceedings that focus on societal or ethical impacts of AI in the agri-food sector, through a thematic analysis of the literature. The thematic analysis will be divided based on the classifications outlined through 11 overarching principles, from an established lexicon (transparency, justice and fairness, non-maleficence, responsibility, privacy, beneficence, freedom and autonomy, trust, dignity, sustainability, and solidarity). While research on AI agriculture is still relatively new, this paper aims to map the debate and illustrate what the literature says in the context of social and ethical impacts. It aim is to analyse these impacts, based on these 11 principles. This research will contrast which impacts are not being discussed in agricultural AI and which issues are not being discussed in AI ethics guidelines, but which are discussed in relation to agricultural AI. The aim of this is to identify gaps within the agricultural literature, and gaps in AI ethics guidelines, that may need to be addressed.","container-title":"AI &amp; SOCIETY","DOI":"10.1007/s00146-021-01377-9","ISSN":"1435-5655","issue":"6","journalAbbreviation":"AI &amp; Soc","language":"en","page":"2473-2485","source":"Springer Link","title":"The social and ethical impacts of artificial intelligence in agriculture: mapping the agricultural AI literature","title-short":"The social and ethical impacts of artificial intelligence in agriculture","volume":"38","author":[{"family":"Ryan","given":"Mark"}],"issued":{"date-parts":[["2023",12,1]]}}}],"schema":"https://github.com/citation-style-language/schema/raw/master/csl-citation.json"} </w:instrText>
      </w:r>
      <w:r w:rsidR="009C0FDA">
        <w:rPr>
          <w:rFonts w:ascii="Times New Roman" w:eastAsia="Times New Roman" w:hAnsi="Times New Roman" w:cs="Times New Roman"/>
          <w:kern w:val="0"/>
        </w:rPr>
        <w:fldChar w:fldCharType="separate"/>
      </w:r>
      <w:r w:rsidR="0036552A" w:rsidRPr="0036552A">
        <w:rPr>
          <w:rFonts w:ascii="Times New Roman" w:hAnsi="Times New Roman" w:cs="Times New Roman"/>
        </w:rPr>
        <w:t>[44]</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Without deliberate inclusion strategies, AI adoption risks deepening the digital divide rather than promoting inclusive agricultural transformation.</w:t>
      </w:r>
    </w:p>
    <w:p w14:paraId="10B44AFE" w14:textId="77777777"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4.4 Implications for the Sustainable Development Goals</w:t>
      </w:r>
    </w:p>
    <w:p w14:paraId="6FAD9D21"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lastRenderedPageBreak/>
        <w:t xml:space="preserve">The findings of this review have direct implications for multiple </w:t>
      </w:r>
      <w:r w:rsidRPr="003F0B06">
        <w:rPr>
          <w:rFonts w:ascii="Times New Roman" w:eastAsia="Times New Roman" w:hAnsi="Times New Roman" w:cs="Times New Roman"/>
          <w:b/>
          <w:bCs/>
          <w:kern w:val="0"/>
        </w:rPr>
        <w:t>Sustainable Development Goals (SDGs)</w:t>
      </w:r>
      <w:r w:rsidRPr="003F0B06">
        <w:rPr>
          <w:rFonts w:ascii="Times New Roman" w:eastAsia="Times New Roman" w:hAnsi="Times New Roman" w:cs="Times New Roman"/>
          <w:kern w:val="0"/>
        </w:rPr>
        <w:t xml:space="preserve">. Productivity gains and post-harvest loss reductions contribute directly to </w:t>
      </w:r>
      <w:r w:rsidRPr="003F0B06">
        <w:rPr>
          <w:rFonts w:ascii="Times New Roman" w:eastAsia="Times New Roman" w:hAnsi="Times New Roman" w:cs="Times New Roman"/>
          <w:b/>
          <w:bCs/>
          <w:kern w:val="0"/>
        </w:rPr>
        <w:t>SDG 2 (Zero Hunger)</w:t>
      </w:r>
      <w:r w:rsidRPr="003F0B06">
        <w:rPr>
          <w:rFonts w:ascii="Times New Roman" w:eastAsia="Times New Roman" w:hAnsi="Times New Roman" w:cs="Times New Roman"/>
          <w:kern w:val="0"/>
        </w:rPr>
        <w:t xml:space="preserve"> by enhancing food availability and stability</w:t>
      </w:r>
      <w:r w:rsidR="009C0FDA">
        <w:rPr>
          <w:rFonts w:ascii="Times New Roman" w:eastAsia="Times New Roman" w:hAnsi="Times New Roman" w:cs="Times New Roman"/>
          <w:kern w:val="0"/>
        </w:rPr>
        <w:fldChar w:fldCharType="begin"/>
      </w:r>
      <w:r w:rsidR="00193FEC">
        <w:rPr>
          <w:rFonts w:ascii="Times New Roman" w:eastAsia="Times New Roman" w:hAnsi="Times New Roman" w:cs="Times New Roman"/>
          <w:kern w:val="0"/>
        </w:rPr>
        <w:instrText xml:space="preserve"> ADDIN ZOTERO_ITEM CSL_CITATION {"citationID":"8oj2kxQN","properties":{"formattedCitation":"[45]","plainCitation":"[45]","noteIndex":0},"citationItems":[{"id":13012,"uris":["http://zotero.org/users/16652950/items/FHWWS5EJ"],"itemData":{"id":13012,"type":"article-journal","abstract":"The major sustainability concern is food waste, which might be minimized by more effective redistribution of surplus food, supply chain waste management, and sustainable food management. Due to technological and infrastructure issues that require technology application at a wide scale with minimal environmental impact, food waste and food loss occur at all levels of the supply chain. Strategies for food redistribution, recovery, and reuse provide the economy with extra by-products and financial advantages. Because of the complicated relationships between distributors and suppliers, contractual obligations, inaccurate food demand forecasts, and food standards, changing consumption and production patterns at the industry and market levels is difficult. Based on this the objective of the review was to discuss the strategies for reducing food waste and achieving sustainable development goals and the role of different actors in reducing food wastage and in implementing SDGs. Several Sustainable Development Goals (SDGs), including those related to finishing world hunger (SDG 2), ensuring sustainable agriculture (SDG 2), promoting sustainable economic growth (SDG 8), and combating climate change (SDG 13), among others, have been found to depend on reducing the amount of food that is wasted and have destroyed.","container-title":"Future Foods","DOI":"10.1016/j.fufo.2024.100362","ISSN":"2666-8335","journalAbbreviation":"Future Foods","page":"100362","source":"ScienceDirect","title":"Sustainable development goals through reducing food loss and food waste: A comprehensive review","title-short":"Sustainable development goals through reducing food loss and food waste","volume":"9","author":[{"family":"Manzoor","given":"Sobiya"},{"family":"Fayaz","given":"Ufaq"},{"family":"Dar","given":"Aamir Hussain"},{"family":"Dash","given":"Kshirod Kumar"},{"family":"Shams","given":"Rafeeya"},{"family":"Bashir","given":"Iqra"},{"family":"Pandey","given":"Vinay Kumar"},{"family":"Abdi","given":"Gholamerazi"}],"issued":{"date-parts":[["2024",6,1]]}}}],"schema":"https://github.com/citation-style-language/schema/raw/master/csl-citation.json"} </w:instrText>
      </w:r>
      <w:r w:rsidR="009C0FDA">
        <w:rPr>
          <w:rFonts w:ascii="Times New Roman" w:eastAsia="Times New Roman" w:hAnsi="Times New Roman" w:cs="Times New Roman"/>
          <w:kern w:val="0"/>
        </w:rPr>
        <w:fldChar w:fldCharType="separate"/>
      </w:r>
      <w:r w:rsidR="00193FEC" w:rsidRPr="00193FEC">
        <w:rPr>
          <w:rFonts w:ascii="Times New Roman" w:hAnsi="Times New Roman" w:cs="Times New Roman"/>
        </w:rPr>
        <w:t>[45]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AI-driven weather forecasting and climate analytics support </w:t>
      </w:r>
      <w:r w:rsidRPr="003F0B06">
        <w:rPr>
          <w:rFonts w:ascii="Times New Roman" w:eastAsia="Times New Roman" w:hAnsi="Times New Roman" w:cs="Times New Roman"/>
          <w:b/>
          <w:bCs/>
          <w:kern w:val="0"/>
        </w:rPr>
        <w:t>SDG 13 (Climate Action)</w:t>
      </w:r>
      <w:r w:rsidRPr="003F0B06">
        <w:rPr>
          <w:rFonts w:ascii="Times New Roman" w:eastAsia="Times New Roman" w:hAnsi="Times New Roman" w:cs="Times New Roman"/>
          <w:kern w:val="0"/>
        </w:rPr>
        <w:t xml:space="preserve"> by strengthening adaptive capacity and reducing climate-related agricultural risk</w:t>
      </w:r>
      <w:r w:rsidR="009C0FDA">
        <w:rPr>
          <w:rFonts w:ascii="Times New Roman" w:eastAsia="Times New Roman" w:hAnsi="Times New Roman" w:cs="Times New Roman"/>
          <w:kern w:val="0"/>
        </w:rPr>
        <w:fldChar w:fldCharType="begin"/>
      </w:r>
      <w:r w:rsidR="00193FEC">
        <w:rPr>
          <w:rFonts w:ascii="Times New Roman" w:eastAsia="Times New Roman" w:hAnsi="Times New Roman" w:cs="Times New Roman"/>
          <w:kern w:val="0"/>
        </w:rPr>
        <w:instrText xml:space="preserve"> ADDIN ZOTERO_ITEM CSL_CITATION {"citationID":"4Q3ujA6V","properties":{"formattedCitation":"[46]","plainCitation":"[46]","noteIndex":0},"citationItems":[{"id":13017,"uris":["http://zotero.org/users/16652950/items/7H739DNC"],"itemData":{"id":13017,"type":"article-journal","abstract":"Countries have pledged commitment to the 2030 Sustainable Development Goal (SDGs) and the Paris Agreement to combat climate change. To maximize synergies between SDGs and climate actions (CAs), we evaluate the alignment of national commitment to SDGs and emissions reduction targets by comparing action plans embodied in Voluntary National Review (VNR) reports and the Nationally Determined Contributions (NDCs) across 67 countries. An Artificial Intelligence (AI)-based approach is proposed in this study to explore the interconnectedness by applying machine learning classifier and natural language processing. Middle- and low-income countries with high emissions tend to have low NDC targets and contain similar information in VNR reports. High-income countries show less alignment between their NDCs and VNRs. The economic status of countries is found to be connected to their climate actions and SDGs alignment. Here, we demonstrate utility and promise in using AI techniques to unravel interactions between CA and SDG.","container-title":"Nature Communications","DOI":"10.1038/s41467-024-53956-1","ISSN":"2041-1723","issue":"1","journalAbbreviation":"Nat Commun","language":"en","license":"2025 The Author(s)","note":"publisher: Nature Publishing Group","page":"1228","source":"www.nature.com","title":"Artificial Intelligence (AI)-driven approach to climate action and sustainable development","volume":"16","author":[{"family":"Cho","given":"Haein"},{"family":"Ackom","given":"Emmanuel"}],"issued":{"date-parts":[["2025",1,31]]}}}],"schema":"https://github.com/citation-style-language/schema/raw/master/csl-citation.json"} </w:instrText>
      </w:r>
      <w:r w:rsidR="009C0FDA">
        <w:rPr>
          <w:rFonts w:ascii="Times New Roman" w:eastAsia="Times New Roman" w:hAnsi="Times New Roman" w:cs="Times New Roman"/>
          <w:kern w:val="0"/>
        </w:rPr>
        <w:fldChar w:fldCharType="separate"/>
      </w:r>
      <w:r w:rsidR="00193FEC" w:rsidRPr="00193FEC">
        <w:rPr>
          <w:rFonts w:ascii="Times New Roman" w:hAnsi="Times New Roman" w:cs="Times New Roman"/>
        </w:rPr>
        <w:t>[46]</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14:paraId="7271F74B" w14:textId="77777777"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At the livelihood level, income gains, financial inclusion, and reduced livestock mortality align with </w:t>
      </w:r>
      <w:r w:rsidRPr="003F0B06">
        <w:rPr>
          <w:rFonts w:ascii="Times New Roman" w:eastAsia="Times New Roman" w:hAnsi="Times New Roman" w:cs="Times New Roman"/>
          <w:b/>
          <w:bCs/>
          <w:kern w:val="0"/>
        </w:rPr>
        <w:t>SDG 1 (No Poverty)</w:t>
      </w:r>
      <w:r w:rsidRPr="003F0B06">
        <w:rPr>
          <w:rFonts w:ascii="Times New Roman" w:eastAsia="Times New Roman" w:hAnsi="Times New Roman" w:cs="Times New Roman"/>
          <w:kern w:val="0"/>
        </w:rPr>
        <w:t xml:space="preserve"> and </w:t>
      </w:r>
      <w:r w:rsidRPr="003F0B06">
        <w:rPr>
          <w:rFonts w:ascii="Times New Roman" w:eastAsia="Times New Roman" w:hAnsi="Times New Roman" w:cs="Times New Roman"/>
          <w:b/>
          <w:bCs/>
          <w:kern w:val="0"/>
        </w:rPr>
        <w:t>SDG 8 (Decent Work and Economic Growth)</w:t>
      </w:r>
      <w:r w:rsidRPr="003F0B06">
        <w:rPr>
          <w:rFonts w:ascii="Times New Roman" w:eastAsia="Times New Roman" w:hAnsi="Times New Roman" w:cs="Times New Roman"/>
          <w:kern w:val="0"/>
        </w:rPr>
        <w:t xml:space="preserve"> by improving income stability and resilience among rural households</w:t>
      </w:r>
      <w:r w:rsidR="009C0FDA">
        <w:rPr>
          <w:rFonts w:ascii="Times New Roman" w:eastAsia="Times New Roman" w:hAnsi="Times New Roman" w:cs="Times New Roman"/>
          <w:kern w:val="0"/>
        </w:rPr>
        <w:fldChar w:fldCharType="begin"/>
      </w:r>
      <w:r w:rsidR="00E3497A">
        <w:rPr>
          <w:rFonts w:ascii="Times New Roman" w:eastAsia="Times New Roman" w:hAnsi="Times New Roman" w:cs="Times New Roman"/>
          <w:kern w:val="0"/>
        </w:rPr>
        <w:instrText xml:space="preserve"> ADDIN ZOTERO_ITEM CSL_CITATION {"citationID":"jHQV3pfq","properties":{"formattedCitation":"[47]","plainCitation":"[47]","noteIndex":0},"citationItems":[{"id":13019,"uris":["http://zotero.org/users/16652950/items/P9BKMDA7"],"itemData":{"id":13019,"type":"chapter","abstract":"This chapter assesses the potential impact of SDG 8 on forests and forest-dependent people. The conceptual framework puts decent work and economic growth in the context of predominant development theories and paradigms (modernisation, growth, basic needs, sustainable development) shaping the agendas of governments, the private sector, civil society and investors. These stakeholders pursue different goals and interests, with uneven prioritisation of SDG 8 targets and mixed impacts on forests and livelihoods. At the country level, significant trade-offs are expected where growth policies and strategies focus on sectors competing with forestry for space and resources, such as agriculture, energy and mining. In these cases, decoupling economic growth from environmental degradation will be a major challenge. Combined, such policies and strategies lead to global trade-offs by exacerbating climate change. Synergies between SDG 8 and forests exist where growth is explicitly sought in the forest sector, focusing on tree plantations, timber and NTFPs from natural forests, eco-tourism and environmental services. Enhanced enabling environments help minimise trade-offs and maximise synergies by reconciling government policies and private sustainability standards, formalising community stewardship of tropical forests, addressing informality in forest product value chains and providing incentives for youth to become involved in forest-based economic activities.","container-title":"Sustainable Development Goals: Their Impacts on Forests and People","event-place":"Cambridge","ISBN":"978-1-108-48699-6","page":"237-278","publisher":"Cambridge University Press","publisher-place":"Cambridge","source":"Cambridge University Press","title":"SDG 8: Decent Work and Economic Growth – Potential Impacts on Forests and Forest-Dependent Livelihoods","title-short":"SDG 8","URL":"https://www.cambridge.org/core/books/sustainable-development-goals-their-impacts-on-forests-and-people/sdg-8-decent-work-and-economic-growth-potential-impacts-on-forests-and-forestdependent-livelihoods/C881A1CC4EE9BFB1F92BF2244D631F7A","editor":[{"family":"Pierce Colfer","given":"Carol J."},{"family":"Winkel","given":"Georg"},{"family":"Galloway","given":"Glenn"},{"family":"Pacheco","given":"Pablo"},{"family":"Katila","given":"Pia"},{"family":"Jong","given":"Wil","non-dropping-particle":"de"}],"author":[{"family":"Stoian","given":"Dietmar"},{"family":"Monterroso","given":"Iliana"},{"family":"Current","given":"Dean"}],"accessed":{"date-parts":[["2026",1,7]]},"issued":{"date-parts":[["2019"]]}}}],"schema":"https://github.com/citation-style-language/schema/raw/master/csl-citation.json"} </w:instrText>
      </w:r>
      <w:r w:rsidR="009C0FDA">
        <w:rPr>
          <w:rFonts w:ascii="Times New Roman" w:eastAsia="Times New Roman" w:hAnsi="Times New Roman" w:cs="Times New Roman"/>
          <w:kern w:val="0"/>
        </w:rPr>
        <w:fldChar w:fldCharType="separate"/>
      </w:r>
      <w:r w:rsidR="00E3497A" w:rsidRPr="00E3497A">
        <w:rPr>
          <w:rFonts w:ascii="Times New Roman" w:hAnsi="Times New Roman" w:cs="Times New Roman"/>
        </w:rPr>
        <w:t>[47]</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However, realizing these contributions at scale will depend on addressing the institutional, infrastructural, and ethical barriers identified in this review.</w:t>
      </w:r>
    </w:p>
    <w:p w14:paraId="1928DF46" w14:textId="77777777" w:rsid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Collectively, the evidence suggests that AI can serve as a powerful enabler of sustainable agricultural development in Ghana, but only if embedded within inclusive policy frameworks that prioritize accessibility, data governance, and capacity building.</w:t>
      </w:r>
    </w:p>
    <w:p w14:paraId="500A50FA" w14:textId="77777777" w:rsidR="0044608C" w:rsidRDefault="0044608C" w:rsidP="003F0B06">
      <w:pPr>
        <w:spacing w:before="100" w:beforeAutospacing="1" w:after="100" w:afterAutospacing="1" w:line="240" w:lineRule="auto"/>
        <w:rPr>
          <w:rFonts w:ascii="Times New Roman" w:eastAsia="Times New Roman" w:hAnsi="Times New Roman" w:cs="Times New Roman"/>
          <w:kern w:val="0"/>
        </w:rPr>
      </w:pPr>
    </w:p>
    <w:p w14:paraId="36D16AC7" w14:textId="77777777" w:rsidR="0044608C" w:rsidRPr="0044608C" w:rsidRDefault="0044608C" w:rsidP="0044608C">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5. Policy Implications and Recommendations</w:t>
      </w:r>
    </w:p>
    <w:p w14:paraId="1AFA139C" w14:textId="77777777"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5.1 National-Level Policy Needs: Toward an AI-in-Agriculture Framework</w:t>
      </w:r>
    </w:p>
    <w:p w14:paraId="06CF0DCF"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The synthesized evidence indicates that while AI applications in Ghanaian agriculture are technically validated, their large-scale deployment remains institutionally fragmented. This underscores the need for a </w:t>
      </w:r>
      <w:r w:rsidRPr="0044608C">
        <w:rPr>
          <w:rFonts w:ascii="Times New Roman" w:eastAsia="Times New Roman" w:hAnsi="Times New Roman" w:cs="Times New Roman"/>
          <w:b/>
          <w:bCs/>
          <w:kern w:val="0"/>
        </w:rPr>
        <w:t>coherent national AI-in-Agriculture Policy Framework</w:t>
      </w:r>
      <w:r w:rsidRPr="0044608C">
        <w:rPr>
          <w:rFonts w:ascii="Times New Roman" w:eastAsia="Times New Roman" w:hAnsi="Times New Roman" w:cs="Times New Roman"/>
          <w:kern w:val="0"/>
        </w:rPr>
        <w:t xml:space="preserve"> to coordinate investments, standards, and stakeholder roles. Existing digital agriculture initiatives remain largely project-based, limiting continuity and scalability</w:t>
      </w:r>
      <w:r w:rsidR="009C0FDA">
        <w:rPr>
          <w:rFonts w:ascii="Times New Roman" w:eastAsia="Times New Roman" w:hAnsi="Times New Roman" w:cs="Times New Roman"/>
          <w:kern w:val="0"/>
        </w:rPr>
        <w:fldChar w:fldCharType="begin"/>
      </w:r>
      <w:r w:rsidR="00E3497A">
        <w:rPr>
          <w:rFonts w:ascii="Times New Roman" w:eastAsia="Times New Roman" w:hAnsi="Times New Roman" w:cs="Times New Roman"/>
          <w:kern w:val="0"/>
        </w:rPr>
        <w:instrText xml:space="preserve"> ADDIN ZOTERO_ITEM CSL_CITATION {"citationID":"bFd2g0Ea","properties":{"formattedCitation":"[18,48]","plainCitation":"[18,48]","noteIndex":0},"citationItems":[{"id":12950,"uris":["http://zotero.org/users/16652950/items/YEIH7NF7"],"itemData":{"id":12950,"type":"article-journal","abstract":"Integrating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id":13021,"uris":["http://zotero.org/users/16652950/items/SL7M6CWV"],"itemData":{"id":13021,"type":"article-journal","abstract":"Artificial Intelligence (AI) holds significant potential to enhance sustainable non-chemical agricultural methods (NCAM) by optimising resource manage...","container-title":"Sustainability","DOI":"10.3390/su17198865","ISSN":"2071-1050","issue":"19","language":"en","license":"http://creativecommons.org/licenses/by/3.0/","note":"Company: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Adoption in Non-Chemical Agriculture: An Integrated Mechanism for Sustainable Practices","title-short":"Artificial Intelligence Adoption in Non-Chemical Agriculture","URL":"https://www.mdpi.com/2071-1050/17/19/8865","volume":"17","author":[{"family":"Amalan","given":"Arokiaraj A."},{"family":"Aram","given":"I. Arul"}],"accessed":{"date-parts":[["2026",1,7]]},"issued":{"date-parts":[["2025",10,4]]}}}],"schema":"https://github.com/citation-style-language/schema/raw/master/csl-citation.json"} </w:instrText>
      </w:r>
      <w:r w:rsidR="009C0FDA">
        <w:rPr>
          <w:rFonts w:ascii="Times New Roman" w:eastAsia="Times New Roman" w:hAnsi="Times New Roman" w:cs="Times New Roman"/>
          <w:kern w:val="0"/>
        </w:rPr>
        <w:fldChar w:fldCharType="separate"/>
      </w:r>
      <w:r w:rsidR="00E3497A" w:rsidRPr="00E3497A">
        <w:rPr>
          <w:rFonts w:ascii="Times New Roman" w:hAnsi="Times New Roman" w:cs="Times New Roman"/>
        </w:rPr>
        <w:t>[18,48]</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14:paraId="50517246"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A national framework should articulate clear priorities for AI deployment across production, climate services, markets, and finance, while aligning with Ghana’s broader digitalization and agricultural transformation agendas</w:t>
      </w:r>
      <w:r w:rsidR="009C0FDA">
        <w:rPr>
          <w:rFonts w:ascii="Times New Roman" w:eastAsia="Times New Roman" w:hAnsi="Times New Roman" w:cs="Times New Roman"/>
          <w:kern w:val="0"/>
        </w:rPr>
        <w:fldChar w:fldCharType="begin"/>
      </w:r>
      <w:r w:rsidR="0013417D">
        <w:rPr>
          <w:rFonts w:ascii="Times New Roman" w:eastAsia="Times New Roman" w:hAnsi="Times New Roman" w:cs="Times New Roman"/>
          <w:kern w:val="0"/>
        </w:rPr>
        <w:instrText xml:space="preserve"> ADDIN ZOTERO_ITEM CSL_CITATION {"citationID":"bLlhhgVC","properties":{"formattedCitation":"[10]","plainCitation":"[10]","noteIndex":0},"citationItems":[{"id":12938,"uris":["http://zotero.org/users/16652950/items/QVDFTPKB"],"itemData":{"id":12938,"type":"article-journal","abstract":"Artificial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13417D" w:rsidRPr="0013417D">
        <w:rPr>
          <w:rFonts w:ascii="Times New Roman" w:hAnsi="Times New Roman" w:cs="Times New Roman"/>
        </w:rPr>
        <w:t>[10]</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Such a framework would provide regulatory clarity, reduce duplication of pilot initiatives, and create predictable conditions for private-sector and donor investment.</w:t>
      </w:r>
    </w:p>
    <w:p w14:paraId="5F99CA7C" w14:textId="77777777"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5.2 Infrastructure and Data Investments</w:t>
      </w:r>
    </w:p>
    <w:p w14:paraId="29F9D5D5" w14:textId="77777777"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Rural Connectivity</w:t>
      </w:r>
    </w:p>
    <w:p w14:paraId="708D1D99"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Empirical evidence consistently identifies </w:t>
      </w:r>
      <w:r w:rsidRPr="0044608C">
        <w:rPr>
          <w:rFonts w:ascii="Times New Roman" w:eastAsia="Times New Roman" w:hAnsi="Times New Roman" w:cs="Times New Roman"/>
          <w:b/>
          <w:bCs/>
          <w:kern w:val="0"/>
        </w:rPr>
        <w:t>limited rural connectivity</w:t>
      </w:r>
      <w:r w:rsidRPr="0044608C">
        <w:rPr>
          <w:rFonts w:ascii="Times New Roman" w:eastAsia="Times New Roman" w:hAnsi="Times New Roman" w:cs="Times New Roman"/>
          <w:kern w:val="0"/>
        </w:rPr>
        <w:t xml:space="preserve"> as a primary bottleneck to AI adoption, with mobile network coverage below </w:t>
      </w:r>
      <w:r w:rsidRPr="0044608C">
        <w:rPr>
          <w:rFonts w:ascii="Times New Roman" w:eastAsia="Times New Roman" w:hAnsi="Times New Roman" w:cs="Times New Roman"/>
          <w:b/>
          <w:bCs/>
          <w:kern w:val="0"/>
        </w:rPr>
        <w:t>30%</w:t>
      </w:r>
      <w:r w:rsidRPr="0044608C">
        <w:rPr>
          <w:rFonts w:ascii="Times New Roman" w:eastAsia="Times New Roman" w:hAnsi="Times New Roman" w:cs="Times New Roman"/>
          <w:kern w:val="0"/>
        </w:rPr>
        <w:t xml:space="preserve"> in </w:t>
      </w:r>
      <w:r w:rsidR="00830C36">
        <w:rPr>
          <w:rFonts w:ascii="Times New Roman" w:eastAsia="Times New Roman" w:hAnsi="Times New Roman" w:cs="Times New Roman"/>
          <w:kern w:val="0"/>
        </w:rPr>
        <w:t>many agricultural regions</w:t>
      </w:r>
      <w:r w:rsidR="009C0FDA">
        <w:rPr>
          <w:rFonts w:ascii="Times New Roman" w:eastAsia="Times New Roman" w:hAnsi="Times New Roman" w:cs="Times New Roman"/>
          <w:kern w:val="0"/>
        </w:rPr>
        <w:fldChar w:fldCharType="begin"/>
      </w:r>
      <w:r w:rsidR="00830C36">
        <w:rPr>
          <w:rFonts w:ascii="Times New Roman" w:eastAsia="Times New Roman" w:hAnsi="Times New Roman" w:cs="Times New Roman"/>
          <w:kern w:val="0"/>
        </w:rPr>
        <w:instrText xml:space="preserve"> ADDIN ZOTERO_ITEM CSL_CITATION {"citationID":"5yl9oJrA","properties":{"formattedCitation":"[49]","plainCitation":"[49]","noteIndex":0},"citationItems":[{"id":13023,"uris":["http://zotero.org/users/16652950/items/8C7BQCHC"],"itemData":{"id":13023,"type":"article-journal","abstract":"Objective: This study aims to investigate the impacts, challenges, and strategies related to the implementation of 5G technology in rural areas, with the goal of promoting sustainable development and digital inclusion. The research also seeks to identify specific benefits of 5G for the agricultural sector and evaluate how its adoption can transform rural communities.\n&amp;nbsp;\nTheoretical Framework: This study is based on concepts such as precision agriculture, agricultural automation, and digital inclusion, emphasizing the implications of high-speed connectivity in rural development. Theories related to the economic and social impacts of 5G technology provide a solid foundation for understanding the potential and barriers associated with its implementation.\n&amp;nbsp;\nMethod: The research adopted a systematic bibliographic review approach, including the selection of theoretical and empirical studies published in the last ten years. Data collection was conducted in recognized academic databases, such as Scopus, IEEE Xplore, and Web of Science, using keywords related to 5G and its application in rural areas. The analysis categorized the data into benefits, challenges, and strategies, allowing for a comparative discussion of the findings.\n&amp;nbsp;\nResults and Discussion: The results revealed that, although the implementation of 5G faces significant challenges, such as insufficient infrastructure and high costs, the potential benefits are substantial. The technology can revolutionize precision agriculture through IoT sensors, drones, and artificial intelligence, increasing efficiency and sustainability in agricultural operations. Additionally, 5G's ability to drive economic development, expand digital inclusion, and improve access to essential services such as telemedicine and online education was highlighted.\n&amp;nbsp;\nResearch Implications: This study provides insights into how 5G technology can be applied to transform rural areas, benefiting sectors such as agriculture, healthcare, and education. The implications include strategies to overcome implementation barriers and the potential to reduce digital exclusion, promoting innovation and sustainability in rural communities.\n&amp;nbsp;\nOriginality/Value: The research contributes to the literature by offering a comprehensive analysis of the challenges and benefits of 5G in rural areas, highlighting its relevance for digital transformation in the agricultural sector and community development. Its originality lies in the integration of economic, social, and technological dimensions, providing practical recommendations for adopting 5G in remote regions.","container-title":"Revista de Gestão Social e Ambiental - RGSA","DOI":"10.24857/rgsa.v19n1-177","ISSN":"1981-982X","issue":"1","language":"en","page":"e011106-e011106","source":"rgsa.openaccesspublications.org","title":"5G Internet in Rural Areas: Impacts, Challenges and Sustainable Strategies for Development","title-short":"5G Internet in Rural Areas","volume":"19","author":[{"family":"Farinha","given":"Corina Alves"},{"family":"Martins","given":"Frederico Cordeiro"}],"issued":{"date-parts":[["2025",2,4]]}}}],"schema":"https://github.com/citation-style-language/schema/raw/master/csl-citation.json"} </w:instrText>
      </w:r>
      <w:r w:rsidR="009C0FDA">
        <w:rPr>
          <w:rFonts w:ascii="Times New Roman" w:eastAsia="Times New Roman" w:hAnsi="Times New Roman" w:cs="Times New Roman"/>
          <w:kern w:val="0"/>
        </w:rPr>
        <w:fldChar w:fldCharType="separate"/>
      </w:r>
      <w:r w:rsidR="00830C36" w:rsidRPr="00830C36">
        <w:rPr>
          <w:rFonts w:ascii="Times New Roman" w:hAnsi="Times New Roman" w:cs="Times New Roman"/>
        </w:rPr>
        <w:t>[49]</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Policy interventions should therefore prioritize rural broadband expansion, including last-mile connectivity and affordable data access, as foundational enablers of AI-driven agriculture.</w:t>
      </w:r>
    </w:p>
    <w:p w14:paraId="70B572E3"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Public investment in rural digital infrastructure, complemented by incentives for private telecom providers, would significantly enhance the functionality and reach of AI-based advisory, diagnostic, and mar</w:t>
      </w:r>
      <w:r w:rsidR="00830C36">
        <w:rPr>
          <w:rFonts w:ascii="Times New Roman" w:eastAsia="Times New Roman" w:hAnsi="Times New Roman" w:cs="Times New Roman"/>
          <w:kern w:val="0"/>
        </w:rPr>
        <w:t xml:space="preserve">ket platforms. </w:t>
      </w:r>
    </w:p>
    <w:p w14:paraId="7C05557D" w14:textId="77777777"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lastRenderedPageBreak/>
        <w:t>Open Agricultural Datasets</w:t>
      </w:r>
    </w:p>
    <w:p w14:paraId="73AD9352"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Data scarcity represents a critical technological constraint. Fewer than </w:t>
      </w:r>
      <w:r w:rsidRPr="0044608C">
        <w:rPr>
          <w:rFonts w:ascii="Times New Roman" w:eastAsia="Times New Roman" w:hAnsi="Times New Roman" w:cs="Times New Roman"/>
          <w:b/>
          <w:bCs/>
          <w:kern w:val="0"/>
        </w:rPr>
        <w:t>five publicly accessible, localized agricultural datasets</w:t>
      </w:r>
      <w:r w:rsidRPr="0044608C">
        <w:rPr>
          <w:rFonts w:ascii="Times New Roman" w:eastAsia="Times New Roman" w:hAnsi="Times New Roman" w:cs="Times New Roman"/>
          <w:kern w:val="0"/>
        </w:rPr>
        <w:t xml:space="preserve"> currently exist for Ghana, limiting mode</w:t>
      </w:r>
      <w:r w:rsidR="00970774">
        <w:rPr>
          <w:rFonts w:ascii="Times New Roman" w:eastAsia="Times New Roman" w:hAnsi="Times New Roman" w:cs="Times New Roman"/>
          <w:kern w:val="0"/>
        </w:rPr>
        <w:t xml:space="preserve">l accuracy and </w:t>
      </w:r>
      <w:proofErr w:type="gramStart"/>
      <w:r w:rsidR="00970774">
        <w:rPr>
          <w:rFonts w:ascii="Times New Roman" w:eastAsia="Times New Roman" w:hAnsi="Times New Roman" w:cs="Times New Roman"/>
          <w:kern w:val="0"/>
        </w:rPr>
        <w:t xml:space="preserve">adaptability </w:t>
      </w:r>
      <w:r w:rsidRPr="0044608C">
        <w:rPr>
          <w:rFonts w:ascii="Times New Roman" w:eastAsia="Times New Roman" w:hAnsi="Times New Roman" w:cs="Times New Roman"/>
          <w:kern w:val="0"/>
        </w:rPr>
        <w:t>.</w:t>
      </w:r>
      <w:proofErr w:type="gramEnd"/>
      <w:r w:rsidRPr="0044608C">
        <w:rPr>
          <w:rFonts w:ascii="Times New Roman" w:eastAsia="Times New Roman" w:hAnsi="Times New Roman" w:cs="Times New Roman"/>
          <w:kern w:val="0"/>
        </w:rPr>
        <w:t xml:space="preserve"> Government-supported development of </w:t>
      </w:r>
      <w:r w:rsidRPr="0044608C">
        <w:rPr>
          <w:rFonts w:ascii="Times New Roman" w:eastAsia="Times New Roman" w:hAnsi="Times New Roman" w:cs="Times New Roman"/>
          <w:b/>
          <w:bCs/>
          <w:kern w:val="0"/>
        </w:rPr>
        <w:t>open, high-quality agricultural datasets</w:t>
      </w:r>
      <w:r w:rsidRPr="0044608C">
        <w:rPr>
          <w:rFonts w:ascii="Times New Roman" w:eastAsia="Times New Roman" w:hAnsi="Times New Roman" w:cs="Times New Roman"/>
          <w:kern w:val="0"/>
        </w:rPr>
        <w:t>—including crop images, soil profiles, and weather records—would reduce reliance on imported models and improve local relevance</w:t>
      </w:r>
      <w:r w:rsidR="009C0FDA">
        <w:rPr>
          <w:rFonts w:ascii="Times New Roman" w:eastAsia="Times New Roman" w:hAnsi="Times New Roman" w:cs="Times New Roman"/>
          <w:kern w:val="0"/>
        </w:rPr>
        <w:fldChar w:fldCharType="begin"/>
      </w:r>
      <w:r w:rsidR="00970774">
        <w:rPr>
          <w:rFonts w:ascii="Times New Roman" w:eastAsia="Times New Roman" w:hAnsi="Times New Roman" w:cs="Times New Roman"/>
          <w:kern w:val="0"/>
        </w:rPr>
        <w:instrText xml:space="preserve"> ADDIN ZOTERO_ITEM CSL_CITATION {"citationID":"HyBkNtkl","properties":{"formattedCitation":"[13]","plainCitation":"[13]","noteIndex":0},"citationItems":[{"id":12941,"uris":["http://zotero.org/users/16652950/items/S7SXKVVM"],"itemData":{"id":12941,"type":"article-journal","abstract":"Higher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Mahender"}],"issued":{"date-parts":[["2025",8,11]]}}}],"schema":"https://github.com/citation-style-language/schema/raw/master/csl-citation.json"} </w:instrText>
      </w:r>
      <w:r w:rsidR="009C0FDA">
        <w:rPr>
          <w:rFonts w:ascii="Times New Roman" w:eastAsia="Times New Roman" w:hAnsi="Times New Roman" w:cs="Times New Roman"/>
          <w:kern w:val="0"/>
        </w:rPr>
        <w:fldChar w:fldCharType="separate"/>
      </w:r>
      <w:r w:rsidR="00970774" w:rsidRPr="00970774">
        <w:rPr>
          <w:rFonts w:ascii="Times New Roman" w:hAnsi="Times New Roman" w:cs="Times New Roman"/>
        </w:rPr>
        <w:t>[13]</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14:paraId="64F994D1"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Universities and research institutions should be mandated and resourced to curate and maintain open datasets, while data governance frameworks ensure ethical use and farmer consent.</w:t>
      </w:r>
    </w:p>
    <w:p w14:paraId="55CF02A5" w14:textId="77777777"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5.3 Institutional Integration</w:t>
      </w:r>
    </w:p>
    <w:p w14:paraId="01A5634A" w14:textId="77777777"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AI-Enabled Extension Services</w:t>
      </w:r>
    </w:p>
    <w:p w14:paraId="40DEBE36"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The findings suggest that AI should be positioned as a </w:t>
      </w:r>
      <w:r w:rsidRPr="0044608C">
        <w:rPr>
          <w:rFonts w:ascii="Times New Roman" w:eastAsia="Times New Roman" w:hAnsi="Times New Roman" w:cs="Times New Roman"/>
          <w:b/>
          <w:bCs/>
          <w:kern w:val="0"/>
        </w:rPr>
        <w:t>complement to, rather than a replacement for, traditional extension services</w:t>
      </w:r>
      <w:r w:rsidRPr="0044608C">
        <w:rPr>
          <w:rFonts w:ascii="Times New Roman" w:eastAsia="Times New Roman" w:hAnsi="Times New Roman" w:cs="Times New Roman"/>
          <w:kern w:val="0"/>
        </w:rPr>
        <w:t>. Integrating AI tools into public extension systems would enhance reach, frequency, and personalization of advisory services while preserving the trust and contextual knowledge of hu</w:t>
      </w:r>
      <w:r w:rsidR="00831EAC">
        <w:rPr>
          <w:rFonts w:ascii="Times New Roman" w:eastAsia="Times New Roman" w:hAnsi="Times New Roman" w:cs="Times New Roman"/>
          <w:kern w:val="0"/>
        </w:rPr>
        <w:t>man agents</w:t>
      </w:r>
      <w:r w:rsidRPr="0044608C">
        <w:rPr>
          <w:rFonts w:ascii="Times New Roman" w:eastAsia="Times New Roman" w:hAnsi="Times New Roman" w:cs="Times New Roman"/>
          <w:kern w:val="0"/>
        </w:rPr>
        <w:t>.</w:t>
      </w:r>
    </w:p>
    <w:p w14:paraId="3C33FD87"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This integration could involve equipping extension officers with AI-enabled diagnostic and advisory tools, enabling hybrid service delivery models that combine digital analytics wi</w:t>
      </w:r>
      <w:r w:rsidR="00831EAC">
        <w:rPr>
          <w:rFonts w:ascii="Times New Roman" w:eastAsia="Times New Roman" w:hAnsi="Times New Roman" w:cs="Times New Roman"/>
          <w:kern w:val="0"/>
        </w:rPr>
        <w:t>th field-level engagement</w:t>
      </w:r>
      <w:r w:rsidR="009C0FDA">
        <w:rPr>
          <w:rFonts w:ascii="Times New Roman" w:eastAsia="Times New Roman" w:hAnsi="Times New Roman" w:cs="Times New Roman"/>
          <w:kern w:val="0"/>
        </w:rPr>
        <w:fldChar w:fldCharType="begin"/>
      </w:r>
      <w:r w:rsidR="00831EAC">
        <w:rPr>
          <w:rFonts w:ascii="Times New Roman" w:eastAsia="Times New Roman" w:hAnsi="Times New Roman" w:cs="Times New Roman"/>
          <w:kern w:val="0"/>
        </w:rPr>
        <w:instrText xml:space="preserve"> ADDIN ZOTERO_ITEM CSL_CITATION {"citationID":"Ok0zHRJp","properties":{"formattedCitation":"[50]","plainCitation":"[50]","noteIndex":0},"citationItems":[{"id":13025,"uris":["http://zotero.org/users/16652950/items/YHV4DHKM"],"itemData":{"id":13025,"type":"article-journal","abstract":"Agricultural Extension (AE) research faces significant challenges in producing relevant and practical knowledge due to rapid advancements in artificial intelligence (AI). AE struggles to keep pace with these advancements, complicating the development of actionable information. One major challenge is the absence of intelligent platforms that enable efficient information retrieval and quick decision-making. Investigations have shown a shortage of AI-assisted solutions that effectively use AE materials across various media formats while preserving scientific accuracy and contextual relevance. Although mainstream AI systems can potentially reduce decision-making risks, their usage remains limited. This limitation arises primarily from the lack of standardized datasets and concerns regarding user data privacy. For AE datasets to be standardized, they must satisfy four key criteria: inclusion of critical domain-specific knowledge, expert curation, consistent structure, and acceptance by peers. Addressing data privacy issues involves adhering to open-access principles and enforcing strict data encryption and anonymization standards. To address these gaps, a conceptual framework is introduced. This framework extends beyond typical user-oriented platforms and comprises five core modules. It features a neurosymbolic pipeline integrating large language models with physically based agricultural modeling software, further enhanced by Reinforcement Learning from Human Feedback. Notable aspects of the framework include a dedicated human-in-the-loop process and a governance structure consisting of three primary bodies focused on data standardization, ethics and security, and accountability and transparency. Overall, this work represents a significant advancement in agricultural knowledge systems, potentially transforming how AE services deliver critical information to farmers and other stakeholders.","container-title":"Artificial Intelligence in Agriculture","DOI":"10.1016/j.aiia.2025.04.001","ISSN":"2589-7217","issue":"3","journalAbbreviation":"Artificial Intelligence in Agriculture","page":"426-448","source":"ScienceDirect","title":"Navigating challenges/opportunities in developing smart agricultural extension platforms: Multi-media data mining techniques","title-short":"Navigating challenges/opportunities in developing smart agricultural extension platforms","volume":"15","author":[{"family":"Kpodo","given":"Josué"},{"family":"Nejadhashemi","given":"A. Pouyan"}],"issued":{"date-parts":[["2025",9,1]]}}}],"schema":"https://github.com/citation-style-language/schema/raw/master/csl-citation.json"} </w:instrText>
      </w:r>
      <w:r w:rsidR="009C0FDA">
        <w:rPr>
          <w:rFonts w:ascii="Times New Roman" w:eastAsia="Times New Roman" w:hAnsi="Times New Roman" w:cs="Times New Roman"/>
          <w:kern w:val="0"/>
        </w:rPr>
        <w:fldChar w:fldCharType="separate"/>
      </w:r>
      <w:r w:rsidR="00831EAC" w:rsidRPr="00831EAC">
        <w:rPr>
          <w:rFonts w:ascii="Times New Roman" w:hAnsi="Times New Roman" w:cs="Times New Roman"/>
        </w:rPr>
        <w:t>[50]</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14:paraId="3191F62A" w14:textId="77777777"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Public–Private Partnerships</w:t>
      </w:r>
    </w:p>
    <w:p w14:paraId="479D8618"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Public–private partnerships (PPPs) emerge as a critical mechanism for scaling AI solutions. Most successful pilots reviewed were implemented through collaborations involving startups, development partners, </w:t>
      </w:r>
      <w:r w:rsidR="00F8039B">
        <w:rPr>
          <w:rFonts w:ascii="Times New Roman" w:eastAsia="Times New Roman" w:hAnsi="Times New Roman" w:cs="Times New Roman"/>
          <w:kern w:val="0"/>
        </w:rPr>
        <w:t xml:space="preserve">and government agencies. </w:t>
      </w:r>
      <w:r w:rsidRPr="0044608C">
        <w:rPr>
          <w:rFonts w:ascii="Times New Roman" w:eastAsia="Times New Roman" w:hAnsi="Times New Roman" w:cs="Times New Roman"/>
          <w:kern w:val="0"/>
        </w:rPr>
        <w:t xml:space="preserve"> Formal PPP frameworks can de-risk private investment, support innovation, and facilitate scaling be</w:t>
      </w:r>
      <w:r w:rsidR="00F8039B">
        <w:rPr>
          <w:rFonts w:ascii="Times New Roman" w:eastAsia="Times New Roman" w:hAnsi="Times New Roman" w:cs="Times New Roman"/>
          <w:kern w:val="0"/>
        </w:rPr>
        <w:t xml:space="preserve">yond donor-funded pilots </w:t>
      </w:r>
      <w:r w:rsidR="009C0FDA">
        <w:rPr>
          <w:rFonts w:ascii="Times New Roman" w:eastAsia="Times New Roman" w:hAnsi="Times New Roman" w:cs="Times New Roman"/>
          <w:kern w:val="0"/>
        </w:rPr>
        <w:fldChar w:fldCharType="begin"/>
      </w:r>
      <w:r w:rsidR="00F8039B">
        <w:rPr>
          <w:rFonts w:ascii="Times New Roman" w:eastAsia="Times New Roman" w:hAnsi="Times New Roman" w:cs="Times New Roman"/>
          <w:kern w:val="0"/>
        </w:rPr>
        <w:instrText xml:space="preserve"> ADDIN ZOTERO_ITEM CSL_CITATION {"citationID":"c4W9qVB0","properties":{"formattedCitation":"[51]","plainCitation":"[51]","noteIndex":0},"citationItems":[{"id":13028,"uris":["http://zotero.org/users/16652950/items/PA8HHK4C"],"itemData":{"id":13028,"type":"article-journal","abstract":"Public–private partnerships (PPPs) have been promoted as achieving value for money in government projects through innovation. Private investment, contract bundling, and transferring risk to the private sector are regarded as incentives creating innovation. Data collected on PPPs through in-depth interviews with 36 senior practitioners are analyzed by applying a transdisciplinary theoretical approach and grounded theory. The relation between PPPs and innovation is systematically addressed. PPP models provide an environment for innovation precontract award but limit risk, thus inhibiting post-contract innovation. A framework illustrating the complex relations of different elements of PPPs and their effects on innovation is presented.","container-title":"Project Management Journal","DOI":"10.1177/87569728231189989","ISSN":"8756-9728","issue":"1","language":"EN","note":"publisher: SAGE Publications Inc","page":"31-49","source":"SAGE Journals","title":"The Effect of Public–Private Partnerships on Innovation in Infrastructure Delivery","volume":"55","author":[{"family":"Liu","given":"Lucia Xiaoyan"},{"family":"Clegg","given":"Stewart"},{"family":"Pollack","given":"Julien"}],"issued":{"date-parts":[["2024",2,1]]}}}],"schema":"https://github.com/citation-style-language/schema/raw/master/csl-citation.json"} </w:instrText>
      </w:r>
      <w:r w:rsidR="009C0FDA">
        <w:rPr>
          <w:rFonts w:ascii="Times New Roman" w:eastAsia="Times New Roman" w:hAnsi="Times New Roman" w:cs="Times New Roman"/>
          <w:kern w:val="0"/>
        </w:rPr>
        <w:fldChar w:fldCharType="separate"/>
      </w:r>
      <w:r w:rsidR="00F8039B" w:rsidRPr="00F8039B">
        <w:rPr>
          <w:rFonts w:ascii="Times New Roman" w:hAnsi="Times New Roman" w:cs="Times New Roman"/>
        </w:rPr>
        <w:t>[51]</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14:paraId="012E2296" w14:textId="77777777"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5.4 Capacity Building</w:t>
      </w:r>
    </w:p>
    <w:p w14:paraId="61F17C21" w14:textId="77777777"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Digital Literacy</w:t>
      </w:r>
    </w:p>
    <w:p w14:paraId="0833DB34"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Low digital literacy—estimated below </w:t>
      </w:r>
      <w:r w:rsidRPr="0044608C">
        <w:rPr>
          <w:rFonts w:ascii="Times New Roman" w:eastAsia="Times New Roman" w:hAnsi="Times New Roman" w:cs="Times New Roman"/>
          <w:b/>
          <w:bCs/>
          <w:kern w:val="0"/>
        </w:rPr>
        <w:t>25% among smallholder farmers</w:t>
      </w:r>
      <w:r w:rsidRPr="0044608C">
        <w:rPr>
          <w:rFonts w:ascii="Times New Roman" w:eastAsia="Times New Roman" w:hAnsi="Times New Roman" w:cs="Times New Roman"/>
          <w:kern w:val="0"/>
        </w:rPr>
        <w:t xml:space="preserve">—significantly constrains AI </w:t>
      </w:r>
      <w:r w:rsidR="00864523">
        <w:rPr>
          <w:rFonts w:ascii="Times New Roman" w:eastAsia="Times New Roman" w:hAnsi="Times New Roman" w:cs="Times New Roman"/>
          <w:kern w:val="0"/>
        </w:rPr>
        <w:t>adoption</w:t>
      </w:r>
      <w:r w:rsidRPr="0044608C">
        <w:rPr>
          <w:rFonts w:ascii="Times New Roman" w:eastAsia="Times New Roman" w:hAnsi="Times New Roman" w:cs="Times New Roman"/>
          <w:kern w:val="0"/>
        </w:rPr>
        <w:t>. National training initiatives embedded within existing agricultural programs are essential to build basic digital skills, data awareness, and trust in AI-enabled systems.</w:t>
      </w:r>
    </w:p>
    <w:p w14:paraId="486D1755"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Targeted literacy programs should prioritize women, youth, and marginalized farming communities to prevent reinforcement</w:t>
      </w:r>
      <w:r w:rsidR="009301E7">
        <w:rPr>
          <w:rFonts w:ascii="Times New Roman" w:eastAsia="Times New Roman" w:hAnsi="Times New Roman" w:cs="Times New Roman"/>
          <w:kern w:val="0"/>
        </w:rPr>
        <w:t xml:space="preserve"> of existing inequalities</w:t>
      </w:r>
      <w:r w:rsidRPr="0044608C">
        <w:rPr>
          <w:rFonts w:ascii="Times New Roman" w:eastAsia="Times New Roman" w:hAnsi="Times New Roman" w:cs="Times New Roman"/>
          <w:kern w:val="0"/>
        </w:rPr>
        <w:t>.</w:t>
      </w:r>
    </w:p>
    <w:p w14:paraId="1C24EF9F" w14:textId="77777777"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Farmer-Centric Design</w:t>
      </w:r>
    </w:p>
    <w:p w14:paraId="50097523"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lastRenderedPageBreak/>
        <w:t xml:space="preserve">Finally, the effectiveness of AI interventions depends on </w:t>
      </w:r>
      <w:r w:rsidRPr="0044608C">
        <w:rPr>
          <w:rFonts w:ascii="Times New Roman" w:eastAsia="Times New Roman" w:hAnsi="Times New Roman" w:cs="Times New Roman"/>
          <w:b/>
          <w:bCs/>
          <w:kern w:val="0"/>
        </w:rPr>
        <w:t>farmer-centric design principles</w:t>
      </w:r>
      <w:r w:rsidRPr="0044608C">
        <w:rPr>
          <w:rFonts w:ascii="Times New Roman" w:eastAsia="Times New Roman" w:hAnsi="Times New Roman" w:cs="Times New Roman"/>
          <w:kern w:val="0"/>
        </w:rPr>
        <w:t>. Tools must be affordable, accessible via basic mobile devices, and adapted to local language</w:t>
      </w:r>
      <w:r w:rsidR="009301E7">
        <w:rPr>
          <w:rFonts w:ascii="Times New Roman" w:eastAsia="Times New Roman" w:hAnsi="Times New Roman" w:cs="Times New Roman"/>
          <w:kern w:val="0"/>
        </w:rPr>
        <w:t>s and agronomic contexts</w:t>
      </w:r>
      <w:r w:rsidRPr="0044608C">
        <w:rPr>
          <w:rFonts w:ascii="Times New Roman" w:eastAsia="Times New Roman" w:hAnsi="Times New Roman" w:cs="Times New Roman"/>
          <w:kern w:val="0"/>
        </w:rPr>
        <w:t>. Participatory design approaches that involve farmers in tool development and testing can enhance usability, relevance, and long-term adoption</w:t>
      </w:r>
      <w:r w:rsidR="009C0FDA">
        <w:rPr>
          <w:rFonts w:ascii="Times New Roman" w:eastAsia="Times New Roman" w:hAnsi="Times New Roman" w:cs="Times New Roman"/>
          <w:kern w:val="0"/>
        </w:rPr>
        <w:fldChar w:fldCharType="begin"/>
      </w:r>
      <w:r w:rsidR="009301E7">
        <w:rPr>
          <w:rFonts w:ascii="Times New Roman" w:eastAsia="Times New Roman" w:hAnsi="Times New Roman" w:cs="Times New Roman"/>
          <w:kern w:val="0"/>
        </w:rPr>
        <w:instrText xml:space="preserve"> ADDIN ZOTERO_ITEM CSL_CITATION {"citationID":"cdVm8jxr","properties":{"formattedCitation":"[10]","plainCitation":"[10]","noteIndex":0},"citationItems":[{"id":12938,"uris":["http://zotero.org/users/16652950/items/QVDFTPKB"],"itemData":{"id":12938,"type":"article-journal","abstract":"Artificial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9301E7" w:rsidRPr="009301E7">
        <w:rPr>
          <w:rFonts w:ascii="Times New Roman" w:hAnsi="Times New Roman" w:cs="Times New Roman"/>
        </w:rPr>
        <w:t>[10]</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14:paraId="15DF9968" w14:textId="77777777" w:rsidR="0044608C" w:rsidRPr="0044608C" w:rsidRDefault="0044608C" w:rsidP="0044608C">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6. Limitations of the Review</w:t>
      </w:r>
    </w:p>
    <w:p w14:paraId="3E0CEE84"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This systematic review has several limitations that should be considered when interpreting the findings.</w:t>
      </w:r>
    </w:p>
    <w:p w14:paraId="11271F96"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First, the reviewed literature exhibits substantial </w:t>
      </w:r>
      <w:r w:rsidRPr="0044608C">
        <w:rPr>
          <w:rFonts w:ascii="Times New Roman" w:eastAsia="Times New Roman" w:hAnsi="Times New Roman" w:cs="Times New Roman"/>
          <w:b/>
          <w:bCs/>
          <w:kern w:val="0"/>
        </w:rPr>
        <w:t>heterogeneity in study design, outcome metrics, and analytical approaches</w:t>
      </w:r>
      <w:r w:rsidRPr="0044608C">
        <w:rPr>
          <w:rFonts w:ascii="Times New Roman" w:eastAsia="Times New Roman" w:hAnsi="Times New Roman" w:cs="Times New Roman"/>
          <w:kern w:val="0"/>
        </w:rPr>
        <w:t>. Studies varied widely in their definitions of AI applications, measurement of impacts (e.g., yield, income, or efficiency), and evaluation timeframes, which constrained the ability to conduct a formal meta-analysis and required reliance on narra</w:t>
      </w:r>
      <w:r w:rsidR="00E12C6F">
        <w:rPr>
          <w:rFonts w:ascii="Times New Roman" w:eastAsia="Times New Roman" w:hAnsi="Times New Roman" w:cs="Times New Roman"/>
          <w:kern w:val="0"/>
        </w:rPr>
        <w:t xml:space="preserve">tive quantitative synthesis </w:t>
      </w:r>
      <w:r w:rsidR="009C0FDA">
        <w:rPr>
          <w:rFonts w:ascii="Times New Roman" w:eastAsia="Times New Roman" w:hAnsi="Times New Roman" w:cs="Times New Roman"/>
          <w:kern w:val="0"/>
        </w:rPr>
        <w:fldChar w:fldCharType="begin"/>
      </w:r>
      <w:r w:rsidR="00E12C6F">
        <w:rPr>
          <w:rFonts w:ascii="Times New Roman" w:eastAsia="Times New Roman" w:hAnsi="Times New Roman" w:cs="Times New Roman"/>
          <w:kern w:val="0"/>
        </w:rPr>
        <w:instrText xml:space="preserve"> ADDIN ZOTERO_ITEM CSL_CITATION {"citationID":"ek4H2XN8","properties":{"formattedCitation":"[52]","plainCitation":"[52]","noteIndex":0},"citationItems":[{"id":13030,"uris":["http://zotero.org/users/16652950/items/LMKSC4JL"],"itemData":{"id":13030,"type":"article-journal","abstract":"In response to the growing need for environmental stewardship, Green Human Resource Management (GHRM) has emerged to incorporate sustainability in org...","container-title":"Sustainability","DOI":"10.3390/su172210283","ISSN":"2071-1050","issue":"22","language":"en","license":"http://creativecommons.org/licenses/by/3.0/","note":"Company: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Systematic Literature Review of Artificial Intelligence Advancements in Green Human Resource Management","URL":"https://www.mdpi.com/2071-1050/17/22/10283","volume":"17","author":[{"family":"Alherimi","given":"Nadin"},{"family":"Abdulmaksoud","given":"Sara"},{"family":"Ahmed","given":"Vian"},{"family":"Bahroun","given":"Zied"},{"family":"Alherimi","given":"Nadin"},{"family":"Abdulmaksoud","given":"Sara"},{"family":"Ahmed","given":"Vian"},{"family":"Bahroun","given":"Zied"}],"accessed":{"date-parts":[["2026",1,7]]},"issued":{"date-parts":[["2025",11,16]]}}}],"schema":"https://github.com/citation-style-language/schema/raw/master/csl-citation.json"} </w:instrText>
      </w:r>
      <w:r w:rsidR="009C0FDA">
        <w:rPr>
          <w:rFonts w:ascii="Times New Roman" w:eastAsia="Times New Roman" w:hAnsi="Times New Roman" w:cs="Times New Roman"/>
          <w:kern w:val="0"/>
        </w:rPr>
        <w:fldChar w:fldCharType="separate"/>
      </w:r>
      <w:r w:rsidR="00E12C6F" w:rsidRPr="00E12C6F">
        <w:rPr>
          <w:rFonts w:ascii="Times New Roman" w:hAnsi="Times New Roman" w:cs="Times New Roman"/>
        </w:rPr>
        <w:t>[52]</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While this approach is appropriate for emerging fields, it limits statistical comparability across interventions.</w:t>
      </w:r>
    </w:p>
    <w:p w14:paraId="24F38AF8"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Second, the evidence base is dominated by </w:t>
      </w:r>
      <w:r w:rsidRPr="0044608C">
        <w:rPr>
          <w:rFonts w:ascii="Times New Roman" w:eastAsia="Times New Roman" w:hAnsi="Times New Roman" w:cs="Times New Roman"/>
          <w:b/>
          <w:bCs/>
          <w:kern w:val="0"/>
        </w:rPr>
        <w:t>pilot-scale and project-based implementations</w:t>
      </w:r>
      <w:r w:rsidRPr="0044608C">
        <w:rPr>
          <w:rFonts w:ascii="Times New Roman" w:eastAsia="Times New Roman" w:hAnsi="Times New Roman" w:cs="Times New Roman"/>
          <w:kern w:val="0"/>
        </w:rPr>
        <w:t>. Most AI applications reviewed were evaluated within localized or short-term pilots, often supported by development partners or startups, rather than through nat</w:t>
      </w:r>
      <w:r w:rsidR="00E12C6F">
        <w:rPr>
          <w:rFonts w:ascii="Times New Roman" w:eastAsia="Times New Roman" w:hAnsi="Times New Roman" w:cs="Times New Roman"/>
          <w:kern w:val="0"/>
        </w:rPr>
        <w:t xml:space="preserve">ionally scaled programs </w:t>
      </w:r>
      <w:r w:rsidR="009C0FDA">
        <w:rPr>
          <w:rFonts w:ascii="Times New Roman" w:eastAsia="Times New Roman" w:hAnsi="Times New Roman" w:cs="Times New Roman"/>
          <w:kern w:val="0"/>
        </w:rPr>
        <w:fldChar w:fldCharType="begin"/>
      </w:r>
      <w:r w:rsidR="00E12C6F">
        <w:rPr>
          <w:rFonts w:ascii="Times New Roman" w:eastAsia="Times New Roman" w:hAnsi="Times New Roman" w:cs="Times New Roman"/>
          <w:kern w:val="0"/>
        </w:rPr>
        <w:instrText xml:space="preserve"> ADDIN ZOTERO_ITEM CSL_CITATION {"citationID":"qQyOvfdn","properties":{"formattedCitation":"[53]","plainCitation":"[53]","noteIndex":0},"citationItems":[{"id":13032,"uris":["http://zotero.org/users/16652950/items/WXKSRSTX"],"itemData":{"id":13032,"type":"article-journal","abstract":"Internationally, health systems are investing in Artificial Intelligence (AI) to improve safety, quality, and efficiency, yet many efforts remain localised and do not progress beyond early development stages. In 2019, National Health Service (NHS) England and the Department of Health and Social Care launched the AI Lab to accelerate safe AI adoption. We conducted a mixed-methods evaluation of the AI Lab, analysing 1021 documents and 85 stakeholder interviews. The AI Lab made important contributions to national AI policy, regulation, and capability building, and positioned the United Kingdom as a global leader in AI deployment for health. Despite progress, implementation and scaling were hindered by shifting objectives, limited capacity, and systemic misalignment with service needs. Some AI technologies demonstrated high return on investment and improved clinical processes. Lessons from the AI Lab highlight critical socio-organisational factors, gaps in scaling support, and the need for sustained coordination to realise the long-term benefits of AI in health and social care systems.","container-title":"NPJ Digital Medicine","DOI":"10.1038/s41746-025-01805-w","ISSN":"2398-6352","journalAbbreviation":"NPJ Digit Med","note":"PMID: 40676147\nPMCID: PMC12271305","page":"448","source":"PubMed Central","title":"A mixed methods formative evaluation of the United Kingdom National Health Service Artificial Intelligence Lab","volume":"8","author":[{"family":"Cresswell","given":"Kathrin"},{"family":"Williams","given":"Robin"},{"family":"Dungey","given":"Sheena"},{"family":"Anderson","given":"Stuart"},{"family":"Bernabeu","given":"Miguel O."},{"family":"Mozaffar","given":"Hajar"},{"family":"Yang","given":"Xiao"},{"family":"Sai","given":"Varun"},{"family":"Bea","given":"Sara"},{"family":"Eason","given":"Sally"}],"issued":{"date-parts":[["2025",7,17]]}}}],"schema":"https://github.com/citation-style-language/schema/raw/master/csl-citation.json"} </w:instrText>
      </w:r>
      <w:r w:rsidR="009C0FDA">
        <w:rPr>
          <w:rFonts w:ascii="Times New Roman" w:eastAsia="Times New Roman" w:hAnsi="Times New Roman" w:cs="Times New Roman"/>
          <w:kern w:val="0"/>
        </w:rPr>
        <w:fldChar w:fldCharType="separate"/>
      </w:r>
      <w:r w:rsidR="00E12C6F" w:rsidRPr="00E12C6F">
        <w:rPr>
          <w:rFonts w:ascii="Times New Roman" w:hAnsi="Times New Roman" w:cs="Times New Roman"/>
        </w:rPr>
        <w:t>[53]</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As a result, reported impacts may overestimate performance under real-world scaling conditions where institutional support and user engagement may differ.</w:t>
      </w:r>
    </w:p>
    <w:p w14:paraId="2E271EE4"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Third, </w:t>
      </w:r>
      <w:r w:rsidRPr="0044608C">
        <w:rPr>
          <w:rFonts w:ascii="Times New Roman" w:eastAsia="Times New Roman" w:hAnsi="Times New Roman" w:cs="Times New Roman"/>
          <w:b/>
          <w:bCs/>
          <w:kern w:val="0"/>
        </w:rPr>
        <w:t>longitudinal evidence remains limited</w:t>
      </w:r>
      <w:r w:rsidRPr="0044608C">
        <w:rPr>
          <w:rFonts w:ascii="Times New Roman" w:eastAsia="Times New Roman" w:hAnsi="Times New Roman" w:cs="Times New Roman"/>
          <w:kern w:val="0"/>
        </w:rPr>
        <w:t>. Few studies assessed sustained adoption, long-term productivity impacts, or dynamic behavioral changes among farmers over multiple seasons or years. This constrains inference regarding the durability of observed benefits and the long-term economic viability of AI-enabled interventions</w:t>
      </w:r>
      <w:r w:rsidR="009C0FDA">
        <w:rPr>
          <w:rFonts w:ascii="Times New Roman" w:eastAsia="Times New Roman" w:hAnsi="Times New Roman" w:cs="Times New Roman"/>
          <w:kern w:val="0"/>
        </w:rPr>
        <w:fldChar w:fldCharType="begin"/>
      </w:r>
      <w:r w:rsidR="000D175B">
        <w:rPr>
          <w:rFonts w:ascii="Times New Roman" w:eastAsia="Times New Roman" w:hAnsi="Times New Roman" w:cs="Times New Roman"/>
          <w:kern w:val="0"/>
        </w:rPr>
        <w:instrText xml:space="preserve"> ADDIN ZOTERO_ITEM CSL_CITATION {"citationID":"bhljENAj","properties":{"formattedCitation":"[54]","plainCitation":"[54]","noteIndex":0},"citationItems":[{"id":13035,"uris":["http://zotero.org/users/16652950/items/U5WAH88K"],"itemData":{"id":13035,"type":"article-journal","abstract":"This study evaluates the income effects of China’s Major Agricultural Technology Collaborative Extension Program (MATCEP) using CFPS panel data and a ...","container-title":"Economies","DOI":"10.3390/economies13110331","ISSN":"2227-7099","issue":"11","language":"en","license":"http://creativecommons.org/licenses/by/3.0/","note":"Company: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publisher","source":"www.mdpi.com","title":"Agricultural Technology Extension and Farmers’ Income: Evidence from China","title-short":"Agricultural Technology Extension and Farmers’ Income","URL":"https://www.mdpi.com/2227-7099/13/11/331","volume":"13","author":[{"family":"Li","given":"Fan"},{"family":"Pan","given":"Xinyi"},{"family":"Liu","given":"Yingxi"},{"family":"Wu","given":"Jian"},{"family":"Li","given":"Fan"},{"family":"Pan","given":"Xinyi"},{"family":"Liu","given":"Yingxi"},{"family":"Wu","given":"Jian"}],"accessed":{"date-parts":[["2026",1,7]]},"issued":{"date-parts":[["2025",11,13]]}}}],"schema":"https://github.com/citation-style-language/schema/raw/master/csl-citation.json"} </w:instrText>
      </w:r>
      <w:r w:rsidR="009C0FDA">
        <w:rPr>
          <w:rFonts w:ascii="Times New Roman" w:eastAsia="Times New Roman" w:hAnsi="Times New Roman" w:cs="Times New Roman"/>
          <w:kern w:val="0"/>
        </w:rPr>
        <w:fldChar w:fldCharType="separate"/>
      </w:r>
      <w:r w:rsidR="000D175B" w:rsidRPr="000D175B">
        <w:rPr>
          <w:rFonts w:ascii="Times New Roman" w:hAnsi="Times New Roman" w:cs="Times New Roman"/>
        </w:rPr>
        <w:t>[54]</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14:paraId="2DD8DFA7" w14:textId="77777777"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Despite these limitations, the review provides the most comprehensive synthesis to date of empirical evidence on AI applications in Ghanaian agriculture, offering robust insights into both impact potential and structural constraints. Addressing these limitations through standardized reporting, long-term evaluations, and nationally coordinated data collection should be a priority for future research.</w:t>
      </w:r>
    </w:p>
    <w:p w14:paraId="7408E6CD" w14:textId="77777777" w:rsidR="00AB68D8" w:rsidRPr="00AB68D8" w:rsidRDefault="00AB68D8" w:rsidP="00AB68D8">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7. Conclusion and Future Research Directions</w:t>
      </w:r>
    </w:p>
    <w:p w14:paraId="148B3E36" w14:textId="77777777"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7.1 Principal Finding</w:t>
      </w:r>
    </w:p>
    <w:p w14:paraId="3CDE5B49"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This systematic review demonstrates that </w:t>
      </w:r>
      <w:r w:rsidRPr="00AB68D8">
        <w:rPr>
          <w:rFonts w:ascii="Times New Roman" w:eastAsia="Times New Roman" w:hAnsi="Times New Roman" w:cs="Times New Roman"/>
          <w:b/>
          <w:bCs/>
          <w:kern w:val="0"/>
        </w:rPr>
        <w:t>artificial intelligence applications in Ghanaian agriculture are technically proven but institutionally constrained</w:t>
      </w:r>
      <w:r w:rsidRPr="00AB68D8">
        <w:rPr>
          <w:rFonts w:ascii="Times New Roman" w:eastAsia="Times New Roman" w:hAnsi="Times New Roman" w:cs="Times New Roman"/>
          <w:kern w:val="0"/>
        </w:rPr>
        <w:t>. Across production, climate services, pest management, market access, and financial inclusion, AI-enabled interventions consistently generated measurable gains in productivity, efficiency, and livelihood outcomes. However, despite strong technical performance at pilot level, widespread adoption remains limited by infrastructural deficits, low digital capacity, data scarcity, and fragmented institutional coordination.</w:t>
      </w:r>
    </w:p>
    <w:p w14:paraId="3960C5CE"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lastRenderedPageBreak/>
        <w:t>This central finding suggests that the primary challenge facing AI-driven agricultural transformation in Ghana is not technological feasibility, but rather the absence of enabling institutional, policy, and infrastructural ecosystems necessary for scale.</w:t>
      </w:r>
    </w:p>
    <w:p w14:paraId="509131D9" w14:textId="77777777"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7.2 Summary of Contributions</w:t>
      </w:r>
    </w:p>
    <w:p w14:paraId="6D322CA5"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This review makes three principal contributions to the literature.</w:t>
      </w:r>
    </w:p>
    <w:p w14:paraId="38E7957A"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First, it provides a </w:t>
      </w:r>
      <w:r w:rsidRPr="00AB68D8">
        <w:rPr>
          <w:rFonts w:ascii="Times New Roman" w:eastAsia="Times New Roman" w:hAnsi="Times New Roman" w:cs="Times New Roman"/>
          <w:b/>
          <w:bCs/>
          <w:kern w:val="0"/>
        </w:rPr>
        <w:t>quantitative synthesis of empirical impacts</w:t>
      </w:r>
      <w:r w:rsidRPr="00AB68D8">
        <w:rPr>
          <w:rFonts w:ascii="Times New Roman" w:eastAsia="Times New Roman" w:hAnsi="Times New Roman" w:cs="Times New Roman"/>
          <w:kern w:val="0"/>
        </w:rPr>
        <w:t xml:space="preserve"> from fragmented pilot studies, aggregating evidence across 78 sources to demonstrate yield gains of </w:t>
      </w:r>
      <w:r w:rsidRPr="00AB68D8">
        <w:rPr>
          <w:rFonts w:ascii="Times New Roman" w:eastAsia="Times New Roman" w:hAnsi="Times New Roman" w:cs="Times New Roman"/>
          <w:b/>
          <w:bCs/>
          <w:kern w:val="0"/>
        </w:rPr>
        <w:t>10–92%</w:t>
      </w:r>
      <w:r w:rsidRPr="00AB68D8">
        <w:rPr>
          <w:rFonts w:ascii="Times New Roman" w:eastAsia="Times New Roman" w:hAnsi="Times New Roman" w:cs="Times New Roman"/>
          <w:kern w:val="0"/>
        </w:rPr>
        <w:t xml:space="preserve">, income increases of </w:t>
      </w:r>
      <w:r w:rsidRPr="00AB68D8">
        <w:rPr>
          <w:rFonts w:ascii="Times New Roman" w:eastAsia="Times New Roman" w:hAnsi="Times New Roman" w:cs="Times New Roman"/>
          <w:b/>
          <w:bCs/>
          <w:kern w:val="0"/>
        </w:rPr>
        <w:t>10–15%</w:t>
      </w:r>
      <w:r w:rsidRPr="00AB68D8">
        <w:rPr>
          <w:rFonts w:ascii="Times New Roman" w:eastAsia="Times New Roman" w:hAnsi="Times New Roman" w:cs="Times New Roman"/>
          <w:kern w:val="0"/>
        </w:rPr>
        <w:t xml:space="preserve">, reductions in post-harvest losses of </w:t>
      </w:r>
      <w:r w:rsidRPr="00AB68D8">
        <w:rPr>
          <w:rFonts w:ascii="Times New Roman" w:eastAsia="Times New Roman" w:hAnsi="Times New Roman" w:cs="Times New Roman"/>
          <w:b/>
          <w:bCs/>
          <w:kern w:val="0"/>
        </w:rPr>
        <w:t>25–30%</w:t>
      </w:r>
      <w:r w:rsidRPr="00AB68D8">
        <w:rPr>
          <w:rFonts w:ascii="Times New Roman" w:eastAsia="Times New Roman" w:hAnsi="Times New Roman" w:cs="Times New Roman"/>
          <w:kern w:val="0"/>
        </w:rPr>
        <w:t>, and substantial improvements in climate resilience and livestock outcomes.</w:t>
      </w:r>
    </w:p>
    <w:p w14:paraId="275E3393"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Second, the review develops a </w:t>
      </w:r>
      <w:r w:rsidRPr="00AB68D8">
        <w:rPr>
          <w:rFonts w:ascii="Times New Roman" w:eastAsia="Times New Roman" w:hAnsi="Times New Roman" w:cs="Times New Roman"/>
          <w:b/>
          <w:bCs/>
          <w:kern w:val="0"/>
        </w:rPr>
        <w:t>structured taxonomy of barriers</w:t>
      </w:r>
      <w:r w:rsidRPr="00AB68D8">
        <w:rPr>
          <w:rFonts w:ascii="Times New Roman" w:eastAsia="Times New Roman" w:hAnsi="Times New Roman" w:cs="Times New Roman"/>
          <w:kern w:val="0"/>
        </w:rPr>
        <w:t xml:space="preserve"> to AI adoption in Ghanaian agriculture, systematically identifying infrastructural, socio-economic, technological, and ethical constraints that limit scalability. This barrier framework clarifies why technically successful pilots have not transitioned into national systems.</w:t>
      </w:r>
    </w:p>
    <w:p w14:paraId="63ED6877"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Third, the study offers an </w:t>
      </w:r>
      <w:r w:rsidRPr="00AB68D8">
        <w:rPr>
          <w:rFonts w:ascii="Times New Roman" w:eastAsia="Times New Roman" w:hAnsi="Times New Roman" w:cs="Times New Roman"/>
          <w:b/>
          <w:bCs/>
          <w:kern w:val="0"/>
        </w:rPr>
        <w:t>evidence-based policy roadmap</w:t>
      </w:r>
      <w:r w:rsidRPr="00AB68D8">
        <w:rPr>
          <w:rFonts w:ascii="Times New Roman" w:eastAsia="Times New Roman" w:hAnsi="Times New Roman" w:cs="Times New Roman"/>
          <w:kern w:val="0"/>
        </w:rPr>
        <w:t>, linking empirical findings to actionable recommendations on national AI governance, infrastructure investment, institutional integration, and capacity building. By integrating technical outcomes with policy analysis, the review advances the discourse beyond proof-of-concept toward system-level transformation.</w:t>
      </w:r>
    </w:p>
    <w:p w14:paraId="25CD83CF" w14:textId="77777777"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7.3 Future Research Priorities</w:t>
      </w:r>
    </w:p>
    <w:p w14:paraId="58466939"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To advance AI adoption from pilot success to sustained national impact, future research should prioritize three key areas.</w:t>
      </w:r>
    </w:p>
    <w:p w14:paraId="203FA56C"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First, there is a critical need for </w:t>
      </w:r>
      <w:r w:rsidRPr="00AB68D8">
        <w:rPr>
          <w:rFonts w:ascii="Times New Roman" w:eastAsia="Times New Roman" w:hAnsi="Times New Roman" w:cs="Times New Roman"/>
          <w:b/>
          <w:bCs/>
          <w:kern w:val="0"/>
        </w:rPr>
        <w:t>long-term and longitudinal impact studies</w:t>
      </w:r>
      <w:r w:rsidRPr="00AB68D8">
        <w:rPr>
          <w:rFonts w:ascii="Times New Roman" w:eastAsia="Times New Roman" w:hAnsi="Times New Roman" w:cs="Times New Roman"/>
          <w:kern w:val="0"/>
        </w:rPr>
        <w:t xml:space="preserve"> that assess sustained adoption, productivity dynamics, behavioral change, and economic returns over multiple agricultural seasons. Such studies are essential for evaluating durability and scalability beyon</w:t>
      </w:r>
      <w:r w:rsidR="00027753">
        <w:rPr>
          <w:rFonts w:ascii="Times New Roman" w:eastAsia="Times New Roman" w:hAnsi="Times New Roman" w:cs="Times New Roman"/>
          <w:kern w:val="0"/>
        </w:rPr>
        <w:t>d short-term pilot contexts</w:t>
      </w:r>
      <w:r w:rsidRPr="00AB68D8">
        <w:rPr>
          <w:rFonts w:ascii="Times New Roman" w:eastAsia="Times New Roman" w:hAnsi="Times New Roman" w:cs="Times New Roman"/>
          <w:kern w:val="0"/>
        </w:rPr>
        <w:t>.</w:t>
      </w:r>
    </w:p>
    <w:p w14:paraId="44B9E16C"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Second, future research should promote </w:t>
      </w:r>
      <w:r w:rsidRPr="00AB68D8">
        <w:rPr>
          <w:rFonts w:ascii="Times New Roman" w:eastAsia="Times New Roman" w:hAnsi="Times New Roman" w:cs="Times New Roman"/>
          <w:b/>
          <w:bCs/>
          <w:kern w:val="0"/>
        </w:rPr>
        <w:t>standardized impact metrics and reporting frameworks</w:t>
      </w:r>
      <w:r w:rsidRPr="00AB68D8">
        <w:rPr>
          <w:rFonts w:ascii="Times New Roman" w:eastAsia="Times New Roman" w:hAnsi="Times New Roman" w:cs="Times New Roman"/>
          <w:kern w:val="0"/>
        </w:rPr>
        <w:t xml:space="preserve"> for AI interventions in agriculture. Harmonization of outcome indicators—particularly for yield, income, efficiency, and adoption—would enable meta-analyses and improve comparability across studies and regions.</w:t>
      </w:r>
    </w:p>
    <w:p w14:paraId="2A09C720" w14:textId="77777777"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Third, investment in </w:t>
      </w:r>
      <w:r w:rsidRPr="00AB68D8">
        <w:rPr>
          <w:rFonts w:ascii="Times New Roman" w:eastAsia="Times New Roman" w:hAnsi="Times New Roman" w:cs="Times New Roman"/>
          <w:b/>
          <w:bCs/>
          <w:kern w:val="0"/>
        </w:rPr>
        <w:t>localized AI model development</w:t>
      </w:r>
      <w:r w:rsidRPr="00AB68D8">
        <w:rPr>
          <w:rFonts w:ascii="Times New Roman" w:eastAsia="Times New Roman" w:hAnsi="Times New Roman" w:cs="Times New Roman"/>
          <w:kern w:val="0"/>
        </w:rPr>
        <w:t xml:space="preserve"> is essential. Research should focus on building and validating AI models using Ghana-specific datasets to improve accuracy, relevance, and farmer trust. Collaborative efforts between universities, government agencies, and private-sector innovators can accelerate the creation of inclusive, context-sensitive AI systems.</w:t>
      </w:r>
    </w:p>
    <w:p w14:paraId="5428D6C3" w14:textId="77777777" w:rsid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In conclusion, AI holds significant promise for transforming Ghanaian agriculture, but realizing this potential requires coordinated institutional action, sustained investment, and inclusive research agendas. By synthesizing empirical evidence, identifying structural constraints, and </w:t>
      </w:r>
      <w:r w:rsidRPr="00AB68D8">
        <w:rPr>
          <w:rFonts w:ascii="Times New Roman" w:eastAsia="Times New Roman" w:hAnsi="Times New Roman" w:cs="Times New Roman"/>
          <w:kern w:val="0"/>
        </w:rPr>
        <w:lastRenderedPageBreak/>
        <w:t>outlining clear policy pathways, this review provides a robust foundation for advancing AI-driven agricultural development in Ghana and comparable smallholder-dominated contexts.</w:t>
      </w:r>
    </w:p>
    <w:p w14:paraId="3DC3E343" w14:textId="77777777" w:rsidR="000F7443" w:rsidRDefault="000F7443" w:rsidP="00AB68D8">
      <w:pPr>
        <w:spacing w:before="100" w:beforeAutospacing="1" w:after="100" w:afterAutospacing="1" w:line="240" w:lineRule="auto"/>
        <w:rPr>
          <w:rFonts w:ascii="Times New Roman" w:eastAsia="Times New Roman" w:hAnsi="Times New Roman" w:cs="Times New Roman"/>
          <w:kern w:val="0"/>
        </w:rPr>
      </w:pPr>
    </w:p>
    <w:p w14:paraId="1EF254D0" w14:textId="77777777" w:rsidR="000F7443" w:rsidRPr="00027753" w:rsidRDefault="000F7443" w:rsidP="00AB68D8">
      <w:pPr>
        <w:spacing w:before="100" w:beforeAutospacing="1" w:after="100" w:afterAutospacing="1" w:line="240" w:lineRule="auto"/>
        <w:rPr>
          <w:rFonts w:ascii="Times New Roman" w:eastAsia="Times New Roman" w:hAnsi="Times New Roman" w:cs="Times New Roman"/>
          <w:b/>
          <w:kern w:val="0"/>
        </w:rPr>
      </w:pPr>
      <w:r w:rsidRPr="00027753">
        <w:rPr>
          <w:rFonts w:ascii="Times New Roman" w:eastAsia="Times New Roman" w:hAnsi="Times New Roman" w:cs="Times New Roman"/>
          <w:b/>
          <w:kern w:val="0"/>
        </w:rPr>
        <w:t>REFRENCES</w:t>
      </w:r>
    </w:p>
    <w:p w14:paraId="51AC7060" w14:textId="77777777" w:rsidR="000D175B" w:rsidRDefault="009C0FDA" w:rsidP="000D175B">
      <w:pPr>
        <w:pStyle w:val="Bibliography"/>
      </w:pPr>
      <w:r>
        <w:rPr>
          <w:rFonts w:eastAsia="Times New Roman"/>
          <w:kern w:val="0"/>
        </w:rPr>
        <w:fldChar w:fldCharType="begin"/>
      </w:r>
      <w:r w:rsidR="000F7443">
        <w:rPr>
          <w:rFonts w:eastAsia="Times New Roman"/>
          <w:kern w:val="0"/>
        </w:rPr>
        <w:instrText xml:space="preserve"> ADDIN ZOTERO_BIBL {"uncited":[],"omitted":[],"custom":[]} CSL_BIBLIOGRAPHY </w:instrText>
      </w:r>
      <w:r>
        <w:rPr>
          <w:rFonts w:eastAsia="Times New Roman"/>
          <w:kern w:val="0"/>
        </w:rPr>
        <w:fldChar w:fldCharType="separate"/>
      </w:r>
      <w:r w:rsidR="000D175B">
        <w:t xml:space="preserve">1. </w:t>
      </w:r>
      <w:r w:rsidR="000D175B">
        <w:tab/>
        <w:t xml:space="preserve">Quist A, Xiao B. The Impact of Government Agricultural Policies on the Productivity of Smallholder Farmers in Ghana. Open Access Library Journal. 2024 Aug 13;11(8):1–14. </w:t>
      </w:r>
    </w:p>
    <w:p w14:paraId="5F5FF148" w14:textId="77777777" w:rsidR="000D175B" w:rsidRDefault="000D175B" w:rsidP="000D175B">
      <w:pPr>
        <w:pStyle w:val="Bibliography"/>
      </w:pPr>
      <w:r>
        <w:t xml:space="preserve">2. </w:t>
      </w:r>
      <w:r>
        <w:tab/>
        <w:t>Sithole A, Olorunfemi OD, Sithole A, Olorunfemi OD. Sustainable Agricultural Practices in Sub-Saharan Africa: A Review of Adoption Trends, Impacts, and Challenges Among Smallholder Farmers. Sustainability [Internet]. 2024 Nov 7 [cited 2026 Jan 7];16(22). Available from: https://www.mdpi.com/2071-1050/16/22/9766</w:t>
      </w:r>
    </w:p>
    <w:p w14:paraId="7EB85243" w14:textId="77777777" w:rsidR="000D175B" w:rsidRDefault="000D175B" w:rsidP="000D175B">
      <w:pPr>
        <w:pStyle w:val="Bibliography"/>
      </w:pPr>
      <w:r>
        <w:t xml:space="preserve">3. </w:t>
      </w:r>
      <w:r>
        <w:tab/>
        <w:t xml:space="preserve">Mapiye O, Dzama K. Strengthening research-extension-farmer-input linkage system for sustainable smallholder livestock farming in Africa: progress and prospects. Trop Anim Health Prod. 2024;56(8):363. </w:t>
      </w:r>
    </w:p>
    <w:p w14:paraId="0038BEE4" w14:textId="77777777" w:rsidR="000D175B" w:rsidRDefault="000D175B" w:rsidP="000D175B">
      <w:pPr>
        <w:pStyle w:val="Bibliography"/>
      </w:pPr>
      <w:r>
        <w:t xml:space="preserve">4. </w:t>
      </w:r>
      <w:r>
        <w:tab/>
        <w:t xml:space="preserve">Olorunkosebi MT, Ismaila EO, Lagbel G, Farinde TD, Jimoh TS, John AL. Climate Change and Foodborne Pathogens: A Comprehensive Review of Emerging Risks and Predictive Modelling. Journal of Advances in Food Science &amp; Technology. 2026 Jan 3;13(1):1–20. </w:t>
      </w:r>
    </w:p>
    <w:p w14:paraId="1BFFEFB2" w14:textId="77777777" w:rsidR="000D175B" w:rsidRDefault="000D175B" w:rsidP="000D175B">
      <w:pPr>
        <w:pStyle w:val="Bibliography"/>
      </w:pPr>
      <w:r>
        <w:t xml:space="preserve">5. </w:t>
      </w:r>
      <w:r>
        <w:tab/>
        <w:t xml:space="preserve">Omokaro GO. Multi-impacts of climate change and mitigation strategies in Nigeria: agricultural production and food security. Science in One Health. 2025 Jan 1;4:100113. </w:t>
      </w:r>
    </w:p>
    <w:p w14:paraId="449B425A" w14:textId="77777777" w:rsidR="000D175B" w:rsidRDefault="000D175B" w:rsidP="000D175B">
      <w:pPr>
        <w:pStyle w:val="Bibliography"/>
      </w:pPr>
      <w:r>
        <w:t xml:space="preserve">6. </w:t>
      </w:r>
      <w:r>
        <w:tab/>
        <w:t xml:space="preserve">Asfaw DM, Asnakew YW, Sendkie FB, Abdulkadr AA, Mekonnen BA, Tiruneh HD, et al. Analysis of constraints and opportunities in maize production and marketing in Ethiopia. Heliyon. 2024 Oct 30;10(20):e39606. </w:t>
      </w:r>
    </w:p>
    <w:p w14:paraId="134D51E3" w14:textId="77777777" w:rsidR="000D175B" w:rsidRDefault="000D175B" w:rsidP="000D175B">
      <w:pPr>
        <w:pStyle w:val="Bibliography"/>
      </w:pPr>
      <w:r>
        <w:t xml:space="preserve">7. </w:t>
      </w:r>
      <w:r>
        <w:tab/>
        <w:t>Wu K, Ji Z, Wang H, Shao X, Li H, Zhang W, et al. A Comprehensive Review of AI Methods in Agri-Food Engineering: Applications, Challenges, and Future Directions. Electronics [Internet]. 2025 Oct 11 [cited 2026 Jan 7];14(20). Available from: https://www.mdpi.com/2079-9292/14/20/3994</w:t>
      </w:r>
    </w:p>
    <w:p w14:paraId="184B271E" w14:textId="77777777" w:rsidR="000D175B" w:rsidRDefault="000D175B" w:rsidP="000D175B">
      <w:pPr>
        <w:pStyle w:val="Bibliography"/>
      </w:pPr>
      <w:r>
        <w:t xml:space="preserve">8. </w:t>
      </w:r>
      <w:r>
        <w:tab/>
        <w:t xml:space="preserve">Dhal SB, Kar D. Leveraging artificial intelligence and advanced food processing techniques for enhanced food safety, quality, and security: a comprehensive review. Discov Appl Sci. 2025 Jan 11;7(1):75. </w:t>
      </w:r>
    </w:p>
    <w:p w14:paraId="16285F7A" w14:textId="77777777" w:rsidR="000D175B" w:rsidRDefault="000D175B" w:rsidP="000D175B">
      <w:pPr>
        <w:pStyle w:val="Bibliography"/>
      </w:pPr>
      <w:r>
        <w:t xml:space="preserve">9. </w:t>
      </w:r>
      <w:r>
        <w:tab/>
        <w:t xml:space="preserve">Omotayo AO, Adediran SA, Omotoso AB, Olagunju KO, Omotayo OP. Artificial intelligence in agriculture: ethics, impact possibilities, and pathways for policy. Computers and Electronics in Agriculture. 2025 Dec 1;239:110927. </w:t>
      </w:r>
    </w:p>
    <w:p w14:paraId="25E379ED" w14:textId="77777777" w:rsidR="000D175B" w:rsidRDefault="000D175B" w:rsidP="000D175B">
      <w:pPr>
        <w:pStyle w:val="Bibliography"/>
      </w:pPr>
      <w:r>
        <w:t xml:space="preserve">10. </w:t>
      </w:r>
      <w:r>
        <w:tab/>
        <w:t xml:space="preserve">Maghsoudi M, Mohammadi N, Bakhtiari M. Artificial intelligence and sustainable development: Public concerns and governance in developed and developing nations. Cleaner Environmental Systems. 2025 Dec 1;19:100340. </w:t>
      </w:r>
    </w:p>
    <w:p w14:paraId="22C95231" w14:textId="77777777" w:rsidR="000D175B" w:rsidRDefault="000D175B" w:rsidP="000D175B">
      <w:pPr>
        <w:pStyle w:val="Bibliography"/>
      </w:pPr>
      <w:r>
        <w:lastRenderedPageBreak/>
        <w:t xml:space="preserve">11. </w:t>
      </w:r>
      <w:r>
        <w:tab/>
        <w:t xml:space="preserve">Enabulele ABO, Ojo DA, Egwatu JO, Thomas GA. AI-Augmented Agility: A Comprehensive Review of Generative AI Applications in Agile Project Management. Journal of Global Economics, Management and Business Research. 2025 Oct 24;17(3):349–60. </w:t>
      </w:r>
    </w:p>
    <w:p w14:paraId="2062D428" w14:textId="77777777" w:rsidR="000D175B" w:rsidRDefault="000D175B" w:rsidP="000D175B">
      <w:pPr>
        <w:pStyle w:val="Bibliography"/>
      </w:pPr>
      <w:r>
        <w:t xml:space="preserve">12. </w:t>
      </w:r>
      <w:r>
        <w:tab/>
        <w:t xml:space="preserve">Lawal O, Elechi K, Adekunle F, Farinde O, Kolapo T, Igbokwe C, et al. A Review on Artificial Intelligence and Point-of-Care Diagnostics to Combat Antimicrobial Resistance in Resource-Limited Healthcare Settings like Nigeria: Review Article. Journal of Pharma Insights and Research. 2025 Apr 5;3(2):166–75. </w:t>
      </w:r>
    </w:p>
    <w:p w14:paraId="0A71B869" w14:textId="77777777" w:rsidR="000D175B" w:rsidRDefault="000D175B" w:rsidP="000D175B">
      <w:pPr>
        <w:pStyle w:val="Bibliography"/>
      </w:pPr>
      <w:r>
        <w:t xml:space="preserve">13. </w:t>
      </w:r>
      <w:r>
        <w:tab/>
        <w:t xml:space="preserve">Vijayakumar S, Murugaiyan V, Ilakkiya S, Kumar V, Sundaram RM, Kumar RM. Opportunities, challenges, and interventions for agriculture 4.0 adoption. Discov Food. 2025 Aug 11;5(1):265. </w:t>
      </w:r>
    </w:p>
    <w:p w14:paraId="47BC3843" w14:textId="77777777" w:rsidR="000D175B" w:rsidRDefault="000D175B" w:rsidP="000D175B">
      <w:pPr>
        <w:pStyle w:val="Bibliography"/>
      </w:pPr>
      <w:r>
        <w:t xml:space="preserve">14. </w:t>
      </w:r>
      <w:r>
        <w:tab/>
        <w:t xml:space="preserve">Shadid N, Ahmed V, Bahroun Z. A systematic review of data-driven approaches to food waste and loss management. Cleaner Waste Systems. 2025 Dec 1;12:100448. </w:t>
      </w:r>
    </w:p>
    <w:p w14:paraId="1AC72AF3" w14:textId="77777777" w:rsidR="000D175B" w:rsidRDefault="000D175B" w:rsidP="000D175B">
      <w:pPr>
        <w:pStyle w:val="Bibliography"/>
      </w:pPr>
      <w:r>
        <w:t xml:space="preserve">15. </w:t>
      </w:r>
      <w:r>
        <w:tab/>
        <w:t xml:space="preserve">Agya BA, Agyemang P, Anokye K. Beyond silos: An integrated AI-blockchain framework for sustainable aquaculture in Ghana. Smart Agricultural Technology. 2025 Dec 1;12:101576. </w:t>
      </w:r>
    </w:p>
    <w:p w14:paraId="65C76020" w14:textId="77777777" w:rsidR="000D175B" w:rsidRDefault="000D175B" w:rsidP="000D175B">
      <w:pPr>
        <w:pStyle w:val="Bibliography"/>
      </w:pPr>
      <w:r>
        <w:t xml:space="preserve">16. </w:t>
      </w:r>
      <w:r>
        <w:tab/>
        <w:t>Nan VA, Badea G, Badea AC, Grădinaru AP, Nan VA, Badea G, et al. A Systematic Review of AI-Based Classifications Used in Agricultural Monitoring in the Context of Achieving the Sustainable Development Goals. Sustainability [Internet]. 2025 Sep 22 [cited 2026 Jan 7];17(19). Available from: https://www.mdpi.com/2071-1050/17/19/8526</w:t>
      </w:r>
    </w:p>
    <w:p w14:paraId="2CBFA024" w14:textId="77777777" w:rsidR="000D175B" w:rsidRDefault="000D175B" w:rsidP="000D175B">
      <w:pPr>
        <w:pStyle w:val="Bibliography"/>
      </w:pPr>
      <w:r>
        <w:t xml:space="preserve">17. </w:t>
      </w:r>
      <w:r>
        <w:tab/>
        <w:t xml:space="preserve">Behera D, Fathima J, Saady NMC, Zendehboudi S, Albayati TM, Al-nayili A, et al. Sustainable agriculture through environmental adaptation engineering for waste management. Green Technologies and Sustainability. 2026 Jan 1;4(1):100242. </w:t>
      </w:r>
    </w:p>
    <w:p w14:paraId="4E6F49DD" w14:textId="77777777" w:rsidR="000D175B" w:rsidRDefault="000D175B" w:rsidP="000D175B">
      <w:pPr>
        <w:pStyle w:val="Bibliography"/>
      </w:pPr>
      <w:r>
        <w:t xml:space="preserve">18. </w:t>
      </w:r>
      <w:r>
        <w:tab/>
        <w:t xml:space="preserve">Nautiyal M, Joshi S, Hussain I, Rawat H, Joshi A, Saini A, et al. Revolutionizing agriculture: A comprehensive review on artificial intelligence applications in enhancing properties of agricultural produce. Food Chem X. 2025 Jul 5;29:102748. </w:t>
      </w:r>
    </w:p>
    <w:p w14:paraId="1E717363" w14:textId="77777777" w:rsidR="000D175B" w:rsidRDefault="000D175B" w:rsidP="000D175B">
      <w:pPr>
        <w:pStyle w:val="Bibliography"/>
      </w:pPr>
      <w:r>
        <w:t xml:space="preserve">19. </w:t>
      </w:r>
      <w:r>
        <w:tab/>
        <w:t xml:space="preserve">Benti NE, Chaka MD, Semie AG, Warkineh B, Soromessa T. Transforming agriculture with Machine Learning, Deep Learning, and IoT: perspectives from Ethiopia—challenges and opportunities. Discov Agric. 2024 Oct 1;2(1):63. </w:t>
      </w:r>
    </w:p>
    <w:p w14:paraId="0164571D" w14:textId="77777777" w:rsidR="000D175B" w:rsidRDefault="000D175B" w:rsidP="000D175B">
      <w:pPr>
        <w:pStyle w:val="Bibliography"/>
      </w:pPr>
      <w:r>
        <w:t xml:space="preserve">20. </w:t>
      </w:r>
      <w:r>
        <w:tab/>
        <w:t>Shen Y, Guo X, Zhang X, Shen Y, Guo X, Zhang X. Digital Financial Inclusion, Land Transfer, and Agricultural Green Total Factor Productivity. Sustainability [Internet]. 2023 Apr 9 [cited 2026 Jan 7];15(8). Available from: https://www.mdpi.com/2071-1050/15/8/6436</w:t>
      </w:r>
    </w:p>
    <w:p w14:paraId="016EA537" w14:textId="77777777" w:rsidR="000D175B" w:rsidRDefault="000D175B" w:rsidP="000D175B">
      <w:pPr>
        <w:pStyle w:val="Bibliography"/>
      </w:pPr>
      <w:r>
        <w:t xml:space="preserve">21. </w:t>
      </w:r>
      <w:r>
        <w:tab/>
        <w:t xml:space="preserve">Ojo DA. A Data-Driven Framework for Project Risk Monitoring Using Decision Intelligence and Predictive Analytics. Journal of Management, and Development Research. 2025 Nov 10;2(2):125–36. </w:t>
      </w:r>
    </w:p>
    <w:p w14:paraId="0CC4F2DF" w14:textId="77777777" w:rsidR="000D175B" w:rsidRDefault="000D175B" w:rsidP="000D175B">
      <w:pPr>
        <w:pStyle w:val="Bibliography"/>
      </w:pPr>
      <w:r>
        <w:lastRenderedPageBreak/>
        <w:t xml:space="preserve">22. </w:t>
      </w:r>
      <w:r>
        <w:tab/>
        <w:t>Wang H, Mao Y, Zhou M, Li X. Farmers’ Digital Literacy and Its Impact on Agricultural Green Total Factor Productivity: Evidence from China. Sustainability [Internet]. 2025 Oct 18 [cited 2026 Jan 7];17(20). Available from: https://www.mdpi.com/2071-1050/17/20/9255</w:t>
      </w:r>
    </w:p>
    <w:p w14:paraId="7AA60359" w14:textId="77777777" w:rsidR="000D175B" w:rsidRDefault="000D175B" w:rsidP="000D175B">
      <w:pPr>
        <w:pStyle w:val="Bibliography"/>
      </w:pPr>
      <w:r>
        <w:t xml:space="preserve">23. </w:t>
      </w:r>
      <w:r>
        <w:tab/>
        <w:t xml:space="preserve">Vhatkar KN, Koparde SA, Kothari S, Sarwade J, Sakur K. Enhancing prediction of crop yield and soil health assessment for sustainable agriculture using machine learning approach. MethodsX. 2025 Jun 1;14:103418. </w:t>
      </w:r>
    </w:p>
    <w:p w14:paraId="4DDB76F2" w14:textId="77777777" w:rsidR="000D175B" w:rsidRDefault="000D175B" w:rsidP="000D175B">
      <w:pPr>
        <w:pStyle w:val="Bibliography"/>
      </w:pPr>
      <w:r>
        <w:t xml:space="preserve">24. </w:t>
      </w:r>
      <w:r>
        <w:tab/>
        <w:t>Ali Z, Muhammad A, Lee N, Waqar M, Lee SW, Ali Z, et al. Artificial Intelligence for Sustainable Agriculture: A Comprehensive Review of AI-Driven Technologies in Crop Production. Sustainability [Internet]. 2025 Mar 4 [cited 2026 Jan 7];17(5). Available from: https://www.mdpi.com/2071-1050/17/5/2281</w:t>
      </w:r>
    </w:p>
    <w:p w14:paraId="776F0E55" w14:textId="77777777" w:rsidR="000D175B" w:rsidRDefault="000D175B" w:rsidP="000D175B">
      <w:pPr>
        <w:pStyle w:val="Bibliography"/>
      </w:pPr>
      <w:r>
        <w:t xml:space="preserve">25. </w:t>
      </w:r>
      <w:r>
        <w:tab/>
        <w:t xml:space="preserve">Papadopoulos G, Arduini S, Uyar H, Psiroukis V, Kasimati A, Fountas S. Economic and environmental benefits of digital agricultural technologies in crop production: A review. Smart Agricultural Technology. 2024 Aug 1;8:100441. </w:t>
      </w:r>
    </w:p>
    <w:p w14:paraId="7A85CCB6" w14:textId="77777777" w:rsidR="000D175B" w:rsidRDefault="000D175B" w:rsidP="000D175B">
      <w:pPr>
        <w:pStyle w:val="Bibliography"/>
      </w:pPr>
      <w:r>
        <w:t xml:space="preserve">26. </w:t>
      </w:r>
      <w:r>
        <w:tab/>
        <w:t xml:space="preserve">Amponsah-Doku B, Daymond A, Robinson S, Atuah L, Sizmur T. Improving soil health and closing the yield gap of cocoa production in Ghana – A review. Scientific African. 2022 Mar 1;15:e01075. </w:t>
      </w:r>
    </w:p>
    <w:p w14:paraId="7A0B4971" w14:textId="77777777" w:rsidR="000D175B" w:rsidRDefault="000D175B" w:rsidP="000D175B">
      <w:pPr>
        <w:pStyle w:val="Bibliography"/>
      </w:pPr>
      <w:r>
        <w:t xml:space="preserve">27. </w:t>
      </w:r>
      <w:r>
        <w:tab/>
        <w:t xml:space="preserve">Nurmalitasari, Nurchim, Lestari RD. Artificial intelligence-driven solar smart irrigation for sustainable agriculture: Trends, challenges, and SDG implications – A systematic review. Smart Agricultural Technology. 2025 Dec 1;12:101665. </w:t>
      </w:r>
    </w:p>
    <w:p w14:paraId="1E0D6079" w14:textId="77777777" w:rsidR="000D175B" w:rsidRDefault="000D175B" w:rsidP="000D175B">
      <w:pPr>
        <w:pStyle w:val="Bibliography"/>
      </w:pPr>
      <w:r>
        <w:t xml:space="preserve">28. </w:t>
      </w:r>
      <w:r>
        <w:tab/>
        <w:t>Huang W, Wang X, Huang W, Wang X. The Impact of Technological Innovations on Agricultural Productivity and Environmental Sustainability in China. Sustainability [Internet]. 2024 Sep 28 [cited 2026 Jan 7];16(19). Available from: https://www.mdpi.com/2071-1050/16/19/8480</w:t>
      </w:r>
    </w:p>
    <w:p w14:paraId="023AD582" w14:textId="77777777" w:rsidR="000D175B" w:rsidRDefault="000D175B" w:rsidP="000D175B">
      <w:pPr>
        <w:pStyle w:val="Bibliography"/>
      </w:pPr>
      <w:r>
        <w:t xml:space="preserve">29. </w:t>
      </w:r>
      <w:r>
        <w:tab/>
        <w:t>Hernández GCH, Gómez JG, Jiménez-Cabas J, Hernández GCH, Gómez JG, Jiménez-Cabas J. Predictive Models Based on Artificial Intelligence to Estimate Crop Yield: A Literature Review. Agriculture [Internet]. 2025 Nov 25 [cited 2026 Jan 7];15(23). Available from: https://www.mdpi.com/2077-0472/15/23/2438</w:t>
      </w:r>
    </w:p>
    <w:p w14:paraId="261D7DA6" w14:textId="77777777" w:rsidR="000D175B" w:rsidRDefault="000D175B" w:rsidP="000D175B">
      <w:pPr>
        <w:pStyle w:val="Bibliography"/>
      </w:pPr>
      <w:r>
        <w:t xml:space="preserve">30. </w:t>
      </w:r>
      <w:r>
        <w:tab/>
        <w:t xml:space="preserve">Rana A, Lone AF. Integrated Artificial Intelligence in Weather Forecasting for Agriculture: Opportunities, Challenges, and the Road Ahead. International Journal of Environment and Climate Change. 2025 Nov 22;15(11):594–609. </w:t>
      </w:r>
    </w:p>
    <w:p w14:paraId="5469FD3B" w14:textId="77777777" w:rsidR="000D175B" w:rsidRDefault="000D175B" w:rsidP="000D175B">
      <w:pPr>
        <w:pStyle w:val="Bibliography"/>
      </w:pPr>
      <w:r>
        <w:t xml:space="preserve">31. </w:t>
      </w:r>
      <w:r>
        <w:tab/>
        <w:t xml:space="preserve">Chen X. The role of modern agricultural technologies in improving agricultural productivity and land use efficiency. Front Plant Sci. 2025 Sep 16;16:1675657. </w:t>
      </w:r>
    </w:p>
    <w:p w14:paraId="0124AC8F" w14:textId="77777777" w:rsidR="000D175B" w:rsidRDefault="000D175B" w:rsidP="000D175B">
      <w:pPr>
        <w:pStyle w:val="Bibliography"/>
      </w:pPr>
      <w:r>
        <w:t xml:space="preserve">32. </w:t>
      </w:r>
      <w:r>
        <w:tab/>
        <w:t xml:space="preserve">Kow PY, Wang YT, Chang YW, Lee MH, Yao MH, Chang LC, et al. AI-driven weather downscaling for smart agriculture using autoencoders and transformers. Computers and Electronics in Agriculture. 2025 May 1;232:110129. </w:t>
      </w:r>
    </w:p>
    <w:p w14:paraId="76FCA18B" w14:textId="77777777" w:rsidR="000D175B" w:rsidRDefault="000D175B" w:rsidP="000D175B">
      <w:pPr>
        <w:pStyle w:val="Bibliography"/>
      </w:pPr>
      <w:r>
        <w:lastRenderedPageBreak/>
        <w:t xml:space="preserve">33. </w:t>
      </w:r>
      <w:r>
        <w:tab/>
        <w:t>Sawadogo S, Tiendrebeogo F, Tibiri EB, Name PE, Djigma F, Traoré L, et al. Artificial intelligence tool for cassava viral diseases diagnosis using participatory surveillance in Burkina Faso. Front Sustain Food Syst [Internet]. 2025 Sep 2 [cited 2026 Jan 7];9. Available from: https://www.frontiersin.org/journals/sustainable-food-systems/articles/10.3389/fsufs.2025.1597039/full</w:t>
      </w:r>
    </w:p>
    <w:p w14:paraId="54CE4928" w14:textId="77777777" w:rsidR="000D175B" w:rsidRDefault="000D175B" w:rsidP="000D175B">
      <w:pPr>
        <w:pStyle w:val="Bibliography"/>
      </w:pPr>
      <w:r>
        <w:t xml:space="preserve">34. </w:t>
      </w:r>
      <w:r>
        <w:tab/>
        <w:t>Lupica S, Privitera S, Sfrazzetto AT, Cerruto E, Manetto G, Lupica S, et al. Toward Modern Pesticide Use Reduction Strategies in Advancing Precision Agriculture: A Bibliometric Review. AgriEngineering [Internet]. 2025 Oct 11 [cited 2026 Jan 7];7(10). Available from: https://www.mdpi.com/2624-7402/7/10/346</w:t>
      </w:r>
    </w:p>
    <w:p w14:paraId="08D96C0F" w14:textId="77777777" w:rsidR="000D175B" w:rsidRDefault="000D175B" w:rsidP="000D175B">
      <w:pPr>
        <w:pStyle w:val="Bibliography"/>
      </w:pPr>
      <w:r>
        <w:t xml:space="preserve">35. </w:t>
      </w:r>
      <w:r>
        <w:tab/>
        <w:t xml:space="preserve">Aijaz N, Lan H, Raza T, Yaqub M, Iqbal R, Pathan MS. Artificial intelligence in agriculture: Advancing crop productivity and sustainability. Journal of Agriculture and Food Research. 2025 Apr 1;20:101762. </w:t>
      </w:r>
    </w:p>
    <w:p w14:paraId="18133DD7" w14:textId="77777777" w:rsidR="000D175B" w:rsidRDefault="000D175B" w:rsidP="000D175B">
      <w:pPr>
        <w:pStyle w:val="Bibliography"/>
      </w:pPr>
      <w:r>
        <w:t xml:space="preserve">36. </w:t>
      </w:r>
      <w:r>
        <w:tab/>
        <w:t xml:space="preserve">Jayalath MM, Ratnayake RMC, Perera HN, Thibbotuwawa A. Digitalizing traditional agri-food supply chains in developing economies: A pathway to regulated sustainable governance. Sustainable Futures. 2025 Dec 1;10:101356. </w:t>
      </w:r>
    </w:p>
    <w:p w14:paraId="35381209" w14:textId="77777777" w:rsidR="000D175B" w:rsidRDefault="000D175B" w:rsidP="000D175B">
      <w:pPr>
        <w:pStyle w:val="Bibliography"/>
      </w:pPr>
      <w:r>
        <w:t xml:space="preserve">37. </w:t>
      </w:r>
      <w:r>
        <w:tab/>
        <w:t xml:space="preserve">Qange S, Mdoda L, Mditshwa A. Modeling the critical causal factors of postharvest losses in the vegetable supply chain in eThekwini metropolitan municipality: The log-linear regression model. Heliyon. 2024 Oct 30;10(20):e39565. </w:t>
      </w:r>
    </w:p>
    <w:p w14:paraId="4318AE33" w14:textId="77777777" w:rsidR="000D175B" w:rsidRDefault="000D175B" w:rsidP="000D175B">
      <w:pPr>
        <w:pStyle w:val="Bibliography"/>
      </w:pPr>
      <w:r>
        <w:t xml:space="preserve">38. </w:t>
      </w:r>
      <w:r>
        <w:tab/>
        <w:t xml:space="preserve">Tay LY, Tai HT, Tan GS. Digital financial inclusion: A gateway to sustainable development. Heliyon. 2022 Jun 1;8(6):e09766. </w:t>
      </w:r>
    </w:p>
    <w:p w14:paraId="24DFA695" w14:textId="77777777" w:rsidR="000D175B" w:rsidRDefault="000D175B" w:rsidP="000D175B">
      <w:pPr>
        <w:pStyle w:val="Bibliography"/>
      </w:pPr>
      <w:r>
        <w:t xml:space="preserve">39. </w:t>
      </w:r>
      <w:r>
        <w:tab/>
        <w:t xml:space="preserve">Adediran BI, Onyegbula AF, Oyeyipo SO, Ahmed T, Fashanu TA, Ariyo DO. Smart Postharvest Management: Leveraging AI for Reduced Food Loss, Waste, and Improved Quality. Journal of Agriculture and Rural Development Studies. 2025;(3):5–16. </w:t>
      </w:r>
    </w:p>
    <w:p w14:paraId="3306639E" w14:textId="77777777" w:rsidR="000D175B" w:rsidRDefault="000D175B" w:rsidP="000D175B">
      <w:pPr>
        <w:pStyle w:val="Bibliography"/>
      </w:pPr>
      <w:r>
        <w:t xml:space="preserve">40. </w:t>
      </w:r>
      <w:r>
        <w:tab/>
        <w:t xml:space="preserve">Xiong C, Wang Y, Wu Z, Liu F. What drives the development of digital rural life in China? Heliyon. 2024 Nov 30;10(22):e39511. </w:t>
      </w:r>
    </w:p>
    <w:p w14:paraId="172874CD" w14:textId="77777777" w:rsidR="000D175B" w:rsidRDefault="000D175B" w:rsidP="000D175B">
      <w:pPr>
        <w:pStyle w:val="Bibliography"/>
      </w:pPr>
      <w:r>
        <w:t xml:space="preserve">41. </w:t>
      </w:r>
      <w:r>
        <w:tab/>
        <w:t xml:space="preserve">Choruma DJ, Dirwai TL, Mutenje MJ, Mustafa M, Chimonyo VGP, Jacobs-Mata I, et al. Digitalisation in agriculture: A scoping review of technologies in practice, challenges, and opportunities for smallholder farmers in sub-saharan africa. Journal of Agriculture and Food Research. 2024 Dec 1;18:101286. </w:t>
      </w:r>
    </w:p>
    <w:p w14:paraId="06158C22" w14:textId="77777777" w:rsidR="000D175B" w:rsidRDefault="000D175B" w:rsidP="000D175B">
      <w:pPr>
        <w:pStyle w:val="Bibliography"/>
      </w:pPr>
      <w:r>
        <w:t xml:space="preserve">42. </w:t>
      </w:r>
      <w:r>
        <w:tab/>
        <w:t>Haque SA, Jufaili SMA. Applications of Artificial Intelligence in Fisheries: From Data to Decisions. Big Data and Cognitive Computing [Internet]. 2026 Jan 5 [cited 2026 Jan 7];10(1). Available from: https://www.mdpi.com/2504-2289/10/1/19</w:t>
      </w:r>
    </w:p>
    <w:p w14:paraId="03AD958C" w14:textId="77777777" w:rsidR="000D175B" w:rsidRDefault="000D175B" w:rsidP="000D175B">
      <w:pPr>
        <w:pStyle w:val="Bibliography"/>
      </w:pPr>
      <w:r>
        <w:t xml:space="preserve">43. </w:t>
      </w:r>
      <w:r>
        <w:tab/>
        <w:t xml:space="preserve">Mokgomo MN, Chagwiza C, Tshilowa PF, Mokgomo MN, Chagwiza C, Tshilowa PF. The Impact of Government Agricultural Development Support on Agricultural Income, Production and Food Security of Beneficiary Small-Scale Farmers in South Africa. Agriculture </w:t>
      </w:r>
      <w:r>
        <w:lastRenderedPageBreak/>
        <w:t>[Internet]. 2022 Oct 24 [cited 2026 Jan 7];12(11). Available from: https://www.mdpi.com/2077-0472/12/11/1760</w:t>
      </w:r>
    </w:p>
    <w:p w14:paraId="354EE13E" w14:textId="77777777" w:rsidR="000D175B" w:rsidRDefault="000D175B" w:rsidP="000D175B">
      <w:pPr>
        <w:pStyle w:val="Bibliography"/>
      </w:pPr>
      <w:r>
        <w:t xml:space="preserve">44. </w:t>
      </w:r>
      <w:r>
        <w:tab/>
        <w:t xml:space="preserve">Ryan M. The social and ethical impacts of artificial intelligence in agriculture: mapping the agricultural AI literature. AI &amp; Soc. 2023 Dec 1;38(6):2473–85. </w:t>
      </w:r>
    </w:p>
    <w:p w14:paraId="2E23E902" w14:textId="77777777" w:rsidR="000D175B" w:rsidRDefault="000D175B" w:rsidP="000D175B">
      <w:pPr>
        <w:pStyle w:val="Bibliography"/>
      </w:pPr>
      <w:r>
        <w:t xml:space="preserve">45. </w:t>
      </w:r>
      <w:r>
        <w:tab/>
        <w:t xml:space="preserve">Manzoor S, Fayaz U, Dar AH, Dash KK, Shams R, Bashir I, et al. Sustainable development goals through reducing food loss and food waste: A comprehensive review. Future Foods. 2024 Jun 1;9:100362. </w:t>
      </w:r>
    </w:p>
    <w:p w14:paraId="32AEB144" w14:textId="77777777" w:rsidR="000D175B" w:rsidRDefault="000D175B" w:rsidP="000D175B">
      <w:pPr>
        <w:pStyle w:val="Bibliography"/>
      </w:pPr>
      <w:r>
        <w:t xml:space="preserve">46. </w:t>
      </w:r>
      <w:r>
        <w:tab/>
        <w:t xml:space="preserve">Cho H, Ackom E. Artificial Intelligence (AI)-driven approach to climate action and sustainable development. Nat Commun. 2025 Jan 31;16(1):1228. </w:t>
      </w:r>
    </w:p>
    <w:p w14:paraId="72D358BD" w14:textId="77777777" w:rsidR="000D175B" w:rsidRDefault="000D175B" w:rsidP="000D175B">
      <w:pPr>
        <w:pStyle w:val="Bibliography"/>
      </w:pPr>
      <w:r>
        <w:t xml:space="preserve">47. </w:t>
      </w:r>
      <w:r>
        <w:tab/>
        <w:t>Stoian D, Monterroso I, Current D. SDG 8: Decent Work and Economic Growth – Potential Impacts on Forests and Forest-Dependent Livelihoods. In: Pierce Colfer CJ, Winkel G, Galloway G, Pacheco P, Katila P, de Jong W, editors. Sustainable Development Goals: Their Impacts on Forests and People [Internet]. Cambridge: Cambridge University Press; 2019 [cited 2026 Jan 7]. p. 237–78. Available from: https://www.cambridge.org/core/books/sustainable-development-goals-their-impacts-on-forests-and-people/sdg-8-decent-work-and-economic-growth-potential-impacts-on-forests-and-forestdependent-livelihoods/C881A1CC4EE9BFB1F92BF2244D631F7A</w:t>
      </w:r>
    </w:p>
    <w:p w14:paraId="31003F1A" w14:textId="77777777" w:rsidR="000D175B" w:rsidRDefault="000D175B" w:rsidP="000D175B">
      <w:pPr>
        <w:pStyle w:val="Bibliography"/>
      </w:pPr>
      <w:r>
        <w:t xml:space="preserve">48. </w:t>
      </w:r>
      <w:r>
        <w:tab/>
        <w:t>Amalan AA, Aram IA. Artificial Intelligence Adoption in Non-Chemical Agriculture: An Integrated Mechanism for Sustainable Practices. Sustainability [Internet]. 2025 Oct 4 [cited 2026 Jan 7];17(19). Available from: https://www.mdpi.com/2071-1050/17/19/8865</w:t>
      </w:r>
    </w:p>
    <w:p w14:paraId="71818669" w14:textId="77777777" w:rsidR="000D175B" w:rsidRDefault="000D175B" w:rsidP="000D175B">
      <w:pPr>
        <w:pStyle w:val="Bibliography"/>
      </w:pPr>
      <w:r>
        <w:t xml:space="preserve">49. </w:t>
      </w:r>
      <w:r>
        <w:tab/>
        <w:t xml:space="preserve">Farinha CA, Martins FC. 5G Internet in Rural Areas: Impacts, Challenges and Sustainable Strategies for Development. Revista de Gestão Social e Ambiental - RGSA. 2025 Feb 4;19(1):e011106–e011106. </w:t>
      </w:r>
    </w:p>
    <w:p w14:paraId="110E4C4E" w14:textId="77777777" w:rsidR="000D175B" w:rsidRDefault="000D175B" w:rsidP="000D175B">
      <w:pPr>
        <w:pStyle w:val="Bibliography"/>
      </w:pPr>
      <w:r>
        <w:t xml:space="preserve">50. </w:t>
      </w:r>
      <w:r>
        <w:tab/>
        <w:t xml:space="preserve">Kpodo J, Nejadhashemi AP. Navigating challenges/opportunities in developing smart agricultural extension platforms: Multi-media data mining techniques. Artificial Intelligence in Agriculture. 2025 Sep 1;15(3):426–48. </w:t>
      </w:r>
    </w:p>
    <w:p w14:paraId="6C91FE03" w14:textId="77777777" w:rsidR="000D175B" w:rsidRDefault="000D175B" w:rsidP="000D175B">
      <w:pPr>
        <w:pStyle w:val="Bibliography"/>
      </w:pPr>
      <w:r>
        <w:t xml:space="preserve">51. </w:t>
      </w:r>
      <w:r>
        <w:tab/>
        <w:t xml:space="preserve">Liu LX, Clegg S, Pollack J. The Effect of Public–Private Partnerships on Innovation in Infrastructure Delivery. Project Management Journal. 2024 Feb 1;55(1):31–49. </w:t>
      </w:r>
    </w:p>
    <w:p w14:paraId="37CAA357" w14:textId="77777777" w:rsidR="000D175B" w:rsidRDefault="000D175B" w:rsidP="000D175B">
      <w:pPr>
        <w:pStyle w:val="Bibliography"/>
      </w:pPr>
      <w:r>
        <w:t xml:space="preserve">52. </w:t>
      </w:r>
      <w:r>
        <w:tab/>
        <w:t>Alherimi N, Abdulmaksoud S, Ahmed V, Bahroun Z, Alherimi N, Abdulmaksoud S, et al. A Systematic Literature Review of Artificial Intelligence Advancements in Green Human Resource Management. Sustainability [Internet]. 2025 Nov 16 [cited 2026 Jan 7];17(22). Available from: https://www.mdpi.com/2071-1050/17/22/10283</w:t>
      </w:r>
    </w:p>
    <w:p w14:paraId="73E909F5" w14:textId="77777777" w:rsidR="000D175B" w:rsidRDefault="000D175B" w:rsidP="000D175B">
      <w:pPr>
        <w:pStyle w:val="Bibliography"/>
      </w:pPr>
      <w:r>
        <w:t xml:space="preserve">53. </w:t>
      </w:r>
      <w:r>
        <w:tab/>
        <w:t xml:space="preserve">Cresswell K, Williams R, Dungey S, Anderson S, Bernabeu MO, Mozaffar H, et al. A mixed methods formative evaluation of the United Kingdom National Health Service Artificial Intelligence Lab. NPJ Digit Med. 2025 Jul 17;8:448. </w:t>
      </w:r>
    </w:p>
    <w:p w14:paraId="4E2FF589" w14:textId="77777777" w:rsidR="000D175B" w:rsidRDefault="000D175B" w:rsidP="000D175B">
      <w:pPr>
        <w:pStyle w:val="Bibliography"/>
      </w:pPr>
      <w:r>
        <w:lastRenderedPageBreak/>
        <w:t xml:space="preserve">54. </w:t>
      </w:r>
      <w:r>
        <w:tab/>
        <w:t>Li F, Pan X, Liu Y, Wu J, Li F, Pan X, et al. Agricultural Technology Extension and Farmers’ Income: Evidence from China. Economies [Internet]. 2025 Nov 13 [cited 2026 Jan 7];13(11). Available from: https://www.mdpi.com/2227-7099/13/11/331</w:t>
      </w:r>
    </w:p>
    <w:p w14:paraId="20EB7A96" w14:textId="77777777" w:rsidR="000F7443" w:rsidRPr="00AB68D8" w:rsidRDefault="009C0FDA" w:rsidP="00AB68D8">
      <w:p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fldChar w:fldCharType="end"/>
      </w:r>
    </w:p>
    <w:p w14:paraId="04CAA2F7" w14:textId="77777777" w:rsidR="003F0B06" w:rsidRDefault="003F0B06"/>
    <w:sectPr w:rsidR="003F0B06" w:rsidSect="003C3F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333E" w14:textId="77777777" w:rsidR="0045372F" w:rsidRDefault="0045372F" w:rsidP="007606A8">
      <w:pPr>
        <w:spacing w:after="0" w:line="240" w:lineRule="auto"/>
      </w:pPr>
      <w:r>
        <w:separator/>
      </w:r>
    </w:p>
  </w:endnote>
  <w:endnote w:type="continuationSeparator" w:id="0">
    <w:p w14:paraId="4BBBA763" w14:textId="77777777" w:rsidR="0045372F" w:rsidRDefault="0045372F" w:rsidP="0076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6583" w14:textId="77777777" w:rsidR="007606A8" w:rsidRDefault="00760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248" w14:textId="77777777" w:rsidR="007606A8" w:rsidRDefault="00760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65D2" w14:textId="77777777" w:rsidR="007606A8" w:rsidRDefault="00760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BD67" w14:textId="77777777" w:rsidR="0045372F" w:rsidRDefault="0045372F" w:rsidP="007606A8">
      <w:pPr>
        <w:spacing w:after="0" w:line="240" w:lineRule="auto"/>
      </w:pPr>
      <w:r>
        <w:separator/>
      </w:r>
    </w:p>
  </w:footnote>
  <w:footnote w:type="continuationSeparator" w:id="0">
    <w:p w14:paraId="6F6BAC10" w14:textId="77777777" w:rsidR="0045372F" w:rsidRDefault="0045372F" w:rsidP="00760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0A32" w14:textId="77777777" w:rsidR="007606A8" w:rsidRDefault="00000000">
    <w:pPr>
      <w:pStyle w:val="Header"/>
    </w:pPr>
    <w:r>
      <w:rPr>
        <w:noProof/>
      </w:rPr>
      <w:pict w14:anchorId="21A85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4757" w14:textId="77777777" w:rsidR="007606A8" w:rsidRDefault="00000000">
    <w:pPr>
      <w:pStyle w:val="Header"/>
    </w:pPr>
    <w:r>
      <w:rPr>
        <w:noProof/>
      </w:rPr>
      <w:pict w14:anchorId="52977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D0F1" w14:textId="77777777" w:rsidR="007606A8" w:rsidRDefault="00000000">
    <w:pPr>
      <w:pStyle w:val="Header"/>
    </w:pPr>
    <w:r>
      <w:rPr>
        <w:noProof/>
      </w:rPr>
      <w:pict w14:anchorId="18CFA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02C3"/>
    <w:multiLevelType w:val="multilevel"/>
    <w:tmpl w:val="5FC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38CE"/>
    <w:multiLevelType w:val="multilevel"/>
    <w:tmpl w:val="F28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57EB"/>
    <w:multiLevelType w:val="multilevel"/>
    <w:tmpl w:val="1C8C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65A5"/>
    <w:multiLevelType w:val="multilevel"/>
    <w:tmpl w:val="56F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0107F"/>
    <w:multiLevelType w:val="multilevel"/>
    <w:tmpl w:val="29D2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45A6B"/>
    <w:multiLevelType w:val="multilevel"/>
    <w:tmpl w:val="FB70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57F71"/>
    <w:multiLevelType w:val="multilevel"/>
    <w:tmpl w:val="B98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D7DD6"/>
    <w:multiLevelType w:val="multilevel"/>
    <w:tmpl w:val="923A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761C5"/>
    <w:multiLevelType w:val="multilevel"/>
    <w:tmpl w:val="2BFE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71119"/>
    <w:multiLevelType w:val="multilevel"/>
    <w:tmpl w:val="62D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6774C"/>
    <w:multiLevelType w:val="hybridMultilevel"/>
    <w:tmpl w:val="EE54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E6BEE"/>
    <w:multiLevelType w:val="multilevel"/>
    <w:tmpl w:val="BCAA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385826"/>
    <w:multiLevelType w:val="multilevel"/>
    <w:tmpl w:val="F07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B28E0"/>
    <w:multiLevelType w:val="multilevel"/>
    <w:tmpl w:val="8364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740257">
    <w:abstractNumId w:val="11"/>
  </w:num>
  <w:num w:numId="2" w16cid:durableId="1834107856">
    <w:abstractNumId w:val="9"/>
  </w:num>
  <w:num w:numId="3" w16cid:durableId="828785432">
    <w:abstractNumId w:val="1"/>
  </w:num>
  <w:num w:numId="4" w16cid:durableId="617837579">
    <w:abstractNumId w:val="5"/>
  </w:num>
  <w:num w:numId="5" w16cid:durableId="1736515281">
    <w:abstractNumId w:val="7"/>
  </w:num>
  <w:num w:numId="6" w16cid:durableId="154493353">
    <w:abstractNumId w:val="2"/>
  </w:num>
  <w:num w:numId="7" w16cid:durableId="1958682014">
    <w:abstractNumId w:val="6"/>
  </w:num>
  <w:num w:numId="8" w16cid:durableId="248933060">
    <w:abstractNumId w:val="0"/>
  </w:num>
  <w:num w:numId="9" w16cid:durableId="774057452">
    <w:abstractNumId w:val="12"/>
  </w:num>
  <w:num w:numId="10" w16cid:durableId="1596356873">
    <w:abstractNumId w:val="13"/>
  </w:num>
  <w:num w:numId="11" w16cid:durableId="211187570">
    <w:abstractNumId w:val="4"/>
  </w:num>
  <w:num w:numId="12" w16cid:durableId="768231882">
    <w:abstractNumId w:val="3"/>
  </w:num>
  <w:num w:numId="13" w16cid:durableId="467624521">
    <w:abstractNumId w:val="8"/>
  </w:num>
  <w:num w:numId="14" w16cid:durableId="220875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DA"/>
    <w:rsid w:val="00027753"/>
    <w:rsid w:val="0004444D"/>
    <w:rsid w:val="000862A7"/>
    <w:rsid w:val="000C17B1"/>
    <w:rsid w:val="000C6A27"/>
    <w:rsid w:val="000D175B"/>
    <w:rsid w:val="000F7443"/>
    <w:rsid w:val="00124161"/>
    <w:rsid w:val="0013417D"/>
    <w:rsid w:val="00193683"/>
    <w:rsid w:val="00193FEC"/>
    <w:rsid w:val="001A2905"/>
    <w:rsid w:val="001E2E21"/>
    <w:rsid w:val="00261D41"/>
    <w:rsid w:val="002F6694"/>
    <w:rsid w:val="003018B9"/>
    <w:rsid w:val="0036552A"/>
    <w:rsid w:val="003752DA"/>
    <w:rsid w:val="003837F6"/>
    <w:rsid w:val="003C3F4B"/>
    <w:rsid w:val="003D07CD"/>
    <w:rsid w:val="003F0B06"/>
    <w:rsid w:val="00435E44"/>
    <w:rsid w:val="0044608C"/>
    <w:rsid w:val="0045372F"/>
    <w:rsid w:val="00454DFE"/>
    <w:rsid w:val="00464811"/>
    <w:rsid w:val="00691FFA"/>
    <w:rsid w:val="006F531A"/>
    <w:rsid w:val="00714E15"/>
    <w:rsid w:val="007606A8"/>
    <w:rsid w:val="007F203E"/>
    <w:rsid w:val="00830C36"/>
    <w:rsid w:val="00831EAC"/>
    <w:rsid w:val="008558F5"/>
    <w:rsid w:val="00864523"/>
    <w:rsid w:val="008A2A82"/>
    <w:rsid w:val="009107F5"/>
    <w:rsid w:val="009301E7"/>
    <w:rsid w:val="00940981"/>
    <w:rsid w:val="00970774"/>
    <w:rsid w:val="00984F13"/>
    <w:rsid w:val="009955B6"/>
    <w:rsid w:val="009C0FDA"/>
    <w:rsid w:val="00A14203"/>
    <w:rsid w:val="00A4595E"/>
    <w:rsid w:val="00AB68D8"/>
    <w:rsid w:val="00AD780F"/>
    <w:rsid w:val="00B54115"/>
    <w:rsid w:val="00B55F47"/>
    <w:rsid w:val="00BB0151"/>
    <w:rsid w:val="00BF7808"/>
    <w:rsid w:val="00C33EDD"/>
    <w:rsid w:val="00C34D67"/>
    <w:rsid w:val="00D12461"/>
    <w:rsid w:val="00E1016C"/>
    <w:rsid w:val="00E12C6F"/>
    <w:rsid w:val="00E3497A"/>
    <w:rsid w:val="00E67F64"/>
    <w:rsid w:val="00E978B2"/>
    <w:rsid w:val="00EA3EC8"/>
    <w:rsid w:val="00EA5905"/>
    <w:rsid w:val="00EC4487"/>
    <w:rsid w:val="00EE4476"/>
    <w:rsid w:val="00F1190E"/>
    <w:rsid w:val="00F267E3"/>
    <w:rsid w:val="00F711F4"/>
    <w:rsid w:val="00F8039B"/>
    <w:rsid w:val="00FA3712"/>
    <w:rsid w:val="00FB4A71"/>
    <w:rsid w:val="00FD58C5"/>
    <w:rsid w:val="00FF2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1668"/>
  <w15:docId w15:val="{49BCFEAC-97FE-4295-A36A-AA706855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4B"/>
  </w:style>
  <w:style w:type="paragraph" w:styleId="Heading1">
    <w:name w:val="heading 1"/>
    <w:basedOn w:val="Normal"/>
    <w:link w:val="Heading1Char"/>
    <w:uiPriority w:val="9"/>
    <w:qFormat/>
    <w:rsid w:val="003752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52DA"/>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52D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52DA"/>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52DA"/>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3752DA"/>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52DA"/>
    <w:rPr>
      <w:b/>
      <w:bCs/>
    </w:rPr>
  </w:style>
  <w:style w:type="character" w:styleId="Emphasis">
    <w:name w:val="Emphasis"/>
    <w:basedOn w:val="DefaultParagraphFont"/>
    <w:uiPriority w:val="20"/>
    <w:qFormat/>
    <w:rsid w:val="003752DA"/>
    <w:rPr>
      <w:i/>
      <w:iCs/>
    </w:rPr>
  </w:style>
  <w:style w:type="paragraph" w:styleId="BalloonText">
    <w:name w:val="Balloon Text"/>
    <w:basedOn w:val="Normal"/>
    <w:link w:val="BalloonTextChar"/>
    <w:uiPriority w:val="99"/>
    <w:semiHidden/>
    <w:unhideWhenUsed/>
    <w:rsid w:val="0098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F13"/>
    <w:rPr>
      <w:rFonts w:ascii="Tahoma" w:hAnsi="Tahoma" w:cs="Tahoma"/>
      <w:sz w:val="16"/>
      <w:szCs w:val="16"/>
    </w:rPr>
  </w:style>
  <w:style w:type="paragraph" w:styleId="Bibliography">
    <w:name w:val="Bibliography"/>
    <w:basedOn w:val="Normal"/>
    <w:next w:val="Normal"/>
    <w:uiPriority w:val="37"/>
    <w:unhideWhenUsed/>
    <w:rsid w:val="000F7443"/>
    <w:pPr>
      <w:tabs>
        <w:tab w:val="left" w:pos="384"/>
      </w:tabs>
      <w:spacing w:after="240" w:line="240" w:lineRule="auto"/>
      <w:ind w:left="384" w:hanging="384"/>
    </w:pPr>
  </w:style>
  <w:style w:type="paragraph" w:styleId="ListParagraph">
    <w:name w:val="List Paragraph"/>
    <w:basedOn w:val="Normal"/>
    <w:uiPriority w:val="34"/>
    <w:qFormat/>
    <w:rsid w:val="00435E44"/>
    <w:pPr>
      <w:ind w:left="720"/>
      <w:contextualSpacing/>
    </w:pPr>
  </w:style>
  <w:style w:type="character" w:styleId="Hyperlink">
    <w:name w:val="Hyperlink"/>
    <w:basedOn w:val="DefaultParagraphFont"/>
    <w:uiPriority w:val="99"/>
    <w:unhideWhenUsed/>
    <w:rsid w:val="00435E44"/>
    <w:rPr>
      <w:color w:val="0563C1" w:themeColor="hyperlink"/>
      <w:u w:val="single"/>
    </w:rPr>
  </w:style>
  <w:style w:type="character" w:styleId="UnresolvedMention">
    <w:name w:val="Unresolved Mention"/>
    <w:basedOn w:val="DefaultParagraphFont"/>
    <w:uiPriority w:val="99"/>
    <w:semiHidden/>
    <w:unhideWhenUsed/>
    <w:rsid w:val="00D12461"/>
    <w:rPr>
      <w:color w:val="605E5C"/>
      <w:shd w:val="clear" w:color="auto" w:fill="E1DFDD"/>
    </w:rPr>
  </w:style>
  <w:style w:type="paragraph" w:styleId="Header">
    <w:name w:val="header"/>
    <w:basedOn w:val="Normal"/>
    <w:link w:val="HeaderChar"/>
    <w:uiPriority w:val="99"/>
    <w:unhideWhenUsed/>
    <w:rsid w:val="00760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A8"/>
  </w:style>
  <w:style w:type="paragraph" w:styleId="Footer">
    <w:name w:val="footer"/>
    <w:basedOn w:val="Normal"/>
    <w:link w:val="FooterChar"/>
    <w:uiPriority w:val="99"/>
    <w:unhideWhenUsed/>
    <w:rsid w:val="0076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73906">
      <w:bodyDiv w:val="1"/>
      <w:marLeft w:val="0"/>
      <w:marRight w:val="0"/>
      <w:marTop w:val="0"/>
      <w:marBottom w:val="0"/>
      <w:divBdr>
        <w:top w:val="none" w:sz="0" w:space="0" w:color="auto"/>
        <w:left w:val="none" w:sz="0" w:space="0" w:color="auto"/>
        <w:bottom w:val="none" w:sz="0" w:space="0" w:color="auto"/>
        <w:right w:val="none" w:sz="0" w:space="0" w:color="auto"/>
      </w:divBdr>
    </w:div>
    <w:div w:id="368650711">
      <w:bodyDiv w:val="1"/>
      <w:marLeft w:val="0"/>
      <w:marRight w:val="0"/>
      <w:marTop w:val="0"/>
      <w:marBottom w:val="0"/>
      <w:divBdr>
        <w:top w:val="none" w:sz="0" w:space="0" w:color="auto"/>
        <w:left w:val="none" w:sz="0" w:space="0" w:color="auto"/>
        <w:bottom w:val="none" w:sz="0" w:space="0" w:color="auto"/>
        <w:right w:val="none" w:sz="0" w:space="0" w:color="auto"/>
      </w:divBdr>
    </w:div>
    <w:div w:id="662512597">
      <w:bodyDiv w:val="1"/>
      <w:marLeft w:val="0"/>
      <w:marRight w:val="0"/>
      <w:marTop w:val="0"/>
      <w:marBottom w:val="0"/>
      <w:divBdr>
        <w:top w:val="none" w:sz="0" w:space="0" w:color="auto"/>
        <w:left w:val="none" w:sz="0" w:space="0" w:color="auto"/>
        <w:bottom w:val="none" w:sz="0" w:space="0" w:color="auto"/>
        <w:right w:val="none" w:sz="0" w:space="0" w:color="auto"/>
      </w:divBdr>
    </w:div>
    <w:div w:id="888684910">
      <w:bodyDiv w:val="1"/>
      <w:marLeft w:val="0"/>
      <w:marRight w:val="0"/>
      <w:marTop w:val="0"/>
      <w:marBottom w:val="0"/>
      <w:divBdr>
        <w:top w:val="none" w:sz="0" w:space="0" w:color="auto"/>
        <w:left w:val="none" w:sz="0" w:space="0" w:color="auto"/>
        <w:bottom w:val="none" w:sz="0" w:space="0" w:color="auto"/>
        <w:right w:val="none" w:sz="0" w:space="0" w:color="auto"/>
      </w:divBdr>
    </w:div>
    <w:div w:id="935209348">
      <w:bodyDiv w:val="1"/>
      <w:marLeft w:val="0"/>
      <w:marRight w:val="0"/>
      <w:marTop w:val="0"/>
      <w:marBottom w:val="0"/>
      <w:divBdr>
        <w:top w:val="none" w:sz="0" w:space="0" w:color="auto"/>
        <w:left w:val="none" w:sz="0" w:space="0" w:color="auto"/>
        <w:bottom w:val="none" w:sz="0" w:space="0" w:color="auto"/>
        <w:right w:val="none" w:sz="0" w:space="0" w:color="auto"/>
      </w:divBdr>
    </w:div>
    <w:div w:id="1503204902">
      <w:bodyDiv w:val="1"/>
      <w:marLeft w:val="0"/>
      <w:marRight w:val="0"/>
      <w:marTop w:val="0"/>
      <w:marBottom w:val="0"/>
      <w:divBdr>
        <w:top w:val="none" w:sz="0" w:space="0" w:color="auto"/>
        <w:left w:val="none" w:sz="0" w:space="0" w:color="auto"/>
        <w:bottom w:val="none" w:sz="0" w:space="0" w:color="auto"/>
        <w:right w:val="none" w:sz="0" w:space="0" w:color="auto"/>
      </w:divBdr>
    </w:div>
    <w:div w:id="1843356159">
      <w:bodyDiv w:val="1"/>
      <w:marLeft w:val="0"/>
      <w:marRight w:val="0"/>
      <w:marTop w:val="0"/>
      <w:marBottom w:val="0"/>
      <w:divBdr>
        <w:top w:val="none" w:sz="0" w:space="0" w:color="auto"/>
        <w:left w:val="none" w:sz="0" w:space="0" w:color="auto"/>
        <w:bottom w:val="none" w:sz="0" w:space="0" w:color="auto"/>
        <w:right w:val="none" w:sz="0" w:space="0" w:color="auto"/>
      </w:divBdr>
      <w:divsChild>
        <w:div w:id="208680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867235">
      <w:bodyDiv w:val="1"/>
      <w:marLeft w:val="0"/>
      <w:marRight w:val="0"/>
      <w:marTop w:val="0"/>
      <w:marBottom w:val="0"/>
      <w:divBdr>
        <w:top w:val="none" w:sz="0" w:space="0" w:color="auto"/>
        <w:left w:val="none" w:sz="0" w:space="0" w:color="auto"/>
        <w:bottom w:val="none" w:sz="0" w:space="0" w:color="auto"/>
        <w:right w:val="none" w:sz="0" w:space="0" w:color="auto"/>
      </w:divBdr>
    </w:div>
    <w:div w:id="20565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31758</Words>
  <Characters>181021</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Inka Dahlianah</cp:lastModifiedBy>
  <cp:revision>2</cp:revision>
  <dcterms:created xsi:type="dcterms:W3CDTF">2026-01-11T11:26:00Z</dcterms:created>
  <dcterms:modified xsi:type="dcterms:W3CDTF">2026-01-11T11:26:00Z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id="qrGTA9Ua"/&gt;&lt;style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