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C80FC"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Resolution of Neck Pain and Drug-Induced Erectile Dysfunction Following Physiotherapy in Cervical Spondylosis: A Case Report</w:t>
      </w:r>
    </w:p>
    <w:p w14:paraId="75BD1451" w14:textId="77777777" w:rsidR="00C2586D" w:rsidRDefault="00C2586D">
      <w:pPr>
        <w:spacing w:line="360" w:lineRule="auto"/>
        <w:rPr>
          <w:rFonts w:ascii="Times New Roman" w:eastAsia="Times New Roman" w:hAnsi="Times New Roman" w:cs="Times New Roman"/>
          <w:sz w:val="24"/>
          <w:szCs w:val="24"/>
        </w:rPr>
      </w:pPr>
    </w:p>
    <w:p w14:paraId="71C16048" w14:textId="77777777" w:rsidR="00C2586D" w:rsidRDefault="00C2586D">
      <w:pPr>
        <w:spacing w:line="360" w:lineRule="auto"/>
        <w:rPr>
          <w:rFonts w:ascii="Times New Roman" w:eastAsia="Times New Roman" w:hAnsi="Times New Roman" w:cs="Times New Roman"/>
          <w:sz w:val="24"/>
          <w:szCs w:val="24"/>
        </w:rPr>
      </w:pPr>
    </w:p>
    <w:p w14:paraId="2297A9E9" w14:textId="77777777" w:rsidR="00DC5EF8" w:rsidRDefault="00DC5EF8">
      <w:pPr>
        <w:spacing w:line="360" w:lineRule="auto"/>
        <w:rPr>
          <w:rFonts w:ascii="Times New Roman" w:eastAsia="Times New Roman" w:hAnsi="Times New Roman" w:cs="Times New Roman"/>
          <w:sz w:val="24"/>
          <w:szCs w:val="24"/>
        </w:rPr>
      </w:pPr>
    </w:p>
    <w:p w14:paraId="2F5E1DF2"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14:paraId="48AF9FA2" w14:textId="77777777"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Cervical spondylosis is a degenerative disorder of the cervical spine that commonly causes chronic neck pain and functional limitations in older adults. Although pharmacologic therapy, including neuropathic pain agents, is usually the first line of management, it can cause adverse effects such as erectile dysfunction, which may limit its usefulness and necessitate conservative management like physiotherapy.</w:t>
      </w:r>
    </w:p>
    <w:p w14:paraId="148BF813" w14:textId="77777777"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67-year-old male civil servant presented with a six-month history of right-sided neck pain and a burning sensation that began after abrupt neck rotation during exercise. Radiographs showed osteophyte formation and straightening of the cervical lordosis. Medical management included Amlodipine, Neurovite, and the neuropathic pain agent Gabapentin, which provided minimal relief but triggered erectile dysfunction shortly after initiation, prompting discontinuation and referral for physiotherapy.</w:t>
      </w:r>
    </w:p>
    <w:p w14:paraId="58B8ABCB" w14:textId="77777777"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 underwent eight physiotherapy sessions over four weeks, consisting of cervical mobilization (Grades II and III), soft-tissue mobilization, cryotherapy, progressive neck stabilization exercises, strengthening exercises, and ergonomic counseling.</w:t>
      </w:r>
    </w:p>
    <w:p w14:paraId="3FA3821B" w14:textId="77777777"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treatment, pain reduced (NPRS: 8/10 to 2/10), disability decreased (NDI: 27% to 8%), and the drug-induced erectile dysfunction completely resolved (IIEF-5: 10/25 to 25/25). Cervical range of motion improved across all planes, and no radicular signs were observed.</w:t>
      </w:r>
    </w:p>
    <w:p w14:paraId="7EC32D35" w14:textId="77777777" w:rsidR="00DC5EF8" w:rsidRDefault="00B65E9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highlights how structured physiotherapy can significantly improve pain and function while also facilitating the reversal of drug-induced erectile dysfunction, reinforcing the value of conservative management for older adults with neck pain.</w:t>
      </w:r>
    </w:p>
    <w:p w14:paraId="20AA3D92" w14:textId="77777777" w:rsidR="00DC5EF8" w:rsidRDefault="00DC5EF8">
      <w:pPr>
        <w:spacing w:line="360" w:lineRule="auto"/>
        <w:rPr>
          <w:rFonts w:ascii="Times New Roman" w:eastAsia="Times New Roman" w:hAnsi="Times New Roman" w:cs="Times New Roman"/>
          <w:sz w:val="24"/>
          <w:szCs w:val="24"/>
        </w:rPr>
      </w:pPr>
    </w:p>
    <w:p w14:paraId="3E08D27F"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Neck Pain, Cervical Spondylosis, Physiotherapy, Erectile Dysfunction, Rehabilitation</w:t>
      </w:r>
    </w:p>
    <w:p w14:paraId="73801E69" w14:textId="77777777" w:rsidR="00DC5EF8" w:rsidRDefault="00DC5EF8">
      <w:pPr>
        <w:spacing w:line="360" w:lineRule="auto"/>
        <w:rPr>
          <w:rFonts w:ascii="Times New Roman" w:eastAsia="Times New Roman" w:hAnsi="Times New Roman" w:cs="Times New Roman"/>
          <w:sz w:val="24"/>
          <w:szCs w:val="24"/>
        </w:rPr>
      </w:pPr>
    </w:p>
    <w:p w14:paraId="151B9EE7" w14:textId="77777777" w:rsidR="00DC5EF8" w:rsidRDefault="00DC5EF8">
      <w:pPr>
        <w:spacing w:line="360" w:lineRule="auto"/>
        <w:rPr>
          <w:rFonts w:ascii="Times New Roman" w:eastAsia="Times New Roman" w:hAnsi="Times New Roman" w:cs="Times New Roman"/>
          <w:sz w:val="24"/>
          <w:szCs w:val="24"/>
        </w:rPr>
      </w:pPr>
    </w:p>
    <w:p w14:paraId="5FABC807"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INTRODUCTION</w:t>
      </w:r>
      <w:r>
        <w:rPr>
          <w:rFonts w:ascii="Times New Roman" w:eastAsia="Times New Roman" w:hAnsi="Times New Roman" w:cs="Times New Roman"/>
          <w:sz w:val="24"/>
          <w:szCs w:val="24"/>
        </w:rPr>
        <w:t xml:space="preserve"> </w:t>
      </w:r>
    </w:p>
    <w:p w14:paraId="5C2592A7" w14:textId="77777777" w:rsidR="00DC5EF8" w:rsidRDefault="00DC5EF8">
      <w:pPr>
        <w:spacing w:line="360" w:lineRule="auto"/>
        <w:rPr>
          <w:rFonts w:ascii="Times New Roman" w:eastAsia="Times New Roman" w:hAnsi="Times New Roman" w:cs="Times New Roman"/>
          <w:sz w:val="24"/>
          <w:szCs w:val="24"/>
        </w:rPr>
      </w:pPr>
    </w:p>
    <w:p w14:paraId="2877EFE7"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Neck pain is one of the most prevalent musculoskeletal disorders worldwide, second only to low back pain in contributing to disability. In 2020, approximately 203 million people were affected globally, with projections suggesting this number may rise to 269 million by 2050 as populations age [1]. Cervical spondylosis, a progressive age‑related degenerative disorder of the cervical spine, commonly causes neck pain and functional limitation in older adults [2].</w:t>
      </w:r>
    </w:p>
    <w:p w14:paraId="1C3B4597" w14:textId="77777777" w:rsidR="00DC5EF8" w:rsidRDefault="00DC5EF8">
      <w:pPr>
        <w:spacing w:line="360" w:lineRule="auto"/>
        <w:rPr>
          <w:rFonts w:ascii="Times New Roman" w:eastAsia="Times New Roman" w:hAnsi="Times New Roman" w:cs="Times New Roman"/>
          <w:sz w:val="24"/>
          <w:szCs w:val="24"/>
        </w:rPr>
      </w:pPr>
    </w:p>
    <w:p w14:paraId="28E96F13"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pharmacologic therapy including analgesics, muscle relaxants, and neuropathic agents may provide temporary relief, they often fail to restore function and can be associated with adverse effects, as observed in this patient, who developed erectile dysfunction during medical management [3].</w:t>
      </w:r>
    </w:p>
    <w:p w14:paraId="1E56EEBE" w14:textId="77777777" w:rsidR="00DC5EF8" w:rsidRDefault="00DC5EF8">
      <w:pPr>
        <w:spacing w:line="360" w:lineRule="auto"/>
        <w:rPr>
          <w:rFonts w:ascii="Times New Roman" w:eastAsia="Times New Roman" w:hAnsi="Times New Roman" w:cs="Times New Roman"/>
          <w:sz w:val="24"/>
          <w:szCs w:val="24"/>
        </w:rPr>
      </w:pPr>
    </w:p>
    <w:p w14:paraId="0811A367"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physiotherapy offers a targeted, conservative approach that addresses the underlying musculoskeletal deficits [4]. Through manual therapy, therapeutic exercise, postural correction, and patient education, physiotherapy can reduce pain, restore mobility, strengthen supporting musculature, and improve function without the risks associated with long-term medication use [5].</w:t>
      </w:r>
    </w:p>
    <w:p w14:paraId="27B6589F" w14:textId="77777777" w:rsidR="00DC5EF8" w:rsidRDefault="00DC5EF8">
      <w:pPr>
        <w:spacing w:line="360" w:lineRule="auto"/>
        <w:rPr>
          <w:rFonts w:ascii="Times New Roman" w:eastAsia="Times New Roman" w:hAnsi="Times New Roman" w:cs="Times New Roman"/>
          <w:sz w:val="24"/>
          <w:szCs w:val="24"/>
        </w:rPr>
      </w:pPr>
    </w:p>
    <w:p w14:paraId="19729A11"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physiotherapy has been shown to improve erectile function in men with sexual dysfunction through interventions such as pelvic floor exercises, electrical stimulation, and biofeedback [6], its role in reversing medication‑induced erectile dysfunction remains unexplored. Medication‑related sexual side effects may be under-recognized in older adults[7]</w:t>
      </w:r>
      <w:commentRangeStart w:id="0"/>
      <w:r>
        <w:rPr>
          <w:rFonts w:ascii="Times New Roman" w:eastAsia="Times New Roman" w:hAnsi="Times New Roman" w:cs="Times New Roman"/>
          <w:sz w:val="24"/>
          <w:szCs w:val="24"/>
        </w:rPr>
        <w:t xml:space="preserve">  </w:t>
      </w:r>
      <w:commentRangeEnd w:id="0"/>
      <w:r w:rsidR="00DB3360">
        <w:rPr>
          <w:rStyle w:val="CommentReference"/>
        </w:rPr>
        <w:commentReference w:id="0"/>
      </w:r>
      <w:r>
        <w:rPr>
          <w:rFonts w:ascii="Times New Roman" w:eastAsia="Times New Roman" w:hAnsi="Times New Roman" w:cs="Times New Roman"/>
          <w:sz w:val="24"/>
          <w:szCs w:val="24"/>
        </w:rPr>
        <w:t>The aim of this case report is to describe the role of structured physiotherapy in managing cervical spondylosis and its potential influence on drug-induced erectile dysfunction.</w:t>
      </w:r>
    </w:p>
    <w:p w14:paraId="5C8D2A88" w14:textId="77777777" w:rsidR="00DC5EF8" w:rsidRDefault="00DC5EF8">
      <w:pPr>
        <w:spacing w:line="360" w:lineRule="auto"/>
        <w:rPr>
          <w:rFonts w:ascii="Times New Roman" w:eastAsia="Times New Roman" w:hAnsi="Times New Roman" w:cs="Times New Roman"/>
          <w:sz w:val="24"/>
          <w:szCs w:val="24"/>
        </w:rPr>
      </w:pPr>
    </w:p>
    <w:p w14:paraId="2EA591A1"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 PRESENTATION</w:t>
      </w:r>
    </w:p>
    <w:p w14:paraId="20D08862"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67-year-old married retired civil servant presented to the Physiotherapy Department on 11th June 2025 with a six-month history of right-sided neck pain. Written informed consent was </w:t>
      </w:r>
      <w:r>
        <w:rPr>
          <w:rFonts w:ascii="Times New Roman" w:eastAsia="Times New Roman" w:hAnsi="Times New Roman" w:cs="Times New Roman"/>
          <w:sz w:val="24"/>
          <w:szCs w:val="24"/>
        </w:rPr>
        <w:lastRenderedPageBreak/>
        <w:t>obtained from the patient for publication of this case report and any accompanying images or data. The report follows CARE guidelines [8]. Institutional Review Board approval was waived as per local protocol for single-case reports.</w:t>
      </w:r>
    </w:p>
    <w:p w14:paraId="7B0CE899" w14:textId="77777777" w:rsidR="00DC5EF8" w:rsidRDefault="00DC5EF8">
      <w:pPr>
        <w:spacing w:line="360" w:lineRule="auto"/>
        <w:rPr>
          <w:rFonts w:ascii="Times New Roman" w:eastAsia="Times New Roman" w:hAnsi="Times New Roman" w:cs="Times New Roman"/>
          <w:sz w:val="24"/>
          <w:szCs w:val="24"/>
        </w:rPr>
      </w:pPr>
    </w:p>
    <w:p w14:paraId="39441CFC"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 symptoms began in December 2024 during an early morning jog, when he sharply rotated his neck and heard a cracking sound, followed by a burning pain on the right side of the neck. The pain worsened with heavy lifting and use of high pillows but eased with flat pillows, ice, and rest.</w:t>
      </w:r>
    </w:p>
    <w:p w14:paraId="0518BC81" w14:textId="77777777" w:rsidR="00DC5EF8" w:rsidRDefault="00DC5EF8">
      <w:pPr>
        <w:spacing w:line="360" w:lineRule="auto"/>
        <w:rPr>
          <w:rFonts w:ascii="Times New Roman" w:eastAsia="Times New Roman" w:hAnsi="Times New Roman" w:cs="Times New Roman"/>
          <w:sz w:val="24"/>
          <w:szCs w:val="24"/>
        </w:rPr>
      </w:pPr>
    </w:p>
    <w:p w14:paraId="210442E2"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initially self-medicated with paracetamol without relief, then sought care at Rivers State University Teaching Hospital in February 2025, where Baclofen and Neurovite were prescribed. Cervical X-ray confirmed cervical spondylosis with osteophytes from C2–C6 and loss of cervical lordosis. Following </w:t>
      </w:r>
      <w:commentRangeStart w:id="1"/>
      <w:r>
        <w:rPr>
          <w:rFonts w:ascii="Times New Roman" w:eastAsia="Times New Roman" w:hAnsi="Times New Roman" w:cs="Times New Roman"/>
          <w:sz w:val="24"/>
          <w:szCs w:val="24"/>
        </w:rPr>
        <w:t xml:space="preserve">persistent  burning </w:t>
      </w:r>
      <w:commentRangeEnd w:id="1"/>
      <w:r w:rsidR="00DB3360">
        <w:rPr>
          <w:rStyle w:val="CommentReference"/>
        </w:rPr>
        <w:commentReference w:id="1"/>
      </w:r>
      <w:r>
        <w:rPr>
          <w:rFonts w:ascii="Times New Roman" w:eastAsia="Times New Roman" w:hAnsi="Times New Roman" w:cs="Times New Roman"/>
          <w:sz w:val="24"/>
          <w:szCs w:val="24"/>
        </w:rPr>
        <w:t>pain on the right side of the neck, further treatment was with Gabapentin 300 mg tablets, three times daily (TID). It provided mild relief but led to erectile dysfunction, prompting discontinuation. The erectile dysfunction developed after starting Gabapentin, and the patient reported normal erectile function prior to medication, supporting a drug-induced etiology.</w:t>
      </w:r>
    </w:p>
    <w:p w14:paraId="3B869D69" w14:textId="77777777" w:rsidR="00DC5EF8" w:rsidRDefault="00DC5EF8">
      <w:pPr>
        <w:spacing w:line="360" w:lineRule="auto"/>
        <w:rPr>
          <w:rFonts w:ascii="Times New Roman" w:eastAsia="Times New Roman" w:hAnsi="Times New Roman" w:cs="Times New Roman"/>
          <w:sz w:val="24"/>
          <w:szCs w:val="24"/>
        </w:rPr>
      </w:pPr>
    </w:p>
    <w:p w14:paraId="36519FA9"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eight-session, four-week physiotherapy program commenced as shown in Table 1. These included cervical mobilization using Grades II–III anteroposterior and rotational mobilizations targeting the C2–C6 segments. Soft-tissue mobilization was applied to the upper trapezius, levator scapulae and the sternocleidomastoid muscles.  Cryotherapy was used locally to reduce inflammation and pain. Posture retraining and ergonomic counselling were provided, focusing on pillow height, workstation setup, and neck alignment. Progressive neck strengthening exercises targeted the deep cervical flexors, scapular stabilizers (middle/lower trapezius, rhomboids), and cervical extensors with graded resistance. The patient was also prescribed a home exercise program consisting of neck stretches, chin tucks, and posture correction exercises to be performed daily</w:t>
      </w:r>
    </w:p>
    <w:p w14:paraId="7466DA0D" w14:textId="77777777" w:rsidR="00DC5EF8" w:rsidRDefault="00DC5EF8">
      <w:pPr>
        <w:spacing w:line="360" w:lineRule="auto"/>
        <w:rPr>
          <w:rFonts w:ascii="Times New Roman" w:eastAsia="Times New Roman" w:hAnsi="Times New Roman" w:cs="Times New Roman"/>
          <w:sz w:val="24"/>
          <w:szCs w:val="24"/>
        </w:rPr>
      </w:pPr>
    </w:p>
    <w:p w14:paraId="28C825C0"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Physical examination revealed forward head posture, limited right rotation and lateral flexion, as shown in Table 2, and no neurological deficits. Baseline scores were NPRS 8/10, NDI 27%, and </w:t>
      </w:r>
      <w:r>
        <w:rPr>
          <w:rFonts w:ascii="Times New Roman" w:eastAsia="Times New Roman" w:hAnsi="Times New Roman" w:cs="Times New Roman"/>
          <w:sz w:val="24"/>
          <w:szCs w:val="24"/>
        </w:rPr>
        <w:lastRenderedPageBreak/>
        <w:t>IIEF-5 10/25. The IIEF-5 score of 10/25 reflects moderate erectile dysfunction that developed after initiation of Gabapentin.</w:t>
      </w:r>
    </w:p>
    <w:p w14:paraId="215D0880" w14:textId="77777777" w:rsidR="00DC5EF8" w:rsidRDefault="00DC5EF8">
      <w:pPr>
        <w:spacing w:line="360" w:lineRule="auto"/>
        <w:rPr>
          <w:rFonts w:ascii="Times New Roman" w:eastAsia="Times New Roman" w:hAnsi="Times New Roman" w:cs="Times New Roman"/>
          <w:sz w:val="24"/>
          <w:szCs w:val="24"/>
        </w:rPr>
      </w:pPr>
    </w:p>
    <w:p w14:paraId="091BD080"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Gabapentin was discontinued in </w:t>
      </w:r>
      <w:commentRangeStart w:id="2"/>
      <w:r>
        <w:rPr>
          <w:rFonts w:ascii="Times New Roman" w:eastAsia="Times New Roman" w:hAnsi="Times New Roman" w:cs="Times New Roman"/>
          <w:sz w:val="24"/>
          <w:szCs w:val="24"/>
        </w:rPr>
        <w:t>February 2025, physiotherapy was initiated the same month</w:t>
      </w:r>
      <w:commentRangeEnd w:id="2"/>
      <w:r w:rsidR="00CD04C4">
        <w:rPr>
          <w:rStyle w:val="CommentReference"/>
        </w:rPr>
        <w:commentReference w:id="2"/>
      </w:r>
      <w:r>
        <w:rPr>
          <w:rFonts w:ascii="Times New Roman" w:eastAsia="Times New Roman" w:hAnsi="Times New Roman" w:cs="Times New Roman"/>
          <w:sz w:val="24"/>
          <w:szCs w:val="24"/>
        </w:rPr>
        <w:t>, and follow-up assessments were performed at week 4 in March 2025. By week four, pain had reduced to 2/10 (NPRS), disability to 8% (NDI), and IIEF-5 had improved to 25/25, indicating full restoration of erectile function. These gains exceeded the MCID thresholds for NPRS and NDI [9,10].</w:t>
      </w:r>
    </w:p>
    <w:p w14:paraId="0B1A623F" w14:textId="77777777" w:rsidR="00DC5EF8" w:rsidRDefault="00DC5EF8">
      <w:pPr>
        <w:spacing w:line="360" w:lineRule="auto"/>
        <w:rPr>
          <w:rFonts w:ascii="Times New Roman" w:eastAsia="Times New Roman" w:hAnsi="Times New Roman" w:cs="Times New Roman"/>
          <w:sz w:val="24"/>
          <w:szCs w:val="24"/>
        </w:rPr>
      </w:pPr>
    </w:p>
    <w:p w14:paraId="0E37B0A7"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patient’s erectile function improved after both discontinuation of Gabapentin and structured physiotherapy. While a causal relationship cannot be definitively established, the timing suggests physiotherapy may have contributed to functional recovery in conjunction with drug cessation.</w:t>
      </w:r>
    </w:p>
    <w:p w14:paraId="0980BF21" w14:textId="77777777" w:rsidR="00DC5EF8" w:rsidRDefault="00DC5EF8">
      <w:pPr>
        <w:spacing w:line="360" w:lineRule="auto"/>
        <w:rPr>
          <w:rFonts w:ascii="Times New Roman" w:eastAsia="Times New Roman" w:hAnsi="Times New Roman" w:cs="Times New Roman"/>
          <w:sz w:val="24"/>
          <w:szCs w:val="24"/>
        </w:rPr>
      </w:pPr>
    </w:p>
    <w:p w14:paraId="2B30FAE7" w14:textId="77777777" w:rsidR="00DC5EF8" w:rsidRDefault="00DC5EF8">
      <w:pPr>
        <w:spacing w:line="360" w:lineRule="auto"/>
        <w:rPr>
          <w:rFonts w:ascii="Times New Roman" w:eastAsia="Times New Roman" w:hAnsi="Times New Roman" w:cs="Times New Roman"/>
          <w:sz w:val="24"/>
          <w:szCs w:val="24"/>
        </w:rPr>
      </w:pPr>
    </w:p>
    <w:p w14:paraId="11164650"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shows each intervention employed alongside the frequency, intensity and time:</w:t>
      </w:r>
    </w:p>
    <w:p w14:paraId="1E942F1A" w14:textId="77777777" w:rsidR="00DC5EF8" w:rsidRDefault="00DC5EF8">
      <w:pPr>
        <w:spacing w:line="360" w:lineRule="auto"/>
        <w:rPr>
          <w:rFonts w:ascii="Times New Roman" w:eastAsia="Times New Roman" w:hAnsi="Times New Roman" w:cs="Times New Roman"/>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DC5EF8" w14:paraId="17B605EF" w14:textId="77777777">
        <w:tc>
          <w:tcPr>
            <w:tcW w:w="1872" w:type="dxa"/>
            <w:tcMar>
              <w:top w:w="100" w:type="dxa"/>
              <w:left w:w="100" w:type="dxa"/>
              <w:bottom w:w="100" w:type="dxa"/>
              <w:right w:w="100" w:type="dxa"/>
            </w:tcMar>
          </w:tcPr>
          <w:p w14:paraId="35DFA939"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Interventions</w:t>
            </w:r>
          </w:p>
        </w:tc>
        <w:tc>
          <w:tcPr>
            <w:tcW w:w="1872" w:type="dxa"/>
            <w:tcMar>
              <w:top w:w="100" w:type="dxa"/>
              <w:left w:w="100" w:type="dxa"/>
              <w:bottom w:w="100" w:type="dxa"/>
              <w:right w:w="100" w:type="dxa"/>
            </w:tcMar>
          </w:tcPr>
          <w:p w14:paraId="606BD30F"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1</w:t>
            </w:r>
          </w:p>
        </w:tc>
        <w:tc>
          <w:tcPr>
            <w:tcW w:w="1872" w:type="dxa"/>
            <w:tcMar>
              <w:top w:w="100" w:type="dxa"/>
              <w:left w:w="100" w:type="dxa"/>
              <w:bottom w:w="100" w:type="dxa"/>
              <w:right w:w="100" w:type="dxa"/>
            </w:tcMar>
          </w:tcPr>
          <w:p w14:paraId="238CE11C"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2</w:t>
            </w:r>
          </w:p>
        </w:tc>
        <w:tc>
          <w:tcPr>
            <w:tcW w:w="1872" w:type="dxa"/>
            <w:tcMar>
              <w:top w:w="100" w:type="dxa"/>
              <w:left w:w="100" w:type="dxa"/>
              <w:bottom w:w="100" w:type="dxa"/>
              <w:right w:w="100" w:type="dxa"/>
            </w:tcMar>
          </w:tcPr>
          <w:p w14:paraId="6EA4AFE8"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3</w:t>
            </w:r>
          </w:p>
        </w:tc>
        <w:tc>
          <w:tcPr>
            <w:tcW w:w="1872" w:type="dxa"/>
            <w:tcMar>
              <w:top w:w="100" w:type="dxa"/>
              <w:left w:w="100" w:type="dxa"/>
              <w:bottom w:w="100" w:type="dxa"/>
              <w:right w:w="100" w:type="dxa"/>
            </w:tcMar>
          </w:tcPr>
          <w:p w14:paraId="3EFD5516"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4</w:t>
            </w:r>
          </w:p>
        </w:tc>
      </w:tr>
      <w:tr w:rsidR="00DC5EF8" w14:paraId="63F8A5C3" w14:textId="77777777">
        <w:tc>
          <w:tcPr>
            <w:tcW w:w="1872" w:type="dxa"/>
            <w:tcMar>
              <w:top w:w="100" w:type="dxa"/>
              <w:left w:w="100" w:type="dxa"/>
              <w:bottom w:w="100" w:type="dxa"/>
              <w:right w:w="100" w:type="dxa"/>
            </w:tcMar>
          </w:tcPr>
          <w:p w14:paraId="3D0E6C9A"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Neck mobilization exercises </w:t>
            </w:r>
          </w:p>
        </w:tc>
        <w:tc>
          <w:tcPr>
            <w:tcW w:w="1872" w:type="dxa"/>
            <w:tcMar>
              <w:top w:w="100" w:type="dxa"/>
              <w:left w:w="100" w:type="dxa"/>
              <w:bottom w:w="100" w:type="dxa"/>
              <w:right w:w="100" w:type="dxa"/>
            </w:tcMar>
          </w:tcPr>
          <w:p w14:paraId="6D69346C"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p w14:paraId="780D0353"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3 sets</w:t>
            </w:r>
          </w:p>
          <w:p w14:paraId="26457D2B"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14:paraId="52DF9165"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p w14:paraId="65D9A110"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6904C6B1" w14:textId="77777777" w:rsidR="00DC5EF8" w:rsidRDefault="00DC5EF8">
            <w:pPr>
              <w:spacing w:line="360" w:lineRule="auto"/>
              <w:rPr>
                <w:rFonts w:ascii="Times New Roman" w:eastAsia="Times New Roman" w:hAnsi="Times New Roman" w:cs="Times New Roman"/>
                <w:sz w:val="24"/>
                <w:szCs w:val="24"/>
              </w:rPr>
            </w:pPr>
          </w:p>
          <w:p w14:paraId="77475302"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3 sets</w:t>
            </w:r>
          </w:p>
          <w:p w14:paraId="06486459"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14:paraId="223E5E1C" w14:textId="77777777" w:rsidR="00DC5EF8" w:rsidRDefault="00DC5EF8">
            <w:pPr>
              <w:spacing w:line="360" w:lineRule="auto"/>
              <w:rPr>
                <w:rFonts w:ascii="Times New Roman" w:eastAsia="Times New Roman" w:hAnsi="Times New Roman" w:cs="Times New Roman"/>
                <w:sz w:val="24"/>
                <w:szCs w:val="24"/>
              </w:rPr>
            </w:pPr>
          </w:p>
          <w:p w14:paraId="4DAD1F5A"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0598AEF8"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15min x 3 sets</w:t>
            </w:r>
          </w:p>
          <w:p w14:paraId="4D7D0974" w14:textId="77777777" w:rsidR="00DC5EF8" w:rsidRDefault="00B65E97">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14:paraId="50E08B2B"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p w14:paraId="5147DD44"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4D006214"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15min x 3 sets</w:t>
            </w:r>
          </w:p>
          <w:p w14:paraId="22BF7415"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times daily</w:t>
            </w:r>
          </w:p>
          <w:p w14:paraId="25D502CD" w14:textId="77777777" w:rsidR="00DC5EF8" w:rsidRDefault="00DC5EF8">
            <w:pPr>
              <w:spacing w:line="360" w:lineRule="auto"/>
              <w:rPr>
                <w:rFonts w:ascii="Times New Roman" w:eastAsia="Times New Roman" w:hAnsi="Times New Roman" w:cs="Times New Roman"/>
                <w:sz w:val="24"/>
                <w:szCs w:val="24"/>
              </w:rPr>
            </w:pPr>
          </w:p>
          <w:p w14:paraId="77D93CA6" w14:textId="77777777" w:rsidR="00DC5EF8" w:rsidRDefault="00DC5EF8">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p>
        </w:tc>
      </w:tr>
      <w:tr w:rsidR="00DC5EF8" w14:paraId="7EDC3F30" w14:textId="77777777">
        <w:tc>
          <w:tcPr>
            <w:tcW w:w="1872" w:type="dxa"/>
            <w:tcMar>
              <w:top w:w="100" w:type="dxa"/>
              <w:left w:w="100" w:type="dxa"/>
              <w:bottom w:w="100" w:type="dxa"/>
              <w:right w:w="100" w:type="dxa"/>
            </w:tcMar>
          </w:tcPr>
          <w:p w14:paraId="54FC149D"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Sustained Passive Stretches</w:t>
            </w:r>
          </w:p>
        </w:tc>
        <w:tc>
          <w:tcPr>
            <w:tcW w:w="1872" w:type="dxa"/>
            <w:tcMar>
              <w:top w:w="100" w:type="dxa"/>
              <w:left w:w="100" w:type="dxa"/>
              <w:bottom w:w="100" w:type="dxa"/>
              <w:right w:w="100" w:type="dxa"/>
            </w:tcMar>
          </w:tcPr>
          <w:p w14:paraId="65AF9EA7"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10-20 seconds hold per stretch 3 reps</w:t>
            </w:r>
          </w:p>
        </w:tc>
        <w:tc>
          <w:tcPr>
            <w:tcW w:w="1872" w:type="dxa"/>
            <w:tcMar>
              <w:top w:w="100" w:type="dxa"/>
              <w:left w:w="100" w:type="dxa"/>
              <w:bottom w:w="100" w:type="dxa"/>
              <w:right w:w="100" w:type="dxa"/>
            </w:tcMar>
          </w:tcPr>
          <w:p w14:paraId="1D6661C9"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10-20 seconds hold per stretch 3 reps</w:t>
            </w:r>
          </w:p>
        </w:tc>
        <w:tc>
          <w:tcPr>
            <w:tcW w:w="1872" w:type="dxa"/>
            <w:tcMar>
              <w:top w:w="100" w:type="dxa"/>
              <w:left w:w="100" w:type="dxa"/>
              <w:bottom w:w="100" w:type="dxa"/>
              <w:right w:w="100" w:type="dxa"/>
            </w:tcMar>
          </w:tcPr>
          <w:p w14:paraId="7BC20BD2" w14:textId="77777777" w:rsidR="00DC5EF8" w:rsidRDefault="00DC5EF8">
            <w:pPr>
              <w:spacing w:line="360" w:lineRule="auto"/>
              <w:rPr>
                <w:rFonts w:ascii="Times New Roman" w:eastAsia="Times New Roman" w:hAnsi="Times New Roman" w:cs="Times New Roman"/>
                <w:sz w:val="24"/>
                <w:szCs w:val="24"/>
              </w:rPr>
            </w:pPr>
          </w:p>
          <w:p w14:paraId="5E4C7325"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20-30 seconds hold per stretch 3 reps</w:t>
            </w:r>
          </w:p>
        </w:tc>
        <w:tc>
          <w:tcPr>
            <w:tcW w:w="1872" w:type="dxa"/>
            <w:tcMar>
              <w:top w:w="100" w:type="dxa"/>
              <w:left w:w="100" w:type="dxa"/>
              <w:bottom w:w="100" w:type="dxa"/>
              <w:right w:w="100" w:type="dxa"/>
            </w:tcMar>
          </w:tcPr>
          <w:p w14:paraId="35EA3606" w14:textId="77777777" w:rsidR="00DC5EF8" w:rsidRDefault="00DC5EF8">
            <w:pPr>
              <w:spacing w:line="360" w:lineRule="auto"/>
              <w:rPr>
                <w:rFonts w:ascii="Times New Roman" w:eastAsia="Times New Roman" w:hAnsi="Times New Roman" w:cs="Times New Roman"/>
                <w:sz w:val="24"/>
                <w:szCs w:val="24"/>
              </w:rPr>
            </w:pPr>
          </w:p>
          <w:p w14:paraId="75274703"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20-30 seconds hold per stretch 3 reps</w:t>
            </w:r>
          </w:p>
        </w:tc>
      </w:tr>
      <w:tr w:rsidR="00DC5EF8" w14:paraId="2042E6F3" w14:textId="77777777">
        <w:tc>
          <w:tcPr>
            <w:tcW w:w="1872" w:type="dxa"/>
            <w:tcMar>
              <w:top w:w="100" w:type="dxa"/>
              <w:left w:w="100" w:type="dxa"/>
              <w:bottom w:w="100" w:type="dxa"/>
              <w:right w:w="100" w:type="dxa"/>
            </w:tcMar>
          </w:tcPr>
          <w:p w14:paraId="62711370"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 Tissue Mobilization to </w:t>
            </w:r>
            <w:r>
              <w:rPr>
                <w:rFonts w:ascii="Times New Roman" w:eastAsia="Times New Roman" w:hAnsi="Times New Roman" w:cs="Times New Roman"/>
                <w:sz w:val="24"/>
                <w:szCs w:val="24"/>
              </w:rPr>
              <w:lastRenderedPageBreak/>
              <w:t>muscles of the neck</w:t>
            </w:r>
          </w:p>
        </w:tc>
        <w:tc>
          <w:tcPr>
            <w:tcW w:w="1872" w:type="dxa"/>
            <w:tcMar>
              <w:top w:w="100" w:type="dxa"/>
              <w:left w:w="100" w:type="dxa"/>
              <w:bottom w:w="100" w:type="dxa"/>
              <w:right w:w="100" w:type="dxa"/>
            </w:tcMar>
          </w:tcPr>
          <w:p w14:paraId="2703AB65"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Effleurage for 5 mins</w:t>
            </w:r>
          </w:p>
          <w:p w14:paraId="52D31742"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07302974"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Effleurage for 5 mins</w:t>
            </w:r>
          </w:p>
          <w:p w14:paraId="5DB2FEE3"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36E929B3"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Effleurage for 5 mins</w:t>
            </w:r>
          </w:p>
          <w:p w14:paraId="29F18CB3"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32AF6C3F"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Effleurage for 5 mins</w:t>
            </w:r>
          </w:p>
          <w:p w14:paraId="0ED86FBA" w14:textId="77777777" w:rsidR="00DC5EF8" w:rsidRDefault="00DC5EF8">
            <w:pPr>
              <w:spacing w:line="360" w:lineRule="auto"/>
              <w:rPr>
                <w:rFonts w:ascii="Times New Roman" w:eastAsia="Times New Roman" w:hAnsi="Times New Roman" w:cs="Times New Roman"/>
                <w:sz w:val="24"/>
                <w:szCs w:val="24"/>
              </w:rPr>
            </w:pPr>
          </w:p>
        </w:tc>
      </w:tr>
      <w:tr w:rsidR="00DC5EF8" w14:paraId="067A4146" w14:textId="77777777">
        <w:tc>
          <w:tcPr>
            <w:tcW w:w="1872" w:type="dxa"/>
            <w:tcMar>
              <w:top w:w="100" w:type="dxa"/>
              <w:left w:w="100" w:type="dxa"/>
              <w:bottom w:w="100" w:type="dxa"/>
              <w:right w:w="100" w:type="dxa"/>
            </w:tcMar>
          </w:tcPr>
          <w:p w14:paraId="41A2AA7B"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Cryotherapy</w:t>
            </w:r>
          </w:p>
        </w:tc>
        <w:tc>
          <w:tcPr>
            <w:tcW w:w="1872" w:type="dxa"/>
            <w:tcMar>
              <w:top w:w="100" w:type="dxa"/>
              <w:left w:w="100" w:type="dxa"/>
              <w:bottom w:w="100" w:type="dxa"/>
              <w:right w:w="100" w:type="dxa"/>
            </w:tcMar>
          </w:tcPr>
          <w:p w14:paraId="1872FEFD"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c>
          <w:tcPr>
            <w:tcW w:w="1872" w:type="dxa"/>
            <w:tcMar>
              <w:top w:w="100" w:type="dxa"/>
              <w:left w:w="100" w:type="dxa"/>
              <w:bottom w:w="100" w:type="dxa"/>
              <w:right w:w="100" w:type="dxa"/>
            </w:tcMar>
          </w:tcPr>
          <w:p w14:paraId="0EACDC45"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c>
          <w:tcPr>
            <w:tcW w:w="1872" w:type="dxa"/>
            <w:tcMar>
              <w:top w:w="100" w:type="dxa"/>
              <w:left w:w="100" w:type="dxa"/>
              <w:bottom w:w="100" w:type="dxa"/>
              <w:right w:w="100" w:type="dxa"/>
            </w:tcMar>
          </w:tcPr>
          <w:p w14:paraId="188B0AED"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c>
          <w:tcPr>
            <w:tcW w:w="1872" w:type="dxa"/>
            <w:tcMar>
              <w:top w:w="100" w:type="dxa"/>
              <w:left w:w="100" w:type="dxa"/>
              <w:bottom w:w="100" w:type="dxa"/>
              <w:right w:w="100" w:type="dxa"/>
            </w:tcMar>
          </w:tcPr>
          <w:p w14:paraId="292EE0FE"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minutes</w:t>
            </w:r>
          </w:p>
        </w:tc>
      </w:tr>
      <w:tr w:rsidR="00DC5EF8" w14:paraId="0C1873EB" w14:textId="77777777">
        <w:tc>
          <w:tcPr>
            <w:tcW w:w="1872" w:type="dxa"/>
            <w:tcMar>
              <w:top w:w="100" w:type="dxa"/>
              <w:left w:w="100" w:type="dxa"/>
              <w:bottom w:w="100" w:type="dxa"/>
              <w:right w:w="100" w:type="dxa"/>
            </w:tcMar>
          </w:tcPr>
          <w:p w14:paraId="1B26DB78"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Stabilization Exercises </w:t>
            </w:r>
          </w:p>
        </w:tc>
        <w:tc>
          <w:tcPr>
            <w:tcW w:w="1872" w:type="dxa"/>
            <w:tcMar>
              <w:top w:w="100" w:type="dxa"/>
              <w:left w:w="100" w:type="dxa"/>
              <w:bottom w:w="100" w:type="dxa"/>
              <w:right w:w="100" w:type="dxa"/>
            </w:tcMar>
          </w:tcPr>
          <w:p w14:paraId="3CBE578C"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5 times</w:t>
            </w:r>
          </w:p>
          <w:p w14:paraId="6D315E3D"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19F935D6"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 reps x 5 times</w:t>
            </w:r>
          </w:p>
          <w:p w14:paraId="089306F9"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0B7F22BA"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reps x 5 times</w:t>
            </w:r>
          </w:p>
          <w:p w14:paraId="2763E9C0" w14:textId="77777777" w:rsidR="00DC5EF8" w:rsidRDefault="00DC5EF8">
            <w:pPr>
              <w:spacing w:line="360" w:lineRule="auto"/>
              <w:rPr>
                <w:rFonts w:ascii="Times New Roman" w:eastAsia="Times New Roman" w:hAnsi="Times New Roman" w:cs="Times New Roman"/>
                <w:sz w:val="24"/>
                <w:szCs w:val="24"/>
              </w:rPr>
            </w:pPr>
          </w:p>
        </w:tc>
        <w:tc>
          <w:tcPr>
            <w:tcW w:w="1872" w:type="dxa"/>
            <w:tcMar>
              <w:top w:w="100" w:type="dxa"/>
              <w:left w:w="100" w:type="dxa"/>
              <w:bottom w:w="100" w:type="dxa"/>
              <w:right w:w="100" w:type="dxa"/>
            </w:tcMar>
          </w:tcPr>
          <w:p w14:paraId="3F0B3CB9"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reps x 5 times</w:t>
            </w:r>
          </w:p>
          <w:p w14:paraId="2D25541C" w14:textId="77777777" w:rsidR="00DC5EF8" w:rsidRDefault="00DC5EF8">
            <w:pPr>
              <w:spacing w:line="360" w:lineRule="auto"/>
              <w:rPr>
                <w:rFonts w:ascii="Times New Roman" w:eastAsia="Times New Roman" w:hAnsi="Times New Roman" w:cs="Times New Roman"/>
                <w:sz w:val="24"/>
                <w:szCs w:val="24"/>
              </w:rPr>
            </w:pPr>
          </w:p>
        </w:tc>
      </w:tr>
    </w:tbl>
    <w:p w14:paraId="2123A543" w14:textId="77777777" w:rsidR="00DC5EF8" w:rsidRDefault="00DC5EF8">
      <w:pPr>
        <w:spacing w:line="360" w:lineRule="auto"/>
        <w:rPr>
          <w:rFonts w:ascii="Times New Roman" w:eastAsia="Times New Roman" w:hAnsi="Times New Roman" w:cs="Times New Roman"/>
          <w:sz w:val="24"/>
          <w:szCs w:val="24"/>
        </w:rPr>
      </w:pPr>
    </w:p>
    <w:p w14:paraId="6F87B93A"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Physiotherapy interventions administered over four weeks, including type, frequency, intensity, and duration and showing exercise progression according to patient’s tolerability. </w:t>
      </w:r>
    </w:p>
    <w:p w14:paraId="44D9E79F" w14:textId="77777777" w:rsidR="00DC5EF8" w:rsidRDefault="00DC5EF8">
      <w:pPr>
        <w:spacing w:line="360" w:lineRule="auto"/>
        <w:rPr>
          <w:rFonts w:ascii="Times New Roman" w:eastAsia="Times New Roman" w:hAnsi="Times New Roman" w:cs="Times New Roman"/>
          <w:sz w:val="24"/>
          <w:szCs w:val="24"/>
        </w:rPr>
      </w:pPr>
    </w:p>
    <w:p w14:paraId="76979AD8" w14:textId="77777777" w:rsidR="00DC5EF8" w:rsidRDefault="00DC5EF8">
      <w:pPr>
        <w:spacing w:line="360" w:lineRule="auto"/>
        <w:rPr>
          <w:rFonts w:ascii="Times New Roman" w:eastAsia="Times New Roman" w:hAnsi="Times New Roman" w:cs="Times New Roman"/>
          <w:sz w:val="24"/>
          <w:szCs w:val="24"/>
        </w:rPr>
      </w:pPr>
    </w:p>
    <w:p w14:paraId="311C59BD" w14:textId="77777777" w:rsidR="00DC5EF8" w:rsidRDefault="00DC5EF8">
      <w:pPr>
        <w:spacing w:line="360" w:lineRule="auto"/>
        <w:rPr>
          <w:rFonts w:ascii="Times New Roman" w:eastAsia="Times New Roman" w:hAnsi="Times New Roman" w:cs="Times New Roman"/>
          <w:sz w:val="24"/>
          <w:szCs w:val="24"/>
        </w:rPr>
      </w:pPr>
    </w:p>
    <w:p w14:paraId="27AB7882"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Goniometric measurements before intervention revealed restricted and painful cervical movements, particularly during lateral flexion and rotation. Following physiotherapy, full and pain-free range of motion (ROM) was achieved across all movements from a neutral position as shown below:</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8"/>
        <w:gridCol w:w="2448"/>
        <w:gridCol w:w="2160"/>
        <w:gridCol w:w="2304"/>
      </w:tblGrid>
      <w:tr w:rsidR="00DC5EF8" w14:paraId="0D93E5A0" w14:textId="77777777">
        <w:tc>
          <w:tcPr>
            <w:tcW w:w="2448" w:type="dxa"/>
            <w:tcMar>
              <w:top w:w="100" w:type="dxa"/>
              <w:left w:w="100" w:type="dxa"/>
              <w:bottom w:w="100" w:type="dxa"/>
              <w:right w:w="100" w:type="dxa"/>
            </w:tcMar>
          </w:tcPr>
          <w:p w14:paraId="783AECB0"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Movements </w:t>
            </w:r>
          </w:p>
        </w:tc>
        <w:tc>
          <w:tcPr>
            <w:tcW w:w="2448" w:type="dxa"/>
            <w:tcMar>
              <w:top w:w="100" w:type="dxa"/>
              <w:left w:w="100" w:type="dxa"/>
              <w:bottom w:w="100" w:type="dxa"/>
              <w:right w:w="100" w:type="dxa"/>
            </w:tcMar>
          </w:tcPr>
          <w:p w14:paraId="0797177F"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Normal range</w:t>
            </w:r>
          </w:p>
        </w:tc>
        <w:tc>
          <w:tcPr>
            <w:tcW w:w="2160" w:type="dxa"/>
            <w:tcMar>
              <w:top w:w="100" w:type="dxa"/>
              <w:left w:w="100" w:type="dxa"/>
              <w:bottom w:w="100" w:type="dxa"/>
              <w:right w:w="100" w:type="dxa"/>
            </w:tcMar>
          </w:tcPr>
          <w:p w14:paraId="4A6D2AD8"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Pre-intervention (°)</w:t>
            </w:r>
          </w:p>
        </w:tc>
        <w:tc>
          <w:tcPr>
            <w:tcW w:w="2304" w:type="dxa"/>
            <w:tcMar>
              <w:top w:w="100" w:type="dxa"/>
              <w:left w:w="100" w:type="dxa"/>
              <w:bottom w:w="100" w:type="dxa"/>
              <w:right w:w="100" w:type="dxa"/>
            </w:tcMar>
          </w:tcPr>
          <w:p w14:paraId="591173CA"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Post-intervention (°)</w:t>
            </w:r>
          </w:p>
        </w:tc>
      </w:tr>
      <w:tr w:rsidR="00DC5EF8" w14:paraId="2B2C466A" w14:textId="77777777">
        <w:tc>
          <w:tcPr>
            <w:tcW w:w="2448" w:type="dxa"/>
            <w:tcMar>
              <w:top w:w="100" w:type="dxa"/>
              <w:left w:w="100" w:type="dxa"/>
              <w:bottom w:w="100" w:type="dxa"/>
              <w:right w:w="100" w:type="dxa"/>
            </w:tcMar>
          </w:tcPr>
          <w:p w14:paraId="7DDCEB69"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Flexion</w:t>
            </w:r>
          </w:p>
        </w:tc>
        <w:tc>
          <w:tcPr>
            <w:tcW w:w="2448" w:type="dxa"/>
            <w:tcMar>
              <w:top w:w="100" w:type="dxa"/>
              <w:left w:w="100" w:type="dxa"/>
              <w:bottom w:w="100" w:type="dxa"/>
              <w:right w:w="100" w:type="dxa"/>
            </w:tcMar>
          </w:tcPr>
          <w:p w14:paraId="1F401581"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14:paraId="7885C12A"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0- 41</w:t>
            </w:r>
          </w:p>
        </w:tc>
        <w:tc>
          <w:tcPr>
            <w:tcW w:w="2304" w:type="dxa"/>
            <w:tcMar>
              <w:top w:w="100" w:type="dxa"/>
              <w:left w:w="100" w:type="dxa"/>
              <w:bottom w:w="100" w:type="dxa"/>
              <w:right w:w="100" w:type="dxa"/>
            </w:tcMar>
          </w:tcPr>
          <w:p w14:paraId="3E505727"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r>
      <w:tr w:rsidR="00DC5EF8" w14:paraId="5421B817" w14:textId="77777777">
        <w:tc>
          <w:tcPr>
            <w:tcW w:w="2448" w:type="dxa"/>
            <w:tcMar>
              <w:top w:w="100" w:type="dxa"/>
              <w:left w:w="100" w:type="dxa"/>
              <w:bottom w:w="100" w:type="dxa"/>
              <w:right w:w="100" w:type="dxa"/>
            </w:tcMar>
          </w:tcPr>
          <w:p w14:paraId="5C9622C7"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Extension</w:t>
            </w:r>
          </w:p>
        </w:tc>
        <w:tc>
          <w:tcPr>
            <w:tcW w:w="2448" w:type="dxa"/>
            <w:tcMar>
              <w:top w:w="100" w:type="dxa"/>
              <w:left w:w="100" w:type="dxa"/>
              <w:bottom w:w="100" w:type="dxa"/>
              <w:right w:w="100" w:type="dxa"/>
            </w:tcMar>
          </w:tcPr>
          <w:p w14:paraId="06C11712"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14:paraId="389EBACC"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2304" w:type="dxa"/>
            <w:tcMar>
              <w:top w:w="100" w:type="dxa"/>
              <w:left w:w="100" w:type="dxa"/>
              <w:bottom w:w="100" w:type="dxa"/>
              <w:right w:w="100" w:type="dxa"/>
            </w:tcMar>
          </w:tcPr>
          <w:p w14:paraId="3C70F2DC"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0- 45</w:t>
            </w:r>
          </w:p>
        </w:tc>
      </w:tr>
      <w:tr w:rsidR="00DC5EF8" w14:paraId="4C712E1E" w14:textId="77777777">
        <w:tc>
          <w:tcPr>
            <w:tcW w:w="2448" w:type="dxa"/>
            <w:tcMar>
              <w:top w:w="100" w:type="dxa"/>
              <w:left w:w="100" w:type="dxa"/>
              <w:bottom w:w="100" w:type="dxa"/>
              <w:right w:w="100" w:type="dxa"/>
            </w:tcMar>
          </w:tcPr>
          <w:p w14:paraId="2CA01FDA"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Lateral Flexion</w:t>
            </w:r>
          </w:p>
        </w:tc>
        <w:tc>
          <w:tcPr>
            <w:tcW w:w="2448" w:type="dxa"/>
            <w:tcMar>
              <w:top w:w="100" w:type="dxa"/>
              <w:left w:w="100" w:type="dxa"/>
              <w:bottom w:w="100" w:type="dxa"/>
              <w:right w:w="100" w:type="dxa"/>
            </w:tcMar>
          </w:tcPr>
          <w:p w14:paraId="15F2AB57"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14:paraId="19A3E47A"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2304" w:type="dxa"/>
            <w:tcMar>
              <w:top w:w="100" w:type="dxa"/>
              <w:left w:w="100" w:type="dxa"/>
              <w:bottom w:w="100" w:type="dxa"/>
              <w:right w:w="100" w:type="dxa"/>
            </w:tcMar>
          </w:tcPr>
          <w:p w14:paraId="3F80D4D1"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0- 42</w:t>
            </w:r>
          </w:p>
        </w:tc>
      </w:tr>
      <w:tr w:rsidR="00DC5EF8" w14:paraId="43A75D84" w14:textId="77777777">
        <w:tc>
          <w:tcPr>
            <w:tcW w:w="2448" w:type="dxa"/>
            <w:tcMar>
              <w:top w:w="100" w:type="dxa"/>
              <w:left w:w="100" w:type="dxa"/>
              <w:bottom w:w="100" w:type="dxa"/>
              <w:right w:w="100" w:type="dxa"/>
            </w:tcMar>
          </w:tcPr>
          <w:p w14:paraId="2D0306B9"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Left Lateral Flexion</w:t>
            </w:r>
          </w:p>
        </w:tc>
        <w:tc>
          <w:tcPr>
            <w:tcW w:w="2448" w:type="dxa"/>
            <w:tcMar>
              <w:top w:w="100" w:type="dxa"/>
              <w:left w:w="100" w:type="dxa"/>
              <w:bottom w:w="100" w:type="dxa"/>
              <w:right w:w="100" w:type="dxa"/>
            </w:tcMar>
          </w:tcPr>
          <w:p w14:paraId="6825A82B"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160" w:type="dxa"/>
            <w:tcMar>
              <w:top w:w="100" w:type="dxa"/>
              <w:left w:w="100" w:type="dxa"/>
              <w:bottom w:w="100" w:type="dxa"/>
              <w:right w:w="100" w:type="dxa"/>
            </w:tcMar>
          </w:tcPr>
          <w:p w14:paraId="07B165F9"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2304" w:type="dxa"/>
            <w:tcMar>
              <w:top w:w="100" w:type="dxa"/>
              <w:left w:w="100" w:type="dxa"/>
              <w:bottom w:w="100" w:type="dxa"/>
              <w:right w:w="100" w:type="dxa"/>
            </w:tcMar>
          </w:tcPr>
          <w:p w14:paraId="3BA1A799"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DC5EF8" w14:paraId="415D4818" w14:textId="77777777">
        <w:tc>
          <w:tcPr>
            <w:tcW w:w="2448" w:type="dxa"/>
            <w:tcMar>
              <w:top w:w="100" w:type="dxa"/>
              <w:left w:w="100" w:type="dxa"/>
              <w:bottom w:w="100" w:type="dxa"/>
              <w:right w:w="100" w:type="dxa"/>
            </w:tcMar>
          </w:tcPr>
          <w:p w14:paraId="06BB6EFE"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Rotation</w:t>
            </w:r>
          </w:p>
        </w:tc>
        <w:tc>
          <w:tcPr>
            <w:tcW w:w="2448" w:type="dxa"/>
            <w:tcMar>
              <w:top w:w="100" w:type="dxa"/>
              <w:left w:w="100" w:type="dxa"/>
              <w:bottom w:w="100" w:type="dxa"/>
              <w:right w:w="100" w:type="dxa"/>
            </w:tcMar>
          </w:tcPr>
          <w:p w14:paraId="5F9DB82D"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2160" w:type="dxa"/>
            <w:tcMar>
              <w:top w:w="100" w:type="dxa"/>
              <w:left w:w="100" w:type="dxa"/>
              <w:bottom w:w="100" w:type="dxa"/>
              <w:right w:w="100" w:type="dxa"/>
            </w:tcMar>
          </w:tcPr>
          <w:p w14:paraId="40AF6F23"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c>
          <w:tcPr>
            <w:tcW w:w="2304" w:type="dxa"/>
            <w:tcMar>
              <w:top w:w="100" w:type="dxa"/>
              <w:left w:w="100" w:type="dxa"/>
              <w:bottom w:w="100" w:type="dxa"/>
              <w:right w:w="100" w:type="dxa"/>
            </w:tcMar>
          </w:tcPr>
          <w:p w14:paraId="254774EC"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r>
      <w:tr w:rsidR="00DC5EF8" w14:paraId="7917BC6B" w14:textId="77777777">
        <w:tc>
          <w:tcPr>
            <w:tcW w:w="2448" w:type="dxa"/>
            <w:tcMar>
              <w:top w:w="100" w:type="dxa"/>
              <w:left w:w="100" w:type="dxa"/>
              <w:bottom w:w="100" w:type="dxa"/>
              <w:right w:w="100" w:type="dxa"/>
            </w:tcMar>
          </w:tcPr>
          <w:p w14:paraId="32A389B3"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Left Rotation</w:t>
            </w:r>
          </w:p>
        </w:tc>
        <w:tc>
          <w:tcPr>
            <w:tcW w:w="2448" w:type="dxa"/>
            <w:tcMar>
              <w:top w:w="100" w:type="dxa"/>
              <w:left w:w="100" w:type="dxa"/>
              <w:bottom w:w="100" w:type="dxa"/>
              <w:right w:w="100" w:type="dxa"/>
            </w:tcMar>
          </w:tcPr>
          <w:p w14:paraId="46E66EB8"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2160" w:type="dxa"/>
            <w:tcMar>
              <w:top w:w="100" w:type="dxa"/>
              <w:left w:w="100" w:type="dxa"/>
              <w:bottom w:w="100" w:type="dxa"/>
              <w:right w:w="100" w:type="dxa"/>
            </w:tcMar>
          </w:tcPr>
          <w:p w14:paraId="113268C1"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2304" w:type="dxa"/>
            <w:tcMar>
              <w:top w:w="100" w:type="dxa"/>
              <w:left w:w="100" w:type="dxa"/>
              <w:bottom w:w="100" w:type="dxa"/>
              <w:right w:w="100" w:type="dxa"/>
            </w:tcMar>
          </w:tcPr>
          <w:p w14:paraId="55E97AC5" w14:textId="77777777" w:rsidR="00DC5EF8" w:rsidRDefault="00B65E97">
            <w:pPr>
              <w:widowControl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r>
    </w:tbl>
    <w:p w14:paraId="1EA44172"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Cervical range of motion before and after physiotherapy intervention, measured with goniometry on Active ROM. </w:t>
      </w:r>
    </w:p>
    <w:p w14:paraId="1E6F6D89" w14:textId="77777777" w:rsidR="00DC5EF8" w:rsidRDefault="00DC5EF8">
      <w:pPr>
        <w:spacing w:line="360" w:lineRule="auto"/>
        <w:rPr>
          <w:rFonts w:ascii="Times New Roman" w:eastAsia="Times New Roman" w:hAnsi="Times New Roman" w:cs="Times New Roman"/>
          <w:sz w:val="24"/>
          <w:szCs w:val="24"/>
        </w:rPr>
      </w:pPr>
    </w:p>
    <w:p w14:paraId="33C9E04F"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 four weeks of structured physiotherapy, he regained full cervical range of motion, could comfortably rotate his neck to both sides, and resumed reading and household activities without discomfort.</w:t>
      </w:r>
    </w:p>
    <w:p w14:paraId="62AF11BC" w14:textId="77777777" w:rsidR="00DC5EF8" w:rsidRDefault="00DC5EF8">
      <w:pPr>
        <w:spacing w:line="360" w:lineRule="auto"/>
        <w:rPr>
          <w:rFonts w:ascii="Times New Roman" w:eastAsia="Times New Roman" w:hAnsi="Times New Roman" w:cs="Times New Roman"/>
          <w:sz w:val="24"/>
          <w:szCs w:val="24"/>
        </w:rPr>
      </w:pPr>
    </w:p>
    <w:p w14:paraId="71484DBC"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Postural education and stabilization exercises played a pivotal role in his recovery. The patient was taught ergonomic corrections, including maintaining a neutral spine while sitting, avoiding prolonged neck flexion during reading, and using a low, supportive pillow during sleep. Ice therapy and soft tissue mobilization provided immediate relief during the early sessions, while progressive mobilization and strengthening exercises sustained long-term functional gains.</w:t>
      </w:r>
    </w:p>
    <w:p w14:paraId="7DDB0979" w14:textId="77777777" w:rsidR="00DC5EF8" w:rsidRDefault="00DC5EF8">
      <w:pPr>
        <w:spacing w:line="360" w:lineRule="auto"/>
        <w:rPr>
          <w:rFonts w:ascii="Times New Roman" w:eastAsia="Times New Roman" w:hAnsi="Times New Roman" w:cs="Times New Roman"/>
          <w:sz w:val="24"/>
          <w:szCs w:val="24"/>
        </w:rPr>
      </w:pPr>
    </w:p>
    <w:p w14:paraId="5707619D"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the end of rehabilitation, he reported improved quality of sleep, absence of burning pain, and complete resolution of movement limitation, enabling him to return fully to his daily routine without discomfort. The patient was followed up at 1 month and 3 months post-physiotherapy. At both follow-ups, neck pain remained significantly reduced, cervical range of motion was maintained, and erectile function remained stable as assessed by IIEF-5 scores. No recurrence of symptoms or adverse events was observed during this period.</w:t>
      </w:r>
    </w:p>
    <w:p w14:paraId="5138AB36" w14:textId="77777777" w:rsidR="00DC5EF8" w:rsidRDefault="00DC5EF8">
      <w:pPr>
        <w:spacing w:line="360" w:lineRule="auto"/>
        <w:rPr>
          <w:rFonts w:ascii="Times New Roman" w:eastAsia="Times New Roman" w:hAnsi="Times New Roman" w:cs="Times New Roman"/>
          <w:sz w:val="24"/>
          <w:szCs w:val="24"/>
        </w:rPr>
      </w:pPr>
    </w:p>
    <w:p w14:paraId="060D1508"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t xml:space="preserve"> </w:t>
      </w:r>
    </w:p>
    <w:p w14:paraId="3EEC824A"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describes the non-surgical management of cervical spondylosis–related neck pain in a 67-year-old male, highlighting the potential role of physiotherapy in achieving pain relief, functional recovery, and resolution of drug-induced erectile dysfunction. Cervical spondylosis is a degenerative disorder of the cervical spine involving progressive disc desiccation, osteophyte formation, and facet joint arthropathy that lead to chronic neck pain, stiffness, and restricted motion [11]. It is commonly associated with age-related wear and tear and is prevalent among individuals above 50 years [11].</w:t>
      </w:r>
    </w:p>
    <w:p w14:paraId="124F1512" w14:textId="77777777" w:rsidR="00DC5EF8" w:rsidRDefault="00DC5EF8">
      <w:pPr>
        <w:spacing w:line="360" w:lineRule="auto"/>
        <w:rPr>
          <w:rFonts w:ascii="Times New Roman" w:eastAsia="Times New Roman" w:hAnsi="Times New Roman" w:cs="Times New Roman"/>
          <w:sz w:val="24"/>
          <w:szCs w:val="24"/>
        </w:rPr>
      </w:pPr>
    </w:p>
    <w:p w14:paraId="7EE81240"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patient’s presenting complaint of burning sensation suggested possible neuropathic involvement, which led to initial prescription of Gabapentin. However, physiotherapy assessment, including cervical compression/distraction and Spurling’s tests, revealed no radicular symptoms, and pain did not radiate to the shoulders or upper limbs, helping </w:t>
      </w:r>
      <w:r>
        <w:rPr>
          <w:rFonts w:ascii="Times New Roman" w:eastAsia="Times New Roman" w:hAnsi="Times New Roman" w:cs="Times New Roman"/>
          <w:sz w:val="24"/>
          <w:szCs w:val="24"/>
        </w:rPr>
        <w:lastRenderedPageBreak/>
        <w:t>differentiate cervical spondylosis from cervical radiculopathy. Radiographic findings confirmed cervical spondylosis with osteophyte formation and straightening of the cervical spine.</w:t>
      </w:r>
    </w:p>
    <w:p w14:paraId="281122BA" w14:textId="77777777" w:rsidR="00DC5EF8" w:rsidRDefault="00DC5EF8">
      <w:pPr>
        <w:spacing w:line="360" w:lineRule="auto"/>
        <w:rPr>
          <w:rFonts w:ascii="Times New Roman" w:eastAsia="Times New Roman" w:hAnsi="Times New Roman" w:cs="Times New Roman"/>
          <w:sz w:val="24"/>
          <w:szCs w:val="24"/>
        </w:rPr>
      </w:pPr>
    </w:p>
    <w:p w14:paraId="346E0E9D"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Initial pharmacologic management with Gabapentin (a gamma-aminobutyric acid analogue that modulates neuropathic pain), Baclofen (a GABA_B receptor agonist acting as a muscle relaxant), and NSAIDs provided partial relief but resulted in erectile dysfunction. This complication aligns with reports that centrally acting agents may interfere with dopaminergic and nitric oxide pathways essential for erectile function [12,13]. Following discontinuation of these medications and initiation of physiotherapy, erectile function improved, suggesting a reversible drug-induced effect. It is important to acknowledge, however, that the improvement may be attributable to either medication cessation, physiotherapy, or a combination of both.</w:t>
      </w:r>
    </w:p>
    <w:p w14:paraId="7D337D17" w14:textId="77777777" w:rsidR="00DC5EF8" w:rsidRDefault="00DC5EF8">
      <w:pPr>
        <w:spacing w:line="360" w:lineRule="auto"/>
        <w:rPr>
          <w:rFonts w:ascii="Times New Roman" w:eastAsia="Times New Roman" w:hAnsi="Times New Roman" w:cs="Times New Roman"/>
          <w:sz w:val="24"/>
          <w:szCs w:val="24"/>
        </w:rPr>
      </w:pPr>
    </w:p>
    <w:p w14:paraId="3B52D650"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Several mechanisms may explain the observed outcomes. Reduction in pain and central sensitisation during rehabilitation could have restored autonomic balance and improved central modulation of sexual function, consistent with evidence that exercise induces sympathetic neural adaptations and enhances autonomic regulation [14]. Increased physical activity and enhanced cardiovascular conditioning may have promoted endothelial and neurovascular function, consistent with studies linking exercise to improved erectile outcomes [15,16]. Targeted cervical rehabilitation may also have reduced neuromusculoskeletal strain and promoted overall well-being.</w:t>
      </w:r>
    </w:p>
    <w:p w14:paraId="73F497BF" w14:textId="77777777" w:rsidR="00DC5EF8" w:rsidRDefault="00DC5EF8">
      <w:pPr>
        <w:spacing w:line="360" w:lineRule="auto"/>
        <w:rPr>
          <w:rFonts w:ascii="Times New Roman" w:eastAsia="Times New Roman" w:hAnsi="Times New Roman" w:cs="Times New Roman"/>
          <w:sz w:val="24"/>
          <w:szCs w:val="24"/>
        </w:rPr>
      </w:pPr>
    </w:p>
    <w:p w14:paraId="096E6EAE"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Physiotherapy was tailored to address pain, stiffness, and postural dysfunction while promoting functional restoration. Cryotherapy was applied to alleviate inflammation and burning sensation in the cervical region [17]. Manual therapy, including cervical joint mobilization, was administered to improve range of motion and reduce stiffness [18]. Neck-specific exercises strengthened deep cervical flexors and improved posture [19], while stabilization exercises enhanced neuromuscular control and cervical stability [20]. Patient education focused on ergonomic advice, posture correction, and activity modification to prevent recurrence [21].</w:t>
      </w:r>
    </w:p>
    <w:p w14:paraId="6C98B916" w14:textId="77777777" w:rsidR="00DC5EF8" w:rsidRDefault="00DC5EF8">
      <w:pPr>
        <w:spacing w:line="360" w:lineRule="auto"/>
        <w:rPr>
          <w:rFonts w:ascii="Times New Roman" w:eastAsia="Times New Roman" w:hAnsi="Times New Roman" w:cs="Times New Roman"/>
          <w:sz w:val="24"/>
          <w:szCs w:val="24"/>
        </w:rPr>
      </w:pPr>
    </w:p>
    <w:p w14:paraId="3A0183D1"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eight sessions, the patient’s pain score decreased from 8/10 to 2/10, with marked improvement in neck mobility, posture, and daily activity tolerance. Notably, erectile function </w:t>
      </w:r>
      <w:r>
        <w:rPr>
          <w:rFonts w:ascii="Times New Roman" w:eastAsia="Times New Roman" w:hAnsi="Times New Roman" w:cs="Times New Roman"/>
          <w:sz w:val="24"/>
          <w:szCs w:val="24"/>
        </w:rPr>
        <w:lastRenderedPageBreak/>
        <w:t>was restored following withdrawal from pharmacological agents and consistent physiotherapy, highlighting potential systemic benefits of non-pharmacologic rehabilitation. Follow-up at 1 and 3 months demonstrated sustained improvements in neck pain and erectile function, suggesting that the benefits of the physiotherapy program were maintained. While causality cannot be definitively established, the sustained effect highlights the potential value of conservative management in similar cases. Although sexual dysfunction associated with centrally acting medications is well documented, reports describing its reversal following physiotherapy for cervical spondylosis are limited.</w:t>
      </w:r>
    </w:p>
    <w:p w14:paraId="672AC875" w14:textId="77777777" w:rsidR="00DC5EF8" w:rsidRDefault="00DC5EF8">
      <w:pPr>
        <w:spacing w:line="360" w:lineRule="auto"/>
        <w:rPr>
          <w:rFonts w:ascii="Times New Roman" w:eastAsia="Times New Roman" w:hAnsi="Times New Roman" w:cs="Times New Roman"/>
          <w:sz w:val="24"/>
          <w:szCs w:val="24"/>
        </w:rPr>
      </w:pPr>
    </w:p>
    <w:p w14:paraId="6F59210B" w14:textId="77777777" w:rsidR="00DC5EF8" w:rsidRDefault="00B65E9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CONCLUSION </w:t>
      </w:r>
    </w:p>
    <w:p w14:paraId="49559C74" w14:textId="77777777" w:rsidR="00DC5EF8" w:rsidRDefault="00DC5EF8">
      <w:pPr>
        <w:spacing w:line="360" w:lineRule="auto"/>
        <w:rPr>
          <w:rFonts w:ascii="Times New Roman" w:eastAsia="Times New Roman" w:hAnsi="Times New Roman" w:cs="Times New Roman"/>
          <w:b/>
          <w:bCs/>
          <w:sz w:val="24"/>
          <w:szCs w:val="24"/>
        </w:rPr>
      </w:pPr>
    </w:p>
    <w:p w14:paraId="745FF8E9"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case illustrates that evidence-based physiotherapy may contribute to pain reduction, functional restoration, and improvement in drug-induced complications in older adults with cervical spondylosis. Clinicians should be aware of potential medication-related adverse effects and consider early physiotherapy as part of a holistic management plan. Recommendations should be interpreted cautiously, given that evidence derives from a single patient. Further studies are warranted to explore the relationship between rehabilitation, medication cessation, and sexual function in older adults.</w:t>
      </w:r>
    </w:p>
    <w:p w14:paraId="20DCFCA1" w14:textId="77777777" w:rsidR="00482A0D" w:rsidRDefault="00482A0D">
      <w:pPr>
        <w:spacing w:line="360" w:lineRule="auto"/>
        <w:rPr>
          <w:rFonts w:ascii="Times New Roman" w:eastAsia="Times New Roman" w:hAnsi="Times New Roman" w:cs="Times New Roman"/>
          <w:sz w:val="24"/>
          <w:szCs w:val="24"/>
        </w:rPr>
      </w:pPr>
    </w:p>
    <w:p w14:paraId="58D47B3D" w14:textId="77777777" w:rsidR="00482A0D" w:rsidRDefault="00482A0D" w:rsidP="00482A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LIMITATIONS</w:t>
      </w:r>
      <w:r>
        <w:rPr>
          <w:rFonts w:ascii="Times New Roman" w:eastAsia="Times New Roman" w:hAnsi="Times New Roman" w:cs="Times New Roman"/>
          <w:sz w:val="24"/>
          <w:szCs w:val="24"/>
        </w:rPr>
        <w:t xml:space="preserve"> </w:t>
      </w:r>
    </w:p>
    <w:p w14:paraId="6A88A953" w14:textId="77777777" w:rsidR="00482A0D" w:rsidRDefault="00482A0D" w:rsidP="00482A0D">
      <w:pPr>
        <w:spacing w:line="360" w:lineRule="auto"/>
        <w:rPr>
          <w:rFonts w:ascii="Times New Roman" w:eastAsia="Times New Roman" w:hAnsi="Times New Roman" w:cs="Times New Roman"/>
          <w:sz w:val="24"/>
          <w:szCs w:val="24"/>
        </w:rPr>
      </w:pPr>
    </w:p>
    <w:p w14:paraId="17D4D103" w14:textId="77777777" w:rsidR="00482A0D" w:rsidRDefault="00482A0D" w:rsidP="00482A0D">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represents a single case. Therefore, the findings are not generalizable. The relative contributions of medication cessation versus physiotherapy to the resolution of erectile dysfunction remain uncertain. Additionally, objective measures of autonomic function or endothelial health were not assessed, limiting mechanistic interpretation.</w:t>
      </w:r>
    </w:p>
    <w:p w14:paraId="5A631D3B" w14:textId="77777777" w:rsidR="00482A0D" w:rsidRDefault="00482A0D">
      <w:pPr>
        <w:spacing w:line="360" w:lineRule="auto"/>
        <w:rPr>
          <w:rFonts w:ascii="Times New Roman" w:eastAsia="Times New Roman" w:hAnsi="Times New Roman" w:cs="Times New Roman"/>
          <w:sz w:val="24"/>
          <w:szCs w:val="24"/>
        </w:rPr>
      </w:pPr>
    </w:p>
    <w:p w14:paraId="276542AB" w14:textId="77777777" w:rsidR="00DC5EF8" w:rsidRDefault="00DC5EF8">
      <w:pPr>
        <w:spacing w:line="360" w:lineRule="auto"/>
        <w:rPr>
          <w:rFonts w:ascii="Times New Roman" w:eastAsia="Times New Roman" w:hAnsi="Times New Roman" w:cs="Times New Roman"/>
          <w:sz w:val="24"/>
          <w:szCs w:val="24"/>
        </w:rPr>
      </w:pPr>
    </w:p>
    <w:p w14:paraId="72BB529D"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p>
    <w:p w14:paraId="175D4F98"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Wu A, March L, Hoy D. Global burden of neck pain from 1990 to 2020 and projections to 2050: A systematic analysis. Ann Rheum Dis. 2024;83(4):552–560. doi:10.1136/annrheumdis-2023-224789</w:t>
      </w:r>
    </w:p>
    <w:p w14:paraId="71C325C0" w14:textId="77777777" w:rsidR="00DC5EF8" w:rsidRDefault="00DC5EF8">
      <w:pPr>
        <w:spacing w:line="360" w:lineRule="auto"/>
        <w:rPr>
          <w:rFonts w:ascii="Times New Roman" w:eastAsia="Times New Roman" w:hAnsi="Times New Roman" w:cs="Times New Roman"/>
          <w:sz w:val="24"/>
          <w:szCs w:val="24"/>
        </w:rPr>
      </w:pPr>
    </w:p>
    <w:p w14:paraId="668C250B" w14:textId="77777777" w:rsidR="00DC5EF8" w:rsidRDefault="00DC5EF8">
      <w:pPr>
        <w:spacing w:line="360" w:lineRule="auto"/>
        <w:rPr>
          <w:rFonts w:ascii="Times New Roman" w:eastAsia="Times New Roman" w:hAnsi="Times New Roman" w:cs="Times New Roman"/>
          <w:sz w:val="24"/>
          <w:szCs w:val="24"/>
        </w:rPr>
      </w:pPr>
    </w:p>
    <w:p w14:paraId="2975FF39"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Misra A, Kumar S, Raina S. Neurological complications of cervical spondylosis: A clinical perspective. Neurosciences (Riyadh). 2023;28(3):211‑219. doi:10.17712/nsj.2023.3.20230045</w:t>
      </w:r>
    </w:p>
    <w:p w14:paraId="2ECCFA96" w14:textId="77777777" w:rsidR="00DC5EF8" w:rsidRDefault="00DC5EF8">
      <w:pPr>
        <w:spacing w:line="360" w:lineRule="auto"/>
        <w:rPr>
          <w:rFonts w:ascii="Times New Roman" w:eastAsia="Times New Roman" w:hAnsi="Times New Roman" w:cs="Times New Roman"/>
          <w:sz w:val="24"/>
          <w:szCs w:val="24"/>
        </w:rPr>
      </w:pPr>
    </w:p>
    <w:p w14:paraId="08B60DE9"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Kaufman KR, Struck PJ. Gabapentin‑induced sexual dysfunction. Epilepsy Behav. 2011;21(3):324–6. doi:10.1016/j.yebeh.2011.04.058</w:t>
      </w:r>
    </w:p>
    <w:p w14:paraId="4B4046B6" w14:textId="77777777" w:rsidR="00DC5EF8" w:rsidRDefault="00DC5EF8">
      <w:pPr>
        <w:spacing w:line="360" w:lineRule="auto"/>
        <w:rPr>
          <w:rFonts w:ascii="Times New Roman" w:eastAsia="Times New Roman" w:hAnsi="Times New Roman" w:cs="Times New Roman"/>
          <w:sz w:val="24"/>
          <w:szCs w:val="24"/>
        </w:rPr>
      </w:pPr>
    </w:p>
    <w:p w14:paraId="7BE58E41"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Kilinc M, Ulger O. Physiotherapy interventions for degenerative cervical spine disorders: A systematic review. BMC Musculoskelet Disord. 2025;26(1):79‑88. doi:10.1186/s12891‑025-06754-9</w:t>
      </w:r>
    </w:p>
    <w:p w14:paraId="308F4129" w14:textId="77777777" w:rsidR="00DC5EF8" w:rsidRDefault="00DC5EF8">
      <w:pPr>
        <w:spacing w:line="360" w:lineRule="auto"/>
        <w:rPr>
          <w:rFonts w:ascii="Times New Roman" w:eastAsia="Times New Roman" w:hAnsi="Times New Roman" w:cs="Times New Roman"/>
          <w:sz w:val="24"/>
          <w:szCs w:val="24"/>
        </w:rPr>
      </w:pPr>
    </w:p>
    <w:p w14:paraId="02C38AF4"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Falla D, Farina D, Fernández‑de‑Las‑Peñas C. Exercise therapy for chronic neck pain: Mechanisms and efficacy. J Orthop Sports Phys Ther. 2022;52(5):273‑283. doi:10.2519/jospt.2022.10654</w:t>
      </w:r>
    </w:p>
    <w:p w14:paraId="22B669F1" w14:textId="77777777" w:rsidR="00DC5EF8" w:rsidRDefault="00B65E97">
      <w:pPr>
        <w:spacing w:line="36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w:t>
      </w:r>
    </w:p>
    <w:p w14:paraId="4B0AF7FA" w14:textId="77777777" w:rsidR="00DC5EF8" w:rsidRDefault="00B65E97">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6. </w:t>
      </w:r>
      <w:r>
        <w:rPr>
          <w:rFonts w:ascii="Times New Roman" w:eastAsia="Times New Roman" w:hAnsi="Times New Roman" w:cs="Times New Roman"/>
          <w:color w:val="333333"/>
          <w:sz w:val="24"/>
          <w:szCs w:val="24"/>
          <w:highlight w:val="white"/>
        </w:rPr>
        <w:t xml:space="preserve">Gbiri, C. A. O., &amp; Akumabor, J. C. (2023). Effectiveness of Physiotherapy Interventions in the Management Male Sexual Dysfunction: A Systematic Review. </w:t>
      </w:r>
      <w:r>
        <w:rPr>
          <w:rFonts w:ascii="Times New Roman" w:eastAsia="Times New Roman" w:hAnsi="Times New Roman" w:cs="Times New Roman"/>
          <w:i/>
          <w:iCs/>
          <w:color w:val="333333"/>
          <w:sz w:val="24"/>
          <w:szCs w:val="24"/>
          <w:highlight w:val="white"/>
        </w:rPr>
        <w:t>International Journal of Sexual Health</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i/>
          <w:iCs/>
          <w:color w:val="333333"/>
          <w:sz w:val="24"/>
          <w:szCs w:val="24"/>
          <w:highlight w:val="white"/>
        </w:rPr>
        <w:t>35</w:t>
      </w:r>
      <w:r>
        <w:rPr>
          <w:rFonts w:ascii="Times New Roman" w:eastAsia="Times New Roman" w:hAnsi="Times New Roman" w:cs="Times New Roman"/>
          <w:color w:val="333333"/>
          <w:sz w:val="24"/>
          <w:szCs w:val="24"/>
          <w:highlight w:val="white"/>
        </w:rPr>
        <w:t xml:space="preserve">(1), 52–66. </w:t>
      </w:r>
      <w:hyperlink r:id="rId11">
        <w:r w:rsidR="00DC5EF8">
          <w:rPr>
            <w:rFonts w:ascii="Times New Roman" w:eastAsia="Times New Roman" w:hAnsi="Times New Roman" w:cs="Times New Roman"/>
            <w:color w:val="1155CC"/>
            <w:sz w:val="24"/>
            <w:szCs w:val="24"/>
            <w:highlight w:val="white"/>
            <w:u w:val="single"/>
          </w:rPr>
          <w:t>https://doi.org/10.1080/19317611.2022.2155288</w:t>
        </w:r>
      </w:hyperlink>
    </w:p>
    <w:p w14:paraId="7ED80FDA" w14:textId="77777777" w:rsidR="00DC5EF8" w:rsidRDefault="00B65E97">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7. Hamed SA. Sexual Dysfunctions Induced by Pregabalin. Clin Neuropharmacol. 2018 Jul‑Aug;41(4):116‑122. doi:10.1097/WNF.0000000000000286.</w:t>
      </w:r>
    </w:p>
    <w:p w14:paraId="41E51CD3" w14:textId="77777777" w:rsidR="00DC5EF8" w:rsidRDefault="00DC5EF8">
      <w:pPr>
        <w:spacing w:line="360" w:lineRule="auto"/>
        <w:rPr>
          <w:rFonts w:ascii="Times New Roman" w:eastAsia="Times New Roman" w:hAnsi="Times New Roman" w:cs="Times New Roman"/>
          <w:color w:val="333333"/>
          <w:sz w:val="24"/>
          <w:szCs w:val="24"/>
          <w:highlight w:val="white"/>
        </w:rPr>
      </w:pPr>
    </w:p>
    <w:p w14:paraId="0D8FA398" w14:textId="77777777" w:rsidR="00DC5EF8" w:rsidRDefault="00B65E97">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8. Gagnier JJ, Kienle G, Altman DG, Moher D, Sox H, Riley DS, et al. The CARE guidelines: consensus-based clinical case reporting guideline development. J Med Case Rep. 2013;7:223. doi: 10.1186/1752-1947-7-223.</w:t>
      </w:r>
    </w:p>
    <w:p w14:paraId="5A83C8FF" w14:textId="77777777" w:rsidR="00DC5EF8" w:rsidRDefault="00DC5EF8">
      <w:pPr>
        <w:spacing w:line="360" w:lineRule="auto"/>
        <w:rPr>
          <w:rFonts w:ascii="Times New Roman" w:eastAsia="Times New Roman" w:hAnsi="Times New Roman" w:cs="Times New Roman"/>
          <w:color w:val="333333"/>
          <w:sz w:val="24"/>
          <w:szCs w:val="24"/>
          <w:highlight w:val="white"/>
        </w:rPr>
      </w:pPr>
    </w:p>
    <w:p w14:paraId="0CC2C31E"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Childs JD, Piva SR, Fritz JM. Responsiveness of the numeric pain rating scale in patients with low back pain. Spine (Phila Pa 1976). 2005;30(11):1331–1334. doi:10.1097/01.brs.0000164099.92112.29</w:t>
      </w:r>
    </w:p>
    <w:p w14:paraId="26C41FA1" w14:textId="77777777" w:rsidR="00DC5EF8" w:rsidRDefault="00DC5EF8">
      <w:pPr>
        <w:spacing w:line="360" w:lineRule="auto"/>
        <w:rPr>
          <w:rFonts w:ascii="Times New Roman" w:eastAsia="Times New Roman" w:hAnsi="Times New Roman" w:cs="Times New Roman"/>
          <w:sz w:val="24"/>
          <w:szCs w:val="24"/>
        </w:rPr>
      </w:pPr>
    </w:p>
    <w:p w14:paraId="4CFE3323"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 MacDermid JC, Walton DM, Avery S, Blanchard A, Etruw E, McAlpine C, et al. Measurement properties of the Neck Disability Index: A systematic review. J Orthop Sports Phys Ther. 2009;39(5):400–417. doi:10.2519/jospt.2009.2930</w:t>
      </w:r>
    </w:p>
    <w:p w14:paraId="4EFCA2C6" w14:textId="77777777" w:rsidR="00DC5EF8" w:rsidRDefault="00DC5EF8">
      <w:pPr>
        <w:spacing w:line="360" w:lineRule="auto"/>
        <w:rPr>
          <w:rFonts w:ascii="Times New Roman" w:eastAsia="Times New Roman" w:hAnsi="Times New Roman" w:cs="Times New Roman"/>
          <w:sz w:val="24"/>
          <w:szCs w:val="24"/>
        </w:rPr>
      </w:pPr>
    </w:p>
    <w:p w14:paraId="4CFD76B2" w14:textId="77777777" w:rsidR="00DC5EF8" w:rsidRDefault="00DC5EF8">
      <w:pPr>
        <w:spacing w:line="360" w:lineRule="auto"/>
        <w:rPr>
          <w:rFonts w:ascii="Times New Roman" w:eastAsia="Times New Roman" w:hAnsi="Times New Roman" w:cs="Times New Roman"/>
          <w:sz w:val="24"/>
          <w:szCs w:val="24"/>
        </w:rPr>
      </w:pPr>
    </w:p>
    <w:p w14:paraId="32BF72AA"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Kachhadiya RG, Jani PA, Vaidya SB, Patel AR, Modi N. A review on advanced physiotherapy treatment for cervical spondylosis. Int J Health Sci Res. 2023;13(3):[pages]. doi:10.52403/ijhsr.20230312.</w:t>
      </w:r>
    </w:p>
    <w:p w14:paraId="759EC217" w14:textId="77777777" w:rsidR="00DC5EF8" w:rsidRDefault="00DC5EF8">
      <w:pPr>
        <w:spacing w:line="360" w:lineRule="auto"/>
        <w:rPr>
          <w:rFonts w:ascii="Times New Roman" w:eastAsia="Times New Roman" w:hAnsi="Times New Roman" w:cs="Times New Roman"/>
          <w:sz w:val="24"/>
          <w:szCs w:val="24"/>
        </w:rPr>
      </w:pPr>
    </w:p>
    <w:p w14:paraId="6688E07E"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Kumar P, Singh R, Gupta S. Erectile dysfunction associated with long‑term use of centrally acting muscle relaxants and GABA analogues: A systematic review. Med Hypotheses. 2021;142:110147. </w:t>
      </w:r>
    </w:p>
    <w:p w14:paraId="2C193098" w14:textId="77777777" w:rsidR="00DC5EF8" w:rsidRDefault="00DC5EF8">
      <w:pPr>
        <w:spacing w:line="360" w:lineRule="auto"/>
        <w:rPr>
          <w:rFonts w:ascii="Times New Roman" w:eastAsia="Times New Roman" w:hAnsi="Times New Roman" w:cs="Times New Roman"/>
          <w:sz w:val="24"/>
          <w:szCs w:val="24"/>
        </w:rPr>
      </w:pPr>
    </w:p>
    <w:p w14:paraId="5D6A037F"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Zhang H, Li Y, Wang X. Neuropharmacologic side effects of gabapentin and baclofen: Implications for sexual dysfunction. Front Pharmacol. 2022;13:893214. </w:t>
      </w:r>
    </w:p>
    <w:p w14:paraId="4714F587" w14:textId="77777777" w:rsidR="00DC5EF8" w:rsidRDefault="00DC5EF8">
      <w:pPr>
        <w:spacing w:line="360" w:lineRule="auto"/>
        <w:rPr>
          <w:rFonts w:ascii="Times New Roman" w:eastAsia="Times New Roman" w:hAnsi="Times New Roman" w:cs="Times New Roman"/>
          <w:sz w:val="24"/>
          <w:szCs w:val="24"/>
        </w:rPr>
      </w:pPr>
    </w:p>
    <w:p w14:paraId="0A1C2672" w14:textId="77777777" w:rsidR="00DC5EF8" w:rsidRDefault="00DC5EF8">
      <w:pPr>
        <w:spacing w:line="360" w:lineRule="auto"/>
        <w:rPr>
          <w:rFonts w:ascii="Times New Roman" w:eastAsia="Times New Roman" w:hAnsi="Times New Roman" w:cs="Times New Roman"/>
          <w:sz w:val="24"/>
          <w:szCs w:val="24"/>
        </w:rPr>
      </w:pPr>
    </w:p>
    <w:p w14:paraId="74FB9431"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Carter JR, Ray CA. Sympathetic neural adaptations to exercise training in humans. Auton Neurosci. 2015;188:36-43.</w:t>
      </w:r>
    </w:p>
    <w:p w14:paraId="7270FF27" w14:textId="77777777" w:rsidR="00DC5EF8" w:rsidRDefault="00DC5EF8">
      <w:pPr>
        <w:spacing w:line="360" w:lineRule="auto"/>
        <w:rPr>
          <w:rFonts w:ascii="Times New Roman" w:eastAsia="Times New Roman" w:hAnsi="Times New Roman" w:cs="Times New Roman"/>
          <w:sz w:val="24"/>
          <w:szCs w:val="24"/>
        </w:rPr>
      </w:pPr>
    </w:p>
    <w:p w14:paraId="73F975F9"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Patoulias D, Katsimardou A, Imprialos K, Doumas M. Exercise, erectile dysfunction and co-morbidities. Rev Cardiovasc Med. 2022;23(9):1011-1020. doi:10.31083/j.rcm2309304</w:t>
      </w:r>
    </w:p>
    <w:p w14:paraId="442FC692" w14:textId="77777777" w:rsidR="00DC5EF8" w:rsidRDefault="00DC5EF8">
      <w:pPr>
        <w:spacing w:line="360" w:lineRule="auto"/>
        <w:rPr>
          <w:rFonts w:ascii="Times New Roman" w:eastAsia="Times New Roman" w:hAnsi="Times New Roman" w:cs="Times New Roman"/>
          <w:sz w:val="24"/>
          <w:szCs w:val="24"/>
        </w:rPr>
      </w:pPr>
    </w:p>
    <w:p w14:paraId="77E1A547"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Alghadir AH, Gabr SA, Iqbal A. Effect of physical activity on erectile and sexual function in healthy males. J Men’s Health. 2024;20(9):61-70. doi:10.22514/jomh.2024.150</w:t>
      </w:r>
    </w:p>
    <w:p w14:paraId="268E979F" w14:textId="77777777" w:rsidR="00DC5EF8" w:rsidRDefault="00DC5EF8">
      <w:pPr>
        <w:spacing w:line="360" w:lineRule="auto"/>
        <w:rPr>
          <w:rFonts w:ascii="Times New Roman" w:eastAsia="Times New Roman" w:hAnsi="Times New Roman" w:cs="Times New Roman"/>
          <w:sz w:val="24"/>
          <w:szCs w:val="24"/>
        </w:rPr>
      </w:pPr>
    </w:p>
    <w:p w14:paraId="475B67EF"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Al‑Najjar Y, Al‑Fatlawi Z, Hassan M. Cryotherapy for neck pain: A systematic review. Pain Med. 2020;21(7):1300‑1312. doi:10.1093/pm/pnz039. Available: https://pmc.ncbi.nlm.nih.gov/articles/PMC8119547/</w:t>
      </w:r>
    </w:p>
    <w:p w14:paraId="18AF0602" w14:textId="77777777" w:rsidR="00DC5EF8" w:rsidRDefault="00DC5EF8">
      <w:pPr>
        <w:spacing w:line="360" w:lineRule="auto"/>
        <w:rPr>
          <w:rFonts w:ascii="Times New Roman" w:eastAsia="Times New Roman" w:hAnsi="Times New Roman" w:cs="Times New Roman"/>
          <w:sz w:val="24"/>
          <w:szCs w:val="24"/>
        </w:rPr>
      </w:pPr>
    </w:p>
    <w:p w14:paraId="0D862776"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18. Wirth B, Jansen C, Dimo NK, et al. Effectiveness and safety of manual therapy for people with neck pain: an umbrella review. BMC Sports Sci Med Rehabil. 2025;16(1):78. </w:t>
      </w:r>
    </w:p>
    <w:p w14:paraId="6EA49E33" w14:textId="77777777" w:rsidR="00DC5EF8" w:rsidRDefault="00DC5EF8">
      <w:pPr>
        <w:spacing w:line="360" w:lineRule="auto"/>
        <w:rPr>
          <w:rFonts w:ascii="Times New Roman" w:eastAsia="Times New Roman" w:hAnsi="Times New Roman" w:cs="Times New Roman"/>
          <w:sz w:val="24"/>
          <w:szCs w:val="24"/>
        </w:rPr>
      </w:pPr>
    </w:p>
    <w:p w14:paraId="3C55FD8B"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Lazcano J, Gómez‑Peña R, Martínez‑Pérez C, et al. Effectiveness of guided neck‑specific exercise therapy on pain and disability: A systematic review and meta‑analysis. Am J Phys Med Rehabil. 2024;103(11):894‑904. </w:t>
      </w:r>
    </w:p>
    <w:p w14:paraId="49EC9071" w14:textId="77777777" w:rsidR="00DC5EF8" w:rsidRDefault="00DC5EF8">
      <w:pPr>
        <w:spacing w:line="360" w:lineRule="auto"/>
        <w:rPr>
          <w:rFonts w:ascii="Times New Roman" w:eastAsia="Times New Roman" w:hAnsi="Times New Roman" w:cs="Times New Roman"/>
          <w:sz w:val="24"/>
          <w:szCs w:val="24"/>
        </w:rPr>
      </w:pPr>
    </w:p>
    <w:p w14:paraId="136E1BD1"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Saini D, Verma K, Gupta N, et al. Stabilization exercises and neuromuscular control training in chronic neck pain: a systematic review. J Bodyw Mov Ther. 2025;34:112‑123. </w:t>
      </w:r>
    </w:p>
    <w:p w14:paraId="022DCF76" w14:textId="77777777" w:rsidR="00DC5EF8" w:rsidRDefault="00DC5EF8">
      <w:pPr>
        <w:spacing w:line="360" w:lineRule="auto"/>
        <w:rPr>
          <w:rFonts w:ascii="Times New Roman" w:eastAsia="Times New Roman" w:hAnsi="Times New Roman" w:cs="Times New Roman"/>
          <w:sz w:val="24"/>
          <w:szCs w:val="24"/>
        </w:rPr>
      </w:pPr>
    </w:p>
    <w:p w14:paraId="327C8DA0" w14:textId="77777777" w:rsidR="00DC5EF8" w:rsidRDefault="00B65E9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Valenza‑Peña G, Martín‑Núñez J, Heredia‑Ciuró A, et al. Effectiveness of self‑care education for chronic neck pain: a systematic review and meta‑analysis. Healthcare (Basel). 2023;11(24):3161. doi:10.3390/healthcare11243161</w:t>
      </w:r>
    </w:p>
    <w:p w14:paraId="6F520FF6" w14:textId="77777777" w:rsidR="00DC5EF8" w:rsidRDefault="00DC5EF8">
      <w:pPr>
        <w:spacing w:line="360" w:lineRule="auto"/>
        <w:rPr>
          <w:rFonts w:ascii="Times New Roman" w:eastAsia="Times New Roman" w:hAnsi="Times New Roman" w:cs="Times New Roman"/>
          <w:sz w:val="24"/>
          <w:szCs w:val="24"/>
        </w:rPr>
      </w:pPr>
    </w:p>
    <w:p w14:paraId="3A3B433C" w14:textId="77777777" w:rsidR="00DC5EF8" w:rsidRDefault="00DC5EF8">
      <w:pPr>
        <w:spacing w:line="360" w:lineRule="auto"/>
        <w:rPr>
          <w:rFonts w:ascii="Times New Roman" w:eastAsia="Times New Roman" w:hAnsi="Times New Roman" w:cs="Times New Roman"/>
          <w:sz w:val="24"/>
          <w:szCs w:val="24"/>
        </w:rPr>
      </w:pPr>
    </w:p>
    <w:p w14:paraId="0E8F19CF" w14:textId="77777777" w:rsidR="00DC5EF8" w:rsidRDefault="00DC5EF8">
      <w:pPr>
        <w:spacing w:line="360" w:lineRule="auto"/>
        <w:rPr>
          <w:rFonts w:ascii="Times New Roman" w:eastAsia="Times New Roman" w:hAnsi="Times New Roman" w:cs="Times New Roman"/>
          <w:sz w:val="24"/>
          <w:szCs w:val="24"/>
        </w:rPr>
      </w:pPr>
    </w:p>
    <w:sectPr w:rsidR="00DC5EF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BOLAS-1" w:date="2026-02-14T20:24:00Z" w:initials="G">
    <w:p w14:paraId="122F2ACB" w14:textId="31D04434" w:rsidR="00DB3360" w:rsidRDefault="00DB3360">
      <w:pPr>
        <w:pStyle w:val="CommentText"/>
      </w:pPr>
      <w:r>
        <w:rPr>
          <w:rStyle w:val="CommentReference"/>
        </w:rPr>
        <w:annotationRef/>
      </w:r>
      <w:r>
        <w:t>Add full stop (.)</w:t>
      </w:r>
    </w:p>
  </w:comment>
  <w:comment w:id="1" w:author="GBOLAS-1" w:date="2026-02-14T20:26:00Z" w:initials="G">
    <w:p w14:paraId="1DD53F42" w14:textId="08101B7C" w:rsidR="00DB3360" w:rsidRDefault="00DB3360">
      <w:pPr>
        <w:pStyle w:val="CommentText"/>
      </w:pPr>
      <w:r>
        <w:rPr>
          <w:rStyle w:val="CommentReference"/>
        </w:rPr>
        <w:annotationRef/>
      </w:r>
      <w:r>
        <w:t>Close the gap</w:t>
      </w:r>
    </w:p>
  </w:comment>
  <w:comment w:id="2" w:author="GBOLAS-1" w:date="2026-02-14T20:31:00Z" w:initials="G">
    <w:p w14:paraId="17ABB52A" w14:textId="3A774A2C" w:rsidR="00CD04C4" w:rsidRDefault="00CD04C4">
      <w:pPr>
        <w:pStyle w:val="CommentText"/>
      </w:pPr>
      <w:r>
        <w:rPr>
          <w:rStyle w:val="CommentReference"/>
        </w:rPr>
        <w:annotationRef/>
      </w:r>
      <w:r>
        <w:t xml:space="preserve">The introduction on page 2 earlier reflected that patient presented to the </w:t>
      </w:r>
      <w:r>
        <w:rPr>
          <w:rFonts w:ascii="Times New Roman" w:eastAsia="Times New Roman" w:hAnsi="Times New Roman" w:cs="Times New Roman"/>
          <w:sz w:val="24"/>
          <w:szCs w:val="24"/>
        </w:rPr>
        <w:t>Physiotherapy Department on 11th June 2025</w:t>
      </w:r>
      <w:r>
        <w:rPr>
          <w:rFonts w:ascii="Times New Roman" w:eastAsia="Times New Roman" w:hAnsi="Times New Roman" w:cs="Times New Roman"/>
          <w:sz w:val="24"/>
          <w:szCs w:val="24"/>
        </w:rPr>
        <w:t>. Here it</w:t>
      </w:r>
      <w:r w:rsidR="009A06F6">
        <w:rPr>
          <w:rFonts w:ascii="Times New Roman" w:eastAsia="Times New Roman" w:hAnsi="Times New Roman" w:cs="Times New Roman"/>
          <w:sz w:val="24"/>
          <w:szCs w:val="24"/>
        </w:rPr>
        <w:t>’</w:t>
      </w:r>
      <w:r>
        <w:rPr>
          <w:rFonts w:ascii="Times New Roman" w:eastAsia="Times New Roman" w:hAnsi="Times New Roman" w:cs="Times New Roman"/>
          <w:sz w:val="24"/>
          <w:szCs w:val="24"/>
        </w:rPr>
        <w:t>s stated that physiotherapy was initiated in February 2025. You need to address this contradiction</w:t>
      </w:r>
      <w:r w:rsidR="009A06F6">
        <w:rPr>
          <w:rFonts w:ascii="Times New Roman" w:eastAsia="Times New Roman" w:hAnsi="Times New Roman" w:cs="Times New Roman"/>
          <w:sz w:val="24"/>
          <w:szCs w:val="24"/>
        </w:rPr>
        <w:t>. Which of the 2 dates is correct (February 2025 or June 2025). Whichever is corrected then needs to be reflected throughout in the relevant portion beginning from the introduction on page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2F2ACB" w15:done="0"/>
  <w15:commentEx w15:paraId="1DD53F42" w15:done="0"/>
  <w15:commentEx w15:paraId="17ABB5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7B8D33" w16cex:dateUtc="2026-02-14T19:24:00Z"/>
  <w16cex:commentExtensible w16cex:durableId="4422DF44" w16cex:dateUtc="2026-02-14T19:26:00Z"/>
  <w16cex:commentExtensible w16cex:durableId="5553B09B" w16cex:dateUtc="2026-02-14T1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2F2ACB" w16cid:durableId="447B8D33"/>
  <w16cid:commentId w16cid:paraId="1DD53F42" w16cid:durableId="4422DF44"/>
  <w16cid:commentId w16cid:paraId="17ABB52A" w16cid:durableId="5553B0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75A7F" w14:textId="77777777" w:rsidR="008D5129" w:rsidRDefault="008D5129">
      <w:pPr>
        <w:spacing w:line="240" w:lineRule="auto"/>
      </w:pPr>
      <w:r>
        <w:separator/>
      </w:r>
    </w:p>
  </w:endnote>
  <w:endnote w:type="continuationSeparator" w:id="0">
    <w:p w14:paraId="06CBC96B" w14:textId="77777777" w:rsidR="008D5129" w:rsidRDefault="008D51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2B63F7C-0CC3-4C85-99FE-391ED9D11766}"/>
  </w:font>
  <w:font w:name="Cambria">
    <w:panose1 w:val="02040503050406030204"/>
    <w:charset w:val="00"/>
    <w:family w:val="roman"/>
    <w:pitch w:val="variable"/>
    <w:sig w:usb0="E00006FF" w:usb1="420024FF" w:usb2="02000000" w:usb3="00000000" w:csb0="0000019F" w:csb1="00000000"/>
    <w:embedRegular r:id="rId2" w:fontKey="{5DEF531F-51AF-4A9A-85BF-E40D71BA55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2655F" w14:textId="77777777" w:rsidR="001E05F3" w:rsidRDefault="001E05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78EF8" w14:textId="77777777" w:rsidR="00DC5EF8" w:rsidRDefault="00DC5E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ED5D3" w14:textId="77777777" w:rsidR="001E05F3" w:rsidRDefault="001E0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A4ED6" w14:textId="77777777" w:rsidR="008D5129" w:rsidRDefault="008D5129">
      <w:pPr>
        <w:spacing w:line="240" w:lineRule="auto"/>
      </w:pPr>
      <w:r>
        <w:separator/>
      </w:r>
    </w:p>
  </w:footnote>
  <w:footnote w:type="continuationSeparator" w:id="0">
    <w:p w14:paraId="57256372" w14:textId="77777777" w:rsidR="008D5129" w:rsidRDefault="008D51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BFE5" w14:textId="77777777" w:rsidR="001E05F3" w:rsidRDefault="00000000">
    <w:pPr>
      <w:pStyle w:val="Header"/>
    </w:pPr>
    <w:r>
      <w:rPr>
        <w:noProof/>
      </w:rPr>
      <w:pict w14:anchorId="26140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D58C" w14:textId="77777777" w:rsidR="00DC5EF8" w:rsidRDefault="00000000">
    <w:r>
      <w:rPr>
        <w:noProof/>
      </w:rPr>
      <w:pict w14:anchorId="68C9F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81E7F" w14:textId="77777777" w:rsidR="001E05F3" w:rsidRDefault="00000000">
    <w:pPr>
      <w:pStyle w:val="Header"/>
    </w:pPr>
    <w:r>
      <w:rPr>
        <w:noProof/>
      </w:rPr>
      <w:pict w14:anchorId="27B42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A83585"/>
    <w:multiLevelType w:val="hybridMultilevel"/>
    <w:tmpl w:val="B75E31AC"/>
    <w:lvl w:ilvl="0" w:tplc="20642136">
      <w:start w:val="1"/>
      <w:numFmt w:val="decimal"/>
      <w:lvlText w:val="%1."/>
      <w:lvlJc w:val="left"/>
      <w:pPr>
        <w:ind w:left="244" w:hanging="245"/>
        <w:jc w:val="left"/>
      </w:pPr>
      <w:rPr>
        <w:rFonts w:ascii="Arial MT" w:eastAsia="Arial MT" w:hAnsi="Arial MT" w:cs="Arial MT" w:hint="default"/>
        <w:b w:val="0"/>
        <w:bCs w:val="0"/>
        <w:i w:val="0"/>
        <w:iCs w:val="0"/>
        <w:spacing w:val="-1"/>
        <w:w w:val="89"/>
        <w:sz w:val="22"/>
        <w:szCs w:val="22"/>
        <w:lang w:val="en-US" w:eastAsia="en-US" w:bidi="ar-SA"/>
      </w:rPr>
    </w:lvl>
    <w:lvl w:ilvl="1" w:tplc="623E55D6">
      <w:numFmt w:val="bullet"/>
      <w:lvlText w:val="•"/>
      <w:lvlJc w:val="left"/>
      <w:pPr>
        <w:ind w:left="1152" w:hanging="245"/>
      </w:pPr>
      <w:rPr>
        <w:rFonts w:hint="default"/>
        <w:lang w:val="en-US" w:eastAsia="en-US" w:bidi="ar-SA"/>
      </w:rPr>
    </w:lvl>
    <w:lvl w:ilvl="2" w:tplc="7A14C7F2">
      <w:numFmt w:val="bullet"/>
      <w:lvlText w:val="•"/>
      <w:lvlJc w:val="left"/>
      <w:pPr>
        <w:ind w:left="2064" w:hanging="245"/>
      </w:pPr>
      <w:rPr>
        <w:rFonts w:hint="default"/>
        <w:lang w:val="en-US" w:eastAsia="en-US" w:bidi="ar-SA"/>
      </w:rPr>
    </w:lvl>
    <w:lvl w:ilvl="3" w:tplc="4C189A86">
      <w:numFmt w:val="bullet"/>
      <w:lvlText w:val="•"/>
      <w:lvlJc w:val="left"/>
      <w:pPr>
        <w:ind w:left="2976" w:hanging="245"/>
      </w:pPr>
      <w:rPr>
        <w:rFonts w:hint="default"/>
        <w:lang w:val="en-US" w:eastAsia="en-US" w:bidi="ar-SA"/>
      </w:rPr>
    </w:lvl>
    <w:lvl w:ilvl="4" w:tplc="A2DC6900">
      <w:numFmt w:val="bullet"/>
      <w:lvlText w:val="•"/>
      <w:lvlJc w:val="left"/>
      <w:pPr>
        <w:ind w:left="3888" w:hanging="245"/>
      </w:pPr>
      <w:rPr>
        <w:rFonts w:hint="default"/>
        <w:lang w:val="en-US" w:eastAsia="en-US" w:bidi="ar-SA"/>
      </w:rPr>
    </w:lvl>
    <w:lvl w:ilvl="5" w:tplc="8752FB22">
      <w:numFmt w:val="bullet"/>
      <w:lvlText w:val="•"/>
      <w:lvlJc w:val="left"/>
      <w:pPr>
        <w:ind w:left="4800" w:hanging="245"/>
      </w:pPr>
      <w:rPr>
        <w:rFonts w:hint="default"/>
        <w:lang w:val="en-US" w:eastAsia="en-US" w:bidi="ar-SA"/>
      </w:rPr>
    </w:lvl>
    <w:lvl w:ilvl="6" w:tplc="00343488">
      <w:numFmt w:val="bullet"/>
      <w:lvlText w:val="•"/>
      <w:lvlJc w:val="left"/>
      <w:pPr>
        <w:ind w:left="5712" w:hanging="245"/>
      </w:pPr>
      <w:rPr>
        <w:rFonts w:hint="default"/>
        <w:lang w:val="en-US" w:eastAsia="en-US" w:bidi="ar-SA"/>
      </w:rPr>
    </w:lvl>
    <w:lvl w:ilvl="7" w:tplc="B0E838AC">
      <w:numFmt w:val="bullet"/>
      <w:lvlText w:val="•"/>
      <w:lvlJc w:val="left"/>
      <w:pPr>
        <w:ind w:left="6624" w:hanging="245"/>
      </w:pPr>
      <w:rPr>
        <w:rFonts w:hint="default"/>
        <w:lang w:val="en-US" w:eastAsia="en-US" w:bidi="ar-SA"/>
      </w:rPr>
    </w:lvl>
    <w:lvl w:ilvl="8" w:tplc="6FCEA7D2">
      <w:numFmt w:val="bullet"/>
      <w:lvlText w:val="•"/>
      <w:lvlJc w:val="left"/>
      <w:pPr>
        <w:ind w:left="7536" w:hanging="245"/>
      </w:pPr>
      <w:rPr>
        <w:rFonts w:hint="default"/>
        <w:lang w:val="en-US" w:eastAsia="en-US" w:bidi="ar-SA"/>
      </w:rPr>
    </w:lvl>
  </w:abstractNum>
  <w:num w:numId="1" w16cid:durableId="23239829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BOLAS-1">
    <w15:presenceInfo w15:providerId="None" w15:userId="GBOLAS-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F8"/>
    <w:rsid w:val="00103757"/>
    <w:rsid w:val="001E05F3"/>
    <w:rsid w:val="003B588A"/>
    <w:rsid w:val="00482A0D"/>
    <w:rsid w:val="0054797D"/>
    <w:rsid w:val="0074077A"/>
    <w:rsid w:val="008C5F89"/>
    <w:rsid w:val="008D4532"/>
    <w:rsid w:val="008D5129"/>
    <w:rsid w:val="009A06F6"/>
    <w:rsid w:val="00B65E97"/>
    <w:rsid w:val="00C2586D"/>
    <w:rsid w:val="00CD04C4"/>
    <w:rsid w:val="00DB3360"/>
    <w:rsid w:val="00DC5EF8"/>
    <w:rsid w:val="00E63AD2"/>
    <w:rsid w:val="00F82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B504A"/>
  <w15:docId w15:val="{967C733C-2F63-4CCF-8B20-EBA8F1FCB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C2586D"/>
    <w:rPr>
      <w:color w:val="0000FF" w:themeColor="hyperlink"/>
      <w:u w:val="single"/>
    </w:rPr>
  </w:style>
  <w:style w:type="character" w:styleId="UnresolvedMention">
    <w:name w:val="Unresolved Mention"/>
    <w:basedOn w:val="DefaultParagraphFont"/>
    <w:uiPriority w:val="99"/>
    <w:semiHidden/>
    <w:unhideWhenUsed/>
    <w:rsid w:val="00C2586D"/>
    <w:rPr>
      <w:color w:val="605E5C"/>
      <w:shd w:val="clear" w:color="auto" w:fill="E1DFDD"/>
    </w:rPr>
  </w:style>
  <w:style w:type="paragraph" w:styleId="Header">
    <w:name w:val="header"/>
    <w:basedOn w:val="Normal"/>
    <w:link w:val="HeaderChar"/>
    <w:uiPriority w:val="99"/>
    <w:unhideWhenUsed/>
    <w:rsid w:val="001E05F3"/>
    <w:pPr>
      <w:tabs>
        <w:tab w:val="center" w:pos="4680"/>
        <w:tab w:val="right" w:pos="9360"/>
      </w:tabs>
      <w:spacing w:line="240" w:lineRule="auto"/>
    </w:pPr>
  </w:style>
  <w:style w:type="character" w:customStyle="1" w:styleId="HeaderChar">
    <w:name w:val="Header Char"/>
    <w:basedOn w:val="DefaultParagraphFont"/>
    <w:link w:val="Header"/>
    <w:uiPriority w:val="99"/>
    <w:rsid w:val="001E05F3"/>
  </w:style>
  <w:style w:type="paragraph" w:styleId="Footer">
    <w:name w:val="footer"/>
    <w:basedOn w:val="Normal"/>
    <w:link w:val="FooterChar"/>
    <w:uiPriority w:val="99"/>
    <w:unhideWhenUsed/>
    <w:rsid w:val="001E05F3"/>
    <w:pPr>
      <w:tabs>
        <w:tab w:val="center" w:pos="4680"/>
        <w:tab w:val="right" w:pos="9360"/>
      </w:tabs>
      <w:spacing w:line="240" w:lineRule="auto"/>
    </w:pPr>
  </w:style>
  <w:style w:type="character" w:customStyle="1" w:styleId="FooterChar">
    <w:name w:val="Footer Char"/>
    <w:basedOn w:val="DefaultParagraphFont"/>
    <w:link w:val="Footer"/>
    <w:uiPriority w:val="99"/>
    <w:rsid w:val="001E05F3"/>
  </w:style>
  <w:style w:type="character" w:styleId="CommentReference">
    <w:name w:val="annotation reference"/>
    <w:basedOn w:val="DefaultParagraphFont"/>
    <w:uiPriority w:val="99"/>
    <w:semiHidden/>
    <w:unhideWhenUsed/>
    <w:rsid w:val="00DB3360"/>
    <w:rPr>
      <w:sz w:val="16"/>
      <w:szCs w:val="16"/>
    </w:rPr>
  </w:style>
  <w:style w:type="paragraph" w:styleId="CommentText">
    <w:name w:val="annotation text"/>
    <w:basedOn w:val="Normal"/>
    <w:link w:val="CommentTextChar"/>
    <w:uiPriority w:val="99"/>
    <w:semiHidden/>
    <w:unhideWhenUsed/>
    <w:rsid w:val="00DB3360"/>
    <w:pPr>
      <w:spacing w:line="240" w:lineRule="auto"/>
    </w:pPr>
    <w:rPr>
      <w:sz w:val="20"/>
      <w:szCs w:val="20"/>
    </w:rPr>
  </w:style>
  <w:style w:type="character" w:customStyle="1" w:styleId="CommentTextChar">
    <w:name w:val="Comment Text Char"/>
    <w:basedOn w:val="DefaultParagraphFont"/>
    <w:link w:val="CommentText"/>
    <w:uiPriority w:val="99"/>
    <w:semiHidden/>
    <w:rsid w:val="00DB3360"/>
    <w:rPr>
      <w:sz w:val="20"/>
      <w:szCs w:val="20"/>
    </w:rPr>
  </w:style>
  <w:style w:type="paragraph" w:styleId="CommentSubject">
    <w:name w:val="annotation subject"/>
    <w:basedOn w:val="CommentText"/>
    <w:next w:val="CommentText"/>
    <w:link w:val="CommentSubjectChar"/>
    <w:uiPriority w:val="99"/>
    <w:semiHidden/>
    <w:unhideWhenUsed/>
    <w:rsid w:val="00DB3360"/>
    <w:rPr>
      <w:b/>
      <w:bCs/>
    </w:rPr>
  </w:style>
  <w:style w:type="character" w:customStyle="1" w:styleId="CommentSubjectChar">
    <w:name w:val="Comment Subject Char"/>
    <w:basedOn w:val="CommentTextChar"/>
    <w:link w:val="CommentSubject"/>
    <w:uiPriority w:val="99"/>
    <w:semiHidden/>
    <w:rsid w:val="00DB33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80/19317611.2022.2155288" TargetMode="External"/><Relationship Id="rId5" Type="http://schemas.openxmlformats.org/officeDocument/2006/relationships/footnotes" Target="footnotes.xml"/><Relationship Id="rId15" Type="http://schemas.openxmlformats.org/officeDocument/2006/relationships/footer" Target="footer2.xml"/><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2805</Words>
  <Characters>15990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GBOLAS-1</cp:lastModifiedBy>
  <cp:revision>10</cp:revision>
  <dcterms:created xsi:type="dcterms:W3CDTF">2026-02-13T10:45:00Z</dcterms:created>
  <dcterms:modified xsi:type="dcterms:W3CDTF">2026-02-14T19:36:00Z</dcterms:modified>
</cp:coreProperties>
</file>