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91E8" w14:textId="77777777" w:rsidR="005C5FC1" w:rsidRDefault="005C5FC1" w:rsidP="005C5FC1">
      <w:pPr>
        <w:spacing w:line="360" w:lineRule="auto"/>
        <w:jc w:val="center"/>
        <w:rPr>
          <w:rFonts w:asciiTheme="majorBidi" w:hAnsiTheme="majorBidi" w:cstheme="majorBidi"/>
          <w:b/>
          <w:bCs/>
          <w:sz w:val="24"/>
          <w:szCs w:val="24"/>
        </w:rPr>
      </w:pP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ns of organic sources on growth</w:t>
      </w:r>
      <w:r w:rsidRPr="003B739A">
        <w:rPr>
          <w:rFonts w:asciiTheme="majorBidi" w:hAnsiTheme="majorBidi" w:cstheme="majorBidi"/>
          <w:b/>
          <w:bCs/>
          <w:sz w:val="24"/>
          <w:szCs w:val="24"/>
        </w:rPr>
        <w:t>,</w:t>
      </w:r>
      <w:r>
        <w:rPr>
          <w:rFonts w:asciiTheme="majorBidi" w:hAnsiTheme="majorBidi" w:cstheme="majorBidi"/>
          <w:b/>
          <w:bCs/>
          <w:sz w:val="24"/>
          <w:szCs w:val="24"/>
        </w:rPr>
        <w:t xml:space="preserve"> </w:t>
      </w:r>
      <w:r w:rsidRPr="003B739A">
        <w:rPr>
          <w:rFonts w:asciiTheme="majorBidi" w:hAnsiTheme="majorBidi" w:cstheme="majorBidi"/>
          <w:b/>
          <w:bCs/>
          <w:sz w:val="24"/>
          <w:szCs w:val="24"/>
        </w:rPr>
        <w:t>yield and economics of linseed crop (</w:t>
      </w:r>
      <w:r w:rsidRPr="00A964E4">
        <w:rPr>
          <w:rFonts w:asciiTheme="majorBidi" w:hAnsiTheme="majorBidi" w:cstheme="majorBidi"/>
          <w:b/>
          <w:bCs/>
          <w:i/>
          <w:iCs/>
          <w:sz w:val="24"/>
          <w:szCs w:val="24"/>
        </w:rPr>
        <w:t>Linum usitatisimum</w:t>
      </w:r>
      <w:r w:rsidRPr="003B739A">
        <w:rPr>
          <w:rFonts w:asciiTheme="majorBidi" w:hAnsiTheme="majorBidi" w:cstheme="majorBidi"/>
          <w:b/>
          <w:bCs/>
          <w:sz w:val="24"/>
          <w:szCs w:val="24"/>
        </w:rPr>
        <w:t xml:space="preserve"> L.) in Bundelkhand</w:t>
      </w:r>
    </w:p>
    <w:p w14:paraId="2F3670E3" w14:textId="77777777" w:rsidR="004E4C00" w:rsidRDefault="004E4C00" w:rsidP="00B1781A">
      <w:pPr>
        <w:spacing w:line="360" w:lineRule="auto"/>
        <w:jc w:val="both"/>
        <w:rPr>
          <w:rFonts w:asciiTheme="majorBidi" w:hAnsiTheme="majorBidi" w:cstheme="majorBidi"/>
          <w:b/>
          <w:bCs/>
          <w:sz w:val="24"/>
          <w:szCs w:val="24"/>
        </w:rPr>
      </w:pPr>
    </w:p>
    <w:p w14:paraId="569574D4" w14:textId="77777777" w:rsidR="00B1781A" w:rsidRPr="00701645" w:rsidRDefault="00BE0B20" w:rsidP="00B1781A">
      <w:pPr>
        <w:spacing w:line="360" w:lineRule="auto"/>
        <w:jc w:val="both"/>
        <w:rPr>
          <w:rFonts w:asciiTheme="majorBidi" w:hAnsiTheme="majorBidi" w:cstheme="majorBidi"/>
          <w:sz w:val="24"/>
          <w:szCs w:val="24"/>
        </w:rPr>
      </w:pPr>
      <w:r>
        <w:rPr>
          <w:rFonts w:asciiTheme="majorBidi" w:hAnsiTheme="majorBidi" w:cstheme="majorBidi"/>
          <w:b/>
          <w:bCs/>
          <w:sz w:val="24"/>
          <w:szCs w:val="24"/>
        </w:rPr>
        <w:t>Abstract</w:t>
      </w:r>
      <w:r w:rsidR="00B1781A">
        <w:rPr>
          <w:rFonts w:asciiTheme="majorBidi" w:hAnsiTheme="majorBidi" w:cstheme="majorBidi"/>
          <w:b/>
          <w:bCs/>
          <w:sz w:val="24"/>
          <w:szCs w:val="24"/>
        </w:rPr>
        <w:t>: -</w:t>
      </w:r>
      <w:r>
        <w:rPr>
          <w:rFonts w:asciiTheme="majorBidi" w:hAnsiTheme="majorBidi" w:cstheme="majorBidi"/>
          <w:b/>
          <w:bCs/>
          <w:sz w:val="24"/>
          <w:szCs w:val="24"/>
        </w:rPr>
        <w:t xml:space="preserve"> </w:t>
      </w:r>
      <w:r w:rsidR="00B1781A" w:rsidRPr="003B739A">
        <w:rPr>
          <w:rFonts w:asciiTheme="majorBidi" w:hAnsiTheme="majorBidi" w:cstheme="majorBidi"/>
          <w:sz w:val="24"/>
          <w:szCs w:val="24"/>
        </w:rPr>
        <w:t>A field experimen</w:t>
      </w:r>
      <w:r w:rsidR="00B1781A">
        <w:rPr>
          <w:rFonts w:asciiTheme="majorBidi" w:hAnsiTheme="majorBidi" w:cstheme="majorBidi"/>
          <w:sz w:val="24"/>
          <w:szCs w:val="24"/>
        </w:rPr>
        <w:t>t was conducted during Rabi 2020-21 O</w:t>
      </w:r>
      <w:r w:rsidR="00B1781A" w:rsidRPr="00F00B4C">
        <w:rPr>
          <w:rFonts w:asciiTheme="majorBidi" w:hAnsiTheme="majorBidi" w:cstheme="majorBidi"/>
          <w:sz w:val="24"/>
          <w:szCs w:val="24"/>
        </w:rPr>
        <w:t>rganic Research Farm Karguanji, Institute of Agricultural Sciences, Bundelkhand University, Jhansi (U.P.).</w:t>
      </w:r>
      <w:r w:rsidR="00B1781A">
        <w:rPr>
          <w:rFonts w:asciiTheme="majorBidi" w:hAnsiTheme="majorBidi" w:cstheme="majorBidi"/>
          <w:sz w:val="24"/>
          <w:szCs w:val="24"/>
        </w:rPr>
        <w:t xml:space="preserve"> </w:t>
      </w:r>
      <w:r w:rsidR="00B1781A" w:rsidRPr="003B739A">
        <w:rPr>
          <w:rFonts w:asciiTheme="majorBidi" w:hAnsiTheme="majorBidi" w:cstheme="majorBidi"/>
          <w:sz w:val="24"/>
          <w:szCs w:val="24"/>
        </w:rPr>
        <w:t>The</w:t>
      </w:r>
      <w:r w:rsidR="00B1781A">
        <w:rPr>
          <w:rFonts w:asciiTheme="majorBidi" w:hAnsiTheme="majorBidi" w:cstheme="majorBidi"/>
          <w:sz w:val="24"/>
          <w:szCs w:val="24"/>
        </w:rPr>
        <w:t xml:space="preserve"> experiment </w:t>
      </w:r>
      <w:commentRangeStart w:id="0"/>
      <w:r w:rsidR="00B1781A">
        <w:rPr>
          <w:rFonts w:asciiTheme="majorBidi" w:hAnsiTheme="majorBidi" w:cstheme="majorBidi"/>
          <w:sz w:val="24"/>
          <w:szCs w:val="24"/>
        </w:rPr>
        <w:t>consisting</w:t>
      </w:r>
      <w:commentRangeEnd w:id="0"/>
      <w:r w:rsidR="00272114">
        <w:rPr>
          <w:rStyle w:val="Marquedecommentaire"/>
          <w:rFonts w:asciiTheme="majorBidi" w:hAnsiTheme="majorBidi" w:cstheme="majorBidi"/>
          <w:sz w:val="24"/>
          <w:szCs w:val="24"/>
        </w:rPr>
        <w:commentReference w:id="0"/>
      </w:r>
      <w:r w:rsidR="00B1781A">
        <w:rPr>
          <w:rFonts w:asciiTheme="majorBidi" w:hAnsiTheme="majorBidi" w:cstheme="majorBidi"/>
          <w:sz w:val="24"/>
          <w:szCs w:val="24"/>
        </w:rPr>
        <w:t xml:space="preserve"> of nine</w:t>
      </w:r>
      <w:r w:rsidR="00B1781A" w:rsidRPr="003B739A">
        <w:rPr>
          <w:rFonts w:asciiTheme="majorBidi" w:hAnsiTheme="majorBidi" w:cstheme="majorBidi"/>
          <w:sz w:val="24"/>
          <w:szCs w:val="24"/>
        </w:rPr>
        <w:t xml:space="preserve"> treatment combinations which </w:t>
      </w:r>
      <w:commentRangeStart w:id="1"/>
      <w:r w:rsidR="00B1781A">
        <w:rPr>
          <w:rFonts w:asciiTheme="majorBidi" w:hAnsiTheme="majorBidi" w:cstheme="majorBidi"/>
          <w:sz w:val="24"/>
          <w:szCs w:val="24"/>
        </w:rPr>
        <w:t>was</w:t>
      </w:r>
      <w:commentRangeEnd w:id="1"/>
      <w:r w:rsidR="00272114" w:rsidRPr="003B739A">
        <w:rPr>
          <w:rStyle w:val="Marquedecommentaire"/>
          <w:rFonts w:asciiTheme="majorBidi" w:hAnsiTheme="majorBidi" w:cstheme="majorBidi"/>
          <w:sz w:val="24"/>
          <w:szCs w:val="24"/>
        </w:rPr>
        <w:commentReference w:id="1"/>
      </w:r>
      <w:r w:rsidR="00B1781A" w:rsidRPr="003B739A">
        <w:rPr>
          <w:rFonts w:asciiTheme="majorBidi" w:hAnsiTheme="majorBidi" w:cstheme="majorBidi"/>
          <w:sz w:val="24"/>
          <w:szCs w:val="24"/>
        </w:rPr>
        <w:t xml:space="preserve"> laid out in Randomized Block Design</w:t>
      </w:r>
      <w:r w:rsidR="00B1781A">
        <w:rPr>
          <w:rFonts w:asciiTheme="majorBidi" w:hAnsiTheme="majorBidi" w:cstheme="majorBidi"/>
          <w:sz w:val="24"/>
          <w:szCs w:val="24"/>
        </w:rPr>
        <w:t xml:space="preserve"> with three replications. Azad alsi-2</w:t>
      </w:r>
      <w:r w:rsidR="00B1781A" w:rsidRPr="003B739A">
        <w:rPr>
          <w:rFonts w:asciiTheme="majorBidi" w:hAnsiTheme="majorBidi" w:cstheme="majorBidi"/>
          <w:sz w:val="24"/>
          <w:szCs w:val="24"/>
        </w:rPr>
        <w:t xml:space="preserve"> variety of the linseed was used in the experiment. It was found that among the different tr</w:t>
      </w:r>
      <w:r w:rsidR="00B1781A">
        <w:rPr>
          <w:rFonts w:asciiTheme="majorBidi" w:hAnsiTheme="majorBidi" w:cstheme="majorBidi"/>
          <w:sz w:val="24"/>
          <w:szCs w:val="24"/>
        </w:rPr>
        <w:t>eatments higher plant height (</w:t>
      </w:r>
      <w:smartTag w:uri="urn:schemas-microsoft-com:office:smarttags" w:element="metricconverter">
        <w:smartTagPr>
          <w:attr w:name="ProductID" w:val="60.9 cm"/>
        </w:smartTagPr>
        <w:r w:rsidR="00B1781A">
          <w:rPr>
            <w:rFonts w:asciiTheme="majorBidi" w:hAnsiTheme="majorBidi" w:cstheme="majorBidi"/>
            <w:sz w:val="24"/>
            <w:szCs w:val="24"/>
          </w:rPr>
          <w:t>60.9</w:t>
        </w:r>
        <w:r w:rsidR="00B1781A" w:rsidRPr="003B739A">
          <w:rPr>
            <w:rFonts w:asciiTheme="majorBidi" w:hAnsiTheme="majorBidi" w:cstheme="majorBidi"/>
            <w:sz w:val="24"/>
            <w:szCs w:val="24"/>
          </w:rPr>
          <w:t xml:space="preserve"> cm</w:t>
        </w:r>
      </w:smartTag>
      <w:r w:rsidR="00B1781A" w:rsidRPr="003B739A">
        <w:rPr>
          <w:rFonts w:asciiTheme="majorBidi" w:hAnsiTheme="majorBidi" w:cstheme="majorBidi"/>
          <w:sz w:val="24"/>
          <w:szCs w:val="24"/>
        </w:rPr>
        <w:t xml:space="preserve">) at </w:t>
      </w:r>
      <w:r w:rsidR="00B1781A">
        <w:rPr>
          <w:rFonts w:asciiTheme="majorBidi" w:hAnsiTheme="majorBidi" w:cstheme="majorBidi"/>
          <w:sz w:val="24"/>
          <w:szCs w:val="24"/>
        </w:rPr>
        <w:t>harvest, dry shoot weight (</w:t>
      </w:r>
      <w:smartTag w:uri="urn:schemas-microsoft-com:office:smarttags" w:element="metricconverter">
        <w:smartTagPr>
          <w:attr w:name="ProductID" w:val="4.29 gm"/>
        </w:smartTagPr>
        <w:r w:rsidR="00B1781A">
          <w:rPr>
            <w:rFonts w:asciiTheme="majorBidi" w:hAnsiTheme="majorBidi" w:cstheme="majorBidi"/>
            <w:sz w:val="24"/>
            <w:szCs w:val="24"/>
          </w:rPr>
          <w:t>4.29 gm</w:t>
        </w:r>
      </w:smartTag>
      <w:r w:rsidR="00B1781A">
        <w:rPr>
          <w:rFonts w:asciiTheme="majorBidi" w:hAnsiTheme="majorBidi" w:cstheme="majorBidi"/>
          <w:sz w:val="24"/>
          <w:szCs w:val="24"/>
        </w:rPr>
        <w:t xml:space="preserve">.), number of secondary branches (24.9), number of capsule/plant (83.3), number of seed per capsule 10.2), </w:t>
      </w:r>
      <w:r w:rsidR="00B1781A" w:rsidRPr="003B739A">
        <w:rPr>
          <w:rFonts w:asciiTheme="majorBidi" w:hAnsiTheme="majorBidi" w:cstheme="majorBidi"/>
          <w:sz w:val="24"/>
          <w:szCs w:val="24"/>
        </w:rPr>
        <w:t>see</w:t>
      </w:r>
      <w:r w:rsidR="00B1781A">
        <w:rPr>
          <w:rFonts w:asciiTheme="majorBidi" w:hAnsiTheme="majorBidi" w:cstheme="majorBidi"/>
          <w:sz w:val="24"/>
          <w:szCs w:val="24"/>
        </w:rPr>
        <w:t>d yield (11.0 q ha</w:t>
      </w:r>
      <w:r w:rsidR="00B1781A" w:rsidRPr="005A706A">
        <w:rPr>
          <w:rFonts w:asciiTheme="majorBidi" w:hAnsiTheme="majorBidi" w:cstheme="majorBidi"/>
          <w:sz w:val="24"/>
          <w:szCs w:val="24"/>
          <w:vertAlign w:val="superscript"/>
        </w:rPr>
        <w:t>-1</w:t>
      </w:r>
      <w:r w:rsidR="00B1781A">
        <w:rPr>
          <w:rFonts w:asciiTheme="majorBidi" w:hAnsiTheme="majorBidi" w:cstheme="majorBidi"/>
          <w:sz w:val="24"/>
          <w:szCs w:val="24"/>
        </w:rPr>
        <w:t>), Stover yield of (16.7</w:t>
      </w:r>
      <w:r w:rsidR="00B1781A" w:rsidRPr="003B739A">
        <w:rPr>
          <w:rFonts w:asciiTheme="majorBidi" w:hAnsiTheme="majorBidi" w:cstheme="majorBidi"/>
          <w:sz w:val="24"/>
          <w:szCs w:val="24"/>
        </w:rPr>
        <w:t xml:space="preserve"> q ha</w:t>
      </w:r>
      <w:r w:rsidR="00B1781A" w:rsidRPr="005A706A">
        <w:rPr>
          <w:rFonts w:asciiTheme="majorBidi" w:hAnsiTheme="majorBidi" w:cstheme="majorBidi"/>
          <w:sz w:val="24"/>
          <w:szCs w:val="24"/>
          <w:vertAlign w:val="superscript"/>
        </w:rPr>
        <w:t>-1</w:t>
      </w:r>
      <w:r w:rsidR="00B1781A" w:rsidRPr="003B739A">
        <w:rPr>
          <w:rFonts w:asciiTheme="majorBidi" w:hAnsiTheme="majorBidi" w:cstheme="majorBidi"/>
          <w:sz w:val="24"/>
          <w:szCs w:val="24"/>
        </w:rPr>
        <w:t>)</w:t>
      </w:r>
      <w:r w:rsidR="008B66AC">
        <w:rPr>
          <w:rFonts w:asciiTheme="majorBidi" w:hAnsiTheme="majorBidi" w:cstheme="majorBidi"/>
          <w:sz w:val="24"/>
          <w:szCs w:val="24"/>
        </w:rPr>
        <w:t>,</w:t>
      </w:r>
      <w:r w:rsidR="00B1781A">
        <w:rPr>
          <w:rFonts w:asciiTheme="majorBidi" w:hAnsiTheme="majorBidi" w:cstheme="majorBidi"/>
          <w:sz w:val="24"/>
          <w:szCs w:val="24"/>
        </w:rPr>
        <w:t xml:space="preserve"> </w:t>
      </w:r>
      <w:r w:rsidR="008B66AC">
        <w:rPr>
          <w:rFonts w:asciiTheme="majorBidi" w:hAnsiTheme="majorBidi" w:cstheme="majorBidi"/>
          <w:sz w:val="24"/>
          <w:szCs w:val="24"/>
        </w:rPr>
        <w:t xml:space="preserve">net returns (50934 Rs/ha) </w:t>
      </w:r>
      <w:r w:rsidR="00B1781A">
        <w:rPr>
          <w:rFonts w:asciiTheme="majorBidi" w:hAnsiTheme="majorBidi" w:cstheme="majorBidi"/>
          <w:sz w:val="24"/>
          <w:szCs w:val="24"/>
        </w:rPr>
        <w:t>and cost benefit ratio (3.32)</w:t>
      </w:r>
      <w:r w:rsidR="00B1781A" w:rsidRPr="003B739A">
        <w:rPr>
          <w:rFonts w:asciiTheme="majorBidi" w:hAnsiTheme="majorBidi" w:cstheme="majorBidi"/>
          <w:sz w:val="24"/>
          <w:szCs w:val="24"/>
        </w:rPr>
        <w:t xml:space="preserve"> was recorded with the application of 50% FYM + 50% vermicompost to supply 100% of recommended N (T</w:t>
      </w:r>
      <w:r w:rsidR="00B1781A" w:rsidRPr="00A964E4">
        <w:rPr>
          <w:rFonts w:asciiTheme="majorBidi" w:hAnsiTheme="majorBidi" w:cstheme="majorBidi"/>
          <w:sz w:val="24"/>
          <w:szCs w:val="24"/>
          <w:vertAlign w:val="subscript"/>
        </w:rPr>
        <w:t>5</w:t>
      </w:r>
      <w:r w:rsidR="00B1781A" w:rsidRPr="003B739A">
        <w:rPr>
          <w:rFonts w:asciiTheme="majorBidi" w:hAnsiTheme="majorBidi" w:cstheme="majorBidi"/>
          <w:sz w:val="24"/>
          <w:szCs w:val="24"/>
        </w:rPr>
        <w:t>)</w:t>
      </w:r>
      <w:r w:rsidR="00B1781A">
        <w:rPr>
          <w:rFonts w:asciiTheme="majorBidi" w:hAnsiTheme="majorBidi" w:cstheme="majorBidi"/>
          <w:sz w:val="24"/>
          <w:szCs w:val="24"/>
        </w:rPr>
        <w:t xml:space="preserve"> and maximum harvest index was recorded of (47.7%) in T</w:t>
      </w:r>
      <w:r w:rsidR="00B1781A">
        <w:rPr>
          <w:rFonts w:asciiTheme="majorBidi" w:hAnsiTheme="majorBidi" w:cstheme="majorBidi"/>
          <w:sz w:val="24"/>
          <w:szCs w:val="24"/>
          <w:vertAlign w:val="subscript"/>
        </w:rPr>
        <w:t>4</w:t>
      </w:r>
      <w:r w:rsidR="00B1781A">
        <w:rPr>
          <w:rFonts w:asciiTheme="majorBidi" w:hAnsiTheme="majorBidi" w:cstheme="majorBidi"/>
          <w:sz w:val="24"/>
          <w:szCs w:val="24"/>
        </w:rPr>
        <w:t xml:space="preserve">. </w:t>
      </w:r>
      <w:r w:rsidR="00B1781A" w:rsidRPr="003B739A">
        <w:rPr>
          <w:rFonts w:asciiTheme="majorBidi" w:hAnsiTheme="majorBidi" w:cstheme="majorBidi"/>
          <w:sz w:val="24"/>
          <w:szCs w:val="24"/>
        </w:rPr>
        <w:t>Whe</w:t>
      </w:r>
      <w:r w:rsidR="00B1781A">
        <w:rPr>
          <w:rFonts w:asciiTheme="majorBidi" w:hAnsiTheme="majorBidi" w:cstheme="majorBidi"/>
          <w:sz w:val="24"/>
          <w:szCs w:val="24"/>
        </w:rPr>
        <w:t>reas, the lowest plant height (</w:t>
      </w:r>
      <w:smartTag w:uri="urn:schemas-microsoft-com:office:smarttags" w:element="metricconverter">
        <w:smartTagPr>
          <w:attr w:name="ProductID" w:val="56.1 cm"/>
        </w:smartTagPr>
        <w:r w:rsidR="00B1781A">
          <w:rPr>
            <w:rFonts w:asciiTheme="majorBidi" w:hAnsiTheme="majorBidi" w:cstheme="majorBidi"/>
            <w:sz w:val="24"/>
            <w:szCs w:val="24"/>
          </w:rPr>
          <w:t>56.1 cm</w:t>
        </w:r>
      </w:smartTag>
      <w:r w:rsidR="00B1781A">
        <w:rPr>
          <w:rFonts w:asciiTheme="majorBidi" w:hAnsiTheme="majorBidi" w:cstheme="majorBidi"/>
          <w:sz w:val="24"/>
          <w:szCs w:val="24"/>
        </w:rPr>
        <w:t>) and secondary branches (13.9) are recorded in T</w:t>
      </w:r>
      <w:r w:rsidR="00B1781A">
        <w:rPr>
          <w:rFonts w:asciiTheme="majorBidi" w:hAnsiTheme="majorBidi" w:cstheme="majorBidi"/>
          <w:sz w:val="24"/>
          <w:szCs w:val="24"/>
          <w:vertAlign w:val="subscript"/>
        </w:rPr>
        <w:t xml:space="preserve">1. </w:t>
      </w:r>
      <w:r w:rsidR="00B1781A">
        <w:rPr>
          <w:rFonts w:asciiTheme="majorBidi" w:hAnsiTheme="majorBidi" w:cstheme="majorBidi"/>
          <w:sz w:val="24"/>
          <w:szCs w:val="24"/>
        </w:rPr>
        <w:t>However, lowest dry shoot weights are recorded (</w:t>
      </w:r>
      <w:smartTag w:uri="urn:schemas-microsoft-com:office:smarttags" w:element="metricconverter">
        <w:smartTagPr>
          <w:attr w:name="ProductID" w:val="1.73 gm"/>
        </w:smartTagPr>
        <w:r w:rsidR="00B1781A">
          <w:rPr>
            <w:rFonts w:asciiTheme="majorBidi" w:hAnsiTheme="majorBidi" w:cstheme="majorBidi"/>
            <w:sz w:val="24"/>
            <w:szCs w:val="24"/>
          </w:rPr>
          <w:t>1.73 gm</w:t>
        </w:r>
      </w:smartTag>
      <w:r w:rsidR="00B1781A">
        <w:rPr>
          <w:rFonts w:asciiTheme="majorBidi" w:hAnsiTheme="majorBidi" w:cstheme="majorBidi"/>
          <w:sz w:val="24"/>
          <w:szCs w:val="24"/>
        </w:rPr>
        <w:t>.</w:t>
      </w:r>
      <w:r w:rsidR="00B1781A" w:rsidRPr="003B739A">
        <w:rPr>
          <w:rFonts w:asciiTheme="majorBidi" w:hAnsiTheme="majorBidi" w:cstheme="majorBidi"/>
          <w:sz w:val="24"/>
          <w:szCs w:val="24"/>
        </w:rPr>
        <w:t>)</w:t>
      </w:r>
      <w:r w:rsidR="00B1781A">
        <w:rPr>
          <w:rFonts w:asciiTheme="majorBidi" w:hAnsiTheme="majorBidi" w:cstheme="majorBidi"/>
          <w:sz w:val="24"/>
          <w:szCs w:val="24"/>
        </w:rPr>
        <w:t xml:space="preserve"> in T</w:t>
      </w:r>
      <w:r w:rsidR="00B1781A">
        <w:rPr>
          <w:rFonts w:asciiTheme="majorBidi" w:hAnsiTheme="majorBidi" w:cstheme="majorBidi"/>
          <w:sz w:val="24"/>
          <w:szCs w:val="24"/>
          <w:vertAlign w:val="subscript"/>
        </w:rPr>
        <w:t>6</w:t>
      </w:r>
      <w:r w:rsidR="00B1781A">
        <w:rPr>
          <w:rFonts w:asciiTheme="majorBidi" w:hAnsiTheme="majorBidi" w:cstheme="majorBidi"/>
          <w:sz w:val="24"/>
          <w:szCs w:val="24"/>
        </w:rPr>
        <w:t>.</w:t>
      </w:r>
      <w:r w:rsidR="00B1781A" w:rsidRPr="003B739A">
        <w:rPr>
          <w:rFonts w:asciiTheme="majorBidi" w:hAnsiTheme="majorBidi" w:cstheme="majorBidi"/>
          <w:sz w:val="24"/>
          <w:szCs w:val="24"/>
        </w:rPr>
        <w:t xml:space="preserve"> </w:t>
      </w:r>
      <w:r w:rsidR="00B1781A">
        <w:rPr>
          <w:rFonts w:asciiTheme="majorBidi" w:hAnsiTheme="majorBidi" w:cstheme="majorBidi"/>
          <w:sz w:val="24"/>
          <w:szCs w:val="24"/>
        </w:rPr>
        <w:t>Lowest numbers of capsule /plant are recoded (41.5) in T</w:t>
      </w:r>
      <w:r w:rsidR="00B1781A" w:rsidRPr="00701645">
        <w:rPr>
          <w:rFonts w:asciiTheme="majorBidi" w:hAnsiTheme="majorBidi" w:cstheme="majorBidi"/>
          <w:sz w:val="24"/>
          <w:szCs w:val="24"/>
          <w:vertAlign w:val="subscript"/>
        </w:rPr>
        <w:t>1</w:t>
      </w:r>
      <w:r w:rsidR="00B1781A">
        <w:rPr>
          <w:rFonts w:asciiTheme="majorBidi" w:hAnsiTheme="majorBidi" w:cstheme="majorBidi"/>
          <w:sz w:val="24"/>
          <w:szCs w:val="24"/>
        </w:rPr>
        <w:t>, lowest numbers of seed/capsule are recorded (6.9) in T</w:t>
      </w:r>
      <w:r w:rsidR="00B1781A" w:rsidRPr="00701645">
        <w:rPr>
          <w:rFonts w:asciiTheme="majorBidi" w:hAnsiTheme="majorBidi" w:cstheme="majorBidi"/>
          <w:sz w:val="24"/>
          <w:szCs w:val="24"/>
          <w:vertAlign w:val="subscript"/>
        </w:rPr>
        <w:t>3</w:t>
      </w:r>
      <w:r w:rsidR="00B1781A">
        <w:rPr>
          <w:rFonts w:asciiTheme="majorBidi" w:hAnsiTheme="majorBidi" w:cstheme="majorBidi"/>
          <w:sz w:val="24"/>
          <w:szCs w:val="24"/>
        </w:rPr>
        <w:t xml:space="preserve">, lowest seed yield, stover </w:t>
      </w:r>
      <w:r w:rsidR="00E5444C">
        <w:rPr>
          <w:rFonts w:asciiTheme="majorBidi" w:hAnsiTheme="majorBidi" w:cstheme="majorBidi"/>
          <w:sz w:val="24"/>
          <w:szCs w:val="24"/>
        </w:rPr>
        <w:t>yield</w:t>
      </w:r>
      <w:r w:rsidR="008B66AC">
        <w:rPr>
          <w:rFonts w:asciiTheme="majorBidi" w:hAnsiTheme="majorBidi" w:cstheme="majorBidi"/>
          <w:sz w:val="24"/>
          <w:szCs w:val="24"/>
        </w:rPr>
        <w:t>, net returns</w:t>
      </w:r>
      <w:r w:rsidR="00E5444C">
        <w:rPr>
          <w:rFonts w:asciiTheme="majorBidi" w:hAnsiTheme="majorBidi" w:cstheme="majorBidi"/>
          <w:sz w:val="24"/>
          <w:szCs w:val="24"/>
        </w:rPr>
        <w:t xml:space="preserve"> and B: C is recorded (7.0 </w:t>
      </w:r>
      <w:r w:rsidR="00B1781A">
        <w:rPr>
          <w:rFonts w:asciiTheme="majorBidi" w:hAnsiTheme="majorBidi" w:cstheme="majorBidi"/>
          <w:sz w:val="24"/>
          <w:szCs w:val="24"/>
        </w:rPr>
        <w:t>q/ha, 9.4 q/ha</w:t>
      </w:r>
      <w:r w:rsidR="008B66AC">
        <w:rPr>
          <w:rFonts w:asciiTheme="majorBidi" w:hAnsiTheme="majorBidi" w:cstheme="majorBidi"/>
          <w:sz w:val="24"/>
          <w:szCs w:val="24"/>
        </w:rPr>
        <w:t>, 13726 Rs/ha</w:t>
      </w:r>
      <w:r w:rsidR="00B1781A">
        <w:rPr>
          <w:rFonts w:asciiTheme="majorBidi" w:hAnsiTheme="majorBidi" w:cstheme="majorBidi"/>
          <w:sz w:val="24"/>
          <w:szCs w:val="24"/>
        </w:rPr>
        <w:t xml:space="preserve"> and 1.42) in T</w:t>
      </w:r>
      <w:r w:rsidR="00B1781A" w:rsidRPr="00701645">
        <w:rPr>
          <w:rFonts w:asciiTheme="majorBidi" w:hAnsiTheme="majorBidi" w:cstheme="majorBidi"/>
          <w:sz w:val="24"/>
          <w:szCs w:val="24"/>
          <w:vertAlign w:val="subscript"/>
        </w:rPr>
        <w:t>4</w:t>
      </w:r>
      <w:r w:rsidR="00B1781A">
        <w:rPr>
          <w:rFonts w:asciiTheme="majorBidi" w:hAnsiTheme="majorBidi" w:cstheme="majorBidi"/>
          <w:sz w:val="24"/>
          <w:szCs w:val="24"/>
        </w:rPr>
        <w:t xml:space="preserve"> and lowest harvest index are recorded of (33.19 %) in T</w:t>
      </w:r>
      <w:r w:rsidR="00B1781A">
        <w:rPr>
          <w:rFonts w:asciiTheme="majorBidi" w:hAnsiTheme="majorBidi" w:cstheme="majorBidi"/>
          <w:sz w:val="24"/>
          <w:szCs w:val="24"/>
          <w:vertAlign w:val="subscript"/>
        </w:rPr>
        <w:t>3</w:t>
      </w:r>
      <w:r w:rsidR="00B1781A">
        <w:rPr>
          <w:rFonts w:asciiTheme="majorBidi" w:hAnsiTheme="majorBidi" w:cstheme="majorBidi"/>
          <w:sz w:val="24"/>
          <w:szCs w:val="24"/>
        </w:rPr>
        <w:t>.</w:t>
      </w:r>
    </w:p>
    <w:p w14:paraId="3EAFC3FB" w14:textId="77777777" w:rsidR="004F3801" w:rsidRPr="00B1781A" w:rsidRDefault="00B1781A" w:rsidP="00B1781A">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i/>
          <w:iCs/>
          <w:sz w:val="24"/>
          <w:szCs w:val="24"/>
        </w:rPr>
        <w:t>linseed, growth, productivity, economics and organic manures.</w:t>
      </w:r>
    </w:p>
    <w:p w14:paraId="77FE3B4A" w14:textId="77777777" w:rsidR="00CF1EE4" w:rsidRDefault="00BE0B20" w:rsidP="007E4810">
      <w:pPr>
        <w:spacing w:line="360" w:lineRule="auto"/>
        <w:jc w:val="both"/>
        <w:rPr>
          <w:rFonts w:ascii="Times New Roman" w:eastAsia="Times New Roman" w:hAnsi="Times New Roman" w:cs="Times New Roman"/>
          <w:sz w:val="24"/>
          <w:szCs w:val="24"/>
        </w:rPr>
      </w:pPr>
      <w:r>
        <w:rPr>
          <w:rFonts w:asciiTheme="majorBidi" w:hAnsiTheme="majorBidi" w:cstheme="majorBidi"/>
          <w:b/>
          <w:bCs/>
          <w:sz w:val="24"/>
          <w:szCs w:val="24"/>
        </w:rPr>
        <w:t>Introduction</w:t>
      </w:r>
      <w:r w:rsidR="00C15354">
        <w:rPr>
          <w:rFonts w:asciiTheme="majorBidi" w:hAnsiTheme="majorBidi" w:cstheme="majorBidi"/>
          <w:b/>
          <w:bCs/>
          <w:sz w:val="24"/>
          <w:szCs w:val="24"/>
        </w:rPr>
        <w:t>: -</w:t>
      </w:r>
      <w:r>
        <w:rPr>
          <w:rFonts w:asciiTheme="majorBidi" w:hAnsiTheme="majorBidi" w:cstheme="majorBidi"/>
          <w:b/>
          <w:bCs/>
          <w:sz w:val="24"/>
          <w:szCs w:val="24"/>
        </w:rPr>
        <w:t xml:space="preserve"> </w:t>
      </w:r>
      <w:r w:rsidRPr="00BE0B20">
        <w:rPr>
          <w:rFonts w:ascii="Times New Roman" w:eastAsia="Times New Roman" w:hAnsi="Times New Roman" w:cs="Times New Roman"/>
          <w:sz w:val="24"/>
          <w:szCs w:val="24"/>
        </w:rPr>
        <w:t xml:space="preserve">As food production grew following the Green Revolution in India, the country became self-sufficient in essentials like wheat and rice. However, the reliance on chemical inputs resulted in a decrease in biodiversity and the deterioration of natural resources (water and soil) (Eliazer Nelson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2019). Research on organic nutrient amendments has increased as sustainable agriculture gets traction, with a primary focus on </w:t>
      </w:r>
      <w:r w:rsidR="007E4810" w:rsidRPr="00BE0B20">
        <w:rPr>
          <w:rFonts w:ascii="Times New Roman" w:eastAsia="Times New Roman" w:hAnsi="Times New Roman" w:cs="Times New Roman"/>
          <w:sz w:val="24"/>
          <w:szCs w:val="24"/>
        </w:rPr>
        <w:t>optimizing</w:t>
      </w:r>
      <w:r w:rsidRPr="00BE0B20">
        <w:rPr>
          <w:rFonts w:ascii="Times New Roman" w:eastAsia="Times New Roman" w:hAnsi="Times New Roman" w:cs="Times New Roman"/>
          <w:sz w:val="24"/>
          <w:szCs w:val="24"/>
        </w:rPr>
        <w:t xml:space="preserve"> nutrient delivery to improve crop productivity (Parewa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2021; Sharma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2024). Between the 1960s and the 2000s, the production of rice and wheat rose from 35 million tonnes to 100 million tonnes and from roughly 10 million tonnes to over 75 million tonnes, respectively.</w:t>
      </w:r>
      <w:r w:rsidR="007E4810">
        <w:rPr>
          <w:rFonts w:ascii="Times New Roman" w:eastAsia="Times New Roman" w:hAnsi="Times New Roman" w:cs="Times New Roman"/>
          <w:sz w:val="24"/>
          <w:szCs w:val="24"/>
        </w:rPr>
        <w:t xml:space="preserve"> </w:t>
      </w:r>
      <w:r w:rsidR="00CF1EE4" w:rsidRPr="00CF1EE4">
        <w:rPr>
          <w:rFonts w:ascii="Times New Roman" w:eastAsia="Times New Roman" w:hAnsi="Times New Roman" w:cs="Times New Roman"/>
          <w:sz w:val="24"/>
          <w:szCs w:val="24"/>
        </w:rPr>
        <w:t xml:space="preserve">Food security was guaranteed by the rise in output, while environmental concerns led to a change to sustainable farming methods (Eliazer Nelson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2019). A significant oilseed crop, linseed (</w:t>
      </w:r>
      <w:r w:rsidR="00CF1EE4" w:rsidRPr="00161468">
        <w:rPr>
          <w:rFonts w:ascii="Times New Roman" w:eastAsia="Times New Roman" w:hAnsi="Times New Roman" w:cs="Times New Roman"/>
          <w:i/>
          <w:iCs/>
          <w:sz w:val="24"/>
          <w:szCs w:val="24"/>
        </w:rPr>
        <w:t>Linum usitatissimum</w:t>
      </w:r>
      <w:r w:rsidR="00CF1EE4" w:rsidRPr="00CF1EE4">
        <w:rPr>
          <w:rFonts w:ascii="Times New Roman" w:eastAsia="Times New Roman" w:hAnsi="Times New Roman" w:cs="Times New Roman"/>
          <w:sz w:val="24"/>
          <w:szCs w:val="24"/>
        </w:rPr>
        <w:t xml:space="preserve"> L.) is employed in a variety of industries, including cosmetics and health foods, </w:t>
      </w:r>
      <w:r w:rsidR="00CF1EE4" w:rsidRPr="00CF1EE4">
        <w:rPr>
          <w:rFonts w:ascii="Times New Roman" w:eastAsia="Times New Roman" w:hAnsi="Times New Roman" w:cs="Times New Roman"/>
          <w:sz w:val="24"/>
          <w:szCs w:val="24"/>
        </w:rPr>
        <w:lastRenderedPageBreak/>
        <w:t xml:space="preserve">due to its high fibre and omega-3 fatty acid content (Kaur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2023). Madhya Pradesh, Uttar Pradesh, and Chhattisgarh are the top three states in India, which </w:t>
      </w:r>
      <w:commentRangeStart w:id="2"/>
      <w:r w:rsidR="00CF1EE4" w:rsidRPr="00CF1EE4">
        <w:rPr>
          <w:rFonts w:ascii="Times New Roman" w:eastAsia="Times New Roman" w:hAnsi="Times New Roman" w:cs="Times New Roman"/>
          <w:sz w:val="24"/>
          <w:szCs w:val="24"/>
        </w:rPr>
        <w:t>generates</w:t>
      </w:r>
      <w:commentRangeEnd w:id="2"/>
      <w:r w:rsidR="00272114" w:rsidRPr="00CF1EE4">
        <w:rPr>
          <w:rStyle w:val="Marquedecommentaire"/>
          <w:rFonts w:ascii="Times New Roman" w:eastAsia="Times New Roman" w:hAnsi="Times New Roman" w:cs="Times New Roman"/>
          <w:sz w:val="24"/>
          <w:szCs w:val="24"/>
        </w:rPr>
        <w:commentReference w:id="2"/>
      </w:r>
      <w:r w:rsidR="00CF1EE4" w:rsidRPr="00CF1EE4">
        <w:rPr>
          <w:rFonts w:ascii="Times New Roman" w:eastAsia="Times New Roman" w:hAnsi="Times New Roman" w:cs="Times New Roman"/>
          <w:sz w:val="24"/>
          <w:szCs w:val="24"/>
        </w:rPr>
        <w:t xml:space="preserve"> 1.5–1.8 million tonnes of linseed a year. However, poor soil health and uneven </w:t>
      </w:r>
      <w:r w:rsidR="007E4810" w:rsidRPr="00CF1EE4">
        <w:rPr>
          <w:rFonts w:ascii="Times New Roman" w:eastAsia="Times New Roman" w:hAnsi="Times New Roman" w:cs="Times New Roman"/>
          <w:sz w:val="24"/>
          <w:szCs w:val="24"/>
        </w:rPr>
        <w:t>fertilizer</w:t>
      </w:r>
      <w:r w:rsidR="00CF1EE4" w:rsidRPr="00CF1EE4">
        <w:rPr>
          <w:rFonts w:ascii="Times New Roman" w:eastAsia="Times New Roman" w:hAnsi="Times New Roman" w:cs="Times New Roman"/>
          <w:sz w:val="24"/>
          <w:szCs w:val="24"/>
        </w:rPr>
        <w:t xml:space="preserve"> management have limited output and productivity (</w:t>
      </w:r>
      <w:commentRangeStart w:id="3"/>
      <w:r w:rsidR="00CF1EE4" w:rsidRPr="00CF1EE4">
        <w:rPr>
          <w:rFonts w:ascii="Times New Roman" w:eastAsia="Times New Roman" w:hAnsi="Times New Roman" w:cs="Times New Roman"/>
          <w:sz w:val="24"/>
          <w:szCs w:val="24"/>
        </w:rPr>
        <w:t>Anonymous, 2024</w:t>
      </w:r>
      <w:commentRangeEnd w:id="3"/>
      <w:r w:rsidR="00272114" w:rsidRPr="00CF1EE4">
        <w:rPr>
          <w:rStyle w:val="Marquedecommentaire"/>
          <w:rFonts w:ascii="Times New Roman" w:eastAsia="Times New Roman" w:hAnsi="Times New Roman" w:cs="Times New Roman"/>
          <w:sz w:val="24"/>
          <w:szCs w:val="24"/>
        </w:rPr>
        <w:commentReference w:id="3"/>
      </w:r>
      <w:r w:rsidR="00CF1EE4" w:rsidRPr="00CF1EE4">
        <w:rPr>
          <w:rFonts w:ascii="Times New Roman" w:eastAsia="Times New Roman" w:hAnsi="Times New Roman" w:cs="Times New Roman"/>
          <w:sz w:val="24"/>
          <w:szCs w:val="24"/>
        </w:rPr>
        <w:t>).</w:t>
      </w:r>
      <w:r w:rsidR="007E4810">
        <w:rPr>
          <w:rFonts w:ascii="Times New Roman" w:eastAsia="Times New Roman" w:hAnsi="Times New Roman" w:cs="Times New Roman"/>
          <w:sz w:val="24"/>
          <w:szCs w:val="24"/>
        </w:rPr>
        <w:t xml:space="preserve"> </w:t>
      </w:r>
      <w:r w:rsidR="00CF1EE4" w:rsidRPr="00CF1EE4">
        <w:rPr>
          <w:rFonts w:ascii="Times New Roman" w:eastAsia="Times New Roman" w:hAnsi="Times New Roman" w:cs="Times New Roman"/>
          <w:sz w:val="24"/>
          <w:szCs w:val="24"/>
        </w:rPr>
        <w:t>Combinations of farmyard manure (FYM), neem cake, vermiwash, and cow urine are examples of organic inputs that help restore the soil biodiversity and nutrient cycle, resulting in sustainable yield, better oil quality, and reduced environmental impact. This study looks at how several organic treatments, such as farmyard manure (FYM), neem cake, vermiwash, and cow urine, affect the development and yield of linseed (Piper, 1966). Therefore, the current study was conducted to determine how various combinations of organic sources affected the economics, growth and yield of the linseed crop (</w:t>
      </w:r>
      <w:r w:rsidR="00CF1EE4" w:rsidRPr="00161468">
        <w:rPr>
          <w:rFonts w:ascii="Times New Roman" w:eastAsia="Times New Roman" w:hAnsi="Times New Roman" w:cs="Times New Roman"/>
          <w:i/>
          <w:iCs/>
          <w:sz w:val="24"/>
          <w:szCs w:val="24"/>
        </w:rPr>
        <w:t>Linum usitatisimum</w:t>
      </w:r>
      <w:r w:rsidR="00CF1EE4" w:rsidRPr="00CF1EE4">
        <w:rPr>
          <w:rFonts w:ascii="Times New Roman" w:eastAsia="Times New Roman" w:hAnsi="Times New Roman" w:cs="Times New Roman"/>
          <w:sz w:val="24"/>
          <w:szCs w:val="24"/>
        </w:rPr>
        <w:t xml:space="preserve"> L.) in Bundelkhand.</w:t>
      </w:r>
    </w:p>
    <w:p w14:paraId="6F356E2E" w14:textId="77777777" w:rsidR="00CF1EE4" w:rsidRPr="00CF1EE4" w:rsidRDefault="00CF1EE4" w:rsidP="007E481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 and methods:</w:t>
      </w:r>
      <w:r w:rsidR="007E481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CF1EE4">
        <w:rPr>
          <w:rFonts w:ascii="Times New Roman" w:eastAsia="Times New Roman" w:hAnsi="Times New Roman" w:cs="Times New Roman"/>
          <w:sz w:val="24"/>
          <w:szCs w:val="24"/>
        </w:rPr>
        <w:t xml:space="preserve">During the 2020–21 Rabi season, a field experiment was conducted at the Organic Research Farm Karguanji, Institute of Agricultural Sciences, Bundelkhand University, Jhansi (U.P.). Nine treatment combinations were included in the Randomised Block Design trial, which included three replications. The experiment employed the Azad alsi-2 type of linseed. The soil at the experimental site was sandy loam in texture, saline in reaction, medium in available nitrogen, and low in accessible phosphorus and potassium, according to the physical and chemical characteristics. Sand (55.74%), silt (22.95%), clay (21.31%), and a sandy loam soil </w:t>
      </w:r>
      <w:commentRangeStart w:id="4"/>
      <w:r w:rsidRPr="00CF1EE4">
        <w:rPr>
          <w:rFonts w:ascii="Times New Roman" w:eastAsia="Times New Roman" w:hAnsi="Times New Roman" w:cs="Times New Roman"/>
          <w:sz w:val="24"/>
          <w:szCs w:val="24"/>
        </w:rPr>
        <w:t>texture</w:t>
      </w:r>
      <w:commentRangeEnd w:id="4"/>
      <w:r w:rsidR="005C095C" w:rsidRPr="00CF1EE4">
        <w:rPr>
          <w:rStyle w:val="Marquedecommentaire"/>
          <w:rFonts w:ascii="Times New Roman" w:eastAsia="Times New Roman" w:hAnsi="Times New Roman" w:cs="Times New Roman"/>
          <w:sz w:val="24"/>
          <w:szCs w:val="24"/>
        </w:rPr>
        <w:commentReference w:id="4"/>
      </w:r>
      <w:r w:rsidRPr="00CF1EE4">
        <w:rPr>
          <w:rFonts w:ascii="Times New Roman" w:eastAsia="Times New Roman" w:hAnsi="Times New Roman" w:cs="Times New Roman"/>
          <w:sz w:val="24"/>
          <w:szCs w:val="24"/>
        </w:rPr>
        <w:t xml:space="preserve"> were indicated by the experimental site's initial soil physical and chemical parameters.</w:t>
      </w:r>
      <w:r w:rsidR="007E4810">
        <w:rPr>
          <w:rFonts w:ascii="Times New Roman" w:eastAsia="Times New Roman" w:hAnsi="Times New Roman" w:cs="Times New Roman"/>
          <w:sz w:val="24"/>
          <w:szCs w:val="24"/>
        </w:rPr>
        <w:t xml:space="preserve"> </w:t>
      </w:r>
      <w:r w:rsidRPr="00CF1EE4">
        <w:rPr>
          <w:rFonts w:ascii="Times New Roman" w:eastAsia="Times New Roman" w:hAnsi="Times New Roman" w:cs="Times New Roman"/>
          <w:sz w:val="24"/>
          <w:szCs w:val="24"/>
        </w:rPr>
        <w:t>According to the soil chemistry study, the soil's pH was 7.2, its available N was 316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P was 4.5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K was 91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S was 9.25, and its organic carbon content was 0.39%. T</w:t>
      </w:r>
      <w:r w:rsidRPr="006013A8">
        <w:rPr>
          <w:rFonts w:ascii="Times New Roman" w:eastAsia="Times New Roman" w:hAnsi="Times New Roman" w:cs="Times New Roman"/>
          <w:sz w:val="24"/>
          <w:szCs w:val="24"/>
          <w:vertAlign w:val="subscript"/>
        </w:rPr>
        <w:t>0</w:t>
      </w:r>
      <w:r w:rsidRPr="00CF1EE4">
        <w:rPr>
          <w:rFonts w:ascii="Times New Roman" w:eastAsia="Times New Roman" w:hAnsi="Times New Roman" w:cs="Times New Roman"/>
          <w:sz w:val="24"/>
          <w:szCs w:val="24"/>
        </w:rPr>
        <w:t xml:space="preserve">-Control (RDF-80:40:30 kg NPK/ha) through chemical </w:t>
      </w:r>
      <w:r w:rsidR="00161468" w:rsidRPr="00CF1EE4">
        <w:rPr>
          <w:rFonts w:ascii="Times New Roman" w:eastAsia="Times New Roman" w:hAnsi="Times New Roman" w:cs="Times New Roman"/>
          <w:sz w:val="24"/>
          <w:szCs w:val="24"/>
        </w:rPr>
        <w:t>fertilizer</w:t>
      </w:r>
      <w:r w:rsidRPr="00CF1EE4">
        <w:rPr>
          <w:rFonts w:ascii="Times New Roman" w:eastAsia="Times New Roman" w:hAnsi="Times New Roman" w:cs="Times New Roman"/>
          <w:sz w:val="24"/>
          <w:szCs w:val="24"/>
        </w:rPr>
        <w:t>; T</w:t>
      </w:r>
      <w:r w:rsidRPr="0073564E">
        <w:rPr>
          <w:rFonts w:ascii="Times New Roman" w:eastAsia="Times New Roman" w:hAnsi="Times New Roman" w:cs="Times New Roman"/>
          <w:sz w:val="24"/>
          <w:szCs w:val="24"/>
          <w:vertAlign w:val="subscript"/>
        </w:rPr>
        <w:t>1</w:t>
      </w:r>
      <w:r w:rsidRPr="00CF1EE4">
        <w:rPr>
          <w:rFonts w:ascii="Times New Roman" w:eastAsia="Times New Roman" w:hAnsi="Times New Roman" w:cs="Times New Roman"/>
          <w:sz w:val="24"/>
          <w:szCs w:val="24"/>
        </w:rPr>
        <w:t>-100% nutrients through farm yard manure; T</w:t>
      </w:r>
      <w:r w:rsidRPr="0073564E">
        <w:rPr>
          <w:rFonts w:ascii="Times New Roman" w:eastAsia="Times New Roman" w:hAnsi="Times New Roman" w:cs="Times New Roman"/>
          <w:sz w:val="24"/>
          <w:szCs w:val="24"/>
          <w:vertAlign w:val="subscript"/>
        </w:rPr>
        <w:t>2</w:t>
      </w:r>
      <w:r w:rsidRPr="00CF1EE4">
        <w:rPr>
          <w:rFonts w:ascii="Times New Roman" w:eastAsia="Times New Roman" w:hAnsi="Times New Roman" w:cs="Times New Roman"/>
          <w:sz w:val="24"/>
          <w:szCs w:val="24"/>
        </w:rPr>
        <w:t>-100% nutrients through vermicompost; T</w:t>
      </w:r>
      <w:r w:rsidRPr="0073564E">
        <w:rPr>
          <w:rFonts w:ascii="Times New Roman" w:eastAsia="Times New Roman" w:hAnsi="Times New Roman" w:cs="Times New Roman"/>
          <w:sz w:val="24"/>
          <w:szCs w:val="24"/>
          <w:vertAlign w:val="subscript"/>
        </w:rPr>
        <w:t>3</w:t>
      </w:r>
      <w:r w:rsidRPr="00CF1EE4">
        <w:rPr>
          <w:rFonts w:ascii="Times New Roman" w:eastAsia="Times New Roman" w:hAnsi="Times New Roman" w:cs="Times New Roman"/>
          <w:sz w:val="24"/>
          <w:szCs w:val="24"/>
        </w:rPr>
        <w:t>-100% nutrients through poultry manure; T</w:t>
      </w:r>
      <w:r w:rsidRPr="0073564E">
        <w:rPr>
          <w:rFonts w:ascii="Times New Roman" w:eastAsia="Times New Roman" w:hAnsi="Times New Roman" w:cs="Times New Roman"/>
          <w:sz w:val="24"/>
          <w:szCs w:val="24"/>
          <w:vertAlign w:val="subscript"/>
        </w:rPr>
        <w:t>4</w:t>
      </w:r>
      <w:r w:rsidRPr="00CF1EE4">
        <w:rPr>
          <w:rFonts w:ascii="Times New Roman" w:eastAsia="Times New Roman" w:hAnsi="Times New Roman" w:cs="Times New Roman"/>
          <w:sz w:val="24"/>
          <w:szCs w:val="24"/>
        </w:rPr>
        <w:t>-50% nutrients through FYM+50% nutrients through vermicompost; T</w:t>
      </w:r>
      <w:r w:rsidRPr="0073564E">
        <w:rPr>
          <w:rFonts w:ascii="Times New Roman" w:eastAsia="Times New Roman" w:hAnsi="Times New Roman" w:cs="Times New Roman"/>
          <w:sz w:val="24"/>
          <w:szCs w:val="24"/>
          <w:vertAlign w:val="subscript"/>
        </w:rPr>
        <w:t>5</w:t>
      </w:r>
      <w:r w:rsidRPr="00CF1EE4">
        <w:rPr>
          <w:rFonts w:ascii="Times New Roman" w:eastAsia="Times New Roman" w:hAnsi="Times New Roman" w:cs="Times New Roman"/>
          <w:sz w:val="24"/>
          <w:szCs w:val="24"/>
        </w:rPr>
        <w:t>-50% nutrients through FYM+50% nutrients through poultry manure; and T</w:t>
      </w:r>
      <w:r w:rsidRPr="0073564E">
        <w:rPr>
          <w:rFonts w:ascii="Times New Roman" w:eastAsia="Times New Roman" w:hAnsi="Times New Roman" w:cs="Times New Roman"/>
          <w:sz w:val="24"/>
          <w:szCs w:val="24"/>
          <w:vertAlign w:val="subscript"/>
        </w:rPr>
        <w:t>6</w:t>
      </w:r>
      <w:r w:rsidRPr="00CF1EE4">
        <w:rPr>
          <w:rFonts w:ascii="Times New Roman" w:eastAsia="Times New Roman" w:hAnsi="Times New Roman" w:cs="Times New Roman"/>
          <w:sz w:val="24"/>
          <w:szCs w:val="24"/>
        </w:rPr>
        <w:t>-50% nutrients through vermicompost+ 50% nutrients from poultry manure, 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-33.3% nutrients from FYM+33.3% nutrients from vermicompost+33.3% nutrients from poultry manure, T</w:t>
      </w:r>
      <w:r w:rsidRPr="0073564E">
        <w:rPr>
          <w:rFonts w:ascii="Times New Roman" w:eastAsia="Times New Roman" w:hAnsi="Times New Roman" w:cs="Times New Roman"/>
          <w:sz w:val="24"/>
          <w:szCs w:val="24"/>
          <w:vertAlign w:val="subscript"/>
        </w:rPr>
        <w:t>8</w:t>
      </w:r>
      <w:r w:rsidRPr="00CF1EE4">
        <w:rPr>
          <w:rFonts w:ascii="Times New Roman" w:eastAsia="Times New Roman" w:hAnsi="Times New Roman" w:cs="Times New Roman"/>
          <w:sz w:val="24"/>
          <w:szCs w:val="24"/>
        </w:rPr>
        <w:t>-T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 xml:space="preserve">+10q/ha Neem </w:t>
      </w:r>
      <w:commentRangeStart w:id="5"/>
      <w:r w:rsidRPr="00CF1EE4">
        <w:rPr>
          <w:rFonts w:ascii="Times New Roman" w:eastAsia="Times New Roman" w:hAnsi="Times New Roman" w:cs="Times New Roman"/>
          <w:sz w:val="24"/>
          <w:szCs w:val="24"/>
        </w:rPr>
        <w:t>cake</w:t>
      </w:r>
      <w:commentRangeEnd w:id="5"/>
      <w:r w:rsidR="006000FC" w:rsidRPr="00CF1EE4">
        <w:rPr>
          <w:rStyle w:val="Marquedecommentaire"/>
          <w:rFonts w:ascii="Times New Roman" w:eastAsia="Times New Roman" w:hAnsi="Times New Roman" w:cs="Times New Roman"/>
          <w:sz w:val="24"/>
          <w:szCs w:val="24"/>
        </w:rPr>
        <w:commentReference w:id="5"/>
      </w:r>
      <w:r w:rsidRPr="00CF1EE4">
        <w:rPr>
          <w:rFonts w:ascii="Times New Roman" w:eastAsia="Times New Roman" w:hAnsi="Times New Roman" w:cs="Times New Roman"/>
          <w:sz w:val="24"/>
          <w:szCs w:val="24"/>
        </w:rPr>
        <w:t>.</w:t>
      </w:r>
    </w:p>
    <w:p w14:paraId="6FD0D4EB" w14:textId="77777777" w:rsidR="009959FF" w:rsidRDefault="00CF1EE4" w:rsidP="00940F6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 and discussion:</w:t>
      </w:r>
      <w:r w:rsidR="00940F6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39851F1A" w14:textId="77777777" w:rsidR="00CF1EE4" w:rsidRPr="00940F60" w:rsidRDefault="009959FF" w:rsidP="00940F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CF1EE4" w:rsidRPr="00CF1EE4">
        <w:rPr>
          <w:rFonts w:ascii="Times New Roman" w:eastAsia="Times New Roman" w:hAnsi="Times New Roman" w:cs="Times New Roman"/>
          <w:sz w:val="24"/>
          <w:szCs w:val="24"/>
        </w:rPr>
        <w:t>Table 1 shows the effects of managing nutrients with organic sources on plant height at 30, 60, 90 DAS, and harvest. From 30 DAS to harvest, plant height was greatly impacted by nutrition control using organic sources. The application of 50% FYM + 50% nutrients through poultry manure to supply 100% of necessary N resulted in a significantly greater plant height (60.9 cm) at harvest (T</w:t>
      </w:r>
      <w:r w:rsidR="00CF1EE4" w:rsidRPr="00FC01E1">
        <w:rPr>
          <w:rFonts w:ascii="Times New Roman" w:eastAsia="Times New Roman" w:hAnsi="Times New Roman" w:cs="Times New Roman"/>
          <w:sz w:val="24"/>
          <w:szCs w:val="24"/>
          <w:vertAlign w:val="subscript"/>
        </w:rPr>
        <w:t>5</w:t>
      </w:r>
      <w:r w:rsidR="00CF1EE4" w:rsidRPr="00CF1EE4">
        <w:rPr>
          <w:rFonts w:ascii="Times New Roman" w:eastAsia="Times New Roman" w:hAnsi="Times New Roman" w:cs="Times New Roman"/>
          <w:sz w:val="24"/>
          <w:szCs w:val="24"/>
        </w:rPr>
        <w:t>), while the application of 100% nutrients through farm yard manure (T</w:t>
      </w:r>
      <w:r w:rsidR="00CF1EE4" w:rsidRPr="00FC01E1">
        <w:rPr>
          <w:rFonts w:ascii="Times New Roman" w:eastAsia="Times New Roman" w:hAnsi="Times New Roman" w:cs="Times New Roman"/>
          <w:sz w:val="24"/>
          <w:szCs w:val="24"/>
          <w:vertAlign w:val="subscript"/>
        </w:rPr>
        <w:t>1</w:t>
      </w:r>
      <w:r w:rsidR="00CF1EE4" w:rsidRPr="00CF1EE4">
        <w:rPr>
          <w:rFonts w:ascii="Times New Roman" w:eastAsia="Times New Roman" w:hAnsi="Times New Roman" w:cs="Times New Roman"/>
          <w:sz w:val="24"/>
          <w:szCs w:val="24"/>
        </w:rPr>
        <w:t>) resulted in the lowest plant height (56.1 cm) at harvest.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The application of 50% FYM + 50% poultry manure may have increased plant height because these nutrient sources boosted nitrogen, which in turn stimulated cell division and growth (Reddy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According to Mude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and Kaur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(2024), these organic nutrient sources may have served as a nutrient reservoir that, upon decomposition, distributes nutrients gradually during the full crop growth, resulting in higher plant height.</w:t>
      </w:r>
    </w:p>
    <w:p w14:paraId="4306F94B" w14:textId="77777777" w:rsidR="009F5C43" w:rsidRDefault="009959FF" w:rsidP="003A1BB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BBA" w:rsidRPr="00915B49">
        <w:rPr>
          <w:rFonts w:asciiTheme="majorBidi" w:hAnsiTheme="majorBidi" w:cstheme="majorBidi"/>
          <w:sz w:val="24"/>
          <w:szCs w:val="24"/>
        </w:rPr>
        <w:t>The results on the effect of nutrient management thr</w:t>
      </w:r>
      <w:r w:rsidR="003A1BBA">
        <w:rPr>
          <w:rFonts w:asciiTheme="majorBidi" w:hAnsiTheme="majorBidi" w:cstheme="majorBidi"/>
          <w:sz w:val="24"/>
          <w:szCs w:val="24"/>
        </w:rPr>
        <w:t>ough organic sources on number of secondary branches</w:t>
      </w:r>
      <w:r w:rsidR="004C4C58">
        <w:rPr>
          <w:rFonts w:asciiTheme="majorBidi" w:hAnsiTheme="majorBidi" w:cstheme="majorBidi"/>
          <w:sz w:val="24"/>
          <w:szCs w:val="24"/>
        </w:rPr>
        <w:t xml:space="preserve"> (60 and </w:t>
      </w:r>
      <w:r w:rsidR="003A1BBA">
        <w:rPr>
          <w:rFonts w:asciiTheme="majorBidi" w:hAnsiTheme="majorBidi" w:cstheme="majorBidi"/>
          <w:sz w:val="24"/>
          <w:szCs w:val="24"/>
        </w:rPr>
        <w:t xml:space="preserve">90 </w:t>
      </w:r>
      <w:r w:rsidR="004C4C58">
        <w:rPr>
          <w:rFonts w:asciiTheme="majorBidi" w:hAnsiTheme="majorBidi" w:cstheme="majorBidi"/>
          <w:sz w:val="24"/>
          <w:szCs w:val="24"/>
        </w:rPr>
        <w:t>DAS</w:t>
      </w:r>
      <w:r w:rsidR="003A1BBA" w:rsidRPr="00915B49">
        <w:rPr>
          <w:rFonts w:asciiTheme="majorBidi" w:hAnsiTheme="majorBidi" w:cstheme="majorBidi"/>
          <w:sz w:val="24"/>
          <w:szCs w:val="24"/>
        </w:rPr>
        <w:t xml:space="preserve">) are presented in Table 1. </w:t>
      </w:r>
      <w:r w:rsidR="00327E36" w:rsidRPr="00327E36">
        <w:rPr>
          <w:rFonts w:ascii="Times New Roman" w:eastAsia="Times New Roman" w:hAnsi="Times New Roman" w:cs="Times New Roman"/>
          <w:sz w:val="24"/>
          <w:szCs w:val="24"/>
        </w:rPr>
        <w:t xml:space="preserve">At 60 and 90 DAS, the number of secondary branches per plant was significantly higher (17.2 and 24.9) when </w:t>
      </w:r>
      <w:r w:rsidR="00940F60" w:rsidRPr="00327E36">
        <w:rPr>
          <w:rFonts w:ascii="Times New Roman" w:eastAsia="Times New Roman" w:hAnsi="Times New Roman" w:cs="Times New Roman"/>
          <w:sz w:val="24"/>
          <w:szCs w:val="24"/>
        </w:rPr>
        <w:t>fertilizers</w:t>
      </w:r>
      <w:r w:rsidR="00327E36" w:rsidRPr="00327E36">
        <w:rPr>
          <w:rFonts w:ascii="Times New Roman" w:eastAsia="Times New Roman" w:hAnsi="Times New Roman" w:cs="Times New Roman"/>
          <w:sz w:val="24"/>
          <w:szCs w:val="24"/>
        </w:rPr>
        <w:t xml:space="preserve"> were applied in a combination of 50% FYM and 50% poultry manure (T</w:t>
      </w:r>
      <w:r w:rsidR="00327E36" w:rsidRPr="00FC01E1">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under 100% nutrients using farm yard manure (T</w:t>
      </w:r>
      <w:r w:rsidR="00327E36" w:rsidRPr="00FC01E1">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at 60 and 90 DAS, respectively, the fewest secondary branches are noted. These findings are consistent with </w:t>
      </w:r>
      <w:commentRangeStart w:id="6"/>
      <w:r w:rsidR="00327E36" w:rsidRPr="00327E36">
        <w:rPr>
          <w:rFonts w:ascii="Times New Roman" w:eastAsia="Times New Roman" w:hAnsi="Times New Roman" w:cs="Times New Roman"/>
          <w:sz w:val="24"/>
          <w:szCs w:val="24"/>
        </w:rPr>
        <w:t>your</w:t>
      </w:r>
      <w:commentRangeEnd w:id="6"/>
      <w:r w:rsidR="00BB5024" w:rsidRPr="00327E36">
        <w:rPr>
          <w:rStyle w:val="Marquedecommentaire"/>
          <w:rFonts w:ascii="Times New Roman" w:eastAsia="Times New Roman" w:hAnsi="Times New Roman" w:cs="Times New Roman"/>
          <w:sz w:val="24"/>
          <w:szCs w:val="24"/>
        </w:rPr>
        <w:commentReference w:id="6"/>
      </w:r>
      <w:r w:rsidR="00327E36" w:rsidRPr="00327E36">
        <w:rPr>
          <w:rFonts w:ascii="Times New Roman" w:eastAsia="Times New Roman" w:hAnsi="Times New Roman" w:cs="Times New Roman"/>
          <w:sz w:val="24"/>
          <w:szCs w:val="24"/>
        </w:rPr>
        <w:t xml:space="preserve"> research, which shows that plants with 50% nutrients from FYM and 50% from poultry manure had more secondary branches per plant than those with 100% nutrients from FYM alone. More vigorous branching was probably caused by the improved nutrient availability and balance in combined organic manures (Yadav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2025).</w:t>
      </w:r>
    </w:p>
    <w:p w14:paraId="7D968BB5" w14:textId="77777777" w:rsidR="003A1BBA" w:rsidRPr="009F5C43" w:rsidRDefault="003A1BBA" w:rsidP="003A1BBA">
      <w:pPr>
        <w:spacing w:after="0" w:line="360" w:lineRule="auto"/>
        <w:jc w:val="both"/>
        <w:rPr>
          <w:rFonts w:ascii="Times New Roman" w:eastAsia="Times New Roman" w:hAnsi="Times New Roman" w:cs="Times New Roman"/>
          <w:sz w:val="24"/>
          <w:szCs w:val="24"/>
        </w:rPr>
      </w:pPr>
    </w:p>
    <w:p w14:paraId="137A9A50" w14:textId="77777777" w:rsid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Monthly data on dry shoot weight plant</w:t>
      </w:r>
      <w:r w:rsidR="00327E36" w:rsidRPr="00313480">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xml:space="preserve"> (30, 60, and 90 DAS) have been obtained (Table 1). From 30 DAS onwards and up to 90 DAS, nutrition control using organic sources had a substantial impact on dry shoot weight. The treatment of 50% FYM + 50% poultry manure to supply 100% of necessary N resulted in the considerably largest dry shoot weight (4.29 gm.) at 90 DAS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while the administration of 100% nutrients through farm yard manure resulted in the lowest dry shoot weight (1.73 gm.) at 90 DAS (T</w:t>
      </w:r>
      <w:r w:rsidR="00327E36" w:rsidRPr="00313480">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Increased dry shoot weight may indicate that sufficient main nutrients aided in solar energy gathering. The increase in dry shoot weight in treatment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(application of 50% FYM + 50% poultry manure to supply 100% of recommended N) may be the result of the plant receiving all necessary nutrients, growth hormones, and </w:t>
      </w:r>
      <w:r w:rsidR="00327E36" w:rsidRPr="00327E36">
        <w:rPr>
          <w:rFonts w:ascii="Times New Roman" w:eastAsia="Times New Roman" w:hAnsi="Times New Roman" w:cs="Times New Roman"/>
          <w:sz w:val="24"/>
          <w:szCs w:val="24"/>
        </w:rPr>
        <w:lastRenderedPageBreak/>
        <w:t xml:space="preserve">enzymes from the application of poultry manure and FYM. This promotes rapid cell division and elongation, which ultimately leads to more plant development and higher dry shoot weight (Naik &amp; Panda, 2023). These findings are consistent with those of Singh </w:t>
      </w:r>
      <w:r w:rsidR="00327E36" w:rsidRPr="00313480">
        <w:rPr>
          <w:rFonts w:ascii="Times New Roman" w:eastAsia="Times New Roman" w:hAnsi="Times New Roman" w:cs="Times New Roman"/>
          <w:i/>
          <w:iCs/>
          <w:sz w:val="24"/>
          <w:szCs w:val="24"/>
        </w:rPr>
        <w:t>et al.</w:t>
      </w:r>
      <w:r w:rsidR="00313480" w:rsidRPr="00313480">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(2024).</w:t>
      </w:r>
    </w:p>
    <w:p w14:paraId="617EB6C4" w14:textId="77777777" w:rsidR="009F5C43" w:rsidRDefault="009F5C43" w:rsidP="009F5C43">
      <w:pPr>
        <w:spacing w:after="0" w:line="360" w:lineRule="auto"/>
        <w:jc w:val="both"/>
        <w:rPr>
          <w:rFonts w:ascii="Times New Roman" w:eastAsia="Times New Roman" w:hAnsi="Times New Roman" w:cs="Times New Roman"/>
          <w:sz w:val="24"/>
          <w:szCs w:val="24"/>
        </w:rPr>
      </w:pPr>
    </w:p>
    <w:p w14:paraId="553676E3" w14:textId="77777777" w:rsidR="00327E36" w:rsidRP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shows the number of linseed capsules per plant and seeds per capsule under various treatments. The outcome showed that the quantity of capsules per plant varied significantly between the treatments. When nutrients were supplied in a combination of 50% nutrients through FYM + 50% nutrients through poultry manures (T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the largest number of capsules per plant (83.3) was recorded; nonetheless, it was comparable to T</w:t>
      </w:r>
      <w:r w:rsidR="00327E36" w:rsidRPr="002B294F">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when compared to all other treatments. However, under 100% nutrients from farm yard waste, the fewest capsules per plant are noted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(50% nutrients from FYM + 50% nutrients from poultry manures) had the notably highest number of seeds per capsule (10.2), followed by T</w:t>
      </w:r>
      <w:r w:rsidR="00327E36" w:rsidRPr="002B294F">
        <w:rPr>
          <w:rFonts w:ascii="Times New Roman" w:eastAsia="Times New Roman" w:hAnsi="Times New Roman" w:cs="Times New Roman"/>
          <w:sz w:val="24"/>
          <w:szCs w:val="24"/>
          <w:vertAlign w:val="subscript"/>
        </w:rPr>
        <w:t>7</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However,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(100% nutrients by poultry manure) had the lowest linseed seed/capsule ratio (6.9). Patle </w:t>
      </w:r>
      <w:r w:rsidR="00327E36" w:rsidRPr="002B294F">
        <w:rPr>
          <w:rFonts w:ascii="Times New Roman" w:eastAsia="Times New Roman" w:hAnsi="Times New Roman" w:cs="Times New Roman"/>
          <w:i/>
          <w:iCs/>
          <w:sz w:val="24"/>
          <w:szCs w:val="24"/>
        </w:rPr>
        <w:t>et al.</w:t>
      </w:r>
      <w:r w:rsidR="002B294F" w:rsidRPr="002B294F">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(2022) reported nearly identical results.</w:t>
      </w:r>
    </w:p>
    <w:p w14:paraId="257BBBB5" w14:textId="77777777" w:rsidR="00327E36" w:rsidRDefault="00327E36" w:rsidP="00263AD8">
      <w:pPr>
        <w:spacing w:after="0" w:line="360" w:lineRule="auto"/>
        <w:jc w:val="both"/>
        <w:rPr>
          <w:rFonts w:ascii="Times New Roman" w:eastAsia="Times New Roman" w:hAnsi="Times New Roman" w:cs="Times New Roman"/>
          <w:sz w:val="24"/>
          <w:szCs w:val="24"/>
        </w:rPr>
      </w:pPr>
    </w:p>
    <w:p w14:paraId="16DCCF0C" w14:textId="77777777" w:rsidR="00447419" w:rsidRDefault="009959F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displays information on how nutrient management from organic sources affects seed and stover productivity. Nutrient management using organic sources has a considerable impact on seed and stover yield. Applying 50% FYM + 50% poultry manure to provide 100% of the necessary N resulted in the significantly highest seed output (11.0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(16.7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w:t>
      </w:r>
      <w:r w:rsidR="00327E36" w:rsidRPr="00FB5F1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at 100% nutrients, farm yard manure (T</w:t>
      </w:r>
      <w:r w:rsidR="00327E36" w:rsidRPr="00FB5F1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had the lowest seed yield (7.0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(9.4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The increase in seed and stover output is related to the slow release of nutrients and improved nutrient uptake by linseed.</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Vermicompost and FYM, two organic sources of nutrients, were combined to boost the microbial population and organic matter (Kumari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Kumawat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Badkul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2022 and Mude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w:t>
      </w:r>
    </w:p>
    <w:p w14:paraId="2FFFACFE" w14:textId="77777777" w:rsidR="00327E36" w:rsidRDefault="00FB5F1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E9C577F" w14:textId="77777777" w:rsidR="00327E36" w:rsidRP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Figure 1 shows the harvest index of linseed under various treatments. The outcome showed that there were notable variations in the harvest index between the treatments. Treatment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(50% nutrients through FYM + 50% nutrients through Vermicompost) had the highest harvest index (47.7%), followed by treatment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(100% nutrients through farm yard manure). Kaushal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(2019) found nearly identical results.</w:t>
      </w:r>
    </w:p>
    <w:p w14:paraId="4ED5B16D" w14:textId="77777777" w:rsidR="00327E36" w:rsidRDefault="00327E36" w:rsidP="00263AD8">
      <w:pPr>
        <w:spacing w:after="0" w:line="360" w:lineRule="auto"/>
        <w:jc w:val="both"/>
        <w:rPr>
          <w:rFonts w:ascii="Times New Roman" w:eastAsia="Times New Roman" w:hAnsi="Times New Roman" w:cs="Times New Roman"/>
          <w:sz w:val="24"/>
          <w:szCs w:val="24"/>
        </w:rPr>
      </w:pPr>
    </w:p>
    <w:p w14:paraId="77047A09" w14:textId="77777777" w:rsid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3 displays the net return and cost-benefit ratio of linseed under various treatments. The outcome showed that there were notable variations in the cost-benefit ratio amongst the therapies. T</w:t>
      </w:r>
      <w:r w:rsidR="00327E36" w:rsidRPr="00447419">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had the highest net return of Rs 50934/ha and a B:C ratio of 3.32 (50% nutrients from FYM and 50% from poultry manure).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(40128 Rs/ha and 2.87) came next.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had the lowest net return and B:C ratio (Rs 13726/ha and 1.42). Kumar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(2025) reported a very same outcome.</w:t>
      </w:r>
    </w:p>
    <w:p w14:paraId="01CAAA80" w14:textId="77777777" w:rsidR="00E900C7" w:rsidRDefault="00E900C7" w:rsidP="00263AD8">
      <w:pPr>
        <w:spacing w:after="0" w:line="360" w:lineRule="auto"/>
        <w:jc w:val="both"/>
        <w:rPr>
          <w:rFonts w:ascii="Times New Roman" w:eastAsia="Times New Roman" w:hAnsi="Times New Roman" w:cs="Times New Roman"/>
          <w:sz w:val="24"/>
          <w:szCs w:val="24"/>
        </w:rPr>
      </w:pPr>
    </w:p>
    <w:p w14:paraId="56FBB475" w14:textId="77777777" w:rsidR="00E900C7" w:rsidRDefault="00E900C7" w:rsidP="00263AD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146E30C" w14:textId="77777777" w:rsidR="00E900C7" w:rsidRDefault="00E900C7" w:rsidP="00047599">
      <w:pPr>
        <w:spacing w:after="0" w:line="360" w:lineRule="auto"/>
        <w:jc w:val="both"/>
        <w:rPr>
          <w:rFonts w:asciiTheme="majorBidi" w:hAnsiTheme="majorBidi" w:cstheme="majorBidi"/>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w:t>
      </w:r>
      <w:commentRangeStart w:id="7"/>
      <w:r>
        <w:rPr>
          <w:rFonts w:ascii="Times New Roman" w:eastAsia="Times New Roman" w:hAnsi="Times New Roman" w:cs="Times New Roman"/>
          <w:sz w:val="24"/>
          <w:szCs w:val="24"/>
        </w:rPr>
        <w:t>resent</w:t>
      </w:r>
      <w:commentRangeEnd w:id="7"/>
      <w:r w:rsidR="00DB1D0B">
        <w:rPr>
          <w:rStyle w:val="Marquedecommentaire"/>
          <w:rFonts w:ascii="Times New Roman" w:eastAsia="Times New Roman" w:hAnsi="Times New Roman" w:cs="Times New Roman"/>
          <w:sz w:val="24"/>
          <w:szCs w:val="24"/>
        </w:rPr>
        <w:commentReference w:id="7"/>
      </w:r>
      <w:r>
        <w:rPr>
          <w:rFonts w:ascii="Times New Roman" w:eastAsia="Times New Roman" w:hAnsi="Times New Roman" w:cs="Times New Roman"/>
          <w:sz w:val="24"/>
          <w:szCs w:val="24"/>
        </w:rPr>
        <w:t xml:space="preserve"> investigation evaluated that application of different combinations of organic sources significantly influenced the growth, yield and economics of linseed (</w:t>
      </w:r>
      <w:r w:rsidRPr="00E900C7">
        <w:rPr>
          <w:rFonts w:ascii="Times New Roman" w:eastAsia="Times New Roman" w:hAnsi="Times New Roman" w:cs="Times New Roman"/>
          <w:i/>
          <w:iCs/>
          <w:sz w:val="24"/>
          <w:szCs w:val="24"/>
        </w:rPr>
        <w:t>Linum usitatisimum</w:t>
      </w:r>
      <w:r>
        <w:rPr>
          <w:rFonts w:ascii="Times New Roman" w:eastAsia="Times New Roman" w:hAnsi="Times New Roman" w:cs="Times New Roman"/>
          <w:sz w:val="24"/>
          <w:szCs w:val="24"/>
        </w:rPr>
        <w:t xml:space="preserve"> L.). Among all the treatment T</w:t>
      </w:r>
      <w:r w:rsidRPr="00E900C7">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(50% Farm yard manure + 50% Vermicompost) recorded most effective in terms of Plant height, Dry shoot weight, Secondary branches, Number of capsule/plant, Number of seed/capsule, Seed yield (q/ha), Stover yield (q/ha), Net returns and B:C ratio.</w:t>
      </w:r>
      <w:r w:rsidR="00047599">
        <w:rPr>
          <w:rFonts w:ascii="Times New Roman" w:eastAsia="Times New Roman" w:hAnsi="Times New Roman" w:cs="Times New Roman"/>
          <w:sz w:val="24"/>
          <w:szCs w:val="24"/>
        </w:rPr>
        <w:t xml:space="preserve"> </w:t>
      </w:r>
      <w:r w:rsidR="00047599" w:rsidRPr="00047599">
        <w:rPr>
          <w:rFonts w:asciiTheme="majorBidi" w:hAnsiTheme="majorBidi" w:cstheme="majorBidi"/>
          <w:sz w:val="24"/>
          <w:szCs w:val="24"/>
        </w:rPr>
        <w:t xml:space="preserve">Based on the present experimental findings source application of nutrients 50% nutrients through FYM + 50% </w:t>
      </w:r>
      <w:r w:rsidR="00047599">
        <w:rPr>
          <w:rFonts w:asciiTheme="majorBidi" w:hAnsiTheme="majorBidi" w:cstheme="majorBidi"/>
          <w:sz w:val="24"/>
          <w:szCs w:val="24"/>
        </w:rPr>
        <w:t xml:space="preserve">nutrients through Varmicompost </w:t>
      </w:r>
      <w:r w:rsidR="00047599" w:rsidRPr="00047599">
        <w:rPr>
          <w:rFonts w:asciiTheme="majorBidi" w:hAnsiTheme="majorBidi" w:cstheme="majorBidi"/>
          <w:sz w:val="24"/>
          <w:szCs w:val="24"/>
        </w:rPr>
        <w:t>proved to be most productive for achieving higher yield of linseed in Bundelkhand region of Uttar Pradesh under organic farming. Therefore, may be adopted for practicing organic farming in Bundelkhand during Rabi season.</w:t>
      </w:r>
    </w:p>
    <w:p w14:paraId="6780F51C" w14:textId="77777777" w:rsidR="00065AD5" w:rsidRDefault="00065AD5" w:rsidP="00047599">
      <w:pPr>
        <w:spacing w:after="0" w:line="360" w:lineRule="auto"/>
        <w:jc w:val="both"/>
        <w:rPr>
          <w:rFonts w:asciiTheme="majorBidi" w:hAnsiTheme="majorBidi" w:cstheme="majorBidi"/>
          <w:sz w:val="24"/>
          <w:szCs w:val="24"/>
        </w:rPr>
      </w:pPr>
    </w:p>
    <w:p w14:paraId="59482463" w14:textId="77777777" w:rsidR="00065AD5" w:rsidRPr="00E900C7" w:rsidRDefault="00065AD5" w:rsidP="00047599">
      <w:pPr>
        <w:spacing w:after="0" w:line="360" w:lineRule="auto"/>
        <w:jc w:val="both"/>
        <w:rPr>
          <w:rFonts w:ascii="Times New Roman" w:eastAsia="Times New Roman" w:hAnsi="Times New Roman" w:cs="Times New Roman"/>
          <w:sz w:val="24"/>
          <w:szCs w:val="24"/>
        </w:rPr>
      </w:pPr>
    </w:p>
    <w:p w14:paraId="3FA8D56A"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B10091E" w14:textId="77777777" w:rsidR="00453248" w:rsidRDefault="00453248" w:rsidP="00263AD8">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7E9FCB27" wp14:editId="534194F9">
            <wp:extent cx="5932967" cy="2743200"/>
            <wp:effectExtent l="0" t="0" r="1079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3A93EC" w14:textId="77777777" w:rsidR="00453248" w:rsidRPr="00276751"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t>Fig.1. Impact of different combinations of organic source on harvest index of linseed crop.</w:t>
      </w:r>
    </w:p>
    <w:p w14:paraId="7F499E45"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649BF97" w14:textId="77777777" w:rsidR="00453248" w:rsidRDefault="00453248" w:rsidP="00263AD8">
      <w:pPr>
        <w:spacing w:after="0" w:line="360" w:lineRule="auto"/>
        <w:jc w:val="both"/>
        <w:rPr>
          <w:rFonts w:ascii="Times New Roman" w:eastAsia="Times New Roman" w:hAnsi="Times New Roman" w:cs="Times New Roman"/>
          <w:sz w:val="24"/>
          <w:szCs w:val="24"/>
        </w:rPr>
      </w:pPr>
    </w:p>
    <w:p w14:paraId="1647EDE2" w14:textId="77777777" w:rsidR="00453248" w:rsidRDefault="00453248" w:rsidP="00263AD8">
      <w:pPr>
        <w:spacing w:after="0" w:line="360" w:lineRule="auto"/>
        <w:jc w:val="both"/>
        <w:rPr>
          <w:rFonts w:ascii="Times New Roman" w:eastAsia="Times New Roman" w:hAnsi="Times New Roman" w:cs="Times New Roman"/>
          <w:sz w:val="24"/>
          <w:szCs w:val="24"/>
        </w:rPr>
      </w:pPr>
    </w:p>
    <w:p w14:paraId="607DAB66" w14:textId="77777777" w:rsidR="00453248" w:rsidRDefault="00453248" w:rsidP="00263AD8">
      <w:pPr>
        <w:spacing w:after="0" w:line="360" w:lineRule="auto"/>
        <w:jc w:val="both"/>
        <w:rPr>
          <w:rFonts w:ascii="Times New Roman" w:eastAsia="Times New Roman" w:hAnsi="Times New Roman" w:cs="Times New Roman"/>
          <w:sz w:val="24"/>
          <w:szCs w:val="24"/>
        </w:rPr>
      </w:pPr>
    </w:p>
    <w:p w14:paraId="50256004"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4E14BE0" w14:textId="77777777" w:rsidR="00B113DF" w:rsidRDefault="00B113DF" w:rsidP="00453248">
      <w:pPr>
        <w:jc w:val="both"/>
        <w:rPr>
          <w:rFonts w:asciiTheme="majorBidi" w:hAnsiTheme="majorBidi" w:cstheme="majorBidi"/>
          <w:b/>
          <w:bCs/>
          <w:sz w:val="24"/>
          <w:szCs w:val="24"/>
        </w:rPr>
      </w:pPr>
    </w:p>
    <w:p w14:paraId="1228A2B9" w14:textId="77777777" w:rsidR="00B113DF" w:rsidRDefault="00B113DF" w:rsidP="00453248">
      <w:pPr>
        <w:jc w:val="both"/>
        <w:rPr>
          <w:rFonts w:asciiTheme="majorBidi" w:hAnsiTheme="majorBidi" w:cstheme="majorBidi"/>
          <w:b/>
          <w:bCs/>
          <w:sz w:val="24"/>
          <w:szCs w:val="24"/>
        </w:rPr>
      </w:pPr>
    </w:p>
    <w:p w14:paraId="3BF75E96" w14:textId="77777777" w:rsidR="00B113DF" w:rsidRDefault="00B113DF" w:rsidP="00453248">
      <w:pPr>
        <w:jc w:val="both"/>
        <w:rPr>
          <w:rFonts w:asciiTheme="majorBidi" w:hAnsiTheme="majorBidi" w:cstheme="majorBidi"/>
          <w:b/>
          <w:bCs/>
          <w:sz w:val="24"/>
          <w:szCs w:val="24"/>
        </w:rPr>
      </w:pPr>
    </w:p>
    <w:p w14:paraId="1BF46FFE" w14:textId="77777777" w:rsidR="00B113DF" w:rsidRDefault="00B113DF" w:rsidP="00453248">
      <w:pPr>
        <w:jc w:val="both"/>
        <w:rPr>
          <w:rFonts w:asciiTheme="majorBidi" w:hAnsiTheme="majorBidi" w:cstheme="majorBidi"/>
          <w:b/>
          <w:bCs/>
          <w:sz w:val="24"/>
          <w:szCs w:val="24"/>
        </w:rPr>
      </w:pPr>
    </w:p>
    <w:p w14:paraId="0B793267" w14:textId="77777777" w:rsidR="00B113DF" w:rsidRDefault="00B113DF" w:rsidP="00453248">
      <w:pPr>
        <w:jc w:val="both"/>
        <w:rPr>
          <w:rFonts w:asciiTheme="majorBidi" w:hAnsiTheme="majorBidi" w:cstheme="majorBidi"/>
          <w:b/>
          <w:bCs/>
          <w:sz w:val="24"/>
          <w:szCs w:val="24"/>
        </w:rPr>
      </w:pPr>
    </w:p>
    <w:p w14:paraId="438F45B3" w14:textId="77777777" w:rsidR="00B113DF" w:rsidRDefault="00B113DF" w:rsidP="00453248">
      <w:pPr>
        <w:jc w:val="both"/>
        <w:rPr>
          <w:rFonts w:asciiTheme="majorBidi" w:hAnsiTheme="majorBidi" w:cstheme="majorBidi"/>
          <w:b/>
          <w:bCs/>
          <w:sz w:val="24"/>
          <w:szCs w:val="24"/>
        </w:rPr>
      </w:pPr>
    </w:p>
    <w:p w14:paraId="6A71CB47" w14:textId="77777777" w:rsidR="00B113DF" w:rsidRDefault="00B113DF" w:rsidP="00453248">
      <w:pPr>
        <w:jc w:val="both"/>
        <w:rPr>
          <w:rFonts w:asciiTheme="majorBidi" w:hAnsiTheme="majorBidi" w:cstheme="majorBidi"/>
          <w:b/>
          <w:bCs/>
          <w:sz w:val="24"/>
          <w:szCs w:val="24"/>
        </w:rPr>
      </w:pPr>
    </w:p>
    <w:p w14:paraId="2A90482C" w14:textId="77777777" w:rsidR="00B113DF" w:rsidRDefault="00B113DF" w:rsidP="00453248">
      <w:pPr>
        <w:jc w:val="both"/>
        <w:rPr>
          <w:rFonts w:asciiTheme="majorBidi" w:hAnsiTheme="majorBidi" w:cstheme="majorBidi"/>
          <w:b/>
          <w:bCs/>
          <w:sz w:val="24"/>
          <w:szCs w:val="24"/>
        </w:rPr>
      </w:pPr>
    </w:p>
    <w:p w14:paraId="7C2D909B" w14:textId="77777777" w:rsidR="00B113DF" w:rsidRDefault="00B113DF" w:rsidP="00453248">
      <w:pPr>
        <w:jc w:val="both"/>
        <w:rPr>
          <w:rFonts w:asciiTheme="majorBidi" w:hAnsiTheme="majorBidi" w:cstheme="majorBidi"/>
          <w:b/>
          <w:bCs/>
          <w:sz w:val="24"/>
          <w:szCs w:val="24"/>
        </w:rPr>
      </w:pPr>
    </w:p>
    <w:p w14:paraId="7B11753A" w14:textId="77777777" w:rsidR="00B113DF" w:rsidRDefault="00B113DF" w:rsidP="00453248">
      <w:pPr>
        <w:jc w:val="both"/>
        <w:rPr>
          <w:rFonts w:asciiTheme="majorBidi" w:hAnsiTheme="majorBidi" w:cstheme="majorBidi"/>
          <w:b/>
          <w:bCs/>
          <w:sz w:val="24"/>
          <w:szCs w:val="24"/>
        </w:rPr>
      </w:pPr>
    </w:p>
    <w:p w14:paraId="67CB3A10" w14:textId="77777777" w:rsidR="00B113DF" w:rsidRDefault="00B113DF" w:rsidP="00453248">
      <w:pPr>
        <w:jc w:val="both"/>
        <w:rPr>
          <w:rFonts w:asciiTheme="majorBidi" w:hAnsiTheme="majorBidi" w:cstheme="majorBidi"/>
          <w:b/>
          <w:bCs/>
          <w:sz w:val="24"/>
          <w:szCs w:val="24"/>
        </w:rPr>
      </w:pPr>
    </w:p>
    <w:p w14:paraId="7A7F6BB9" w14:textId="77777777" w:rsidR="00453248" w:rsidRPr="00453248"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1: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plant height, number of secondary branches/plant and dry shoots weight of Linseed crop </w:t>
      </w:r>
    </w:p>
    <w:tbl>
      <w:tblPr>
        <w:tblStyle w:val="Grilledutableau"/>
        <w:tblW w:w="0" w:type="auto"/>
        <w:tblLook w:val="04A0" w:firstRow="1" w:lastRow="0" w:firstColumn="1" w:lastColumn="0" w:noHBand="0" w:noVBand="1"/>
      </w:tblPr>
      <w:tblGrid>
        <w:gridCol w:w="2398"/>
        <w:gridCol w:w="697"/>
        <w:gridCol w:w="697"/>
        <w:gridCol w:w="697"/>
        <w:gridCol w:w="1123"/>
        <w:gridCol w:w="968"/>
        <w:gridCol w:w="905"/>
        <w:gridCol w:w="697"/>
        <w:gridCol w:w="697"/>
        <w:gridCol w:w="697"/>
      </w:tblGrid>
      <w:tr w:rsidR="00453248" w14:paraId="1D4EC476" w14:textId="77777777" w:rsidTr="00996111">
        <w:trPr>
          <w:trHeight w:val="465"/>
        </w:trPr>
        <w:tc>
          <w:tcPr>
            <w:tcW w:w="2119" w:type="dxa"/>
            <w:vMerge w:val="restart"/>
          </w:tcPr>
          <w:p w14:paraId="05549857"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3214" w:type="dxa"/>
            <w:gridSpan w:val="4"/>
          </w:tcPr>
          <w:p w14:paraId="1964E619"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Plant height (cm)</w:t>
            </w:r>
          </w:p>
        </w:tc>
        <w:tc>
          <w:tcPr>
            <w:tcW w:w="2230" w:type="dxa"/>
            <w:gridSpan w:val="2"/>
            <w:vMerge w:val="restart"/>
          </w:tcPr>
          <w:p w14:paraId="4EDC122A"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Number of Secondary branches/plant </w:t>
            </w:r>
          </w:p>
        </w:tc>
        <w:tc>
          <w:tcPr>
            <w:tcW w:w="2013" w:type="dxa"/>
            <w:gridSpan w:val="3"/>
            <w:vMerge w:val="restart"/>
          </w:tcPr>
          <w:p w14:paraId="6BB1C13A"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Dry shoot weight (gm)</w:t>
            </w:r>
          </w:p>
        </w:tc>
      </w:tr>
      <w:tr w:rsidR="00453248" w14:paraId="243E7CBF" w14:textId="77777777" w:rsidTr="00996111">
        <w:trPr>
          <w:trHeight w:val="276"/>
        </w:trPr>
        <w:tc>
          <w:tcPr>
            <w:tcW w:w="2119" w:type="dxa"/>
            <w:vMerge/>
          </w:tcPr>
          <w:p w14:paraId="71D3960A" w14:textId="77777777" w:rsidR="00453248" w:rsidRDefault="00453248" w:rsidP="00996111">
            <w:pPr>
              <w:jc w:val="both"/>
              <w:rPr>
                <w:rFonts w:asciiTheme="majorBidi" w:hAnsiTheme="majorBidi" w:cstheme="majorBidi"/>
                <w:b/>
                <w:bCs/>
                <w:sz w:val="24"/>
                <w:szCs w:val="24"/>
              </w:rPr>
            </w:pPr>
          </w:p>
        </w:tc>
        <w:tc>
          <w:tcPr>
            <w:tcW w:w="697" w:type="dxa"/>
            <w:vMerge w:val="restart"/>
          </w:tcPr>
          <w:p w14:paraId="5D300028"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97" w:type="dxa"/>
            <w:vMerge w:val="restart"/>
          </w:tcPr>
          <w:p w14:paraId="1582E88F"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97" w:type="dxa"/>
            <w:vMerge w:val="restart"/>
          </w:tcPr>
          <w:p w14:paraId="5A206A3F"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1123" w:type="dxa"/>
            <w:vMerge w:val="restart"/>
          </w:tcPr>
          <w:p w14:paraId="2898EAD9"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At maturity</w:t>
            </w:r>
          </w:p>
        </w:tc>
        <w:tc>
          <w:tcPr>
            <w:tcW w:w="2230" w:type="dxa"/>
            <w:gridSpan w:val="2"/>
            <w:vMerge/>
          </w:tcPr>
          <w:p w14:paraId="0D765942" w14:textId="77777777" w:rsidR="00453248" w:rsidRDefault="00453248" w:rsidP="00996111">
            <w:pPr>
              <w:jc w:val="both"/>
              <w:rPr>
                <w:rFonts w:asciiTheme="majorBidi" w:hAnsiTheme="majorBidi" w:cstheme="majorBidi"/>
                <w:b/>
                <w:bCs/>
                <w:sz w:val="24"/>
                <w:szCs w:val="24"/>
              </w:rPr>
            </w:pPr>
          </w:p>
        </w:tc>
        <w:tc>
          <w:tcPr>
            <w:tcW w:w="2013" w:type="dxa"/>
            <w:gridSpan w:val="3"/>
            <w:vMerge/>
          </w:tcPr>
          <w:p w14:paraId="104AE4F6" w14:textId="77777777" w:rsidR="00453248" w:rsidRDefault="00453248" w:rsidP="00996111">
            <w:pPr>
              <w:jc w:val="both"/>
              <w:rPr>
                <w:rFonts w:asciiTheme="majorBidi" w:hAnsiTheme="majorBidi" w:cstheme="majorBidi"/>
                <w:b/>
                <w:bCs/>
                <w:sz w:val="24"/>
                <w:szCs w:val="24"/>
              </w:rPr>
            </w:pPr>
          </w:p>
        </w:tc>
      </w:tr>
      <w:tr w:rsidR="00453248" w14:paraId="152F9878" w14:textId="77777777" w:rsidTr="00996111">
        <w:trPr>
          <w:trHeight w:val="276"/>
        </w:trPr>
        <w:tc>
          <w:tcPr>
            <w:tcW w:w="2119" w:type="dxa"/>
            <w:vMerge/>
          </w:tcPr>
          <w:p w14:paraId="0C447AE4" w14:textId="77777777" w:rsidR="00453248" w:rsidRDefault="00453248" w:rsidP="00996111">
            <w:pPr>
              <w:jc w:val="both"/>
              <w:rPr>
                <w:rFonts w:asciiTheme="majorBidi" w:hAnsiTheme="majorBidi" w:cstheme="majorBidi"/>
                <w:b/>
                <w:bCs/>
                <w:sz w:val="24"/>
                <w:szCs w:val="24"/>
              </w:rPr>
            </w:pPr>
          </w:p>
        </w:tc>
        <w:tc>
          <w:tcPr>
            <w:tcW w:w="697" w:type="dxa"/>
            <w:vMerge/>
          </w:tcPr>
          <w:p w14:paraId="3A2B2597" w14:textId="77777777" w:rsidR="00453248" w:rsidRDefault="00453248" w:rsidP="00996111">
            <w:pPr>
              <w:jc w:val="both"/>
              <w:rPr>
                <w:rFonts w:asciiTheme="majorBidi" w:hAnsiTheme="majorBidi" w:cstheme="majorBidi"/>
                <w:b/>
                <w:bCs/>
                <w:sz w:val="24"/>
                <w:szCs w:val="24"/>
              </w:rPr>
            </w:pPr>
          </w:p>
        </w:tc>
        <w:tc>
          <w:tcPr>
            <w:tcW w:w="697" w:type="dxa"/>
            <w:vMerge/>
          </w:tcPr>
          <w:p w14:paraId="244DE481" w14:textId="77777777" w:rsidR="00453248" w:rsidRDefault="00453248" w:rsidP="00996111">
            <w:pPr>
              <w:jc w:val="both"/>
              <w:rPr>
                <w:rFonts w:asciiTheme="majorBidi" w:hAnsiTheme="majorBidi" w:cstheme="majorBidi"/>
                <w:b/>
                <w:bCs/>
                <w:sz w:val="24"/>
                <w:szCs w:val="24"/>
              </w:rPr>
            </w:pPr>
          </w:p>
        </w:tc>
        <w:tc>
          <w:tcPr>
            <w:tcW w:w="697" w:type="dxa"/>
            <w:vMerge/>
          </w:tcPr>
          <w:p w14:paraId="5B43E9C0" w14:textId="77777777" w:rsidR="00453248" w:rsidRDefault="00453248" w:rsidP="00996111">
            <w:pPr>
              <w:jc w:val="both"/>
              <w:rPr>
                <w:rFonts w:asciiTheme="majorBidi" w:hAnsiTheme="majorBidi" w:cstheme="majorBidi"/>
                <w:b/>
                <w:bCs/>
                <w:sz w:val="24"/>
                <w:szCs w:val="24"/>
              </w:rPr>
            </w:pPr>
          </w:p>
        </w:tc>
        <w:tc>
          <w:tcPr>
            <w:tcW w:w="1123" w:type="dxa"/>
            <w:vMerge/>
          </w:tcPr>
          <w:p w14:paraId="576B5020" w14:textId="77777777" w:rsidR="00453248" w:rsidRDefault="00453248" w:rsidP="00996111">
            <w:pPr>
              <w:jc w:val="both"/>
              <w:rPr>
                <w:rFonts w:asciiTheme="majorBidi" w:hAnsiTheme="majorBidi" w:cstheme="majorBidi"/>
                <w:b/>
                <w:bCs/>
                <w:sz w:val="24"/>
                <w:szCs w:val="24"/>
              </w:rPr>
            </w:pPr>
          </w:p>
        </w:tc>
        <w:tc>
          <w:tcPr>
            <w:tcW w:w="2230" w:type="dxa"/>
            <w:gridSpan w:val="2"/>
            <w:vMerge/>
          </w:tcPr>
          <w:p w14:paraId="4AEDD29C" w14:textId="77777777" w:rsidR="00453248" w:rsidRDefault="00453248" w:rsidP="00996111">
            <w:pPr>
              <w:jc w:val="both"/>
              <w:rPr>
                <w:rFonts w:asciiTheme="majorBidi" w:hAnsiTheme="majorBidi" w:cstheme="majorBidi"/>
                <w:b/>
                <w:bCs/>
                <w:sz w:val="24"/>
                <w:szCs w:val="24"/>
              </w:rPr>
            </w:pPr>
          </w:p>
        </w:tc>
        <w:tc>
          <w:tcPr>
            <w:tcW w:w="675" w:type="dxa"/>
            <w:vMerge w:val="restart"/>
          </w:tcPr>
          <w:p w14:paraId="20B59599"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60" w:type="dxa"/>
            <w:vMerge w:val="restart"/>
          </w:tcPr>
          <w:p w14:paraId="7138C9C6"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78" w:type="dxa"/>
            <w:vMerge w:val="restart"/>
          </w:tcPr>
          <w:p w14:paraId="2AA19DCD"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r>
      <w:tr w:rsidR="00453248" w14:paraId="32EAA3EF" w14:textId="77777777" w:rsidTr="00996111">
        <w:trPr>
          <w:trHeight w:val="210"/>
        </w:trPr>
        <w:tc>
          <w:tcPr>
            <w:tcW w:w="2119" w:type="dxa"/>
            <w:vMerge/>
          </w:tcPr>
          <w:p w14:paraId="5DF8E2A6" w14:textId="77777777" w:rsidR="00453248" w:rsidRDefault="00453248" w:rsidP="00996111">
            <w:pPr>
              <w:jc w:val="both"/>
              <w:rPr>
                <w:rFonts w:asciiTheme="majorBidi" w:hAnsiTheme="majorBidi" w:cstheme="majorBidi"/>
                <w:b/>
                <w:bCs/>
                <w:sz w:val="24"/>
                <w:szCs w:val="24"/>
              </w:rPr>
            </w:pPr>
          </w:p>
        </w:tc>
        <w:tc>
          <w:tcPr>
            <w:tcW w:w="697" w:type="dxa"/>
            <w:vMerge/>
          </w:tcPr>
          <w:p w14:paraId="301BD6D8" w14:textId="77777777" w:rsidR="00453248" w:rsidRDefault="00453248" w:rsidP="00996111">
            <w:pPr>
              <w:jc w:val="both"/>
              <w:rPr>
                <w:rFonts w:asciiTheme="majorBidi" w:hAnsiTheme="majorBidi" w:cstheme="majorBidi"/>
                <w:b/>
                <w:bCs/>
                <w:sz w:val="24"/>
                <w:szCs w:val="24"/>
              </w:rPr>
            </w:pPr>
          </w:p>
        </w:tc>
        <w:tc>
          <w:tcPr>
            <w:tcW w:w="697" w:type="dxa"/>
            <w:vMerge/>
          </w:tcPr>
          <w:p w14:paraId="370DDC75" w14:textId="77777777" w:rsidR="00453248" w:rsidRDefault="00453248" w:rsidP="00996111">
            <w:pPr>
              <w:jc w:val="both"/>
              <w:rPr>
                <w:rFonts w:asciiTheme="majorBidi" w:hAnsiTheme="majorBidi" w:cstheme="majorBidi"/>
                <w:b/>
                <w:bCs/>
                <w:sz w:val="24"/>
                <w:szCs w:val="24"/>
              </w:rPr>
            </w:pPr>
          </w:p>
        </w:tc>
        <w:tc>
          <w:tcPr>
            <w:tcW w:w="697" w:type="dxa"/>
            <w:vMerge/>
          </w:tcPr>
          <w:p w14:paraId="29CF52FD" w14:textId="77777777" w:rsidR="00453248" w:rsidRDefault="00453248" w:rsidP="00996111">
            <w:pPr>
              <w:jc w:val="both"/>
              <w:rPr>
                <w:rFonts w:asciiTheme="majorBidi" w:hAnsiTheme="majorBidi" w:cstheme="majorBidi"/>
                <w:b/>
                <w:bCs/>
                <w:sz w:val="24"/>
                <w:szCs w:val="24"/>
              </w:rPr>
            </w:pPr>
          </w:p>
        </w:tc>
        <w:tc>
          <w:tcPr>
            <w:tcW w:w="1123" w:type="dxa"/>
            <w:vMerge/>
          </w:tcPr>
          <w:p w14:paraId="11AF8FA0" w14:textId="77777777" w:rsidR="00453248" w:rsidRDefault="00453248" w:rsidP="00996111">
            <w:pPr>
              <w:jc w:val="both"/>
              <w:rPr>
                <w:rFonts w:asciiTheme="majorBidi" w:hAnsiTheme="majorBidi" w:cstheme="majorBidi"/>
                <w:b/>
                <w:bCs/>
                <w:sz w:val="24"/>
                <w:szCs w:val="24"/>
              </w:rPr>
            </w:pPr>
          </w:p>
        </w:tc>
        <w:tc>
          <w:tcPr>
            <w:tcW w:w="1110" w:type="dxa"/>
          </w:tcPr>
          <w:p w14:paraId="1725AD31"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1120" w:type="dxa"/>
          </w:tcPr>
          <w:p w14:paraId="1B71EFE5"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675" w:type="dxa"/>
            <w:vMerge/>
          </w:tcPr>
          <w:p w14:paraId="7D0CD56A" w14:textId="77777777" w:rsidR="00453248" w:rsidRDefault="00453248" w:rsidP="00996111">
            <w:pPr>
              <w:jc w:val="both"/>
              <w:rPr>
                <w:rFonts w:asciiTheme="majorBidi" w:hAnsiTheme="majorBidi" w:cstheme="majorBidi"/>
                <w:b/>
                <w:bCs/>
                <w:sz w:val="24"/>
                <w:szCs w:val="24"/>
              </w:rPr>
            </w:pPr>
          </w:p>
        </w:tc>
        <w:tc>
          <w:tcPr>
            <w:tcW w:w="660" w:type="dxa"/>
            <w:vMerge/>
          </w:tcPr>
          <w:p w14:paraId="706450AC" w14:textId="77777777" w:rsidR="00453248" w:rsidRDefault="00453248" w:rsidP="00996111">
            <w:pPr>
              <w:jc w:val="both"/>
              <w:rPr>
                <w:rFonts w:asciiTheme="majorBidi" w:hAnsiTheme="majorBidi" w:cstheme="majorBidi"/>
                <w:b/>
                <w:bCs/>
                <w:sz w:val="24"/>
                <w:szCs w:val="24"/>
              </w:rPr>
            </w:pPr>
          </w:p>
        </w:tc>
        <w:tc>
          <w:tcPr>
            <w:tcW w:w="678" w:type="dxa"/>
            <w:vMerge/>
          </w:tcPr>
          <w:p w14:paraId="5377B86A" w14:textId="77777777" w:rsidR="00453248" w:rsidRDefault="00453248" w:rsidP="00996111">
            <w:pPr>
              <w:jc w:val="both"/>
              <w:rPr>
                <w:rFonts w:asciiTheme="majorBidi" w:hAnsiTheme="majorBidi" w:cstheme="majorBidi"/>
                <w:b/>
                <w:bCs/>
                <w:sz w:val="24"/>
                <w:szCs w:val="24"/>
              </w:rPr>
            </w:pPr>
          </w:p>
        </w:tc>
      </w:tr>
      <w:tr w:rsidR="00453248" w14:paraId="50A5F5BE" w14:textId="77777777" w:rsidTr="00996111">
        <w:tc>
          <w:tcPr>
            <w:tcW w:w="2119" w:type="dxa"/>
          </w:tcPr>
          <w:p w14:paraId="6E9FD11A" w14:textId="77777777" w:rsidR="00453248" w:rsidRPr="004F1D5A" w:rsidRDefault="0045324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697" w:type="dxa"/>
          </w:tcPr>
          <w:p w14:paraId="0425C50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14:paraId="3803D39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50.8</w:t>
            </w:r>
          </w:p>
        </w:tc>
        <w:tc>
          <w:tcPr>
            <w:tcW w:w="697" w:type="dxa"/>
          </w:tcPr>
          <w:p w14:paraId="05D916F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54.4</w:t>
            </w:r>
          </w:p>
        </w:tc>
        <w:tc>
          <w:tcPr>
            <w:tcW w:w="1123" w:type="dxa"/>
          </w:tcPr>
          <w:p w14:paraId="74536DD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57.0</w:t>
            </w:r>
          </w:p>
        </w:tc>
        <w:tc>
          <w:tcPr>
            <w:tcW w:w="1110" w:type="dxa"/>
          </w:tcPr>
          <w:p w14:paraId="3FA9454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16.4</w:t>
            </w:r>
          </w:p>
        </w:tc>
        <w:tc>
          <w:tcPr>
            <w:tcW w:w="1120" w:type="dxa"/>
          </w:tcPr>
          <w:p w14:paraId="5BD3273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21.4</w:t>
            </w:r>
          </w:p>
        </w:tc>
        <w:tc>
          <w:tcPr>
            <w:tcW w:w="675" w:type="dxa"/>
          </w:tcPr>
          <w:p w14:paraId="4E94E0F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14:paraId="408852F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0.80</w:t>
            </w:r>
          </w:p>
        </w:tc>
        <w:tc>
          <w:tcPr>
            <w:tcW w:w="678" w:type="dxa"/>
          </w:tcPr>
          <w:p w14:paraId="48E33CF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4.05</w:t>
            </w:r>
          </w:p>
        </w:tc>
      </w:tr>
      <w:tr w:rsidR="00453248" w14:paraId="066310AE" w14:textId="77777777" w:rsidTr="00996111">
        <w:tc>
          <w:tcPr>
            <w:tcW w:w="2119" w:type="dxa"/>
          </w:tcPr>
          <w:p w14:paraId="09D14E19"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697" w:type="dxa"/>
          </w:tcPr>
          <w:p w14:paraId="3DADC0E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16.8</w:t>
            </w:r>
          </w:p>
        </w:tc>
        <w:tc>
          <w:tcPr>
            <w:tcW w:w="697" w:type="dxa"/>
          </w:tcPr>
          <w:p w14:paraId="4DCEB4D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47.2</w:t>
            </w:r>
          </w:p>
        </w:tc>
        <w:tc>
          <w:tcPr>
            <w:tcW w:w="697" w:type="dxa"/>
          </w:tcPr>
          <w:p w14:paraId="0DFB674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53.4</w:t>
            </w:r>
          </w:p>
        </w:tc>
        <w:tc>
          <w:tcPr>
            <w:tcW w:w="1123" w:type="dxa"/>
          </w:tcPr>
          <w:p w14:paraId="00B6E9B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56.1</w:t>
            </w:r>
          </w:p>
        </w:tc>
        <w:tc>
          <w:tcPr>
            <w:tcW w:w="1110" w:type="dxa"/>
          </w:tcPr>
          <w:p w14:paraId="0430C4C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120" w:type="dxa"/>
          </w:tcPr>
          <w:p w14:paraId="5DFAFCE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675" w:type="dxa"/>
          </w:tcPr>
          <w:p w14:paraId="00C649F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0.09</w:t>
            </w:r>
          </w:p>
        </w:tc>
        <w:tc>
          <w:tcPr>
            <w:tcW w:w="660" w:type="dxa"/>
          </w:tcPr>
          <w:p w14:paraId="520FEA2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0.27</w:t>
            </w:r>
          </w:p>
        </w:tc>
        <w:tc>
          <w:tcPr>
            <w:tcW w:w="678" w:type="dxa"/>
          </w:tcPr>
          <w:p w14:paraId="4796FC8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1.73</w:t>
            </w:r>
          </w:p>
        </w:tc>
      </w:tr>
      <w:tr w:rsidR="00453248" w14:paraId="3676B7BD" w14:textId="77777777" w:rsidTr="00996111">
        <w:tc>
          <w:tcPr>
            <w:tcW w:w="2119" w:type="dxa"/>
          </w:tcPr>
          <w:p w14:paraId="21838ED2"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Pr>
                <w:rFonts w:asciiTheme="majorBidi" w:hAnsiTheme="majorBidi" w:cstheme="majorBidi"/>
                <w:sz w:val="24"/>
                <w:szCs w:val="24"/>
              </w:rPr>
              <w:t xml:space="preserve">: 100% nutrients through </w:t>
            </w:r>
            <w:r w:rsidRPr="004F1D5A">
              <w:rPr>
                <w:rFonts w:asciiTheme="majorBidi" w:hAnsiTheme="majorBidi" w:cstheme="majorBidi"/>
                <w:sz w:val="24"/>
                <w:szCs w:val="24"/>
              </w:rPr>
              <w:t>Vermicompost</w:t>
            </w:r>
          </w:p>
        </w:tc>
        <w:tc>
          <w:tcPr>
            <w:tcW w:w="697" w:type="dxa"/>
          </w:tcPr>
          <w:p w14:paraId="4F0ADD3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97" w:type="dxa"/>
          </w:tcPr>
          <w:p w14:paraId="6ED45E8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52.4</w:t>
            </w:r>
          </w:p>
        </w:tc>
        <w:tc>
          <w:tcPr>
            <w:tcW w:w="697" w:type="dxa"/>
          </w:tcPr>
          <w:p w14:paraId="643BC7B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55.4</w:t>
            </w:r>
          </w:p>
        </w:tc>
        <w:tc>
          <w:tcPr>
            <w:tcW w:w="1123" w:type="dxa"/>
          </w:tcPr>
          <w:p w14:paraId="646ACEB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58.0</w:t>
            </w:r>
          </w:p>
        </w:tc>
        <w:tc>
          <w:tcPr>
            <w:tcW w:w="1110" w:type="dxa"/>
          </w:tcPr>
          <w:p w14:paraId="708924A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13.1</w:t>
            </w:r>
          </w:p>
        </w:tc>
        <w:tc>
          <w:tcPr>
            <w:tcW w:w="1120" w:type="dxa"/>
          </w:tcPr>
          <w:p w14:paraId="584F591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75" w:type="dxa"/>
          </w:tcPr>
          <w:p w14:paraId="771A3D3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14:paraId="44AA7F9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0.34</w:t>
            </w:r>
          </w:p>
        </w:tc>
        <w:tc>
          <w:tcPr>
            <w:tcW w:w="678" w:type="dxa"/>
          </w:tcPr>
          <w:p w14:paraId="5BED377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4.27</w:t>
            </w:r>
          </w:p>
        </w:tc>
      </w:tr>
      <w:tr w:rsidR="00453248" w14:paraId="3AEC92CD" w14:textId="77777777" w:rsidTr="00996111">
        <w:tc>
          <w:tcPr>
            <w:tcW w:w="2119" w:type="dxa"/>
          </w:tcPr>
          <w:p w14:paraId="037394C5"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697" w:type="dxa"/>
          </w:tcPr>
          <w:p w14:paraId="041F0B8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19.9</w:t>
            </w:r>
          </w:p>
        </w:tc>
        <w:tc>
          <w:tcPr>
            <w:tcW w:w="697" w:type="dxa"/>
          </w:tcPr>
          <w:p w14:paraId="360927B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51.4</w:t>
            </w:r>
          </w:p>
        </w:tc>
        <w:tc>
          <w:tcPr>
            <w:tcW w:w="697" w:type="dxa"/>
          </w:tcPr>
          <w:p w14:paraId="18452E6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53.8</w:t>
            </w:r>
          </w:p>
        </w:tc>
        <w:tc>
          <w:tcPr>
            <w:tcW w:w="1123" w:type="dxa"/>
          </w:tcPr>
          <w:p w14:paraId="31123BF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56.5</w:t>
            </w:r>
          </w:p>
        </w:tc>
        <w:tc>
          <w:tcPr>
            <w:tcW w:w="1110" w:type="dxa"/>
          </w:tcPr>
          <w:p w14:paraId="2392AFE6"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1120" w:type="dxa"/>
          </w:tcPr>
          <w:p w14:paraId="4D72BD2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22.7</w:t>
            </w:r>
          </w:p>
        </w:tc>
        <w:tc>
          <w:tcPr>
            <w:tcW w:w="675" w:type="dxa"/>
          </w:tcPr>
          <w:p w14:paraId="45CE8C2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0.14</w:t>
            </w:r>
          </w:p>
        </w:tc>
        <w:tc>
          <w:tcPr>
            <w:tcW w:w="660" w:type="dxa"/>
          </w:tcPr>
          <w:p w14:paraId="1FE2B27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0.33</w:t>
            </w:r>
          </w:p>
        </w:tc>
        <w:tc>
          <w:tcPr>
            <w:tcW w:w="678" w:type="dxa"/>
          </w:tcPr>
          <w:p w14:paraId="56E56F5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3.51</w:t>
            </w:r>
          </w:p>
        </w:tc>
      </w:tr>
      <w:tr w:rsidR="00453248" w14:paraId="5224592B" w14:textId="77777777" w:rsidTr="00996111">
        <w:tc>
          <w:tcPr>
            <w:tcW w:w="2119" w:type="dxa"/>
          </w:tcPr>
          <w:p w14:paraId="20C89F89"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697" w:type="dxa"/>
          </w:tcPr>
          <w:p w14:paraId="4B9D152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14:paraId="644220F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54.9</w:t>
            </w:r>
          </w:p>
        </w:tc>
        <w:tc>
          <w:tcPr>
            <w:tcW w:w="697" w:type="dxa"/>
          </w:tcPr>
          <w:p w14:paraId="57F841E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58.6</w:t>
            </w:r>
          </w:p>
        </w:tc>
        <w:tc>
          <w:tcPr>
            <w:tcW w:w="1123" w:type="dxa"/>
          </w:tcPr>
          <w:p w14:paraId="6A0448E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60.8</w:t>
            </w:r>
          </w:p>
        </w:tc>
        <w:tc>
          <w:tcPr>
            <w:tcW w:w="1110" w:type="dxa"/>
          </w:tcPr>
          <w:p w14:paraId="416CA80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12.0</w:t>
            </w:r>
          </w:p>
        </w:tc>
        <w:tc>
          <w:tcPr>
            <w:tcW w:w="1120" w:type="dxa"/>
          </w:tcPr>
          <w:p w14:paraId="007792B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18.2</w:t>
            </w:r>
          </w:p>
        </w:tc>
        <w:tc>
          <w:tcPr>
            <w:tcW w:w="675" w:type="dxa"/>
          </w:tcPr>
          <w:p w14:paraId="0643BBA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0.11</w:t>
            </w:r>
          </w:p>
        </w:tc>
        <w:tc>
          <w:tcPr>
            <w:tcW w:w="660" w:type="dxa"/>
          </w:tcPr>
          <w:p w14:paraId="6F832C0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0.41</w:t>
            </w:r>
          </w:p>
        </w:tc>
        <w:tc>
          <w:tcPr>
            <w:tcW w:w="678" w:type="dxa"/>
          </w:tcPr>
          <w:p w14:paraId="163D8BA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1.93</w:t>
            </w:r>
          </w:p>
        </w:tc>
      </w:tr>
      <w:tr w:rsidR="00453248" w14:paraId="30F74C05" w14:textId="77777777" w:rsidTr="00996111">
        <w:tc>
          <w:tcPr>
            <w:tcW w:w="2119" w:type="dxa"/>
          </w:tcPr>
          <w:p w14:paraId="577DA0FC"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697" w:type="dxa"/>
          </w:tcPr>
          <w:p w14:paraId="0995BFA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22.6</w:t>
            </w:r>
          </w:p>
        </w:tc>
        <w:tc>
          <w:tcPr>
            <w:tcW w:w="697" w:type="dxa"/>
          </w:tcPr>
          <w:p w14:paraId="50E58CC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697" w:type="dxa"/>
          </w:tcPr>
          <w:p w14:paraId="1155BF5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58.7</w:t>
            </w:r>
          </w:p>
        </w:tc>
        <w:tc>
          <w:tcPr>
            <w:tcW w:w="1123" w:type="dxa"/>
          </w:tcPr>
          <w:p w14:paraId="2199AC9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60.9</w:t>
            </w:r>
          </w:p>
        </w:tc>
        <w:tc>
          <w:tcPr>
            <w:tcW w:w="1110" w:type="dxa"/>
          </w:tcPr>
          <w:p w14:paraId="1F7FFE9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17.2</w:t>
            </w:r>
          </w:p>
        </w:tc>
        <w:tc>
          <w:tcPr>
            <w:tcW w:w="1120" w:type="dxa"/>
          </w:tcPr>
          <w:p w14:paraId="0C56D4D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24.9</w:t>
            </w:r>
          </w:p>
        </w:tc>
        <w:tc>
          <w:tcPr>
            <w:tcW w:w="675" w:type="dxa"/>
          </w:tcPr>
          <w:p w14:paraId="7A307B8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14:paraId="3100873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0.86</w:t>
            </w:r>
          </w:p>
        </w:tc>
        <w:tc>
          <w:tcPr>
            <w:tcW w:w="678" w:type="dxa"/>
          </w:tcPr>
          <w:p w14:paraId="7C5055C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4.29</w:t>
            </w:r>
          </w:p>
        </w:tc>
      </w:tr>
      <w:tr w:rsidR="00453248" w14:paraId="39D60892" w14:textId="77777777" w:rsidTr="00996111">
        <w:tc>
          <w:tcPr>
            <w:tcW w:w="2119" w:type="dxa"/>
          </w:tcPr>
          <w:p w14:paraId="1A2C338F"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697" w:type="dxa"/>
          </w:tcPr>
          <w:p w14:paraId="2CC2C35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21.5</w:t>
            </w:r>
          </w:p>
        </w:tc>
        <w:tc>
          <w:tcPr>
            <w:tcW w:w="697" w:type="dxa"/>
          </w:tcPr>
          <w:p w14:paraId="46CC20D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14:paraId="2014C23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14:paraId="576B268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57.3</w:t>
            </w:r>
          </w:p>
        </w:tc>
        <w:tc>
          <w:tcPr>
            <w:tcW w:w="1110" w:type="dxa"/>
          </w:tcPr>
          <w:p w14:paraId="44B1B02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11.5</w:t>
            </w:r>
          </w:p>
        </w:tc>
        <w:tc>
          <w:tcPr>
            <w:tcW w:w="1120" w:type="dxa"/>
          </w:tcPr>
          <w:p w14:paraId="6FBFC15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20.1</w:t>
            </w:r>
          </w:p>
        </w:tc>
        <w:tc>
          <w:tcPr>
            <w:tcW w:w="675" w:type="dxa"/>
          </w:tcPr>
          <w:p w14:paraId="2A68825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0.15</w:t>
            </w:r>
          </w:p>
        </w:tc>
        <w:tc>
          <w:tcPr>
            <w:tcW w:w="660" w:type="dxa"/>
          </w:tcPr>
          <w:p w14:paraId="065D20B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0.47</w:t>
            </w:r>
          </w:p>
        </w:tc>
        <w:tc>
          <w:tcPr>
            <w:tcW w:w="678" w:type="dxa"/>
          </w:tcPr>
          <w:p w14:paraId="3DBDEA6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2.51</w:t>
            </w:r>
          </w:p>
        </w:tc>
      </w:tr>
      <w:tr w:rsidR="00453248" w14:paraId="071BF0AD" w14:textId="77777777" w:rsidTr="00996111">
        <w:tc>
          <w:tcPr>
            <w:tcW w:w="2119" w:type="dxa"/>
          </w:tcPr>
          <w:p w14:paraId="6313A7BF"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697" w:type="dxa"/>
          </w:tcPr>
          <w:p w14:paraId="04173B0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22.5</w:t>
            </w:r>
          </w:p>
        </w:tc>
        <w:tc>
          <w:tcPr>
            <w:tcW w:w="697" w:type="dxa"/>
          </w:tcPr>
          <w:p w14:paraId="0A3F6F6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55.0</w:t>
            </w:r>
          </w:p>
        </w:tc>
        <w:tc>
          <w:tcPr>
            <w:tcW w:w="697" w:type="dxa"/>
          </w:tcPr>
          <w:p w14:paraId="3EA28F2D"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56.3</w:t>
            </w:r>
          </w:p>
        </w:tc>
        <w:tc>
          <w:tcPr>
            <w:tcW w:w="1123" w:type="dxa"/>
          </w:tcPr>
          <w:p w14:paraId="7D5B7E5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58.4</w:t>
            </w:r>
          </w:p>
        </w:tc>
        <w:tc>
          <w:tcPr>
            <w:tcW w:w="1110" w:type="dxa"/>
          </w:tcPr>
          <w:p w14:paraId="3A0BF83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13.5</w:t>
            </w:r>
          </w:p>
        </w:tc>
        <w:tc>
          <w:tcPr>
            <w:tcW w:w="1120" w:type="dxa"/>
          </w:tcPr>
          <w:p w14:paraId="783E8A5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15.4</w:t>
            </w:r>
          </w:p>
        </w:tc>
        <w:tc>
          <w:tcPr>
            <w:tcW w:w="675" w:type="dxa"/>
          </w:tcPr>
          <w:p w14:paraId="124DC0BD"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14:paraId="4BE7CED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0.81</w:t>
            </w:r>
          </w:p>
        </w:tc>
        <w:tc>
          <w:tcPr>
            <w:tcW w:w="678" w:type="dxa"/>
          </w:tcPr>
          <w:p w14:paraId="16F66F6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3.17</w:t>
            </w:r>
          </w:p>
        </w:tc>
      </w:tr>
      <w:tr w:rsidR="00453248" w14:paraId="64D0BD6C" w14:textId="77777777" w:rsidTr="00996111">
        <w:tc>
          <w:tcPr>
            <w:tcW w:w="2119" w:type="dxa"/>
          </w:tcPr>
          <w:p w14:paraId="55ECC9CE" w14:textId="77777777" w:rsidR="00453248" w:rsidRPr="00272114" w:rsidRDefault="0045324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697" w:type="dxa"/>
          </w:tcPr>
          <w:p w14:paraId="7806BD1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20.4</w:t>
            </w:r>
          </w:p>
        </w:tc>
        <w:tc>
          <w:tcPr>
            <w:tcW w:w="697" w:type="dxa"/>
          </w:tcPr>
          <w:p w14:paraId="3590688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14:paraId="0007E3B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14:paraId="49B8561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57.2</w:t>
            </w:r>
          </w:p>
        </w:tc>
        <w:tc>
          <w:tcPr>
            <w:tcW w:w="1110" w:type="dxa"/>
          </w:tcPr>
          <w:p w14:paraId="3FCBDCC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13.8</w:t>
            </w:r>
          </w:p>
        </w:tc>
        <w:tc>
          <w:tcPr>
            <w:tcW w:w="1120" w:type="dxa"/>
          </w:tcPr>
          <w:p w14:paraId="0AE130F6"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22.0</w:t>
            </w:r>
          </w:p>
        </w:tc>
        <w:tc>
          <w:tcPr>
            <w:tcW w:w="675" w:type="dxa"/>
          </w:tcPr>
          <w:p w14:paraId="7C1FF41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0.12</w:t>
            </w:r>
          </w:p>
        </w:tc>
        <w:tc>
          <w:tcPr>
            <w:tcW w:w="660" w:type="dxa"/>
          </w:tcPr>
          <w:p w14:paraId="70E4862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0.42</w:t>
            </w:r>
          </w:p>
        </w:tc>
        <w:tc>
          <w:tcPr>
            <w:tcW w:w="678" w:type="dxa"/>
          </w:tcPr>
          <w:p w14:paraId="09FA5D0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2.52</w:t>
            </w:r>
          </w:p>
        </w:tc>
      </w:tr>
      <w:tr w:rsidR="00453248" w14:paraId="5DF31E06" w14:textId="77777777" w:rsidTr="00996111">
        <w:tc>
          <w:tcPr>
            <w:tcW w:w="2119" w:type="dxa"/>
          </w:tcPr>
          <w:p w14:paraId="36FFC22F" w14:textId="77777777" w:rsidR="00453248" w:rsidRPr="00C72F23"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697" w:type="dxa"/>
          </w:tcPr>
          <w:p w14:paraId="0CC958C6"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1.7</w:t>
            </w:r>
          </w:p>
        </w:tc>
        <w:tc>
          <w:tcPr>
            <w:tcW w:w="697" w:type="dxa"/>
          </w:tcPr>
          <w:p w14:paraId="235F5349"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2.6</w:t>
            </w:r>
          </w:p>
        </w:tc>
        <w:tc>
          <w:tcPr>
            <w:tcW w:w="697" w:type="dxa"/>
          </w:tcPr>
          <w:p w14:paraId="1B0AE992"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2.9</w:t>
            </w:r>
          </w:p>
        </w:tc>
        <w:tc>
          <w:tcPr>
            <w:tcW w:w="1123" w:type="dxa"/>
          </w:tcPr>
          <w:p w14:paraId="0CAF358C"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2.8</w:t>
            </w:r>
          </w:p>
        </w:tc>
        <w:tc>
          <w:tcPr>
            <w:tcW w:w="1110" w:type="dxa"/>
          </w:tcPr>
          <w:p w14:paraId="38A5F57B"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1120" w:type="dxa"/>
          </w:tcPr>
          <w:p w14:paraId="51C73D4F"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675" w:type="dxa"/>
          </w:tcPr>
          <w:p w14:paraId="6387E06E"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0.08</w:t>
            </w:r>
          </w:p>
        </w:tc>
        <w:tc>
          <w:tcPr>
            <w:tcW w:w="660" w:type="dxa"/>
          </w:tcPr>
          <w:p w14:paraId="6EB9C8E7"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0.07</w:t>
            </w:r>
          </w:p>
        </w:tc>
        <w:tc>
          <w:tcPr>
            <w:tcW w:w="678" w:type="dxa"/>
          </w:tcPr>
          <w:p w14:paraId="685D4A2A"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0.46</w:t>
            </w:r>
          </w:p>
        </w:tc>
      </w:tr>
    </w:tbl>
    <w:p w14:paraId="52D3B42E" w14:textId="77777777" w:rsidR="00453248" w:rsidRDefault="00453248" w:rsidP="00263AD8">
      <w:pPr>
        <w:spacing w:after="0" w:line="360" w:lineRule="auto"/>
        <w:jc w:val="both"/>
        <w:rPr>
          <w:rFonts w:ascii="Times New Roman" w:eastAsia="Times New Roman" w:hAnsi="Times New Roman" w:cs="Times New Roman"/>
          <w:sz w:val="24"/>
          <w:szCs w:val="24"/>
        </w:rPr>
      </w:pPr>
    </w:p>
    <w:p w14:paraId="1EB4270C"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04AC524" w14:textId="77777777" w:rsidR="007466E8" w:rsidRPr="00694212"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2: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number of capsule/plant, number of seed/capsule, seed yield and Stover yield of linseed crop </w:t>
      </w:r>
    </w:p>
    <w:tbl>
      <w:tblPr>
        <w:tblStyle w:val="Grilledutableau"/>
        <w:tblW w:w="0" w:type="auto"/>
        <w:tblLook w:val="04A0" w:firstRow="1" w:lastRow="0" w:firstColumn="1" w:lastColumn="0" w:noHBand="0" w:noVBand="1"/>
      </w:tblPr>
      <w:tblGrid>
        <w:gridCol w:w="2398"/>
        <w:gridCol w:w="1858"/>
        <w:gridCol w:w="1843"/>
        <w:gridCol w:w="1734"/>
        <w:gridCol w:w="1743"/>
      </w:tblGrid>
      <w:tr w:rsidR="007466E8" w14:paraId="61C9344A" w14:textId="77777777" w:rsidTr="00996111">
        <w:tc>
          <w:tcPr>
            <w:tcW w:w="1915" w:type="dxa"/>
          </w:tcPr>
          <w:p w14:paraId="4F799805"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1915" w:type="dxa"/>
          </w:tcPr>
          <w:p w14:paraId="06C9DC86"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capsule/plant</w:t>
            </w:r>
          </w:p>
        </w:tc>
        <w:tc>
          <w:tcPr>
            <w:tcW w:w="1915" w:type="dxa"/>
          </w:tcPr>
          <w:p w14:paraId="091DC757"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seed/capsule</w:t>
            </w:r>
          </w:p>
        </w:tc>
        <w:tc>
          <w:tcPr>
            <w:tcW w:w="1915" w:type="dxa"/>
          </w:tcPr>
          <w:p w14:paraId="56751318"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Seed yield (q/ha)</w:t>
            </w:r>
          </w:p>
        </w:tc>
        <w:tc>
          <w:tcPr>
            <w:tcW w:w="1916" w:type="dxa"/>
          </w:tcPr>
          <w:p w14:paraId="646A6C4A"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Stover yield (q/ha)</w:t>
            </w:r>
          </w:p>
        </w:tc>
      </w:tr>
      <w:tr w:rsidR="007466E8" w14:paraId="6AB42651" w14:textId="77777777" w:rsidTr="00996111">
        <w:tc>
          <w:tcPr>
            <w:tcW w:w="1915" w:type="dxa"/>
          </w:tcPr>
          <w:p w14:paraId="7EE7D9D0" w14:textId="77777777" w:rsidR="007466E8" w:rsidRPr="004F1D5A"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1915" w:type="dxa"/>
          </w:tcPr>
          <w:p w14:paraId="1F9C061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55.7</w:t>
            </w:r>
          </w:p>
        </w:tc>
        <w:tc>
          <w:tcPr>
            <w:tcW w:w="1915" w:type="dxa"/>
          </w:tcPr>
          <w:p w14:paraId="3FA247D8"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7.8</w:t>
            </w:r>
          </w:p>
        </w:tc>
        <w:tc>
          <w:tcPr>
            <w:tcW w:w="1915" w:type="dxa"/>
          </w:tcPr>
          <w:p w14:paraId="4FAAF8B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8.4</w:t>
            </w:r>
          </w:p>
        </w:tc>
        <w:tc>
          <w:tcPr>
            <w:tcW w:w="1916" w:type="dxa"/>
          </w:tcPr>
          <w:p w14:paraId="6D15719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11.7</w:t>
            </w:r>
          </w:p>
        </w:tc>
      </w:tr>
      <w:tr w:rsidR="007466E8" w14:paraId="1FAEEF9E" w14:textId="77777777" w:rsidTr="00996111">
        <w:tc>
          <w:tcPr>
            <w:tcW w:w="1915" w:type="dxa"/>
          </w:tcPr>
          <w:p w14:paraId="1C2ED78E"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1915" w:type="dxa"/>
          </w:tcPr>
          <w:p w14:paraId="4C102C2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41.5</w:t>
            </w:r>
          </w:p>
        </w:tc>
        <w:tc>
          <w:tcPr>
            <w:tcW w:w="1915" w:type="dxa"/>
          </w:tcPr>
          <w:p w14:paraId="237B2F5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14:paraId="47D3B52F"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7.0</w:t>
            </w:r>
          </w:p>
        </w:tc>
        <w:tc>
          <w:tcPr>
            <w:tcW w:w="1916" w:type="dxa"/>
          </w:tcPr>
          <w:p w14:paraId="1FDA95B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9.4</w:t>
            </w:r>
          </w:p>
        </w:tc>
      </w:tr>
      <w:tr w:rsidR="007466E8" w14:paraId="09D91837" w14:textId="77777777" w:rsidTr="00996111">
        <w:tc>
          <w:tcPr>
            <w:tcW w:w="1915" w:type="dxa"/>
          </w:tcPr>
          <w:p w14:paraId="152B3B38"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1915" w:type="dxa"/>
          </w:tcPr>
          <w:p w14:paraId="368B9D60"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74.9</w:t>
            </w:r>
          </w:p>
        </w:tc>
        <w:tc>
          <w:tcPr>
            <w:tcW w:w="1915" w:type="dxa"/>
          </w:tcPr>
          <w:p w14:paraId="25213109"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8.0</w:t>
            </w:r>
          </w:p>
        </w:tc>
        <w:tc>
          <w:tcPr>
            <w:tcW w:w="1915" w:type="dxa"/>
          </w:tcPr>
          <w:p w14:paraId="0562F2D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10.6</w:t>
            </w:r>
          </w:p>
        </w:tc>
        <w:tc>
          <w:tcPr>
            <w:tcW w:w="1916" w:type="dxa"/>
          </w:tcPr>
          <w:p w14:paraId="400B3ABC"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15.0</w:t>
            </w:r>
          </w:p>
        </w:tc>
      </w:tr>
      <w:tr w:rsidR="007466E8" w14:paraId="5D2CFDB5" w14:textId="77777777" w:rsidTr="00996111">
        <w:tc>
          <w:tcPr>
            <w:tcW w:w="1915" w:type="dxa"/>
          </w:tcPr>
          <w:p w14:paraId="6882A841"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1915" w:type="dxa"/>
          </w:tcPr>
          <w:p w14:paraId="777DC13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79.3</w:t>
            </w:r>
          </w:p>
        </w:tc>
        <w:tc>
          <w:tcPr>
            <w:tcW w:w="1915" w:type="dxa"/>
          </w:tcPr>
          <w:p w14:paraId="2E6B5C7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6.9</w:t>
            </w:r>
          </w:p>
        </w:tc>
        <w:tc>
          <w:tcPr>
            <w:tcW w:w="1915" w:type="dxa"/>
          </w:tcPr>
          <w:p w14:paraId="67C7EFB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w:t>
            </w:r>
          </w:p>
        </w:tc>
        <w:tc>
          <w:tcPr>
            <w:tcW w:w="1916" w:type="dxa"/>
          </w:tcPr>
          <w:p w14:paraId="7C44242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15.9</w:t>
            </w:r>
          </w:p>
        </w:tc>
      </w:tr>
      <w:tr w:rsidR="007466E8" w14:paraId="269DC3F7" w14:textId="77777777" w:rsidTr="00996111">
        <w:tc>
          <w:tcPr>
            <w:tcW w:w="1915" w:type="dxa"/>
          </w:tcPr>
          <w:p w14:paraId="220DF27B"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1915" w:type="dxa"/>
          </w:tcPr>
          <w:p w14:paraId="0C1C177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82.3</w:t>
            </w:r>
          </w:p>
        </w:tc>
        <w:tc>
          <w:tcPr>
            <w:tcW w:w="1915" w:type="dxa"/>
          </w:tcPr>
          <w:p w14:paraId="2CBD5F0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9.9</w:t>
            </w:r>
          </w:p>
        </w:tc>
        <w:tc>
          <w:tcPr>
            <w:tcW w:w="1915" w:type="dxa"/>
          </w:tcPr>
          <w:p w14:paraId="77F3D38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6" w:type="dxa"/>
          </w:tcPr>
          <w:p w14:paraId="6007CF04"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r>
      <w:tr w:rsidR="007466E8" w14:paraId="1568529C" w14:textId="77777777" w:rsidTr="00996111">
        <w:tc>
          <w:tcPr>
            <w:tcW w:w="1915" w:type="dxa"/>
          </w:tcPr>
          <w:p w14:paraId="0D73A9B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1915" w:type="dxa"/>
          </w:tcPr>
          <w:p w14:paraId="2942497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83.3</w:t>
            </w:r>
          </w:p>
        </w:tc>
        <w:tc>
          <w:tcPr>
            <w:tcW w:w="1915" w:type="dxa"/>
          </w:tcPr>
          <w:p w14:paraId="6F09235C"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c>
          <w:tcPr>
            <w:tcW w:w="1915" w:type="dxa"/>
          </w:tcPr>
          <w:p w14:paraId="4C9E650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916" w:type="dxa"/>
          </w:tcPr>
          <w:p w14:paraId="73977B7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16.7</w:t>
            </w:r>
          </w:p>
        </w:tc>
      </w:tr>
      <w:tr w:rsidR="007466E8" w14:paraId="4832862F" w14:textId="77777777" w:rsidTr="00996111">
        <w:tc>
          <w:tcPr>
            <w:tcW w:w="1915" w:type="dxa"/>
          </w:tcPr>
          <w:p w14:paraId="5E35DE2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1915" w:type="dxa"/>
          </w:tcPr>
          <w:p w14:paraId="5398297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73.7</w:t>
            </w:r>
          </w:p>
        </w:tc>
        <w:tc>
          <w:tcPr>
            <w:tcW w:w="1915" w:type="dxa"/>
          </w:tcPr>
          <w:p w14:paraId="0F7C06B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10.0</w:t>
            </w:r>
          </w:p>
        </w:tc>
        <w:tc>
          <w:tcPr>
            <w:tcW w:w="1915" w:type="dxa"/>
          </w:tcPr>
          <w:p w14:paraId="241A4258"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8.6</w:t>
            </w:r>
          </w:p>
        </w:tc>
        <w:tc>
          <w:tcPr>
            <w:tcW w:w="1916" w:type="dxa"/>
          </w:tcPr>
          <w:p w14:paraId="1E6FF5B9"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12.1</w:t>
            </w:r>
          </w:p>
        </w:tc>
      </w:tr>
      <w:tr w:rsidR="007466E8" w14:paraId="59502095" w14:textId="77777777" w:rsidTr="00996111">
        <w:tc>
          <w:tcPr>
            <w:tcW w:w="1915" w:type="dxa"/>
          </w:tcPr>
          <w:p w14:paraId="555299F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1915" w:type="dxa"/>
          </w:tcPr>
          <w:p w14:paraId="5CE9208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50.9</w:t>
            </w:r>
          </w:p>
        </w:tc>
        <w:tc>
          <w:tcPr>
            <w:tcW w:w="1915" w:type="dxa"/>
          </w:tcPr>
          <w:p w14:paraId="76918A52"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14:paraId="48745D3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9.0</w:t>
            </w:r>
          </w:p>
        </w:tc>
        <w:tc>
          <w:tcPr>
            <w:tcW w:w="1916" w:type="dxa"/>
          </w:tcPr>
          <w:p w14:paraId="33297A93"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14.1</w:t>
            </w:r>
          </w:p>
        </w:tc>
      </w:tr>
      <w:tr w:rsidR="007466E8" w14:paraId="5E5182D7" w14:textId="77777777" w:rsidTr="00996111">
        <w:tc>
          <w:tcPr>
            <w:tcW w:w="1915" w:type="dxa"/>
          </w:tcPr>
          <w:p w14:paraId="71FEE365" w14:textId="77777777" w:rsidR="007466E8" w:rsidRPr="00272114" w:rsidRDefault="007466E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1915" w:type="dxa"/>
          </w:tcPr>
          <w:p w14:paraId="5A668FC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63.7</w:t>
            </w:r>
          </w:p>
        </w:tc>
        <w:tc>
          <w:tcPr>
            <w:tcW w:w="1915" w:type="dxa"/>
          </w:tcPr>
          <w:p w14:paraId="2BA6A953"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5" w:type="dxa"/>
          </w:tcPr>
          <w:p w14:paraId="33BA9B70"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7.6</w:t>
            </w:r>
          </w:p>
        </w:tc>
        <w:tc>
          <w:tcPr>
            <w:tcW w:w="1916" w:type="dxa"/>
          </w:tcPr>
          <w:p w14:paraId="18E9D9B4"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10.8</w:t>
            </w:r>
          </w:p>
        </w:tc>
      </w:tr>
      <w:tr w:rsidR="007466E8" w14:paraId="424F3915" w14:textId="77777777" w:rsidTr="00996111">
        <w:tc>
          <w:tcPr>
            <w:tcW w:w="1915" w:type="dxa"/>
          </w:tcPr>
          <w:p w14:paraId="781551A3" w14:textId="77777777"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1915" w:type="dxa"/>
          </w:tcPr>
          <w:p w14:paraId="64E9CAC1"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5.0</w:t>
            </w:r>
          </w:p>
        </w:tc>
        <w:tc>
          <w:tcPr>
            <w:tcW w:w="1915" w:type="dxa"/>
          </w:tcPr>
          <w:p w14:paraId="781447B8"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1.3</w:t>
            </w:r>
          </w:p>
        </w:tc>
        <w:tc>
          <w:tcPr>
            <w:tcW w:w="1915" w:type="dxa"/>
          </w:tcPr>
          <w:p w14:paraId="3D10567B"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1.4</w:t>
            </w:r>
          </w:p>
        </w:tc>
        <w:tc>
          <w:tcPr>
            <w:tcW w:w="1916" w:type="dxa"/>
          </w:tcPr>
          <w:p w14:paraId="36D2713E"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1.1</w:t>
            </w:r>
          </w:p>
        </w:tc>
      </w:tr>
    </w:tbl>
    <w:p w14:paraId="744DA122" w14:textId="77777777" w:rsidR="007466E8" w:rsidRDefault="007466E8" w:rsidP="00263AD8">
      <w:pPr>
        <w:spacing w:after="0" w:line="360" w:lineRule="auto"/>
        <w:jc w:val="both"/>
        <w:rPr>
          <w:rFonts w:ascii="Times New Roman" w:eastAsia="Times New Roman" w:hAnsi="Times New Roman" w:cs="Times New Roman"/>
          <w:sz w:val="24"/>
          <w:szCs w:val="24"/>
        </w:rPr>
      </w:pPr>
    </w:p>
    <w:p w14:paraId="612B92A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FA51F4D"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CAEADA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447DF77" w14:textId="77777777"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3: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net returns and cost benefit ratio of linseed crop </w:t>
      </w:r>
    </w:p>
    <w:tbl>
      <w:tblPr>
        <w:tblStyle w:val="Grilledutableau"/>
        <w:tblW w:w="0" w:type="auto"/>
        <w:tblLook w:val="04A0" w:firstRow="1" w:lastRow="0" w:firstColumn="1" w:lastColumn="0" w:noHBand="0" w:noVBand="1"/>
      </w:tblPr>
      <w:tblGrid>
        <w:gridCol w:w="3192"/>
        <w:gridCol w:w="3192"/>
        <w:gridCol w:w="3192"/>
      </w:tblGrid>
      <w:tr w:rsidR="007466E8" w14:paraId="5B46EC0E" w14:textId="77777777" w:rsidTr="00996111">
        <w:tc>
          <w:tcPr>
            <w:tcW w:w="3192" w:type="dxa"/>
          </w:tcPr>
          <w:p w14:paraId="4454BA3D" w14:textId="77777777" w:rsidR="007466E8" w:rsidRPr="000673DD" w:rsidRDefault="007466E8" w:rsidP="00996111">
            <w:pPr>
              <w:jc w:val="both"/>
              <w:rPr>
                <w:rFonts w:asciiTheme="majorBidi" w:hAnsiTheme="majorBidi" w:cstheme="majorBidi"/>
                <w:b/>
                <w:bCs/>
                <w:sz w:val="24"/>
                <w:szCs w:val="24"/>
              </w:rPr>
            </w:pPr>
            <w:r w:rsidRPr="000673DD">
              <w:rPr>
                <w:rFonts w:asciiTheme="majorBidi" w:hAnsiTheme="majorBidi" w:cstheme="majorBidi"/>
                <w:b/>
                <w:bCs/>
                <w:sz w:val="24"/>
                <w:szCs w:val="24"/>
              </w:rPr>
              <w:t xml:space="preserve">Treatment </w:t>
            </w:r>
          </w:p>
        </w:tc>
        <w:tc>
          <w:tcPr>
            <w:tcW w:w="3192" w:type="dxa"/>
          </w:tcPr>
          <w:p w14:paraId="0179801E" w14:textId="77777777"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Net Returns (Rs/ha)</w:t>
            </w:r>
          </w:p>
        </w:tc>
        <w:tc>
          <w:tcPr>
            <w:tcW w:w="3192" w:type="dxa"/>
          </w:tcPr>
          <w:p w14:paraId="2D34BD17" w14:textId="77777777"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B:C ratio</w:t>
            </w:r>
          </w:p>
        </w:tc>
      </w:tr>
      <w:tr w:rsidR="007466E8" w14:paraId="7BA1D9AD" w14:textId="77777777" w:rsidTr="00996111">
        <w:tc>
          <w:tcPr>
            <w:tcW w:w="3192" w:type="dxa"/>
          </w:tcPr>
          <w:p w14:paraId="4ADAAC1D" w14:textId="77777777" w:rsidR="007466E8"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3192" w:type="dxa"/>
          </w:tcPr>
          <w:p w14:paraId="4209C095"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34464</w:t>
            </w:r>
          </w:p>
        </w:tc>
        <w:tc>
          <w:tcPr>
            <w:tcW w:w="3192" w:type="dxa"/>
          </w:tcPr>
          <w:p w14:paraId="0B2DEB20"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2.61</w:t>
            </w:r>
          </w:p>
        </w:tc>
      </w:tr>
      <w:tr w:rsidR="007466E8" w14:paraId="574BDF0B" w14:textId="77777777" w:rsidTr="00996111">
        <w:tc>
          <w:tcPr>
            <w:tcW w:w="3192" w:type="dxa"/>
          </w:tcPr>
          <w:p w14:paraId="0B28C4C0"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3192" w:type="dxa"/>
          </w:tcPr>
          <w:p w14:paraId="3610B9D1"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40128</w:t>
            </w:r>
          </w:p>
        </w:tc>
        <w:tc>
          <w:tcPr>
            <w:tcW w:w="3192" w:type="dxa"/>
          </w:tcPr>
          <w:p w14:paraId="3AB54604"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2.87</w:t>
            </w:r>
          </w:p>
        </w:tc>
      </w:tr>
      <w:tr w:rsidR="007466E8" w14:paraId="7CF32CDB" w14:textId="77777777" w:rsidTr="00996111">
        <w:tc>
          <w:tcPr>
            <w:tcW w:w="3192" w:type="dxa"/>
          </w:tcPr>
          <w:p w14:paraId="14B88FCD"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3192" w:type="dxa"/>
          </w:tcPr>
          <w:p w14:paraId="0771670B"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26961</w:t>
            </w:r>
          </w:p>
        </w:tc>
        <w:tc>
          <w:tcPr>
            <w:tcW w:w="3192" w:type="dxa"/>
          </w:tcPr>
          <w:p w14:paraId="248AD3FC"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1.62</w:t>
            </w:r>
          </w:p>
        </w:tc>
      </w:tr>
      <w:tr w:rsidR="007466E8" w14:paraId="680ACEA8" w14:textId="77777777" w:rsidTr="00996111">
        <w:tc>
          <w:tcPr>
            <w:tcW w:w="3192" w:type="dxa"/>
          </w:tcPr>
          <w:p w14:paraId="180CC43F"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3192" w:type="dxa"/>
          </w:tcPr>
          <w:p w14:paraId="3CD173F0"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30415</w:t>
            </w:r>
          </w:p>
        </w:tc>
        <w:tc>
          <w:tcPr>
            <w:tcW w:w="3192" w:type="dxa"/>
          </w:tcPr>
          <w:p w14:paraId="4A5989DD"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2.35</w:t>
            </w:r>
          </w:p>
        </w:tc>
      </w:tr>
      <w:tr w:rsidR="007466E8" w14:paraId="26357DB5" w14:textId="77777777" w:rsidTr="00996111">
        <w:tc>
          <w:tcPr>
            <w:tcW w:w="3192" w:type="dxa"/>
          </w:tcPr>
          <w:p w14:paraId="01A6E80A"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3192" w:type="dxa"/>
          </w:tcPr>
          <w:p w14:paraId="7B207569"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13726</w:t>
            </w:r>
          </w:p>
        </w:tc>
        <w:tc>
          <w:tcPr>
            <w:tcW w:w="3192" w:type="dxa"/>
          </w:tcPr>
          <w:p w14:paraId="27453CAD"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1.42</w:t>
            </w:r>
          </w:p>
        </w:tc>
      </w:tr>
      <w:tr w:rsidR="007466E8" w14:paraId="4E2D30F0" w14:textId="77777777" w:rsidTr="00996111">
        <w:tc>
          <w:tcPr>
            <w:tcW w:w="3192" w:type="dxa"/>
          </w:tcPr>
          <w:p w14:paraId="6D245FD1"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3192" w:type="dxa"/>
          </w:tcPr>
          <w:p w14:paraId="277CD7AD"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50934</w:t>
            </w:r>
          </w:p>
        </w:tc>
        <w:tc>
          <w:tcPr>
            <w:tcW w:w="3192" w:type="dxa"/>
          </w:tcPr>
          <w:p w14:paraId="7B6AE056"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3.32</w:t>
            </w:r>
          </w:p>
        </w:tc>
      </w:tr>
      <w:tr w:rsidR="007466E8" w14:paraId="1B7B70A1" w14:textId="77777777" w:rsidTr="00996111">
        <w:tc>
          <w:tcPr>
            <w:tcW w:w="3192" w:type="dxa"/>
          </w:tcPr>
          <w:p w14:paraId="36BB3E08"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3192" w:type="dxa"/>
          </w:tcPr>
          <w:p w14:paraId="48478063"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23777</w:t>
            </w:r>
          </w:p>
        </w:tc>
        <w:tc>
          <w:tcPr>
            <w:tcW w:w="3192" w:type="dxa"/>
          </w:tcPr>
          <w:p w14:paraId="7A153ABD"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1.72</w:t>
            </w:r>
          </w:p>
        </w:tc>
      </w:tr>
      <w:tr w:rsidR="007466E8" w14:paraId="086AA70F" w14:textId="77777777" w:rsidTr="00996111">
        <w:tc>
          <w:tcPr>
            <w:tcW w:w="3192" w:type="dxa"/>
          </w:tcPr>
          <w:p w14:paraId="699C8FA7"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w:t>
            </w:r>
            <w:r>
              <w:rPr>
                <w:rFonts w:asciiTheme="majorBidi" w:hAnsiTheme="majorBidi" w:cstheme="majorBidi"/>
                <w:sz w:val="24"/>
                <w:szCs w:val="24"/>
              </w:rPr>
              <w:t xml:space="preserve">ugh FYM+33.3% nutrients through </w:t>
            </w:r>
            <w:r w:rsidRPr="004F1D5A">
              <w:rPr>
                <w:rFonts w:asciiTheme="majorBidi" w:hAnsiTheme="majorBidi" w:cstheme="majorBidi"/>
                <w:sz w:val="24"/>
                <w:szCs w:val="24"/>
              </w:rPr>
              <w:t>Vermicompost</w:t>
            </w:r>
            <w:r>
              <w:rPr>
                <w:rFonts w:asciiTheme="majorBidi" w:hAnsiTheme="majorBidi" w:cstheme="majorBidi"/>
                <w:sz w:val="24"/>
                <w:szCs w:val="24"/>
              </w:rPr>
              <w:t xml:space="preserve"> </w:t>
            </w:r>
            <w:r w:rsidRPr="004F1D5A">
              <w:rPr>
                <w:rFonts w:asciiTheme="majorBidi" w:hAnsiTheme="majorBidi" w:cstheme="majorBidi"/>
                <w:sz w:val="24"/>
                <w:szCs w:val="24"/>
              </w:rPr>
              <w:t>+</w:t>
            </w:r>
            <w:r>
              <w:rPr>
                <w:rFonts w:asciiTheme="majorBidi" w:hAnsiTheme="majorBidi" w:cstheme="majorBidi"/>
                <w:sz w:val="24"/>
                <w:szCs w:val="24"/>
              </w:rPr>
              <w:t xml:space="preserve"> </w:t>
            </w:r>
            <w:r w:rsidRPr="004F1D5A">
              <w:rPr>
                <w:rFonts w:asciiTheme="majorBidi" w:hAnsiTheme="majorBidi" w:cstheme="majorBidi"/>
                <w:sz w:val="24"/>
                <w:szCs w:val="24"/>
              </w:rPr>
              <w:t>33.3% nutrients through Poultry manure</w:t>
            </w:r>
          </w:p>
        </w:tc>
        <w:tc>
          <w:tcPr>
            <w:tcW w:w="3192" w:type="dxa"/>
          </w:tcPr>
          <w:p w14:paraId="363FD83A"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30755</w:t>
            </w:r>
          </w:p>
        </w:tc>
        <w:tc>
          <w:tcPr>
            <w:tcW w:w="3192" w:type="dxa"/>
          </w:tcPr>
          <w:p w14:paraId="4A570BC0"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2.05</w:t>
            </w:r>
          </w:p>
        </w:tc>
      </w:tr>
      <w:tr w:rsidR="007466E8" w14:paraId="1893596A" w14:textId="77777777" w:rsidTr="00996111">
        <w:tc>
          <w:tcPr>
            <w:tcW w:w="3192" w:type="dxa"/>
          </w:tcPr>
          <w:p w14:paraId="7E97A9E9" w14:textId="77777777" w:rsidR="007466E8" w:rsidRPr="00272114" w:rsidRDefault="007466E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3192" w:type="dxa"/>
          </w:tcPr>
          <w:p w14:paraId="1B5E4A14"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36997</w:t>
            </w:r>
          </w:p>
        </w:tc>
        <w:tc>
          <w:tcPr>
            <w:tcW w:w="3192" w:type="dxa"/>
          </w:tcPr>
          <w:p w14:paraId="0B4CB39E"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1.53</w:t>
            </w:r>
          </w:p>
        </w:tc>
      </w:tr>
      <w:tr w:rsidR="007466E8" w14:paraId="6C34DE5B" w14:textId="77777777" w:rsidTr="00996111">
        <w:tc>
          <w:tcPr>
            <w:tcW w:w="3192" w:type="dxa"/>
          </w:tcPr>
          <w:p w14:paraId="67DA0701" w14:textId="77777777"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3192" w:type="dxa"/>
          </w:tcPr>
          <w:p w14:paraId="324BA6DA" w14:textId="77777777" w:rsidR="007466E8" w:rsidRPr="008245AC" w:rsidRDefault="007466E8" w:rsidP="00996111">
            <w:pPr>
              <w:jc w:val="both"/>
              <w:rPr>
                <w:rFonts w:asciiTheme="majorBidi" w:hAnsiTheme="majorBidi" w:cstheme="majorBidi"/>
                <w:b/>
                <w:bCs/>
                <w:sz w:val="24"/>
                <w:szCs w:val="24"/>
              </w:rPr>
            </w:pPr>
            <w:r w:rsidRPr="008245AC">
              <w:rPr>
                <w:rFonts w:asciiTheme="majorBidi" w:hAnsiTheme="majorBidi" w:cstheme="majorBidi"/>
                <w:b/>
                <w:bCs/>
                <w:sz w:val="24"/>
                <w:szCs w:val="24"/>
              </w:rPr>
              <w:t>-</w:t>
            </w:r>
          </w:p>
        </w:tc>
        <w:tc>
          <w:tcPr>
            <w:tcW w:w="3192" w:type="dxa"/>
          </w:tcPr>
          <w:p w14:paraId="1B4CCBD8" w14:textId="77777777" w:rsidR="007466E8"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w:t>
            </w:r>
          </w:p>
        </w:tc>
      </w:tr>
    </w:tbl>
    <w:p w14:paraId="43432E70"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3594F64" w14:textId="77777777" w:rsidR="007466E8" w:rsidRDefault="007466E8" w:rsidP="00263AD8">
      <w:pPr>
        <w:spacing w:after="0" w:line="360" w:lineRule="auto"/>
        <w:jc w:val="both"/>
        <w:rPr>
          <w:rFonts w:ascii="Times New Roman" w:eastAsia="Times New Roman" w:hAnsi="Times New Roman" w:cs="Times New Roman"/>
          <w:sz w:val="24"/>
          <w:szCs w:val="24"/>
        </w:rPr>
      </w:pPr>
    </w:p>
    <w:p w14:paraId="1447547F"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F81433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6CFC357F" w14:textId="77777777" w:rsidR="007466E8" w:rsidRDefault="007466E8" w:rsidP="00263AD8">
      <w:pPr>
        <w:spacing w:after="0" w:line="360" w:lineRule="auto"/>
        <w:jc w:val="both"/>
        <w:rPr>
          <w:rFonts w:ascii="Times New Roman" w:eastAsia="Times New Roman" w:hAnsi="Times New Roman" w:cs="Times New Roman"/>
          <w:sz w:val="24"/>
          <w:szCs w:val="24"/>
        </w:rPr>
      </w:pPr>
    </w:p>
    <w:p w14:paraId="229D42E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61C2B7A"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1BCAA7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DE41AC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72E32632"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F3D32F8"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9D90FAA"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73AAFBE" w14:textId="77777777"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References:</w:t>
      </w:r>
    </w:p>
    <w:p w14:paraId="0174F4B4" w14:textId="77777777" w:rsidR="007466E8" w:rsidRDefault="007466E8" w:rsidP="007466E8">
      <w:pPr>
        <w:spacing w:line="360" w:lineRule="auto"/>
        <w:rPr>
          <w:rFonts w:asciiTheme="majorBidi" w:hAnsiTheme="majorBidi" w:cstheme="majorBidi"/>
          <w:sz w:val="24"/>
          <w:szCs w:val="24"/>
        </w:rPr>
      </w:pPr>
      <w:r w:rsidRPr="00BA5653">
        <w:rPr>
          <w:rFonts w:asciiTheme="majorBidi" w:hAnsiTheme="majorBidi" w:cstheme="majorBidi"/>
          <w:b/>
          <w:bCs/>
          <w:sz w:val="24"/>
          <w:szCs w:val="24"/>
        </w:rPr>
        <w:t>Anonymous. (2024).</w:t>
      </w:r>
      <w:r w:rsidRPr="00BA5653">
        <w:rPr>
          <w:rFonts w:asciiTheme="majorBidi" w:hAnsiTheme="majorBidi" w:cstheme="majorBidi"/>
          <w:sz w:val="24"/>
          <w:szCs w:val="24"/>
        </w:rPr>
        <w:t xml:space="preserve"> Pathways and strategy for accelerating growth in edible oil</w:t>
      </w:r>
      <w:r>
        <w:rPr>
          <w:rFonts w:asciiTheme="majorBidi" w:hAnsiTheme="majorBidi" w:cstheme="majorBidi"/>
          <w:sz w:val="24"/>
          <w:szCs w:val="24"/>
        </w:rPr>
        <w:t xml:space="preserve"> towards goal of Atmanirbharta. Retrieved </w:t>
      </w:r>
      <w:r w:rsidRPr="00BA5653">
        <w:rPr>
          <w:rFonts w:asciiTheme="majorBidi" w:hAnsiTheme="majorBidi" w:cstheme="majorBidi"/>
          <w:sz w:val="24"/>
          <w:szCs w:val="24"/>
        </w:rPr>
        <w:t xml:space="preserve">from </w:t>
      </w:r>
      <w:hyperlink r:id="rId11" w:history="1">
        <w:r w:rsidRPr="005E7953">
          <w:rPr>
            <w:rStyle w:val="Lienhypertexte"/>
            <w:rFonts w:asciiTheme="majorBidi" w:hAnsiTheme="majorBidi" w:cstheme="majorBidi"/>
            <w:sz w:val="24"/>
            <w:szCs w:val="24"/>
          </w:rPr>
          <w:t>https://www.niti.gov.in/sites/default/files/2024- 08/</w:t>
        </w:r>
      </w:hyperlink>
      <w:r>
        <w:rPr>
          <w:rFonts w:asciiTheme="majorBidi" w:hAnsiTheme="majorBidi" w:cstheme="majorBidi"/>
          <w:sz w:val="24"/>
          <w:szCs w:val="24"/>
        </w:rPr>
        <w:t xml:space="preserve"> Pathway and               </w:t>
      </w:r>
      <w:r w:rsidRPr="00BA5653">
        <w:rPr>
          <w:rFonts w:asciiTheme="majorBidi" w:hAnsiTheme="majorBidi" w:cstheme="majorBidi"/>
          <w:sz w:val="24"/>
          <w:szCs w:val="24"/>
        </w:rPr>
        <w:t>and_Strategy_for_Accelerating_Growth_in_Edible_Oil_towards_Goal_of_Atmanirbharta_August%2028_Final_co mpressed.pdf (accessed on 10-11-2024).</w:t>
      </w:r>
    </w:p>
    <w:p w14:paraId="7EDC4759"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Badkul, A. J., Sharma, P. B., Badkul, A., Bhayal, L., &amp; Sahu, R. P. (2022).</w:t>
      </w:r>
      <w:r w:rsidRPr="00966B1B">
        <w:rPr>
          <w:rFonts w:asciiTheme="majorBidi" w:hAnsiTheme="majorBidi" w:cstheme="majorBidi"/>
          <w:sz w:val="24"/>
          <w:szCs w:val="24"/>
        </w:rPr>
        <w:t xml:space="preserve"> Physiological growth parameters of linseed (Linum usitatissimum L.) as influenced by different irrigation scheduling and fertility levels.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14(2), 435–439.</w:t>
      </w:r>
    </w:p>
    <w:p w14:paraId="63AA16BE"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Eliazer Nelson, A. R. L., Ravichandran, K., &amp; Antony, U. (2019).</w:t>
      </w:r>
      <w:r w:rsidRPr="00966B1B">
        <w:rPr>
          <w:rFonts w:asciiTheme="majorBidi" w:hAnsiTheme="majorBidi" w:cstheme="majorBidi"/>
          <w:sz w:val="24"/>
          <w:szCs w:val="24"/>
        </w:rPr>
        <w:t xml:space="preserve"> The impact of the Green Revolution on indigenous crops of India. </w:t>
      </w:r>
      <w:r w:rsidRPr="00966B1B">
        <w:rPr>
          <w:rFonts w:asciiTheme="majorBidi" w:hAnsiTheme="majorBidi" w:cstheme="majorBidi"/>
          <w:i/>
          <w:iCs/>
          <w:sz w:val="24"/>
          <w:szCs w:val="24"/>
        </w:rPr>
        <w:t>Journal of Ethnic Foods</w:t>
      </w:r>
      <w:r w:rsidRPr="00966B1B">
        <w:rPr>
          <w:rFonts w:asciiTheme="majorBidi" w:hAnsiTheme="majorBidi" w:cstheme="majorBidi"/>
          <w:sz w:val="24"/>
          <w:szCs w:val="24"/>
        </w:rPr>
        <w:t>, 6(1), 1–10.</w:t>
      </w:r>
    </w:p>
    <w:p w14:paraId="0F3774AE"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Gomashe, S. S., Yadav, S. K., Singh, D., Sheela, Chauhan, S. S., Kumar, V., ... &amp; Kaushik, N. (2024).</w:t>
      </w:r>
      <w:r w:rsidRPr="00966B1B">
        <w:rPr>
          <w:rFonts w:asciiTheme="majorBidi" w:hAnsiTheme="majorBidi" w:cstheme="majorBidi"/>
          <w:sz w:val="24"/>
          <w:szCs w:val="24"/>
        </w:rPr>
        <w:t xml:space="preserve"> Leveraging genetic resource diversity and identification of trait enriched superior genotypes for accelerated improvement in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Scientific Reports,</w:t>
      </w:r>
      <w:r w:rsidRPr="00966B1B">
        <w:rPr>
          <w:rFonts w:asciiTheme="majorBidi" w:hAnsiTheme="majorBidi" w:cstheme="majorBidi"/>
          <w:sz w:val="24"/>
          <w:szCs w:val="24"/>
        </w:rPr>
        <w:t xml:space="preserve"> 14(1), 20266.</w:t>
      </w:r>
    </w:p>
    <w:p w14:paraId="5D840223" w14:textId="77777777" w:rsidR="007466E8"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Singh, M., Wankhede, D. P., Gupta, K.</w:t>
      </w:r>
      <w:r>
        <w:rPr>
          <w:rFonts w:asciiTheme="majorBidi" w:hAnsiTheme="majorBidi" w:cstheme="majorBidi"/>
          <w:b/>
          <w:bCs/>
          <w:sz w:val="24"/>
          <w:szCs w:val="24"/>
        </w:rPr>
        <w:t xml:space="preserve">, Langyan, S., Aravind, J., </w:t>
      </w:r>
      <w:r w:rsidRPr="00966B1B">
        <w:rPr>
          <w:rFonts w:asciiTheme="majorBidi" w:hAnsiTheme="majorBidi" w:cstheme="majorBidi"/>
          <w:b/>
          <w:bCs/>
          <w:sz w:val="24"/>
          <w:szCs w:val="24"/>
        </w:rPr>
        <w:t>&amp; Kumar, A. (2023).</w:t>
      </w:r>
      <w:r w:rsidRPr="00966B1B">
        <w:rPr>
          <w:rFonts w:asciiTheme="majorBidi" w:hAnsiTheme="majorBidi" w:cstheme="majorBidi"/>
          <w:sz w:val="24"/>
          <w:szCs w:val="24"/>
        </w:rPr>
        <w:t xml:space="preserve"> Diversity of Linum genetic resources in global genebanks: From agro-morphological characterisation to novel genomic technologies – A review. </w:t>
      </w:r>
      <w:r w:rsidRPr="00966B1B">
        <w:rPr>
          <w:rFonts w:asciiTheme="majorBidi" w:hAnsiTheme="majorBidi" w:cstheme="majorBidi"/>
          <w:i/>
          <w:iCs/>
          <w:sz w:val="24"/>
          <w:szCs w:val="24"/>
        </w:rPr>
        <w:t>Frontiers in Nutrition</w:t>
      </w:r>
      <w:r w:rsidRPr="00966B1B">
        <w:rPr>
          <w:rFonts w:asciiTheme="majorBidi" w:hAnsiTheme="majorBidi" w:cstheme="majorBidi"/>
          <w:sz w:val="24"/>
          <w:szCs w:val="24"/>
        </w:rPr>
        <w:t>, 10, 1165580.</w:t>
      </w:r>
    </w:p>
    <w:p w14:paraId="2C52EB22" w14:textId="77777777" w:rsidR="007466E8" w:rsidRDefault="007466E8" w:rsidP="007466E8">
      <w:pPr>
        <w:spacing w:line="360" w:lineRule="auto"/>
        <w:jc w:val="both"/>
        <w:rPr>
          <w:rFonts w:asciiTheme="majorBidi" w:hAnsiTheme="majorBidi" w:cstheme="majorBidi"/>
          <w:sz w:val="24"/>
          <w:szCs w:val="24"/>
        </w:rPr>
      </w:pPr>
      <w:r w:rsidRPr="00415E16">
        <w:rPr>
          <w:rFonts w:asciiTheme="majorBidi" w:hAnsiTheme="majorBidi" w:cstheme="majorBidi"/>
          <w:b/>
          <w:bCs/>
          <w:color w:val="222222"/>
          <w:sz w:val="24"/>
          <w:szCs w:val="24"/>
          <w:shd w:val="clear" w:color="auto" w:fill="FFFFFF"/>
        </w:rPr>
        <w:t>Kaushal, G. S., &amp; Umrao, R. (2019).</w:t>
      </w:r>
      <w:r w:rsidRPr="00415E16">
        <w:rPr>
          <w:rFonts w:asciiTheme="majorBidi" w:hAnsiTheme="majorBidi" w:cstheme="majorBidi"/>
          <w:color w:val="222222"/>
          <w:sz w:val="24"/>
          <w:szCs w:val="24"/>
          <w:shd w:val="clear" w:color="auto" w:fill="FFFFFF"/>
        </w:rPr>
        <w:t xml:space="preserve"> Effect of organic and inorganic fertilizer on yield of linseed (</w:t>
      </w:r>
      <w:r w:rsidRPr="00415E16">
        <w:rPr>
          <w:rFonts w:asciiTheme="majorBidi" w:hAnsiTheme="majorBidi" w:cstheme="majorBidi"/>
          <w:i/>
          <w:iCs/>
          <w:color w:val="222222"/>
          <w:sz w:val="24"/>
          <w:szCs w:val="24"/>
          <w:shd w:val="clear" w:color="auto" w:fill="FFFFFF"/>
        </w:rPr>
        <w:t>Linum usitatissimum</w:t>
      </w:r>
      <w:r w:rsidRPr="00415E16">
        <w:rPr>
          <w:rFonts w:asciiTheme="majorBidi" w:hAnsiTheme="majorBidi" w:cstheme="majorBidi"/>
          <w:color w:val="222222"/>
          <w:sz w:val="24"/>
          <w:szCs w:val="24"/>
          <w:shd w:val="clear" w:color="auto" w:fill="FFFFFF"/>
        </w:rPr>
        <w:t xml:space="preserve"> L.) under poplar based agroforestry system. </w:t>
      </w:r>
      <w:r w:rsidRPr="00415E16">
        <w:rPr>
          <w:rFonts w:asciiTheme="majorBidi" w:hAnsiTheme="majorBidi" w:cstheme="majorBidi"/>
          <w:i/>
          <w:iCs/>
          <w:color w:val="222222"/>
          <w:sz w:val="24"/>
          <w:szCs w:val="24"/>
          <w:shd w:val="clear" w:color="auto" w:fill="FFFFFF"/>
        </w:rPr>
        <w:t>Journal of Pharmacognosy and Phytochemistry</w:t>
      </w:r>
      <w:r w:rsidRPr="00415E16">
        <w:rPr>
          <w:rFonts w:asciiTheme="majorBidi" w:hAnsiTheme="majorBidi" w:cstheme="majorBidi"/>
          <w:color w:val="222222"/>
          <w:sz w:val="24"/>
          <w:szCs w:val="24"/>
          <w:shd w:val="clear" w:color="auto" w:fill="FFFFFF"/>
        </w:rPr>
        <w:t>, </w:t>
      </w:r>
      <w:r w:rsidRPr="00415E16">
        <w:rPr>
          <w:rFonts w:asciiTheme="majorBidi" w:hAnsiTheme="majorBidi" w:cstheme="majorBidi"/>
          <w:i/>
          <w:iCs/>
          <w:color w:val="222222"/>
          <w:sz w:val="24"/>
          <w:szCs w:val="24"/>
          <w:shd w:val="clear" w:color="auto" w:fill="FFFFFF"/>
        </w:rPr>
        <w:t>8</w:t>
      </w:r>
      <w:r w:rsidRPr="00415E16">
        <w:rPr>
          <w:rFonts w:asciiTheme="majorBidi" w:hAnsiTheme="majorBidi" w:cstheme="majorBidi"/>
          <w:color w:val="222222"/>
          <w:sz w:val="24"/>
          <w:szCs w:val="24"/>
          <w:shd w:val="clear" w:color="auto" w:fill="FFFFFF"/>
        </w:rPr>
        <w:t>(6), 809-811</w:t>
      </w:r>
      <w:r>
        <w:rPr>
          <w:rFonts w:ascii="Arial" w:hAnsi="Arial" w:cs="Arial"/>
          <w:color w:val="222222"/>
          <w:sz w:val="20"/>
          <w:szCs w:val="20"/>
          <w:shd w:val="clear" w:color="auto" w:fill="FFFFFF"/>
        </w:rPr>
        <w:t>.</w:t>
      </w:r>
    </w:p>
    <w:p w14:paraId="041338D8" w14:textId="77777777" w:rsidR="007466E8" w:rsidRPr="001111DF" w:rsidRDefault="007466E8" w:rsidP="007466E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Kumar Amit, Bhupesh Kumar Mishra, Ashish Nath, Amarjeet Singh, Ankul and Sarvesh (2025). </w:t>
      </w:r>
      <w:r w:rsidRPr="001111DF">
        <w:rPr>
          <w:rFonts w:asciiTheme="majorBidi" w:hAnsiTheme="majorBidi" w:cstheme="majorBidi"/>
          <w:sz w:val="24"/>
          <w:szCs w:val="24"/>
        </w:rPr>
        <w:t>Sustainable production of linseed (</w:t>
      </w:r>
      <w:r w:rsidRPr="001111DF">
        <w:rPr>
          <w:rFonts w:asciiTheme="majorBidi" w:hAnsiTheme="majorBidi" w:cstheme="majorBidi"/>
          <w:i/>
          <w:iCs/>
          <w:sz w:val="24"/>
          <w:szCs w:val="24"/>
        </w:rPr>
        <w:t>Linum usitatissimum</w:t>
      </w:r>
      <w:r w:rsidRPr="001111DF">
        <w:rPr>
          <w:rFonts w:asciiTheme="majorBidi" w:hAnsiTheme="majorBidi" w:cstheme="majorBidi"/>
          <w:sz w:val="24"/>
          <w:szCs w:val="24"/>
        </w:rPr>
        <w:t xml:space="preserve"> L.) through integrated nutrient management practices in the Indo-Gangetic plains of India. </w:t>
      </w:r>
      <w:r w:rsidRPr="001111DF">
        <w:rPr>
          <w:rFonts w:asciiTheme="majorBidi" w:hAnsiTheme="majorBidi" w:cstheme="majorBidi"/>
          <w:i/>
          <w:iCs/>
          <w:sz w:val="24"/>
          <w:szCs w:val="24"/>
        </w:rPr>
        <w:t>South Asian Journal of Agricultural Sciences</w:t>
      </w:r>
      <w:r>
        <w:rPr>
          <w:rFonts w:asciiTheme="majorBidi" w:hAnsiTheme="majorBidi" w:cstheme="majorBidi"/>
          <w:sz w:val="24"/>
          <w:szCs w:val="24"/>
        </w:rPr>
        <w:t xml:space="preserve">, </w:t>
      </w:r>
      <w:r w:rsidRPr="001111DF">
        <w:rPr>
          <w:rFonts w:asciiTheme="majorBidi" w:hAnsiTheme="majorBidi" w:cstheme="majorBidi"/>
          <w:sz w:val="24"/>
          <w:szCs w:val="24"/>
        </w:rPr>
        <w:t>5(2): 286-290</w:t>
      </w:r>
      <w:r>
        <w:rPr>
          <w:rFonts w:asciiTheme="majorBidi" w:hAnsiTheme="majorBidi" w:cstheme="majorBidi"/>
          <w:sz w:val="24"/>
          <w:szCs w:val="24"/>
        </w:rPr>
        <w:t>.</w:t>
      </w:r>
    </w:p>
    <w:p w14:paraId="70786080"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Kumari, S., Kumari, R., &amp; Kumar, S. (2021</w:t>
      </w:r>
      <w:r w:rsidRPr="00966B1B">
        <w:rPr>
          <w:rFonts w:asciiTheme="majorBidi" w:hAnsiTheme="majorBidi" w:cstheme="majorBidi"/>
          <w:sz w:val="24"/>
          <w:szCs w:val="24"/>
        </w:rPr>
        <w:t>). Evaluation of the performance of micronutrients on growth and quality parameters of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xml:space="preserve"> 13(3), 450–453. </w:t>
      </w:r>
    </w:p>
    <w:p w14:paraId="551B0AE1"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lastRenderedPageBreak/>
        <w:t>Kumawat, H., Karle, A. S., Goswami, H. G., Jangid, A. R., &amp; Kadam, D. M. (2021).</w:t>
      </w:r>
      <w:r w:rsidRPr="00966B1B">
        <w:rPr>
          <w:rFonts w:asciiTheme="majorBidi" w:hAnsiTheme="majorBidi" w:cstheme="majorBidi"/>
          <w:sz w:val="24"/>
          <w:szCs w:val="24"/>
        </w:rPr>
        <w:t xml:space="preserve"> Effect of integrated nutrient management on growth and yield of irrigated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The Pharma Innovation Journal,</w:t>
      </w:r>
      <w:r w:rsidRPr="00966B1B">
        <w:rPr>
          <w:rFonts w:asciiTheme="majorBidi" w:hAnsiTheme="majorBidi" w:cstheme="majorBidi"/>
          <w:sz w:val="24"/>
          <w:szCs w:val="24"/>
        </w:rPr>
        <w:t xml:space="preserve"> 10(12), 2527–2530. </w:t>
      </w:r>
    </w:p>
    <w:p w14:paraId="097D47A9"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Mude, V. G., Gawali, K., Thaokar, A., Bondre, C. M., &amp; Raut, N. D. (2023).</w:t>
      </w:r>
      <w:r w:rsidRPr="00966B1B">
        <w:rPr>
          <w:rFonts w:asciiTheme="majorBidi" w:hAnsiTheme="majorBidi" w:cstheme="majorBidi"/>
          <w:sz w:val="24"/>
          <w:szCs w:val="24"/>
        </w:rPr>
        <w:t xml:space="preserve"> Consequence of FYM and major nutrient on growth and yield of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Statistics and Applied Mathematics</w:t>
      </w:r>
      <w:r w:rsidRPr="00966B1B">
        <w:rPr>
          <w:rFonts w:asciiTheme="majorBidi" w:hAnsiTheme="majorBidi" w:cstheme="majorBidi"/>
          <w:sz w:val="24"/>
          <w:szCs w:val="24"/>
        </w:rPr>
        <w:t>, SP-8(6), 1183–1185.</w:t>
      </w:r>
    </w:p>
    <w:p w14:paraId="2632E3C8"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Naik, J. M., &amp; Panda, R. K. (2023).</w:t>
      </w:r>
      <w:r w:rsidRPr="00966B1B">
        <w:rPr>
          <w:rFonts w:asciiTheme="majorBidi" w:hAnsiTheme="majorBidi" w:cstheme="majorBidi"/>
          <w:sz w:val="24"/>
          <w:szCs w:val="24"/>
        </w:rPr>
        <w:t xml:space="preserve"> Physiological variability in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to N establishment fertilization methods levels and and their relationship with seed and oil yield. </w:t>
      </w:r>
      <w:r w:rsidRPr="00966B1B">
        <w:rPr>
          <w:rFonts w:asciiTheme="majorBidi" w:hAnsiTheme="majorBidi" w:cstheme="majorBidi"/>
          <w:i/>
          <w:iCs/>
          <w:sz w:val="24"/>
          <w:szCs w:val="24"/>
        </w:rPr>
        <w:t>Environment and Ecology</w:t>
      </w:r>
      <w:r w:rsidRPr="00966B1B">
        <w:rPr>
          <w:rFonts w:asciiTheme="majorBidi" w:hAnsiTheme="majorBidi" w:cstheme="majorBidi"/>
          <w:sz w:val="24"/>
          <w:szCs w:val="24"/>
        </w:rPr>
        <w:t>, 41(1C), 640 648.</w:t>
      </w:r>
    </w:p>
    <w:p w14:paraId="09592AC7" w14:textId="77777777" w:rsidR="007466E8"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Parewa, H. P., Joshi, N., Meena, V. S., Joshi, S., Choudhary, A., Ram, M., ... &amp; Jain, L. K. (2021).</w:t>
      </w:r>
      <w:r w:rsidRPr="00966B1B">
        <w:rPr>
          <w:rFonts w:asciiTheme="majorBidi" w:hAnsiTheme="majorBidi" w:cstheme="majorBidi"/>
          <w:sz w:val="24"/>
          <w:szCs w:val="24"/>
        </w:rPr>
        <w:t xml:space="preserve"> Role of biofertilizers and biopesticides in organic farming. </w:t>
      </w:r>
      <w:r w:rsidRPr="00966B1B">
        <w:rPr>
          <w:rFonts w:asciiTheme="majorBidi" w:hAnsiTheme="majorBidi" w:cstheme="majorBidi"/>
          <w:i/>
          <w:iCs/>
          <w:sz w:val="24"/>
          <w:szCs w:val="24"/>
        </w:rPr>
        <w:t xml:space="preserve">Advances in Organic Farming, </w:t>
      </w:r>
      <w:r w:rsidRPr="00966B1B">
        <w:rPr>
          <w:rFonts w:asciiTheme="majorBidi" w:hAnsiTheme="majorBidi" w:cstheme="majorBidi"/>
          <w:sz w:val="24"/>
          <w:szCs w:val="24"/>
        </w:rPr>
        <w:t>133–159.</w:t>
      </w:r>
    </w:p>
    <w:p w14:paraId="3CCAD3D5" w14:textId="77777777" w:rsidR="007466E8" w:rsidRPr="004B6928" w:rsidRDefault="007466E8" w:rsidP="007466E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Patle Tanvi, Sonbeer Chack, T. Singh, Amit Singh Tiwari and Bharti Vishvkarma (2022). </w:t>
      </w:r>
      <w:r w:rsidRPr="004B6928">
        <w:rPr>
          <w:rFonts w:asciiTheme="majorBidi" w:hAnsiTheme="majorBidi" w:cstheme="majorBidi"/>
          <w:sz w:val="24"/>
          <w:szCs w:val="24"/>
        </w:rPr>
        <w:t>Integrated nutrient management in linseed (</w:t>
      </w:r>
      <w:r w:rsidRPr="004B6928">
        <w:rPr>
          <w:rFonts w:asciiTheme="majorBidi" w:hAnsiTheme="majorBidi" w:cstheme="majorBidi"/>
          <w:i/>
          <w:iCs/>
          <w:sz w:val="24"/>
          <w:szCs w:val="24"/>
        </w:rPr>
        <w:t>Linum usitatissimum</w:t>
      </w:r>
      <w:r w:rsidRPr="004B6928">
        <w:rPr>
          <w:rFonts w:asciiTheme="majorBidi" w:hAnsiTheme="majorBidi" w:cstheme="majorBidi"/>
          <w:sz w:val="24"/>
          <w:szCs w:val="24"/>
        </w:rPr>
        <w:t xml:space="preserve"> L.). </w:t>
      </w:r>
      <w:r w:rsidRPr="004B6928">
        <w:rPr>
          <w:rFonts w:asciiTheme="majorBidi" w:hAnsiTheme="majorBidi" w:cstheme="majorBidi"/>
          <w:i/>
          <w:iCs/>
          <w:sz w:val="24"/>
          <w:szCs w:val="24"/>
        </w:rPr>
        <w:t>The Pharma Innovation Journal,</w:t>
      </w:r>
      <w:r w:rsidRPr="004B6928">
        <w:rPr>
          <w:rFonts w:asciiTheme="majorBidi" w:hAnsiTheme="majorBidi" w:cstheme="majorBidi"/>
          <w:sz w:val="24"/>
          <w:szCs w:val="24"/>
        </w:rPr>
        <w:t xml:space="preserve"> SP-11(10): 874-878.</w:t>
      </w:r>
    </w:p>
    <w:p w14:paraId="4C2D6D6B"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Piper, C. S. (1966).</w:t>
      </w:r>
      <w:r w:rsidRPr="00966B1B">
        <w:rPr>
          <w:rFonts w:asciiTheme="majorBidi" w:hAnsiTheme="majorBidi" w:cstheme="majorBidi"/>
          <w:sz w:val="24"/>
          <w:szCs w:val="24"/>
        </w:rPr>
        <w:t xml:space="preserve"> Soil and plant analysis. Bombay: </w:t>
      </w:r>
      <w:r w:rsidRPr="00966B1B">
        <w:rPr>
          <w:rFonts w:asciiTheme="majorBidi" w:hAnsiTheme="majorBidi" w:cstheme="majorBidi"/>
          <w:i/>
          <w:iCs/>
          <w:sz w:val="24"/>
          <w:szCs w:val="24"/>
        </w:rPr>
        <w:t>Hans Publishers</w:t>
      </w:r>
      <w:r w:rsidRPr="00966B1B">
        <w:rPr>
          <w:rFonts w:asciiTheme="majorBidi" w:hAnsiTheme="majorBidi" w:cstheme="majorBidi"/>
          <w:sz w:val="24"/>
          <w:szCs w:val="24"/>
        </w:rPr>
        <w:t xml:space="preserve">. 223-237. </w:t>
      </w:r>
    </w:p>
    <w:p w14:paraId="05CB6FF3"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Reddy, K. V., Bara, B. M., &amp; Lavanya, G. R. (2023).</w:t>
      </w:r>
      <w:r w:rsidRPr="00966B1B">
        <w:rPr>
          <w:rFonts w:asciiTheme="majorBidi" w:hAnsiTheme="majorBidi" w:cstheme="majorBidi"/>
          <w:sz w:val="24"/>
          <w:szCs w:val="24"/>
        </w:rPr>
        <w:t xml:space="preserve"> Effect of seed hardening on seed germination and morphological parameters in linseed (</w:t>
      </w:r>
      <w:r w:rsidRPr="00966B1B">
        <w:rPr>
          <w:rFonts w:asciiTheme="majorBidi" w:hAnsiTheme="majorBidi" w:cstheme="majorBidi"/>
          <w:i/>
          <w:iCs/>
          <w:sz w:val="24"/>
          <w:szCs w:val="24"/>
        </w:rPr>
        <w:t>Linum usitatissimum</w:t>
      </w:r>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Environment and Climate Change,</w:t>
      </w:r>
      <w:r w:rsidRPr="00966B1B">
        <w:rPr>
          <w:rFonts w:asciiTheme="majorBidi" w:hAnsiTheme="majorBidi" w:cstheme="majorBidi"/>
          <w:sz w:val="24"/>
          <w:szCs w:val="24"/>
        </w:rPr>
        <w:t xml:space="preserve"> 13(10), 2874–2881.</w:t>
      </w:r>
    </w:p>
    <w:p w14:paraId="68927B17"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 xml:space="preserve">Sharma, T., Singh, J., Madaik, S., Kumar, P., Singh, A., Rana, B. B., &amp; Chauhan, G. (2024). </w:t>
      </w:r>
      <w:r w:rsidRPr="00966B1B">
        <w:rPr>
          <w:rFonts w:asciiTheme="majorBidi" w:hAnsiTheme="majorBidi" w:cstheme="majorBidi"/>
          <w:sz w:val="24"/>
          <w:szCs w:val="24"/>
        </w:rPr>
        <w:t xml:space="preserve">Organic input incorporation for enhancing sustainability and economic viability of cowpea in North-Western Himalayan region. </w:t>
      </w:r>
      <w:r w:rsidRPr="00966B1B">
        <w:rPr>
          <w:rFonts w:asciiTheme="majorBidi" w:hAnsiTheme="majorBidi" w:cstheme="majorBidi"/>
          <w:i/>
          <w:iCs/>
          <w:sz w:val="24"/>
          <w:szCs w:val="24"/>
        </w:rPr>
        <w:t>Frontiers in Agronomy</w:t>
      </w:r>
      <w:r w:rsidRPr="00966B1B">
        <w:rPr>
          <w:rFonts w:asciiTheme="majorBidi" w:hAnsiTheme="majorBidi" w:cstheme="majorBidi"/>
          <w:sz w:val="24"/>
          <w:szCs w:val="24"/>
        </w:rPr>
        <w:t xml:space="preserve">, 6, 1458603. </w:t>
      </w:r>
      <w:hyperlink r:id="rId12" w:history="1">
        <w:r w:rsidRPr="00966B1B">
          <w:rPr>
            <w:rStyle w:val="Lienhypertexte"/>
            <w:rFonts w:asciiTheme="majorBidi" w:hAnsiTheme="majorBidi" w:cstheme="majorBidi"/>
            <w:sz w:val="24"/>
            <w:szCs w:val="24"/>
          </w:rPr>
          <w:t>https://doi.org/10.3389/fagro.2024.145860 3</w:t>
        </w:r>
      </w:hyperlink>
    </w:p>
    <w:p w14:paraId="56891BF0" w14:textId="77777777" w:rsidR="007466E8" w:rsidRDefault="007466E8" w:rsidP="007466E8">
      <w:pPr>
        <w:spacing w:line="360" w:lineRule="auto"/>
        <w:jc w:val="both"/>
        <w:rPr>
          <w:rFonts w:asciiTheme="majorBidi" w:hAnsiTheme="majorBidi" w:cstheme="majorBidi"/>
          <w:sz w:val="24"/>
          <w:szCs w:val="24"/>
        </w:rPr>
      </w:pPr>
      <w:r w:rsidRPr="00204EFB">
        <w:rPr>
          <w:rFonts w:asciiTheme="majorBidi" w:hAnsiTheme="majorBidi" w:cstheme="majorBidi"/>
          <w:b/>
          <w:bCs/>
          <w:sz w:val="24"/>
          <w:szCs w:val="24"/>
        </w:rPr>
        <w:t>Singh, N., Chopra, P., Kumar, S., Singh, G., &amp; Kaur, N. (2024).</w:t>
      </w:r>
      <w:r w:rsidRPr="00966B1B">
        <w:rPr>
          <w:rFonts w:asciiTheme="majorBidi" w:hAnsiTheme="majorBidi" w:cstheme="majorBidi"/>
          <w:sz w:val="24"/>
          <w:szCs w:val="24"/>
        </w:rPr>
        <w:t xml:space="preserve"> Effect of weed and nitrogen management practices on controlling weeds and enhancing the productivity of linseed (</w:t>
      </w:r>
      <w:r w:rsidRPr="00C51624">
        <w:rPr>
          <w:rFonts w:asciiTheme="majorBidi" w:hAnsiTheme="majorBidi" w:cstheme="majorBidi"/>
          <w:i/>
          <w:iCs/>
          <w:sz w:val="24"/>
          <w:szCs w:val="24"/>
        </w:rPr>
        <w:t xml:space="preserve">Linum usitatissimum </w:t>
      </w:r>
      <w:r w:rsidRPr="00966B1B">
        <w:rPr>
          <w:rFonts w:asciiTheme="majorBidi" w:hAnsiTheme="majorBidi" w:cstheme="majorBidi"/>
          <w:sz w:val="24"/>
          <w:szCs w:val="24"/>
        </w:rPr>
        <w:t xml:space="preserve">L.) under utera conditions. </w:t>
      </w:r>
      <w:r w:rsidRPr="00966B1B">
        <w:rPr>
          <w:rFonts w:asciiTheme="majorBidi" w:hAnsiTheme="majorBidi" w:cstheme="majorBidi"/>
          <w:i/>
          <w:iCs/>
          <w:sz w:val="24"/>
          <w:szCs w:val="24"/>
        </w:rPr>
        <w:t>Environment Conservation Journal,</w:t>
      </w:r>
      <w:r w:rsidRPr="00966B1B">
        <w:rPr>
          <w:rFonts w:asciiTheme="majorBidi" w:hAnsiTheme="majorBidi" w:cstheme="majorBidi"/>
          <w:sz w:val="24"/>
          <w:szCs w:val="24"/>
        </w:rPr>
        <w:t xml:space="preserve"> 25(2), 588.</w:t>
      </w:r>
    </w:p>
    <w:p w14:paraId="6501A652" w14:textId="77777777" w:rsidR="007466E8" w:rsidRPr="005E2AB1" w:rsidRDefault="007466E8" w:rsidP="007466E8">
      <w:pPr>
        <w:spacing w:line="360" w:lineRule="auto"/>
        <w:jc w:val="both"/>
        <w:rPr>
          <w:rFonts w:asciiTheme="majorBidi" w:hAnsiTheme="majorBidi" w:cstheme="majorBidi"/>
          <w:sz w:val="24"/>
          <w:szCs w:val="24"/>
        </w:rPr>
      </w:pPr>
      <w:r w:rsidRPr="005E2AB1">
        <w:rPr>
          <w:rFonts w:asciiTheme="majorBidi" w:hAnsiTheme="majorBidi" w:cstheme="majorBidi"/>
          <w:b/>
          <w:bCs/>
          <w:sz w:val="24"/>
          <w:szCs w:val="24"/>
        </w:rPr>
        <w:lastRenderedPageBreak/>
        <w:t>Yadav</w:t>
      </w:r>
      <w:r>
        <w:rPr>
          <w:rFonts w:asciiTheme="majorBidi" w:hAnsiTheme="majorBidi" w:cstheme="majorBidi"/>
          <w:b/>
          <w:bCs/>
          <w:sz w:val="24"/>
          <w:szCs w:val="24"/>
        </w:rPr>
        <w:t xml:space="preserve"> </w:t>
      </w:r>
      <w:r w:rsidRPr="005E2AB1">
        <w:rPr>
          <w:rFonts w:asciiTheme="majorBidi" w:hAnsiTheme="majorBidi" w:cstheme="majorBidi"/>
          <w:b/>
          <w:bCs/>
          <w:sz w:val="24"/>
          <w:szCs w:val="24"/>
        </w:rPr>
        <w:t>Prasant, Bal Manohar, Abhishek Kumar Pal, Nivedita Prasad, Vikash Sonkar, Nitendu Ojha and Ankita Sagar (2025).</w:t>
      </w:r>
      <w:r>
        <w:rPr>
          <w:rFonts w:asciiTheme="majorBidi" w:hAnsiTheme="majorBidi" w:cstheme="majorBidi"/>
          <w:sz w:val="24"/>
          <w:szCs w:val="24"/>
        </w:rPr>
        <w:t xml:space="preserve"> </w:t>
      </w:r>
      <w:r w:rsidRPr="005E2AB1">
        <w:rPr>
          <w:rFonts w:asciiTheme="majorBidi" w:hAnsiTheme="majorBidi" w:cstheme="majorBidi"/>
          <w:sz w:val="24"/>
          <w:szCs w:val="24"/>
        </w:rPr>
        <w:t>Impact of integrated nutrient management on growth yield and quality of Indian mustard (</w:t>
      </w:r>
      <w:r w:rsidRPr="00A95000">
        <w:rPr>
          <w:rFonts w:asciiTheme="majorBidi" w:hAnsiTheme="majorBidi" w:cstheme="majorBidi"/>
          <w:i/>
          <w:iCs/>
          <w:sz w:val="24"/>
          <w:szCs w:val="24"/>
        </w:rPr>
        <w:t>Brassica juncea</w:t>
      </w:r>
      <w:r w:rsidRPr="005E2AB1">
        <w:rPr>
          <w:rFonts w:asciiTheme="majorBidi" w:hAnsiTheme="majorBidi" w:cstheme="majorBidi"/>
          <w:sz w:val="24"/>
          <w:szCs w:val="24"/>
        </w:rPr>
        <w:t xml:space="preserve"> L.). </w:t>
      </w:r>
      <w:r w:rsidRPr="005E2AB1">
        <w:rPr>
          <w:rFonts w:asciiTheme="majorBidi" w:hAnsiTheme="majorBidi" w:cstheme="majorBidi"/>
          <w:i/>
          <w:iCs/>
          <w:sz w:val="24"/>
          <w:szCs w:val="24"/>
        </w:rPr>
        <w:t>International Journal of Research in Agronomy</w:t>
      </w:r>
      <w:r w:rsidRPr="005E2AB1">
        <w:rPr>
          <w:rFonts w:asciiTheme="majorBidi" w:hAnsiTheme="majorBidi" w:cstheme="majorBidi"/>
          <w:sz w:val="24"/>
          <w:szCs w:val="24"/>
        </w:rPr>
        <w:t>, 8(9): 495-499</w:t>
      </w:r>
      <w:r>
        <w:rPr>
          <w:rFonts w:asciiTheme="majorBidi" w:hAnsiTheme="majorBidi" w:cstheme="majorBidi"/>
          <w:sz w:val="24"/>
          <w:szCs w:val="24"/>
        </w:rPr>
        <w:t>.</w:t>
      </w:r>
    </w:p>
    <w:p w14:paraId="0B56735B"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E941C3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30A24C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1731706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5EB233A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57365E7"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7193485"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D00B7D8"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F99B808" w14:textId="77777777" w:rsidR="00472DE4" w:rsidRDefault="00472DE4" w:rsidP="00263AD8">
      <w:pPr>
        <w:spacing w:after="0" w:line="360" w:lineRule="auto"/>
        <w:jc w:val="both"/>
        <w:rPr>
          <w:rFonts w:ascii="Times New Roman" w:eastAsia="Times New Roman" w:hAnsi="Times New Roman" w:cs="Times New Roman"/>
          <w:sz w:val="24"/>
          <w:szCs w:val="24"/>
        </w:rPr>
      </w:pPr>
    </w:p>
    <w:p w14:paraId="3735C73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528B80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62830EB"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EE97B7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0E31704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19AC04C5"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73FB1E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1992843"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BAA6C7A"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41071D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5ED1A8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5420894F"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F407FBA"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870EF37"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F95F981"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791B29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3B7E085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D124971"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1986677" w14:textId="77777777" w:rsidR="00472DE4" w:rsidRPr="00327E36" w:rsidRDefault="00472DE4" w:rsidP="00263AD8">
      <w:pPr>
        <w:spacing w:after="0" w:line="360" w:lineRule="auto"/>
        <w:jc w:val="both"/>
        <w:rPr>
          <w:rFonts w:ascii="Times New Roman" w:eastAsia="Times New Roman" w:hAnsi="Times New Roman" w:cs="Times New Roman"/>
          <w:sz w:val="24"/>
          <w:szCs w:val="24"/>
        </w:rPr>
      </w:pPr>
    </w:p>
    <w:sectPr w:rsidR="00472DE4" w:rsidRPr="00327E3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una deka" w:date="2026-01-28T14:48:00Z" w:initials="nd">
    <w:p w14:paraId="22882023" w14:textId="78121E84" w:rsidR="00272114" w:rsidRDefault="00272114">
      <w:pPr>
        <w:pStyle w:val="Commentaire"/>
      </w:pPr>
      <w:r>
        <w:rPr>
          <w:rStyle w:val="Marquedecommentaire"/>
        </w:rPr>
        <w:annotationRef/>
      </w:r>
      <w:r>
        <w:t>Consisted?</w:t>
      </w:r>
    </w:p>
  </w:comment>
  <w:comment w:id="1" w:author="nouna deka" w:date="2026-01-28T14:48:00Z" w:initials="nd">
    <w:p w14:paraId="6A29B5F2" w14:textId="7888EAFE" w:rsidR="00272114" w:rsidRDefault="00272114">
      <w:pPr>
        <w:pStyle w:val="Commentaire"/>
      </w:pPr>
      <w:r>
        <w:rPr>
          <w:rStyle w:val="Marquedecommentaire"/>
        </w:rPr>
        <w:annotationRef/>
      </w:r>
      <w:r>
        <w:t>Were?</w:t>
      </w:r>
    </w:p>
  </w:comment>
  <w:comment w:id="2" w:author="nouna deka" w:date="2026-01-28T14:54:00Z" w:initials="nd">
    <w:p w14:paraId="37AC1819" w14:textId="487EAF88" w:rsidR="00272114" w:rsidRDefault="00272114">
      <w:pPr>
        <w:pStyle w:val="Commentaire"/>
      </w:pPr>
      <w:r>
        <w:rPr>
          <w:rStyle w:val="Marquedecommentaire"/>
        </w:rPr>
        <w:annotationRef/>
      </w:r>
      <w:r>
        <w:t>That generate</w:t>
      </w:r>
    </w:p>
  </w:comment>
  <w:comment w:id="3" w:author="nouna deka" w:date="2026-01-28T14:54:00Z" w:initials="nd">
    <w:p w14:paraId="3F20C122" w14:textId="21B7D32D" w:rsidR="00272114" w:rsidRDefault="00272114">
      <w:pPr>
        <w:pStyle w:val="Commentaire"/>
      </w:pPr>
      <w:r>
        <w:rPr>
          <w:rStyle w:val="Marquedecommentaire"/>
        </w:rPr>
        <w:annotationRef/>
      </w:r>
      <w:r>
        <w:t>Another reference is preferable</w:t>
      </w:r>
    </w:p>
  </w:comment>
  <w:comment w:id="4" w:author="nouna deka" w:date="2026-01-28T14:58:00Z" w:initials="nd">
    <w:p w14:paraId="353D27AC" w14:textId="5D576B4A" w:rsidR="005C095C" w:rsidRDefault="005C095C">
      <w:pPr>
        <w:pStyle w:val="Commentaire"/>
      </w:pPr>
      <w:r>
        <w:rPr>
          <w:rStyle w:val="Marquedecommentaire"/>
        </w:rPr>
        <w:annotationRef/>
      </w:r>
      <w:r>
        <w:t>Avoid repetition</w:t>
      </w:r>
    </w:p>
  </w:comment>
  <w:comment w:id="5" w:author="nouna deka" w:date="2026-01-28T15:14:00Z" w:initials="nd">
    <w:p w14:paraId="7C2F85DF" w14:textId="4491ADFC" w:rsidR="006000FC" w:rsidRDefault="006000FC">
      <w:pPr>
        <w:pStyle w:val="Commentaire"/>
      </w:pPr>
      <w:r>
        <w:rPr>
          <w:rStyle w:val="Marquedecommentaire"/>
        </w:rPr>
        <w:annotationRef/>
      </w:r>
      <w:r>
        <w:t xml:space="preserve">The </w:t>
      </w:r>
      <w:r w:rsidRPr="006000FC">
        <w:t>reason</w:t>
      </w:r>
      <w:r>
        <w:t xml:space="preserve"> behind the </w:t>
      </w:r>
      <w:r w:rsidRPr="006000FC">
        <w:t>percentages used</w:t>
      </w:r>
    </w:p>
  </w:comment>
  <w:comment w:id="6" w:author="nouna deka" w:date="2026-01-28T15:23:00Z" w:initials="nd">
    <w:p w14:paraId="4283DF2B" w14:textId="316AF94C" w:rsidR="00BB5024" w:rsidRDefault="00BB5024">
      <w:pPr>
        <w:pStyle w:val="Commentaire"/>
      </w:pPr>
      <w:r>
        <w:rPr>
          <w:rStyle w:val="Marquedecommentaire"/>
        </w:rPr>
        <w:annotationRef/>
      </w:r>
      <w:r>
        <w:t>Mine??? Or your research</w:t>
      </w:r>
    </w:p>
  </w:comment>
  <w:comment w:id="7" w:author="nouna deka" w:date="2026-01-28T15:32:00Z" w:initials="nd">
    <w:p w14:paraId="56D444F6" w14:textId="30E3A8FE" w:rsidR="00DB1D0B" w:rsidRDefault="00DB1D0B">
      <w:pPr>
        <w:pStyle w:val="Commentaire"/>
      </w:pPr>
      <w:r>
        <w:rPr>
          <w:rStyle w:val="Marquedecommentaire"/>
        </w:rPr>
        <w:annotationRef/>
      </w:r>
      <w:r>
        <w:t>Recent?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82023" w15:done="0"/>
  <w15:commentEx w15:paraId="6A29B5F2" w15:done="0"/>
  <w15:commentEx w15:paraId="37AC1819" w15:done="0"/>
  <w15:commentEx w15:paraId="3F20C122" w15:done="0"/>
  <w15:commentEx w15:paraId="353D27AC" w15:done="0"/>
  <w15:commentEx w15:paraId="7C2F85DF" w15:done="0"/>
  <w15:commentEx w15:paraId="4283DF2B" w15:done="0"/>
  <w15:commentEx w15:paraId="56D44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F38E36" w16cex:dateUtc="2026-01-28T13:48:00Z"/>
  <w16cex:commentExtensible w16cex:durableId="641B1D54" w16cex:dateUtc="2026-01-28T13:48:00Z"/>
  <w16cex:commentExtensible w16cex:durableId="173DB051" w16cex:dateUtc="2026-01-28T13:54:00Z"/>
  <w16cex:commentExtensible w16cex:durableId="419D092F" w16cex:dateUtc="2026-01-28T13:54:00Z"/>
  <w16cex:commentExtensible w16cex:durableId="251729A5" w16cex:dateUtc="2026-01-28T13:58:00Z"/>
  <w16cex:commentExtensible w16cex:durableId="05D1B856" w16cex:dateUtc="2026-01-28T14:14:00Z"/>
  <w16cex:commentExtensible w16cex:durableId="66C12C85" w16cex:dateUtc="2026-01-28T14:23:00Z"/>
  <w16cex:commentExtensible w16cex:durableId="5B6B57A2" w16cex:dateUtc="2026-01-2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82023" w16cid:durableId="6CF38E36"/>
  <w16cid:commentId w16cid:paraId="6A29B5F2" w16cid:durableId="641B1D54"/>
  <w16cid:commentId w16cid:paraId="37AC1819" w16cid:durableId="173DB051"/>
  <w16cid:commentId w16cid:paraId="3F20C122" w16cid:durableId="419D092F"/>
  <w16cid:commentId w16cid:paraId="353D27AC" w16cid:durableId="251729A5"/>
  <w16cid:commentId w16cid:paraId="7C2F85DF" w16cid:durableId="05D1B856"/>
  <w16cid:commentId w16cid:paraId="4283DF2B" w16cid:durableId="66C12C85"/>
  <w16cid:commentId w16cid:paraId="56D444F6" w16cid:durableId="5B6B57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9CF9" w14:textId="77777777" w:rsidR="00787F41" w:rsidRDefault="00787F41" w:rsidP="004E4C00">
      <w:pPr>
        <w:spacing w:after="0" w:line="240" w:lineRule="auto"/>
      </w:pPr>
      <w:r>
        <w:separator/>
      </w:r>
    </w:p>
  </w:endnote>
  <w:endnote w:type="continuationSeparator" w:id="0">
    <w:p w14:paraId="739FBA43" w14:textId="77777777" w:rsidR="00787F41" w:rsidRDefault="00787F41" w:rsidP="004E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119E" w14:textId="77777777" w:rsidR="004E4C00" w:rsidRDefault="004E4C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A579" w14:textId="77777777" w:rsidR="004E4C00" w:rsidRDefault="004E4C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17E6" w14:textId="77777777" w:rsidR="004E4C00" w:rsidRDefault="004E4C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7AAC" w14:textId="77777777" w:rsidR="00787F41" w:rsidRDefault="00787F41" w:rsidP="004E4C00">
      <w:pPr>
        <w:spacing w:after="0" w:line="240" w:lineRule="auto"/>
      </w:pPr>
      <w:r>
        <w:separator/>
      </w:r>
    </w:p>
  </w:footnote>
  <w:footnote w:type="continuationSeparator" w:id="0">
    <w:p w14:paraId="44D27777" w14:textId="77777777" w:rsidR="00787F41" w:rsidRDefault="00787F41" w:rsidP="004E4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3A15" w14:textId="77777777" w:rsidR="004E4C00" w:rsidRDefault="00000000">
    <w:pPr>
      <w:pStyle w:val="En-tte"/>
    </w:pPr>
    <w:r>
      <w:rPr>
        <w:noProof/>
      </w:rPr>
      <w:pict w14:anchorId="5FE3C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0D3" w14:textId="77777777" w:rsidR="004E4C00" w:rsidRDefault="00000000">
    <w:pPr>
      <w:pStyle w:val="En-tte"/>
    </w:pPr>
    <w:r>
      <w:rPr>
        <w:noProof/>
      </w:rPr>
      <w:pict w14:anchorId="41416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368C" w14:textId="77777777" w:rsidR="004E4C00" w:rsidRDefault="00000000">
    <w:pPr>
      <w:pStyle w:val="En-tte"/>
    </w:pPr>
    <w:r>
      <w:rPr>
        <w:noProof/>
      </w:rPr>
      <w:pict w14:anchorId="05C58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una deka">
    <w15:presenceInfo w15:providerId="Windows Live" w15:userId="17dcb1ef30749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80B"/>
    <w:rsid w:val="00047599"/>
    <w:rsid w:val="00065AD5"/>
    <w:rsid w:val="001525F4"/>
    <w:rsid w:val="00161468"/>
    <w:rsid w:val="0020464C"/>
    <w:rsid w:val="00253373"/>
    <w:rsid w:val="00263AD8"/>
    <w:rsid w:val="00272114"/>
    <w:rsid w:val="002A5EEA"/>
    <w:rsid w:val="002B294F"/>
    <w:rsid w:val="00313480"/>
    <w:rsid w:val="00327E36"/>
    <w:rsid w:val="00381047"/>
    <w:rsid w:val="003A1BBA"/>
    <w:rsid w:val="00447419"/>
    <w:rsid w:val="00453248"/>
    <w:rsid w:val="00472DE4"/>
    <w:rsid w:val="004C4C58"/>
    <w:rsid w:val="004E4C00"/>
    <w:rsid w:val="004F3801"/>
    <w:rsid w:val="004F580B"/>
    <w:rsid w:val="005344E2"/>
    <w:rsid w:val="005C095C"/>
    <w:rsid w:val="005C5FC1"/>
    <w:rsid w:val="006000FC"/>
    <w:rsid w:val="006013A8"/>
    <w:rsid w:val="00664533"/>
    <w:rsid w:val="0073564E"/>
    <w:rsid w:val="007466E8"/>
    <w:rsid w:val="00763864"/>
    <w:rsid w:val="00787F41"/>
    <w:rsid w:val="007E4810"/>
    <w:rsid w:val="008B66AC"/>
    <w:rsid w:val="008E088A"/>
    <w:rsid w:val="00940F60"/>
    <w:rsid w:val="009959FF"/>
    <w:rsid w:val="009A6129"/>
    <w:rsid w:val="009F5C43"/>
    <w:rsid w:val="00B113DF"/>
    <w:rsid w:val="00B1781A"/>
    <w:rsid w:val="00BB5024"/>
    <w:rsid w:val="00BE0B20"/>
    <w:rsid w:val="00C15354"/>
    <w:rsid w:val="00C931D6"/>
    <w:rsid w:val="00CF1EE4"/>
    <w:rsid w:val="00D116DA"/>
    <w:rsid w:val="00D57807"/>
    <w:rsid w:val="00DB1D0B"/>
    <w:rsid w:val="00DE0500"/>
    <w:rsid w:val="00E22E28"/>
    <w:rsid w:val="00E5444C"/>
    <w:rsid w:val="00E900C7"/>
    <w:rsid w:val="00F2632B"/>
    <w:rsid w:val="00F54607"/>
    <w:rsid w:val="00F9693B"/>
    <w:rsid w:val="00FB5F1F"/>
    <w:rsid w:val="00FC0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8B3912"/>
  <w15:docId w15:val="{2C308B01-E638-4A38-AF00-CFA928D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32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3248"/>
    <w:rPr>
      <w:rFonts w:ascii="Tahoma" w:hAnsi="Tahoma" w:cs="Tahoma"/>
      <w:sz w:val="16"/>
      <w:szCs w:val="16"/>
    </w:rPr>
  </w:style>
  <w:style w:type="table" w:styleId="Grilledutableau">
    <w:name w:val="Table Grid"/>
    <w:basedOn w:val="TableauNormal"/>
    <w:uiPriority w:val="59"/>
    <w:rsid w:val="0045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466E8"/>
    <w:rPr>
      <w:color w:val="0000FF" w:themeColor="hyperlink"/>
      <w:u w:val="single"/>
    </w:rPr>
  </w:style>
  <w:style w:type="character" w:styleId="Mentionnonrsolue">
    <w:name w:val="Unresolved Mention"/>
    <w:basedOn w:val="Policepardfaut"/>
    <w:uiPriority w:val="99"/>
    <w:semiHidden/>
    <w:unhideWhenUsed/>
    <w:rsid w:val="005344E2"/>
    <w:rPr>
      <w:color w:val="605E5C"/>
      <w:shd w:val="clear" w:color="auto" w:fill="E1DFDD"/>
    </w:rPr>
  </w:style>
  <w:style w:type="paragraph" w:styleId="En-tte">
    <w:name w:val="header"/>
    <w:basedOn w:val="Normal"/>
    <w:link w:val="En-tteCar"/>
    <w:uiPriority w:val="99"/>
    <w:unhideWhenUsed/>
    <w:rsid w:val="004E4C00"/>
    <w:pPr>
      <w:tabs>
        <w:tab w:val="center" w:pos="4680"/>
        <w:tab w:val="right" w:pos="9360"/>
      </w:tabs>
      <w:spacing w:after="0" w:line="240" w:lineRule="auto"/>
    </w:pPr>
  </w:style>
  <w:style w:type="character" w:customStyle="1" w:styleId="En-tteCar">
    <w:name w:val="En-tête Car"/>
    <w:basedOn w:val="Policepardfaut"/>
    <w:link w:val="En-tte"/>
    <w:uiPriority w:val="99"/>
    <w:rsid w:val="004E4C00"/>
  </w:style>
  <w:style w:type="paragraph" w:styleId="Pieddepage">
    <w:name w:val="footer"/>
    <w:basedOn w:val="Normal"/>
    <w:link w:val="PieddepageCar"/>
    <w:uiPriority w:val="99"/>
    <w:unhideWhenUsed/>
    <w:rsid w:val="004E4C0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E4C00"/>
  </w:style>
  <w:style w:type="character" w:styleId="Marquedecommentaire">
    <w:name w:val="annotation reference"/>
    <w:basedOn w:val="Policepardfaut"/>
    <w:uiPriority w:val="99"/>
    <w:semiHidden/>
    <w:unhideWhenUsed/>
    <w:rsid w:val="00272114"/>
    <w:rPr>
      <w:sz w:val="16"/>
      <w:szCs w:val="16"/>
    </w:rPr>
  </w:style>
  <w:style w:type="paragraph" w:styleId="Commentaire">
    <w:name w:val="annotation text"/>
    <w:basedOn w:val="Normal"/>
    <w:link w:val="CommentaireCar"/>
    <w:uiPriority w:val="99"/>
    <w:semiHidden/>
    <w:unhideWhenUsed/>
    <w:rsid w:val="00272114"/>
    <w:pPr>
      <w:spacing w:line="240" w:lineRule="auto"/>
    </w:pPr>
    <w:rPr>
      <w:sz w:val="20"/>
      <w:szCs w:val="20"/>
    </w:rPr>
  </w:style>
  <w:style w:type="character" w:customStyle="1" w:styleId="CommentaireCar">
    <w:name w:val="Commentaire Car"/>
    <w:basedOn w:val="Policepardfaut"/>
    <w:link w:val="Commentaire"/>
    <w:uiPriority w:val="99"/>
    <w:semiHidden/>
    <w:rsid w:val="00272114"/>
    <w:rPr>
      <w:sz w:val="20"/>
      <w:szCs w:val="20"/>
    </w:rPr>
  </w:style>
  <w:style w:type="paragraph" w:styleId="Objetducommentaire">
    <w:name w:val="annotation subject"/>
    <w:basedOn w:val="Commentaire"/>
    <w:next w:val="Commentaire"/>
    <w:link w:val="ObjetducommentaireCar"/>
    <w:uiPriority w:val="99"/>
    <w:semiHidden/>
    <w:unhideWhenUsed/>
    <w:rsid w:val="00272114"/>
    <w:rPr>
      <w:b/>
      <w:bCs/>
    </w:rPr>
  </w:style>
  <w:style w:type="character" w:customStyle="1" w:styleId="ObjetducommentaireCar">
    <w:name w:val="Objet du commentaire Car"/>
    <w:basedOn w:val="CommentaireCar"/>
    <w:link w:val="Objetducommentaire"/>
    <w:uiPriority w:val="99"/>
    <w:semiHidden/>
    <w:rsid w:val="00272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9505">
      <w:bodyDiv w:val="1"/>
      <w:marLeft w:val="0"/>
      <w:marRight w:val="0"/>
      <w:marTop w:val="0"/>
      <w:marBottom w:val="0"/>
      <w:divBdr>
        <w:top w:val="none" w:sz="0" w:space="0" w:color="auto"/>
        <w:left w:val="none" w:sz="0" w:space="0" w:color="auto"/>
        <w:bottom w:val="none" w:sz="0" w:space="0" w:color="auto"/>
        <w:right w:val="none" w:sz="0" w:space="0" w:color="auto"/>
      </w:divBdr>
    </w:div>
    <w:div w:id="212546520">
      <w:bodyDiv w:val="1"/>
      <w:marLeft w:val="0"/>
      <w:marRight w:val="0"/>
      <w:marTop w:val="0"/>
      <w:marBottom w:val="0"/>
      <w:divBdr>
        <w:top w:val="none" w:sz="0" w:space="0" w:color="auto"/>
        <w:left w:val="none" w:sz="0" w:space="0" w:color="auto"/>
        <w:bottom w:val="none" w:sz="0" w:space="0" w:color="auto"/>
        <w:right w:val="none" w:sz="0" w:space="0" w:color="auto"/>
      </w:divBdr>
    </w:div>
    <w:div w:id="428358550">
      <w:bodyDiv w:val="1"/>
      <w:marLeft w:val="0"/>
      <w:marRight w:val="0"/>
      <w:marTop w:val="0"/>
      <w:marBottom w:val="0"/>
      <w:divBdr>
        <w:top w:val="none" w:sz="0" w:space="0" w:color="auto"/>
        <w:left w:val="none" w:sz="0" w:space="0" w:color="auto"/>
        <w:bottom w:val="none" w:sz="0" w:space="0" w:color="auto"/>
        <w:right w:val="none" w:sz="0" w:space="0" w:color="auto"/>
      </w:divBdr>
    </w:div>
    <w:div w:id="488443326">
      <w:bodyDiv w:val="1"/>
      <w:marLeft w:val="0"/>
      <w:marRight w:val="0"/>
      <w:marTop w:val="0"/>
      <w:marBottom w:val="0"/>
      <w:divBdr>
        <w:top w:val="none" w:sz="0" w:space="0" w:color="auto"/>
        <w:left w:val="none" w:sz="0" w:space="0" w:color="auto"/>
        <w:bottom w:val="none" w:sz="0" w:space="0" w:color="auto"/>
        <w:right w:val="none" w:sz="0" w:space="0" w:color="auto"/>
      </w:divBdr>
    </w:div>
    <w:div w:id="641422549">
      <w:bodyDiv w:val="1"/>
      <w:marLeft w:val="0"/>
      <w:marRight w:val="0"/>
      <w:marTop w:val="0"/>
      <w:marBottom w:val="0"/>
      <w:divBdr>
        <w:top w:val="none" w:sz="0" w:space="0" w:color="auto"/>
        <w:left w:val="none" w:sz="0" w:space="0" w:color="auto"/>
        <w:bottom w:val="none" w:sz="0" w:space="0" w:color="auto"/>
        <w:right w:val="none" w:sz="0" w:space="0" w:color="auto"/>
      </w:divBdr>
    </w:div>
    <w:div w:id="825973164">
      <w:bodyDiv w:val="1"/>
      <w:marLeft w:val="0"/>
      <w:marRight w:val="0"/>
      <w:marTop w:val="0"/>
      <w:marBottom w:val="0"/>
      <w:divBdr>
        <w:top w:val="none" w:sz="0" w:space="0" w:color="auto"/>
        <w:left w:val="none" w:sz="0" w:space="0" w:color="auto"/>
        <w:bottom w:val="none" w:sz="0" w:space="0" w:color="auto"/>
        <w:right w:val="none" w:sz="0" w:space="0" w:color="auto"/>
      </w:divBdr>
    </w:div>
    <w:div w:id="841628392">
      <w:bodyDiv w:val="1"/>
      <w:marLeft w:val="0"/>
      <w:marRight w:val="0"/>
      <w:marTop w:val="0"/>
      <w:marBottom w:val="0"/>
      <w:divBdr>
        <w:top w:val="none" w:sz="0" w:space="0" w:color="auto"/>
        <w:left w:val="none" w:sz="0" w:space="0" w:color="auto"/>
        <w:bottom w:val="none" w:sz="0" w:space="0" w:color="auto"/>
        <w:right w:val="none" w:sz="0" w:space="0" w:color="auto"/>
      </w:divBdr>
    </w:div>
    <w:div w:id="971985074">
      <w:bodyDiv w:val="1"/>
      <w:marLeft w:val="0"/>
      <w:marRight w:val="0"/>
      <w:marTop w:val="0"/>
      <w:marBottom w:val="0"/>
      <w:divBdr>
        <w:top w:val="none" w:sz="0" w:space="0" w:color="auto"/>
        <w:left w:val="none" w:sz="0" w:space="0" w:color="auto"/>
        <w:bottom w:val="none" w:sz="0" w:space="0" w:color="auto"/>
        <w:right w:val="none" w:sz="0" w:space="0" w:color="auto"/>
      </w:divBdr>
    </w:div>
    <w:div w:id="1421608314">
      <w:bodyDiv w:val="1"/>
      <w:marLeft w:val="0"/>
      <w:marRight w:val="0"/>
      <w:marTop w:val="0"/>
      <w:marBottom w:val="0"/>
      <w:divBdr>
        <w:top w:val="none" w:sz="0" w:space="0" w:color="auto"/>
        <w:left w:val="none" w:sz="0" w:space="0" w:color="auto"/>
        <w:bottom w:val="none" w:sz="0" w:space="0" w:color="auto"/>
        <w:right w:val="none" w:sz="0" w:space="0" w:color="auto"/>
      </w:divBdr>
    </w:div>
    <w:div w:id="1429278982">
      <w:bodyDiv w:val="1"/>
      <w:marLeft w:val="0"/>
      <w:marRight w:val="0"/>
      <w:marTop w:val="0"/>
      <w:marBottom w:val="0"/>
      <w:divBdr>
        <w:top w:val="none" w:sz="0" w:space="0" w:color="auto"/>
        <w:left w:val="none" w:sz="0" w:space="0" w:color="auto"/>
        <w:bottom w:val="none" w:sz="0" w:space="0" w:color="auto"/>
        <w:right w:val="none" w:sz="0" w:space="0" w:color="auto"/>
      </w:divBdr>
    </w:div>
    <w:div w:id="1441953561">
      <w:bodyDiv w:val="1"/>
      <w:marLeft w:val="0"/>
      <w:marRight w:val="0"/>
      <w:marTop w:val="0"/>
      <w:marBottom w:val="0"/>
      <w:divBdr>
        <w:top w:val="none" w:sz="0" w:space="0" w:color="auto"/>
        <w:left w:val="none" w:sz="0" w:space="0" w:color="auto"/>
        <w:bottom w:val="none" w:sz="0" w:space="0" w:color="auto"/>
        <w:right w:val="none" w:sz="0" w:space="0" w:color="auto"/>
      </w:divBdr>
    </w:div>
    <w:div w:id="1542740517">
      <w:bodyDiv w:val="1"/>
      <w:marLeft w:val="0"/>
      <w:marRight w:val="0"/>
      <w:marTop w:val="0"/>
      <w:marBottom w:val="0"/>
      <w:divBdr>
        <w:top w:val="none" w:sz="0" w:space="0" w:color="auto"/>
        <w:left w:val="none" w:sz="0" w:space="0" w:color="auto"/>
        <w:bottom w:val="none" w:sz="0" w:space="0" w:color="auto"/>
        <w:right w:val="none" w:sz="0" w:space="0" w:color="auto"/>
      </w:divBdr>
    </w:div>
    <w:div w:id="1614480683">
      <w:bodyDiv w:val="1"/>
      <w:marLeft w:val="0"/>
      <w:marRight w:val="0"/>
      <w:marTop w:val="0"/>
      <w:marBottom w:val="0"/>
      <w:divBdr>
        <w:top w:val="none" w:sz="0" w:space="0" w:color="auto"/>
        <w:left w:val="none" w:sz="0" w:space="0" w:color="auto"/>
        <w:bottom w:val="none" w:sz="0" w:space="0" w:color="auto"/>
        <w:right w:val="none" w:sz="0" w:space="0" w:color="auto"/>
      </w:divBdr>
    </w:div>
    <w:div w:id="1722820956">
      <w:bodyDiv w:val="1"/>
      <w:marLeft w:val="0"/>
      <w:marRight w:val="0"/>
      <w:marTop w:val="0"/>
      <w:marBottom w:val="0"/>
      <w:divBdr>
        <w:top w:val="none" w:sz="0" w:space="0" w:color="auto"/>
        <w:left w:val="none" w:sz="0" w:space="0" w:color="auto"/>
        <w:bottom w:val="none" w:sz="0" w:space="0" w:color="auto"/>
        <w:right w:val="none" w:sz="0" w:space="0" w:color="auto"/>
      </w:divBdr>
    </w:div>
    <w:div w:id="1873883537">
      <w:bodyDiv w:val="1"/>
      <w:marLeft w:val="0"/>
      <w:marRight w:val="0"/>
      <w:marTop w:val="0"/>
      <w:marBottom w:val="0"/>
      <w:divBdr>
        <w:top w:val="none" w:sz="0" w:space="0" w:color="auto"/>
        <w:left w:val="none" w:sz="0" w:space="0" w:color="auto"/>
        <w:bottom w:val="none" w:sz="0" w:space="0" w:color="auto"/>
        <w:right w:val="none" w:sz="0" w:space="0" w:color="auto"/>
      </w:divBdr>
    </w:div>
    <w:div w:id="21136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doi.org/10.3389/fagro.2024.145860%20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niti.gov.in/sites/default/files/2024-%200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Harvest index (%)</c:v>
                </c:pt>
              </c:strCache>
            </c:strRef>
          </c:tx>
          <c:invertIfNegative val="0"/>
          <c:cat>
            <c:strRef>
              <c:f>Sheet1!$A$2:$A$10</c:f>
              <c:strCache>
                <c:ptCount val="9"/>
                <c:pt idx="0">
                  <c:v>To: Control (RDF-80:40:30 kg NPK/ha) through chemical fertilizer</c:v>
                </c:pt>
                <c:pt idx="1">
                  <c:v>T1: 100% nutrients through Farm yard manure</c:v>
                </c:pt>
                <c:pt idx="2">
                  <c:v>T2: 100% nutrients through Vermicompost</c:v>
                </c:pt>
                <c:pt idx="3">
                  <c:v>T3: 100% nutrients through Poultry manure</c:v>
                </c:pt>
                <c:pt idx="4">
                  <c:v>T4: 50% nutrients through FYM+50% nutrients through Vermicompost</c:v>
                </c:pt>
                <c:pt idx="5">
                  <c:v>T5: 50% nutrients through FYM+50% nutrients through Poultry manure</c:v>
                </c:pt>
                <c:pt idx="6">
                  <c:v>T6: 50% nutrients through Vermicompost+50% nutrients through Poultry manure</c:v>
                </c:pt>
                <c:pt idx="7">
                  <c:v>T7: 33.3% nutrients through FYM+33.3% nutrients through Vermicompost + 33.3% nutrients through Poultry manure</c:v>
                </c:pt>
                <c:pt idx="8">
                  <c:v>T8: T7+10q/ha Neem cake</c:v>
                </c:pt>
              </c:strCache>
            </c:strRef>
          </c:cat>
          <c:val>
            <c:numRef>
              <c:f>Sheet1!$B$2:$B$10</c:f>
              <c:numCache>
                <c:formatCode>General</c:formatCode>
                <c:ptCount val="9"/>
                <c:pt idx="0">
                  <c:v>41.79</c:v>
                </c:pt>
                <c:pt idx="1">
                  <c:v>42.68</c:v>
                </c:pt>
                <c:pt idx="2">
                  <c:v>41.4</c:v>
                </c:pt>
                <c:pt idx="3">
                  <c:v>33.19</c:v>
                </c:pt>
                <c:pt idx="4">
                  <c:v>47.69</c:v>
                </c:pt>
                <c:pt idx="5">
                  <c:v>39.71</c:v>
                </c:pt>
                <c:pt idx="6">
                  <c:v>41.54</c:v>
                </c:pt>
                <c:pt idx="7">
                  <c:v>38.96</c:v>
                </c:pt>
                <c:pt idx="8">
                  <c:v>41.3</c:v>
                </c:pt>
              </c:numCache>
            </c:numRef>
          </c:val>
          <c:extLst>
            <c:ext xmlns:c16="http://schemas.microsoft.com/office/drawing/2014/chart" uri="{C3380CC4-5D6E-409C-BE32-E72D297353CC}">
              <c16:uniqueId val="{00000000-320A-4535-A097-5FBDB2477F69}"/>
            </c:ext>
          </c:extLst>
        </c:ser>
        <c:dLbls>
          <c:showLegendKey val="0"/>
          <c:showVal val="0"/>
          <c:showCatName val="0"/>
          <c:showSerName val="0"/>
          <c:showPercent val="0"/>
          <c:showBubbleSize val="0"/>
        </c:dLbls>
        <c:gapWidth val="75"/>
        <c:overlap val="-25"/>
        <c:axId val="176353664"/>
        <c:axId val="177359488"/>
      </c:barChart>
      <c:catAx>
        <c:axId val="176353664"/>
        <c:scaling>
          <c:orientation val="minMax"/>
        </c:scaling>
        <c:delete val="0"/>
        <c:axPos val="b"/>
        <c:numFmt formatCode="General" sourceLinked="0"/>
        <c:majorTickMark val="none"/>
        <c:minorTickMark val="none"/>
        <c:tickLblPos val="nextTo"/>
        <c:crossAx val="177359488"/>
        <c:crosses val="autoZero"/>
        <c:auto val="1"/>
        <c:lblAlgn val="ctr"/>
        <c:lblOffset val="100"/>
        <c:noMultiLvlLbl val="0"/>
      </c:catAx>
      <c:valAx>
        <c:axId val="177359488"/>
        <c:scaling>
          <c:orientation val="minMax"/>
        </c:scaling>
        <c:delete val="0"/>
        <c:axPos val="l"/>
        <c:majorGridlines/>
        <c:numFmt formatCode="General" sourceLinked="1"/>
        <c:majorTickMark val="none"/>
        <c:minorTickMark val="none"/>
        <c:tickLblPos val="nextTo"/>
        <c:crossAx val="1763536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13</Pages>
  <Words>2895</Words>
  <Characters>16508</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nouna deka</cp:lastModifiedBy>
  <cp:revision>44</cp:revision>
  <dcterms:created xsi:type="dcterms:W3CDTF">2025-12-09T01:39:00Z</dcterms:created>
  <dcterms:modified xsi:type="dcterms:W3CDTF">2026-01-28T14:35:00Z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314b0170-76c5-4582-b4ee-9426855caaf4</vt:lpwstr>
  </property>
</Properties>
</file>