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9072" w14:textId="77777777" w:rsidR="003A0DA1" w:rsidRPr="003A0DA1" w:rsidRDefault="003A0DA1" w:rsidP="003A0DA1">
      <w:pPr>
        <w:shd w:val="clear" w:color="auto" w:fill="FFFFFF"/>
        <w:spacing w:before="240" w:after="240" w:line="240" w:lineRule="auto"/>
        <w:jc w:val="both"/>
        <w:rPr>
          <w:rFonts w:ascii="Times New Roman" w:eastAsia="Times New Roman" w:hAnsi="Times New Roman" w:cs="Times New Roman"/>
          <w:b/>
          <w:bCs/>
          <w:i/>
          <w:iCs/>
          <w:color w:val="0F1115"/>
          <w:sz w:val="24"/>
          <w:szCs w:val="24"/>
          <w:u w:val="single"/>
        </w:rPr>
      </w:pPr>
      <w:r w:rsidRPr="003A0DA1">
        <w:rPr>
          <w:rFonts w:ascii="Times New Roman" w:eastAsia="Times New Roman" w:hAnsi="Times New Roman" w:cs="Times New Roman"/>
          <w:b/>
          <w:bCs/>
          <w:i/>
          <w:iCs/>
          <w:color w:val="0F1115"/>
          <w:sz w:val="24"/>
          <w:szCs w:val="24"/>
          <w:u w:val="single"/>
        </w:rPr>
        <w:t>Original Research Article</w:t>
      </w:r>
    </w:p>
    <w:p w14:paraId="25C9EB71" w14:textId="77777777" w:rsidR="00C207D8" w:rsidRPr="00B010B3" w:rsidRDefault="00C207D8" w:rsidP="00277065">
      <w:pPr>
        <w:shd w:val="clear" w:color="auto" w:fill="FFFFFF"/>
        <w:spacing w:before="240" w:after="240" w:line="240" w:lineRule="auto"/>
        <w:jc w:val="both"/>
        <w:rPr>
          <w:rFonts w:ascii="Times New Roman" w:eastAsia="Times New Roman" w:hAnsi="Times New Roman" w:cs="Times New Roman"/>
          <w:b/>
          <w:bCs/>
          <w:color w:val="0F1115"/>
          <w:sz w:val="24"/>
          <w:szCs w:val="24"/>
        </w:rPr>
      </w:pPr>
    </w:p>
    <w:p w14:paraId="4E5A0353" w14:textId="77777777" w:rsidR="00786729" w:rsidRPr="00B010B3" w:rsidRDefault="00F026C6" w:rsidP="00277065">
      <w:pPr>
        <w:shd w:val="clear" w:color="auto" w:fill="FFFFFF"/>
        <w:spacing w:before="240" w:after="240" w:line="240" w:lineRule="auto"/>
        <w:jc w:val="both"/>
        <w:rPr>
          <w:rFonts w:ascii="Times New Roman" w:eastAsia="Times New Roman" w:hAnsi="Times New Roman" w:cs="Times New Roman"/>
          <w:b/>
          <w:color w:val="0F1115"/>
          <w:sz w:val="24"/>
          <w:szCs w:val="24"/>
        </w:rPr>
      </w:pPr>
      <w:r w:rsidRPr="00B010B3">
        <w:rPr>
          <w:rStyle w:val="Strong"/>
          <w:rFonts w:ascii="Times New Roman" w:hAnsi="Times New Roman" w:cs="Times New Roman"/>
          <w:color w:val="0F1115"/>
          <w:shd w:val="clear" w:color="auto" w:fill="FFFFFF"/>
        </w:rPr>
        <w:t xml:space="preserve">Culture-Based </w:t>
      </w:r>
      <w:r w:rsidR="00126201" w:rsidRPr="00B010B3">
        <w:rPr>
          <w:rStyle w:val="Strong"/>
          <w:rFonts w:ascii="Times New Roman" w:hAnsi="Times New Roman" w:cs="Times New Roman"/>
          <w:color w:val="0F1115"/>
          <w:shd w:val="clear" w:color="auto" w:fill="FFFFFF"/>
        </w:rPr>
        <w:t xml:space="preserve">identification </w:t>
      </w:r>
      <w:r w:rsidR="00786729" w:rsidRPr="00B010B3">
        <w:rPr>
          <w:rFonts w:ascii="Times New Roman" w:eastAsia="Times New Roman" w:hAnsi="Times New Roman" w:cs="Times New Roman"/>
          <w:b/>
          <w:color w:val="0F1115"/>
          <w:sz w:val="24"/>
          <w:szCs w:val="24"/>
        </w:rPr>
        <w:t xml:space="preserve">and </w:t>
      </w:r>
      <w:r w:rsidR="00006B15" w:rsidRPr="00B010B3">
        <w:rPr>
          <w:rFonts w:ascii="Times New Roman" w:eastAsia="Times New Roman" w:hAnsi="Times New Roman" w:cs="Times New Roman"/>
          <w:b/>
          <w:color w:val="0F1115"/>
          <w:sz w:val="24"/>
          <w:szCs w:val="24"/>
        </w:rPr>
        <w:t>Molecular</w:t>
      </w:r>
      <w:r w:rsidR="00786729" w:rsidRPr="00B010B3">
        <w:rPr>
          <w:rFonts w:ascii="Times New Roman" w:eastAsia="Times New Roman" w:hAnsi="Times New Roman" w:cs="Times New Roman"/>
          <w:b/>
          <w:color w:val="0F1115"/>
          <w:sz w:val="24"/>
          <w:szCs w:val="24"/>
        </w:rPr>
        <w:t xml:space="preserve"> </w:t>
      </w:r>
      <w:r w:rsidR="00126201" w:rsidRPr="00B010B3">
        <w:rPr>
          <w:rFonts w:ascii="Times New Roman" w:eastAsia="Times New Roman" w:hAnsi="Times New Roman" w:cs="Times New Roman"/>
          <w:b/>
          <w:color w:val="0F1115"/>
          <w:sz w:val="24"/>
          <w:szCs w:val="24"/>
        </w:rPr>
        <w:t>confirmation</w:t>
      </w:r>
      <w:r w:rsidR="00786729" w:rsidRPr="00B010B3">
        <w:rPr>
          <w:rFonts w:ascii="Times New Roman" w:eastAsia="Times New Roman" w:hAnsi="Times New Roman" w:cs="Times New Roman"/>
          <w:b/>
          <w:color w:val="0F1115"/>
          <w:sz w:val="24"/>
          <w:szCs w:val="24"/>
        </w:rPr>
        <w:t xml:space="preserve"> of Vancomycin-Resistant </w:t>
      </w:r>
      <w:r w:rsidR="00786729" w:rsidRPr="00B010B3">
        <w:rPr>
          <w:rFonts w:ascii="Times New Roman" w:eastAsia="Times New Roman" w:hAnsi="Times New Roman" w:cs="Times New Roman"/>
          <w:b/>
          <w:i/>
          <w:iCs/>
          <w:color w:val="0F1115"/>
          <w:sz w:val="24"/>
          <w:szCs w:val="24"/>
        </w:rPr>
        <w:t>Staphylococcus aureus</w:t>
      </w:r>
      <w:r w:rsidR="00786729" w:rsidRPr="00B010B3">
        <w:rPr>
          <w:rFonts w:ascii="Times New Roman" w:eastAsia="Times New Roman" w:hAnsi="Times New Roman" w:cs="Times New Roman"/>
          <w:b/>
          <w:color w:val="0F1115"/>
          <w:sz w:val="24"/>
          <w:szCs w:val="24"/>
        </w:rPr>
        <w:t> (VRSA) from Porcine Rectal Swabs in Ebonyi State, Nigeria</w:t>
      </w:r>
    </w:p>
    <w:p w14:paraId="3000EE70" w14:textId="77777777" w:rsidR="00F34289" w:rsidRDefault="00F3428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p>
    <w:p w14:paraId="4B1DD56F" w14:textId="6F15BD02" w:rsidR="00786729" w:rsidRPr="00B010B3" w:rsidRDefault="0078672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ABSTRACT</w:t>
      </w:r>
    </w:p>
    <w:p w14:paraId="5291D332"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Background:</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is a critical public health threat. Its presence in food animals like pigs, a known reservoir for resistant bacteria, poses a severe zoonotic risk, especially in regions with unregulated antibiotic use. This study aimed to isolate and characterize VRSA from pigs in Ebonyi State, Nigeria, focusing on its phenotypic resistance and the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resistance gene.</w:t>
      </w:r>
    </w:p>
    <w:p w14:paraId="3F601721"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Methods:</w:t>
      </w:r>
      <w:r w:rsidRPr="00B010B3">
        <w:rPr>
          <w:rFonts w:ascii="Times New Roman" w:eastAsia="Times New Roman" w:hAnsi="Times New Roman" w:cs="Times New Roman"/>
          <w:color w:val="0F1115"/>
          <w:sz w:val="24"/>
          <w:szCs w:val="24"/>
        </w:rPr>
        <w:t xml:space="preserve"> A total of 120 porcine rectal swabs were collected from a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LGA.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was isolated and identified using standard microbiological methods. Vancomycin resistance was phenotypically screened using the disk diffusion method (10µg vancomycin disk) with an inhibition zone of ≤14 mm indicating resistance. Antibiotic susceptibility testing against a panel of 15 antibiotics was performed for all VRSA isolates. The Multiple Antibiotic Resistance (MAR) index was calculated. Polymerase chain reaction (PCR) was used to detect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w:t>
      </w:r>
    </w:p>
    <w:p w14:paraId="64643164"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Results:</w:t>
      </w:r>
      <w:r w:rsidRPr="00B010B3">
        <w:rPr>
          <w:rFonts w:ascii="Times New Roman" w:eastAsia="Times New Roman" w:hAnsi="Times New Roman" w:cs="Times New Roman"/>
          <w:color w:val="0F1115"/>
          <w:sz w:val="24"/>
          <w:szCs w:val="24"/>
        </w:rPr>
        <w:t> The prevalence of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was 77.5% (93/120). Phenotypic screening revealed an alarmingly high prevalence of VRSA at 91.67% (66/72) of the tested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population. These VRSA isolates exhibited extreme multidrug resistance, showing 100% resistance to vancomycin, aztreonam, ceftazidime, imipenem, trimethoprim-sulfamethoxazole, amoxicillin-clavulanate, cefoxitin, and tetracycline. High resistance was also observed to ceftriaxone (91.43%) and streptomycin (88.57%). The isolates remained largely susceptible to gentamicin (97.14%) and levofloxacin (88.57%). The MAR index was 0.87, indicating a high-risk contamination source. Molecular analysis confirmed the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in all (</w:t>
      </w:r>
      <w:r w:rsidR="003C4F7B" w:rsidRPr="00B010B3">
        <w:rPr>
          <w:rFonts w:ascii="Times New Roman" w:eastAsia="Times New Roman" w:hAnsi="Times New Roman" w:cs="Times New Roman"/>
          <w:color w:val="0F1115"/>
          <w:sz w:val="24"/>
          <w:szCs w:val="24"/>
        </w:rPr>
        <w:t>n=</w:t>
      </w:r>
      <w:r w:rsidR="008F6019" w:rsidRPr="00B010B3">
        <w:rPr>
          <w:rFonts w:ascii="Times New Roman" w:eastAsia="Times New Roman" w:hAnsi="Times New Roman" w:cs="Times New Roman"/>
          <w:color w:val="0F1115"/>
          <w:sz w:val="24"/>
          <w:szCs w:val="24"/>
        </w:rPr>
        <w:t>66</w:t>
      </w:r>
      <w:r w:rsidRPr="00B010B3">
        <w:rPr>
          <w:rFonts w:ascii="Times New Roman" w:eastAsia="Times New Roman" w:hAnsi="Times New Roman" w:cs="Times New Roman"/>
          <w:color w:val="0F1115"/>
          <w:sz w:val="24"/>
          <w:szCs w:val="24"/>
        </w:rPr>
        <w:t>) VRSA isolates subjected to PCR.</w:t>
      </w:r>
    </w:p>
    <w:p w14:paraId="72C7B273"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Conclusion:</w:t>
      </w:r>
      <w:r w:rsidRPr="00B010B3">
        <w:rPr>
          <w:rFonts w:ascii="Times New Roman" w:eastAsia="Times New Roman" w:hAnsi="Times New Roman" w:cs="Times New Roman"/>
          <w:color w:val="0F1115"/>
          <w:sz w:val="24"/>
          <w:szCs w:val="24"/>
        </w:rPr>
        <w:t> This study reveals an extraordinarily high prevalence of multidrug-resistant VRSA in swine, all harboring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This indicates a severe reservoir of vancomycin resistance likely driven by intense antimicrobial selection pressure in the farm environment. The findings highlight an urgent public health crisis, necessitating immediate implementation of enhanced antimicrobial stewardship in veterinary practice, rigorous One Health surveillance, and stricter regulations on antibiotic use in Nigerian livestock production.</w:t>
      </w:r>
    </w:p>
    <w:p w14:paraId="7215DFE8" w14:textId="77777777" w:rsidR="00786729" w:rsidRPr="00B010B3" w:rsidRDefault="00786729" w:rsidP="00D3333D">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Keywords:</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Pigs,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Multidrug Resistance, One Health, Nigeria, Antimicrobial Resistance.</w:t>
      </w:r>
    </w:p>
    <w:p w14:paraId="4F9224BB"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lastRenderedPageBreak/>
        <w:t>1. INTRODUCTION</w:t>
      </w:r>
    </w:p>
    <w:p w14:paraId="3497F306" w14:textId="77777777" w:rsidR="00F7424D" w:rsidRPr="00B010B3" w:rsidRDefault="00786729" w:rsidP="00CF7EE7">
      <w:pPr>
        <w:shd w:val="clear" w:color="auto" w:fill="FFFFFF"/>
        <w:spacing w:before="240" w:after="240" w:line="240" w:lineRule="auto"/>
        <w:jc w:val="both"/>
        <w:rPr>
          <w:rFonts w:ascii="Times New Roman" w:hAnsi="Times New Roman" w:cs="Times New Roman"/>
          <w:color w:val="1B1B1B"/>
          <w:sz w:val="28"/>
          <w:szCs w:val="28"/>
          <w:shd w:val="clear" w:color="auto" w:fill="FFFFFF"/>
        </w:rPr>
      </w:pP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remains a leading cause of both community and hospital-acquired infections worldwide, with its pathogenicity compounded by a relentless capacity to develop antimicrobial resistance (</w:t>
      </w:r>
      <w:commentRangeStart w:id="0"/>
      <w:r w:rsidRPr="00B010B3">
        <w:rPr>
          <w:rFonts w:ascii="Times New Roman" w:eastAsia="Times New Roman" w:hAnsi="Times New Roman" w:cs="Times New Roman"/>
          <w:color w:val="0F1115"/>
          <w:sz w:val="24"/>
          <w:szCs w:val="24"/>
        </w:rPr>
        <w:t>Lowy, 1998</w:t>
      </w:r>
      <w:commentRangeEnd w:id="0"/>
      <w:r w:rsidR="00902A1A">
        <w:rPr>
          <w:rStyle w:val="CommentReference"/>
        </w:rPr>
        <w:commentReference w:id="0"/>
      </w:r>
      <w:r w:rsidRPr="00B010B3">
        <w:rPr>
          <w:rFonts w:ascii="Times New Roman" w:eastAsia="Times New Roman" w:hAnsi="Times New Roman" w:cs="Times New Roman"/>
          <w:color w:val="0F1115"/>
          <w:sz w:val="24"/>
          <w:szCs w:val="24"/>
        </w:rPr>
        <w:t xml:space="preserve">; Tong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2015). For decades, vancomycin, a glycopeptide antibiotic, served as the cornerstone of therapy for infections caused by multidrug-resistant strains, particularly methicillin-resistant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(MRSA). However, this last-resort defense has been progressively compromised by the emergence of vancomycin-resistant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(VRSA)</w:t>
      </w:r>
      <w:r w:rsidR="00185E92" w:rsidRPr="00B010B3">
        <w:rPr>
          <w:rFonts w:ascii="Times New Roman" w:eastAsia="Times New Roman" w:hAnsi="Times New Roman" w:cs="Times New Roman"/>
          <w:color w:val="0F1115"/>
          <w:sz w:val="24"/>
          <w:szCs w:val="24"/>
        </w:rPr>
        <w:t xml:space="preserve"> in both </w:t>
      </w:r>
      <w:r w:rsidR="00185E92" w:rsidRPr="00B010B3">
        <w:rPr>
          <w:rFonts w:ascii="Times New Roman" w:hAnsi="Times New Roman" w:cs="Times New Roman"/>
          <w:color w:val="1B1B1B"/>
          <w:sz w:val="28"/>
          <w:szCs w:val="28"/>
          <w:shd w:val="clear" w:color="auto" w:fill="FFFFFF"/>
        </w:rPr>
        <w:t>in both clinical and veterinary settings</w:t>
      </w:r>
      <w:r w:rsidR="00F7424D" w:rsidRPr="00B010B3">
        <w:rPr>
          <w:rFonts w:ascii="Times New Roman" w:hAnsi="Times New Roman" w:cs="Times New Roman"/>
          <w:color w:val="1B1B1B"/>
          <w:sz w:val="28"/>
          <w:szCs w:val="28"/>
          <w:shd w:val="clear" w:color="auto" w:fill="FFFFFF"/>
        </w:rPr>
        <w:t xml:space="preserve"> (Das </w:t>
      </w:r>
      <w:r w:rsidR="00B010B3" w:rsidRPr="00B010B3">
        <w:rPr>
          <w:rFonts w:ascii="Times New Roman" w:hAnsi="Times New Roman" w:cs="Times New Roman"/>
          <w:i/>
          <w:color w:val="1B1B1B"/>
          <w:sz w:val="28"/>
          <w:szCs w:val="28"/>
          <w:shd w:val="clear" w:color="auto" w:fill="FFFFFF"/>
        </w:rPr>
        <w:t>et al</w:t>
      </w:r>
      <w:r w:rsidR="00F7424D" w:rsidRPr="00B010B3">
        <w:rPr>
          <w:rFonts w:ascii="Times New Roman" w:hAnsi="Times New Roman" w:cs="Times New Roman"/>
          <w:i/>
          <w:color w:val="1B1B1B"/>
          <w:sz w:val="28"/>
          <w:szCs w:val="28"/>
          <w:shd w:val="clear" w:color="auto" w:fill="FFFFFF"/>
        </w:rPr>
        <w:t>.,</w:t>
      </w:r>
      <w:r w:rsidR="00F7424D" w:rsidRPr="00B010B3">
        <w:rPr>
          <w:rFonts w:ascii="Times New Roman" w:hAnsi="Times New Roman" w:cs="Times New Roman"/>
          <w:color w:val="1B1B1B"/>
          <w:sz w:val="28"/>
          <w:szCs w:val="28"/>
          <w:shd w:val="clear" w:color="auto" w:fill="FFFFFF"/>
        </w:rPr>
        <w:t xml:space="preserve"> 2025)</w:t>
      </w:r>
      <w:r w:rsidRPr="00B010B3">
        <w:rPr>
          <w:rFonts w:ascii="Times New Roman" w:eastAsia="Times New Roman" w:hAnsi="Times New Roman" w:cs="Times New Roman"/>
          <w:color w:val="0F1115"/>
          <w:sz w:val="24"/>
          <w:szCs w:val="24"/>
        </w:rPr>
        <w:t>.</w:t>
      </w:r>
      <w:r w:rsidR="00F412B0" w:rsidRPr="00B010B3">
        <w:rPr>
          <w:rFonts w:ascii="Times New Roman" w:eastAsia="Times New Roman" w:hAnsi="Times New Roman" w:cs="Times New Roman"/>
          <w:color w:val="0F1115"/>
          <w:sz w:val="24"/>
          <w:szCs w:val="24"/>
        </w:rPr>
        <w:t xml:space="preserve"> </w:t>
      </w:r>
      <w:r w:rsidR="00F412B0" w:rsidRPr="00B010B3">
        <w:rPr>
          <w:rFonts w:ascii="Times New Roman" w:hAnsi="Times New Roman" w:cs="Times New Roman"/>
          <w:color w:val="1B1B1B"/>
          <w:sz w:val="28"/>
          <w:szCs w:val="28"/>
          <w:shd w:val="clear" w:color="auto" w:fill="FFFFFF"/>
        </w:rPr>
        <w:t>These resistant strains present major challenges to treatment, complicating infection management and increasing morbidity and mortality rate</w:t>
      </w:r>
      <w:r w:rsidR="000A529F" w:rsidRPr="00B010B3">
        <w:rPr>
          <w:rFonts w:ascii="Times New Roman" w:hAnsi="Times New Roman" w:cs="Times New Roman"/>
          <w:color w:val="1B1B1B"/>
          <w:sz w:val="28"/>
          <w:szCs w:val="28"/>
          <w:shd w:val="clear" w:color="auto" w:fill="FFFFFF"/>
        </w:rPr>
        <w:t>s (</w:t>
      </w:r>
      <w:r w:rsidR="000A529F" w:rsidRPr="00B010B3">
        <w:rPr>
          <w:rFonts w:ascii="Times New Roman" w:hAnsi="Times New Roman" w:cs="Times New Roman"/>
          <w:color w:val="333333"/>
          <w:sz w:val="25"/>
          <w:szCs w:val="25"/>
          <w:shd w:val="clear" w:color="auto" w:fill="FFFFFF"/>
        </w:rPr>
        <w:t xml:space="preserve">Abebe </w:t>
      </w:r>
      <w:r w:rsidR="00B010B3" w:rsidRPr="00B010B3">
        <w:rPr>
          <w:rFonts w:ascii="Times New Roman" w:hAnsi="Times New Roman" w:cs="Times New Roman"/>
          <w:i/>
          <w:color w:val="333333"/>
          <w:sz w:val="25"/>
          <w:szCs w:val="25"/>
          <w:shd w:val="clear" w:color="auto" w:fill="FFFFFF"/>
        </w:rPr>
        <w:t>et al</w:t>
      </w:r>
      <w:r w:rsidR="000A529F" w:rsidRPr="00B010B3">
        <w:rPr>
          <w:rFonts w:ascii="Times New Roman" w:hAnsi="Times New Roman" w:cs="Times New Roman"/>
          <w:i/>
          <w:color w:val="333333"/>
          <w:sz w:val="25"/>
          <w:szCs w:val="25"/>
          <w:shd w:val="clear" w:color="auto" w:fill="FFFFFF"/>
        </w:rPr>
        <w:t>.,</w:t>
      </w:r>
      <w:r w:rsidR="000A529F" w:rsidRPr="00B010B3">
        <w:rPr>
          <w:rFonts w:ascii="Times New Roman" w:hAnsi="Times New Roman" w:cs="Times New Roman"/>
          <w:color w:val="333333"/>
          <w:sz w:val="25"/>
          <w:szCs w:val="25"/>
          <w:shd w:val="clear" w:color="auto" w:fill="FFFFFF"/>
        </w:rPr>
        <w:t xml:space="preserve"> 2024)</w:t>
      </w:r>
      <w:r w:rsidR="00F412B0" w:rsidRPr="00B010B3">
        <w:rPr>
          <w:rFonts w:ascii="Times New Roman" w:hAnsi="Times New Roman" w:cs="Times New Roman"/>
          <w:color w:val="1B1B1B"/>
          <w:sz w:val="28"/>
          <w:szCs w:val="28"/>
          <w:shd w:val="clear" w:color="auto" w:fill="FFFFFF"/>
        </w:rPr>
        <w:t>.</w:t>
      </w:r>
    </w:p>
    <w:p w14:paraId="445305E5" w14:textId="77777777" w:rsidR="00786729" w:rsidRPr="00B010B3"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first cases of vancomycin-intermediate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(VISA) and fully vancomycin-resistant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xml:space="preserve"> (VRSA) were reported in Japan and the United States, respectively (Hiramatsu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1997; CDC, 2002), signaling a new and dangerous phase in the global antimicrobial resistance (AMR) crisis. High-level vancomycin resistance in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 primarily mediated by the acquisition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cluster, often via horizontal gene transfer from vancomycin-resistant enterococci (VRE) present in the gut microbiota (Weigel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2003; </w:t>
      </w:r>
      <w:proofErr w:type="spellStart"/>
      <w:r w:rsidRPr="00B010B3">
        <w:rPr>
          <w:rFonts w:ascii="Times New Roman" w:eastAsia="Times New Roman" w:hAnsi="Times New Roman" w:cs="Times New Roman"/>
          <w:color w:val="0F1115"/>
          <w:sz w:val="24"/>
          <w:szCs w:val="24"/>
        </w:rPr>
        <w:t>Gardete</w:t>
      </w:r>
      <w:proofErr w:type="spellEnd"/>
      <w:r w:rsidRPr="00B010B3">
        <w:rPr>
          <w:rFonts w:ascii="Times New Roman" w:eastAsia="Times New Roman" w:hAnsi="Times New Roman" w:cs="Times New Roman"/>
          <w:color w:val="0F1115"/>
          <w:sz w:val="24"/>
          <w:szCs w:val="24"/>
        </w:rPr>
        <w:t xml:space="preserve"> &amp; Tomasz, 2014</w:t>
      </w:r>
      <w:r w:rsidR="00450300" w:rsidRPr="00B010B3">
        <w:rPr>
          <w:rFonts w:ascii="Times New Roman" w:eastAsia="Times New Roman" w:hAnsi="Times New Roman" w:cs="Times New Roman"/>
          <w:color w:val="0F1115"/>
          <w:sz w:val="24"/>
          <w:szCs w:val="24"/>
        </w:rPr>
        <w:t xml:space="preserve">; </w:t>
      </w:r>
      <w:r w:rsidR="00450300" w:rsidRPr="00B010B3">
        <w:rPr>
          <w:rFonts w:ascii="Times New Roman" w:hAnsi="Times New Roman" w:cs="Times New Roman"/>
          <w:color w:val="1F1F1F"/>
        </w:rPr>
        <w:t xml:space="preserve">Cong </w:t>
      </w:r>
      <w:r w:rsidR="00B010B3" w:rsidRPr="00B010B3">
        <w:rPr>
          <w:rFonts w:ascii="Times New Roman" w:hAnsi="Times New Roman" w:cs="Times New Roman"/>
          <w:i/>
          <w:color w:val="1F1F1F"/>
        </w:rPr>
        <w:t>et al</w:t>
      </w:r>
      <w:r w:rsidR="00450300" w:rsidRPr="00B010B3">
        <w:rPr>
          <w:rFonts w:ascii="Times New Roman" w:hAnsi="Times New Roman" w:cs="Times New Roman"/>
          <w:color w:val="1F1F1F"/>
        </w:rPr>
        <w:t>., 2020</w:t>
      </w:r>
      <w:r w:rsidRPr="00B010B3">
        <w:rPr>
          <w:rFonts w:ascii="Times New Roman" w:eastAsia="Times New Roman" w:hAnsi="Times New Roman" w:cs="Times New Roman"/>
          <w:color w:val="0F1115"/>
          <w:sz w:val="24"/>
          <w:szCs w:val="24"/>
        </w:rPr>
        <w:t>).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encodes enzymes that alter the bacterial cell wall precursor, reducing vancomycin's binding affinity by a factor of 1000-fold</w:t>
      </w:r>
      <w:r w:rsidR="000E3F74" w:rsidRPr="00B010B3">
        <w:rPr>
          <w:rFonts w:ascii="Times New Roman" w:eastAsia="Times New Roman" w:hAnsi="Times New Roman" w:cs="Times New Roman"/>
          <w:color w:val="0F1115"/>
          <w:sz w:val="24"/>
          <w:szCs w:val="24"/>
        </w:rPr>
        <w:t xml:space="preserve"> (</w:t>
      </w:r>
      <w:r w:rsidR="000E3F74" w:rsidRPr="00B010B3">
        <w:rPr>
          <w:rFonts w:ascii="Times New Roman" w:eastAsia="Times New Roman" w:hAnsi="Times New Roman" w:cs="Times New Roman"/>
          <w:color w:val="595959"/>
          <w:sz w:val="20"/>
          <w:szCs w:val="20"/>
        </w:rPr>
        <w:t xml:space="preserve">McGuinness </w:t>
      </w:r>
      <w:r w:rsidR="00B010B3" w:rsidRPr="00B010B3">
        <w:rPr>
          <w:rFonts w:ascii="Times New Roman" w:eastAsia="Times New Roman" w:hAnsi="Times New Roman" w:cs="Times New Roman"/>
          <w:i/>
          <w:color w:val="595959"/>
          <w:sz w:val="20"/>
          <w:szCs w:val="20"/>
        </w:rPr>
        <w:t>et al</w:t>
      </w:r>
      <w:r w:rsidR="000E3F74" w:rsidRPr="00B010B3">
        <w:rPr>
          <w:rFonts w:ascii="Times New Roman" w:eastAsia="Times New Roman" w:hAnsi="Times New Roman" w:cs="Times New Roman"/>
          <w:i/>
          <w:color w:val="595959"/>
          <w:sz w:val="20"/>
          <w:szCs w:val="20"/>
        </w:rPr>
        <w:t>.,</w:t>
      </w:r>
      <w:r w:rsidR="000E3F74" w:rsidRPr="00B010B3">
        <w:rPr>
          <w:rFonts w:ascii="Times New Roman" w:eastAsia="Times New Roman" w:hAnsi="Times New Roman" w:cs="Times New Roman"/>
          <w:color w:val="595959"/>
          <w:sz w:val="20"/>
          <w:szCs w:val="20"/>
        </w:rPr>
        <w:t xml:space="preserve"> 2017; </w:t>
      </w:r>
      <w:r w:rsidR="00244F29" w:rsidRPr="00B010B3">
        <w:rPr>
          <w:rFonts w:ascii="Times New Roman" w:eastAsia="Times New Roman" w:hAnsi="Times New Roman" w:cs="Times New Roman"/>
          <w:color w:val="0F1115"/>
          <w:sz w:val="24"/>
          <w:szCs w:val="24"/>
        </w:rPr>
        <w:t xml:space="preserve">Hamza </w:t>
      </w:r>
      <w:r w:rsidR="00B010B3" w:rsidRPr="00B010B3">
        <w:rPr>
          <w:rFonts w:ascii="Times New Roman" w:eastAsia="Times New Roman" w:hAnsi="Times New Roman" w:cs="Times New Roman"/>
          <w:i/>
          <w:color w:val="0F1115"/>
          <w:sz w:val="24"/>
          <w:szCs w:val="24"/>
        </w:rPr>
        <w:t>et al</w:t>
      </w:r>
      <w:r w:rsidR="00244F29" w:rsidRPr="00B010B3">
        <w:rPr>
          <w:rFonts w:ascii="Times New Roman" w:eastAsia="Times New Roman" w:hAnsi="Times New Roman" w:cs="Times New Roman"/>
          <w:i/>
          <w:color w:val="0F1115"/>
          <w:sz w:val="24"/>
          <w:szCs w:val="24"/>
        </w:rPr>
        <w:t>.,</w:t>
      </w:r>
      <w:r w:rsidR="00244F29" w:rsidRPr="00B010B3">
        <w:rPr>
          <w:rFonts w:ascii="Times New Roman" w:eastAsia="Times New Roman" w:hAnsi="Times New Roman" w:cs="Times New Roman"/>
          <w:color w:val="0F1115"/>
          <w:sz w:val="24"/>
          <w:szCs w:val="24"/>
        </w:rPr>
        <w:t xml:space="preserve"> 2024)</w:t>
      </w:r>
      <w:r w:rsidRPr="00B010B3">
        <w:rPr>
          <w:rFonts w:ascii="Times New Roman" w:eastAsia="Times New Roman" w:hAnsi="Times New Roman" w:cs="Times New Roman"/>
          <w:color w:val="0F1115"/>
          <w:sz w:val="24"/>
          <w:szCs w:val="24"/>
        </w:rPr>
        <w:t>. The presence of this transferable resistance determinant is a grave concern, as it can disseminate rapidly among bacterial populations under selective pressure</w:t>
      </w:r>
      <w:r w:rsidR="00B45B3B" w:rsidRPr="00B010B3">
        <w:rPr>
          <w:rFonts w:ascii="Times New Roman" w:eastAsia="Times New Roman" w:hAnsi="Times New Roman" w:cs="Times New Roman"/>
          <w:color w:val="0F1115"/>
          <w:sz w:val="24"/>
          <w:szCs w:val="24"/>
        </w:rPr>
        <w:t xml:space="preserve"> (</w:t>
      </w:r>
      <w:r w:rsidR="00FA3DF9" w:rsidRPr="00B010B3">
        <w:rPr>
          <w:rFonts w:ascii="Times New Roman" w:eastAsia="Times New Roman" w:hAnsi="Times New Roman" w:cs="Times New Roman"/>
          <w:color w:val="0F1115"/>
          <w:sz w:val="24"/>
          <w:szCs w:val="24"/>
        </w:rPr>
        <w:t xml:space="preserve">Hamza </w:t>
      </w:r>
      <w:r w:rsidR="00B010B3" w:rsidRPr="00B010B3">
        <w:rPr>
          <w:rFonts w:ascii="Times New Roman" w:eastAsia="Times New Roman" w:hAnsi="Times New Roman" w:cs="Times New Roman"/>
          <w:i/>
          <w:color w:val="0F1115"/>
          <w:sz w:val="24"/>
          <w:szCs w:val="24"/>
        </w:rPr>
        <w:t>et al</w:t>
      </w:r>
      <w:r w:rsidR="00FA3DF9" w:rsidRPr="00B010B3">
        <w:rPr>
          <w:rFonts w:ascii="Times New Roman" w:eastAsia="Times New Roman" w:hAnsi="Times New Roman" w:cs="Times New Roman"/>
          <w:i/>
          <w:color w:val="0F1115"/>
          <w:sz w:val="24"/>
          <w:szCs w:val="24"/>
        </w:rPr>
        <w:t>.,</w:t>
      </w:r>
      <w:r w:rsidR="00FA3DF9" w:rsidRPr="00B010B3">
        <w:rPr>
          <w:rFonts w:ascii="Times New Roman" w:eastAsia="Times New Roman" w:hAnsi="Times New Roman" w:cs="Times New Roman"/>
          <w:color w:val="0F1115"/>
          <w:sz w:val="24"/>
          <w:szCs w:val="24"/>
        </w:rPr>
        <w:t xml:space="preserve"> 2024; </w:t>
      </w:r>
      <w:proofErr w:type="spellStart"/>
      <w:r w:rsidR="00B45B3B" w:rsidRPr="00B010B3">
        <w:rPr>
          <w:rStyle w:val="text"/>
          <w:rFonts w:ascii="Times New Roman" w:hAnsi="Times New Roman" w:cs="Times New Roman"/>
        </w:rPr>
        <w:t>Elshebrawy</w:t>
      </w:r>
      <w:proofErr w:type="spellEnd"/>
      <w:r w:rsidR="00B45B3B" w:rsidRPr="00B010B3">
        <w:rPr>
          <w:rStyle w:val="text"/>
          <w:rFonts w:ascii="Times New Roman" w:hAnsi="Times New Roman" w:cs="Times New Roman"/>
        </w:rPr>
        <w:t xml:space="preserve"> </w:t>
      </w:r>
      <w:r w:rsidR="00B010B3" w:rsidRPr="00B010B3">
        <w:rPr>
          <w:rStyle w:val="text"/>
          <w:rFonts w:ascii="Times New Roman" w:hAnsi="Times New Roman" w:cs="Times New Roman"/>
          <w:i/>
        </w:rPr>
        <w:t>et al</w:t>
      </w:r>
      <w:r w:rsidR="00B45B3B" w:rsidRPr="00B010B3">
        <w:rPr>
          <w:rStyle w:val="text"/>
          <w:rFonts w:ascii="Times New Roman" w:hAnsi="Times New Roman" w:cs="Times New Roman"/>
          <w:i/>
        </w:rPr>
        <w:t>.,</w:t>
      </w:r>
      <w:r w:rsidR="00B45B3B" w:rsidRPr="00B010B3">
        <w:rPr>
          <w:rStyle w:val="text"/>
          <w:rFonts w:ascii="Times New Roman" w:hAnsi="Times New Roman" w:cs="Times New Roman"/>
        </w:rPr>
        <w:t xml:space="preserve"> 2025)</w:t>
      </w:r>
      <w:r w:rsidRPr="00B010B3">
        <w:rPr>
          <w:rFonts w:ascii="Times New Roman" w:eastAsia="Times New Roman" w:hAnsi="Times New Roman" w:cs="Times New Roman"/>
          <w:color w:val="0F1115"/>
          <w:sz w:val="24"/>
          <w:szCs w:val="24"/>
        </w:rPr>
        <w:t>.</w:t>
      </w:r>
    </w:p>
    <w:p w14:paraId="4015FE6E" w14:textId="77777777" w:rsidR="00786729" w:rsidRPr="00B010B3"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epidemiology of VRSA is no longer confined to healthcare settings. The expansive use of antibiotics in livestock production for therapy, prophylaxis, and growth promotion creates potent selective environments that drive the emergence and amplification of resistant bacteria, including VRSA (Van Boeckel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2015). Pigs, in particular, are recognized as significant reservoirs for antimicrobial-resistant staphylococci, which can be transmitted to humans through direct contact, environmental contamination, or the food chain, embodying a critical One Health challenge (</w:t>
      </w:r>
      <w:proofErr w:type="spellStart"/>
      <w:r w:rsidRPr="00B010B3">
        <w:rPr>
          <w:rFonts w:ascii="Times New Roman" w:eastAsia="Times New Roman" w:hAnsi="Times New Roman" w:cs="Times New Roman"/>
          <w:color w:val="0F1115"/>
          <w:sz w:val="24"/>
          <w:szCs w:val="24"/>
        </w:rPr>
        <w:t>Graveland</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2011;</w:t>
      </w:r>
      <w:r w:rsidR="00380A99" w:rsidRPr="00B010B3">
        <w:rPr>
          <w:rFonts w:ascii="Times New Roman" w:hAnsi="Times New Roman" w:cs="Times New Roman"/>
          <w:color w:val="333333"/>
          <w:sz w:val="25"/>
          <w:szCs w:val="25"/>
          <w:shd w:val="clear" w:color="auto" w:fill="FFFFFF"/>
        </w:rPr>
        <w:t xml:space="preserve"> Clifford </w:t>
      </w:r>
      <w:r w:rsidR="00B010B3" w:rsidRPr="00B010B3">
        <w:rPr>
          <w:rFonts w:ascii="Times New Roman" w:hAnsi="Times New Roman" w:cs="Times New Roman"/>
          <w:i/>
          <w:color w:val="333333"/>
          <w:sz w:val="25"/>
          <w:szCs w:val="25"/>
          <w:shd w:val="clear" w:color="auto" w:fill="FFFFFF"/>
        </w:rPr>
        <w:t>et al</w:t>
      </w:r>
      <w:r w:rsidR="00380A99" w:rsidRPr="00B010B3">
        <w:rPr>
          <w:rFonts w:ascii="Times New Roman" w:hAnsi="Times New Roman" w:cs="Times New Roman"/>
          <w:i/>
          <w:color w:val="333333"/>
          <w:sz w:val="25"/>
          <w:szCs w:val="25"/>
          <w:shd w:val="clear" w:color="auto" w:fill="FFFFFF"/>
        </w:rPr>
        <w:t>.,</w:t>
      </w:r>
      <w:r w:rsidR="00380A99" w:rsidRPr="00B010B3">
        <w:rPr>
          <w:rFonts w:ascii="Times New Roman" w:hAnsi="Times New Roman" w:cs="Times New Roman"/>
          <w:color w:val="333333"/>
          <w:sz w:val="25"/>
          <w:szCs w:val="25"/>
          <w:shd w:val="clear" w:color="auto" w:fill="FFFFFF"/>
        </w:rPr>
        <w:t xml:space="preserve"> 2018;</w:t>
      </w:r>
      <w:r w:rsidRPr="00B010B3">
        <w:rPr>
          <w:rFonts w:ascii="Times New Roman" w:eastAsia="Times New Roman" w:hAnsi="Times New Roman" w:cs="Times New Roman"/>
          <w:color w:val="0F1115"/>
          <w:sz w:val="24"/>
          <w:szCs w:val="24"/>
        </w:rPr>
        <w:t xml:space="preserve"> </w:t>
      </w:r>
      <w:proofErr w:type="spellStart"/>
      <w:r w:rsidRPr="00B010B3">
        <w:rPr>
          <w:rFonts w:ascii="Times New Roman" w:eastAsia="Times New Roman" w:hAnsi="Times New Roman" w:cs="Times New Roman"/>
          <w:color w:val="0F1115"/>
          <w:sz w:val="24"/>
          <w:szCs w:val="24"/>
        </w:rPr>
        <w:t>Lekagul</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2019</w:t>
      </w:r>
      <w:r w:rsidR="00BA4F0C" w:rsidRPr="00B010B3">
        <w:rPr>
          <w:rFonts w:ascii="Times New Roman" w:eastAsia="Times New Roman" w:hAnsi="Times New Roman" w:cs="Times New Roman"/>
          <w:color w:val="0F1115"/>
          <w:sz w:val="24"/>
          <w:szCs w:val="24"/>
        </w:rPr>
        <w:t xml:space="preserve">; </w:t>
      </w:r>
      <w:proofErr w:type="spellStart"/>
      <w:r w:rsidR="00BA4F0C" w:rsidRPr="00B010B3">
        <w:rPr>
          <w:rFonts w:ascii="Times New Roman" w:hAnsi="Times New Roman" w:cs="Times New Roman"/>
          <w:color w:val="333333"/>
          <w:sz w:val="25"/>
          <w:szCs w:val="25"/>
          <w:shd w:val="clear" w:color="auto" w:fill="FFFFFF"/>
        </w:rPr>
        <w:t>Rhouma</w:t>
      </w:r>
      <w:proofErr w:type="spellEnd"/>
      <w:r w:rsidR="00BA4F0C" w:rsidRPr="00B010B3">
        <w:rPr>
          <w:rFonts w:ascii="Times New Roman" w:hAnsi="Times New Roman" w:cs="Times New Roman"/>
          <w:color w:val="333333"/>
          <w:sz w:val="25"/>
          <w:szCs w:val="25"/>
          <w:shd w:val="clear" w:color="auto" w:fill="FFFFFF"/>
        </w:rPr>
        <w:t xml:space="preserve"> </w:t>
      </w:r>
      <w:r w:rsidR="00B010B3" w:rsidRPr="00B010B3">
        <w:rPr>
          <w:rFonts w:ascii="Times New Roman" w:hAnsi="Times New Roman" w:cs="Times New Roman"/>
          <w:i/>
          <w:color w:val="333333"/>
          <w:sz w:val="25"/>
          <w:szCs w:val="25"/>
          <w:shd w:val="clear" w:color="auto" w:fill="FFFFFF"/>
        </w:rPr>
        <w:t>et al</w:t>
      </w:r>
      <w:r w:rsidR="00BA4F0C" w:rsidRPr="00B010B3">
        <w:rPr>
          <w:rFonts w:ascii="Times New Roman" w:hAnsi="Times New Roman" w:cs="Times New Roman"/>
          <w:i/>
          <w:color w:val="333333"/>
          <w:sz w:val="25"/>
          <w:szCs w:val="25"/>
          <w:shd w:val="clear" w:color="auto" w:fill="FFFFFF"/>
        </w:rPr>
        <w:t>.,</w:t>
      </w:r>
      <w:r w:rsidR="00BA4F0C" w:rsidRPr="00B010B3">
        <w:rPr>
          <w:rFonts w:ascii="Times New Roman" w:hAnsi="Times New Roman" w:cs="Times New Roman"/>
          <w:color w:val="333333"/>
          <w:sz w:val="25"/>
          <w:szCs w:val="25"/>
          <w:shd w:val="clear" w:color="auto" w:fill="FFFFFF"/>
        </w:rPr>
        <w:t xml:space="preserve"> 2022</w:t>
      </w:r>
      <w:r w:rsidRPr="00B010B3">
        <w:rPr>
          <w:rFonts w:ascii="Times New Roman" w:eastAsia="Times New Roman" w:hAnsi="Times New Roman" w:cs="Times New Roman"/>
          <w:color w:val="0F1115"/>
          <w:sz w:val="24"/>
          <w:szCs w:val="24"/>
        </w:rPr>
        <w:t>).</w:t>
      </w:r>
    </w:p>
    <w:p w14:paraId="26CE8C71" w14:textId="77777777" w:rsidR="00CF7EE7" w:rsidRPr="00B010B3"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In Nigeria, the challenge of AMR is acute, fueled by factors such as the unregulated sale and use of antibiotics in both human and veterinary medicine, poor sanitation, and limited diagnostic capacity (</w:t>
      </w:r>
      <w:proofErr w:type="spellStart"/>
      <w:r w:rsidRPr="00B010B3">
        <w:rPr>
          <w:rFonts w:ascii="Times New Roman" w:eastAsia="Times New Roman" w:hAnsi="Times New Roman" w:cs="Times New Roman"/>
          <w:color w:val="0F1115"/>
          <w:sz w:val="24"/>
          <w:szCs w:val="24"/>
        </w:rPr>
        <w:t>Odetokun</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2018; </w:t>
      </w:r>
      <w:proofErr w:type="spellStart"/>
      <w:r w:rsidRPr="00B010B3">
        <w:rPr>
          <w:rFonts w:ascii="Times New Roman" w:eastAsia="Times New Roman" w:hAnsi="Times New Roman" w:cs="Times New Roman"/>
          <w:color w:val="0F1115"/>
          <w:sz w:val="24"/>
          <w:szCs w:val="24"/>
        </w:rPr>
        <w:t>Founou</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w:t>
      </w:r>
      <w:proofErr w:type="gramStart"/>
      <w:r w:rsidRPr="00B010B3">
        <w:rPr>
          <w:rFonts w:ascii="Times New Roman" w:eastAsia="Times New Roman" w:hAnsi="Times New Roman" w:cs="Times New Roman"/>
          <w:color w:val="0F1115"/>
          <w:sz w:val="24"/>
          <w:szCs w:val="24"/>
        </w:rPr>
        <w:t>2021</w:t>
      </w:r>
      <w:r w:rsidR="001A4E67" w:rsidRPr="00B010B3">
        <w:rPr>
          <w:rFonts w:ascii="Times New Roman" w:eastAsia="Times New Roman" w:hAnsi="Times New Roman" w:cs="Times New Roman"/>
          <w:color w:val="0F1115"/>
          <w:sz w:val="24"/>
          <w:szCs w:val="24"/>
        </w:rPr>
        <w:t>;</w:t>
      </w:r>
      <w:r w:rsidR="00BA4F0C" w:rsidRPr="00B010B3">
        <w:rPr>
          <w:rFonts w:ascii="Times New Roman" w:hAnsi="Times New Roman" w:cs="Times New Roman"/>
          <w:color w:val="333333"/>
          <w:sz w:val="25"/>
          <w:szCs w:val="25"/>
          <w:shd w:val="clear" w:color="auto" w:fill="FFFFFF"/>
        </w:rPr>
        <w:t>;</w:t>
      </w:r>
      <w:proofErr w:type="gramEnd"/>
      <w:r w:rsidR="00BA4F0C" w:rsidRPr="00B010B3">
        <w:rPr>
          <w:rFonts w:ascii="Times New Roman" w:hAnsi="Times New Roman" w:cs="Times New Roman"/>
          <w:color w:val="333333"/>
          <w:sz w:val="25"/>
          <w:szCs w:val="25"/>
          <w:shd w:val="clear" w:color="auto" w:fill="FFFFFF"/>
        </w:rPr>
        <w:t xml:space="preserve"> </w:t>
      </w:r>
      <w:proofErr w:type="spellStart"/>
      <w:r w:rsidR="00BA4F0C" w:rsidRPr="00B010B3">
        <w:rPr>
          <w:rFonts w:ascii="Times New Roman" w:hAnsi="Times New Roman" w:cs="Times New Roman"/>
          <w:color w:val="333333"/>
          <w:sz w:val="25"/>
          <w:szCs w:val="25"/>
          <w:shd w:val="clear" w:color="auto" w:fill="FFFFFF"/>
        </w:rPr>
        <w:t>Okojokwu</w:t>
      </w:r>
      <w:proofErr w:type="spellEnd"/>
      <w:r w:rsidR="00BA4F0C" w:rsidRPr="00B010B3">
        <w:rPr>
          <w:rFonts w:ascii="Times New Roman" w:hAnsi="Times New Roman" w:cs="Times New Roman"/>
          <w:color w:val="333333"/>
          <w:sz w:val="25"/>
          <w:szCs w:val="25"/>
          <w:shd w:val="clear" w:color="auto" w:fill="FFFFFF"/>
        </w:rPr>
        <w:t xml:space="preserve"> </w:t>
      </w:r>
      <w:r w:rsidR="00B010B3" w:rsidRPr="00B010B3">
        <w:rPr>
          <w:rFonts w:ascii="Times New Roman" w:hAnsi="Times New Roman" w:cs="Times New Roman"/>
          <w:i/>
          <w:color w:val="333333"/>
          <w:sz w:val="25"/>
          <w:szCs w:val="25"/>
          <w:shd w:val="clear" w:color="auto" w:fill="FFFFFF"/>
        </w:rPr>
        <w:t>et al</w:t>
      </w:r>
      <w:r w:rsidR="00BA4F0C" w:rsidRPr="00B010B3">
        <w:rPr>
          <w:rFonts w:ascii="Times New Roman" w:hAnsi="Times New Roman" w:cs="Times New Roman"/>
          <w:i/>
          <w:color w:val="333333"/>
          <w:sz w:val="25"/>
          <w:szCs w:val="25"/>
          <w:shd w:val="clear" w:color="auto" w:fill="FFFFFF"/>
        </w:rPr>
        <w:t>.,</w:t>
      </w:r>
      <w:r w:rsidR="00BA4F0C" w:rsidRPr="00B010B3">
        <w:rPr>
          <w:rFonts w:ascii="Times New Roman" w:hAnsi="Times New Roman" w:cs="Times New Roman"/>
          <w:color w:val="333333"/>
          <w:sz w:val="25"/>
          <w:szCs w:val="25"/>
          <w:shd w:val="clear" w:color="auto" w:fill="FFFFFF"/>
        </w:rPr>
        <w:t xml:space="preserve"> 2025</w:t>
      </w:r>
      <w:r w:rsidRPr="00B010B3">
        <w:rPr>
          <w:rFonts w:ascii="Times New Roman" w:eastAsia="Times New Roman" w:hAnsi="Times New Roman" w:cs="Times New Roman"/>
          <w:color w:val="0F1115"/>
          <w:sz w:val="24"/>
          <w:szCs w:val="24"/>
        </w:rPr>
        <w:t xml:space="preserve">). While there is growing documentation of resistant bacteria in Nigerian livestock, comprehensive data on the specific prevalence and characteristics of VRSA from animal sources are strikingly scarce. A recent global meta-analysis estimated the pooled prevalence of VRSA in Africa at 2.5% (Shariati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2020), but national and sub-national data, especially from the agricultural sector, are urgently needed to understand the true scale of the threat.</w:t>
      </w:r>
    </w:p>
    <w:p w14:paraId="5CEE93A8" w14:textId="77777777" w:rsidR="00786729" w:rsidRPr="00B010B3" w:rsidRDefault="00E3255B"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hAnsi="Times New Roman" w:cs="Times New Roman"/>
          <w:sz w:val="20"/>
          <w:szCs w:val="20"/>
        </w:rPr>
        <w:t>In Nigeria,</w:t>
      </w:r>
      <w:r w:rsidR="00092EA7" w:rsidRPr="00B010B3">
        <w:rPr>
          <w:rFonts w:ascii="Times New Roman" w:hAnsi="Times New Roman" w:cs="Times New Roman"/>
          <w:sz w:val="20"/>
          <w:szCs w:val="20"/>
        </w:rPr>
        <w:t xml:space="preserve"> </w:t>
      </w:r>
      <w:r w:rsidR="00210A14" w:rsidRPr="00B010B3">
        <w:rPr>
          <w:rFonts w:ascii="Times New Roman" w:hAnsi="Times New Roman" w:cs="Times New Roman"/>
          <w:sz w:val="20"/>
          <w:szCs w:val="20"/>
        </w:rPr>
        <w:t>a study</w:t>
      </w:r>
      <w:r w:rsidR="00092EA7" w:rsidRPr="00B010B3">
        <w:rPr>
          <w:rFonts w:ascii="Times New Roman" w:hAnsi="Times New Roman" w:cs="Times New Roman"/>
          <w:sz w:val="20"/>
          <w:szCs w:val="20"/>
        </w:rPr>
        <w:t xml:space="preserve"> have identified </w:t>
      </w:r>
      <w:r w:rsidR="00092EA7" w:rsidRPr="00B010B3">
        <w:rPr>
          <w:rFonts w:ascii="Times New Roman" w:hAnsi="Times New Roman" w:cs="Times New Roman"/>
          <w:i/>
          <w:iCs/>
          <w:sz w:val="20"/>
          <w:szCs w:val="20"/>
        </w:rPr>
        <w:t xml:space="preserve">VRSA </w:t>
      </w:r>
      <w:r w:rsidR="00092EA7" w:rsidRPr="00B010B3">
        <w:rPr>
          <w:rFonts w:ascii="Times New Roman" w:hAnsi="Times New Roman" w:cs="Times New Roman"/>
          <w:sz w:val="20"/>
          <w:szCs w:val="20"/>
        </w:rPr>
        <w:t>in abattoir workers</w:t>
      </w:r>
      <w:r w:rsidR="00B20E8C" w:rsidRPr="00B010B3">
        <w:rPr>
          <w:rFonts w:ascii="Times New Roman" w:hAnsi="Times New Roman" w:cs="Times New Roman"/>
          <w:sz w:val="20"/>
          <w:szCs w:val="20"/>
        </w:rPr>
        <w:t xml:space="preserve">, </w:t>
      </w:r>
      <w:r w:rsidR="00B20E8C" w:rsidRPr="00B010B3">
        <w:rPr>
          <w:rFonts w:ascii="Times New Roman" w:hAnsi="Times New Roman" w:cs="Times New Roman"/>
          <w:color w:val="333333"/>
          <w:sz w:val="25"/>
          <w:szCs w:val="25"/>
          <w:shd w:val="clear" w:color="auto" w:fill="FFFFFF"/>
        </w:rPr>
        <w:t>(</w:t>
      </w:r>
      <w:proofErr w:type="spellStart"/>
      <w:r w:rsidR="00B20E8C" w:rsidRPr="00B010B3">
        <w:rPr>
          <w:rFonts w:ascii="Times New Roman" w:hAnsi="Times New Roman" w:cs="Times New Roman"/>
          <w:color w:val="333333"/>
          <w:sz w:val="25"/>
          <w:szCs w:val="25"/>
          <w:shd w:val="clear" w:color="auto" w:fill="FFFFFF"/>
        </w:rPr>
        <w:t>Okojokwu</w:t>
      </w:r>
      <w:proofErr w:type="spellEnd"/>
      <w:r w:rsidR="00B20E8C" w:rsidRPr="00B010B3">
        <w:rPr>
          <w:rFonts w:ascii="Times New Roman" w:hAnsi="Times New Roman" w:cs="Times New Roman"/>
          <w:color w:val="333333"/>
          <w:sz w:val="25"/>
          <w:szCs w:val="25"/>
          <w:shd w:val="clear" w:color="auto" w:fill="FFFFFF"/>
        </w:rPr>
        <w:t xml:space="preserve"> </w:t>
      </w:r>
      <w:r w:rsidR="00B010B3" w:rsidRPr="00B010B3">
        <w:rPr>
          <w:rFonts w:ascii="Times New Roman" w:hAnsi="Times New Roman" w:cs="Times New Roman"/>
          <w:i/>
          <w:color w:val="333333"/>
          <w:sz w:val="25"/>
          <w:szCs w:val="25"/>
          <w:shd w:val="clear" w:color="auto" w:fill="FFFFFF"/>
        </w:rPr>
        <w:t>et al</w:t>
      </w:r>
      <w:r w:rsidR="00B20E8C" w:rsidRPr="00B010B3">
        <w:rPr>
          <w:rFonts w:ascii="Times New Roman" w:hAnsi="Times New Roman" w:cs="Times New Roman"/>
          <w:i/>
          <w:color w:val="333333"/>
          <w:sz w:val="25"/>
          <w:szCs w:val="25"/>
          <w:shd w:val="clear" w:color="auto" w:fill="FFFFFF"/>
        </w:rPr>
        <w:t>.,</w:t>
      </w:r>
      <w:r w:rsidR="00B20E8C" w:rsidRPr="00B010B3">
        <w:rPr>
          <w:rFonts w:ascii="Times New Roman" w:hAnsi="Times New Roman" w:cs="Times New Roman"/>
          <w:color w:val="333333"/>
          <w:sz w:val="25"/>
          <w:szCs w:val="25"/>
          <w:shd w:val="clear" w:color="auto" w:fill="FFFFFF"/>
        </w:rPr>
        <w:t xml:space="preserve"> 2025</w:t>
      </w:r>
      <w:proofErr w:type="gramStart"/>
      <w:r w:rsidR="00B20E8C" w:rsidRPr="00B010B3">
        <w:rPr>
          <w:rFonts w:ascii="Times New Roman" w:eastAsia="Times New Roman" w:hAnsi="Times New Roman" w:cs="Times New Roman"/>
          <w:color w:val="0F1115"/>
          <w:sz w:val="24"/>
          <w:szCs w:val="24"/>
        </w:rPr>
        <w:t>)</w:t>
      </w:r>
      <w:r w:rsidR="00092EA7" w:rsidRPr="00B010B3">
        <w:rPr>
          <w:rFonts w:ascii="Times New Roman" w:hAnsi="Times New Roman" w:cs="Times New Roman"/>
          <w:sz w:val="20"/>
          <w:szCs w:val="20"/>
        </w:rPr>
        <w:t xml:space="preserve"> </w:t>
      </w:r>
      <w:r w:rsidR="00210A14" w:rsidRPr="00B010B3">
        <w:rPr>
          <w:rFonts w:ascii="Times New Roman" w:hAnsi="Times New Roman" w:cs="Times New Roman"/>
          <w:sz w:val="20"/>
          <w:szCs w:val="20"/>
        </w:rPr>
        <w:t>,</w:t>
      </w:r>
      <w:proofErr w:type="gramEnd"/>
      <w:r w:rsidR="00210A14" w:rsidRPr="00B010B3">
        <w:rPr>
          <w:rFonts w:ascii="Times New Roman" w:hAnsi="Times New Roman" w:cs="Times New Roman"/>
          <w:sz w:val="20"/>
          <w:szCs w:val="20"/>
        </w:rPr>
        <w:t xml:space="preserve"> </w:t>
      </w:r>
      <w:r w:rsidR="00210A14" w:rsidRPr="00B010B3">
        <w:rPr>
          <w:rFonts w:ascii="Times New Roman" w:eastAsia="Times New Roman" w:hAnsi="Times New Roman" w:cs="Times New Roman"/>
          <w:color w:val="0F1115"/>
          <w:sz w:val="24"/>
          <w:szCs w:val="24"/>
        </w:rPr>
        <w:t>t</w:t>
      </w:r>
      <w:r w:rsidR="00786729" w:rsidRPr="00B010B3">
        <w:rPr>
          <w:rFonts w:ascii="Times New Roman" w:eastAsia="Times New Roman" w:hAnsi="Times New Roman" w:cs="Times New Roman"/>
          <w:color w:val="0F1115"/>
          <w:sz w:val="24"/>
          <w:szCs w:val="24"/>
        </w:rPr>
        <w:t>he absence of robust surveillance data on VRSA in Nigerian livestock represents a dangerous blind spot. Given the central role of pigs in the agricultural economy and as potential reservoirs for zoonotic pathogens, characterizing the vancomycin resistance profile in porcine </w:t>
      </w:r>
      <w:r w:rsidR="00786729" w:rsidRPr="00B010B3">
        <w:rPr>
          <w:rFonts w:ascii="Times New Roman" w:eastAsia="Times New Roman" w:hAnsi="Times New Roman" w:cs="Times New Roman"/>
          <w:i/>
          <w:iCs/>
          <w:color w:val="0F1115"/>
          <w:sz w:val="24"/>
          <w:szCs w:val="24"/>
        </w:rPr>
        <w:t>S. aureus</w:t>
      </w:r>
      <w:r w:rsidR="00786729" w:rsidRPr="00B010B3">
        <w:rPr>
          <w:rFonts w:ascii="Times New Roman" w:eastAsia="Times New Roman" w:hAnsi="Times New Roman" w:cs="Times New Roman"/>
          <w:color w:val="0F1115"/>
          <w:sz w:val="24"/>
          <w:szCs w:val="24"/>
        </w:rPr>
        <w:t xml:space="preserve"> is of paramount importance. Therefore, this study was designed with a focused objective: to isolate and characterize </w:t>
      </w:r>
      <w:r w:rsidR="00786729" w:rsidRPr="00B010B3">
        <w:rPr>
          <w:rFonts w:ascii="Times New Roman" w:eastAsia="Times New Roman" w:hAnsi="Times New Roman" w:cs="Times New Roman"/>
          <w:color w:val="0F1115"/>
          <w:sz w:val="24"/>
          <w:szCs w:val="24"/>
        </w:rPr>
        <w:lastRenderedPageBreak/>
        <w:t>Vancomycin-Resistant </w:t>
      </w:r>
      <w:r w:rsidR="00786729" w:rsidRPr="00B010B3">
        <w:rPr>
          <w:rFonts w:ascii="Times New Roman" w:eastAsia="Times New Roman" w:hAnsi="Times New Roman" w:cs="Times New Roman"/>
          <w:i/>
          <w:iCs/>
          <w:color w:val="0F1115"/>
          <w:sz w:val="24"/>
          <w:szCs w:val="24"/>
        </w:rPr>
        <w:t>Staphylococcus aureus</w:t>
      </w:r>
      <w:r w:rsidR="00786729" w:rsidRPr="00B010B3">
        <w:rPr>
          <w:rFonts w:ascii="Times New Roman" w:eastAsia="Times New Roman" w:hAnsi="Times New Roman" w:cs="Times New Roman"/>
          <w:color w:val="0F1115"/>
          <w:sz w:val="24"/>
          <w:szCs w:val="24"/>
        </w:rPr>
        <w:t> (VRSA) from porcine rectal swabs in Ebonyi State, Nigeria. Specifically, we aimed to determine the phenotypic prevalence of VRSA, define its associated multidrug resistance profile, and confirm the presence of the </w:t>
      </w:r>
      <w:proofErr w:type="spellStart"/>
      <w:r w:rsidR="00786729" w:rsidRPr="00B010B3">
        <w:rPr>
          <w:rFonts w:ascii="Times New Roman" w:eastAsia="Times New Roman" w:hAnsi="Times New Roman" w:cs="Times New Roman"/>
          <w:i/>
          <w:iCs/>
          <w:color w:val="0F1115"/>
          <w:sz w:val="24"/>
          <w:szCs w:val="24"/>
        </w:rPr>
        <w:t>vanA</w:t>
      </w:r>
      <w:proofErr w:type="spellEnd"/>
      <w:r w:rsidR="00786729" w:rsidRPr="00B010B3">
        <w:rPr>
          <w:rFonts w:ascii="Times New Roman" w:eastAsia="Times New Roman" w:hAnsi="Times New Roman" w:cs="Times New Roman"/>
          <w:color w:val="0F1115"/>
          <w:sz w:val="24"/>
          <w:szCs w:val="24"/>
        </w:rPr>
        <w:t> resistance gene through molecular methods. The findings are intended to provide critical, actionable data to inform national AMR containment strategies and veterinary public health policies.</w:t>
      </w:r>
    </w:p>
    <w:p w14:paraId="47A36E3F"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2. MATERIALS AND METHODS</w:t>
      </w:r>
    </w:p>
    <w:p w14:paraId="63C9350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2.1 Study Area, Ethical Consideration, and Sample Collection</w:t>
      </w:r>
    </w:p>
    <w:p w14:paraId="3904856B" w14:textId="77777777" w:rsidR="00786729" w:rsidRPr="00B010B3" w:rsidRDefault="00786729" w:rsidP="00EF49FF">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study was conducted in Ebonyi State, located in southeastern Nigeria. Porcine rectal swab samples (n=120) were aseptically collected from a swine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community,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Local Government Area (Latitude: 6° 7' 54''N, Longitude: 8° 8' 29''E)</w:t>
      </w:r>
      <w:r w:rsidR="00134CFA" w:rsidRPr="00B010B3">
        <w:rPr>
          <w:rFonts w:ascii="Times New Roman" w:eastAsia="Times New Roman" w:hAnsi="Times New Roman" w:cs="Times New Roman"/>
          <w:color w:val="0F1115"/>
          <w:sz w:val="24"/>
          <w:szCs w:val="24"/>
        </w:rPr>
        <w:t xml:space="preserve"> (</w:t>
      </w:r>
      <w:proofErr w:type="spellStart"/>
      <w:r w:rsidR="00134CFA" w:rsidRPr="00B010B3">
        <w:rPr>
          <w:rFonts w:ascii="Times New Roman" w:eastAsia="Times New Roman" w:hAnsi="Times New Roman" w:cs="Times New Roman"/>
          <w:color w:val="0F1115"/>
          <w:sz w:val="24"/>
          <w:szCs w:val="24"/>
        </w:rPr>
        <w:t>Nomeh</w:t>
      </w:r>
      <w:proofErr w:type="spellEnd"/>
      <w:r w:rsidR="00134CFA"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34CFA" w:rsidRPr="00B010B3">
        <w:rPr>
          <w:rFonts w:ascii="Times New Roman" w:eastAsia="Times New Roman" w:hAnsi="Times New Roman" w:cs="Times New Roman"/>
          <w:i/>
          <w:color w:val="0F1115"/>
          <w:sz w:val="24"/>
          <w:szCs w:val="24"/>
        </w:rPr>
        <w:t>.,</w:t>
      </w:r>
      <w:r w:rsidR="00134CFA" w:rsidRPr="00B010B3">
        <w:rPr>
          <w:rFonts w:ascii="Times New Roman" w:eastAsia="Times New Roman" w:hAnsi="Times New Roman" w:cs="Times New Roman"/>
          <w:color w:val="0F1115"/>
          <w:sz w:val="24"/>
          <w:szCs w:val="24"/>
        </w:rPr>
        <w:t xml:space="preserve"> 2026)</w:t>
      </w:r>
      <w:r w:rsidRPr="00B010B3">
        <w:rPr>
          <w:rFonts w:ascii="Times New Roman" w:eastAsia="Times New Roman" w:hAnsi="Times New Roman" w:cs="Times New Roman"/>
          <w:color w:val="0F1115"/>
          <w:sz w:val="24"/>
          <w:szCs w:val="24"/>
        </w:rPr>
        <w:t xml:space="preserve">. </w:t>
      </w:r>
      <w:r w:rsidR="001D69E0" w:rsidRPr="00B010B3">
        <w:rPr>
          <w:rFonts w:ascii="Times New Roman" w:eastAsia="Times New Roman" w:hAnsi="Times New Roman" w:cs="Times New Roman"/>
          <w:color w:val="0F1115"/>
          <w:sz w:val="24"/>
          <w:szCs w:val="24"/>
        </w:rPr>
        <w:t xml:space="preserve">Farm owner consent was secured prior to sample collection. </w:t>
      </w:r>
      <w:r w:rsidRPr="00B010B3">
        <w:rPr>
          <w:rFonts w:ascii="Times New Roman" w:eastAsia="Times New Roman" w:hAnsi="Times New Roman" w:cs="Times New Roman"/>
          <w:color w:val="0F1115"/>
          <w:sz w:val="24"/>
          <w:szCs w:val="24"/>
        </w:rPr>
        <w:t xml:space="preserve">Sterile swab sticks moistened with normal saline were used, and samples were immediately placed in Amies transport medium. </w:t>
      </w:r>
    </w:p>
    <w:p w14:paraId="7D7F29F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2.2 Isolation and Identification of </w:t>
      </w:r>
      <w:r w:rsidRPr="00B010B3">
        <w:rPr>
          <w:rFonts w:ascii="Times New Roman" w:eastAsia="Times New Roman" w:hAnsi="Times New Roman" w:cs="Times New Roman"/>
          <w:b/>
          <w:bCs/>
          <w:i/>
          <w:iCs/>
          <w:color w:val="0F1115"/>
          <w:sz w:val="24"/>
          <w:szCs w:val="24"/>
        </w:rPr>
        <w:t>Staphylococcus aureus</w:t>
      </w:r>
    </w:p>
    <w:p w14:paraId="1279EF9B" w14:textId="77777777" w:rsidR="00786729" w:rsidRPr="00B010B3" w:rsidRDefault="00786729" w:rsidP="00072802">
      <w:pPr>
        <w:pStyle w:val="NormalWeb"/>
        <w:shd w:val="clear" w:color="auto" w:fill="FFFFFF"/>
        <w:spacing w:after="0" w:afterAutospacing="0"/>
        <w:jc w:val="both"/>
        <w:rPr>
          <w:color w:val="222222"/>
          <w:sz w:val="27"/>
          <w:szCs w:val="27"/>
          <w:shd w:val="clear" w:color="auto" w:fill="FFFFFF"/>
        </w:rPr>
      </w:pPr>
      <w:r w:rsidRPr="00B010B3">
        <w:rPr>
          <w:color w:val="0F1115"/>
        </w:rPr>
        <w:t xml:space="preserve">Each rectal swab was enriched in 5 ml of </w:t>
      </w:r>
      <w:r w:rsidR="00283FBD" w:rsidRPr="00B010B3">
        <w:rPr>
          <w:color w:val="001D35"/>
          <w:shd w:val="clear" w:color="auto" w:fill="FFFFFF"/>
        </w:rPr>
        <w:t>Tryptone Soya Broth</w:t>
      </w:r>
      <w:r w:rsidR="00283FBD" w:rsidRPr="00B010B3">
        <w:rPr>
          <w:color w:val="0F1115"/>
        </w:rPr>
        <w:t xml:space="preserve"> </w:t>
      </w:r>
      <w:r w:rsidRPr="00B010B3">
        <w:rPr>
          <w:color w:val="0F1115"/>
        </w:rPr>
        <w:t>(</w:t>
      </w:r>
      <w:r w:rsidR="00283FBD" w:rsidRPr="00B010B3">
        <w:rPr>
          <w:color w:val="0F1115"/>
        </w:rPr>
        <w:t>TSB</w:t>
      </w:r>
      <w:r w:rsidRPr="00B010B3">
        <w:rPr>
          <w:color w:val="0F1115"/>
        </w:rPr>
        <w:t>) broth (</w:t>
      </w:r>
      <w:proofErr w:type="spellStart"/>
      <w:r w:rsidRPr="00B010B3">
        <w:rPr>
          <w:color w:val="0F1115"/>
        </w:rPr>
        <w:t>bioMérieux</w:t>
      </w:r>
      <w:proofErr w:type="spellEnd"/>
      <w:r w:rsidRPr="00B010B3">
        <w:rPr>
          <w:color w:val="0F1115"/>
        </w:rPr>
        <w:t xml:space="preserve">, France) at 37°C for 18-24 hours. A loopful was then streaked onto </w:t>
      </w:r>
      <w:r w:rsidR="00372989" w:rsidRPr="00B010B3">
        <w:rPr>
          <w:color w:val="0A0A0A"/>
          <w:shd w:val="clear" w:color="auto" w:fill="FFFFFF"/>
        </w:rPr>
        <w:t>Baird-Parker agar</w:t>
      </w:r>
      <w:r w:rsidR="00372989" w:rsidRPr="00B010B3">
        <w:rPr>
          <w:color w:val="0F1115"/>
        </w:rPr>
        <w:t xml:space="preserve"> </w:t>
      </w:r>
      <w:r w:rsidRPr="00B010B3">
        <w:rPr>
          <w:color w:val="0F1115"/>
        </w:rPr>
        <w:t>(</w:t>
      </w:r>
      <w:r w:rsidR="00372989" w:rsidRPr="00B010B3">
        <w:rPr>
          <w:color w:val="0F1115"/>
        </w:rPr>
        <w:t>Sigma-Aldrich, U. S. A</w:t>
      </w:r>
      <w:r w:rsidRPr="00B010B3">
        <w:rPr>
          <w:color w:val="0F1115"/>
        </w:rPr>
        <w:t>)</w:t>
      </w:r>
      <w:r w:rsidR="007A01F0" w:rsidRPr="00B010B3">
        <w:rPr>
          <w:color w:val="0F1115"/>
        </w:rPr>
        <w:t>,</w:t>
      </w:r>
      <w:r w:rsidRPr="00B010B3">
        <w:rPr>
          <w:color w:val="0F1115"/>
        </w:rPr>
        <w:t xml:space="preserve"> and incubated at 37°C for 24 hours. Presumptive </w:t>
      </w:r>
      <w:r w:rsidRPr="00B010B3">
        <w:rPr>
          <w:i/>
          <w:iCs/>
          <w:color w:val="0F1115"/>
        </w:rPr>
        <w:t>S. aureus</w:t>
      </w:r>
      <w:r w:rsidRPr="00B010B3">
        <w:rPr>
          <w:color w:val="0F1115"/>
        </w:rPr>
        <w:t> colonies (</w:t>
      </w:r>
      <w:r w:rsidR="00372989" w:rsidRPr="00B010B3">
        <w:rPr>
          <w:color w:val="0A0A0A"/>
          <w:shd w:val="clear" w:color="auto" w:fill="FFFFFF"/>
        </w:rPr>
        <w:t>Baird-Parker agar</w:t>
      </w:r>
      <w:r w:rsidRPr="00B010B3">
        <w:rPr>
          <w:color w:val="0F1115"/>
        </w:rPr>
        <w:t xml:space="preserve">, </w:t>
      </w:r>
      <w:proofErr w:type="spellStart"/>
      <w:r w:rsidR="00372989" w:rsidRPr="00B010B3">
        <w:rPr>
          <w:color w:val="0F1115"/>
        </w:rPr>
        <w:t>balck</w:t>
      </w:r>
      <w:proofErr w:type="spellEnd"/>
      <w:r w:rsidRPr="00B010B3">
        <w:rPr>
          <w:color w:val="0F1115"/>
        </w:rPr>
        <w:t xml:space="preserve"> colonies) were sub-cultured onto BHI agar for purity. Identification was confirmed by </w:t>
      </w:r>
      <w:proofErr w:type="spellStart"/>
      <w:r w:rsidR="00A612AF" w:rsidRPr="00B010B3">
        <w:rPr>
          <w:color w:val="303030"/>
          <w:shd w:val="clear" w:color="auto" w:fill="FFFFFF"/>
        </w:rPr>
        <w:t>StaphTEX</w:t>
      </w:r>
      <w:proofErr w:type="spellEnd"/>
      <w:r w:rsidR="00A612AF" w:rsidRPr="00B010B3">
        <w:rPr>
          <w:color w:val="303030"/>
          <w:shd w:val="clear" w:color="auto" w:fill="FFFFFF"/>
        </w:rPr>
        <w:t>™ Blue kit tests</w:t>
      </w:r>
      <w:r w:rsidR="00095B2B" w:rsidRPr="00B010B3">
        <w:rPr>
          <w:color w:val="303030"/>
          <w:shd w:val="clear" w:color="auto" w:fill="FFFFFF"/>
        </w:rPr>
        <w:t xml:space="preserve"> </w:t>
      </w:r>
      <w:r w:rsidR="00095B2B" w:rsidRPr="00B010B3">
        <w:rPr>
          <w:rStyle w:val="Strong"/>
          <w:b w:val="0"/>
          <w:bCs w:val="0"/>
          <w:color w:val="303030"/>
        </w:rPr>
        <w:t>Cat. no.</w:t>
      </w:r>
      <w:r w:rsidR="00095B2B" w:rsidRPr="00B010B3">
        <w:rPr>
          <w:color w:val="303030"/>
        </w:rPr>
        <w:t xml:space="preserve"> ST50 (Hardys Diagnostics, U. S.A)</w:t>
      </w:r>
      <w:r w:rsidR="005C7F4E" w:rsidRPr="00B010B3">
        <w:rPr>
          <w:color w:val="303030"/>
        </w:rPr>
        <w:t xml:space="preserve"> according to manufacturer’s instruction</w:t>
      </w:r>
      <w:r w:rsidR="00513F68" w:rsidRPr="00B010B3">
        <w:rPr>
          <w:color w:val="303030"/>
        </w:rPr>
        <w:t xml:space="preserve">. Further confirmation </w:t>
      </w:r>
      <w:r w:rsidR="00513F68" w:rsidRPr="00B010B3">
        <w:rPr>
          <w:color w:val="222222"/>
          <w:sz w:val="27"/>
          <w:szCs w:val="27"/>
          <w:shd w:val="clear" w:color="auto" w:fill="FFFFFF"/>
        </w:rPr>
        <w:t>was performed using VITEK</w:t>
      </w:r>
      <w:r w:rsidR="00513F68" w:rsidRPr="00B010B3">
        <w:rPr>
          <w:color w:val="222222"/>
          <w:sz w:val="20"/>
          <w:szCs w:val="20"/>
          <w:shd w:val="clear" w:color="auto" w:fill="FFFFFF"/>
          <w:vertAlign w:val="superscript"/>
        </w:rPr>
        <w:t>®</w:t>
      </w:r>
      <w:r w:rsidR="00513F68" w:rsidRPr="00B010B3">
        <w:rPr>
          <w:color w:val="222222"/>
          <w:sz w:val="27"/>
          <w:szCs w:val="27"/>
          <w:shd w:val="clear" w:color="auto" w:fill="FFFFFF"/>
        </w:rPr>
        <w:t> technique (</w:t>
      </w:r>
      <w:proofErr w:type="spellStart"/>
      <w:r w:rsidR="00513F68" w:rsidRPr="00B010B3">
        <w:rPr>
          <w:color w:val="222222"/>
          <w:sz w:val="27"/>
          <w:szCs w:val="27"/>
          <w:shd w:val="clear" w:color="auto" w:fill="FFFFFF"/>
        </w:rPr>
        <w:t>BioMérieux</w:t>
      </w:r>
      <w:proofErr w:type="spellEnd"/>
      <w:r w:rsidR="00513F68" w:rsidRPr="00B010B3">
        <w:rPr>
          <w:color w:val="222222"/>
          <w:sz w:val="27"/>
          <w:szCs w:val="27"/>
          <w:shd w:val="clear" w:color="auto" w:fill="FFFFFF"/>
        </w:rPr>
        <w:t xml:space="preserve">, Marcy </w:t>
      </w:r>
      <w:proofErr w:type="spellStart"/>
      <w:r w:rsidR="00513F68" w:rsidRPr="00B010B3">
        <w:rPr>
          <w:color w:val="222222"/>
          <w:sz w:val="27"/>
          <w:szCs w:val="27"/>
          <w:shd w:val="clear" w:color="auto" w:fill="FFFFFF"/>
        </w:rPr>
        <w:t>l’Etoile</w:t>
      </w:r>
      <w:proofErr w:type="spellEnd"/>
      <w:r w:rsidR="00513F68" w:rsidRPr="00B010B3">
        <w:rPr>
          <w:color w:val="222222"/>
          <w:sz w:val="27"/>
          <w:szCs w:val="27"/>
          <w:shd w:val="clear" w:color="auto" w:fill="FFFFFF"/>
        </w:rPr>
        <w:t xml:space="preserve">, France) for identification of </w:t>
      </w:r>
      <w:r w:rsidR="00813F4D" w:rsidRPr="00B010B3">
        <w:rPr>
          <w:i/>
          <w:iCs/>
          <w:color w:val="0F1115"/>
        </w:rPr>
        <w:t>S. aureus</w:t>
      </w:r>
      <w:r w:rsidR="00513F68" w:rsidRPr="00B010B3">
        <w:rPr>
          <w:color w:val="222222"/>
          <w:sz w:val="27"/>
          <w:szCs w:val="27"/>
          <w:shd w:val="clear" w:color="auto" w:fill="FFFFFF"/>
        </w:rPr>
        <w:t xml:space="preserve"> isolates using ID-</w:t>
      </w:r>
      <w:proofErr w:type="spellStart"/>
      <w:r w:rsidR="00513F68" w:rsidRPr="00B010B3">
        <w:rPr>
          <w:color w:val="222222"/>
          <w:sz w:val="27"/>
          <w:szCs w:val="27"/>
          <w:shd w:val="clear" w:color="auto" w:fill="FFFFFF"/>
        </w:rPr>
        <w:t>GpVITEK</w:t>
      </w:r>
      <w:proofErr w:type="spellEnd"/>
      <w:r w:rsidR="00513F68" w:rsidRPr="00B010B3">
        <w:rPr>
          <w:color w:val="222222"/>
          <w:sz w:val="20"/>
          <w:szCs w:val="20"/>
          <w:shd w:val="clear" w:color="auto" w:fill="FFFFFF"/>
          <w:vertAlign w:val="superscript"/>
        </w:rPr>
        <w:t>®</w:t>
      </w:r>
      <w:r w:rsidR="00513F68" w:rsidRPr="00B010B3">
        <w:rPr>
          <w:color w:val="222222"/>
          <w:sz w:val="27"/>
          <w:szCs w:val="27"/>
          <w:shd w:val="clear" w:color="auto" w:fill="FFFFFF"/>
        </w:rPr>
        <w:t> identification cards. For subsequent examination, the identified isolates were stored at −20 °C in brain heart infusion broth (</w:t>
      </w:r>
      <w:proofErr w:type="spellStart"/>
      <w:r w:rsidR="00885BBF" w:rsidRPr="00B010B3">
        <w:rPr>
          <w:color w:val="0F1115"/>
        </w:rPr>
        <w:t>bioMérieux</w:t>
      </w:r>
      <w:proofErr w:type="spellEnd"/>
      <w:r w:rsidR="00885BBF" w:rsidRPr="00B010B3">
        <w:rPr>
          <w:color w:val="0F1115"/>
        </w:rPr>
        <w:t>, France</w:t>
      </w:r>
      <w:r w:rsidR="00513F68" w:rsidRPr="00B010B3">
        <w:rPr>
          <w:color w:val="222222"/>
          <w:sz w:val="27"/>
          <w:szCs w:val="27"/>
          <w:shd w:val="clear" w:color="auto" w:fill="FFFFFF"/>
        </w:rPr>
        <w:t>) containing 30% glycerol.</w:t>
      </w:r>
    </w:p>
    <w:p w14:paraId="6AE9BEF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2.3 Phenotypic Detection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w:t>
      </w:r>
    </w:p>
    <w:p w14:paraId="2450B3CC"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Vancomycin resistance was screened for all confirmed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isolates using the disk diffusion method on Mueller-Hinton Agar (MHA) (</w:t>
      </w:r>
      <w:proofErr w:type="spellStart"/>
      <w:r w:rsidRPr="00B010B3">
        <w:rPr>
          <w:rFonts w:ascii="Times New Roman" w:eastAsia="Times New Roman" w:hAnsi="Times New Roman" w:cs="Times New Roman"/>
          <w:color w:val="0F1115"/>
          <w:sz w:val="24"/>
          <w:szCs w:val="24"/>
        </w:rPr>
        <w:t>Oxoid</w:t>
      </w:r>
      <w:proofErr w:type="spellEnd"/>
      <w:r w:rsidRPr="00B010B3">
        <w:rPr>
          <w:rFonts w:ascii="Times New Roman" w:eastAsia="Times New Roman" w:hAnsi="Times New Roman" w:cs="Times New Roman"/>
          <w:color w:val="0F1115"/>
          <w:sz w:val="24"/>
          <w:szCs w:val="24"/>
        </w:rPr>
        <w:t>, UK), as per Clinical and Laboratory Standards Institute (CLSI, 2019) guidelines. A 0.5 McFarland standard suspension of each isolate was lawn-cultured on MHA. A vancomycin (10 µg) disk (</w:t>
      </w:r>
      <w:proofErr w:type="spellStart"/>
      <w:r w:rsidRPr="00B010B3">
        <w:rPr>
          <w:rFonts w:ascii="Times New Roman" w:eastAsia="Times New Roman" w:hAnsi="Times New Roman" w:cs="Times New Roman"/>
          <w:color w:val="0F1115"/>
          <w:sz w:val="24"/>
          <w:szCs w:val="24"/>
        </w:rPr>
        <w:t>Oxoid</w:t>
      </w:r>
      <w:proofErr w:type="spellEnd"/>
      <w:r w:rsidRPr="00B010B3">
        <w:rPr>
          <w:rFonts w:ascii="Times New Roman" w:eastAsia="Times New Roman" w:hAnsi="Times New Roman" w:cs="Times New Roman"/>
          <w:color w:val="0F1115"/>
          <w:sz w:val="24"/>
          <w:szCs w:val="24"/>
        </w:rPr>
        <w:t>, UK) was placed, and plates were incubated at 37°C for 24 hours. An inhibition zone diameter of ≤14 mm was interpreted as vancomycin-resistant (VRSA).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ATCC 25923 was used as a quality control strain</w:t>
      </w:r>
      <w:r w:rsidR="00F05F59" w:rsidRPr="00B010B3">
        <w:rPr>
          <w:rFonts w:ascii="Times New Roman" w:eastAsia="Times New Roman" w:hAnsi="Times New Roman" w:cs="Times New Roman"/>
          <w:color w:val="0F1115"/>
          <w:sz w:val="24"/>
          <w:szCs w:val="24"/>
        </w:rPr>
        <w:t xml:space="preserve"> (</w:t>
      </w:r>
      <w:commentRangeStart w:id="1"/>
      <w:r w:rsidR="00F05F59" w:rsidRPr="00B010B3">
        <w:rPr>
          <w:rFonts w:ascii="Times New Roman" w:eastAsia="Times New Roman" w:hAnsi="Times New Roman" w:cs="Times New Roman"/>
          <w:color w:val="0F1115"/>
          <w:sz w:val="24"/>
          <w:szCs w:val="24"/>
        </w:rPr>
        <w:t>CLSI, 2019</w:t>
      </w:r>
      <w:commentRangeEnd w:id="1"/>
      <w:r w:rsidR="00D633AE">
        <w:rPr>
          <w:rStyle w:val="CommentReference"/>
        </w:rPr>
        <w:commentReference w:id="1"/>
      </w:r>
      <w:r w:rsidR="00F05F59" w:rsidRPr="00B010B3">
        <w:rPr>
          <w:rFonts w:ascii="Times New Roman" w:eastAsia="Times New Roman" w:hAnsi="Times New Roman" w:cs="Times New Roman"/>
          <w:color w:val="0F1115"/>
          <w:sz w:val="24"/>
          <w:szCs w:val="24"/>
        </w:rPr>
        <w:t>)</w:t>
      </w:r>
      <w:r w:rsidRPr="00B010B3">
        <w:rPr>
          <w:rFonts w:ascii="Times New Roman" w:eastAsia="Times New Roman" w:hAnsi="Times New Roman" w:cs="Times New Roman"/>
          <w:color w:val="0F1115"/>
          <w:sz w:val="24"/>
          <w:szCs w:val="24"/>
        </w:rPr>
        <w:t>.</w:t>
      </w:r>
    </w:p>
    <w:p w14:paraId="470E627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2.4 Antibiotic Susceptibility Testing (AST) of VRSA Isolates</w:t>
      </w:r>
    </w:p>
    <w:p w14:paraId="0DE44267" w14:textId="77777777" w:rsidR="00786729" w:rsidRPr="00B010B3" w:rsidRDefault="00786729" w:rsidP="009D342E">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antibiotic susceptibility profiles of all VRSA isolates were determined using the Kirby-Bauer disk diffusion method on MHA, following CLSI (2019) guidelines. The panel of 15 antibiotic disks (</w:t>
      </w:r>
      <w:proofErr w:type="spellStart"/>
      <w:r w:rsidRPr="00B010B3">
        <w:rPr>
          <w:rFonts w:ascii="Times New Roman" w:eastAsia="Times New Roman" w:hAnsi="Times New Roman" w:cs="Times New Roman"/>
          <w:color w:val="0F1115"/>
          <w:sz w:val="24"/>
          <w:szCs w:val="24"/>
        </w:rPr>
        <w:t>Oxoid</w:t>
      </w:r>
      <w:proofErr w:type="spellEnd"/>
      <w:r w:rsidRPr="00B010B3">
        <w:rPr>
          <w:rFonts w:ascii="Times New Roman" w:eastAsia="Times New Roman" w:hAnsi="Times New Roman" w:cs="Times New Roman"/>
          <w:color w:val="0F1115"/>
          <w:sz w:val="24"/>
          <w:szCs w:val="24"/>
        </w:rPr>
        <w:t xml:space="preserve">, UK) included: amoxicillin-clavulanic acid (20/10 µg), aztreonam (30 µg), ceftazidime (30 µg), ceftriaxone (30 µg), cefoxitin (30 µg), ciprofloxacin (5 µg), clindamycin (2 µg), erythromycin (15 µg), gentamicin (10 µg), imipenem (10 µg), levofloxacin (5 µg), </w:t>
      </w:r>
      <w:r w:rsidRPr="00B010B3">
        <w:rPr>
          <w:rFonts w:ascii="Times New Roman" w:eastAsia="Times New Roman" w:hAnsi="Times New Roman" w:cs="Times New Roman"/>
          <w:color w:val="0F1115"/>
          <w:sz w:val="24"/>
          <w:szCs w:val="24"/>
        </w:rPr>
        <w:lastRenderedPageBreak/>
        <w:t>streptomycin (25 µg), tetracycline (30 µg), trimethoprim-sulfamethoxazole (1.25/23.75 µg), and vancomycin (30 µg). Results were interpreted as Susceptible (S), Intermediate (I), or Resistant (R) using CLSI breakpoints</w:t>
      </w:r>
      <w:r w:rsidR="00532ECD" w:rsidRPr="00B010B3">
        <w:rPr>
          <w:rFonts w:ascii="Times New Roman" w:eastAsia="Times New Roman" w:hAnsi="Times New Roman" w:cs="Times New Roman"/>
          <w:color w:val="0F1115"/>
          <w:sz w:val="24"/>
          <w:szCs w:val="24"/>
        </w:rPr>
        <w:t xml:space="preserve"> (CLSI, 2019</w:t>
      </w:r>
      <w:r w:rsidR="008D26EF" w:rsidRPr="00B010B3">
        <w:rPr>
          <w:rFonts w:ascii="Times New Roman" w:eastAsia="Times New Roman" w:hAnsi="Times New Roman" w:cs="Times New Roman"/>
          <w:color w:val="0F1115"/>
          <w:sz w:val="24"/>
          <w:szCs w:val="24"/>
        </w:rPr>
        <w:t xml:space="preserve">; </w:t>
      </w:r>
      <w:r w:rsidR="008D26EF" w:rsidRPr="00B010B3">
        <w:rPr>
          <w:rFonts w:ascii="Times New Roman" w:hAnsi="Times New Roman" w:cs="Times New Roman"/>
        </w:rPr>
        <w:t xml:space="preserve">Peter </w:t>
      </w:r>
      <w:r w:rsidR="00B010B3" w:rsidRPr="00B010B3">
        <w:rPr>
          <w:rFonts w:ascii="Times New Roman" w:hAnsi="Times New Roman" w:cs="Times New Roman"/>
          <w:i/>
        </w:rPr>
        <w:t>et al</w:t>
      </w:r>
      <w:r w:rsidR="008D26EF" w:rsidRPr="00B010B3">
        <w:rPr>
          <w:rFonts w:ascii="Times New Roman" w:hAnsi="Times New Roman" w:cs="Times New Roman"/>
          <w:i/>
        </w:rPr>
        <w:t>.,</w:t>
      </w:r>
      <w:r w:rsidR="008D26EF" w:rsidRPr="00B010B3">
        <w:rPr>
          <w:rFonts w:ascii="Times New Roman" w:hAnsi="Times New Roman" w:cs="Times New Roman"/>
        </w:rPr>
        <w:t xml:space="preserve"> 2022</w:t>
      </w:r>
      <w:r w:rsidR="00532ECD" w:rsidRPr="00B010B3">
        <w:rPr>
          <w:rFonts w:ascii="Times New Roman" w:eastAsia="Times New Roman" w:hAnsi="Times New Roman" w:cs="Times New Roman"/>
          <w:color w:val="0F1115"/>
          <w:sz w:val="24"/>
          <w:szCs w:val="24"/>
        </w:rPr>
        <w:t>)</w:t>
      </w:r>
      <w:r w:rsidRPr="00B010B3">
        <w:rPr>
          <w:rFonts w:ascii="Times New Roman" w:eastAsia="Times New Roman" w:hAnsi="Times New Roman" w:cs="Times New Roman"/>
          <w:color w:val="0F1115"/>
          <w:sz w:val="24"/>
          <w:szCs w:val="24"/>
        </w:rPr>
        <w:t>.</w:t>
      </w:r>
    </w:p>
    <w:p w14:paraId="08D434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2.5 Determination of Multiple Antibiotic Resistance (MAR) Index</w:t>
      </w:r>
    </w:p>
    <w:p w14:paraId="4FF765BD" w14:textId="77777777" w:rsidR="001D1950"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MAR index for each VRSA isolate was calculated as </w:t>
      </w:r>
      <w:r w:rsidRPr="00B010B3">
        <w:rPr>
          <w:rFonts w:ascii="Times New Roman" w:eastAsia="Times New Roman" w:hAnsi="Times New Roman" w:cs="Times New Roman"/>
          <w:b/>
          <w:bCs/>
          <w:color w:val="0F1115"/>
          <w:sz w:val="24"/>
          <w:szCs w:val="24"/>
        </w:rPr>
        <w:t>a/b</w:t>
      </w:r>
      <w:r w:rsidRPr="00B010B3">
        <w:rPr>
          <w:rFonts w:ascii="Times New Roman" w:eastAsia="Times New Roman" w:hAnsi="Times New Roman" w:cs="Times New Roman"/>
          <w:color w:val="0F1115"/>
          <w:sz w:val="24"/>
          <w:szCs w:val="24"/>
        </w:rPr>
        <w:t>, where </w:t>
      </w:r>
      <w:r w:rsidRPr="00B010B3">
        <w:rPr>
          <w:rFonts w:ascii="Times New Roman" w:eastAsia="Times New Roman" w:hAnsi="Times New Roman" w:cs="Times New Roman"/>
          <w:b/>
          <w:bCs/>
          <w:color w:val="0F1115"/>
          <w:sz w:val="24"/>
          <w:szCs w:val="24"/>
        </w:rPr>
        <w:t>a</w:t>
      </w:r>
      <w:r w:rsidRPr="00B010B3">
        <w:rPr>
          <w:rFonts w:ascii="Times New Roman" w:eastAsia="Times New Roman" w:hAnsi="Times New Roman" w:cs="Times New Roman"/>
          <w:color w:val="0F1115"/>
          <w:sz w:val="24"/>
          <w:szCs w:val="24"/>
        </w:rPr>
        <w:t> = number of antibiotics to which the isolate was resistant, and </w:t>
      </w:r>
      <w:r w:rsidRPr="00B010B3">
        <w:rPr>
          <w:rFonts w:ascii="Times New Roman" w:eastAsia="Times New Roman" w:hAnsi="Times New Roman" w:cs="Times New Roman"/>
          <w:b/>
          <w:bCs/>
          <w:color w:val="0F1115"/>
          <w:sz w:val="24"/>
          <w:szCs w:val="24"/>
        </w:rPr>
        <w:t>b</w:t>
      </w:r>
      <w:r w:rsidRPr="00B010B3">
        <w:rPr>
          <w:rFonts w:ascii="Times New Roman" w:eastAsia="Times New Roman" w:hAnsi="Times New Roman" w:cs="Times New Roman"/>
          <w:color w:val="0F1115"/>
          <w:sz w:val="24"/>
          <w:szCs w:val="24"/>
        </w:rPr>
        <w:t> = total number of antibiotics tested (15) (</w:t>
      </w:r>
      <w:r w:rsidR="001D1950" w:rsidRPr="00B010B3">
        <w:rPr>
          <w:rFonts w:ascii="Times New Roman" w:hAnsi="Times New Roman" w:cs="Times New Roman"/>
          <w:color w:val="222222"/>
          <w:shd w:val="clear" w:color="auto" w:fill="FFFFFF"/>
        </w:rPr>
        <w:t xml:space="preserve">John-Onwe </w:t>
      </w:r>
      <w:r w:rsidR="00B010B3" w:rsidRPr="00B010B3">
        <w:rPr>
          <w:rFonts w:ascii="Times New Roman" w:hAnsi="Times New Roman" w:cs="Times New Roman"/>
          <w:i/>
          <w:color w:val="222222"/>
          <w:shd w:val="clear" w:color="auto" w:fill="FFFFFF"/>
        </w:rPr>
        <w:t>et al</w:t>
      </w:r>
      <w:r w:rsidR="001D1950" w:rsidRPr="00B010B3">
        <w:rPr>
          <w:rFonts w:ascii="Times New Roman" w:hAnsi="Times New Roman" w:cs="Times New Roman"/>
          <w:i/>
          <w:color w:val="222222"/>
          <w:shd w:val="clear" w:color="auto" w:fill="FFFFFF"/>
        </w:rPr>
        <w:t>.,</w:t>
      </w:r>
      <w:r w:rsidR="001D1950" w:rsidRPr="00B010B3">
        <w:rPr>
          <w:rFonts w:ascii="Times New Roman" w:hAnsi="Times New Roman" w:cs="Times New Roman"/>
          <w:color w:val="222222"/>
          <w:shd w:val="clear" w:color="auto" w:fill="FFFFFF"/>
        </w:rPr>
        <w:t xml:space="preserve"> 2023</w:t>
      </w:r>
      <w:r w:rsidR="00507D7C" w:rsidRPr="00B010B3">
        <w:rPr>
          <w:rFonts w:ascii="Times New Roman" w:hAnsi="Times New Roman" w:cs="Times New Roman"/>
          <w:color w:val="222222"/>
          <w:shd w:val="clear" w:color="auto" w:fill="FFFFFF"/>
        </w:rPr>
        <w:t xml:space="preserve">; </w:t>
      </w:r>
      <w:proofErr w:type="spellStart"/>
      <w:r w:rsidR="00507D7C" w:rsidRPr="00B010B3">
        <w:rPr>
          <w:rFonts w:ascii="Times New Roman" w:eastAsia="Calibri" w:hAnsi="Times New Roman" w:cs="Times New Roman"/>
          <w:bCs/>
        </w:rPr>
        <w:t>Edemekong</w:t>
      </w:r>
      <w:proofErr w:type="spellEnd"/>
      <w:r w:rsidR="00507D7C" w:rsidRPr="00B010B3">
        <w:rPr>
          <w:rFonts w:ascii="Times New Roman" w:eastAsia="Calibri" w:hAnsi="Times New Roman" w:cs="Times New Roman"/>
          <w:bCs/>
        </w:rPr>
        <w:t xml:space="preserve"> </w:t>
      </w:r>
      <w:r w:rsidR="00B010B3" w:rsidRPr="00B010B3">
        <w:rPr>
          <w:rFonts w:ascii="Times New Roman" w:eastAsia="Calibri" w:hAnsi="Times New Roman" w:cs="Times New Roman"/>
          <w:bCs/>
          <w:i/>
        </w:rPr>
        <w:t>et al</w:t>
      </w:r>
      <w:r w:rsidR="00507D7C" w:rsidRPr="00B010B3">
        <w:rPr>
          <w:rFonts w:ascii="Times New Roman" w:eastAsia="Calibri" w:hAnsi="Times New Roman" w:cs="Times New Roman"/>
          <w:bCs/>
          <w:i/>
        </w:rPr>
        <w:t>.,</w:t>
      </w:r>
      <w:r w:rsidR="00507D7C" w:rsidRPr="00B010B3">
        <w:rPr>
          <w:rFonts w:ascii="Times New Roman" w:eastAsia="Calibri" w:hAnsi="Times New Roman" w:cs="Times New Roman"/>
          <w:bCs/>
        </w:rPr>
        <w:t xml:space="preserve"> 2022</w:t>
      </w:r>
      <w:r w:rsidRPr="00B010B3">
        <w:rPr>
          <w:rFonts w:ascii="Times New Roman" w:eastAsia="Times New Roman" w:hAnsi="Times New Roman" w:cs="Times New Roman"/>
          <w:color w:val="0F1115"/>
          <w:sz w:val="24"/>
          <w:szCs w:val="24"/>
        </w:rPr>
        <w:t>). An MAR index &gt; 0.2 indicates isolates from high-risk sources with significant antibiotic exposure.</w:t>
      </w:r>
    </w:p>
    <w:p w14:paraId="6106D6E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2.6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5E6F548D"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2.6.1 DNA Extraction:</w:t>
      </w:r>
      <w:r w:rsidRPr="00B010B3">
        <w:rPr>
          <w:rFonts w:ascii="Times New Roman" w:eastAsia="Times New Roman" w:hAnsi="Times New Roman" w:cs="Times New Roman"/>
          <w:color w:val="0F1115"/>
          <w:sz w:val="24"/>
          <w:szCs w:val="24"/>
        </w:rPr>
        <w:t> Genomic DNA was extracted from a subset of phenotypically confirmed VRSA isolates (n=</w:t>
      </w:r>
      <w:r w:rsidR="00CF65E3" w:rsidRPr="00B010B3">
        <w:rPr>
          <w:rFonts w:ascii="Times New Roman" w:eastAsia="Times New Roman" w:hAnsi="Times New Roman" w:cs="Times New Roman"/>
          <w:color w:val="0F1115"/>
          <w:sz w:val="24"/>
          <w:szCs w:val="24"/>
        </w:rPr>
        <w:t>60</w:t>
      </w:r>
      <w:r w:rsidRPr="00B010B3">
        <w:rPr>
          <w:rFonts w:ascii="Times New Roman" w:eastAsia="Times New Roman" w:hAnsi="Times New Roman" w:cs="Times New Roman"/>
          <w:color w:val="0F1115"/>
          <w:sz w:val="24"/>
          <w:szCs w:val="24"/>
        </w:rPr>
        <w:t xml:space="preserve">) using the ZR Bacterial DNA </w:t>
      </w:r>
      <w:proofErr w:type="spellStart"/>
      <w:r w:rsidRPr="00B010B3">
        <w:rPr>
          <w:rFonts w:ascii="Times New Roman" w:eastAsia="Times New Roman" w:hAnsi="Times New Roman" w:cs="Times New Roman"/>
          <w:color w:val="0F1115"/>
          <w:sz w:val="24"/>
          <w:szCs w:val="24"/>
        </w:rPr>
        <w:t>MiniPrep</w:t>
      </w:r>
      <w:proofErr w:type="spellEnd"/>
      <w:r w:rsidRPr="00B010B3">
        <w:rPr>
          <w:rFonts w:ascii="Times New Roman" w:eastAsia="Times New Roman" w:hAnsi="Times New Roman" w:cs="Times New Roman"/>
          <w:color w:val="0F1115"/>
          <w:sz w:val="24"/>
          <w:szCs w:val="24"/>
        </w:rPr>
        <w:t>™ kit (</w:t>
      </w:r>
      <w:proofErr w:type="spellStart"/>
      <w:r w:rsidRPr="00B010B3">
        <w:rPr>
          <w:rFonts w:ascii="Times New Roman" w:eastAsia="Times New Roman" w:hAnsi="Times New Roman" w:cs="Times New Roman"/>
          <w:color w:val="0F1115"/>
          <w:sz w:val="24"/>
          <w:szCs w:val="24"/>
        </w:rPr>
        <w:t>Zymo</w:t>
      </w:r>
      <w:proofErr w:type="spellEnd"/>
      <w:r w:rsidRPr="00B010B3">
        <w:rPr>
          <w:rFonts w:ascii="Times New Roman" w:eastAsia="Times New Roman" w:hAnsi="Times New Roman" w:cs="Times New Roman"/>
          <w:color w:val="0F1115"/>
          <w:sz w:val="24"/>
          <w:szCs w:val="24"/>
        </w:rPr>
        <w:t xml:space="preserve"> Research, USA) according to the manufacturer's instructions</w:t>
      </w:r>
      <w:r w:rsidR="00303B14" w:rsidRPr="00B010B3">
        <w:rPr>
          <w:rFonts w:ascii="Times New Roman" w:eastAsia="Times New Roman" w:hAnsi="Times New Roman" w:cs="Times New Roman"/>
          <w:color w:val="0F1115"/>
          <w:sz w:val="24"/>
          <w:szCs w:val="24"/>
        </w:rPr>
        <w:t xml:space="preserve"> (</w:t>
      </w:r>
      <w:proofErr w:type="spellStart"/>
      <w:r w:rsidR="00303B14" w:rsidRPr="00B010B3">
        <w:rPr>
          <w:rFonts w:ascii="Times New Roman" w:eastAsia="Times New Roman" w:hAnsi="Times New Roman" w:cs="Times New Roman"/>
          <w:color w:val="0F1115"/>
          <w:sz w:val="24"/>
          <w:szCs w:val="24"/>
        </w:rPr>
        <w:t>Edemekong</w:t>
      </w:r>
      <w:proofErr w:type="spellEnd"/>
      <w:r w:rsidR="00303B14"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303B14" w:rsidRPr="00B010B3">
        <w:rPr>
          <w:rFonts w:ascii="Times New Roman" w:eastAsia="Times New Roman" w:hAnsi="Times New Roman" w:cs="Times New Roman"/>
          <w:i/>
          <w:color w:val="0F1115"/>
          <w:sz w:val="24"/>
          <w:szCs w:val="24"/>
        </w:rPr>
        <w:t>.,</w:t>
      </w:r>
      <w:r w:rsidR="00303B14"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 DNA concentration and purity were checked using a Nanodrop spectrophotometer.</w:t>
      </w:r>
    </w:p>
    <w:p w14:paraId="700B8FFE" w14:textId="77777777" w:rsidR="00D2077C" w:rsidRPr="00B010B3" w:rsidRDefault="00786729" w:rsidP="00D2077C">
      <w:pPr>
        <w:shd w:val="clear" w:color="auto" w:fill="FFFFFF"/>
        <w:spacing w:before="240" w:after="240" w:line="240" w:lineRule="auto"/>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Polymerase Chain Reaction (PCR) for </w:t>
      </w:r>
      <w:proofErr w:type="spellStart"/>
      <w:r w:rsidRPr="00B010B3">
        <w:rPr>
          <w:rFonts w:ascii="Times New Roman" w:eastAsia="Times New Roman" w:hAnsi="Times New Roman" w:cs="Times New Roman"/>
          <w:b/>
          <w:bCs/>
          <w:i/>
          <w:iCs/>
          <w:color w:val="0F1115"/>
          <w:sz w:val="24"/>
          <w:szCs w:val="24"/>
        </w:rPr>
        <w:t>vanA</w:t>
      </w:r>
      <w:proofErr w:type="spellEnd"/>
    </w:p>
    <w:p w14:paraId="069FFD43" w14:textId="77777777" w:rsidR="00786729" w:rsidRPr="00B010B3" w:rsidRDefault="00786729" w:rsidP="00D2077C">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Specific primers were used to amplify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Forward: 5′-CATGAATAGAATAAAAGTTGCAATA-3′</w:t>
      </w:r>
      <w:r w:rsidR="00D2077C"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Reverse: 5′-CCCTTTAACGCTAATACGATCAA-3′</w:t>
      </w:r>
      <w:r w:rsidR="00D2077C" w:rsidRPr="00B010B3">
        <w:rPr>
          <w:rFonts w:ascii="Times New Roman" w:eastAsia="Times New Roman" w:hAnsi="Times New Roman" w:cs="Times New Roman"/>
          <w:color w:val="0F1115"/>
          <w:sz w:val="24"/>
          <w:szCs w:val="24"/>
        </w:rPr>
        <w:t xml:space="preserve"> with an e</w:t>
      </w:r>
      <w:r w:rsidRPr="00B010B3">
        <w:rPr>
          <w:rFonts w:ascii="Times New Roman" w:eastAsia="Times New Roman" w:hAnsi="Times New Roman" w:cs="Times New Roman"/>
          <w:color w:val="0F1115"/>
          <w:sz w:val="24"/>
          <w:szCs w:val="24"/>
        </w:rPr>
        <w:t>xpected amplicon size: 677 bp.</w:t>
      </w:r>
      <w:r w:rsidR="00D2077C"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The PCR mixture (25 µL total volume) contained 12.5 µL of 2X Taq Master Mix (New England Biolabs, USA), 1 µL each of forward and reverse primers (10 µM), 2 µL of DNA template, and 8.5 µL of nuclease-free water. The amplification protocol was: initial denaturation at 94°C for 5 min; 40 cycles of denaturation at 94°C for 30 s, annealing at 55°C for 40 s, and extension at 72°C for 50 s; followed by a final extension at 72°C for 10 min. Amplified products were visualized by electrophoresis on a 2% agarose gel stained with EZ-Vision DNA dye, using a 50-1000 bp DNA ladder (</w:t>
      </w:r>
      <w:proofErr w:type="spellStart"/>
      <w:r w:rsidRPr="00B010B3">
        <w:rPr>
          <w:rFonts w:ascii="Times New Roman" w:eastAsia="Times New Roman" w:hAnsi="Times New Roman" w:cs="Times New Roman"/>
          <w:color w:val="0F1115"/>
          <w:sz w:val="24"/>
          <w:szCs w:val="24"/>
        </w:rPr>
        <w:t>NZYtech</w:t>
      </w:r>
      <w:proofErr w:type="spellEnd"/>
      <w:r w:rsidRPr="00B010B3">
        <w:rPr>
          <w:rFonts w:ascii="Times New Roman" w:eastAsia="Times New Roman" w:hAnsi="Times New Roman" w:cs="Times New Roman"/>
          <w:color w:val="0F1115"/>
          <w:sz w:val="24"/>
          <w:szCs w:val="24"/>
        </w:rPr>
        <w:t>, Portugal). A UV transilluminator was used for imaging</w:t>
      </w:r>
      <w:r w:rsidR="0081516D" w:rsidRPr="00B010B3">
        <w:rPr>
          <w:rFonts w:ascii="Times New Roman" w:eastAsia="Times New Roman" w:hAnsi="Times New Roman" w:cs="Times New Roman"/>
          <w:color w:val="0F1115"/>
          <w:sz w:val="24"/>
          <w:szCs w:val="24"/>
        </w:rPr>
        <w:t xml:space="preserve"> (</w:t>
      </w:r>
      <w:proofErr w:type="spellStart"/>
      <w:r w:rsidR="0081516D" w:rsidRPr="00B010B3">
        <w:rPr>
          <w:rFonts w:ascii="Times New Roman" w:eastAsia="Times New Roman" w:hAnsi="Times New Roman" w:cs="Times New Roman"/>
          <w:color w:val="0F1115"/>
          <w:sz w:val="24"/>
          <w:szCs w:val="24"/>
        </w:rPr>
        <w:t>Edemekong</w:t>
      </w:r>
      <w:proofErr w:type="spellEnd"/>
      <w:r w:rsidR="0081516D"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81516D" w:rsidRPr="00B010B3">
        <w:rPr>
          <w:rFonts w:ascii="Times New Roman" w:eastAsia="Times New Roman" w:hAnsi="Times New Roman" w:cs="Times New Roman"/>
          <w:i/>
          <w:color w:val="0F1115"/>
          <w:sz w:val="24"/>
          <w:szCs w:val="24"/>
        </w:rPr>
        <w:t>.,</w:t>
      </w:r>
      <w:r w:rsidR="0081516D"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w:t>
      </w:r>
    </w:p>
    <w:p w14:paraId="42C39BBA"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 xml:space="preserve">2.7 </w:t>
      </w:r>
      <w:commentRangeStart w:id="2"/>
      <w:r w:rsidRPr="00B010B3">
        <w:rPr>
          <w:rFonts w:ascii="Times New Roman" w:eastAsia="Times New Roman" w:hAnsi="Times New Roman" w:cs="Times New Roman"/>
          <w:b/>
          <w:bCs/>
          <w:color w:val="0F1115"/>
          <w:sz w:val="24"/>
          <w:szCs w:val="24"/>
        </w:rPr>
        <w:t>Statistical Analysis</w:t>
      </w:r>
    </w:p>
    <w:p w14:paraId="653A04BC"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Data on prevalence and proportions were analyzed using descriptive statistics and presented as frequencies and percentages.</w:t>
      </w:r>
      <w:commentRangeEnd w:id="2"/>
      <w:r w:rsidR="00902A1A">
        <w:rPr>
          <w:rStyle w:val="CommentReference"/>
        </w:rPr>
        <w:commentReference w:id="2"/>
      </w:r>
    </w:p>
    <w:p w14:paraId="7DD49C26"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3. RESULTS</w:t>
      </w:r>
    </w:p>
    <w:p w14:paraId="607767A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and Phenotypic VRSA</w:t>
      </w:r>
    </w:p>
    <w:p w14:paraId="5FD113B7" w14:textId="77777777" w:rsidR="00786729" w:rsidRPr="00B010B3" w:rsidRDefault="00786729" w:rsidP="00B010B3">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Out of 120 porcine rectal swabs analyzed, 93 were confirmed as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yielding a prevalence of 77.5%. Phenotypic screening for vancomycin resistance revealed a startling result: 66 out of the 93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isolates (91.67%) were resistant to vancomycin, classifying them as VRSA (Table 1).</w:t>
      </w:r>
    </w:p>
    <w:p w14:paraId="72EE3256"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lastRenderedPageBreak/>
        <w:t>Table 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and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 from porcine rectal swabs.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1719"/>
        <w:gridCol w:w="2693"/>
        <w:gridCol w:w="3110"/>
      </w:tblGrid>
      <w:tr w:rsidR="00786729" w:rsidRPr="00B010B3" w14:paraId="42EFF4DA" w14:textId="77777777" w:rsidTr="00A96D2E">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70E0BCC"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Sample Type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E76302"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No. Collected</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CE0BA9"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 Positive,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6A21441"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VRSA Positive, n (% of </w:t>
            </w: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w:t>
            </w:r>
          </w:p>
        </w:tc>
      </w:tr>
      <w:tr w:rsidR="00786729" w:rsidRPr="00B010B3" w14:paraId="041A774B" w14:textId="77777777" w:rsidTr="00A96D2E">
        <w:tc>
          <w:tcPr>
            <w:tcW w:w="0" w:type="auto"/>
            <w:tcBorders>
              <w:top w:val="single" w:sz="4" w:space="0" w:color="auto"/>
            </w:tcBorders>
            <w:tcMar>
              <w:top w:w="150" w:type="dxa"/>
              <w:left w:w="0" w:type="dxa"/>
              <w:bottom w:w="150" w:type="dxa"/>
              <w:right w:w="240" w:type="dxa"/>
            </w:tcMar>
            <w:vAlign w:val="center"/>
            <w:hideMark/>
          </w:tcPr>
          <w:p w14:paraId="0A91372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Porcine Rectal Swab</w:t>
            </w:r>
          </w:p>
        </w:tc>
        <w:tc>
          <w:tcPr>
            <w:tcW w:w="0" w:type="auto"/>
            <w:tcBorders>
              <w:top w:val="single" w:sz="4" w:space="0" w:color="auto"/>
            </w:tcBorders>
            <w:tcMar>
              <w:top w:w="150" w:type="dxa"/>
              <w:left w:w="240" w:type="dxa"/>
              <w:bottom w:w="150" w:type="dxa"/>
              <w:right w:w="240" w:type="dxa"/>
            </w:tcMar>
            <w:vAlign w:val="center"/>
            <w:hideMark/>
          </w:tcPr>
          <w:p w14:paraId="7FFC77A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120</w:t>
            </w:r>
          </w:p>
        </w:tc>
        <w:tc>
          <w:tcPr>
            <w:tcW w:w="0" w:type="auto"/>
            <w:tcBorders>
              <w:top w:val="single" w:sz="4" w:space="0" w:color="auto"/>
            </w:tcBorders>
            <w:tcMar>
              <w:top w:w="150" w:type="dxa"/>
              <w:left w:w="240" w:type="dxa"/>
              <w:bottom w:w="150" w:type="dxa"/>
              <w:right w:w="240" w:type="dxa"/>
            </w:tcMar>
            <w:vAlign w:val="center"/>
            <w:hideMark/>
          </w:tcPr>
          <w:p w14:paraId="13862D63"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93 (77.5)</w:t>
            </w:r>
          </w:p>
        </w:tc>
        <w:tc>
          <w:tcPr>
            <w:tcW w:w="0" w:type="auto"/>
            <w:tcBorders>
              <w:top w:val="single" w:sz="4" w:space="0" w:color="auto"/>
            </w:tcBorders>
            <w:tcMar>
              <w:top w:w="150" w:type="dxa"/>
              <w:left w:w="240" w:type="dxa"/>
              <w:bottom w:w="150" w:type="dxa"/>
              <w:right w:w="0" w:type="dxa"/>
            </w:tcMar>
            <w:vAlign w:val="center"/>
            <w:hideMark/>
          </w:tcPr>
          <w:p w14:paraId="1D87F6F9"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66 (91.67)</w:t>
            </w:r>
          </w:p>
        </w:tc>
      </w:tr>
    </w:tbl>
    <w:p w14:paraId="065F1AA4"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3.2 Antibiotic Resistance Profile of VRSA Isolates</w:t>
      </w:r>
    </w:p>
    <w:p w14:paraId="098DC75E" w14:textId="77777777" w:rsidR="00786729" w:rsidRPr="00B010B3" w:rsidRDefault="00786729" w:rsidP="00B010B3">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66 VRSA isolates exhibited an extensive and alarming multidrug resistance (MDR) profile. All isolates (100%) were resistant to eight antibiotics: vancomycin, amoxicillin-clavulanic acid, aztreonam, ceftazidime, cefoxitin, imipenem, tetracycline, and trimethoprim-sulfamethoxazole (Table 2). Very high resistance was also recorded against ceftriaxone (91.43%) and streptomycin (88.57%). Resistance to erythromycin and clindamycin was 57.14% and 42.86%, respectively. A lower level of resistance was observed for ciprofloxacin (22.86%). In contrast, the VRSA isolates retained high susceptibility to gentamicin (97.14% susceptible) and levofloxacin (88.57% susceptible).</w:t>
      </w:r>
    </w:p>
    <w:p w14:paraId="1F26270F"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Table 2: Antibiotic susceptibility profile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w:t>
      </w:r>
      <w:r w:rsidR="00B010B3">
        <w:rPr>
          <w:rFonts w:ascii="Times New Roman" w:eastAsia="Times New Roman" w:hAnsi="Times New Roman" w:cs="Times New Roman"/>
          <w:b/>
          <w:bCs/>
          <w:color w:val="0F1115"/>
          <w:sz w:val="24"/>
          <w:szCs w:val="24"/>
        </w:rPr>
        <w:t>(VRSA) isolates from pigs</w:t>
      </w:r>
      <w:r w:rsidRPr="00B010B3">
        <w:rPr>
          <w:rFonts w:ascii="Times New Roman" w:eastAsia="Times New Roman" w:hAnsi="Times New Roman" w:cs="Times New Roman"/>
          <w:b/>
          <w:bCs/>
          <w:color w:val="0F1115"/>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4"/>
        <w:gridCol w:w="1996"/>
        <w:gridCol w:w="1864"/>
        <w:gridCol w:w="2042"/>
      </w:tblGrid>
      <w:tr w:rsidR="00786729" w:rsidRPr="00B010B3" w14:paraId="61C6D81D" w14:textId="77777777" w:rsidTr="00C0601C">
        <w:trPr>
          <w:tblHeader/>
        </w:trPr>
        <w:tc>
          <w:tcPr>
            <w:tcW w:w="0" w:type="auto"/>
            <w:tcMar>
              <w:top w:w="150" w:type="dxa"/>
              <w:left w:w="0" w:type="dxa"/>
              <w:bottom w:w="150" w:type="dxa"/>
              <w:right w:w="240" w:type="dxa"/>
            </w:tcMar>
            <w:vAlign w:val="center"/>
            <w:hideMark/>
          </w:tcPr>
          <w:p w14:paraId="15B52FFC"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Antibiotic (Abbrev.)</w:t>
            </w:r>
          </w:p>
        </w:tc>
        <w:tc>
          <w:tcPr>
            <w:tcW w:w="0" w:type="auto"/>
            <w:tcMar>
              <w:top w:w="150" w:type="dxa"/>
              <w:left w:w="240" w:type="dxa"/>
              <w:bottom w:w="150" w:type="dxa"/>
              <w:right w:w="240" w:type="dxa"/>
            </w:tcMar>
            <w:vAlign w:val="center"/>
            <w:hideMark/>
          </w:tcPr>
          <w:p w14:paraId="62FE9F9A"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Disk Potency (µg)</w:t>
            </w:r>
          </w:p>
        </w:tc>
        <w:tc>
          <w:tcPr>
            <w:tcW w:w="0" w:type="auto"/>
            <w:tcMar>
              <w:top w:w="150" w:type="dxa"/>
              <w:left w:w="240" w:type="dxa"/>
              <w:bottom w:w="150" w:type="dxa"/>
              <w:right w:w="240" w:type="dxa"/>
            </w:tcMar>
            <w:vAlign w:val="center"/>
            <w:hideMark/>
          </w:tcPr>
          <w:p w14:paraId="5D3DB49B"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Resistant, n (%)</w:t>
            </w:r>
          </w:p>
        </w:tc>
        <w:tc>
          <w:tcPr>
            <w:tcW w:w="0" w:type="auto"/>
            <w:tcMar>
              <w:top w:w="150" w:type="dxa"/>
              <w:left w:w="240" w:type="dxa"/>
              <w:bottom w:w="150" w:type="dxa"/>
              <w:right w:w="240" w:type="dxa"/>
            </w:tcMar>
            <w:vAlign w:val="center"/>
            <w:hideMark/>
          </w:tcPr>
          <w:p w14:paraId="23467A19"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Susceptible, n (%)</w:t>
            </w:r>
          </w:p>
        </w:tc>
      </w:tr>
      <w:tr w:rsidR="00786729" w:rsidRPr="00B010B3" w14:paraId="132D27FA" w14:textId="77777777" w:rsidTr="00C0601C">
        <w:tc>
          <w:tcPr>
            <w:tcW w:w="0" w:type="auto"/>
            <w:tcMar>
              <w:top w:w="150" w:type="dxa"/>
              <w:left w:w="0" w:type="dxa"/>
              <w:bottom w:w="150" w:type="dxa"/>
              <w:right w:w="240" w:type="dxa"/>
            </w:tcMar>
            <w:vAlign w:val="center"/>
            <w:hideMark/>
          </w:tcPr>
          <w:p w14:paraId="245DB1D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Vancomycin (VA)</w:t>
            </w:r>
          </w:p>
        </w:tc>
        <w:tc>
          <w:tcPr>
            <w:tcW w:w="0" w:type="auto"/>
            <w:tcMar>
              <w:top w:w="150" w:type="dxa"/>
              <w:left w:w="240" w:type="dxa"/>
              <w:bottom w:w="150" w:type="dxa"/>
              <w:right w:w="240" w:type="dxa"/>
            </w:tcMar>
            <w:vAlign w:val="center"/>
            <w:hideMark/>
          </w:tcPr>
          <w:p w14:paraId="397D699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B498F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700BE3C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FA31C56" w14:textId="77777777" w:rsidTr="00C0601C">
        <w:tc>
          <w:tcPr>
            <w:tcW w:w="0" w:type="auto"/>
            <w:tcMar>
              <w:top w:w="150" w:type="dxa"/>
              <w:left w:w="0" w:type="dxa"/>
              <w:bottom w:w="150" w:type="dxa"/>
              <w:right w:w="240" w:type="dxa"/>
            </w:tcMar>
            <w:vAlign w:val="center"/>
            <w:hideMark/>
          </w:tcPr>
          <w:p w14:paraId="4663529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Amoxicillin-Clavulanate (AMC)</w:t>
            </w:r>
          </w:p>
        </w:tc>
        <w:tc>
          <w:tcPr>
            <w:tcW w:w="0" w:type="auto"/>
            <w:tcMar>
              <w:top w:w="150" w:type="dxa"/>
              <w:left w:w="240" w:type="dxa"/>
              <w:bottom w:w="150" w:type="dxa"/>
              <w:right w:w="240" w:type="dxa"/>
            </w:tcMar>
            <w:vAlign w:val="center"/>
            <w:hideMark/>
          </w:tcPr>
          <w:p w14:paraId="6B649AE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20/10</w:t>
            </w:r>
          </w:p>
        </w:tc>
        <w:tc>
          <w:tcPr>
            <w:tcW w:w="0" w:type="auto"/>
            <w:tcMar>
              <w:top w:w="150" w:type="dxa"/>
              <w:left w:w="240" w:type="dxa"/>
              <w:bottom w:w="150" w:type="dxa"/>
              <w:right w:w="240" w:type="dxa"/>
            </w:tcMar>
            <w:vAlign w:val="center"/>
            <w:hideMark/>
          </w:tcPr>
          <w:p w14:paraId="0D98BD7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7A9FED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6340ED9B" w14:textId="77777777" w:rsidTr="00C0601C">
        <w:tc>
          <w:tcPr>
            <w:tcW w:w="0" w:type="auto"/>
            <w:tcMar>
              <w:top w:w="150" w:type="dxa"/>
              <w:left w:w="0" w:type="dxa"/>
              <w:bottom w:w="150" w:type="dxa"/>
              <w:right w:w="240" w:type="dxa"/>
            </w:tcMar>
            <w:vAlign w:val="center"/>
            <w:hideMark/>
          </w:tcPr>
          <w:p w14:paraId="7F82BD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Aztreonam (ATM)</w:t>
            </w:r>
          </w:p>
        </w:tc>
        <w:tc>
          <w:tcPr>
            <w:tcW w:w="0" w:type="auto"/>
            <w:tcMar>
              <w:top w:w="150" w:type="dxa"/>
              <w:left w:w="240" w:type="dxa"/>
              <w:bottom w:w="150" w:type="dxa"/>
              <w:right w:w="240" w:type="dxa"/>
            </w:tcMar>
            <w:vAlign w:val="center"/>
            <w:hideMark/>
          </w:tcPr>
          <w:p w14:paraId="55B1674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1D526E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9433B2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439C90B" w14:textId="77777777" w:rsidTr="00C0601C">
        <w:tc>
          <w:tcPr>
            <w:tcW w:w="0" w:type="auto"/>
            <w:tcMar>
              <w:top w:w="150" w:type="dxa"/>
              <w:left w:w="0" w:type="dxa"/>
              <w:bottom w:w="150" w:type="dxa"/>
              <w:right w:w="240" w:type="dxa"/>
            </w:tcMar>
            <w:vAlign w:val="center"/>
            <w:hideMark/>
          </w:tcPr>
          <w:p w14:paraId="4CE8341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Ceftazidime (CAZ)</w:t>
            </w:r>
          </w:p>
        </w:tc>
        <w:tc>
          <w:tcPr>
            <w:tcW w:w="0" w:type="auto"/>
            <w:tcMar>
              <w:top w:w="150" w:type="dxa"/>
              <w:left w:w="240" w:type="dxa"/>
              <w:bottom w:w="150" w:type="dxa"/>
              <w:right w:w="240" w:type="dxa"/>
            </w:tcMar>
            <w:vAlign w:val="center"/>
            <w:hideMark/>
          </w:tcPr>
          <w:p w14:paraId="0324307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E63858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6B06F03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39894C17" w14:textId="77777777" w:rsidTr="00C0601C">
        <w:tc>
          <w:tcPr>
            <w:tcW w:w="0" w:type="auto"/>
            <w:tcMar>
              <w:top w:w="150" w:type="dxa"/>
              <w:left w:w="0" w:type="dxa"/>
              <w:bottom w:w="150" w:type="dxa"/>
              <w:right w:w="240" w:type="dxa"/>
            </w:tcMar>
            <w:vAlign w:val="center"/>
            <w:hideMark/>
          </w:tcPr>
          <w:p w14:paraId="37E26FD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Ceftriaxone (CRO)</w:t>
            </w:r>
          </w:p>
        </w:tc>
        <w:tc>
          <w:tcPr>
            <w:tcW w:w="0" w:type="auto"/>
            <w:tcMar>
              <w:top w:w="150" w:type="dxa"/>
              <w:left w:w="240" w:type="dxa"/>
              <w:bottom w:w="150" w:type="dxa"/>
              <w:right w:w="240" w:type="dxa"/>
            </w:tcMar>
            <w:vAlign w:val="center"/>
            <w:hideMark/>
          </w:tcPr>
          <w:p w14:paraId="04E9FBA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F6705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60 (90.9)</w:t>
            </w:r>
          </w:p>
        </w:tc>
        <w:tc>
          <w:tcPr>
            <w:tcW w:w="0" w:type="auto"/>
            <w:tcMar>
              <w:top w:w="150" w:type="dxa"/>
              <w:left w:w="240" w:type="dxa"/>
              <w:bottom w:w="150" w:type="dxa"/>
              <w:right w:w="0" w:type="dxa"/>
            </w:tcMar>
            <w:vAlign w:val="center"/>
            <w:hideMark/>
          </w:tcPr>
          <w:p w14:paraId="4E4B4B0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 (9.1)</w:t>
            </w:r>
          </w:p>
        </w:tc>
      </w:tr>
      <w:tr w:rsidR="00786729" w:rsidRPr="00B010B3" w14:paraId="39E29C21" w14:textId="77777777" w:rsidTr="00C0601C">
        <w:tc>
          <w:tcPr>
            <w:tcW w:w="0" w:type="auto"/>
            <w:tcMar>
              <w:top w:w="150" w:type="dxa"/>
              <w:left w:w="0" w:type="dxa"/>
              <w:bottom w:w="150" w:type="dxa"/>
              <w:right w:w="240" w:type="dxa"/>
            </w:tcMar>
            <w:vAlign w:val="center"/>
            <w:hideMark/>
          </w:tcPr>
          <w:p w14:paraId="6338E9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Cefoxitin (FOX)</w:t>
            </w:r>
          </w:p>
        </w:tc>
        <w:tc>
          <w:tcPr>
            <w:tcW w:w="0" w:type="auto"/>
            <w:tcMar>
              <w:top w:w="150" w:type="dxa"/>
              <w:left w:w="240" w:type="dxa"/>
              <w:bottom w:w="150" w:type="dxa"/>
              <w:right w:w="240" w:type="dxa"/>
            </w:tcMar>
            <w:vAlign w:val="center"/>
            <w:hideMark/>
          </w:tcPr>
          <w:p w14:paraId="195BB5E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6E5DFA7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65F87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EB2A321" w14:textId="77777777" w:rsidTr="00C0601C">
        <w:tc>
          <w:tcPr>
            <w:tcW w:w="0" w:type="auto"/>
            <w:tcMar>
              <w:top w:w="150" w:type="dxa"/>
              <w:left w:w="0" w:type="dxa"/>
              <w:bottom w:w="150" w:type="dxa"/>
              <w:right w:w="240" w:type="dxa"/>
            </w:tcMar>
            <w:vAlign w:val="center"/>
            <w:hideMark/>
          </w:tcPr>
          <w:p w14:paraId="458C6EC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Ciprofloxacin (CIP)</w:t>
            </w:r>
          </w:p>
        </w:tc>
        <w:tc>
          <w:tcPr>
            <w:tcW w:w="0" w:type="auto"/>
            <w:tcMar>
              <w:top w:w="150" w:type="dxa"/>
              <w:left w:w="240" w:type="dxa"/>
              <w:bottom w:w="150" w:type="dxa"/>
              <w:right w:w="240" w:type="dxa"/>
            </w:tcMar>
            <w:vAlign w:val="center"/>
            <w:hideMark/>
          </w:tcPr>
          <w:p w14:paraId="3782015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117A198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 (22.7)</w:t>
            </w:r>
          </w:p>
        </w:tc>
        <w:tc>
          <w:tcPr>
            <w:tcW w:w="0" w:type="auto"/>
            <w:tcMar>
              <w:top w:w="150" w:type="dxa"/>
              <w:left w:w="240" w:type="dxa"/>
              <w:bottom w:w="150" w:type="dxa"/>
              <w:right w:w="0" w:type="dxa"/>
            </w:tcMar>
            <w:vAlign w:val="center"/>
            <w:hideMark/>
          </w:tcPr>
          <w:p w14:paraId="14334A3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51 (77.3)</w:t>
            </w:r>
          </w:p>
        </w:tc>
      </w:tr>
      <w:tr w:rsidR="00786729" w:rsidRPr="00B010B3" w14:paraId="511311AB" w14:textId="77777777" w:rsidTr="00C0601C">
        <w:tc>
          <w:tcPr>
            <w:tcW w:w="0" w:type="auto"/>
            <w:tcMar>
              <w:top w:w="150" w:type="dxa"/>
              <w:left w:w="0" w:type="dxa"/>
              <w:bottom w:w="150" w:type="dxa"/>
              <w:right w:w="240" w:type="dxa"/>
            </w:tcMar>
            <w:vAlign w:val="center"/>
            <w:hideMark/>
          </w:tcPr>
          <w:p w14:paraId="7628F49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Clindamycin (DA)</w:t>
            </w:r>
          </w:p>
        </w:tc>
        <w:tc>
          <w:tcPr>
            <w:tcW w:w="0" w:type="auto"/>
            <w:tcMar>
              <w:top w:w="150" w:type="dxa"/>
              <w:left w:w="240" w:type="dxa"/>
              <w:bottom w:w="150" w:type="dxa"/>
              <w:right w:w="240" w:type="dxa"/>
            </w:tcMar>
            <w:vAlign w:val="center"/>
            <w:hideMark/>
          </w:tcPr>
          <w:p w14:paraId="1C3C294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w:t>
            </w:r>
          </w:p>
        </w:tc>
        <w:tc>
          <w:tcPr>
            <w:tcW w:w="0" w:type="auto"/>
            <w:tcMar>
              <w:top w:w="150" w:type="dxa"/>
              <w:left w:w="240" w:type="dxa"/>
              <w:bottom w:w="150" w:type="dxa"/>
              <w:right w:w="240" w:type="dxa"/>
            </w:tcMar>
            <w:vAlign w:val="center"/>
            <w:hideMark/>
          </w:tcPr>
          <w:p w14:paraId="4B07B21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c>
          <w:tcPr>
            <w:tcW w:w="0" w:type="auto"/>
            <w:tcMar>
              <w:top w:w="150" w:type="dxa"/>
              <w:left w:w="240" w:type="dxa"/>
              <w:bottom w:w="150" w:type="dxa"/>
              <w:right w:w="0" w:type="dxa"/>
            </w:tcMar>
            <w:vAlign w:val="center"/>
            <w:hideMark/>
          </w:tcPr>
          <w:p w14:paraId="0148633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r>
      <w:tr w:rsidR="00786729" w:rsidRPr="00B010B3" w14:paraId="0768C2E4" w14:textId="77777777" w:rsidTr="00C0601C">
        <w:tc>
          <w:tcPr>
            <w:tcW w:w="0" w:type="auto"/>
            <w:tcMar>
              <w:top w:w="150" w:type="dxa"/>
              <w:left w:w="0" w:type="dxa"/>
              <w:bottom w:w="150" w:type="dxa"/>
              <w:right w:w="240" w:type="dxa"/>
            </w:tcMar>
            <w:vAlign w:val="center"/>
            <w:hideMark/>
          </w:tcPr>
          <w:p w14:paraId="63999B0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Erythromycin (E)</w:t>
            </w:r>
          </w:p>
        </w:tc>
        <w:tc>
          <w:tcPr>
            <w:tcW w:w="0" w:type="auto"/>
            <w:tcMar>
              <w:top w:w="150" w:type="dxa"/>
              <w:left w:w="240" w:type="dxa"/>
              <w:bottom w:w="150" w:type="dxa"/>
              <w:right w:w="240" w:type="dxa"/>
            </w:tcMar>
            <w:vAlign w:val="center"/>
            <w:hideMark/>
          </w:tcPr>
          <w:p w14:paraId="16DDFD1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w:t>
            </w:r>
          </w:p>
        </w:tc>
        <w:tc>
          <w:tcPr>
            <w:tcW w:w="0" w:type="auto"/>
            <w:tcMar>
              <w:top w:w="150" w:type="dxa"/>
              <w:left w:w="240" w:type="dxa"/>
              <w:bottom w:w="150" w:type="dxa"/>
              <w:right w:w="240" w:type="dxa"/>
            </w:tcMar>
            <w:vAlign w:val="center"/>
            <w:hideMark/>
          </w:tcPr>
          <w:p w14:paraId="5D42499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c>
          <w:tcPr>
            <w:tcW w:w="0" w:type="auto"/>
            <w:tcMar>
              <w:top w:w="150" w:type="dxa"/>
              <w:left w:w="240" w:type="dxa"/>
              <w:bottom w:w="150" w:type="dxa"/>
              <w:right w:w="0" w:type="dxa"/>
            </w:tcMar>
            <w:vAlign w:val="center"/>
            <w:hideMark/>
          </w:tcPr>
          <w:p w14:paraId="530F277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r>
      <w:tr w:rsidR="00786729" w:rsidRPr="00B010B3" w14:paraId="005A4246" w14:textId="77777777" w:rsidTr="00C0601C">
        <w:tc>
          <w:tcPr>
            <w:tcW w:w="0" w:type="auto"/>
            <w:tcMar>
              <w:top w:w="150" w:type="dxa"/>
              <w:left w:w="0" w:type="dxa"/>
              <w:bottom w:w="150" w:type="dxa"/>
              <w:right w:w="240" w:type="dxa"/>
            </w:tcMar>
            <w:vAlign w:val="center"/>
            <w:hideMark/>
          </w:tcPr>
          <w:p w14:paraId="5909581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Gentamicin (GN)</w:t>
            </w:r>
          </w:p>
        </w:tc>
        <w:tc>
          <w:tcPr>
            <w:tcW w:w="0" w:type="auto"/>
            <w:tcMar>
              <w:top w:w="150" w:type="dxa"/>
              <w:left w:w="240" w:type="dxa"/>
              <w:bottom w:w="150" w:type="dxa"/>
              <w:right w:w="240" w:type="dxa"/>
            </w:tcMar>
            <w:vAlign w:val="center"/>
            <w:hideMark/>
          </w:tcPr>
          <w:p w14:paraId="5684DA6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1BB3A7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 (3.0)</w:t>
            </w:r>
          </w:p>
        </w:tc>
        <w:tc>
          <w:tcPr>
            <w:tcW w:w="0" w:type="auto"/>
            <w:tcMar>
              <w:top w:w="150" w:type="dxa"/>
              <w:left w:w="240" w:type="dxa"/>
              <w:bottom w:w="150" w:type="dxa"/>
              <w:right w:w="0" w:type="dxa"/>
            </w:tcMar>
            <w:vAlign w:val="center"/>
            <w:hideMark/>
          </w:tcPr>
          <w:p w14:paraId="46BDF4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64 (97.0)</w:t>
            </w:r>
          </w:p>
        </w:tc>
      </w:tr>
      <w:tr w:rsidR="00786729" w:rsidRPr="00B010B3" w14:paraId="6132C857" w14:textId="77777777" w:rsidTr="00C0601C">
        <w:tc>
          <w:tcPr>
            <w:tcW w:w="0" w:type="auto"/>
            <w:tcMar>
              <w:top w:w="150" w:type="dxa"/>
              <w:left w:w="0" w:type="dxa"/>
              <w:bottom w:w="150" w:type="dxa"/>
              <w:right w:w="240" w:type="dxa"/>
            </w:tcMar>
            <w:vAlign w:val="center"/>
            <w:hideMark/>
          </w:tcPr>
          <w:p w14:paraId="21AD348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lastRenderedPageBreak/>
              <w:t>Imipenem (IPM)</w:t>
            </w:r>
          </w:p>
        </w:tc>
        <w:tc>
          <w:tcPr>
            <w:tcW w:w="0" w:type="auto"/>
            <w:tcMar>
              <w:top w:w="150" w:type="dxa"/>
              <w:left w:w="240" w:type="dxa"/>
              <w:bottom w:w="150" w:type="dxa"/>
              <w:right w:w="240" w:type="dxa"/>
            </w:tcMar>
            <w:vAlign w:val="center"/>
            <w:hideMark/>
          </w:tcPr>
          <w:p w14:paraId="0CC3C76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DC5856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D9C534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470C5FF0" w14:textId="77777777" w:rsidTr="00C0601C">
        <w:tc>
          <w:tcPr>
            <w:tcW w:w="0" w:type="auto"/>
            <w:tcMar>
              <w:top w:w="150" w:type="dxa"/>
              <w:left w:w="0" w:type="dxa"/>
              <w:bottom w:w="150" w:type="dxa"/>
              <w:right w:w="240" w:type="dxa"/>
            </w:tcMar>
            <w:vAlign w:val="center"/>
            <w:hideMark/>
          </w:tcPr>
          <w:p w14:paraId="743CA8B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Levofloxacin (LEV)</w:t>
            </w:r>
          </w:p>
        </w:tc>
        <w:tc>
          <w:tcPr>
            <w:tcW w:w="0" w:type="auto"/>
            <w:tcMar>
              <w:top w:w="150" w:type="dxa"/>
              <w:left w:w="240" w:type="dxa"/>
              <w:bottom w:w="150" w:type="dxa"/>
              <w:right w:w="240" w:type="dxa"/>
            </w:tcMar>
            <w:vAlign w:val="center"/>
            <w:hideMark/>
          </w:tcPr>
          <w:p w14:paraId="5622538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7DEAEEB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c>
          <w:tcPr>
            <w:tcW w:w="0" w:type="auto"/>
            <w:tcMar>
              <w:top w:w="150" w:type="dxa"/>
              <w:left w:w="240" w:type="dxa"/>
              <w:bottom w:w="150" w:type="dxa"/>
              <w:right w:w="0" w:type="dxa"/>
            </w:tcMar>
            <w:vAlign w:val="center"/>
            <w:hideMark/>
          </w:tcPr>
          <w:p w14:paraId="38D463F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r>
      <w:tr w:rsidR="00786729" w:rsidRPr="00B010B3" w14:paraId="67A51639" w14:textId="77777777" w:rsidTr="00C0601C">
        <w:tc>
          <w:tcPr>
            <w:tcW w:w="0" w:type="auto"/>
            <w:tcMar>
              <w:top w:w="150" w:type="dxa"/>
              <w:left w:w="0" w:type="dxa"/>
              <w:bottom w:w="150" w:type="dxa"/>
              <w:right w:w="240" w:type="dxa"/>
            </w:tcMar>
            <w:vAlign w:val="center"/>
            <w:hideMark/>
          </w:tcPr>
          <w:p w14:paraId="40C9462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Streptomycin (S)</w:t>
            </w:r>
          </w:p>
        </w:tc>
        <w:tc>
          <w:tcPr>
            <w:tcW w:w="0" w:type="auto"/>
            <w:tcMar>
              <w:top w:w="150" w:type="dxa"/>
              <w:left w:w="240" w:type="dxa"/>
              <w:bottom w:w="150" w:type="dxa"/>
              <w:right w:w="240" w:type="dxa"/>
            </w:tcMar>
            <w:vAlign w:val="center"/>
            <w:hideMark/>
          </w:tcPr>
          <w:p w14:paraId="04959A2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25</w:t>
            </w:r>
          </w:p>
        </w:tc>
        <w:tc>
          <w:tcPr>
            <w:tcW w:w="0" w:type="auto"/>
            <w:tcMar>
              <w:top w:w="150" w:type="dxa"/>
              <w:left w:w="240" w:type="dxa"/>
              <w:bottom w:w="150" w:type="dxa"/>
              <w:right w:w="240" w:type="dxa"/>
            </w:tcMar>
            <w:vAlign w:val="center"/>
            <w:hideMark/>
          </w:tcPr>
          <w:p w14:paraId="7A472B9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c>
          <w:tcPr>
            <w:tcW w:w="0" w:type="auto"/>
            <w:tcMar>
              <w:top w:w="150" w:type="dxa"/>
              <w:left w:w="240" w:type="dxa"/>
              <w:bottom w:w="150" w:type="dxa"/>
              <w:right w:w="0" w:type="dxa"/>
            </w:tcMar>
            <w:vAlign w:val="center"/>
            <w:hideMark/>
          </w:tcPr>
          <w:p w14:paraId="1760623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r>
      <w:tr w:rsidR="00786729" w:rsidRPr="00B010B3" w14:paraId="696D030C" w14:textId="77777777" w:rsidTr="00C0601C">
        <w:tc>
          <w:tcPr>
            <w:tcW w:w="0" w:type="auto"/>
            <w:tcMar>
              <w:top w:w="150" w:type="dxa"/>
              <w:left w:w="0" w:type="dxa"/>
              <w:bottom w:w="150" w:type="dxa"/>
              <w:right w:w="240" w:type="dxa"/>
            </w:tcMar>
            <w:vAlign w:val="center"/>
            <w:hideMark/>
          </w:tcPr>
          <w:p w14:paraId="435269A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Tetracycline (TE)</w:t>
            </w:r>
          </w:p>
        </w:tc>
        <w:tc>
          <w:tcPr>
            <w:tcW w:w="0" w:type="auto"/>
            <w:tcMar>
              <w:top w:w="150" w:type="dxa"/>
              <w:left w:w="240" w:type="dxa"/>
              <w:bottom w:w="150" w:type="dxa"/>
              <w:right w:w="240" w:type="dxa"/>
            </w:tcMar>
            <w:vAlign w:val="center"/>
            <w:hideMark/>
          </w:tcPr>
          <w:p w14:paraId="4BAC7A3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32DA946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67C4B9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17707434" w14:textId="77777777" w:rsidTr="00C0601C">
        <w:tc>
          <w:tcPr>
            <w:tcW w:w="0" w:type="auto"/>
            <w:tcMar>
              <w:top w:w="150" w:type="dxa"/>
              <w:left w:w="0" w:type="dxa"/>
              <w:bottom w:w="150" w:type="dxa"/>
              <w:right w:w="240" w:type="dxa"/>
            </w:tcMar>
            <w:vAlign w:val="center"/>
            <w:hideMark/>
          </w:tcPr>
          <w:p w14:paraId="161AD4BB" w14:textId="77777777" w:rsidR="00786729" w:rsidRPr="00B010B3" w:rsidRDefault="0079483F"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 xml:space="preserve">Trimethoprim-Sulfamethoxazole </w:t>
            </w:r>
            <w:r w:rsidR="00786729" w:rsidRPr="00B010B3">
              <w:rPr>
                <w:rFonts w:ascii="Times New Roman" w:eastAsia="Times New Roman" w:hAnsi="Times New Roman" w:cs="Times New Roman"/>
                <w:sz w:val="20"/>
                <w:szCs w:val="20"/>
              </w:rPr>
              <w:t>(SXT)</w:t>
            </w:r>
          </w:p>
        </w:tc>
        <w:tc>
          <w:tcPr>
            <w:tcW w:w="0" w:type="auto"/>
            <w:tcMar>
              <w:top w:w="150" w:type="dxa"/>
              <w:left w:w="240" w:type="dxa"/>
              <w:bottom w:w="150" w:type="dxa"/>
              <w:right w:w="240" w:type="dxa"/>
            </w:tcMar>
            <w:vAlign w:val="center"/>
            <w:hideMark/>
          </w:tcPr>
          <w:p w14:paraId="1E5FB698" w14:textId="77777777" w:rsidR="00786729" w:rsidRPr="00B010B3" w:rsidRDefault="00786729" w:rsidP="00A96D2E">
            <w:pPr>
              <w:spacing w:after="0" w:line="240" w:lineRule="auto"/>
              <w:rPr>
                <w:rFonts w:ascii="Times New Roman" w:eastAsia="Times New Roman" w:hAnsi="Times New Roman" w:cs="Times New Roman"/>
                <w:b/>
                <w:sz w:val="20"/>
                <w:szCs w:val="20"/>
              </w:rPr>
            </w:pPr>
            <w:r w:rsidRPr="00B010B3">
              <w:rPr>
                <w:rFonts w:ascii="Times New Roman" w:eastAsia="Times New Roman" w:hAnsi="Times New Roman" w:cs="Times New Roman"/>
                <w:b/>
                <w:sz w:val="20"/>
                <w:szCs w:val="20"/>
              </w:rPr>
              <w:t>1.25/23.75</w:t>
            </w:r>
          </w:p>
        </w:tc>
        <w:tc>
          <w:tcPr>
            <w:tcW w:w="0" w:type="auto"/>
            <w:tcMar>
              <w:top w:w="150" w:type="dxa"/>
              <w:left w:w="240" w:type="dxa"/>
              <w:bottom w:w="150" w:type="dxa"/>
              <w:right w:w="240" w:type="dxa"/>
            </w:tcMar>
            <w:vAlign w:val="center"/>
            <w:hideMark/>
          </w:tcPr>
          <w:p w14:paraId="58ECA29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926254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bl>
    <w:p w14:paraId="5026A1D7" w14:textId="77777777" w:rsidR="00A96D2E" w:rsidRPr="00B010B3" w:rsidRDefault="00A96D2E"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p>
    <w:p w14:paraId="751BA2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3.3 Multiple Antibiotic Resistance (MAR) Index</w:t>
      </w:r>
    </w:p>
    <w:p w14:paraId="403E8972" w14:textId="77777777" w:rsidR="0053007B" w:rsidRPr="002A509B" w:rsidRDefault="00C9685B" w:rsidP="00786729">
      <w:pPr>
        <w:shd w:val="clear" w:color="auto" w:fill="FFFFFF"/>
        <w:spacing w:before="240" w:after="240" w:line="240" w:lineRule="auto"/>
        <w:rPr>
          <w:rFonts w:ascii="Times New Roman" w:eastAsia="Times New Roman" w:hAnsi="Times New Roman" w:cs="Times New Roman"/>
          <w:color w:val="0F1115"/>
          <w:sz w:val="18"/>
          <w:szCs w:val="18"/>
        </w:rPr>
      </w:pPr>
      <w:r w:rsidRPr="00B010B3">
        <w:rPr>
          <w:rFonts w:ascii="Times New Roman" w:eastAsia="Times New Roman" w:hAnsi="Times New Roman" w:cs="Times New Roman"/>
          <w:noProof/>
          <w:color w:val="0F1115"/>
          <w:sz w:val="24"/>
          <w:szCs w:val="24"/>
        </w:rPr>
        <mc:AlternateContent>
          <mc:Choice Requires="wps">
            <w:drawing>
              <wp:anchor distT="0" distB="0" distL="114300" distR="114300" simplePos="0" relativeHeight="251659264" behindDoc="0" locked="0" layoutInCell="1" allowOverlap="1" wp14:anchorId="46A3C227" wp14:editId="135C25B7">
                <wp:simplePos x="0" y="0"/>
                <wp:positionH relativeFrom="column">
                  <wp:posOffset>5572125</wp:posOffset>
                </wp:positionH>
                <wp:positionV relativeFrom="paragraph">
                  <wp:posOffset>2830195</wp:posOffset>
                </wp:positionV>
                <wp:extent cx="942975" cy="1028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42975"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3C227" id="Rectangle 4" o:spid="_x0000_s1026" style="position:absolute;margin-left:438.75pt;margin-top:222.85pt;width:74.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" fillcolor="white [3201]" strokecolor="black [3200]" strokeweight="1pt">
                <v:textbo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v:textbox>
              </v:rect>
            </w:pict>
          </mc:Fallback>
        </mc:AlternateContent>
      </w:r>
      <w:r w:rsidR="00786729" w:rsidRPr="00B010B3">
        <w:rPr>
          <w:rFonts w:ascii="Times New Roman" w:eastAsia="Times New Roman" w:hAnsi="Times New Roman" w:cs="Times New Roman"/>
          <w:color w:val="0F1115"/>
          <w:sz w:val="24"/>
          <w:szCs w:val="24"/>
        </w:rPr>
        <w:t xml:space="preserve">The VRSA isolates were resistant to an average of 13 out of the 15 antibiotics tested. This results in a MAR index of 0.87 (13/15). This value far exceeds the high-risk threshold of 0.2, indicating an extremely heavy and consistent selection pressure from antibiotic use in the source </w:t>
      </w:r>
      <w:r w:rsidR="00786729" w:rsidRPr="002A509B">
        <w:rPr>
          <w:rFonts w:ascii="Times New Roman" w:eastAsia="Times New Roman" w:hAnsi="Times New Roman" w:cs="Times New Roman"/>
          <w:color w:val="0F1115"/>
          <w:sz w:val="18"/>
          <w:szCs w:val="18"/>
        </w:rPr>
        <w:t>environment</w:t>
      </w:r>
    </w:p>
    <w:p w14:paraId="3A2BA62B" w14:textId="77777777" w:rsidR="00E54284" w:rsidRPr="002A509B" w:rsidRDefault="006D3AD6" w:rsidP="00786729">
      <w:pPr>
        <w:shd w:val="clear" w:color="auto" w:fill="FFFFFF"/>
        <w:spacing w:before="240" w:after="240" w:line="240" w:lineRule="auto"/>
        <w:rPr>
          <w:rFonts w:ascii="Times New Roman" w:eastAsia="Times New Roman" w:hAnsi="Times New Roman" w:cs="Times New Roman"/>
          <w:color w:val="0F1115"/>
          <w:sz w:val="18"/>
          <w:szCs w:val="18"/>
        </w:rPr>
      </w:pPr>
      <w:r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6432" behindDoc="0" locked="0" layoutInCell="1" allowOverlap="1" wp14:anchorId="511FA543" wp14:editId="4613D5A1">
                <wp:simplePos x="0" y="0"/>
                <wp:positionH relativeFrom="column">
                  <wp:posOffset>5572125</wp:posOffset>
                </wp:positionH>
                <wp:positionV relativeFrom="paragraph">
                  <wp:posOffset>2247900</wp:posOffset>
                </wp:positionV>
                <wp:extent cx="1038225" cy="600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38225" cy="600075"/>
                        </a:xfrm>
                        <a:prstGeom prst="rect">
                          <a:avLst/>
                        </a:prstGeom>
                      </wps:spPr>
                      <wps:style>
                        <a:lnRef idx="2">
                          <a:schemeClr val="dk1"/>
                        </a:lnRef>
                        <a:fillRef idx="1">
                          <a:schemeClr val="lt1"/>
                        </a:fillRef>
                        <a:effectRef idx="0">
                          <a:schemeClr val="dk1"/>
                        </a:effectRef>
                        <a:fontRef idx="minor">
                          <a:schemeClr val="dk1"/>
                        </a:fontRef>
                      </wps:style>
                      <wps:txb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FA543" id="Rectangle 2" o:spid="_x0000_s1027" style="position:absolute;margin-left:438.75pt;margin-top:177pt;width:81.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" fillcolor="white [3201]" strokecolor="black [3200]" strokeweight="1pt">
                <v:textbo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v:textbox>
              </v:rect>
            </w:pict>
          </mc:Fallback>
        </mc:AlternateContent>
      </w:r>
      <w:r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2336" behindDoc="0" locked="0" layoutInCell="1" allowOverlap="1" wp14:anchorId="01F7569C" wp14:editId="08C25F57">
                <wp:simplePos x="0" y="0"/>
                <wp:positionH relativeFrom="column">
                  <wp:posOffset>5819775</wp:posOffset>
                </wp:positionH>
                <wp:positionV relativeFrom="paragraph">
                  <wp:posOffset>466725</wp:posOffset>
                </wp:positionV>
                <wp:extent cx="904875" cy="8001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90487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7569C" id="Rectangle 6" o:spid="_x0000_s1028" style="position:absolute;margin-left:458.25pt;margin-top:36.75pt;width:71.2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" fillcolor="white [3201]" strokecolor="black [3200]" strokeweight="1pt">
                <v:textbo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v:textbox>
              </v:rect>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0288" behindDoc="0" locked="0" layoutInCell="1" allowOverlap="1" wp14:anchorId="23D036B8" wp14:editId="05CFFE77">
                <wp:simplePos x="0" y="0"/>
                <wp:positionH relativeFrom="column">
                  <wp:posOffset>4486275</wp:posOffset>
                </wp:positionH>
                <wp:positionV relativeFrom="paragraph">
                  <wp:posOffset>1694815</wp:posOffset>
                </wp:positionV>
                <wp:extent cx="1085850" cy="771525"/>
                <wp:effectExtent l="38100" t="38100" r="19050" b="28575"/>
                <wp:wrapNone/>
                <wp:docPr id="5" name="Straight Arrow Connector 5"/>
                <wp:cNvGraphicFramePr/>
                <a:graphic xmlns:a="http://schemas.openxmlformats.org/drawingml/2006/main">
                  <a:graphicData uri="http://schemas.microsoft.com/office/word/2010/wordprocessingShape">
                    <wps:wsp>
                      <wps:cNvCnPr/>
                      <wps:spPr>
                        <a:xfrm flipH="1" flipV="1">
                          <a:off x="0" y="0"/>
                          <a:ext cx="108585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77DA4D" id="_x0000_t32" coordsize="21600,21600" o:spt="32" o:oned="t" path="m,l21600,21600e" filled="f">
                <v:path arrowok="t" fillok="f" o:connecttype="none"/>
                <o:lock v:ext="edit" shapetype="t"/>
              </v:shapetype>
              <v:shape id="Straight Arrow Connector 5" o:spid="_x0000_s1026" type="#_x0000_t32" style="position:absolute;margin-left:353.25pt;margin-top:133.45pt;width:85.5pt;height:60.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" strokecolor="#5b9bd5 [3204]" strokeweight=".5pt">
                <v:stroke endarrow="block" joinstyle="miter"/>
              </v:shape>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4384" behindDoc="0" locked="0" layoutInCell="1" allowOverlap="1" wp14:anchorId="1761C65B" wp14:editId="1D0345D9">
                <wp:simplePos x="0" y="0"/>
                <wp:positionH relativeFrom="column">
                  <wp:posOffset>4476750</wp:posOffset>
                </wp:positionH>
                <wp:positionV relativeFrom="paragraph">
                  <wp:posOffset>914400</wp:posOffset>
                </wp:positionV>
                <wp:extent cx="1343025" cy="695325"/>
                <wp:effectExtent l="38100" t="0" r="28575" b="47625"/>
                <wp:wrapNone/>
                <wp:docPr id="8" name="Straight Arrow Connector 8"/>
                <wp:cNvGraphicFramePr/>
                <a:graphic xmlns:a="http://schemas.openxmlformats.org/drawingml/2006/main">
                  <a:graphicData uri="http://schemas.microsoft.com/office/word/2010/wordprocessingShape">
                    <wps:wsp>
                      <wps:cNvCnPr/>
                      <wps:spPr>
                        <a:xfrm flipH="1">
                          <a:off x="0" y="0"/>
                          <a:ext cx="1343025"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B7D4DCF" id="_x0000_t32" coordsize="21600,21600" o:spt="32" o:oned="t" path="m,l21600,21600e" filled="f">
                <v:path arrowok="t" fillok="f" o:connecttype="none"/>
                <o:lock v:ext="edit" shapetype="t"/>
              </v:shapetype>
              <v:shape id="Straight Arrow Connector 8" o:spid="_x0000_s1026" type="#_x0000_t32" style="position:absolute;margin-left:352.5pt;margin-top:1in;width:105.75pt;height:54.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" strokecolor="#5b9bd5 [3204]" strokeweight=".5pt">
                <v:stroke endarrow="block" joinstyle="miter"/>
              </v:shape>
            </w:pict>
          </mc:Fallback>
        </mc:AlternateContent>
      </w:r>
      <w:r w:rsidR="0079483F" w:rsidRPr="002A509B">
        <w:rPr>
          <w:rFonts w:ascii="Times New Roman" w:eastAsia="Times New Roman" w:hAnsi="Times New Roman" w:cs="Times New Roman"/>
          <w:b/>
          <w:noProof/>
          <w:color w:val="0F1115"/>
          <w:sz w:val="18"/>
          <w:szCs w:val="18"/>
        </w:rPr>
        <w:drawing>
          <wp:inline distT="0" distB="0" distL="0" distR="0" wp14:anchorId="219B5B2E" wp14:editId="6005BE86">
            <wp:extent cx="466725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86729" w:rsidRPr="002A509B">
        <w:rPr>
          <w:rFonts w:ascii="Times New Roman" w:eastAsia="Times New Roman" w:hAnsi="Times New Roman" w:cs="Times New Roman"/>
          <w:color w:val="0F1115"/>
          <w:sz w:val="18"/>
          <w:szCs w:val="18"/>
        </w:rPr>
        <w:t>.</w:t>
      </w:r>
    </w:p>
    <w:p w14:paraId="37928B99" w14:textId="77777777" w:rsidR="00E54284" w:rsidRPr="00B010B3" w:rsidRDefault="00E54284" w:rsidP="00E54284">
      <w:pPr>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 xml:space="preserve">Figure 1: </w:t>
      </w:r>
      <w:r w:rsidRPr="00B010B3">
        <w:rPr>
          <w:rFonts w:ascii="Times New Roman" w:eastAsia="Times New Roman" w:hAnsi="Times New Roman" w:cs="Times New Roman"/>
          <w:bCs/>
          <w:color w:val="0F1115"/>
          <w:sz w:val="24"/>
          <w:szCs w:val="24"/>
        </w:rPr>
        <w:t>Multiple Antibiotic Resistance (MAR) Index</w:t>
      </w:r>
    </w:p>
    <w:p w14:paraId="0C024D78" w14:textId="77777777" w:rsidR="00B020E2" w:rsidRPr="00B010B3" w:rsidRDefault="00E54284" w:rsidP="00DF35E7">
      <w:pPr>
        <w:tabs>
          <w:tab w:val="left" w:pos="1815"/>
        </w:tabs>
        <w:rPr>
          <w:rFonts w:ascii="Times New Roman" w:eastAsia="Times New Roman" w:hAnsi="Times New Roman" w:cs="Times New Roman"/>
          <w:b/>
          <w:sz w:val="24"/>
          <w:szCs w:val="24"/>
        </w:rPr>
      </w:pPr>
      <w:r w:rsidRPr="00B010B3">
        <w:rPr>
          <w:rStyle w:val="Strong"/>
          <w:rFonts w:ascii="Times New Roman" w:hAnsi="Times New Roman" w:cs="Times New Roman"/>
          <w:b w:val="0"/>
          <w:color w:val="0F1115"/>
          <w:shd w:val="clear" w:color="auto" w:fill="FFFFFF"/>
        </w:rPr>
        <w:t>An MAR index of 0.87, far exceeding the high-risk threshold of 0.2, indicates extreme antibiotic selection pressure in the source environment.</w:t>
      </w:r>
    </w:p>
    <w:p w14:paraId="4F62A2C0"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3.4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160A7565"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lastRenderedPageBreak/>
        <w:t>PCR analysis was performed on a representative subset of three phenotypically confirmed VRSA isolates.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w:t>
      </w:r>
      <w:r w:rsidR="00B26ADE" w:rsidRPr="00B010B3">
        <w:rPr>
          <w:rFonts w:ascii="Times New Roman" w:eastAsia="Times New Roman" w:hAnsi="Times New Roman" w:cs="Times New Roman"/>
          <w:color w:val="0F1115"/>
          <w:sz w:val="24"/>
          <w:szCs w:val="24"/>
        </w:rPr>
        <w:t>5</w:t>
      </w:r>
      <w:r w:rsidRPr="00B010B3">
        <w:rPr>
          <w:rFonts w:ascii="Times New Roman" w:eastAsia="Times New Roman" w:hAnsi="Times New Roman" w:cs="Times New Roman"/>
          <w:color w:val="0F1115"/>
          <w:sz w:val="24"/>
          <w:szCs w:val="24"/>
        </w:rPr>
        <w:t>7</w:t>
      </w:r>
      <w:r w:rsidR="00B26ADE" w:rsidRPr="00B010B3">
        <w:rPr>
          <w:rFonts w:ascii="Times New Roman" w:eastAsia="Times New Roman" w:hAnsi="Times New Roman" w:cs="Times New Roman"/>
          <w:color w:val="0F1115"/>
          <w:sz w:val="24"/>
          <w:szCs w:val="24"/>
        </w:rPr>
        <w:t>6</w:t>
      </w:r>
      <w:r w:rsidRPr="00B010B3">
        <w:rPr>
          <w:rFonts w:ascii="Times New Roman" w:eastAsia="Times New Roman" w:hAnsi="Times New Roman" w:cs="Times New Roman"/>
          <w:color w:val="0F1115"/>
          <w:sz w:val="24"/>
          <w:szCs w:val="24"/>
        </w:rPr>
        <w:t xml:space="preserve"> bp) was successfully amplified and detected in all three isolates (100%), confirming the genetic basis for the observed high-level vancomycin resistance (Figure </w:t>
      </w:r>
      <w:r w:rsidR="008A54F3" w:rsidRPr="00B010B3">
        <w:rPr>
          <w:rFonts w:ascii="Times New Roman" w:eastAsia="Times New Roman" w:hAnsi="Times New Roman" w:cs="Times New Roman"/>
          <w:color w:val="0F1115"/>
          <w:sz w:val="24"/>
          <w:szCs w:val="24"/>
        </w:rPr>
        <w:t>2</w:t>
      </w:r>
      <w:r w:rsidRPr="00B010B3">
        <w:rPr>
          <w:rFonts w:ascii="Times New Roman" w:eastAsia="Times New Roman" w:hAnsi="Times New Roman" w:cs="Times New Roman"/>
          <w:color w:val="0F1115"/>
          <w:sz w:val="24"/>
          <w:szCs w:val="24"/>
        </w:rPr>
        <w:t>).</w:t>
      </w:r>
    </w:p>
    <w:p w14:paraId="2A466EC5" w14:textId="77777777" w:rsidR="00F53306" w:rsidRPr="00B010B3" w:rsidRDefault="00F53306"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noProof/>
          <w:color w:val="0F1115"/>
          <w:sz w:val="24"/>
          <w:szCs w:val="24"/>
        </w:rPr>
        <w:drawing>
          <wp:inline distT="0" distB="0" distL="0" distR="0" wp14:anchorId="576B15D3" wp14:editId="42311A77">
            <wp:extent cx="3848100" cy="3362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G.jpg"/>
                    <pic:cNvPicPr/>
                  </pic:nvPicPr>
                  <pic:blipFill>
                    <a:blip r:embed="rId12">
                      <a:extLst>
                        <a:ext uri="{28A0092B-C50C-407E-A947-70E740481C1C}">
                          <a14:useLocalDpi xmlns:a14="http://schemas.microsoft.com/office/drawing/2010/main" val="0"/>
                        </a:ext>
                      </a:extLst>
                    </a:blip>
                    <a:stretch>
                      <a:fillRect/>
                    </a:stretch>
                  </pic:blipFill>
                  <pic:spPr>
                    <a:xfrm>
                      <a:off x="0" y="0"/>
                      <a:ext cx="3848100" cy="3362325"/>
                    </a:xfrm>
                    <a:prstGeom prst="rect">
                      <a:avLst/>
                    </a:prstGeom>
                  </pic:spPr>
                </pic:pic>
              </a:graphicData>
            </a:graphic>
          </wp:inline>
        </w:drawing>
      </w:r>
    </w:p>
    <w:p w14:paraId="6B14558E" w14:textId="77777777" w:rsidR="00710743" w:rsidRPr="00B010B3" w:rsidRDefault="00710743" w:rsidP="00786729">
      <w:pPr>
        <w:shd w:val="clear" w:color="auto" w:fill="FFFFFF"/>
        <w:spacing w:before="240" w:after="240" w:line="240" w:lineRule="auto"/>
        <w:rPr>
          <w:rFonts w:ascii="Times New Roman" w:eastAsia="Times New Roman" w:hAnsi="Times New Roman" w:cs="Times New Roman"/>
          <w:b/>
          <w:bCs/>
          <w:color w:val="0F1115"/>
          <w:sz w:val="24"/>
          <w:szCs w:val="24"/>
        </w:rPr>
      </w:pPr>
    </w:p>
    <w:p w14:paraId="06230833"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 xml:space="preserve">Figure </w:t>
      </w:r>
      <w:r w:rsidR="00B84C28" w:rsidRPr="00B010B3">
        <w:rPr>
          <w:rFonts w:ascii="Times New Roman" w:eastAsia="Times New Roman" w:hAnsi="Times New Roman" w:cs="Times New Roman"/>
          <w:b/>
          <w:bCs/>
          <w:color w:val="0F1115"/>
          <w:sz w:val="24"/>
          <w:szCs w:val="24"/>
        </w:rPr>
        <w:t>2</w:t>
      </w:r>
      <w:r w:rsidRPr="00B010B3">
        <w:rPr>
          <w:rFonts w:ascii="Times New Roman" w:eastAsia="Times New Roman" w:hAnsi="Times New Roman" w:cs="Times New Roman"/>
          <w:b/>
          <w:bCs/>
          <w:color w:val="0F1115"/>
          <w:sz w:val="24"/>
          <w:szCs w:val="24"/>
        </w:rPr>
        <w:t xml:space="preserve">: </w:t>
      </w:r>
      <w:r w:rsidR="005317D1" w:rsidRPr="00B010B3">
        <w:rPr>
          <w:rFonts w:ascii="Times New Roman" w:eastAsia="Times New Roman" w:hAnsi="Times New Roman" w:cs="Times New Roman"/>
          <w:b/>
          <w:bCs/>
          <w:color w:val="0F1115"/>
          <w:sz w:val="24"/>
          <w:szCs w:val="24"/>
        </w:rPr>
        <w:t xml:space="preserve">Representative </w:t>
      </w:r>
      <w:r w:rsidRPr="00B010B3">
        <w:rPr>
          <w:rFonts w:ascii="Times New Roman" w:eastAsia="Times New Roman" w:hAnsi="Times New Roman" w:cs="Times New Roman"/>
          <w:b/>
          <w:bCs/>
          <w:color w:val="0F1115"/>
          <w:sz w:val="24"/>
          <w:szCs w:val="24"/>
        </w:rPr>
        <w:t>Gel electrophoresis image of PCR-amplified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 from VRSA isolates.</w:t>
      </w:r>
      <w:r w:rsidRPr="00B010B3">
        <w:rPr>
          <w:rFonts w:ascii="Times New Roman" w:eastAsia="Times New Roman" w:hAnsi="Times New Roman" w:cs="Times New Roman"/>
          <w:color w:val="0F1115"/>
          <w:sz w:val="24"/>
          <w:szCs w:val="24"/>
        </w:rPr>
        <w:br/>
        <w:t>Lane M: 50-1</w:t>
      </w:r>
      <w:r w:rsidR="00710743" w:rsidRPr="00B010B3">
        <w:rPr>
          <w:rFonts w:ascii="Times New Roman" w:eastAsia="Times New Roman" w:hAnsi="Times New Roman" w:cs="Times New Roman"/>
          <w:color w:val="0F1115"/>
          <w:sz w:val="24"/>
          <w:szCs w:val="24"/>
        </w:rPr>
        <w:t>350</w:t>
      </w:r>
      <w:r w:rsidRPr="00B010B3">
        <w:rPr>
          <w:rFonts w:ascii="Times New Roman" w:eastAsia="Times New Roman" w:hAnsi="Times New Roman" w:cs="Times New Roman"/>
          <w:color w:val="0F1115"/>
          <w:sz w:val="24"/>
          <w:szCs w:val="24"/>
        </w:rPr>
        <w:t xml:space="preserve"> bp DNA ladder.</w:t>
      </w:r>
      <w:r w:rsidRPr="00B010B3">
        <w:rPr>
          <w:rFonts w:ascii="Times New Roman" w:eastAsia="Times New Roman" w:hAnsi="Times New Roman" w:cs="Times New Roman"/>
          <w:color w:val="0F1115"/>
          <w:sz w:val="24"/>
          <w:szCs w:val="24"/>
        </w:rPr>
        <w:br/>
        <w:t>Lanes 1-</w:t>
      </w:r>
      <w:r w:rsidR="007C595C" w:rsidRPr="00B010B3">
        <w:rPr>
          <w:rFonts w:ascii="Times New Roman" w:eastAsia="Times New Roman" w:hAnsi="Times New Roman" w:cs="Times New Roman"/>
          <w:color w:val="0F1115"/>
          <w:sz w:val="24"/>
          <w:szCs w:val="24"/>
        </w:rPr>
        <w:t xml:space="preserve">10: VRSA isolates Pig 1, 2, 3, </w:t>
      </w:r>
      <w:r w:rsidRPr="00B010B3">
        <w:rPr>
          <w:rFonts w:ascii="Times New Roman" w:eastAsia="Times New Roman" w:hAnsi="Times New Roman" w:cs="Times New Roman"/>
          <w:color w:val="0F1115"/>
          <w:sz w:val="24"/>
          <w:szCs w:val="24"/>
        </w:rPr>
        <w:t>4,</w:t>
      </w:r>
      <w:r w:rsidR="007C595C" w:rsidRPr="00B010B3">
        <w:rPr>
          <w:rFonts w:ascii="Times New Roman" w:eastAsia="Times New Roman" w:hAnsi="Times New Roman" w:cs="Times New Roman"/>
          <w:color w:val="0F1115"/>
          <w:sz w:val="24"/>
          <w:szCs w:val="24"/>
        </w:rPr>
        <w:t xml:space="preserve"> 5,6,7,8, 9, 10 </w:t>
      </w:r>
      <w:r w:rsidRPr="00B010B3">
        <w:rPr>
          <w:rFonts w:ascii="Times New Roman" w:eastAsia="Times New Roman" w:hAnsi="Times New Roman" w:cs="Times New Roman"/>
          <w:color w:val="0F1115"/>
          <w:sz w:val="24"/>
          <w:szCs w:val="24"/>
        </w:rPr>
        <w:t>showing positive amplification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at </w:t>
      </w:r>
      <w:r w:rsidR="00B26ADE" w:rsidRPr="00B010B3">
        <w:rPr>
          <w:rFonts w:ascii="Times New Roman" w:eastAsia="Times New Roman" w:hAnsi="Times New Roman" w:cs="Times New Roman"/>
          <w:color w:val="0F1115"/>
          <w:sz w:val="24"/>
          <w:szCs w:val="24"/>
        </w:rPr>
        <w:t>576</w:t>
      </w:r>
      <w:r w:rsidRPr="00B010B3">
        <w:rPr>
          <w:rFonts w:ascii="Times New Roman" w:eastAsia="Times New Roman" w:hAnsi="Times New Roman" w:cs="Times New Roman"/>
          <w:color w:val="0F1115"/>
          <w:sz w:val="24"/>
          <w:szCs w:val="24"/>
        </w:rPr>
        <w:t xml:space="preserve"> bp.</w:t>
      </w:r>
    </w:p>
    <w:p w14:paraId="08FE3751"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4. DISCUSSION</w:t>
      </w:r>
    </w:p>
    <w:p w14:paraId="1B9CC70A" w14:textId="77777777" w:rsidR="008D7D14"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This study presents a disturbing a</w:t>
      </w:r>
      <w:r w:rsidR="0041738C" w:rsidRPr="00B010B3">
        <w:rPr>
          <w:rFonts w:ascii="Times New Roman" w:eastAsia="Times New Roman" w:hAnsi="Times New Roman" w:cs="Times New Roman"/>
          <w:color w:val="0F1115"/>
          <w:sz w:val="24"/>
          <w:szCs w:val="24"/>
        </w:rPr>
        <w:t>nd critically important finding,</w:t>
      </w:r>
      <w:r w:rsidRPr="00B010B3">
        <w:rPr>
          <w:rFonts w:ascii="Times New Roman" w:eastAsia="Times New Roman" w:hAnsi="Times New Roman" w:cs="Times New Roman"/>
          <w:color w:val="0F1115"/>
          <w:sz w:val="24"/>
          <w:szCs w:val="24"/>
        </w:rPr>
        <w:t xml:space="preserve"> an extraordinarily high prevalence (91.67%)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among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xml:space="preserve"> isolates in Ebonyi State, Nigeria. This prevalence is not only unprecedented in the context of Nigerian livestock but also ranks among the highest reported globally from any source, clinical or animal. It drastically surpasses the pooled African prevalence estimate of 2.5% for VRSA (Shariati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2020) and is significantly higher than rates reported in clinical studies from the region, such as 13.8% </w:t>
      </w:r>
      <w:r w:rsidR="00C04A5A" w:rsidRPr="00B010B3">
        <w:rPr>
          <w:rFonts w:ascii="Times New Roman" w:eastAsia="Times New Roman" w:hAnsi="Times New Roman" w:cs="Times New Roman"/>
          <w:color w:val="0F1115"/>
          <w:sz w:val="24"/>
          <w:szCs w:val="24"/>
        </w:rPr>
        <w:t xml:space="preserve">and 27 % </w:t>
      </w:r>
      <w:r w:rsidRPr="00B010B3">
        <w:rPr>
          <w:rFonts w:ascii="Times New Roman" w:eastAsia="Times New Roman" w:hAnsi="Times New Roman" w:cs="Times New Roman"/>
          <w:color w:val="0F1115"/>
          <w:sz w:val="24"/>
          <w:szCs w:val="24"/>
        </w:rPr>
        <w:t xml:space="preserve">in Egypt (Elsayed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2018</w:t>
      </w:r>
      <w:r w:rsidR="008451EA" w:rsidRPr="00B010B3">
        <w:rPr>
          <w:rFonts w:ascii="Times New Roman" w:eastAsia="Times New Roman" w:hAnsi="Times New Roman" w:cs="Times New Roman"/>
          <w:color w:val="0F1115"/>
          <w:sz w:val="24"/>
          <w:szCs w:val="24"/>
        </w:rPr>
        <w:t xml:space="preserve">; Al-Amery </w:t>
      </w:r>
      <w:r w:rsidR="00B010B3" w:rsidRPr="00B010B3">
        <w:rPr>
          <w:rFonts w:ascii="Times New Roman" w:eastAsia="Times New Roman" w:hAnsi="Times New Roman" w:cs="Times New Roman"/>
          <w:i/>
          <w:color w:val="0F1115"/>
          <w:sz w:val="24"/>
          <w:szCs w:val="24"/>
        </w:rPr>
        <w:t>et al</w:t>
      </w:r>
      <w:r w:rsidR="008451EA" w:rsidRPr="00B010B3">
        <w:rPr>
          <w:rFonts w:ascii="Times New Roman" w:eastAsia="Times New Roman" w:hAnsi="Times New Roman" w:cs="Times New Roman"/>
          <w:i/>
          <w:color w:val="0F1115"/>
          <w:sz w:val="24"/>
          <w:szCs w:val="24"/>
        </w:rPr>
        <w:t>.,</w:t>
      </w:r>
      <w:r w:rsidR="008451EA" w:rsidRPr="00B010B3">
        <w:rPr>
          <w:rFonts w:ascii="Times New Roman" w:eastAsia="Times New Roman" w:hAnsi="Times New Roman" w:cs="Times New Roman"/>
          <w:color w:val="0F1115"/>
          <w:sz w:val="24"/>
          <w:szCs w:val="24"/>
        </w:rPr>
        <w:t xml:space="preserve"> 2019</w:t>
      </w:r>
      <w:r w:rsidRPr="00B010B3">
        <w:rPr>
          <w:rFonts w:ascii="Times New Roman" w:eastAsia="Times New Roman" w:hAnsi="Times New Roman" w:cs="Times New Roman"/>
          <w:color w:val="0F1115"/>
          <w:sz w:val="24"/>
          <w:szCs w:val="24"/>
        </w:rPr>
        <w:t xml:space="preserve">) and 7.3% in Pakistan (Khan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2022)</w:t>
      </w:r>
      <w:r w:rsidR="00E4085C" w:rsidRPr="00B010B3">
        <w:rPr>
          <w:rFonts w:ascii="Times New Roman" w:eastAsia="Times New Roman" w:hAnsi="Times New Roman" w:cs="Times New Roman"/>
          <w:color w:val="0F1115"/>
          <w:sz w:val="24"/>
          <w:szCs w:val="24"/>
        </w:rPr>
        <w:t xml:space="preserve">, 10.7 % and 55.6 % from abattoir handlers and pork handlers </w:t>
      </w:r>
      <w:r w:rsidR="00711AAB" w:rsidRPr="00B010B3">
        <w:rPr>
          <w:rFonts w:ascii="Times New Roman" w:eastAsia="Times New Roman" w:hAnsi="Times New Roman" w:cs="Times New Roman"/>
          <w:color w:val="0F1115"/>
          <w:sz w:val="24"/>
          <w:szCs w:val="24"/>
        </w:rPr>
        <w:t xml:space="preserve">in Jos </w:t>
      </w:r>
      <w:r w:rsidR="00E4085C" w:rsidRPr="00B010B3">
        <w:rPr>
          <w:rFonts w:ascii="Times New Roman" w:eastAsia="Times New Roman" w:hAnsi="Times New Roman" w:cs="Times New Roman"/>
          <w:color w:val="0F1115"/>
          <w:sz w:val="24"/>
          <w:szCs w:val="24"/>
        </w:rPr>
        <w:t>respectively</w:t>
      </w:r>
      <w:r w:rsidR="00836BBF" w:rsidRPr="00B010B3">
        <w:rPr>
          <w:rFonts w:ascii="Times New Roman" w:eastAsia="Times New Roman" w:hAnsi="Times New Roman" w:cs="Times New Roman"/>
          <w:color w:val="0F1115"/>
          <w:sz w:val="24"/>
          <w:szCs w:val="24"/>
        </w:rPr>
        <w:t xml:space="preserve"> (</w:t>
      </w:r>
      <w:proofErr w:type="spellStart"/>
      <w:r w:rsidR="00836BBF" w:rsidRPr="00B010B3">
        <w:rPr>
          <w:rFonts w:ascii="Times New Roman" w:eastAsia="Times New Roman" w:hAnsi="Times New Roman" w:cs="Times New Roman"/>
          <w:color w:val="0F1115"/>
          <w:sz w:val="24"/>
          <w:szCs w:val="24"/>
        </w:rPr>
        <w:t>Okojokwu</w:t>
      </w:r>
      <w:proofErr w:type="spellEnd"/>
      <w:r w:rsidR="00836BBF"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836BBF" w:rsidRPr="00B010B3">
        <w:rPr>
          <w:rFonts w:ascii="Times New Roman" w:eastAsia="Times New Roman" w:hAnsi="Times New Roman" w:cs="Times New Roman"/>
          <w:i/>
          <w:color w:val="0F1115"/>
          <w:sz w:val="24"/>
          <w:szCs w:val="24"/>
        </w:rPr>
        <w:t>.</w:t>
      </w:r>
      <w:r w:rsidR="00836BBF" w:rsidRPr="00B010B3">
        <w:rPr>
          <w:rFonts w:ascii="Times New Roman" w:eastAsia="Times New Roman" w:hAnsi="Times New Roman" w:cs="Times New Roman"/>
          <w:color w:val="0F1115"/>
          <w:sz w:val="24"/>
          <w:szCs w:val="24"/>
        </w:rPr>
        <w:t>, 2025)</w:t>
      </w:r>
      <w:r w:rsidRPr="00B010B3">
        <w:rPr>
          <w:rFonts w:ascii="Times New Roman" w:eastAsia="Times New Roman" w:hAnsi="Times New Roman" w:cs="Times New Roman"/>
          <w:color w:val="0F1115"/>
          <w:sz w:val="24"/>
          <w:szCs w:val="24"/>
        </w:rPr>
        <w:t xml:space="preserve">. </w:t>
      </w:r>
      <w:r w:rsidR="003244E7" w:rsidRPr="00B010B3">
        <w:rPr>
          <w:rFonts w:ascii="Times New Roman" w:hAnsi="Times New Roman" w:cs="Times New Roman"/>
          <w:color w:val="0F1115"/>
          <w:shd w:val="clear" w:color="auto" w:fill="FFFFFF"/>
        </w:rPr>
        <w:t>A 2017 study in India detected vancomycin-resistant </w:t>
      </w:r>
      <w:r w:rsidR="003244E7" w:rsidRPr="00B010B3">
        <w:rPr>
          <w:rStyle w:val="Emphasis"/>
          <w:rFonts w:ascii="Times New Roman" w:hAnsi="Times New Roman" w:cs="Times New Roman"/>
          <w:color w:val="0F1115"/>
          <w:shd w:val="clear" w:color="auto" w:fill="FFFFFF"/>
        </w:rPr>
        <w:t>Staphylococcus aureus</w:t>
      </w:r>
      <w:r w:rsidR="003244E7" w:rsidRPr="00B010B3">
        <w:rPr>
          <w:rFonts w:ascii="Times New Roman" w:hAnsi="Times New Roman" w:cs="Times New Roman"/>
          <w:color w:val="0F1115"/>
          <w:shd w:val="clear" w:color="auto" w:fill="FFFFFF"/>
        </w:rPr>
        <w:t xml:space="preserve"> (VRSA) in 16.7% of MRSA samples from buffalo, using the disc diffusion method (Kumar </w:t>
      </w:r>
      <w:r w:rsidR="00B010B3" w:rsidRPr="00B010B3">
        <w:rPr>
          <w:rFonts w:ascii="Times New Roman" w:hAnsi="Times New Roman" w:cs="Times New Roman"/>
          <w:i/>
          <w:color w:val="0F1115"/>
          <w:shd w:val="clear" w:color="auto" w:fill="FFFFFF"/>
        </w:rPr>
        <w:t>et al</w:t>
      </w:r>
      <w:r w:rsidR="003244E7" w:rsidRPr="00B010B3">
        <w:rPr>
          <w:rFonts w:ascii="Times New Roman" w:hAnsi="Times New Roman" w:cs="Times New Roman"/>
          <w:color w:val="0F1115"/>
          <w:shd w:val="clear" w:color="auto" w:fill="FFFFFF"/>
        </w:rPr>
        <w:t>., 2017)</w:t>
      </w:r>
      <w:r w:rsidR="00444C17" w:rsidRPr="00B010B3">
        <w:rPr>
          <w:rFonts w:ascii="Times New Roman" w:hAnsi="Times New Roman" w:cs="Times New Roman"/>
          <w:color w:val="1B1B1B"/>
          <w:sz w:val="28"/>
          <w:szCs w:val="28"/>
          <w:shd w:val="clear" w:color="auto" w:fill="FFFFFF"/>
        </w:rPr>
        <w:t>.</w:t>
      </w:r>
      <w:r w:rsidR="00B24F6A"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 xml:space="preserve">This indicates that swine in this setting are not merely a reservoir but </w:t>
      </w:r>
      <w:r w:rsidRPr="00B010B3">
        <w:rPr>
          <w:rFonts w:ascii="Times New Roman" w:eastAsia="Times New Roman" w:hAnsi="Times New Roman" w:cs="Times New Roman"/>
          <w:color w:val="0F1115"/>
          <w:sz w:val="24"/>
          <w:szCs w:val="24"/>
        </w:rPr>
        <w:lastRenderedPageBreak/>
        <w:t>a potent amplification site for vancomycin resistance.</w:t>
      </w:r>
      <w:r w:rsidR="0083373C"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The near-universal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in the tested isolates provides the definitive molecular explanation for this phenotypic resistance. </w:t>
      </w:r>
      <w:r w:rsidR="00137E15" w:rsidRPr="00B010B3">
        <w:rPr>
          <w:rFonts w:ascii="Times New Roman" w:hAnsi="Times New Roman" w:cs="Times New Roman"/>
          <w:color w:val="0F1115"/>
          <w:shd w:val="clear" w:color="auto" w:fill="FFFFFF"/>
        </w:rPr>
        <w:t>The prevalence of the </w:t>
      </w:r>
      <w:proofErr w:type="spellStart"/>
      <w:r w:rsidR="00137E15" w:rsidRPr="00B010B3">
        <w:rPr>
          <w:rStyle w:val="Emphasis"/>
          <w:rFonts w:ascii="Times New Roman" w:hAnsi="Times New Roman" w:cs="Times New Roman"/>
          <w:color w:val="0F1115"/>
          <w:shd w:val="clear" w:color="auto" w:fill="FFFFFF"/>
        </w:rPr>
        <w:t>vanA</w:t>
      </w:r>
      <w:proofErr w:type="spellEnd"/>
      <w:r w:rsidR="00137E15" w:rsidRPr="00B010B3">
        <w:rPr>
          <w:rFonts w:ascii="Times New Roman" w:hAnsi="Times New Roman" w:cs="Times New Roman"/>
          <w:color w:val="0F1115"/>
          <w:shd w:val="clear" w:color="auto" w:fill="FFFFFF"/>
        </w:rPr>
        <w:t xml:space="preserve"> gene among livestock, food products, and associated environments has been documented at varying levels. For example, it was reported in livestock at the Carmel abattoir (Al-Amery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2019) and found in 10.4% of samples from chicken carcasses, ready-to-eat chicken meat sandwiches, and buffalo milk (</w:t>
      </w:r>
      <w:proofErr w:type="spellStart"/>
      <w:r w:rsidR="00137E15" w:rsidRPr="00B010B3">
        <w:rPr>
          <w:rFonts w:ascii="Times New Roman" w:hAnsi="Times New Roman" w:cs="Times New Roman"/>
          <w:color w:val="0F1115"/>
          <w:shd w:val="clear" w:color="auto" w:fill="FFFFFF"/>
        </w:rPr>
        <w:t>Elshebrawy</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2025). A notably higher rate 60.8%was observed in dairy herds (</w:t>
      </w:r>
      <w:proofErr w:type="spellStart"/>
      <w:r w:rsidR="00137E15" w:rsidRPr="00B010B3">
        <w:rPr>
          <w:rFonts w:ascii="Times New Roman" w:hAnsi="Times New Roman" w:cs="Times New Roman"/>
          <w:color w:val="0F1115"/>
          <w:shd w:val="clear" w:color="auto" w:fill="FFFFFF"/>
        </w:rPr>
        <w:t>Tartor</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xml:space="preserve">., 2024). Similarly, Zaher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(2023) reported a 19.3% prevalence of vancomycin resistance in </w:t>
      </w:r>
      <w:r w:rsidR="00137E15" w:rsidRPr="00B010B3">
        <w:rPr>
          <w:rStyle w:val="Emphasis"/>
          <w:rFonts w:ascii="Times New Roman" w:hAnsi="Times New Roman" w:cs="Times New Roman"/>
          <w:color w:val="0F1115"/>
          <w:shd w:val="clear" w:color="auto" w:fill="FFFFFF"/>
        </w:rPr>
        <w:t>Staphylococcus aureus</w:t>
      </w:r>
      <w:r w:rsidR="00137E15" w:rsidRPr="00B010B3">
        <w:rPr>
          <w:rFonts w:ascii="Times New Roman" w:hAnsi="Times New Roman" w:cs="Times New Roman"/>
          <w:color w:val="0F1115"/>
          <w:shd w:val="clear" w:color="auto" w:fill="FFFFFF"/>
        </w:rPr>
        <w:t xml:space="preserve"> from cattle, sheep carcasses, and slaughterhouse workers. Among clinical human isolates, Shady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(2012) detected the </w:t>
      </w:r>
      <w:proofErr w:type="spellStart"/>
      <w:r w:rsidR="00137E15" w:rsidRPr="00B010B3">
        <w:rPr>
          <w:rStyle w:val="Emphasis"/>
          <w:rFonts w:ascii="Times New Roman" w:hAnsi="Times New Roman" w:cs="Times New Roman"/>
          <w:color w:val="0F1115"/>
          <w:shd w:val="clear" w:color="auto" w:fill="FFFFFF"/>
        </w:rPr>
        <w:t>vanA</w:t>
      </w:r>
      <w:proofErr w:type="spellEnd"/>
      <w:r w:rsidR="00137E15" w:rsidRPr="00B010B3">
        <w:rPr>
          <w:rFonts w:ascii="Times New Roman" w:hAnsi="Times New Roman" w:cs="Times New Roman"/>
          <w:color w:val="0F1115"/>
          <w:shd w:val="clear" w:color="auto" w:fill="FFFFFF"/>
        </w:rPr>
        <w:t> gene in 50% of vancomycin-resistant </w:t>
      </w:r>
      <w:r w:rsidR="00137E15" w:rsidRPr="00B010B3">
        <w:rPr>
          <w:rStyle w:val="Emphasis"/>
          <w:rFonts w:ascii="Times New Roman" w:hAnsi="Times New Roman" w:cs="Times New Roman"/>
          <w:color w:val="0F1115"/>
          <w:shd w:val="clear" w:color="auto" w:fill="FFFFFF"/>
        </w:rPr>
        <w:t>S. aureus</w:t>
      </w:r>
      <w:r w:rsidR="00137E15" w:rsidRPr="00B010B3">
        <w:rPr>
          <w:rFonts w:ascii="Times New Roman" w:hAnsi="Times New Roman" w:cs="Times New Roman"/>
          <w:color w:val="0F1115"/>
          <w:shd w:val="clear" w:color="auto" w:fill="FFFFFF"/>
        </w:rPr>
        <w:t xml:space="preserve"> (VRSA) strains, while other studies have reported differing </w:t>
      </w:r>
      <w:proofErr w:type="spellStart"/>
      <w:r w:rsidR="00137E15" w:rsidRPr="00B010B3">
        <w:rPr>
          <w:rFonts w:ascii="Times New Roman" w:hAnsi="Times New Roman" w:cs="Times New Roman"/>
          <w:color w:val="0F1115"/>
          <w:shd w:val="clear" w:color="auto" w:fill="FFFFFF"/>
        </w:rPr>
        <w:t>prevalences</w:t>
      </w:r>
      <w:proofErr w:type="spellEnd"/>
      <w:r w:rsidR="00137E15" w:rsidRPr="00B010B3">
        <w:rPr>
          <w:rFonts w:ascii="Times New Roman" w:hAnsi="Times New Roman" w:cs="Times New Roman"/>
          <w:color w:val="0F1115"/>
          <w:shd w:val="clear" w:color="auto" w:fill="FFFFFF"/>
        </w:rPr>
        <w:t xml:space="preserve">, such </w:t>
      </w:r>
      <w:r w:rsidR="00B74F67" w:rsidRPr="00B010B3">
        <w:rPr>
          <w:rFonts w:ascii="Times New Roman" w:hAnsi="Times New Roman" w:cs="Times New Roman"/>
          <w:color w:val="0F1115"/>
          <w:shd w:val="clear" w:color="auto" w:fill="FFFFFF"/>
        </w:rPr>
        <w:t xml:space="preserve">as 86%, </w:t>
      </w:r>
      <w:r w:rsidR="00137E15" w:rsidRPr="00B010B3">
        <w:rPr>
          <w:rFonts w:ascii="Times New Roman" w:hAnsi="Times New Roman" w:cs="Times New Roman"/>
          <w:color w:val="0F1115"/>
          <w:shd w:val="clear" w:color="auto" w:fill="FFFFFF"/>
        </w:rPr>
        <w:t>27%</w:t>
      </w:r>
      <w:r w:rsidR="00B74F67" w:rsidRPr="00B010B3">
        <w:rPr>
          <w:rFonts w:ascii="Times New Roman" w:hAnsi="Times New Roman" w:cs="Times New Roman"/>
          <w:color w:val="0F1115"/>
          <w:shd w:val="clear" w:color="auto" w:fill="FFFFFF"/>
        </w:rPr>
        <w:t xml:space="preserve"> and</w:t>
      </w:r>
      <w:r w:rsidR="00464505" w:rsidRPr="00B010B3">
        <w:rPr>
          <w:rFonts w:ascii="Times New Roman" w:hAnsi="Times New Roman" w:cs="Times New Roman"/>
          <w:color w:val="0F1115"/>
          <w:shd w:val="clear" w:color="auto" w:fill="FFFFFF"/>
        </w:rPr>
        <w:t xml:space="preserve"> 1.29 %</w:t>
      </w:r>
      <w:r w:rsidR="00137E15" w:rsidRPr="00B010B3">
        <w:rPr>
          <w:rFonts w:ascii="Times New Roman" w:hAnsi="Times New Roman" w:cs="Times New Roman"/>
          <w:color w:val="0F1115"/>
          <w:shd w:val="clear" w:color="auto" w:fill="FFFFFF"/>
        </w:rPr>
        <w:t xml:space="preserve"> in VRSA (</w:t>
      </w:r>
      <w:proofErr w:type="spellStart"/>
      <w:r w:rsidR="00137E15" w:rsidRPr="00B010B3">
        <w:rPr>
          <w:rFonts w:ascii="Times New Roman" w:hAnsi="Times New Roman" w:cs="Times New Roman"/>
          <w:color w:val="0F1115"/>
          <w:shd w:val="clear" w:color="auto" w:fill="FFFFFF"/>
        </w:rPr>
        <w:t>Thati</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xml:space="preserve">., 2011; </w:t>
      </w:r>
      <w:proofErr w:type="spellStart"/>
      <w:r w:rsidR="00137E15" w:rsidRPr="00B010B3">
        <w:rPr>
          <w:rFonts w:ascii="Times New Roman" w:hAnsi="Times New Roman" w:cs="Times New Roman"/>
          <w:color w:val="0F1115"/>
          <w:shd w:val="clear" w:color="auto" w:fill="FFFFFF"/>
        </w:rPr>
        <w:t>Shindia</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2011</w:t>
      </w:r>
      <w:r w:rsidR="00FC7879" w:rsidRPr="00B010B3">
        <w:rPr>
          <w:rFonts w:ascii="Times New Roman" w:hAnsi="Times New Roman" w:cs="Times New Roman"/>
          <w:color w:val="0F1115"/>
          <w:shd w:val="clear" w:color="auto" w:fill="FFFFFF"/>
        </w:rPr>
        <w:t xml:space="preserve">; </w:t>
      </w:r>
      <w:proofErr w:type="spellStart"/>
      <w:r w:rsidR="006F41B8" w:rsidRPr="00B010B3">
        <w:rPr>
          <w:rFonts w:ascii="Times New Roman" w:hAnsi="Times New Roman" w:cs="Times New Roman"/>
          <w:color w:val="0F1115"/>
          <w:shd w:val="clear" w:color="auto" w:fill="FFFFFF"/>
        </w:rPr>
        <w:t>Zarghami</w:t>
      </w:r>
      <w:proofErr w:type="spellEnd"/>
      <w:r w:rsidR="006F41B8"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6F41B8" w:rsidRPr="00B010B3">
        <w:rPr>
          <w:rFonts w:ascii="Times New Roman" w:hAnsi="Times New Roman" w:cs="Times New Roman"/>
          <w:i/>
          <w:color w:val="0F1115"/>
          <w:shd w:val="clear" w:color="auto" w:fill="FFFFFF"/>
        </w:rPr>
        <w:t>.,</w:t>
      </w:r>
      <w:r w:rsidR="006F41B8" w:rsidRPr="00B010B3">
        <w:rPr>
          <w:rFonts w:ascii="Times New Roman" w:hAnsi="Times New Roman" w:cs="Times New Roman"/>
          <w:color w:val="0F1115"/>
          <w:shd w:val="clear" w:color="auto" w:fill="FFFFFF"/>
        </w:rPr>
        <w:t xml:space="preserve"> 2021</w:t>
      </w:r>
      <w:r w:rsidR="00137E15" w:rsidRPr="00B010B3">
        <w:rPr>
          <w:rFonts w:ascii="Times New Roman" w:hAnsi="Times New Roman" w:cs="Times New Roman"/>
          <w:color w:val="0F1115"/>
          <w:shd w:val="clear" w:color="auto" w:fill="FFFFFF"/>
        </w:rPr>
        <w:t>).</w:t>
      </w:r>
    </w:p>
    <w:p w14:paraId="688C8F57"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cluster, often located on mobile genetic elements like plasmids or transposons, confers high-level, inducible resistance to vancomycin and teicoplanin (Weigel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2003). Its detection confirms that the resistance is acquired and transferable, significantly elevating the public health risk. The origin of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in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 most plausibly attributed to horizontal gene transfer from vancomycin-resistant enterococci (VRE), which are common gut commensals in animals and humans subjected to glycopeptide selection pressure (Gould, 2010). The intensive and potentially indiscriminate use of antibiotics, including possibly avoparcin (a glycopeptide growth promoter now banned in many countries but whose historical or illicit use cannot be ruled out) or other drugs that co-select for vancomycin resistance, in the Nigerian livestock environment likely created the perfect conditions for this gene transfer and subsequent fixation of VRSA in the pig population.</w:t>
      </w:r>
    </w:p>
    <w:p w14:paraId="7363EC19" w14:textId="77777777" w:rsidR="00A51DD3"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antibiotic susceptibility profile of these VRSA isolates reveals a phenotype of extreme multidrug resistance, with a MAR index of 0.87. The 100% resistance to vancomycin and seven other antibiotics, including last-resort agents like carbapenems (imipenem), underscores a catastrophic loss of therapeutic options. This resistance pattern is consistent with the selection pressure exerted by the widespread and unregulated use of multiple antibiotic classes in Nigerian animal agriculture for therapy, prophylaxis, and growth promotion (</w:t>
      </w:r>
      <w:proofErr w:type="spellStart"/>
      <w:r w:rsidRPr="00B010B3">
        <w:rPr>
          <w:rFonts w:ascii="Times New Roman" w:eastAsia="Times New Roman" w:hAnsi="Times New Roman" w:cs="Times New Roman"/>
          <w:color w:val="0F1115"/>
          <w:sz w:val="24"/>
          <w:szCs w:val="24"/>
        </w:rPr>
        <w:t>Mojeed</w:t>
      </w:r>
      <w:proofErr w:type="spellEnd"/>
      <w:r w:rsidRPr="00B010B3">
        <w:rPr>
          <w:rFonts w:ascii="Times New Roman" w:eastAsia="Times New Roman" w:hAnsi="Times New Roman" w:cs="Times New Roman"/>
          <w:color w:val="0F1115"/>
          <w:sz w:val="24"/>
          <w:szCs w:val="24"/>
        </w:rPr>
        <w:t>, 2020</w:t>
      </w:r>
      <w:r w:rsidR="00106062" w:rsidRPr="00B010B3">
        <w:rPr>
          <w:rFonts w:ascii="Times New Roman" w:eastAsia="Times New Roman" w:hAnsi="Times New Roman" w:cs="Times New Roman"/>
          <w:color w:val="0F1115"/>
          <w:sz w:val="24"/>
          <w:szCs w:val="24"/>
        </w:rPr>
        <w:t xml:space="preserve">; </w:t>
      </w:r>
      <w:proofErr w:type="spellStart"/>
      <w:r w:rsidR="00106062" w:rsidRPr="00B010B3">
        <w:rPr>
          <w:rFonts w:ascii="Times New Roman" w:eastAsia="Times New Roman" w:hAnsi="Times New Roman" w:cs="Times New Roman"/>
          <w:color w:val="0F1115"/>
          <w:sz w:val="24"/>
          <w:szCs w:val="24"/>
        </w:rPr>
        <w:t>Okojokwu</w:t>
      </w:r>
      <w:proofErr w:type="spellEnd"/>
      <w:r w:rsidR="00106062"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06062" w:rsidRPr="00B010B3">
        <w:rPr>
          <w:rFonts w:ascii="Times New Roman" w:eastAsia="Times New Roman" w:hAnsi="Times New Roman" w:cs="Times New Roman"/>
          <w:i/>
          <w:color w:val="0F1115"/>
          <w:sz w:val="24"/>
          <w:szCs w:val="24"/>
        </w:rPr>
        <w:t>.</w:t>
      </w:r>
      <w:r w:rsidR="00106062" w:rsidRPr="00B010B3">
        <w:rPr>
          <w:rFonts w:ascii="Times New Roman" w:eastAsia="Times New Roman" w:hAnsi="Times New Roman" w:cs="Times New Roman"/>
          <w:color w:val="0F1115"/>
          <w:sz w:val="24"/>
          <w:szCs w:val="24"/>
        </w:rPr>
        <w:t>, 2025</w:t>
      </w:r>
      <w:r w:rsidRPr="00B010B3">
        <w:rPr>
          <w:rFonts w:ascii="Times New Roman" w:eastAsia="Times New Roman" w:hAnsi="Times New Roman" w:cs="Times New Roman"/>
          <w:color w:val="0F1115"/>
          <w:sz w:val="24"/>
          <w:szCs w:val="24"/>
        </w:rPr>
        <w:t>). The high co-resistance to tetracycline, sulfonamides, and beta-lactams reflects the commonality of these inexpensive, readily available drugs in livestock management. The retention of susceptibility to gentamicin and levofloxacin offers a narrow window for potential therapy but simultaneously identifies the next targets for resistance selection under continued drug pressure.</w:t>
      </w:r>
    </w:p>
    <w:p w14:paraId="5B655FB6"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public health implications are severe and multifaceted. Firstly, pigs colonized with VRSA pose a direct zoonotic risk to farmers, veterinarians, abattoir workers, and their families through close contact. Secondly, VRSA can enter the food chain via contaminated meat, posing a risk to consumers, especially if food hygiene is inadequate. Thirdly, and perhaps most broadly, the farm environment becomes a hotspot for resistance genes.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residing on mobile elements within a resilient pathogen like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can be shed into the environment through manure and wastewater, potentially transferring to other bacterial species and entering wider ecosystems.</w:t>
      </w:r>
    </w:p>
    <w:p w14:paraId="5B15A0DB"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findings of this study signal a state of emergency for antimicrobial resistance containment in Nigeria's livestock sector. They expose the consequences of inadequate regulation and oversight of veterinary antibiotic use. The high prevalence of VRSA is likely a sentinel event, indicating broader, systemic failures in antimicrobial stewardship.</w:t>
      </w:r>
    </w:p>
    <w:p w14:paraId="67C8E64B" w14:textId="77777777" w:rsidR="00786729" w:rsidRPr="00B010B3" w:rsidRDefault="00786729" w:rsidP="007667DB">
      <w:pPr>
        <w:shd w:val="clear" w:color="auto" w:fill="FFFFFF"/>
        <w:spacing w:after="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lastRenderedPageBreak/>
        <w:t>5. CONCLUSION</w:t>
      </w:r>
    </w:p>
    <w:p w14:paraId="2137CB4D" w14:textId="77777777" w:rsidR="00786729" w:rsidRPr="00B010B3" w:rsidRDefault="00786729" w:rsidP="007667DB">
      <w:pPr>
        <w:shd w:val="clear" w:color="auto" w:fill="FFFFFF"/>
        <w:spacing w:after="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This study provides unequivocal evidence of a hyper-endemic focus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in pigs in Ebonyi State, Nigeria, with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confirmed as the underlying resistance mechanism. The associated extreme multidrug resistance profile highlights the profound selective pressure from antibiotic misuse in this agricultural setting.</w:t>
      </w:r>
      <w:r w:rsidR="007667DB"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These findings demand an immediate and coordinated One Health response:</w:t>
      </w:r>
      <w:r w:rsidR="002A22A6" w:rsidRPr="00B010B3">
        <w:rPr>
          <w:rFonts w:ascii="Times New Roman" w:eastAsia="Times New Roman" w:hAnsi="Times New Roman" w:cs="Times New Roman"/>
          <w:color w:val="0F1115"/>
          <w:sz w:val="24"/>
          <w:szCs w:val="24"/>
        </w:rPr>
        <w:t xml:space="preserve"> (</w:t>
      </w:r>
      <w:proofErr w:type="spellStart"/>
      <w:r w:rsidR="002A22A6" w:rsidRPr="00B010B3">
        <w:rPr>
          <w:rFonts w:ascii="Times New Roman" w:eastAsia="Times New Roman" w:hAnsi="Times New Roman" w:cs="Times New Roman"/>
          <w:color w:val="0F1115"/>
          <w:sz w:val="24"/>
          <w:szCs w:val="24"/>
        </w:rPr>
        <w:t>i</w:t>
      </w:r>
      <w:proofErr w:type="spellEnd"/>
      <w:r w:rsidR="002A22A6"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A national survey is required to determine the geographic spread of VRSA in Nigerian livestock. The source of glycopeptide/antibiotic selection pressure driving this phenomenon must be identified and halted.</w:t>
      </w:r>
      <w:r w:rsidR="002A22A6" w:rsidRPr="00B010B3">
        <w:rPr>
          <w:rFonts w:ascii="Times New Roman" w:eastAsia="Times New Roman" w:hAnsi="Times New Roman" w:cs="Times New Roman"/>
          <w:color w:val="0F1115"/>
          <w:sz w:val="24"/>
          <w:szCs w:val="24"/>
        </w:rPr>
        <w:t xml:space="preserve"> (ii) </w:t>
      </w:r>
      <w:r w:rsidRPr="00B010B3">
        <w:rPr>
          <w:rFonts w:ascii="Times New Roman" w:eastAsia="Times New Roman" w:hAnsi="Times New Roman" w:cs="Times New Roman"/>
          <w:color w:val="0F1115"/>
          <w:sz w:val="24"/>
          <w:szCs w:val="24"/>
        </w:rPr>
        <w:t>Existing regulations on veterinary antibiotic use must be enforced, with a ban on the non-therapeutic use of antibiotics critically important for human medicine, including all glycopeptides.</w:t>
      </w:r>
      <w:r w:rsidR="002A22A6" w:rsidRPr="00B010B3">
        <w:rPr>
          <w:rFonts w:ascii="Times New Roman" w:eastAsia="Times New Roman" w:hAnsi="Times New Roman" w:cs="Times New Roman"/>
          <w:color w:val="0F1115"/>
          <w:sz w:val="24"/>
          <w:szCs w:val="24"/>
        </w:rPr>
        <w:t xml:space="preserve"> (iii) </w:t>
      </w:r>
      <w:r w:rsidR="002A22A6" w:rsidRPr="00B010B3">
        <w:rPr>
          <w:rFonts w:ascii="Times New Roman" w:eastAsia="Times New Roman" w:hAnsi="Times New Roman" w:cs="Times New Roman"/>
          <w:bCs/>
          <w:color w:val="0F1115"/>
          <w:sz w:val="24"/>
          <w:szCs w:val="24"/>
        </w:rPr>
        <w:t>Antimicrobial Stewardship</w:t>
      </w:r>
      <w:r w:rsidRPr="00B010B3">
        <w:rPr>
          <w:rFonts w:ascii="Times New Roman" w:eastAsia="Times New Roman" w:hAnsi="Times New Roman" w:cs="Times New Roman"/>
          <w:color w:val="0F1115"/>
          <w:sz w:val="24"/>
          <w:szCs w:val="24"/>
        </w:rPr>
        <w:t xml:space="preserve"> programs must be implemented in veterinary practice to promote responsible prescription and use of antibiotics.</w:t>
      </w:r>
      <w:r w:rsidR="00B17173" w:rsidRPr="00B010B3">
        <w:rPr>
          <w:rFonts w:ascii="Times New Roman" w:eastAsia="Times New Roman" w:hAnsi="Times New Roman" w:cs="Times New Roman"/>
          <w:color w:val="0F1115"/>
          <w:sz w:val="24"/>
          <w:szCs w:val="24"/>
        </w:rPr>
        <w:t xml:space="preserve"> (iv)</w:t>
      </w:r>
      <w:r w:rsidRPr="00B010B3">
        <w:rPr>
          <w:rFonts w:ascii="Times New Roman" w:eastAsia="Times New Roman" w:hAnsi="Times New Roman" w:cs="Times New Roman"/>
          <w:color w:val="0F1115"/>
          <w:sz w:val="24"/>
          <w:szCs w:val="24"/>
        </w:rPr>
        <w:t>Targeted education for farmers, veterinarians, and stakeholders on the dangers of AMR and the specific threat of VRSA is crucial.</w:t>
      </w:r>
      <w:r w:rsidR="002A22A6" w:rsidRPr="00B010B3">
        <w:rPr>
          <w:rFonts w:ascii="Times New Roman" w:eastAsia="Times New Roman" w:hAnsi="Times New Roman" w:cs="Times New Roman"/>
          <w:color w:val="0F1115"/>
          <w:sz w:val="24"/>
          <w:szCs w:val="24"/>
        </w:rPr>
        <w:t xml:space="preserve"> (v) </w:t>
      </w:r>
      <w:r w:rsidRPr="00B010B3">
        <w:rPr>
          <w:rFonts w:ascii="Times New Roman" w:eastAsia="Times New Roman" w:hAnsi="Times New Roman" w:cs="Times New Roman"/>
          <w:color w:val="0F1115"/>
          <w:sz w:val="24"/>
          <w:szCs w:val="24"/>
        </w:rPr>
        <w:t>Strengthened collaboration between the human health, animal health, and environmental sectors is essential to manage this crisis under a One Health framework.</w:t>
      </w:r>
    </w:p>
    <w:p w14:paraId="747F0CB4" w14:textId="77777777" w:rsidR="00786729" w:rsidRPr="00B010B3" w:rsidRDefault="00786729" w:rsidP="007667DB">
      <w:pPr>
        <w:shd w:val="clear" w:color="auto" w:fill="FFFFFF"/>
        <w:spacing w:after="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Failure to act decisively will allow this reservoir of pan-resistant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to consolidate and spread, potentially leading to untreatable infections in both animals and humans, with devastating consequences for public health and food security.</w:t>
      </w:r>
    </w:p>
    <w:p w14:paraId="49175D63" w14:textId="77777777" w:rsidR="005D629A" w:rsidRPr="00B010B3" w:rsidRDefault="005D629A" w:rsidP="004C3F72">
      <w:pPr>
        <w:shd w:val="clear" w:color="auto" w:fill="FFFFFF"/>
        <w:spacing w:before="240" w:after="240" w:line="240" w:lineRule="auto"/>
        <w:jc w:val="both"/>
        <w:rPr>
          <w:rFonts w:ascii="Times New Roman" w:hAnsi="Times New Roman" w:cs="Times New Roman"/>
          <w:b/>
          <w:sz w:val="24"/>
          <w:szCs w:val="24"/>
          <w:shd w:val="clear" w:color="auto" w:fill="FFFFFF"/>
        </w:rPr>
      </w:pPr>
    </w:p>
    <w:p w14:paraId="20666C85" w14:textId="1253D0EB" w:rsidR="003D512C" w:rsidRPr="00B010B3" w:rsidRDefault="003D512C" w:rsidP="004C3F72">
      <w:pPr>
        <w:shd w:val="clear" w:color="auto" w:fill="FFFFFF"/>
        <w:spacing w:before="240" w:after="240" w:line="240" w:lineRule="auto"/>
        <w:jc w:val="both"/>
        <w:rPr>
          <w:rFonts w:ascii="Times New Roman" w:eastAsia="Times New Roman" w:hAnsi="Times New Roman" w:cs="Times New Roman"/>
          <w:b/>
          <w:bCs/>
          <w:color w:val="0F1115"/>
          <w:sz w:val="24"/>
          <w:szCs w:val="24"/>
        </w:rPr>
      </w:pPr>
      <w:r w:rsidRPr="00B010B3">
        <w:rPr>
          <w:rFonts w:ascii="Times New Roman" w:hAnsi="Times New Roman" w:cs="Times New Roman"/>
          <w:b/>
          <w:sz w:val="24"/>
          <w:szCs w:val="24"/>
          <w:shd w:val="clear" w:color="auto" w:fill="FFFFFF"/>
        </w:rPr>
        <w:t>Disclaimer (Artificial Intelligence)</w:t>
      </w:r>
      <w:r w:rsidR="0044014C" w:rsidRPr="00B010B3">
        <w:rPr>
          <w:rFonts w:ascii="Times New Roman" w:hAnsi="Times New Roman" w:cs="Times New Roman"/>
          <w:b/>
          <w:sz w:val="24"/>
          <w:szCs w:val="24"/>
          <w:shd w:val="clear" w:color="auto" w:fill="FFFFFF"/>
        </w:rPr>
        <w:t>:</w:t>
      </w:r>
      <w:r w:rsidR="0044014C" w:rsidRPr="00B010B3">
        <w:rPr>
          <w:rFonts w:ascii="Times New Roman" w:hAnsi="Times New Roman" w:cs="Times New Roman"/>
          <w:sz w:val="24"/>
          <w:szCs w:val="24"/>
          <w:shd w:val="clear" w:color="auto" w:fill="FFFFFF"/>
        </w:rPr>
        <w:t xml:space="preserve"> </w:t>
      </w:r>
      <w:r w:rsidRPr="00B010B3">
        <w:rPr>
          <w:rFonts w:ascii="Times New Roman" w:hAnsi="Times New Roman" w:cs="Times New Roman"/>
          <w:sz w:val="24"/>
          <w:szCs w:val="24"/>
          <w:shd w:val="clear" w:color="auto" w:fill="FFFFFF"/>
        </w:rPr>
        <w:t xml:space="preserve">Author(s) hereby declare that </w:t>
      </w:r>
      <w:proofErr w:type="gramStart"/>
      <w:r w:rsidRPr="00B010B3">
        <w:rPr>
          <w:rFonts w:ascii="Times New Roman" w:hAnsi="Times New Roman" w:cs="Times New Roman"/>
          <w:sz w:val="24"/>
          <w:szCs w:val="24"/>
          <w:shd w:val="clear" w:color="auto" w:fill="FFFFFF"/>
        </w:rPr>
        <w:t>NO  generative</w:t>
      </w:r>
      <w:proofErr w:type="gramEnd"/>
      <w:r w:rsidRPr="00B010B3">
        <w:rPr>
          <w:rFonts w:ascii="Times New Roman" w:hAnsi="Times New Roman" w:cs="Times New Roman"/>
          <w:sz w:val="24"/>
          <w:szCs w:val="24"/>
          <w:shd w:val="clear" w:color="auto" w:fill="FFFFFF"/>
        </w:rPr>
        <w:t xml:space="preserve">  AI technologies  such  as  Large  Language  Models (</w:t>
      </w:r>
      <w:proofErr w:type="spellStart"/>
      <w:r w:rsidRPr="00B010B3">
        <w:rPr>
          <w:rFonts w:ascii="Times New Roman" w:hAnsi="Times New Roman" w:cs="Times New Roman"/>
          <w:sz w:val="24"/>
          <w:szCs w:val="24"/>
          <w:shd w:val="clear" w:color="auto" w:fill="FFFFFF"/>
        </w:rPr>
        <w:t>ChatGPT</w:t>
      </w:r>
      <w:proofErr w:type="spellEnd"/>
      <w:r w:rsidRPr="00B010B3">
        <w:rPr>
          <w:rFonts w:ascii="Times New Roman" w:hAnsi="Times New Roman" w:cs="Times New Roman"/>
          <w:sz w:val="24"/>
          <w:szCs w:val="24"/>
          <w:shd w:val="clear" w:color="auto" w:fill="FFFFFF"/>
        </w:rPr>
        <w:t>,   COPILOT,   etc.) and   text-to-image generators have been used during the  writing or editing of this manuscript</w:t>
      </w:r>
    </w:p>
    <w:p w14:paraId="4B39DD8C" w14:textId="77777777" w:rsidR="00F34289" w:rsidRDefault="00F34289" w:rsidP="00786729">
      <w:pPr>
        <w:spacing w:before="480" w:after="480" w:line="240" w:lineRule="auto"/>
        <w:rPr>
          <w:rFonts w:ascii="Times New Roman" w:eastAsia="Times New Roman" w:hAnsi="Times New Roman" w:cs="Times New Roman"/>
          <w:b/>
          <w:sz w:val="24"/>
          <w:szCs w:val="24"/>
        </w:rPr>
      </w:pPr>
    </w:p>
    <w:p w14:paraId="604DD85C" w14:textId="2EC80A24" w:rsidR="009B1C25" w:rsidRPr="00B010B3" w:rsidRDefault="00647958" w:rsidP="00786729">
      <w:pPr>
        <w:spacing w:before="480" w:after="480" w:line="240" w:lineRule="auto"/>
        <w:rPr>
          <w:rFonts w:ascii="Times New Roman" w:eastAsia="Times New Roman" w:hAnsi="Times New Roman" w:cs="Times New Roman"/>
          <w:sz w:val="24"/>
          <w:szCs w:val="24"/>
        </w:rPr>
      </w:pPr>
      <w:r w:rsidRPr="00647958">
        <w:rPr>
          <w:rFonts w:ascii="Times New Roman" w:eastAsia="Times New Roman" w:hAnsi="Times New Roman" w:cs="Times New Roman"/>
          <w:b/>
          <w:sz w:val="24"/>
          <w:szCs w:val="24"/>
        </w:rPr>
        <w:t>References</w:t>
      </w:r>
    </w:p>
    <w:p w14:paraId="2572371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Abebe, M., </w:t>
      </w:r>
      <w:proofErr w:type="spellStart"/>
      <w:r w:rsidRPr="00683111">
        <w:rPr>
          <w:color w:val="0F1115"/>
        </w:rPr>
        <w:t>Alemkere</w:t>
      </w:r>
      <w:proofErr w:type="spellEnd"/>
      <w:r w:rsidRPr="00683111">
        <w:rPr>
          <w:color w:val="0F1115"/>
        </w:rPr>
        <w:t>, G. and Ayele, G. (2024). Methicillin and vancomycin-resistant </w:t>
      </w:r>
      <w:r w:rsidRPr="00683111">
        <w:rPr>
          <w:rStyle w:val="Emphasis"/>
          <w:color w:val="0F1115"/>
        </w:rPr>
        <w:t>Staphylococcus aureus</w:t>
      </w:r>
      <w:r w:rsidRPr="00683111">
        <w:rPr>
          <w:color w:val="0F1115"/>
        </w:rPr>
        <w:t xml:space="preserve"> and associated risk factors among patients with wound infection in East </w:t>
      </w:r>
      <w:proofErr w:type="spellStart"/>
      <w:r w:rsidRPr="00683111">
        <w:rPr>
          <w:color w:val="0F1115"/>
        </w:rPr>
        <w:t>Wallaga</w:t>
      </w:r>
      <w:proofErr w:type="spellEnd"/>
      <w:r w:rsidRPr="00683111">
        <w:rPr>
          <w:color w:val="0F1115"/>
        </w:rPr>
        <w:t xml:space="preserve"> zone, Western Ethiopia. </w:t>
      </w:r>
      <w:r w:rsidRPr="00683111">
        <w:rPr>
          <w:rStyle w:val="Emphasis"/>
          <w:color w:val="0F1115"/>
        </w:rPr>
        <w:t>Infection Prevention in Practice</w:t>
      </w:r>
      <w:r w:rsidRPr="00683111">
        <w:rPr>
          <w:color w:val="0F1115"/>
        </w:rPr>
        <w:t>, </w:t>
      </w:r>
      <w:r w:rsidRPr="00683111">
        <w:rPr>
          <w:rStyle w:val="Strong"/>
          <w:color w:val="0F1115"/>
        </w:rPr>
        <w:t>6</w:t>
      </w:r>
      <w:r w:rsidRPr="00683111">
        <w:rPr>
          <w:color w:val="0F1115"/>
        </w:rPr>
        <w:t>(4): 100409.</w:t>
      </w:r>
    </w:p>
    <w:p w14:paraId="29B71B0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Chayanika, D., Rathore, R. and Singh, V.K. (2025). Prevalence, characterization and antibiogram of </w:t>
      </w:r>
      <w:r w:rsidRPr="00683111">
        <w:rPr>
          <w:rStyle w:val="Emphasis"/>
          <w:color w:val="0F1115"/>
        </w:rPr>
        <w:t>Staphylococcus aureus</w:t>
      </w:r>
      <w:r w:rsidRPr="00683111">
        <w:rPr>
          <w:color w:val="0F1115"/>
        </w:rPr>
        <w:t> isolates from bovine and swine population in Bareilly, Uttar Pradesh, India. </w:t>
      </w:r>
      <w:r w:rsidRPr="00683111">
        <w:rPr>
          <w:rStyle w:val="Emphasis"/>
          <w:color w:val="0F1115"/>
        </w:rPr>
        <w:t>Scientific Reports</w:t>
      </w:r>
      <w:r w:rsidRPr="00683111">
        <w:rPr>
          <w:color w:val="0F1115"/>
        </w:rPr>
        <w:t>, </w:t>
      </w:r>
      <w:r w:rsidRPr="00683111">
        <w:rPr>
          <w:rStyle w:val="Strong"/>
          <w:color w:val="0F1115"/>
        </w:rPr>
        <w:t>15</w:t>
      </w:r>
      <w:r w:rsidRPr="00683111">
        <w:rPr>
          <w:color w:val="0F1115"/>
        </w:rPr>
        <w:t xml:space="preserve">: 28171. </w:t>
      </w:r>
      <w:proofErr w:type="spellStart"/>
      <w:r w:rsidRPr="00683111">
        <w:rPr>
          <w:color w:val="0F1115"/>
        </w:rPr>
        <w:t>doi</w:t>
      </w:r>
      <w:proofErr w:type="spellEnd"/>
      <w:r w:rsidRPr="00683111">
        <w:rPr>
          <w:color w:val="0F1115"/>
        </w:rPr>
        <w:t>: 10.1038/s41598-025-13369-6.</w:t>
      </w:r>
    </w:p>
    <w:p w14:paraId="7094E0E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Clifford, K., Dar, O., Khan, M.S., Nawaz, M. and Haider, N. (2018). Antimicrobial resistance in livestock and </w:t>
      </w:r>
      <w:proofErr w:type="gramStart"/>
      <w:r w:rsidRPr="00683111">
        <w:rPr>
          <w:color w:val="0F1115"/>
        </w:rPr>
        <w:t>poor quality</w:t>
      </w:r>
      <w:proofErr w:type="gramEnd"/>
      <w:r w:rsidRPr="00683111">
        <w:rPr>
          <w:color w:val="0F1115"/>
        </w:rPr>
        <w:t xml:space="preserve"> veterinary medicines. </w:t>
      </w:r>
      <w:r w:rsidRPr="00683111">
        <w:rPr>
          <w:rStyle w:val="Emphasis"/>
          <w:color w:val="0F1115"/>
        </w:rPr>
        <w:t>Bulletin of the World Health Organization</w:t>
      </w:r>
      <w:r w:rsidRPr="00683111">
        <w:rPr>
          <w:color w:val="0F1115"/>
        </w:rPr>
        <w:t>, </w:t>
      </w:r>
      <w:r w:rsidRPr="00683111">
        <w:rPr>
          <w:rStyle w:val="Strong"/>
          <w:color w:val="0F1115"/>
        </w:rPr>
        <w:t>96</w:t>
      </w:r>
      <w:r w:rsidRPr="00683111">
        <w:rPr>
          <w:color w:val="0F1115"/>
        </w:rPr>
        <w:t>(9): 662–664.</w:t>
      </w:r>
    </w:p>
    <w:p w14:paraId="1A85572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Cong, Y., Yang, S. and Rao, X. (2020). Vancomycin resistant </w:t>
      </w:r>
      <w:r w:rsidRPr="00683111">
        <w:rPr>
          <w:rStyle w:val="Emphasis"/>
          <w:color w:val="0F1115"/>
        </w:rPr>
        <w:t>Staphylococcus aureus</w:t>
      </w:r>
      <w:r w:rsidRPr="00683111">
        <w:rPr>
          <w:color w:val="0F1115"/>
        </w:rPr>
        <w:t> infections: a review of case updating and clinical features. </w:t>
      </w:r>
      <w:r w:rsidRPr="00683111">
        <w:rPr>
          <w:rStyle w:val="Emphasis"/>
          <w:color w:val="0F1115"/>
        </w:rPr>
        <w:t>Journal of Advanced Research</w:t>
      </w:r>
      <w:r w:rsidRPr="00683111">
        <w:rPr>
          <w:color w:val="0F1115"/>
        </w:rPr>
        <w:t>, </w:t>
      </w:r>
      <w:r w:rsidRPr="00683111">
        <w:rPr>
          <w:rStyle w:val="Strong"/>
          <w:color w:val="0F1115"/>
        </w:rPr>
        <w:t>21</w:t>
      </w:r>
      <w:r w:rsidRPr="00683111">
        <w:rPr>
          <w:color w:val="0F1115"/>
        </w:rPr>
        <w:t>: 169–176.</w:t>
      </w:r>
    </w:p>
    <w:p w14:paraId="086CA36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Edemekong</w:t>
      </w:r>
      <w:proofErr w:type="spellEnd"/>
      <w:r w:rsidRPr="00683111">
        <w:rPr>
          <w:color w:val="0F1115"/>
        </w:rPr>
        <w:t xml:space="preserve">, C.I., </w:t>
      </w:r>
      <w:proofErr w:type="spellStart"/>
      <w:r w:rsidRPr="00683111">
        <w:rPr>
          <w:color w:val="0F1115"/>
        </w:rPr>
        <w:t>Chukwujekwu</w:t>
      </w:r>
      <w:proofErr w:type="spellEnd"/>
      <w:r w:rsidRPr="00683111">
        <w:rPr>
          <w:color w:val="0F1115"/>
        </w:rPr>
        <w:t xml:space="preserve">, A.G., Okorie, M.E., </w:t>
      </w:r>
      <w:proofErr w:type="spellStart"/>
      <w:r w:rsidRPr="00683111">
        <w:rPr>
          <w:color w:val="0F1115"/>
        </w:rPr>
        <w:t>Udenweze</w:t>
      </w:r>
      <w:proofErr w:type="spellEnd"/>
      <w:r w:rsidRPr="00683111">
        <w:rPr>
          <w:color w:val="0F1115"/>
        </w:rPr>
        <w:t xml:space="preserve">, E., </w:t>
      </w:r>
      <w:proofErr w:type="spellStart"/>
      <w:r w:rsidRPr="00683111">
        <w:rPr>
          <w:color w:val="0F1115"/>
        </w:rPr>
        <w:t>Obodoechi</w:t>
      </w:r>
      <w:proofErr w:type="spellEnd"/>
      <w:r w:rsidRPr="00683111">
        <w:rPr>
          <w:color w:val="0F1115"/>
        </w:rPr>
        <w:t>, I.F., Ogbonna, I.P., Agbo, C.O., Otu, Q. and Iroha, I.R. (2025). Evaluation of Antibacterial Activity of Selected Medicinal Plants on Extended Spectrum β-lactamase Producing </w:t>
      </w:r>
      <w:r w:rsidRPr="00683111">
        <w:rPr>
          <w:rStyle w:val="Emphasis"/>
          <w:color w:val="0F1115"/>
        </w:rPr>
        <w:t>Salmonella enterica</w:t>
      </w:r>
      <w:r w:rsidRPr="00683111">
        <w:rPr>
          <w:color w:val="0F1115"/>
        </w:rPr>
        <w:t> serovar Typhimurium. </w:t>
      </w:r>
      <w:r w:rsidRPr="00683111">
        <w:rPr>
          <w:rStyle w:val="Emphasis"/>
          <w:color w:val="0F1115"/>
        </w:rPr>
        <w:t xml:space="preserve">UMYU </w:t>
      </w:r>
      <w:proofErr w:type="spellStart"/>
      <w:r w:rsidRPr="00683111">
        <w:rPr>
          <w:rStyle w:val="Emphasis"/>
          <w:color w:val="0F1115"/>
        </w:rPr>
        <w:t>Scientifica</w:t>
      </w:r>
      <w:proofErr w:type="spellEnd"/>
      <w:r w:rsidRPr="00683111">
        <w:rPr>
          <w:color w:val="0F1115"/>
        </w:rPr>
        <w:t>, </w:t>
      </w:r>
      <w:r w:rsidRPr="00683111">
        <w:rPr>
          <w:rStyle w:val="Strong"/>
          <w:color w:val="0F1115"/>
        </w:rPr>
        <w:t>4</w:t>
      </w:r>
      <w:r w:rsidRPr="00683111">
        <w:rPr>
          <w:color w:val="0F1115"/>
        </w:rPr>
        <w:t>(1): 28–36.</w:t>
      </w:r>
    </w:p>
    <w:p w14:paraId="4AC43C3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Edemekong</w:t>
      </w:r>
      <w:proofErr w:type="spellEnd"/>
      <w:r w:rsidRPr="00683111">
        <w:rPr>
          <w:color w:val="0F1115"/>
        </w:rPr>
        <w:t xml:space="preserve">, C.I., Iroha, I.R., Thompson, M.D., Okolo, I.O., </w:t>
      </w:r>
      <w:proofErr w:type="spellStart"/>
      <w:r w:rsidRPr="00683111">
        <w:rPr>
          <w:color w:val="0F1115"/>
        </w:rPr>
        <w:t>Uzoeto</w:t>
      </w:r>
      <w:proofErr w:type="spellEnd"/>
      <w:r w:rsidRPr="00683111">
        <w:rPr>
          <w:color w:val="0F1115"/>
        </w:rPr>
        <w:t xml:space="preserve">, H.O., Ngwu, J.N., Mohammed, I.D., Chukwu, E.B., </w:t>
      </w:r>
      <w:proofErr w:type="spellStart"/>
      <w:r w:rsidRPr="00683111">
        <w:rPr>
          <w:color w:val="0F1115"/>
        </w:rPr>
        <w:t>Nwuzo</w:t>
      </w:r>
      <w:proofErr w:type="spellEnd"/>
      <w:r w:rsidRPr="00683111">
        <w:rPr>
          <w:color w:val="0F1115"/>
        </w:rPr>
        <w:t xml:space="preserve">, A.C., </w:t>
      </w:r>
      <w:proofErr w:type="spellStart"/>
      <w:r w:rsidRPr="00683111">
        <w:rPr>
          <w:color w:val="0F1115"/>
        </w:rPr>
        <w:t>Okike</w:t>
      </w:r>
      <w:proofErr w:type="spellEnd"/>
      <w:r w:rsidRPr="00683111">
        <w:rPr>
          <w:color w:val="0F1115"/>
        </w:rPr>
        <w:t xml:space="preserve">, B.M., Okolie, S.O. and Peter, I.U. (2022). Phenotypic characterization and antibiogram of non-oral bacteria </w:t>
      </w:r>
      <w:proofErr w:type="gramStart"/>
      <w:r w:rsidRPr="00683111">
        <w:rPr>
          <w:color w:val="0F1115"/>
        </w:rPr>
        <w:t>isolates</w:t>
      </w:r>
      <w:proofErr w:type="gramEnd"/>
      <w:r w:rsidRPr="00683111">
        <w:rPr>
          <w:color w:val="0F1115"/>
        </w:rPr>
        <w:t xml:space="preserve"> from patients attending dental clinic at Federal College of Dental Technology and Therapy Medical Center Enugu. </w:t>
      </w:r>
      <w:r w:rsidRPr="00683111">
        <w:rPr>
          <w:rStyle w:val="Emphasis"/>
          <w:color w:val="0F1115"/>
        </w:rPr>
        <w:t>International Journal of Pathogen Research</w:t>
      </w:r>
      <w:r w:rsidRPr="00683111">
        <w:rPr>
          <w:color w:val="0F1115"/>
        </w:rPr>
        <w:t>, </w:t>
      </w:r>
      <w:r w:rsidRPr="00683111">
        <w:rPr>
          <w:rStyle w:val="Strong"/>
          <w:color w:val="0F1115"/>
        </w:rPr>
        <w:t>11</w:t>
      </w:r>
      <w:r w:rsidRPr="00683111">
        <w:rPr>
          <w:color w:val="0F1115"/>
        </w:rPr>
        <w:t>(2): 7–19.</w:t>
      </w:r>
    </w:p>
    <w:p w14:paraId="654604F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Elshebrawy</w:t>
      </w:r>
      <w:proofErr w:type="spellEnd"/>
      <w:r w:rsidRPr="00683111">
        <w:rPr>
          <w:color w:val="0F1115"/>
        </w:rPr>
        <w:t>, H.A., Kasem, N.G. and Sallam, K.I. (2025). Methicillin- and vancomycin-resistant </w:t>
      </w:r>
      <w:r w:rsidRPr="00683111">
        <w:rPr>
          <w:rStyle w:val="Emphasis"/>
          <w:color w:val="0F1115"/>
        </w:rPr>
        <w:t>Staphylococcus aureus</w:t>
      </w:r>
      <w:r w:rsidRPr="00683111">
        <w:rPr>
          <w:color w:val="0F1115"/>
        </w:rPr>
        <w:t> in chicken carcasses, ready-to-eat chicken meat sandwiches, and buffalo milk. </w:t>
      </w:r>
      <w:r w:rsidRPr="00683111">
        <w:rPr>
          <w:rStyle w:val="Emphasis"/>
          <w:color w:val="0F1115"/>
        </w:rPr>
        <w:t>International Journal of Food Microbiology</w:t>
      </w:r>
      <w:r w:rsidRPr="00683111">
        <w:rPr>
          <w:color w:val="0F1115"/>
        </w:rPr>
        <w:t>, </w:t>
      </w:r>
      <w:r w:rsidRPr="00683111">
        <w:rPr>
          <w:rStyle w:val="Strong"/>
          <w:color w:val="0F1115"/>
        </w:rPr>
        <w:t>427</w:t>
      </w:r>
      <w:r w:rsidRPr="00683111">
        <w:rPr>
          <w:color w:val="0F1115"/>
        </w:rPr>
        <w:t>: 110968.</w:t>
      </w:r>
    </w:p>
    <w:p w14:paraId="4A3A019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Founou</w:t>
      </w:r>
      <w:proofErr w:type="spellEnd"/>
      <w:r w:rsidRPr="00683111">
        <w:rPr>
          <w:color w:val="0F1115"/>
        </w:rPr>
        <w:t xml:space="preserve">, R.C., </w:t>
      </w:r>
      <w:proofErr w:type="spellStart"/>
      <w:r w:rsidRPr="00683111">
        <w:rPr>
          <w:color w:val="0F1115"/>
        </w:rPr>
        <w:t>Founou</w:t>
      </w:r>
      <w:proofErr w:type="spellEnd"/>
      <w:r w:rsidRPr="00683111">
        <w:rPr>
          <w:color w:val="0F1115"/>
        </w:rPr>
        <w:t xml:space="preserve">, L.L. and </w:t>
      </w:r>
      <w:proofErr w:type="spellStart"/>
      <w:r w:rsidRPr="00683111">
        <w:rPr>
          <w:color w:val="0F1115"/>
        </w:rPr>
        <w:t>Essack</w:t>
      </w:r>
      <w:proofErr w:type="spellEnd"/>
      <w:r w:rsidRPr="00683111">
        <w:rPr>
          <w:color w:val="0F1115"/>
        </w:rPr>
        <w:t>, S.Y. (2021). Clinical and economic impact of antibiotic resistance in developing countries: A systematic review and meta-analysis. </w:t>
      </w:r>
      <w:r w:rsidRPr="00683111">
        <w:rPr>
          <w:rStyle w:val="Emphasis"/>
          <w:color w:val="0F1115"/>
        </w:rPr>
        <w:t>PLOS ONE</w:t>
      </w:r>
      <w:r w:rsidRPr="00683111">
        <w:rPr>
          <w:color w:val="0F1115"/>
        </w:rPr>
        <w:t>, </w:t>
      </w:r>
      <w:r w:rsidRPr="00683111">
        <w:rPr>
          <w:rStyle w:val="Strong"/>
          <w:color w:val="0F1115"/>
        </w:rPr>
        <w:t>16</w:t>
      </w:r>
      <w:r w:rsidRPr="00683111">
        <w:rPr>
          <w:color w:val="0F1115"/>
        </w:rPr>
        <w:t>(12): e0257981.</w:t>
      </w:r>
    </w:p>
    <w:p w14:paraId="2E5B4FE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Gardete</w:t>
      </w:r>
      <w:proofErr w:type="spellEnd"/>
      <w:r w:rsidRPr="00683111">
        <w:rPr>
          <w:color w:val="0F1115"/>
        </w:rPr>
        <w:t>, S. and Tomasz, A. (2014). Mechanisms of vancomycin resistance in </w:t>
      </w:r>
      <w:r w:rsidRPr="00683111">
        <w:rPr>
          <w:rStyle w:val="Emphasis"/>
          <w:color w:val="0F1115"/>
        </w:rPr>
        <w:t>Staphylococcus aureus</w:t>
      </w:r>
      <w:r w:rsidRPr="00683111">
        <w:rPr>
          <w:color w:val="0F1115"/>
        </w:rPr>
        <w:t>. </w:t>
      </w:r>
      <w:r w:rsidRPr="00683111">
        <w:rPr>
          <w:rStyle w:val="Emphasis"/>
          <w:color w:val="0F1115"/>
        </w:rPr>
        <w:t>Journal of Clinical Investigation</w:t>
      </w:r>
      <w:r w:rsidRPr="00683111">
        <w:rPr>
          <w:color w:val="0F1115"/>
        </w:rPr>
        <w:t>, </w:t>
      </w:r>
      <w:r w:rsidRPr="00683111">
        <w:rPr>
          <w:rStyle w:val="Strong"/>
          <w:color w:val="0F1115"/>
        </w:rPr>
        <w:t>124</w:t>
      </w:r>
      <w:r w:rsidRPr="00683111">
        <w:rPr>
          <w:color w:val="0F1115"/>
        </w:rPr>
        <w:t>(7): 2836–2840.</w:t>
      </w:r>
    </w:p>
    <w:p w14:paraId="001603AE"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Gould, I.M. (2010). VRSA-doomsday superbug or damp squib? </w:t>
      </w:r>
      <w:r w:rsidRPr="00683111">
        <w:rPr>
          <w:rStyle w:val="Emphasis"/>
          <w:color w:val="0F1115"/>
        </w:rPr>
        <w:t>The Lancet Infectious Diseases</w:t>
      </w:r>
      <w:r w:rsidRPr="00683111">
        <w:rPr>
          <w:color w:val="0F1115"/>
        </w:rPr>
        <w:t>, </w:t>
      </w:r>
      <w:r w:rsidRPr="00683111">
        <w:rPr>
          <w:rStyle w:val="Strong"/>
          <w:color w:val="0F1115"/>
        </w:rPr>
        <w:t>10</w:t>
      </w:r>
      <w:r w:rsidRPr="00683111">
        <w:rPr>
          <w:color w:val="0F1115"/>
        </w:rPr>
        <w:t>(12): 816–818.</w:t>
      </w:r>
    </w:p>
    <w:p w14:paraId="6797CFBF"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Graveland</w:t>
      </w:r>
      <w:proofErr w:type="spellEnd"/>
      <w:r w:rsidRPr="00683111">
        <w:rPr>
          <w:color w:val="0F1115"/>
        </w:rPr>
        <w:t xml:space="preserve">, H., Wagenaar, J.A., </w:t>
      </w:r>
      <w:proofErr w:type="spellStart"/>
      <w:r w:rsidRPr="00683111">
        <w:rPr>
          <w:color w:val="0F1115"/>
        </w:rPr>
        <w:t>Heesterbeek</w:t>
      </w:r>
      <w:proofErr w:type="spellEnd"/>
      <w:r w:rsidRPr="00683111">
        <w:rPr>
          <w:color w:val="0F1115"/>
        </w:rPr>
        <w:t xml:space="preserve">, H., Mevius, D., van Duijkeren, E. and </w:t>
      </w:r>
      <w:proofErr w:type="spellStart"/>
      <w:r w:rsidRPr="00683111">
        <w:rPr>
          <w:color w:val="0F1115"/>
        </w:rPr>
        <w:t>Heederik</w:t>
      </w:r>
      <w:proofErr w:type="spellEnd"/>
      <w:r w:rsidRPr="00683111">
        <w:rPr>
          <w:color w:val="0F1115"/>
        </w:rPr>
        <w:t>, D. (2011). Livestock-associated methicillin-resistant </w:t>
      </w:r>
      <w:r w:rsidRPr="00683111">
        <w:rPr>
          <w:rStyle w:val="Emphasis"/>
          <w:color w:val="0F1115"/>
        </w:rPr>
        <w:t>Staphylococcus aureus</w:t>
      </w:r>
      <w:r w:rsidRPr="00683111">
        <w:rPr>
          <w:color w:val="0F1115"/>
        </w:rPr>
        <w:t> in animals and humans. </w:t>
      </w:r>
      <w:r w:rsidRPr="00683111">
        <w:rPr>
          <w:rStyle w:val="Emphasis"/>
          <w:color w:val="0F1115"/>
        </w:rPr>
        <w:t>International Journal of Medical Microbiology</w:t>
      </w:r>
      <w:r w:rsidRPr="00683111">
        <w:rPr>
          <w:color w:val="0F1115"/>
        </w:rPr>
        <w:t>, </w:t>
      </w:r>
      <w:r w:rsidRPr="00683111">
        <w:rPr>
          <w:rStyle w:val="Strong"/>
          <w:color w:val="0F1115"/>
        </w:rPr>
        <w:t>301</w:t>
      </w:r>
      <w:r w:rsidRPr="00683111">
        <w:rPr>
          <w:color w:val="0F1115"/>
        </w:rPr>
        <w:t>(8): 630–634.</w:t>
      </w:r>
    </w:p>
    <w:p w14:paraId="4609D2A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Hamza, H.H., </w:t>
      </w:r>
      <w:proofErr w:type="spellStart"/>
      <w:r w:rsidRPr="00683111">
        <w:rPr>
          <w:color w:val="0F1115"/>
        </w:rPr>
        <w:t>Jebur</w:t>
      </w:r>
      <w:proofErr w:type="spellEnd"/>
      <w:r w:rsidRPr="00683111">
        <w:rPr>
          <w:color w:val="0F1115"/>
        </w:rPr>
        <w:t>, M.H., Ramadan, G.M., Ali, J.A. and Al-</w:t>
      </w:r>
      <w:proofErr w:type="spellStart"/>
      <w:r w:rsidRPr="00683111">
        <w:rPr>
          <w:color w:val="0F1115"/>
        </w:rPr>
        <w:t>Sadi</w:t>
      </w:r>
      <w:proofErr w:type="spellEnd"/>
      <w:r w:rsidRPr="00683111">
        <w:rPr>
          <w:color w:val="0F1115"/>
        </w:rPr>
        <w:t>, H.I. (2024). Molecular Detection of Vancomycin Resistance Genes in </w:t>
      </w:r>
      <w:r w:rsidRPr="00683111">
        <w:rPr>
          <w:rStyle w:val="Emphasis"/>
          <w:color w:val="0F1115"/>
        </w:rPr>
        <w:t>Staphylococcus aureus</w:t>
      </w:r>
      <w:r w:rsidRPr="00683111">
        <w:rPr>
          <w:color w:val="0F1115"/>
        </w:rPr>
        <w:t> Isolates from Different Clinical Specimens. </w:t>
      </w:r>
      <w:r w:rsidRPr="00683111">
        <w:rPr>
          <w:rStyle w:val="Emphasis"/>
          <w:color w:val="0F1115"/>
        </w:rPr>
        <w:t>Current Research in Nutrition and Food Science</w:t>
      </w:r>
      <w:r w:rsidRPr="00683111">
        <w:rPr>
          <w:color w:val="0F1115"/>
        </w:rPr>
        <w:t>, </w:t>
      </w:r>
      <w:r w:rsidRPr="00683111">
        <w:rPr>
          <w:rStyle w:val="Strong"/>
          <w:color w:val="0F1115"/>
        </w:rPr>
        <w:t>12</w:t>
      </w:r>
      <w:r w:rsidRPr="00683111">
        <w:rPr>
          <w:color w:val="0F1115"/>
        </w:rPr>
        <w:t>(1): 326-337.</w:t>
      </w:r>
    </w:p>
    <w:p w14:paraId="01E3AA0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Hiramatsu, K., </w:t>
      </w:r>
      <w:proofErr w:type="spellStart"/>
      <w:r w:rsidRPr="00683111">
        <w:rPr>
          <w:color w:val="0F1115"/>
        </w:rPr>
        <w:t>Aritaka</w:t>
      </w:r>
      <w:proofErr w:type="spellEnd"/>
      <w:r w:rsidRPr="00683111">
        <w:rPr>
          <w:color w:val="0F1115"/>
        </w:rPr>
        <w:t xml:space="preserve">, N., </w:t>
      </w:r>
      <w:proofErr w:type="spellStart"/>
      <w:r w:rsidRPr="00683111">
        <w:rPr>
          <w:color w:val="0F1115"/>
        </w:rPr>
        <w:t>Hanaki</w:t>
      </w:r>
      <w:proofErr w:type="spellEnd"/>
      <w:r w:rsidRPr="00683111">
        <w:rPr>
          <w:color w:val="0F1115"/>
        </w:rPr>
        <w:t>, H., Kawasaki, S., Hosoda, Y., Hori, S., Fukuchi, Y. and Kobayashi, I. (1997). Dissemination in Japanese hospitals of strains of </w:t>
      </w:r>
      <w:r w:rsidRPr="00683111">
        <w:rPr>
          <w:rStyle w:val="Emphasis"/>
          <w:color w:val="0F1115"/>
        </w:rPr>
        <w:t>Staphylococcus aureus</w:t>
      </w:r>
      <w:r w:rsidRPr="00683111">
        <w:rPr>
          <w:color w:val="0F1115"/>
        </w:rPr>
        <w:t> heterogeneously resistant to vancomycin. </w:t>
      </w:r>
      <w:r w:rsidRPr="00683111">
        <w:rPr>
          <w:rStyle w:val="Emphasis"/>
          <w:color w:val="0F1115"/>
        </w:rPr>
        <w:t>The Lancet</w:t>
      </w:r>
      <w:r w:rsidRPr="00683111">
        <w:rPr>
          <w:color w:val="0F1115"/>
        </w:rPr>
        <w:t>, </w:t>
      </w:r>
      <w:r w:rsidRPr="00683111">
        <w:rPr>
          <w:rStyle w:val="Strong"/>
          <w:color w:val="0F1115"/>
        </w:rPr>
        <w:t>350</w:t>
      </w:r>
      <w:r w:rsidRPr="00683111">
        <w:rPr>
          <w:color w:val="0F1115"/>
        </w:rPr>
        <w:t>(9092): 1670–1673.</w:t>
      </w:r>
    </w:p>
    <w:p w14:paraId="15FEF2C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John-Onwe, B.N., </w:t>
      </w:r>
      <w:proofErr w:type="spellStart"/>
      <w:r w:rsidRPr="00683111">
        <w:rPr>
          <w:color w:val="0F1115"/>
        </w:rPr>
        <w:t>Ibiam</w:t>
      </w:r>
      <w:proofErr w:type="spellEnd"/>
      <w:r w:rsidRPr="00683111">
        <w:rPr>
          <w:color w:val="0F1115"/>
        </w:rPr>
        <w:t xml:space="preserve">, F.A., </w:t>
      </w:r>
      <w:proofErr w:type="spellStart"/>
      <w:r w:rsidRPr="00683111">
        <w:rPr>
          <w:color w:val="0F1115"/>
        </w:rPr>
        <w:t>Udenweze</w:t>
      </w:r>
      <w:proofErr w:type="spellEnd"/>
      <w:r w:rsidRPr="00683111">
        <w:rPr>
          <w:color w:val="0F1115"/>
        </w:rPr>
        <w:t xml:space="preserve">, E.C., Iroha, C.S., </w:t>
      </w:r>
      <w:proofErr w:type="spellStart"/>
      <w:r w:rsidRPr="00683111">
        <w:rPr>
          <w:color w:val="0F1115"/>
        </w:rPr>
        <w:t>Edemekong</w:t>
      </w:r>
      <w:proofErr w:type="spellEnd"/>
      <w:r w:rsidRPr="00683111">
        <w:rPr>
          <w:color w:val="0F1115"/>
        </w:rPr>
        <w:t>, C.I., Peter, I.U. and Iroha, I.R. (2023). Co-expression of clinical isolates of XDR </w:t>
      </w:r>
      <w:r w:rsidRPr="00683111">
        <w:rPr>
          <w:rStyle w:val="Emphasis"/>
          <w:color w:val="0F1115"/>
        </w:rPr>
        <w:t>Pseudomonas aeruginosa</w:t>
      </w:r>
      <w:r w:rsidRPr="00683111">
        <w:rPr>
          <w:color w:val="0F1115"/>
        </w:rPr>
        <w:t xml:space="preserve"> harboring FOX and MOX </w:t>
      </w:r>
      <w:proofErr w:type="spellStart"/>
      <w:r w:rsidRPr="00683111">
        <w:rPr>
          <w:color w:val="0F1115"/>
        </w:rPr>
        <w:t>ampicillinase</w:t>
      </w:r>
      <w:proofErr w:type="spellEnd"/>
      <w:r w:rsidRPr="00683111">
        <w:rPr>
          <w:color w:val="0F1115"/>
        </w:rPr>
        <w:t xml:space="preserve"> Gene. </w:t>
      </w:r>
      <w:r w:rsidRPr="00683111">
        <w:rPr>
          <w:rStyle w:val="Emphasis"/>
          <w:color w:val="0F1115"/>
        </w:rPr>
        <w:t>International Journal of Medical Research and Pharma Research</w:t>
      </w:r>
      <w:r w:rsidRPr="00683111">
        <w:rPr>
          <w:color w:val="0F1115"/>
        </w:rPr>
        <w:t>, </w:t>
      </w:r>
      <w:r w:rsidRPr="00683111">
        <w:rPr>
          <w:rStyle w:val="Strong"/>
          <w:color w:val="0F1115"/>
        </w:rPr>
        <w:t>3</w:t>
      </w:r>
      <w:r w:rsidRPr="00683111">
        <w:rPr>
          <w:color w:val="0F1115"/>
        </w:rPr>
        <w:t>(1): 4–19.</w:t>
      </w:r>
    </w:p>
    <w:p w14:paraId="70B4E8D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Khaled, A-A., Mahmoud, E., Alaa, E., Gihan, E-M., Rehab, E., Heba, E-M., Mohamed, E.H. and Dalia, H. (2019). Vancomycin-resistant </w:t>
      </w:r>
      <w:r w:rsidRPr="00683111">
        <w:rPr>
          <w:rStyle w:val="Emphasis"/>
          <w:color w:val="0F1115"/>
        </w:rPr>
        <w:t>Staphylococcus aureus</w:t>
      </w:r>
      <w:r w:rsidRPr="00683111">
        <w:rPr>
          <w:color w:val="0F1115"/>
        </w:rPr>
        <w:t> isolated from camel meat and slaughterhouse workers in Egypt. </w:t>
      </w:r>
      <w:r w:rsidRPr="00683111">
        <w:rPr>
          <w:rStyle w:val="Emphasis"/>
          <w:color w:val="0F1115"/>
        </w:rPr>
        <w:t>Antimicrobial Resistance and Infection Control</w:t>
      </w:r>
      <w:r w:rsidRPr="00683111">
        <w:rPr>
          <w:color w:val="0F1115"/>
        </w:rPr>
        <w:t>, </w:t>
      </w:r>
      <w:r w:rsidRPr="00683111">
        <w:rPr>
          <w:rStyle w:val="Strong"/>
          <w:color w:val="0F1115"/>
        </w:rPr>
        <w:t>8</w:t>
      </w:r>
      <w:r w:rsidRPr="00683111">
        <w:rPr>
          <w:color w:val="0F1115"/>
        </w:rPr>
        <w:t xml:space="preserve">: 129. </w:t>
      </w:r>
      <w:proofErr w:type="spellStart"/>
      <w:r w:rsidRPr="00683111">
        <w:rPr>
          <w:color w:val="0F1115"/>
        </w:rPr>
        <w:t>doi</w:t>
      </w:r>
      <w:proofErr w:type="spellEnd"/>
      <w:r w:rsidRPr="00683111">
        <w:rPr>
          <w:color w:val="0F1115"/>
        </w:rPr>
        <w:t>: 10.1186/s13756-019-0585-4.</w:t>
      </w:r>
    </w:p>
    <w:p w14:paraId="6755F04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Kumar, A., Kaushik, P., Anjay, Kumar, P. and Kumar, M. (2017). Prevalence of methicillin-resistant </w:t>
      </w:r>
      <w:r w:rsidRPr="00683111">
        <w:rPr>
          <w:rStyle w:val="Emphasis"/>
          <w:color w:val="0F1115"/>
        </w:rPr>
        <w:t>Staphylococcus aureus</w:t>
      </w:r>
      <w:r w:rsidRPr="00683111">
        <w:rPr>
          <w:color w:val="0F1115"/>
        </w:rPr>
        <w:t> skin and nasal carriage isolates from bovines and its antibiogram. </w:t>
      </w:r>
      <w:r w:rsidRPr="00683111">
        <w:rPr>
          <w:rStyle w:val="Emphasis"/>
          <w:color w:val="0F1115"/>
        </w:rPr>
        <w:t>Veterinary World</w:t>
      </w:r>
      <w:r w:rsidRPr="00683111">
        <w:rPr>
          <w:color w:val="0F1115"/>
        </w:rPr>
        <w:t>, </w:t>
      </w:r>
      <w:r w:rsidRPr="00683111">
        <w:rPr>
          <w:rStyle w:val="Strong"/>
          <w:color w:val="0F1115"/>
        </w:rPr>
        <w:t>10</w:t>
      </w:r>
      <w:r w:rsidRPr="00683111">
        <w:rPr>
          <w:color w:val="0F1115"/>
        </w:rPr>
        <w:t>(5): 593–597.</w:t>
      </w:r>
    </w:p>
    <w:p w14:paraId="66EEA73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Lekagul</w:t>
      </w:r>
      <w:proofErr w:type="spellEnd"/>
      <w:r w:rsidRPr="00683111">
        <w:rPr>
          <w:color w:val="0F1115"/>
        </w:rPr>
        <w:t xml:space="preserve">, A., </w:t>
      </w:r>
      <w:proofErr w:type="spellStart"/>
      <w:r w:rsidRPr="00683111">
        <w:rPr>
          <w:color w:val="0F1115"/>
        </w:rPr>
        <w:t>Tangcharoensathien</w:t>
      </w:r>
      <w:proofErr w:type="spellEnd"/>
      <w:r w:rsidRPr="00683111">
        <w:rPr>
          <w:color w:val="0F1115"/>
        </w:rPr>
        <w:t>, V. and Yeung, S. (2019). The use of antimicrobials in global pig production: A systematic review of methods for quantification. </w:t>
      </w:r>
      <w:r w:rsidRPr="00683111">
        <w:rPr>
          <w:rStyle w:val="Emphasis"/>
          <w:color w:val="0F1115"/>
        </w:rPr>
        <w:t>Preventive Veterinary Medicine</w:t>
      </w:r>
      <w:r w:rsidRPr="00683111">
        <w:rPr>
          <w:color w:val="0F1115"/>
        </w:rPr>
        <w:t>, </w:t>
      </w:r>
      <w:r w:rsidRPr="00683111">
        <w:rPr>
          <w:rStyle w:val="Strong"/>
          <w:color w:val="0F1115"/>
        </w:rPr>
        <w:t>160</w:t>
      </w:r>
      <w:r w:rsidRPr="00683111">
        <w:rPr>
          <w:color w:val="0F1115"/>
        </w:rPr>
        <w:t>: 85–98.</w:t>
      </w:r>
    </w:p>
    <w:p w14:paraId="6C92766C"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Lowy, F.D. (1998). </w:t>
      </w:r>
      <w:r w:rsidRPr="00683111">
        <w:rPr>
          <w:rStyle w:val="Emphasis"/>
          <w:color w:val="0F1115"/>
        </w:rPr>
        <w:t>Staphylococcus aureus</w:t>
      </w:r>
      <w:r w:rsidRPr="00683111">
        <w:rPr>
          <w:color w:val="0F1115"/>
        </w:rPr>
        <w:t> infections. </w:t>
      </w:r>
      <w:r w:rsidRPr="00683111">
        <w:rPr>
          <w:rStyle w:val="Emphasis"/>
          <w:color w:val="0F1115"/>
        </w:rPr>
        <w:t>New England Journal of Medicine</w:t>
      </w:r>
      <w:r w:rsidRPr="00683111">
        <w:rPr>
          <w:color w:val="0F1115"/>
        </w:rPr>
        <w:t>, </w:t>
      </w:r>
      <w:r w:rsidRPr="00683111">
        <w:rPr>
          <w:rStyle w:val="Strong"/>
          <w:color w:val="0F1115"/>
        </w:rPr>
        <w:t>339</w:t>
      </w:r>
      <w:r w:rsidRPr="00683111">
        <w:rPr>
          <w:color w:val="0F1115"/>
        </w:rPr>
        <w:t>(8): 520–532.</w:t>
      </w:r>
    </w:p>
    <w:p w14:paraId="49D5EDF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McGuinness, W.A., </w:t>
      </w:r>
      <w:proofErr w:type="spellStart"/>
      <w:r w:rsidRPr="00683111">
        <w:rPr>
          <w:color w:val="0F1115"/>
        </w:rPr>
        <w:t>Malachowa</w:t>
      </w:r>
      <w:proofErr w:type="spellEnd"/>
      <w:r w:rsidRPr="00683111">
        <w:rPr>
          <w:color w:val="0F1115"/>
        </w:rPr>
        <w:t>, N. and DeLeo, F.R. (2017). Focus: infectious diseases: vancomycin resistance in </w:t>
      </w:r>
      <w:r w:rsidRPr="00683111">
        <w:rPr>
          <w:rStyle w:val="Emphasis"/>
          <w:color w:val="0F1115"/>
        </w:rPr>
        <w:t>Staphylococcus aureus</w:t>
      </w:r>
      <w:r w:rsidRPr="00683111">
        <w:rPr>
          <w:color w:val="0F1115"/>
        </w:rPr>
        <w:t>. </w:t>
      </w:r>
      <w:r w:rsidRPr="00683111">
        <w:rPr>
          <w:rStyle w:val="Emphasis"/>
          <w:color w:val="0F1115"/>
        </w:rPr>
        <w:t>The Yale Journal of Biology and Medicine</w:t>
      </w:r>
      <w:r w:rsidRPr="00683111">
        <w:rPr>
          <w:color w:val="0F1115"/>
        </w:rPr>
        <w:t>, </w:t>
      </w:r>
      <w:r w:rsidRPr="00683111">
        <w:rPr>
          <w:rStyle w:val="Strong"/>
          <w:color w:val="0F1115"/>
        </w:rPr>
        <w:t>90</w:t>
      </w:r>
      <w:r w:rsidRPr="00683111">
        <w:rPr>
          <w:color w:val="0F1115"/>
        </w:rPr>
        <w:t>(2): 269–281.</w:t>
      </w:r>
    </w:p>
    <w:p w14:paraId="2F1709C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Mojeed</w:t>
      </w:r>
      <w:proofErr w:type="spellEnd"/>
      <w:r w:rsidRPr="00683111">
        <w:rPr>
          <w:color w:val="0F1115"/>
        </w:rPr>
        <w:t>, O. (2020). Antibiotic use in Nigerian livestock: A review. </w:t>
      </w:r>
      <w:r w:rsidRPr="00683111">
        <w:rPr>
          <w:rStyle w:val="Emphasis"/>
          <w:color w:val="0F1115"/>
        </w:rPr>
        <w:t>Nigerian Veterinary Journal</w:t>
      </w:r>
      <w:r w:rsidRPr="00683111">
        <w:rPr>
          <w:color w:val="0F1115"/>
        </w:rPr>
        <w:t>, </w:t>
      </w:r>
      <w:r w:rsidRPr="00683111">
        <w:rPr>
          <w:rStyle w:val="Strong"/>
          <w:color w:val="0F1115"/>
        </w:rPr>
        <w:t>41</w:t>
      </w:r>
      <w:r w:rsidRPr="00683111">
        <w:rPr>
          <w:color w:val="0F1115"/>
        </w:rPr>
        <w:t>(2): 1–12.</w:t>
      </w:r>
    </w:p>
    <w:p w14:paraId="21DDEF9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Nomeh</w:t>
      </w:r>
      <w:proofErr w:type="spellEnd"/>
      <w:r w:rsidRPr="00683111">
        <w:rPr>
          <w:color w:val="0F1115"/>
        </w:rPr>
        <w:t xml:space="preserve">, O.L., Peter, I.U., Ogba, R.C., Otu, Q., </w:t>
      </w:r>
      <w:proofErr w:type="spellStart"/>
      <w:r w:rsidRPr="00683111">
        <w:rPr>
          <w:color w:val="0F1115"/>
        </w:rPr>
        <w:t>Mbafo</w:t>
      </w:r>
      <w:proofErr w:type="spellEnd"/>
      <w:r w:rsidRPr="00683111">
        <w:rPr>
          <w:color w:val="0F1115"/>
        </w:rPr>
        <w:t xml:space="preserve">, M., </w:t>
      </w:r>
      <w:proofErr w:type="spellStart"/>
      <w:r w:rsidRPr="00683111">
        <w:rPr>
          <w:color w:val="0F1115"/>
        </w:rPr>
        <w:t>Ogobuchi</w:t>
      </w:r>
      <w:proofErr w:type="spellEnd"/>
      <w:r w:rsidRPr="00683111">
        <w:rPr>
          <w:color w:val="0F1115"/>
        </w:rPr>
        <w:t>, D. and Nworie, O. (2026). Antibacterial efficacy of </w:t>
      </w:r>
      <w:r w:rsidRPr="00683111">
        <w:rPr>
          <w:rStyle w:val="Emphasis"/>
          <w:color w:val="0F1115"/>
        </w:rPr>
        <w:t xml:space="preserve">Ficus </w:t>
      </w:r>
      <w:proofErr w:type="spellStart"/>
      <w:r w:rsidRPr="00683111">
        <w:rPr>
          <w:rStyle w:val="Emphasis"/>
          <w:color w:val="0F1115"/>
        </w:rPr>
        <w:t>ottoniifolia</w:t>
      </w:r>
      <w:proofErr w:type="spellEnd"/>
      <w:r w:rsidRPr="00683111">
        <w:rPr>
          <w:color w:val="0F1115"/>
        </w:rPr>
        <w:t> and </w:t>
      </w:r>
      <w:r w:rsidRPr="00683111">
        <w:rPr>
          <w:rStyle w:val="Emphasis"/>
          <w:color w:val="0F1115"/>
        </w:rPr>
        <w:t xml:space="preserve">Zanthoxylum </w:t>
      </w:r>
      <w:proofErr w:type="spellStart"/>
      <w:r w:rsidRPr="00683111">
        <w:rPr>
          <w:rStyle w:val="Emphasis"/>
          <w:color w:val="0F1115"/>
        </w:rPr>
        <w:t>zanthoxyloides</w:t>
      </w:r>
      <w:proofErr w:type="spellEnd"/>
      <w:r w:rsidRPr="00683111">
        <w:rPr>
          <w:color w:val="0F1115"/>
        </w:rPr>
        <w:t xml:space="preserve"> leaf extracts against bacterial isolates from contaminated drinking water sources in </w:t>
      </w:r>
      <w:proofErr w:type="spellStart"/>
      <w:r w:rsidRPr="00683111">
        <w:rPr>
          <w:color w:val="0F1115"/>
        </w:rPr>
        <w:t>Ikwo</w:t>
      </w:r>
      <w:proofErr w:type="spellEnd"/>
      <w:r w:rsidRPr="00683111">
        <w:rPr>
          <w:color w:val="0F1115"/>
        </w:rPr>
        <w:t xml:space="preserve"> South, Nigeria. </w:t>
      </w:r>
      <w:r w:rsidRPr="00683111">
        <w:rPr>
          <w:rStyle w:val="Emphasis"/>
          <w:color w:val="0F1115"/>
        </w:rPr>
        <w:t>GSC Advanced Research and Reviews</w:t>
      </w:r>
      <w:r w:rsidRPr="00683111">
        <w:rPr>
          <w:color w:val="0F1115"/>
        </w:rPr>
        <w:t>, </w:t>
      </w:r>
      <w:r w:rsidRPr="00683111">
        <w:rPr>
          <w:rStyle w:val="Strong"/>
          <w:color w:val="0F1115"/>
        </w:rPr>
        <w:t>26</w:t>
      </w:r>
      <w:r w:rsidRPr="00683111">
        <w:rPr>
          <w:color w:val="0F1115"/>
        </w:rPr>
        <w:t>(1): 094–109. </w:t>
      </w:r>
      <w:hyperlink r:id="rId13" w:tgtFrame="_blank" w:history="1">
        <w:r w:rsidRPr="00683111">
          <w:rPr>
            <w:rStyle w:val="Hyperlink"/>
          </w:rPr>
          <w:t>https://doi.org/10.30574/gscarr.2025.26.1.0441</w:t>
        </w:r>
      </w:hyperlink>
      <w:r w:rsidRPr="00683111">
        <w:rPr>
          <w:color w:val="0F1115"/>
        </w:rPr>
        <w:t>.</w:t>
      </w:r>
    </w:p>
    <w:p w14:paraId="5A3DD384"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Odetokun</w:t>
      </w:r>
      <w:proofErr w:type="spellEnd"/>
      <w:r w:rsidRPr="00683111">
        <w:rPr>
          <w:color w:val="0F1115"/>
        </w:rPr>
        <w:t>, I.A., Akpabio, U. and Alhaji, N.B. (2018). Antimicrobial resistance in food animals and the environment in Nigeria: A review. </w:t>
      </w:r>
      <w:r w:rsidRPr="00683111">
        <w:rPr>
          <w:rStyle w:val="Emphasis"/>
          <w:color w:val="0F1115"/>
        </w:rPr>
        <w:t>International Journal of Environmental Research and Public Health</w:t>
      </w:r>
      <w:r w:rsidRPr="00683111">
        <w:rPr>
          <w:color w:val="0F1115"/>
        </w:rPr>
        <w:t>, </w:t>
      </w:r>
      <w:r w:rsidRPr="00683111">
        <w:rPr>
          <w:rStyle w:val="Strong"/>
          <w:color w:val="0F1115"/>
        </w:rPr>
        <w:t>15</w:t>
      </w:r>
      <w:r w:rsidRPr="00683111">
        <w:rPr>
          <w:color w:val="0F1115"/>
        </w:rPr>
        <w:t>(6): 1284.</w:t>
      </w:r>
    </w:p>
    <w:p w14:paraId="10E8505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Okojokwu</w:t>
      </w:r>
      <w:proofErr w:type="spellEnd"/>
      <w:r w:rsidRPr="00683111">
        <w:rPr>
          <w:color w:val="0F1115"/>
        </w:rPr>
        <w:t xml:space="preserve">, O.J., </w:t>
      </w:r>
      <w:proofErr w:type="spellStart"/>
      <w:r w:rsidRPr="00683111">
        <w:rPr>
          <w:color w:val="0F1115"/>
        </w:rPr>
        <w:t>Cirfat</w:t>
      </w:r>
      <w:proofErr w:type="spellEnd"/>
      <w:r w:rsidRPr="00683111">
        <w:rPr>
          <w:color w:val="0F1115"/>
        </w:rPr>
        <w:t>, N.A., Gwan, I.J. and Orah, I.C. (2025). Vancomycin-Resistant </w:t>
      </w:r>
      <w:r w:rsidRPr="00683111">
        <w:rPr>
          <w:rStyle w:val="Emphasis"/>
          <w:color w:val="0F1115"/>
        </w:rPr>
        <w:t>Staphylococcus aureus</w:t>
      </w:r>
      <w:r w:rsidRPr="00683111">
        <w:rPr>
          <w:color w:val="0F1115"/>
        </w:rPr>
        <w:t> in Abattoir Workers in Jos, Nigeria: Prevalence and Public Health Implications. </w:t>
      </w:r>
      <w:r w:rsidRPr="00683111">
        <w:rPr>
          <w:rStyle w:val="Emphasis"/>
          <w:color w:val="0F1115"/>
        </w:rPr>
        <w:t>IPS Journal of Applied Microbiology and Biotechnology</w:t>
      </w:r>
      <w:r w:rsidRPr="00683111">
        <w:rPr>
          <w:color w:val="0F1115"/>
        </w:rPr>
        <w:t>, </w:t>
      </w:r>
      <w:r w:rsidRPr="00683111">
        <w:rPr>
          <w:rStyle w:val="Strong"/>
          <w:color w:val="0F1115"/>
        </w:rPr>
        <w:t>4</w:t>
      </w:r>
      <w:r w:rsidRPr="00683111">
        <w:rPr>
          <w:color w:val="0F1115"/>
        </w:rPr>
        <w:t>(4): 265–270.</w:t>
      </w:r>
    </w:p>
    <w:p w14:paraId="3B5FB85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Peter, I.U., Ngwu, J.N., </w:t>
      </w:r>
      <w:proofErr w:type="spellStart"/>
      <w:r w:rsidRPr="00683111">
        <w:rPr>
          <w:color w:val="0F1115"/>
        </w:rPr>
        <w:t>Edemekong</w:t>
      </w:r>
      <w:proofErr w:type="spellEnd"/>
      <w:r w:rsidRPr="00683111">
        <w:rPr>
          <w:color w:val="0F1115"/>
        </w:rPr>
        <w:t xml:space="preserve">, C.I., </w:t>
      </w:r>
      <w:proofErr w:type="spellStart"/>
      <w:r w:rsidRPr="00683111">
        <w:rPr>
          <w:color w:val="0F1115"/>
        </w:rPr>
        <w:t>Ugwueke</w:t>
      </w:r>
      <w:proofErr w:type="spellEnd"/>
      <w:r w:rsidRPr="00683111">
        <w:rPr>
          <w:color w:val="0F1115"/>
        </w:rPr>
        <w:t xml:space="preserve">, I.V., </w:t>
      </w:r>
      <w:proofErr w:type="spellStart"/>
      <w:r w:rsidRPr="00683111">
        <w:rPr>
          <w:color w:val="0F1115"/>
        </w:rPr>
        <w:t>Uzoeto</w:t>
      </w:r>
      <w:proofErr w:type="spellEnd"/>
      <w:r w:rsidRPr="00683111">
        <w:rPr>
          <w:color w:val="0F1115"/>
        </w:rPr>
        <w:t xml:space="preserve">, H.O., Joseph, O.V., Mohammed, I.D., Mbong, E.O., </w:t>
      </w:r>
      <w:proofErr w:type="spellStart"/>
      <w:r w:rsidRPr="00683111">
        <w:rPr>
          <w:color w:val="0F1115"/>
        </w:rPr>
        <w:t>Nomeh</w:t>
      </w:r>
      <w:proofErr w:type="spellEnd"/>
      <w:r w:rsidRPr="00683111">
        <w:rPr>
          <w:color w:val="0F1115"/>
        </w:rPr>
        <w:t xml:space="preserve">, O.L., </w:t>
      </w:r>
      <w:proofErr w:type="spellStart"/>
      <w:r w:rsidRPr="00683111">
        <w:rPr>
          <w:color w:val="0F1115"/>
        </w:rPr>
        <w:t>Ikusika</w:t>
      </w:r>
      <w:proofErr w:type="spellEnd"/>
      <w:r w:rsidRPr="00683111">
        <w:rPr>
          <w:color w:val="0F1115"/>
        </w:rPr>
        <w:t xml:space="preserve">, B.A., </w:t>
      </w:r>
      <w:proofErr w:type="spellStart"/>
      <w:r w:rsidRPr="00683111">
        <w:rPr>
          <w:color w:val="0F1115"/>
        </w:rPr>
        <w:t>Ubom</w:t>
      </w:r>
      <w:proofErr w:type="spellEnd"/>
      <w:r w:rsidRPr="00683111">
        <w:rPr>
          <w:color w:val="0F1115"/>
        </w:rPr>
        <w:t xml:space="preserve">, I.J., </w:t>
      </w:r>
      <w:proofErr w:type="spellStart"/>
      <w:r w:rsidRPr="00683111">
        <w:rPr>
          <w:color w:val="0F1115"/>
        </w:rPr>
        <w:t>Inyogu</w:t>
      </w:r>
      <w:proofErr w:type="spellEnd"/>
      <w:r w:rsidRPr="00683111">
        <w:rPr>
          <w:color w:val="0F1115"/>
        </w:rPr>
        <w:t xml:space="preserve">, J.C., </w:t>
      </w:r>
      <w:proofErr w:type="spellStart"/>
      <w:r w:rsidRPr="00683111">
        <w:rPr>
          <w:color w:val="0F1115"/>
        </w:rPr>
        <w:t>Ntekpe</w:t>
      </w:r>
      <w:proofErr w:type="spellEnd"/>
      <w:r w:rsidRPr="00683111">
        <w:rPr>
          <w:color w:val="0F1115"/>
        </w:rPr>
        <w:t xml:space="preserve">, M.E., </w:t>
      </w:r>
      <w:proofErr w:type="spellStart"/>
      <w:r w:rsidRPr="00683111">
        <w:rPr>
          <w:color w:val="0F1115"/>
        </w:rPr>
        <w:t>Obodoechi</w:t>
      </w:r>
      <w:proofErr w:type="spellEnd"/>
      <w:r w:rsidRPr="00683111">
        <w:rPr>
          <w:color w:val="0F1115"/>
        </w:rPr>
        <w:t xml:space="preserve">, I.F., </w:t>
      </w:r>
      <w:proofErr w:type="spellStart"/>
      <w:r w:rsidRPr="00683111">
        <w:rPr>
          <w:color w:val="0F1115"/>
        </w:rPr>
        <w:t>NseAbasi</w:t>
      </w:r>
      <w:proofErr w:type="spellEnd"/>
      <w:r w:rsidRPr="00683111">
        <w:rPr>
          <w:color w:val="0F1115"/>
        </w:rPr>
        <w:t xml:space="preserve">, P.L., Ogbonna, I.P., </w:t>
      </w:r>
      <w:proofErr w:type="spellStart"/>
      <w:r w:rsidRPr="00683111">
        <w:rPr>
          <w:color w:val="0F1115"/>
        </w:rPr>
        <w:t>Didiugwu</w:t>
      </w:r>
      <w:proofErr w:type="spellEnd"/>
      <w:r w:rsidRPr="00683111">
        <w:rPr>
          <w:color w:val="0F1115"/>
        </w:rPr>
        <w:t xml:space="preserve">, C.M., </w:t>
      </w:r>
      <w:proofErr w:type="spellStart"/>
      <w:r w:rsidRPr="00683111">
        <w:rPr>
          <w:color w:val="0F1115"/>
        </w:rPr>
        <w:t>Akpu</w:t>
      </w:r>
      <w:proofErr w:type="spellEnd"/>
      <w:r w:rsidRPr="00683111">
        <w:rPr>
          <w:color w:val="0F1115"/>
        </w:rPr>
        <w:t xml:space="preserve">, P.O., </w:t>
      </w:r>
      <w:proofErr w:type="spellStart"/>
      <w:r w:rsidRPr="00683111">
        <w:rPr>
          <w:color w:val="0F1115"/>
        </w:rPr>
        <w:t>Alagba</w:t>
      </w:r>
      <w:proofErr w:type="spellEnd"/>
      <w:r w:rsidRPr="00683111">
        <w:rPr>
          <w:color w:val="0F1115"/>
        </w:rPr>
        <w:t>, E.E., Ogba, R.C. and Iroha, I.R. (2022). First Report Prevalence of Livestock Acquired Methicillin Resistant </w:t>
      </w:r>
      <w:r w:rsidRPr="00683111">
        <w:rPr>
          <w:rStyle w:val="Emphasis"/>
          <w:color w:val="0F1115"/>
        </w:rPr>
        <w:t>Staphylococcus aureus</w:t>
      </w:r>
      <w:r w:rsidRPr="00683111">
        <w:rPr>
          <w:color w:val="0F1115"/>
        </w:rPr>
        <w:t> (LA-MRSA) Strain in South Eastern, Nigeria. </w:t>
      </w:r>
      <w:r w:rsidRPr="00683111">
        <w:rPr>
          <w:rStyle w:val="Emphasis"/>
          <w:color w:val="0F1115"/>
        </w:rPr>
        <w:t>IOSR Journal of Nursing and Health Science</w:t>
      </w:r>
      <w:r w:rsidRPr="00683111">
        <w:rPr>
          <w:color w:val="0F1115"/>
        </w:rPr>
        <w:t>, </w:t>
      </w:r>
      <w:r w:rsidRPr="00683111">
        <w:rPr>
          <w:rStyle w:val="Strong"/>
          <w:color w:val="0F1115"/>
        </w:rPr>
        <w:t>11</w:t>
      </w:r>
      <w:r w:rsidRPr="00683111">
        <w:rPr>
          <w:color w:val="0F1115"/>
        </w:rPr>
        <w:t>(1): 50–56.</w:t>
      </w:r>
    </w:p>
    <w:p w14:paraId="62305A3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Rhouma</w:t>
      </w:r>
      <w:proofErr w:type="spellEnd"/>
      <w:r w:rsidRPr="00683111">
        <w:rPr>
          <w:color w:val="0F1115"/>
        </w:rPr>
        <w:t xml:space="preserve">, M., Soufi, L., Cenatus, S., Archambault, M. and </w:t>
      </w:r>
      <w:proofErr w:type="spellStart"/>
      <w:r w:rsidRPr="00683111">
        <w:rPr>
          <w:color w:val="0F1115"/>
        </w:rPr>
        <w:t>Butaye</w:t>
      </w:r>
      <w:proofErr w:type="spellEnd"/>
      <w:r w:rsidRPr="00683111">
        <w:rPr>
          <w:color w:val="0F1115"/>
        </w:rPr>
        <w:t>, P. (2022). Current insights regarding the role of farm animals in the spread of antimicrobial resistance from a one health perspective. </w:t>
      </w:r>
      <w:r w:rsidRPr="00683111">
        <w:rPr>
          <w:rStyle w:val="Emphasis"/>
          <w:color w:val="0F1115"/>
        </w:rPr>
        <w:t>Veterinary Sciences</w:t>
      </w:r>
      <w:r w:rsidRPr="00683111">
        <w:rPr>
          <w:color w:val="0F1115"/>
        </w:rPr>
        <w:t>, </w:t>
      </w:r>
      <w:r w:rsidRPr="00683111">
        <w:rPr>
          <w:rStyle w:val="Strong"/>
          <w:color w:val="0F1115"/>
        </w:rPr>
        <w:t>9</w:t>
      </w:r>
      <w:r w:rsidRPr="00683111">
        <w:rPr>
          <w:color w:val="0F1115"/>
        </w:rPr>
        <w:t>(9): 480.</w:t>
      </w:r>
    </w:p>
    <w:p w14:paraId="7401E40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Shady, A., El-</w:t>
      </w:r>
      <w:proofErr w:type="spellStart"/>
      <w:r w:rsidRPr="00683111">
        <w:rPr>
          <w:color w:val="0F1115"/>
        </w:rPr>
        <w:t>Essawy</w:t>
      </w:r>
      <w:proofErr w:type="spellEnd"/>
      <w:r w:rsidRPr="00683111">
        <w:rPr>
          <w:color w:val="0F1115"/>
        </w:rPr>
        <w:t>, A.K., El-Ayesh, A.J.A. and Salama, J. (2012). Detection and molecular characterization of Vancomycin resistant </w:t>
      </w:r>
      <w:r w:rsidRPr="00683111">
        <w:rPr>
          <w:rStyle w:val="Emphasis"/>
          <w:color w:val="0F1115"/>
        </w:rPr>
        <w:t>Staphylococcus aureus</w:t>
      </w:r>
      <w:r w:rsidRPr="00683111">
        <w:rPr>
          <w:color w:val="0F1115"/>
        </w:rPr>
        <w:t> from clinical isolates. </w:t>
      </w:r>
      <w:r w:rsidRPr="00683111">
        <w:rPr>
          <w:rStyle w:val="Emphasis"/>
          <w:color w:val="0F1115"/>
        </w:rPr>
        <w:t>African Journal of Biotechnology</w:t>
      </w:r>
      <w:r w:rsidRPr="00683111">
        <w:rPr>
          <w:color w:val="0F1115"/>
        </w:rPr>
        <w:t>, </w:t>
      </w:r>
      <w:r w:rsidRPr="00683111">
        <w:rPr>
          <w:rStyle w:val="Strong"/>
          <w:color w:val="0F1115"/>
        </w:rPr>
        <w:t>11</w:t>
      </w:r>
      <w:r w:rsidRPr="00683111">
        <w:rPr>
          <w:color w:val="0F1115"/>
        </w:rPr>
        <w:t>(95): 16494–16503.</w:t>
      </w:r>
    </w:p>
    <w:p w14:paraId="079661B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Shariati, A., Arshadi, M., </w:t>
      </w:r>
      <w:proofErr w:type="spellStart"/>
      <w:r w:rsidRPr="00683111">
        <w:rPr>
          <w:color w:val="0F1115"/>
        </w:rPr>
        <w:t>Khosrojerdi</w:t>
      </w:r>
      <w:proofErr w:type="spellEnd"/>
      <w:r w:rsidRPr="00683111">
        <w:rPr>
          <w:color w:val="0F1115"/>
        </w:rPr>
        <w:t xml:space="preserve">, M.A., </w:t>
      </w:r>
      <w:proofErr w:type="spellStart"/>
      <w:r w:rsidRPr="00683111">
        <w:rPr>
          <w:color w:val="0F1115"/>
        </w:rPr>
        <w:t>Abedinzadeh</w:t>
      </w:r>
      <w:proofErr w:type="spellEnd"/>
      <w:r w:rsidRPr="00683111">
        <w:rPr>
          <w:color w:val="0F1115"/>
        </w:rPr>
        <w:t xml:space="preserve">, M., </w:t>
      </w:r>
      <w:proofErr w:type="spellStart"/>
      <w:r w:rsidRPr="00683111">
        <w:rPr>
          <w:color w:val="0F1115"/>
        </w:rPr>
        <w:t>Ganjalishahi</w:t>
      </w:r>
      <w:proofErr w:type="spellEnd"/>
      <w:r w:rsidRPr="00683111">
        <w:rPr>
          <w:color w:val="0F1115"/>
        </w:rPr>
        <w:t xml:space="preserve">, M., Maleki, A., Heidary, M. and </w:t>
      </w:r>
      <w:proofErr w:type="spellStart"/>
      <w:r w:rsidRPr="00683111">
        <w:rPr>
          <w:color w:val="0F1115"/>
        </w:rPr>
        <w:t>Khoshnood</w:t>
      </w:r>
      <w:proofErr w:type="spellEnd"/>
      <w:r w:rsidRPr="00683111">
        <w:rPr>
          <w:color w:val="0F1115"/>
        </w:rPr>
        <w:t>, S. (2020). Global prevalence and distribution of vancomycin resistant, vancomycin intermediate and heterogeneously vancomycin intermediate </w:t>
      </w:r>
      <w:r w:rsidRPr="00683111">
        <w:rPr>
          <w:rStyle w:val="Emphasis"/>
          <w:color w:val="0F1115"/>
        </w:rPr>
        <w:t>Staphylococcus aureus</w:t>
      </w:r>
      <w:r w:rsidRPr="00683111">
        <w:rPr>
          <w:color w:val="0F1115"/>
        </w:rPr>
        <w:t> clinical isolates: a systematic review and meta-analysis. </w:t>
      </w:r>
      <w:r w:rsidRPr="00683111">
        <w:rPr>
          <w:rStyle w:val="Emphasis"/>
          <w:color w:val="0F1115"/>
        </w:rPr>
        <w:t>Scientific Reports</w:t>
      </w:r>
      <w:r w:rsidRPr="00683111">
        <w:rPr>
          <w:color w:val="0F1115"/>
        </w:rPr>
        <w:t>, </w:t>
      </w:r>
      <w:r w:rsidRPr="00683111">
        <w:rPr>
          <w:rStyle w:val="Strong"/>
          <w:color w:val="0F1115"/>
        </w:rPr>
        <w:t>10</w:t>
      </w:r>
      <w:r w:rsidRPr="00683111">
        <w:rPr>
          <w:color w:val="0F1115"/>
        </w:rPr>
        <w:t>(1): 12689.</w:t>
      </w:r>
    </w:p>
    <w:p w14:paraId="2F2ED27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Shindia</w:t>
      </w:r>
      <w:proofErr w:type="spellEnd"/>
      <w:r w:rsidRPr="00683111">
        <w:rPr>
          <w:color w:val="0F1115"/>
        </w:rPr>
        <w:t>, A.A. and Nasrat, R.F. (2011). Emergence of high-level Vancomycin-resistant </w:t>
      </w:r>
      <w:r w:rsidRPr="00683111">
        <w:rPr>
          <w:rStyle w:val="Emphasis"/>
          <w:color w:val="0F1115"/>
        </w:rPr>
        <w:t>Staphylococcus aureus</w:t>
      </w:r>
      <w:r w:rsidRPr="00683111">
        <w:rPr>
          <w:color w:val="0F1115"/>
        </w:rPr>
        <w:t> in the critical care patients Cairo University Hospitals. </w:t>
      </w:r>
      <w:r w:rsidRPr="00683111">
        <w:rPr>
          <w:rStyle w:val="Emphasis"/>
          <w:color w:val="0F1115"/>
        </w:rPr>
        <w:t>Australian Journal of Basic and Applied Sciences</w:t>
      </w:r>
      <w:r w:rsidRPr="00683111">
        <w:rPr>
          <w:color w:val="0F1115"/>
        </w:rPr>
        <w:t>, </w:t>
      </w:r>
      <w:r w:rsidRPr="00683111">
        <w:rPr>
          <w:rStyle w:val="Strong"/>
          <w:color w:val="0F1115"/>
        </w:rPr>
        <w:t>5</w:t>
      </w:r>
      <w:r w:rsidRPr="00683111">
        <w:rPr>
          <w:color w:val="0F1115"/>
        </w:rPr>
        <w:t>(8): 1281–1290.</w:t>
      </w:r>
    </w:p>
    <w:p w14:paraId="324DE3AC"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Thati</w:t>
      </w:r>
      <w:proofErr w:type="spellEnd"/>
      <w:r w:rsidRPr="00683111">
        <w:rPr>
          <w:color w:val="0F1115"/>
        </w:rPr>
        <w:t xml:space="preserve">, V., </w:t>
      </w:r>
      <w:proofErr w:type="spellStart"/>
      <w:r w:rsidRPr="00683111">
        <w:rPr>
          <w:color w:val="0F1115"/>
        </w:rPr>
        <w:t>Shivannavar</w:t>
      </w:r>
      <w:proofErr w:type="spellEnd"/>
      <w:r w:rsidRPr="00683111">
        <w:rPr>
          <w:color w:val="0F1115"/>
        </w:rPr>
        <w:t xml:space="preserve">, C.T. and </w:t>
      </w:r>
      <w:proofErr w:type="spellStart"/>
      <w:r w:rsidRPr="00683111">
        <w:rPr>
          <w:color w:val="0F1115"/>
        </w:rPr>
        <w:t>Gaddad</w:t>
      </w:r>
      <w:proofErr w:type="spellEnd"/>
      <w:r w:rsidRPr="00683111">
        <w:rPr>
          <w:color w:val="0F1115"/>
        </w:rPr>
        <w:t>, S.M. (2011). Vancomycin resistance among methicillin resistant </w:t>
      </w:r>
      <w:r w:rsidRPr="00683111">
        <w:rPr>
          <w:rStyle w:val="Emphasis"/>
          <w:color w:val="0F1115"/>
        </w:rPr>
        <w:t>Staphylococcus aureus</w:t>
      </w:r>
      <w:r w:rsidRPr="00683111">
        <w:rPr>
          <w:color w:val="0F1115"/>
        </w:rPr>
        <w:t> isolates from intensive care units of tertiary care hospitals in Hyderabad. </w:t>
      </w:r>
      <w:r w:rsidRPr="00683111">
        <w:rPr>
          <w:rStyle w:val="Emphasis"/>
          <w:color w:val="0F1115"/>
        </w:rPr>
        <w:t>Indian Journal of Medical Research</w:t>
      </w:r>
      <w:r w:rsidRPr="00683111">
        <w:rPr>
          <w:color w:val="0F1115"/>
        </w:rPr>
        <w:t>, </w:t>
      </w:r>
      <w:r w:rsidRPr="00683111">
        <w:rPr>
          <w:rStyle w:val="Strong"/>
          <w:color w:val="0F1115"/>
        </w:rPr>
        <w:t>134</w:t>
      </w:r>
      <w:r w:rsidRPr="00683111">
        <w:rPr>
          <w:color w:val="0F1115"/>
        </w:rPr>
        <w:t>(5): 704–708.</w:t>
      </w:r>
    </w:p>
    <w:p w14:paraId="7124044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Tong, S.Y., Davis, J.S., Eichenberger, E., Holland, T.L. and Fowler, V.G. (2015). </w:t>
      </w:r>
      <w:r w:rsidRPr="00683111">
        <w:rPr>
          <w:rStyle w:val="Emphasis"/>
          <w:color w:val="0F1115"/>
        </w:rPr>
        <w:t>Staphylococcus aureus</w:t>
      </w:r>
      <w:r w:rsidRPr="00683111">
        <w:rPr>
          <w:color w:val="0F1115"/>
        </w:rPr>
        <w:t> infections: epidemiology, pathophysiology, clinical manifestations, and management. </w:t>
      </w:r>
      <w:r w:rsidRPr="00683111">
        <w:rPr>
          <w:rStyle w:val="Emphasis"/>
          <w:color w:val="0F1115"/>
        </w:rPr>
        <w:t>Clinical Microbiology Reviews</w:t>
      </w:r>
      <w:r w:rsidRPr="00683111">
        <w:rPr>
          <w:color w:val="0F1115"/>
        </w:rPr>
        <w:t>, </w:t>
      </w:r>
      <w:r w:rsidRPr="00683111">
        <w:rPr>
          <w:rStyle w:val="Strong"/>
          <w:color w:val="0F1115"/>
        </w:rPr>
        <w:t>28</w:t>
      </w:r>
      <w:r w:rsidRPr="00683111">
        <w:rPr>
          <w:color w:val="0F1115"/>
        </w:rPr>
        <w:t>(3): 603–661.</w:t>
      </w:r>
    </w:p>
    <w:p w14:paraId="0DC57DA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Van Boeckel, T.P., Brower, C., Gilbert, M., Grenfell, B.T., Levin, S.A., Robinson, T.P., </w:t>
      </w:r>
      <w:proofErr w:type="spellStart"/>
      <w:r w:rsidRPr="00683111">
        <w:rPr>
          <w:color w:val="0F1115"/>
        </w:rPr>
        <w:t>Teillant</w:t>
      </w:r>
      <w:proofErr w:type="spellEnd"/>
      <w:r w:rsidRPr="00683111">
        <w:rPr>
          <w:color w:val="0F1115"/>
        </w:rPr>
        <w:t>, A. and Laxminarayan, R. (2015). Global trends in antimicrobial use in food animals. </w:t>
      </w:r>
      <w:r w:rsidRPr="00683111">
        <w:rPr>
          <w:rStyle w:val="Emphasis"/>
          <w:color w:val="0F1115"/>
        </w:rPr>
        <w:t>Proceedings of the National Academy of Sciences of the United States of America</w:t>
      </w:r>
      <w:r w:rsidRPr="00683111">
        <w:rPr>
          <w:color w:val="0F1115"/>
        </w:rPr>
        <w:t>, </w:t>
      </w:r>
      <w:r w:rsidRPr="00683111">
        <w:rPr>
          <w:rStyle w:val="Strong"/>
          <w:color w:val="0F1115"/>
        </w:rPr>
        <w:t>112</w:t>
      </w:r>
      <w:r w:rsidRPr="00683111">
        <w:rPr>
          <w:color w:val="0F1115"/>
        </w:rPr>
        <w:t>(18): 5649–5654.</w:t>
      </w:r>
    </w:p>
    <w:p w14:paraId="6C7313D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Weigel, L.M., Clewell, D.B., Gill, S.R., Clark, N.C., McDougal, L.K., Flannagan, S.E., </w:t>
      </w:r>
      <w:proofErr w:type="spellStart"/>
      <w:r w:rsidRPr="00683111">
        <w:rPr>
          <w:color w:val="0F1115"/>
        </w:rPr>
        <w:t>Kolonay</w:t>
      </w:r>
      <w:proofErr w:type="spellEnd"/>
      <w:r w:rsidRPr="00683111">
        <w:rPr>
          <w:color w:val="0F1115"/>
        </w:rPr>
        <w:t xml:space="preserve">, J.F., Shetty, J., Killgore, G.E. and </w:t>
      </w:r>
      <w:proofErr w:type="spellStart"/>
      <w:r w:rsidRPr="00683111">
        <w:rPr>
          <w:color w:val="0F1115"/>
        </w:rPr>
        <w:t>Tenover</w:t>
      </w:r>
      <w:proofErr w:type="spellEnd"/>
      <w:r w:rsidRPr="00683111">
        <w:rPr>
          <w:color w:val="0F1115"/>
        </w:rPr>
        <w:t>, F.C. (2003). Genetic analysis of a high-level vancomycin-resistant isolate of </w:t>
      </w:r>
      <w:r w:rsidRPr="00683111">
        <w:rPr>
          <w:rStyle w:val="Emphasis"/>
          <w:color w:val="0F1115"/>
        </w:rPr>
        <w:t>Staphylococcus aureus</w:t>
      </w:r>
      <w:r w:rsidRPr="00683111">
        <w:rPr>
          <w:color w:val="0F1115"/>
        </w:rPr>
        <w:t>. </w:t>
      </w:r>
      <w:r w:rsidRPr="00683111">
        <w:rPr>
          <w:rStyle w:val="Emphasis"/>
          <w:color w:val="0F1115"/>
        </w:rPr>
        <w:t>Science</w:t>
      </w:r>
      <w:r w:rsidRPr="00683111">
        <w:rPr>
          <w:color w:val="0F1115"/>
        </w:rPr>
        <w:t>, </w:t>
      </w:r>
      <w:r w:rsidRPr="00683111">
        <w:rPr>
          <w:rStyle w:val="Strong"/>
          <w:color w:val="0F1115"/>
        </w:rPr>
        <w:t>302</w:t>
      </w:r>
      <w:r w:rsidRPr="00683111">
        <w:rPr>
          <w:color w:val="0F1115"/>
        </w:rPr>
        <w:t>(5650): 1569–1571.</w:t>
      </w:r>
    </w:p>
    <w:p w14:paraId="15CBF4B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Yasmine, H.T., Mohamed, E.E., Noreen, I.I., Azza, S.E-D., Nada, H.E., Reem, M.A., Yasser, M. and Ibrahim, E. (2024). Vancomycin-resistant </w:t>
      </w:r>
      <w:r w:rsidRPr="00683111">
        <w:rPr>
          <w:rStyle w:val="Emphasis"/>
          <w:color w:val="0F1115"/>
        </w:rPr>
        <w:t>Staphylococcus aureus</w:t>
      </w:r>
      <w:r w:rsidRPr="00683111">
        <w:rPr>
          <w:color w:val="0F1115"/>
        </w:rPr>
        <w:t> endangers Egyptian dairy herds. </w:t>
      </w:r>
      <w:r w:rsidRPr="00683111">
        <w:rPr>
          <w:rStyle w:val="Emphasis"/>
          <w:color w:val="0F1115"/>
        </w:rPr>
        <w:t>Scientific Reports</w:t>
      </w:r>
      <w:r w:rsidRPr="00683111">
        <w:rPr>
          <w:color w:val="0F1115"/>
        </w:rPr>
        <w:t>, </w:t>
      </w:r>
      <w:r w:rsidRPr="00683111">
        <w:rPr>
          <w:rStyle w:val="Strong"/>
          <w:color w:val="0F1115"/>
        </w:rPr>
        <w:t>14</w:t>
      </w:r>
      <w:r w:rsidRPr="00683111">
        <w:rPr>
          <w:color w:val="0F1115"/>
        </w:rPr>
        <w:t>: 30606.</w:t>
      </w:r>
    </w:p>
    <w:p w14:paraId="4C780EE2"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Zaher, H.A., El Baz, S., </w:t>
      </w:r>
      <w:proofErr w:type="spellStart"/>
      <w:r w:rsidRPr="00683111">
        <w:rPr>
          <w:color w:val="0F1115"/>
        </w:rPr>
        <w:t>Alothaim</w:t>
      </w:r>
      <w:proofErr w:type="spellEnd"/>
      <w:r w:rsidRPr="00683111">
        <w:rPr>
          <w:color w:val="0F1115"/>
        </w:rPr>
        <w:t xml:space="preserve">, A.S., </w:t>
      </w:r>
      <w:proofErr w:type="spellStart"/>
      <w:r w:rsidRPr="00683111">
        <w:rPr>
          <w:color w:val="0F1115"/>
        </w:rPr>
        <w:t>Alsalamah</w:t>
      </w:r>
      <w:proofErr w:type="spellEnd"/>
      <w:r w:rsidRPr="00683111">
        <w:rPr>
          <w:color w:val="0F1115"/>
        </w:rPr>
        <w:t xml:space="preserve">, S.A., </w:t>
      </w:r>
      <w:proofErr w:type="spellStart"/>
      <w:r w:rsidRPr="00683111">
        <w:rPr>
          <w:color w:val="0F1115"/>
        </w:rPr>
        <w:t>Alghonaim</w:t>
      </w:r>
      <w:proofErr w:type="spellEnd"/>
      <w:r w:rsidRPr="00683111">
        <w:rPr>
          <w:color w:val="0F1115"/>
        </w:rPr>
        <w:t xml:space="preserve">, M.I., </w:t>
      </w:r>
      <w:proofErr w:type="spellStart"/>
      <w:r w:rsidRPr="00683111">
        <w:rPr>
          <w:color w:val="0F1115"/>
        </w:rPr>
        <w:t>Alawam</w:t>
      </w:r>
      <w:proofErr w:type="spellEnd"/>
      <w:r w:rsidRPr="00683111">
        <w:rPr>
          <w:color w:val="0F1115"/>
        </w:rPr>
        <w:t xml:space="preserve">, A.S. and </w:t>
      </w:r>
      <w:proofErr w:type="spellStart"/>
      <w:r w:rsidRPr="00683111">
        <w:rPr>
          <w:color w:val="0F1115"/>
        </w:rPr>
        <w:t>Eraqi</w:t>
      </w:r>
      <w:proofErr w:type="spellEnd"/>
      <w:r w:rsidRPr="00683111">
        <w:rPr>
          <w:color w:val="0F1115"/>
        </w:rPr>
        <w:t>, M.M. (2023). Molecular Basis of Methicillin and Vancomycin Resistance in </w:t>
      </w:r>
      <w:r w:rsidRPr="00683111">
        <w:rPr>
          <w:rStyle w:val="Emphasis"/>
          <w:color w:val="0F1115"/>
        </w:rPr>
        <w:t>Staphylococcus aureus</w:t>
      </w:r>
      <w:r w:rsidRPr="00683111">
        <w:rPr>
          <w:color w:val="0F1115"/>
        </w:rPr>
        <w:t> from Cattle, Sheep Carcasses and Slaughterhouse Workers. </w:t>
      </w:r>
      <w:r w:rsidRPr="00683111">
        <w:rPr>
          <w:rStyle w:val="Emphasis"/>
          <w:color w:val="0F1115"/>
        </w:rPr>
        <w:t>Antibiotics</w:t>
      </w:r>
      <w:r w:rsidRPr="00683111">
        <w:rPr>
          <w:color w:val="0F1115"/>
        </w:rPr>
        <w:t>, </w:t>
      </w:r>
      <w:r w:rsidRPr="00683111">
        <w:rPr>
          <w:rStyle w:val="Strong"/>
          <w:color w:val="0F1115"/>
        </w:rPr>
        <w:t>12</w:t>
      </w:r>
      <w:r w:rsidRPr="00683111">
        <w:rPr>
          <w:color w:val="0F1115"/>
        </w:rPr>
        <w:t>: 205. </w:t>
      </w:r>
      <w:hyperlink r:id="rId14" w:tgtFrame="_blank" w:history="1">
        <w:r w:rsidRPr="00683111">
          <w:rPr>
            <w:rStyle w:val="Hyperlink"/>
          </w:rPr>
          <w:t>https://doi.org/10.3390/antibiotics12020205</w:t>
        </w:r>
      </w:hyperlink>
    </w:p>
    <w:p w14:paraId="34DFDE5A" w14:textId="77777777" w:rsidR="00B03482" w:rsidRPr="00683111" w:rsidRDefault="00B03482" w:rsidP="0021472F">
      <w:pPr>
        <w:pStyle w:val="ds-markdown-paragraph"/>
        <w:numPr>
          <w:ilvl w:val="0"/>
          <w:numId w:val="9"/>
        </w:numPr>
        <w:shd w:val="clear" w:color="auto" w:fill="FFFFFF"/>
        <w:spacing w:before="240" w:beforeAutospacing="0"/>
        <w:jc w:val="both"/>
        <w:rPr>
          <w:color w:val="0F1115"/>
        </w:rPr>
      </w:pPr>
      <w:proofErr w:type="spellStart"/>
      <w:r w:rsidRPr="00683111">
        <w:rPr>
          <w:color w:val="0F1115"/>
        </w:rPr>
        <w:t>Zarghami</w:t>
      </w:r>
      <w:proofErr w:type="spellEnd"/>
      <w:r w:rsidRPr="00683111">
        <w:rPr>
          <w:color w:val="0F1115"/>
        </w:rPr>
        <w:t xml:space="preserve">, M.P., </w:t>
      </w:r>
      <w:proofErr w:type="spellStart"/>
      <w:r w:rsidRPr="00683111">
        <w:rPr>
          <w:color w:val="0F1115"/>
        </w:rPr>
        <w:t>Azimian</w:t>
      </w:r>
      <w:proofErr w:type="spellEnd"/>
      <w:r w:rsidRPr="00683111">
        <w:rPr>
          <w:color w:val="0F1115"/>
        </w:rPr>
        <w:t xml:space="preserve">, A., Akhavan </w:t>
      </w:r>
      <w:proofErr w:type="spellStart"/>
      <w:r w:rsidRPr="00683111">
        <w:rPr>
          <w:color w:val="0F1115"/>
        </w:rPr>
        <w:t>Sepahy</w:t>
      </w:r>
      <w:proofErr w:type="spellEnd"/>
      <w:r w:rsidRPr="00683111">
        <w:rPr>
          <w:color w:val="0F1115"/>
        </w:rPr>
        <w:t xml:space="preserve">, A. and </w:t>
      </w:r>
      <w:proofErr w:type="spellStart"/>
      <w:r w:rsidRPr="00683111">
        <w:rPr>
          <w:color w:val="0F1115"/>
        </w:rPr>
        <w:t>Iranbakhsh</w:t>
      </w:r>
      <w:proofErr w:type="spellEnd"/>
      <w:r w:rsidRPr="00683111">
        <w:rPr>
          <w:color w:val="0F1115"/>
        </w:rPr>
        <w:t xml:space="preserve">, A. (2021). Isolation and genetic characterization of vancomycin-resistant and </w:t>
      </w:r>
      <w:proofErr w:type="spellStart"/>
      <w:r w:rsidRPr="00683111">
        <w:rPr>
          <w:color w:val="0F1115"/>
        </w:rPr>
        <w:t>mecC</w:t>
      </w:r>
      <w:proofErr w:type="spellEnd"/>
      <w:r w:rsidRPr="00683111">
        <w:rPr>
          <w:color w:val="0F1115"/>
        </w:rPr>
        <w:t>+ methicillin-resistant </w:t>
      </w:r>
      <w:r w:rsidRPr="00683111">
        <w:rPr>
          <w:rStyle w:val="Emphasis"/>
          <w:color w:val="0F1115"/>
        </w:rPr>
        <w:t>Staphylococcus aureus</w:t>
      </w:r>
      <w:r w:rsidRPr="00683111">
        <w:rPr>
          <w:color w:val="0F1115"/>
        </w:rPr>
        <w:t xml:space="preserve"> strains in clinical samples of </w:t>
      </w:r>
      <w:proofErr w:type="spellStart"/>
      <w:r w:rsidRPr="00683111">
        <w:rPr>
          <w:color w:val="0F1115"/>
        </w:rPr>
        <w:t>Bojnurd</w:t>
      </w:r>
      <w:proofErr w:type="spellEnd"/>
      <w:r w:rsidRPr="00683111">
        <w:rPr>
          <w:color w:val="0F1115"/>
        </w:rPr>
        <w:t>, northeastern Iran. </w:t>
      </w:r>
      <w:proofErr w:type="spellStart"/>
      <w:r w:rsidRPr="00683111">
        <w:rPr>
          <w:rStyle w:val="Emphasis"/>
          <w:color w:val="0F1115"/>
        </w:rPr>
        <w:t>Jundishapur</w:t>
      </w:r>
      <w:proofErr w:type="spellEnd"/>
      <w:r w:rsidRPr="00683111">
        <w:rPr>
          <w:rStyle w:val="Emphasis"/>
          <w:color w:val="0F1115"/>
        </w:rPr>
        <w:t xml:space="preserve"> Journal of Microbiology</w:t>
      </w:r>
      <w:r w:rsidRPr="00683111">
        <w:rPr>
          <w:color w:val="0F1115"/>
        </w:rPr>
        <w:t>, </w:t>
      </w:r>
      <w:r w:rsidRPr="00683111">
        <w:rPr>
          <w:rStyle w:val="Strong"/>
          <w:color w:val="0F1115"/>
        </w:rPr>
        <w:t>14</w:t>
      </w:r>
      <w:r w:rsidRPr="00683111">
        <w:rPr>
          <w:color w:val="0F1115"/>
        </w:rPr>
        <w:t>(10): e118949. </w:t>
      </w:r>
      <w:hyperlink r:id="rId15" w:tgtFrame="_blank" w:history="1">
        <w:r w:rsidRPr="00683111">
          <w:rPr>
            <w:rStyle w:val="Hyperlink"/>
          </w:rPr>
          <w:t>https://doi.org/10.5812/jjm.118949</w:t>
        </w:r>
      </w:hyperlink>
    </w:p>
    <w:p w14:paraId="0B61EBE7" w14:textId="77777777" w:rsidR="009B4CC3" w:rsidRPr="00B010B3" w:rsidRDefault="009B4CC3" w:rsidP="001F4438">
      <w:pPr>
        <w:shd w:val="clear" w:color="auto" w:fill="FFFFFF"/>
        <w:spacing w:before="240" w:after="240" w:line="240" w:lineRule="auto"/>
        <w:jc w:val="both"/>
        <w:rPr>
          <w:rFonts w:ascii="Times New Roman" w:hAnsi="Times New Roman" w:cs="Times New Roman"/>
        </w:rPr>
      </w:pPr>
    </w:p>
    <w:sectPr w:rsidR="009B4CC3" w:rsidRPr="00B010B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6-01-31T20:07:00Z" w:initials="H">
    <w:p w14:paraId="4F2C359E" w14:textId="2518A884" w:rsidR="00902A1A" w:rsidRDefault="00902A1A">
      <w:pPr>
        <w:pStyle w:val="CommentText"/>
      </w:pPr>
      <w:r>
        <w:rPr>
          <w:rStyle w:val="CommentReference"/>
        </w:rPr>
        <w:annotationRef/>
      </w:r>
      <w:r>
        <w:t>The reference is very old, should be replaced with new reference</w:t>
      </w:r>
    </w:p>
  </w:comment>
  <w:comment w:id="1" w:author="HP" w:date="2026-01-31T19:39:00Z" w:initials="H">
    <w:p w14:paraId="09067B3E" w14:textId="302C8CE8" w:rsidR="00D633AE" w:rsidRDefault="00D633AE">
      <w:pPr>
        <w:pStyle w:val="CommentText"/>
      </w:pPr>
      <w:r>
        <w:rPr>
          <w:rStyle w:val="CommentReference"/>
        </w:rPr>
        <w:annotationRef/>
      </w:r>
      <w:r>
        <w:t xml:space="preserve">CLSI, </w:t>
      </w:r>
      <w:r w:rsidR="000B03A0">
        <w:t>in recent year</w:t>
      </w:r>
      <w:r>
        <w:t xml:space="preserve"> </w:t>
      </w:r>
      <w:r w:rsidR="00C56431">
        <w:t xml:space="preserve">depending on MIC </w:t>
      </w:r>
      <w:r w:rsidR="00151038">
        <w:t xml:space="preserve">to determine the susceptibility of all isolates of </w:t>
      </w:r>
      <w:r w:rsidR="00151038">
        <w:rPr>
          <w:i/>
          <w:iCs/>
        </w:rPr>
        <w:t>S</w:t>
      </w:r>
      <w:r w:rsidR="00151038" w:rsidRPr="00151038">
        <w:rPr>
          <w:i/>
          <w:iCs/>
        </w:rPr>
        <w:t>. aureus</w:t>
      </w:r>
      <w:r w:rsidR="00151038">
        <w:t xml:space="preserve"> </w:t>
      </w:r>
      <w:r w:rsidR="00547C56">
        <w:rPr>
          <w:rFonts w:eastAsia="MS Mincho" w:cs="Helvetica"/>
          <w:b/>
          <w:bCs/>
          <w:lang w:val="en-GB"/>
        </w:rPr>
        <w:t xml:space="preserve">vancomycin </w:t>
      </w:r>
      <w:r w:rsidR="00151038">
        <w:t xml:space="preserve">and </w:t>
      </w:r>
      <w:r>
        <w:t xml:space="preserve">don’t depending on disc diffusion </w:t>
      </w:r>
      <w:r w:rsidR="00C56431">
        <w:t>method,</w:t>
      </w:r>
      <w:r w:rsidR="00855503">
        <w:t xml:space="preserve"> </w:t>
      </w:r>
      <w:r w:rsidR="00C56431">
        <w:t xml:space="preserve">because the disk test does not differentiate vancomycin-susceptible isolate of </w:t>
      </w:r>
      <w:r w:rsidR="00151038">
        <w:rPr>
          <w:i/>
          <w:iCs/>
        </w:rPr>
        <w:t>S</w:t>
      </w:r>
      <w:r w:rsidR="00C56431" w:rsidRPr="00151038">
        <w:rPr>
          <w:i/>
          <w:iCs/>
        </w:rPr>
        <w:t>. aureus</w:t>
      </w:r>
      <w:r w:rsidR="00C56431">
        <w:t xml:space="preserve"> for vancomycin-intermediate isolates, nor does the test differentiate </w:t>
      </w:r>
      <w:r w:rsidR="00151038">
        <w:t>among vancomycin</w:t>
      </w:r>
      <w:r w:rsidR="00C56431">
        <w:t>-susceptible</w:t>
      </w:r>
      <w:r w:rsidR="00855503">
        <w:t xml:space="preserve"> </w:t>
      </w:r>
    </w:p>
  </w:comment>
  <w:comment w:id="2" w:author="HP" w:date="2026-01-31T20:11:00Z" w:initials="H">
    <w:p w14:paraId="14E0DCE8" w14:textId="482F97DF" w:rsidR="00902A1A" w:rsidRDefault="00902A1A">
      <w:pPr>
        <w:pStyle w:val="CommentText"/>
      </w:pPr>
      <w:r>
        <w:rPr>
          <w:rStyle w:val="CommentReference"/>
        </w:rPr>
        <w:annotationRef/>
      </w:r>
      <w:r>
        <w:t xml:space="preserve">Name and version </w:t>
      </w:r>
      <w:r w:rsidR="00775ECF">
        <w:t xml:space="preserve">with </w:t>
      </w:r>
      <w:r>
        <w:t xml:space="preserve">reference </w:t>
      </w:r>
      <w:r w:rsidR="00775ECF">
        <w:t>for program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2C359E" w15:done="0"/>
  <w15:commentEx w15:paraId="09067B3E" w15:done="0"/>
  <w15:commentEx w15:paraId="14E0DC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8DF69" w16cex:dateUtc="2026-01-31T17:07:00Z"/>
  <w16cex:commentExtensible w16cex:durableId="2D28D8D5" w16cex:dateUtc="2026-01-31T16:39:00Z"/>
  <w16cex:commentExtensible w16cex:durableId="2D28E067" w16cex:dateUtc="2026-01-31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2C359E" w16cid:durableId="2D28DF69"/>
  <w16cid:commentId w16cid:paraId="09067B3E" w16cid:durableId="2D28D8D5"/>
  <w16cid:commentId w16cid:paraId="14E0DCE8" w16cid:durableId="2D28E0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65BA" w14:textId="77777777" w:rsidR="00CA377E" w:rsidRDefault="00CA377E" w:rsidP="00F34289">
      <w:pPr>
        <w:spacing w:after="0" w:line="240" w:lineRule="auto"/>
      </w:pPr>
      <w:r>
        <w:separator/>
      </w:r>
    </w:p>
  </w:endnote>
  <w:endnote w:type="continuationSeparator" w:id="0">
    <w:p w14:paraId="2C339AAE" w14:textId="77777777" w:rsidR="00CA377E" w:rsidRDefault="00CA377E" w:rsidP="00F3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0447" w14:textId="77777777" w:rsidR="00F34289" w:rsidRDefault="00F3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71BC" w14:textId="77777777" w:rsidR="00F34289" w:rsidRDefault="00F34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7073" w14:textId="77777777" w:rsidR="00F34289" w:rsidRDefault="00F3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C6DB" w14:textId="77777777" w:rsidR="00CA377E" w:rsidRDefault="00CA377E" w:rsidP="00F34289">
      <w:pPr>
        <w:spacing w:after="0" w:line="240" w:lineRule="auto"/>
      </w:pPr>
      <w:r>
        <w:separator/>
      </w:r>
    </w:p>
  </w:footnote>
  <w:footnote w:type="continuationSeparator" w:id="0">
    <w:p w14:paraId="3F99B2D5" w14:textId="77777777" w:rsidR="00CA377E" w:rsidRDefault="00CA377E" w:rsidP="00F3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C5EE" w14:textId="58788554" w:rsidR="00F34289" w:rsidRDefault="00CA377E">
    <w:pPr>
      <w:pStyle w:val="Header"/>
    </w:pPr>
    <w:r>
      <w:rPr>
        <w:noProof/>
      </w:rPr>
      <w:pict w14:anchorId="6F603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95F0" w14:textId="67315291" w:rsidR="00F34289" w:rsidRDefault="00CA377E">
    <w:pPr>
      <w:pStyle w:val="Header"/>
    </w:pPr>
    <w:r>
      <w:rPr>
        <w:noProof/>
      </w:rPr>
      <w:pict w14:anchorId="3FFCF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72F0" w14:textId="495E9A1D" w:rsidR="00F34289" w:rsidRDefault="00CA377E">
    <w:pPr>
      <w:pStyle w:val="Header"/>
    </w:pPr>
    <w:r>
      <w:rPr>
        <w:noProof/>
      </w:rPr>
      <w:pict w14:anchorId="01523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38A8"/>
    <w:multiLevelType w:val="multilevel"/>
    <w:tmpl w:val="6F34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A621D"/>
    <w:multiLevelType w:val="multilevel"/>
    <w:tmpl w:val="973A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3389D"/>
    <w:multiLevelType w:val="hybridMultilevel"/>
    <w:tmpl w:val="5CD26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156CF"/>
    <w:multiLevelType w:val="hybridMultilevel"/>
    <w:tmpl w:val="34D41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30E4A"/>
    <w:multiLevelType w:val="hybridMultilevel"/>
    <w:tmpl w:val="D306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974FD"/>
    <w:multiLevelType w:val="multilevel"/>
    <w:tmpl w:val="9E4A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822AB"/>
    <w:multiLevelType w:val="multilevel"/>
    <w:tmpl w:val="3F724A06"/>
    <w:lvl w:ilvl="0">
      <w:start w:val="2"/>
      <w:numFmt w:val="decimal"/>
      <w:lvlText w:val="%1"/>
      <w:lvlJc w:val="left"/>
      <w:pPr>
        <w:ind w:left="525" w:hanging="525"/>
      </w:pPr>
      <w:rPr>
        <w:rFonts w:hint="default"/>
        <w:b/>
      </w:rPr>
    </w:lvl>
    <w:lvl w:ilvl="1">
      <w:start w:val="6"/>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6BB47E7"/>
    <w:multiLevelType w:val="multilevel"/>
    <w:tmpl w:val="3CA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526971"/>
    <w:multiLevelType w:val="multilevel"/>
    <w:tmpl w:val="CFD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1"/>
  </w:num>
  <w:num w:numId="5">
    <w:abstractNumId w:val="5"/>
  </w:num>
  <w:num w:numId="6">
    <w:abstractNumId w:val="2"/>
  </w:num>
  <w:num w:numId="7">
    <w:abstractNumId w:val="6"/>
  </w:num>
  <w:num w:numId="8">
    <w:abstractNumId w:val="4"/>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29"/>
    <w:rsid w:val="00006B15"/>
    <w:rsid w:val="000118C9"/>
    <w:rsid w:val="00021691"/>
    <w:rsid w:val="00030288"/>
    <w:rsid w:val="00060124"/>
    <w:rsid w:val="00061EC4"/>
    <w:rsid w:val="00072802"/>
    <w:rsid w:val="00092EA7"/>
    <w:rsid w:val="00095B2B"/>
    <w:rsid w:val="000A19FA"/>
    <w:rsid w:val="000A3921"/>
    <w:rsid w:val="000A529F"/>
    <w:rsid w:val="000B03A0"/>
    <w:rsid w:val="000C78FC"/>
    <w:rsid w:val="000E3F74"/>
    <w:rsid w:val="000F6D4A"/>
    <w:rsid w:val="001032EC"/>
    <w:rsid w:val="00106062"/>
    <w:rsid w:val="0010633F"/>
    <w:rsid w:val="00106C48"/>
    <w:rsid w:val="00120620"/>
    <w:rsid w:val="00126201"/>
    <w:rsid w:val="00134CFA"/>
    <w:rsid w:val="001368E3"/>
    <w:rsid w:val="00137E15"/>
    <w:rsid w:val="00151038"/>
    <w:rsid w:val="00164F85"/>
    <w:rsid w:val="00177BBB"/>
    <w:rsid w:val="00185E92"/>
    <w:rsid w:val="001A4E67"/>
    <w:rsid w:val="001C1BC5"/>
    <w:rsid w:val="001C709F"/>
    <w:rsid w:val="001D1950"/>
    <w:rsid w:val="001D2D3E"/>
    <w:rsid w:val="001D69E0"/>
    <w:rsid w:val="001F4438"/>
    <w:rsid w:val="0020690A"/>
    <w:rsid w:val="00210A14"/>
    <w:rsid w:val="0021472F"/>
    <w:rsid w:val="00231C49"/>
    <w:rsid w:val="00236CAF"/>
    <w:rsid w:val="00244F29"/>
    <w:rsid w:val="00255735"/>
    <w:rsid w:val="00265B29"/>
    <w:rsid w:val="00277065"/>
    <w:rsid w:val="00283FBD"/>
    <w:rsid w:val="002A22A6"/>
    <w:rsid w:val="002A509B"/>
    <w:rsid w:val="00303B14"/>
    <w:rsid w:val="003079BD"/>
    <w:rsid w:val="00321F9B"/>
    <w:rsid w:val="003224A3"/>
    <w:rsid w:val="003244E7"/>
    <w:rsid w:val="0033667E"/>
    <w:rsid w:val="00372989"/>
    <w:rsid w:val="00380A99"/>
    <w:rsid w:val="00391DDD"/>
    <w:rsid w:val="00396800"/>
    <w:rsid w:val="003A0DA1"/>
    <w:rsid w:val="003A1D3F"/>
    <w:rsid w:val="003B54A7"/>
    <w:rsid w:val="003C0314"/>
    <w:rsid w:val="003C4F7B"/>
    <w:rsid w:val="003C6542"/>
    <w:rsid w:val="003C6C00"/>
    <w:rsid w:val="003D512C"/>
    <w:rsid w:val="003E4876"/>
    <w:rsid w:val="00403B1B"/>
    <w:rsid w:val="0041738C"/>
    <w:rsid w:val="004229F0"/>
    <w:rsid w:val="0043433D"/>
    <w:rsid w:val="0043536A"/>
    <w:rsid w:val="004379E8"/>
    <w:rsid w:val="0044014C"/>
    <w:rsid w:val="00443E7C"/>
    <w:rsid w:val="00444C17"/>
    <w:rsid w:val="00450300"/>
    <w:rsid w:val="00452E92"/>
    <w:rsid w:val="00464505"/>
    <w:rsid w:val="00470AFA"/>
    <w:rsid w:val="00493CC3"/>
    <w:rsid w:val="004949E2"/>
    <w:rsid w:val="004A10D9"/>
    <w:rsid w:val="004B761E"/>
    <w:rsid w:val="004C14C7"/>
    <w:rsid w:val="004C2597"/>
    <w:rsid w:val="004C3F72"/>
    <w:rsid w:val="004E1532"/>
    <w:rsid w:val="00502F06"/>
    <w:rsid w:val="00503FDF"/>
    <w:rsid w:val="00507D7C"/>
    <w:rsid w:val="00513F68"/>
    <w:rsid w:val="00514B22"/>
    <w:rsid w:val="0051678D"/>
    <w:rsid w:val="0053007B"/>
    <w:rsid w:val="005317D1"/>
    <w:rsid w:val="00532ECD"/>
    <w:rsid w:val="00545B7E"/>
    <w:rsid w:val="00547C56"/>
    <w:rsid w:val="00550632"/>
    <w:rsid w:val="0055743B"/>
    <w:rsid w:val="00566174"/>
    <w:rsid w:val="00566C16"/>
    <w:rsid w:val="00576270"/>
    <w:rsid w:val="005A1DEF"/>
    <w:rsid w:val="005C7F4E"/>
    <w:rsid w:val="005D237D"/>
    <w:rsid w:val="005D629A"/>
    <w:rsid w:val="005F00CB"/>
    <w:rsid w:val="00611F06"/>
    <w:rsid w:val="006152AA"/>
    <w:rsid w:val="006245B4"/>
    <w:rsid w:val="00647958"/>
    <w:rsid w:val="00653313"/>
    <w:rsid w:val="0065449E"/>
    <w:rsid w:val="00664677"/>
    <w:rsid w:val="0067032E"/>
    <w:rsid w:val="00683111"/>
    <w:rsid w:val="006A5E2C"/>
    <w:rsid w:val="006C73E8"/>
    <w:rsid w:val="006D3AD6"/>
    <w:rsid w:val="006F41B8"/>
    <w:rsid w:val="00704DEA"/>
    <w:rsid w:val="00707F0E"/>
    <w:rsid w:val="00710743"/>
    <w:rsid w:val="00711AAB"/>
    <w:rsid w:val="00721DB6"/>
    <w:rsid w:val="00730FE1"/>
    <w:rsid w:val="00746AA1"/>
    <w:rsid w:val="00753CA5"/>
    <w:rsid w:val="007667DB"/>
    <w:rsid w:val="00775ECF"/>
    <w:rsid w:val="00786729"/>
    <w:rsid w:val="0079483F"/>
    <w:rsid w:val="007A01F0"/>
    <w:rsid w:val="007A1E92"/>
    <w:rsid w:val="007A63B0"/>
    <w:rsid w:val="007B0100"/>
    <w:rsid w:val="007C595C"/>
    <w:rsid w:val="007C73F7"/>
    <w:rsid w:val="007F1BFC"/>
    <w:rsid w:val="00813F4D"/>
    <w:rsid w:val="0081516D"/>
    <w:rsid w:val="00824003"/>
    <w:rsid w:val="0083337B"/>
    <w:rsid w:val="0083373C"/>
    <w:rsid w:val="00836BBF"/>
    <w:rsid w:val="0084005D"/>
    <w:rsid w:val="008451EA"/>
    <w:rsid w:val="00855503"/>
    <w:rsid w:val="00866435"/>
    <w:rsid w:val="0087151B"/>
    <w:rsid w:val="008732AD"/>
    <w:rsid w:val="00883398"/>
    <w:rsid w:val="00885BBF"/>
    <w:rsid w:val="00887DF0"/>
    <w:rsid w:val="0089165E"/>
    <w:rsid w:val="008A54F3"/>
    <w:rsid w:val="008B3FEB"/>
    <w:rsid w:val="008D26EF"/>
    <w:rsid w:val="008D7D14"/>
    <w:rsid w:val="008E5964"/>
    <w:rsid w:val="008F6019"/>
    <w:rsid w:val="008F68EA"/>
    <w:rsid w:val="00902A1A"/>
    <w:rsid w:val="009036F0"/>
    <w:rsid w:val="00925165"/>
    <w:rsid w:val="0094207F"/>
    <w:rsid w:val="00943767"/>
    <w:rsid w:val="009452FF"/>
    <w:rsid w:val="00951699"/>
    <w:rsid w:val="009A3C5D"/>
    <w:rsid w:val="009A5DE7"/>
    <w:rsid w:val="009B1C25"/>
    <w:rsid w:val="009B4CC3"/>
    <w:rsid w:val="009C05AD"/>
    <w:rsid w:val="009C3636"/>
    <w:rsid w:val="009D342E"/>
    <w:rsid w:val="009E70DE"/>
    <w:rsid w:val="00A204AD"/>
    <w:rsid w:val="00A238A8"/>
    <w:rsid w:val="00A25B37"/>
    <w:rsid w:val="00A51DD3"/>
    <w:rsid w:val="00A612AF"/>
    <w:rsid w:val="00A762DF"/>
    <w:rsid w:val="00A819D2"/>
    <w:rsid w:val="00A819EF"/>
    <w:rsid w:val="00A826BC"/>
    <w:rsid w:val="00A96D2E"/>
    <w:rsid w:val="00AC615B"/>
    <w:rsid w:val="00AD413B"/>
    <w:rsid w:val="00AD6610"/>
    <w:rsid w:val="00AE6F6C"/>
    <w:rsid w:val="00B010B3"/>
    <w:rsid w:val="00B020E2"/>
    <w:rsid w:val="00B03482"/>
    <w:rsid w:val="00B17173"/>
    <w:rsid w:val="00B20E8C"/>
    <w:rsid w:val="00B24F6A"/>
    <w:rsid w:val="00B26ADE"/>
    <w:rsid w:val="00B45B3B"/>
    <w:rsid w:val="00B74F67"/>
    <w:rsid w:val="00B84C28"/>
    <w:rsid w:val="00BA083D"/>
    <w:rsid w:val="00BA4F0C"/>
    <w:rsid w:val="00BB198A"/>
    <w:rsid w:val="00BD228D"/>
    <w:rsid w:val="00BD3073"/>
    <w:rsid w:val="00BD595D"/>
    <w:rsid w:val="00C04A5A"/>
    <w:rsid w:val="00C0601C"/>
    <w:rsid w:val="00C17D32"/>
    <w:rsid w:val="00C207D8"/>
    <w:rsid w:val="00C4474B"/>
    <w:rsid w:val="00C56431"/>
    <w:rsid w:val="00C9176D"/>
    <w:rsid w:val="00C9685B"/>
    <w:rsid w:val="00CA377E"/>
    <w:rsid w:val="00CA686E"/>
    <w:rsid w:val="00CE2939"/>
    <w:rsid w:val="00CF3C6F"/>
    <w:rsid w:val="00CF65E3"/>
    <w:rsid w:val="00CF7EE7"/>
    <w:rsid w:val="00D01344"/>
    <w:rsid w:val="00D0351A"/>
    <w:rsid w:val="00D04F2F"/>
    <w:rsid w:val="00D2077C"/>
    <w:rsid w:val="00D24990"/>
    <w:rsid w:val="00D24E9D"/>
    <w:rsid w:val="00D30D6A"/>
    <w:rsid w:val="00D3333D"/>
    <w:rsid w:val="00D35F94"/>
    <w:rsid w:val="00D37D87"/>
    <w:rsid w:val="00D468BE"/>
    <w:rsid w:val="00D633AE"/>
    <w:rsid w:val="00D7428A"/>
    <w:rsid w:val="00DA630A"/>
    <w:rsid w:val="00DE1576"/>
    <w:rsid w:val="00DE2AA4"/>
    <w:rsid w:val="00DF35E7"/>
    <w:rsid w:val="00E22E66"/>
    <w:rsid w:val="00E27D5E"/>
    <w:rsid w:val="00E3255B"/>
    <w:rsid w:val="00E34FB5"/>
    <w:rsid w:val="00E36189"/>
    <w:rsid w:val="00E4085C"/>
    <w:rsid w:val="00E51BE2"/>
    <w:rsid w:val="00E54284"/>
    <w:rsid w:val="00E70527"/>
    <w:rsid w:val="00E714F4"/>
    <w:rsid w:val="00EB02B3"/>
    <w:rsid w:val="00EB1326"/>
    <w:rsid w:val="00EB55F6"/>
    <w:rsid w:val="00EC2346"/>
    <w:rsid w:val="00EC46B6"/>
    <w:rsid w:val="00EE5C9E"/>
    <w:rsid w:val="00EF4799"/>
    <w:rsid w:val="00EF49FF"/>
    <w:rsid w:val="00F026C6"/>
    <w:rsid w:val="00F029A6"/>
    <w:rsid w:val="00F05F59"/>
    <w:rsid w:val="00F234B7"/>
    <w:rsid w:val="00F24DDB"/>
    <w:rsid w:val="00F34289"/>
    <w:rsid w:val="00F412B0"/>
    <w:rsid w:val="00F53306"/>
    <w:rsid w:val="00F56640"/>
    <w:rsid w:val="00F7424D"/>
    <w:rsid w:val="00F90B8B"/>
    <w:rsid w:val="00FA3DF9"/>
    <w:rsid w:val="00FC5410"/>
    <w:rsid w:val="00FC66A0"/>
    <w:rsid w:val="00FC7879"/>
    <w:rsid w:val="00FF1DA1"/>
    <w:rsid w:val="00FF6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B9146"/>
  <w15:chartTrackingRefBased/>
  <w15:docId w15:val="{B63BAFCB-675C-4E2F-B367-382AF26F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2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4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86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67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67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6729"/>
    <w:rPr>
      <w:rFonts w:ascii="Times New Roman" w:eastAsia="Times New Roman" w:hAnsi="Times New Roman" w:cs="Times New Roman"/>
      <w:b/>
      <w:bCs/>
      <w:sz w:val="24"/>
      <w:szCs w:val="24"/>
    </w:rPr>
  </w:style>
  <w:style w:type="paragraph" w:customStyle="1" w:styleId="ds-markdown-paragraph">
    <w:name w:val="ds-markdown-paragraph"/>
    <w:basedOn w:val="Normal"/>
    <w:rsid w:val="00786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729"/>
    <w:rPr>
      <w:b/>
      <w:bCs/>
    </w:rPr>
  </w:style>
  <w:style w:type="character" w:styleId="Emphasis">
    <w:name w:val="Emphasis"/>
    <w:basedOn w:val="DefaultParagraphFont"/>
    <w:uiPriority w:val="20"/>
    <w:qFormat/>
    <w:rsid w:val="00786729"/>
    <w:rPr>
      <w:i/>
      <w:iCs/>
    </w:rPr>
  </w:style>
  <w:style w:type="character" w:styleId="Hyperlink">
    <w:name w:val="Hyperlink"/>
    <w:basedOn w:val="DefaultParagraphFont"/>
    <w:uiPriority w:val="99"/>
    <w:semiHidden/>
    <w:unhideWhenUsed/>
    <w:rsid w:val="00F412B0"/>
    <w:rPr>
      <w:color w:val="0000FF"/>
      <w:u w:val="single"/>
    </w:rPr>
  </w:style>
  <w:style w:type="character" w:customStyle="1" w:styleId="Heading1Char">
    <w:name w:val="Heading 1 Char"/>
    <w:basedOn w:val="DefaultParagraphFont"/>
    <w:link w:val="Heading1"/>
    <w:uiPriority w:val="9"/>
    <w:rsid w:val="00F7424D"/>
    <w:rPr>
      <w:rFonts w:asciiTheme="majorHAnsi" w:eastAsiaTheme="majorEastAsia" w:hAnsiTheme="majorHAnsi" w:cstheme="majorBidi"/>
      <w:color w:val="2E74B5" w:themeColor="accent1" w:themeShade="BF"/>
      <w:sz w:val="32"/>
      <w:szCs w:val="32"/>
    </w:rPr>
  </w:style>
  <w:style w:type="character" w:customStyle="1" w:styleId="name">
    <w:name w:val="name"/>
    <w:basedOn w:val="DefaultParagraphFont"/>
    <w:rsid w:val="00F7424D"/>
  </w:style>
  <w:style w:type="paragraph" w:customStyle="1" w:styleId="Default">
    <w:name w:val="Default"/>
    <w:rsid w:val="00BA4F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
    <w:name w:val="author"/>
    <w:basedOn w:val="DefaultParagraphFont"/>
    <w:rsid w:val="000A3921"/>
  </w:style>
  <w:style w:type="character" w:customStyle="1" w:styleId="anchor-text">
    <w:name w:val="anchor-text"/>
    <w:basedOn w:val="DefaultParagraphFont"/>
    <w:rsid w:val="000A3921"/>
  </w:style>
  <w:style w:type="character" w:customStyle="1" w:styleId="title-text">
    <w:name w:val="title-text"/>
    <w:basedOn w:val="DefaultParagraphFont"/>
    <w:rsid w:val="004949E2"/>
  </w:style>
  <w:style w:type="character" w:customStyle="1" w:styleId="Heading2Char">
    <w:name w:val="Heading 2 Char"/>
    <w:basedOn w:val="DefaultParagraphFont"/>
    <w:link w:val="Heading2"/>
    <w:uiPriority w:val="9"/>
    <w:rsid w:val="004949E2"/>
    <w:rPr>
      <w:rFonts w:asciiTheme="majorHAnsi" w:eastAsiaTheme="majorEastAsia" w:hAnsiTheme="majorHAnsi" w:cstheme="majorBidi"/>
      <w:color w:val="2E74B5" w:themeColor="accent1" w:themeShade="BF"/>
      <w:sz w:val="26"/>
      <w:szCs w:val="26"/>
    </w:rPr>
  </w:style>
  <w:style w:type="character" w:customStyle="1" w:styleId="react-xocs-alternative-link">
    <w:name w:val="react-xocs-alternative-link"/>
    <w:basedOn w:val="DefaultParagraphFont"/>
    <w:rsid w:val="006245B4"/>
  </w:style>
  <w:style w:type="character" w:customStyle="1" w:styleId="given-name">
    <w:name w:val="given-name"/>
    <w:basedOn w:val="DefaultParagraphFont"/>
    <w:rsid w:val="006245B4"/>
  </w:style>
  <w:style w:type="character" w:customStyle="1" w:styleId="text">
    <w:name w:val="text"/>
    <w:basedOn w:val="DefaultParagraphFont"/>
    <w:rsid w:val="006245B4"/>
  </w:style>
  <w:style w:type="paragraph" w:styleId="NormalWeb">
    <w:name w:val="Normal (Web)"/>
    <w:basedOn w:val="Normal"/>
    <w:uiPriority w:val="99"/>
    <w:unhideWhenUsed/>
    <w:rsid w:val="00095B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2077C"/>
    <w:pPr>
      <w:ind w:left="720"/>
      <w:contextualSpacing/>
    </w:pPr>
  </w:style>
  <w:style w:type="character" w:customStyle="1" w:styleId="u-visually-hidden">
    <w:name w:val="u-visually-hidden"/>
    <w:basedOn w:val="DefaultParagraphFont"/>
    <w:rsid w:val="00704DEA"/>
  </w:style>
  <w:style w:type="character" w:customStyle="1" w:styleId="muitypography-root">
    <w:name w:val="muitypography-root"/>
    <w:basedOn w:val="DefaultParagraphFont"/>
    <w:rsid w:val="00FC7879"/>
  </w:style>
  <w:style w:type="paragraph" w:styleId="Header">
    <w:name w:val="header"/>
    <w:basedOn w:val="Normal"/>
    <w:link w:val="HeaderChar"/>
    <w:uiPriority w:val="99"/>
    <w:unhideWhenUsed/>
    <w:rsid w:val="00F3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289"/>
  </w:style>
  <w:style w:type="paragraph" w:styleId="Footer">
    <w:name w:val="footer"/>
    <w:basedOn w:val="Normal"/>
    <w:link w:val="FooterChar"/>
    <w:uiPriority w:val="99"/>
    <w:unhideWhenUsed/>
    <w:rsid w:val="00F3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89"/>
  </w:style>
  <w:style w:type="character" w:styleId="CommentReference">
    <w:name w:val="annotation reference"/>
    <w:basedOn w:val="DefaultParagraphFont"/>
    <w:uiPriority w:val="99"/>
    <w:semiHidden/>
    <w:unhideWhenUsed/>
    <w:rsid w:val="00D633AE"/>
    <w:rPr>
      <w:sz w:val="16"/>
      <w:szCs w:val="16"/>
    </w:rPr>
  </w:style>
  <w:style w:type="paragraph" w:styleId="CommentText">
    <w:name w:val="annotation text"/>
    <w:basedOn w:val="Normal"/>
    <w:link w:val="CommentTextChar"/>
    <w:uiPriority w:val="99"/>
    <w:semiHidden/>
    <w:unhideWhenUsed/>
    <w:rsid w:val="00D633AE"/>
    <w:pPr>
      <w:spacing w:line="240" w:lineRule="auto"/>
    </w:pPr>
    <w:rPr>
      <w:sz w:val="20"/>
      <w:szCs w:val="20"/>
    </w:rPr>
  </w:style>
  <w:style w:type="character" w:customStyle="1" w:styleId="CommentTextChar">
    <w:name w:val="Comment Text Char"/>
    <w:basedOn w:val="DefaultParagraphFont"/>
    <w:link w:val="CommentText"/>
    <w:uiPriority w:val="99"/>
    <w:semiHidden/>
    <w:rsid w:val="00D633AE"/>
    <w:rPr>
      <w:sz w:val="20"/>
      <w:szCs w:val="20"/>
    </w:rPr>
  </w:style>
  <w:style w:type="paragraph" w:styleId="CommentSubject">
    <w:name w:val="annotation subject"/>
    <w:basedOn w:val="CommentText"/>
    <w:next w:val="CommentText"/>
    <w:link w:val="CommentSubjectChar"/>
    <w:uiPriority w:val="99"/>
    <w:semiHidden/>
    <w:unhideWhenUsed/>
    <w:rsid w:val="00D633AE"/>
    <w:rPr>
      <w:b/>
      <w:bCs/>
    </w:rPr>
  </w:style>
  <w:style w:type="character" w:customStyle="1" w:styleId="CommentSubjectChar">
    <w:name w:val="Comment Subject Char"/>
    <w:basedOn w:val="CommentTextChar"/>
    <w:link w:val="CommentSubject"/>
    <w:uiPriority w:val="99"/>
    <w:semiHidden/>
    <w:rsid w:val="00D633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16157">
      <w:bodyDiv w:val="1"/>
      <w:marLeft w:val="0"/>
      <w:marRight w:val="0"/>
      <w:marTop w:val="0"/>
      <w:marBottom w:val="0"/>
      <w:divBdr>
        <w:top w:val="none" w:sz="0" w:space="0" w:color="auto"/>
        <w:left w:val="none" w:sz="0" w:space="0" w:color="auto"/>
        <w:bottom w:val="none" w:sz="0" w:space="0" w:color="auto"/>
        <w:right w:val="none" w:sz="0" w:space="0" w:color="auto"/>
      </w:divBdr>
      <w:divsChild>
        <w:div w:id="853493599">
          <w:marLeft w:val="0"/>
          <w:marRight w:val="0"/>
          <w:marTop w:val="0"/>
          <w:marBottom w:val="0"/>
          <w:divBdr>
            <w:top w:val="none" w:sz="0" w:space="0" w:color="auto"/>
            <w:left w:val="none" w:sz="0" w:space="0" w:color="auto"/>
            <w:bottom w:val="none" w:sz="0" w:space="0" w:color="auto"/>
            <w:right w:val="none" w:sz="0" w:space="0" w:color="auto"/>
          </w:divBdr>
        </w:div>
        <w:div w:id="511722481">
          <w:marLeft w:val="0"/>
          <w:marRight w:val="0"/>
          <w:marTop w:val="0"/>
          <w:marBottom w:val="0"/>
          <w:divBdr>
            <w:top w:val="none" w:sz="0" w:space="0" w:color="auto"/>
            <w:left w:val="none" w:sz="0" w:space="0" w:color="auto"/>
            <w:bottom w:val="none" w:sz="0" w:space="0" w:color="auto"/>
            <w:right w:val="none" w:sz="0" w:space="0" w:color="auto"/>
          </w:divBdr>
        </w:div>
      </w:divsChild>
    </w:div>
    <w:div w:id="449474348">
      <w:bodyDiv w:val="1"/>
      <w:marLeft w:val="0"/>
      <w:marRight w:val="0"/>
      <w:marTop w:val="0"/>
      <w:marBottom w:val="0"/>
      <w:divBdr>
        <w:top w:val="none" w:sz="0" w:space="0" w:color="auto"/>
        <w:left w:val="none" w:sz="0" w:space="0" w:color="auto"/>
        <w:bottom w:val="none" w:sz="0" w:space="0" w:color="auto"/>
        <w:right w:val="none" w:sz="0" w:space="0" w:color="auto"/>
      </w:divBdr>
    </w:div>
    <w:div w:id="480774511">
      <w:bodyDiv w:val="1"/>
      <w:marLeft w:val="0"/>
      <w:marRight w:val="0"/>
      <w:marTop w:val="0"/>
      <w:marBottom w:val="0"/>
      <w:divBdr>
        <w:top w:val="none" w:sz="0" w:space="0" w:color="auto"/>
        <w:left w:val="none" w:sz="0" w:space="0" w:color="auto"/>
        <w:bottom w:val="none" w:sz="0" w:space="0" w:color="auto"/>
        <w:right w:val="none" w:sz="0" w:space="0" w:color="auto"/>
      </w:divBdr>
    </w:div>
    <w:div w:id="55924570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7">
          <w:marLeft w:val="0"/>
          <w:marRight w:val="0"/>
          <w:marTop w:val="0"/>
          <w:marBottom w:val="0"/>
          <w:divBdr>
            <w:top w:val="none" w:sz="0" w:space="0" w:color="auto"/>
            <w:left w:val="none" w:sz="0" w:space="0" w:color="auto"/>
            <w:bottom w:val="none" w:sz="0" w:space="0" w:color="auto"/>
            <w:right w:val="none" w:sz="0" w:space="0" w:color="auto"/>
          </w:divBdr>
        </w:div>
      </w:divsChild>
    </w:div>
    <w:div w:id="575482848">
      <w:bodyDiv w:val="1"/>
      <w:marLeft w:val="0"/>
      <w:marRight w:val="0"/>
      <w:marTop w:val="0"/>
      <w:marBottom w:val="0"/>
      <w:divBdr>
        <w:top w:val="none" w:sz="0" w:space="0" w:color="auto"/>
        <w:left w:val="none" w:sz="0" w:space="0" w:color="auto"/>
        <w:bottom w:val="none" w:sz="0" w:space="0" w:color="auto"/>
        <w:right w:val="none" w:sz="0" w:space="0" w:color="auto"/>
      </w:divBdr>
      <w:divsChild>
        <w:div w:id="604579044">
          <w:marLeft w:val="0"/>
          <w:marRight w:val="0"/>
          <w:marTop w:val="0"/>
          <w:marBottom w:val="0"/>
          <w:divBdr>
            <w:top w:val="none" w:sz="0" w:space="0" w:color="auto"/>
            <w:left w:val="none" w:sz="0" w:space="0" w:color="auto"/>
            <w:bottom w:val="none" w:sz="0" w:space="0" w:color="auto"/>
            <w:right w:val="none" w:sz="0" w:space="0" w:color="auto"/>
          </w:divBdr>
        </w:div>
        <w:div w:id="515924208">
          <w:marLeft w:val="0"/>
          <w:marRight w:val="0"/>
          <w:marTop w:val="0"/>
          <w:marBottom w:val="0"/>
          <w:divBdr>
            <w:top w:val="none" w:sz="0" w:space="0" w:color="auto"/>
            <w:left w:val="none" w:sz="0" w:space="0" w:color="auto"/>
            <w:bottom w:val="none" w:sz="0" w:space="0" w:color="auto"/>
            <w:right w:val="none" w:sz="0" w:space="0" w:color="auto"/>
          </w:divBdr>
        </w:div>
      </w:divsChild>
    </w:div>
    <w:div w:id="671684657">
      <w:bodyDiv w:val="1"/>
      <w:marLeft w:val="0"/>
      <w:marRight w:val="0"/>
      <w:marTop w:val="0"/>
      <w:marBottom w:val="0"/>
      <w:divBdr>
        <w:top w:val="none" w:sz="0" w:space="0" w:color="auto"/>
        <w:left w:val="none" w:sz="0" w:space="0" w:color="auto"/>
        <w:bottom w:val="none" w:sz="0" w:space="0" w:color="auto"/>
        <w:right w:val="none" w:sz="0" w:space="0" w:color="auto"/>
      </w:divBdr>
    </w:div>
    <w:div w:id="904416280">
      <w:bodyDiv w:val="1"/>
      <w:marLeft w:val="0"/>
      <w:marRight w:val="0"/>
      <w:marTop w:val="0"/>
      <w:marBottom w:val="0"/>
      <w:divBdr>
        <w:top w:val="none" w:sz="0" w:space="0" w:color="auto"/>
        <w:left w:val="none" w:sz="0" w:space="0" w:color="auto"/>
        <w:bottom w:val="none" w:sz="0" w:space="0" w:color="auto"/>
        <w:right w:val="none" w:sz="0" w:space="0" w:color="auto"/>
      </w:divBdr>
    </w:div>
    <w:div w:id="1044216301">
      <w:bodyDiv w:val="1"/>
      <w:marLeft w:val="0"/>
      <w:marRight w:val="0"/>
      <w:marTop w:val="0"/>
      <w:marBottom w:val="0"/>
      <w:divBdr>
        <w:top w:val="none" w:sz="0" w:space="0" w:color="auto"/>
        <w:left w:val="none" w:sz="0" w:space="0" w:color="auto"/>
        <w:bottom w:val="none" w:sz="0" w:space="0" w:color="auto"/>
        <w:right w:val="none" w:sz="0" w:space="0" w:color="auto"/>
      </w:divBdr>
      <w:divsChild>
        <w:div w:id="1987272192">
          <w:marLeft w:val="75"/>
          <w:marRight w:val="0"/>
          <w:marTop w:val="0"/>
          <w:marBottom w:val="0"/>
          <w:divBdr>
            <w:top w:val="none" w:sz="0" w:space="0" w:color="auto"/>
            <w:left w:val="none" w:sz="0" w:space="0" w:color="auto"/>
            <w:bottom w:val="none" w:sz="0" w:space="0" w:color="auto"/>
            <w:right w:val="none" w:sz="0" w:space="0" w:color="auto"/>
          </w:divBdr>
        </w:div>
      </w:divsChild>
    </w:div>
    <w:div w:id="1048795664">
      <w:bodyDiv w:val="1"/>
      <w:marLeft w:val="0"/>
      <w:marRight w:val="0"/>
      <w:marTop w:val="0"/>
      <w:marBottom w:val="0"/>
      <w:divBdr>
        <w:top w:val="none" w:sz="0" w:space="0" w:color="auto"/>
        <w:left w:val="none" w:sz="0" w:space="0" w:color="auto"/>
        <w:bottom w:val="none" w:sz="0" w:space="0" w:color="auto"/>
        <w:right w:val="none" w:sz="0" w:space="0" w:color="auto"/>
      </w:divBdr>
    </w:div>
    <w:div w:id="1054281591">
      <w:bodyDiv w:val="1"/>
      <w:marLeft w:val="0"/>
      <w:marRight w:val="0"/>
      <w:marTop w:val="0"/>
      <w:marBottom w:val="0"/>
      <w:divBdr>
        <w:top w:val="none" w:sz="0" w:space="0" w:color="auto"/>
        <w:left w:val="none" w:sz="0" w:space="0" w:color="auto"/>
        <w:bottom w:val="none" w:sz="0" w:space="0" w:color="auto"/>
        <w:right w:val="none" w:sz="0" w:space="0" w:color="auto"/>
      </w:divBdr>
    </w:div>
    <w:div w:id="1055858876">
      <w:bodyDiv w:val="1"/>
      <w:marLeft w:val="0"/>
      <w:marRight w:val="0"/>
      <w:marTop w:val="0"/>
      <w:marBottom w:val="0"/>
      <w:divBdr>
        <w:top w:val="none" w:sz="0" w:space="0" w:color="auto"/>
        <w:left w:val="none" w:sz="0" w:space="0" w:color="auto"/>
        <w:bottom w:val="none" w:sz="0" w:space="0" w:color="auto"/>
        <w:right w:val="none" w:sz="0" w:space="0" w:color="auto"/>
      </w:divBdr>
    </w:div>
    <w:div w:id="1142386714">
      <w:bodyDiv w:val="1"/>
      <w:marLeft w:val="0"/>
      <w:marRight w:val="0"/>
      <w:marTop w:val="0"/>
      <w:marBottom w:val="0"/>
      <w:divBdr>
        <w:top w:val="none" w:sz="0" w:space="0" w:color="auto"/>
        <w:left w:val="none" w:sz="0" w:space="0" w:color="auto"/>
        <w:bottom w:val="none" w:sz="0" w:space="0" w:color="auto"/>
        <w:right w:val="none" w:sz="0" w:space="0" w:color="auto"/>
      </w:divBdr>
    </w:div>
    <w:div w:id="1229071722">
      <w:bodyDiv w:val="1"/>
      <w:marLeft w:val="0"/>
      <w:marRight w:val="0"/>
      <w:marTop w:val="0"/>
      <w:marBottom w:val="0"/>
      <w:divBdr>
        <w:top w:val="none" w:sz="0" w:space="0" w:color="auto"/>
        <w:left w:val="none" w:sz="0" w:space="0" w:color="auto"/>
        <w:bottom w:val="none" w:sz="0" w:space="0" w:color="auto"/>
        <w:right w:val="none" w:sz="0" w:space="0" w:color="auto"/>
      </w:divBdr>
      <w:divsChild>
        <w:div w:id="639238146">
          <w:marLeft w:val="0"/>
          <w:marRight w:val="0"/>
          <w:marTop w:val="0"/>
          <w:marBottom w:val="0"/>
          <w:divBdr>
            <w:top w:val="none" w:sz="0" w:space="0" w:color="auto"/>
            <w:left w:val="none" w:sz="0" w:space="0" w:color="auto"/>
            <w:bottom w:val="none" w:sz="0" w:space="0" w:color="auto"/>
            <w:right w:val="none" w:sz="0" w:space="0" w:color="auto"/>
          </w:divBdr>
        </w:div>
      </w:divsChild>
    </w:div>
    <w:div w:id="1328705751">
      <w:bodyDiv w:val="1"/>
      <w:marLeft w:val="0"/>
      <w:marRight w:val="0"/>
      <w:marTop w:val="0"/>
      <w:marBottom w:val="0"/>
      <w:divBdr>
        <w:top w:val="none" w:sz="0" w:space="0" w:color="auto"/>
        <w:left w:val="none" w:sz="0" w:space="0" w:color="auto"/>
        <w:bottom w:val="none" w:sz="0" w:space="0" w:color="auto"/>
        <w:right w:val="none" w:sz="0" w:space="0" w:color="auto"/>
      </w:divBdr>
    </w:div>
    <w:div w:id="1737435596">
      <w:bodyDiv w:val="1"/>
      <w:marLeft w:val="0"/>
      <w:marRight w:val="0"/>
      <w:marTop w:val="0"/>
      <w:marBottom w:val="0"/>
      <w:divBdr>
        <w:top w:val="none" w:sz="0" w:space="0" w:color="auto"/>
        <w:left w:val="none" w:sz="0" w:space="0" w:color="auto"/>
        <w:bottom w:val="none" w:sz="0" w:space="0" w:color="auto"/>
        <w:right w:val="none" w:sz="0" w:space="0" w:color="auto"/>
      </w:divBdr>
    </w:div>
    <w:div w:id="1751151277">
      <w:bodyDiv w:val="1"/>
      <w:marLeft w:val="0"/>
      <w:marRight w:val="0"/>
      <w:marTop w:val="0"/>
      <w:marBottom w:val="0"/>
      <w:divBdr>
        <w:top w:val="none" w:sz="0" w:space="0" w:color="auto"/>
        <w:left w:val="none" w:sz="0" w:space="0" w:color="auto"/>
        <w:bottom w:val="none" w:sz="0" w:space="0" w:color="auto"/>
        <w:right w:val="none" w:sz="0" w:space="0" w:color="auto"/>
      </w:divBdr>
    </w:div>
    <w:div w:id="1932659424">
      <w:bodyDiv w:val="1"/>
      <w:marLeft w:val="0"/>
      <w:marRight w:val="0"/>
      <w:marTop w:val="0"/>
      <w:marBottom w:val="0"/>
      <w:divBdr>
        <w:top w:val="none" w:sz="0" w:space="0" w:color="auto"/>
        <w:left w:val="none" w:sz="0" w:space="0" w:color="auto"/>
        <w:bottom w:val="none" w:sz="0" w:space="0" w:color="auto"/>
        <w:right w:val="none" w:sz="0" w:space="0" w:color="auto"/>
      </w:divBdr>
    </w:div>
    <w:div w:id="21427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0574/gscarr.2025.26.1.044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812/jjm.118949"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90/antibiotics1202020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Multiple</a:t>
            </a:r>
            <a:r>
              <a:rPr lang="en-US" b="1" baseline="0">
                <a:solidFill>
                  <a:sysClr val="windowText" lastClr="000000"/>
                </a:solidFill>
              </a:rPr>
              <a:t> Antibiotic Resistance</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Susceptible</c:v>
                </c:pt>
              </c:strCache>
            </c:strRef>
          </c:tx>
          <c:spPr>
            <a:solidFill>
              <a:schemeClr val="accent1"/>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Sheet1!$B$2:$B$16</c:f>
              <c:numCache>
                <c:formatCode>General</c:formatCode>
                <c:ptCount val="15"/>
                <c:pt idx="13">
                  <c:v>13</c:v>
                </c:pt>
                <c:pt idx="14">
                  <c:v>13</c:v>
                </c:pt>
              </c:numCache>
            </c:numRef>
          </c:val>
          <c:extLst>
            <c:ext xmlns:c16="http://schemas.microsoft.com/office/drawing/2014/chart" uri="{C3380CC4-5D6E-409C-BE32-E72D297353CC}">
              <c16:uniqueId val="{00000000-2E76-4C5C-81EC-CF54D782C1C9}"/>
            </c:ext>
          </c:extLst>
        </c:ser>
        <c:ser>
          <c:idx val="1"/>
          <c:order val="1"/>
          <c:tx>
            <c:strRef>
              <c:f>Sheet1!$C$1</c:f>
              <c:strCache>
                <c:ptCount val="1"/>
                <c:pt idx="0">
                  <c:v>VRSA</c:v>
                </c:pt>
              </c:strCache>
            </c:strRef>
          </c:tx>
          <c:spPr>
            <a:solidFill>
              <a:schemeClr val="accent2"/>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Sheet1!$C$2:$C$16</c:f>
              <c:numCache>
                <c:formatCode>General</c:formatCode>
                <c:ptCount val="15"/>
                <c:pt idx="0">
                  <c:v>87</c:v>
                </c:pt>
                <c:pt idx="1">
                  <c:v>87</c:v>
                </c:pt>
                <c:pt idx="2">
                  <c:v>87</c:v>
                </c:pt>
                <c:pt idx="3">
                  <c:v>87</c:v>
                </c:pt>
                <c:pt idx="4">
                  <c:v>87</c:v>
                </c:pt>
                <c:pt idx="5">
                  <c:v>87</c:v>
                </c:pt>
                <c:pt idx="6">
                  <c:v>87</c:v>
                </c:pt>
                <c:pt idx="7">
                  <c:v>87</c:v>
                </c:pt>
                <c:pt idx="8">
                  <c:v>87</c:v>
                </c:pt>
                <c:pt idx="9">
                  <c:v>87</c:v>
                </c:pt>
                <c:pt idx="10">
                  <c:v>87</c:v>
                </c:pt>
                <c:pt idx="11">
                  <c:v>87</c:v>
                </c:pt>
                <c:pt idx="12">
                  <c:v>87</c:v>
                </c:pt>
                <c:pt idx="13">
                  <c:v>0</c:v>
                </c:pt>
                <c:pt idx="14">
                  <c:v>0</c:v>
                </c:pt>
              </c:numCache>
            </c:numRef>
          </c:val>
          <c:extLst>
            <c:ext xmlns:c16="http://schemas.microsoft.com/office/drawing/2014/chart" uri="{C3380CC4-5D6E-409C-BE32-E72D297353CC}">
              <c16:uniqueId val="{00000001-2E76-4C5C-81EC-CF54D782C1C9}"/>
            </c:ext>
          </c:extLst>
        </c:ser>
        <c:dLbls>
          <c:showLegendKey val="0"/>
          <c:showVal val="0"/>
          <c:showCatName val="0"/>
          <c:showSerName val="0"/>
          <c:showPercent val="0"/>
          <c:showBubbleSize val="0"/>
        </c:dLbls>
        <c:gapWidth val="182"/>
        <c:axId val="165905048"/>
        <c:axId val="3529848"/>
      </c:barChart>
      <c:catAx>
        <c:axId val="165905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529848"/>
        <c:crosses val="autoZero"/>
        <c:auto val="1"/>
        <c:lblAlgn val="ctr"/>
        <c:lblOffset val="100"/>
        <c:noMultiLvlLbl val="0"/>
      </c:catAx>
      <c:valAx>
        <c:axId val="3529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05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0.88571</cdr:x>
      <cdr:y>0.24702</cdr:y>
    </cdr:from>
    <cdr:to>
      <cdr:x>0.95306</cdr:x>
      <cdr:y>0.78274</cdr:y>
    </cdr:to>
    <cdr:sp macro="" textlink="">
      <cdr:nvSpPr>
        <cdr:cNvPr id="2" name="Right Brace 1"/>
        <cdr:cNvSpPr/>
      </cdr:nvSpPr>
      <cdr:spPr>
        <a:xfrm xmlns:a="http://schemas.openxmlformats.org/drawingml/2006/main">
          <a:off x="4133850" y="790576"/>
          <a:ext cx="314325" cy="1714500"/>
        </a:xfrm>
        <a:prstGeom xmlns:a="http://schemas.openxmlformats.org/drawingml/2006/main" prst="righ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24238215</TotalTime>
  <Pages>12</Pages>
  <Words>4576</Words>
  <Characters>26087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261</cp:revision>
  <dcterms:created xsi:type="dcterms:W3CDTF">2026-01-22T20:26:00Z</dcterms:created>
  <dcterms:modified xsi:type="dcterms:W3CDTF">2026-02-03T16:57:00Z</dcterms:modified>
</cp:coreProperties>
</file>