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D161706" w14:textId="4912CDD3" w:rsidR="00DE65F6" w:rsidRPr="00910EA1" w:rsidRDefault="00DE65F6" w:rsidP="00910EA1">
      <w:pPr>
        <w:spacing w:after="0" w:line="276" w:lineRule="auto"/>
        <w:jc w:val="both"/>
        <w:rPr>
          <w:rFonts w:ascii="Times New Roman" w:hAnsi="Times New Roman" w:cs="Times New Roman"/>
          <w:bCs/>
          <w:sz w:val="24"/>
          <w:szCs w:val="24"/>
        </w:rPr>
      </w:pPr>
      <w:r w:rsidRPr="00910EA1">
        <w:rPr>
          <w:rFonts w:ascii="Times New Roman" w:hAnsi="Times New Roman" w:cs="Times New Roman"/>
          <w:bCs/>
          <w:sz w:val="24"/>
          <w:szCs w:val="24"/>
        </w:rPr>
        <w:t>ASSESSING THE IMPACT OF ORGANIC AMENDMENTS PREPARED FROM FOOD WASTE WITH VARYING BIOCHAR CONTENTS ON CARBON DIOXIDE EMISSION</w:t>
      </w:r>
      <w:r w:rsidR="00D213CD">
        <w:rPr>
          <w:rFonts w:ascii="Times New Roman" w:hAnsi="Times New Roman" w:cs="Times New Roman"/>
          <w:bCs/>
          <w:sz w:val="24"/>
          <w:szCs w:val="24"/>
        </w:rPr>
        <w:t xml:space="preserve"> </w:t>
      </w:r>
    </w:p>
    <w:p w14:paraId="251DA37D" w14:textId="77777777" w:rsidR="00643DD0" w:rsidRPr="00910EA1" w:rsidRDefault="00643DD0" w:rsidP="00910EA1">
      <w:pPr>
        <w:spacing w:after="0" w:line="276" w:lineRule="auto"/>
        <w:jc w:val="both"/>
        <w:rPr>
          <w:rFonts w:ascii="Times New Roman" w:hAnsi="Times New Roman" w:cs="Times New Roman"/>
          <w:bCs/>
          <w:sz w:val="24"/>
          <w:szCs w:val="24"/>
        </w:rPr>
      </w:pPr>
    </w:p>
    <w:p w14:paraId="368EE1E2" w14:textId="77777777" w:rsidR="00643DD0" w:rsidRPr="00910EA1" w:rsidRDefault="00643DD0" w:rsidP="00910EA1">
      <w:pPr>
        <w:spacing w:after="0" w:line="276" w:lineRule="auto"/>
        <w:jc w:val="both"/>
        <w:rPr>
          <w:rFonts w:ascii="Times New Roman" w:hAnsi="Times New Roman" w:cs="Times New Roman"/>
          <w:b/>
          <w:sz w:val="24"/>
          <w:szCs w:val="24"/>
        </w:rPr>
      </w:pPr>
      <w:bookmarkStart w:id="0" w:name="_GoBack"/>
      <w:bookmarkEnd w:id="0"/>
    </w:p>
    <w:p w14:paraId="511691CD" w14:textId="774034E0" w:rsidR="00DE65F6" w:rsidRPr="00910EA1" w:rsidRDefault="00DE65F6" w:rsidP="00910EA1">
      <w:pPr>
        <w:spacing w:after="0" w:line="276" w:lineRule="auto"/>
        <w:jc w:val="both"/>
        <w:rPr>
          <w:rFonts w:ascii="Times New Roman" w:hAnsi="Times New Roman" w:cs="Times New Roman"/>
          <w:sz w:val="24"/>
          <w:szCs w:val="24"/>
        </w:rPr>
      </w:pPr>
      <w:bookmarkStart w:id="1" w:name="_Toc147751403"/>
      <w:r w:rsidRPr="00910EA1">
        <w:rPr>
          <w:rFonts w:ascii="Times New Roman" w:hAnsi="Times New Roman" w:cs="Times New Roman"/>
          <w:b/>
          <w:bCs/>
          <w:sz w:val="24"/>
          <w:szCs w:val="24"/>
        </w:rPr>
        <w:t>ABSTRACT</w:t>
      </w:r>
      <w:bookmarkEnd w:id="1"/>
      <w:r w:rsidR="00FB00E5" w:rsidRPr="00910EA1">
        <w:rPr>
          <w:rFonts w:ascii="Times New Roman" w:hAnsi="Times New Roman" w:cs="Times New Roman"/>
          <w:b/>
          <w:bCs/>
          <w:sz w:val="24"/>
          <w:szCs w:val="24"/>
        </w:rPr>
        <w:t>.</w:t>
      </w:r>
      <w:r w:rsidR="00EC728D" w:rsidRPr="00910EA1">
        <w:rPr>
          <w:rFonts w:ascii="Times New Roman" w:hAnsi="Times New Roman" w:cs="Times New Roman"/>
          <w:sz w:val="24"/>
          <w:szCs w:val="24"/>
        </w:rPr>
        <w:t xml:space="preserve"> </w:t>
      </w:r>
      <w:r w:rsidRPr="00910EA1">
        <w:rPr>
          <w:rFonts w:ascii="Times New Roman" w:hAnsi="Times New Roman" w:cs="Times New Roman"/>
          <w:sz w:val="24"/>
          <w:szCs w:val="24"/>
        </w:rPr>
        <w:t>In the last few decades there has been an increase in the emission of naturally occurring, radiatively active gases like carbon dioxide (C0</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methane (CH</w:t>
      </w:r>
      <w:r w:rsidRPr="00910EA1">
        <w:rPr>
          <w:rFonts w:ascii="Times New Roman" w:hAnsi="Times New Roman" w:cs="Times New Roman"/>
          <w:sz w:val="24"/>
          <w:szCs w:val="24"/>
          <w:vertAlign w:val="subscript"/>
        </w:rPr>
        <w:t>4</w:t>
      </w:r>
      <w:r w:rsidRPr="00910EA1">
        <w:rPr>
          <w:rFonts w:ascii="Times New Roman" w:hAnsi="Times New Roman" w:cs="Times New Roman"/>
          <w:sz w:val="24"/>
          <w:szCs w:val="24"/>
        </w:rPr>
        <w:t>), and nitrous oxide (N</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O); popularly known as greenhouse gases. Human health, terrestrial and aquatic ecological systems, agriculture, forestry, fisheries and water resources are sensitive to changes in climate. Amongst the greenhouse gases, carbon dioxide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is the most important, accounting for 60% of global warming. This study investigates the utilization of coconut husks for biochar production and their impact on CO</w:t>
      </w:r>
      <w:r w:rsidRPr="00910EA1">
        <w:rPr>
          <w:rFonts w:ascii="Times New Roman" w:hAnsi="Times New Roman" w:cs="Times New Roman"/>
          <w:sz w:val="24"/>
          <w:szCs w:val="24"/>
          <w:vertAlign w:val="subscript"/>
        </w:rPr>
        <w:t xml:space="preserve">2 </w:t>
      </w:r>
      <w:r w:rsidRPr="00910EA1">
        <w:rPr>
          <w:rFonts w:ascii="Times New Roman" w:hAnsi="Times New Roman" w:cs="Times New Roman"/>
          <w:sz w:val="24"/>
          <w:szCs w:val="24"/>
        </w:rPr>
        <w:t>emissions in tropical soil. Biochar, produced from coconut husks, was finely powdered and combined with domestic waste to create compost using the windrow method. Different treatments, including a control and various biochar-compost combinations, were applied to highly weathered tropical soil in containers. Carbon dioxide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emissions were measured over 58 days using sodium hydroxide (NaOH) solution and titration with hydrochloric acid (HCl). Results indicate a significant reduction in CO</w:t>
      </w:r>
      <w:r w:rsidRPr="00910EA1">
        <w:rPr>
          <w:rFonts w:ascii="Times New Roman" w:hAnsi="Times New Roman" w:cs="Times New Roman"/>
          <w:sz w:val="24"/>
          <w:szCs w:val="24"/>
          <w:vertAlign w:val="subscript"/>
        </w:rPr>
        <w:t xml:space="preserve">2 </w:t>
      </w:r>
      <w:r w:rsidRPr="00910EA1">
        <w:rPr>
          <w:rFonts w:ascii="Times New Roman" w:hAnsi="Times New Roman" w:cs="Times New Roman"/>
          <w:sz w:val="24"/>
          <w:szCs w:val="24"/>
        </w:rPr>
        <w:t>emissions after the initial incubation day, with the compost and 10% biochar treatment showing the lowest emissions. Daily emission analysis consistently highlights treatment differences. This study highlights the potential of biochar and compost mixtures as an environmentally friendly practice to reduce greenhouse gas emissions while enhancing soil structure and fertility, ultimately promoting healthier and more productive soils. These healthier soils can support plant growth and carbon sequestration, reducing the reliance on fossil fuel-intensive agricultural practices</w:t>
      </w:r>
    </w:p>
    <w:p w14:paraId="7B5F5EF3" w14:textId="77777777" w:rsidR="00910EA1" w:rsidRPr="00910EA1" w:rsidRDefault="00910EA1" w:rsidP="00910EA1">
      <w:pPr>
        <w:spacing w:after="0" w:line="276" w:lineRule="auto"/>
        <w:jc w:val="both"/>
        <w:rPr>
          <w:rFonts w:ascii="Times New Roman" w:hAnsi="Times New Roman" w:cs="Times New Roman"/>
          <w:b/>
          <w:bCs/>
          <w:sz w:val="24"/>
          <w:szCs w:val="24"/>
        </w:rPr>
      </w:pPr>
    </w:p>
    <w:p w14:paraId="0D2D1285" w14:textId="7423331F" w:rsidR="00910EA1" w:rsidRPr="00910EA1" w:rsidRDefault="00910EA1" w:rsidP="00910EA1">
      <w:pPr>
        <w:spacing w:after="0" w:line="276" w:lineRule="auto"/>
        <w:jc w:val="both"/>
        <w:rPr>
          <w:rFonts w:ascii="Times New Roman" w:hAnsi="Times New Roman" w:cs="Times New Roman"/>
          <w:sz w:val="24"/>
          <w:szCs w:val="24"/>
        </w:rPr>
      </w:pPr>
      <w:r w:rsidRPr="00910EA1">
        <w:rPr>
          <w:rFonts w:ascii="Times New Roman" w:hAnsi="Times New Roman" w:cs="Times New Roman"/>
          <w:b/>
          <w:bCs/>
          <w:sz w:val="24"/>
          <w:szCs w:val="24"/>
        </w:rPr>
        <w:t>Keywords</w:t>
      </w:r>
      <w:r w:rsidRPr="00910EA1">
        <w:rPr>
          <w:rFonts w:ascii="Times New Roman" w:hAnsi="Times New Roman" w:cs="Times New Roman"/>
          <w:sz w:val="24"/>
          <w:szCs w:val="24"/>
        </w:rPr>
        <w:t xml:space="preserve">: biochar, biochar co- compost, NPK fertilizer, carbon dioxide emission </w:t>
      </w:r>
    </w:p>
    <w:p w14:paraId="7C3326B2" w14:textId="77777777" w:rsidR="00910EA1" w:rsidRPr="00910EA1" w:rsidRDefault="00910EA1" w:rsidP="00910EA1">
      <w:pPr>
        <w:spacing w:after="0" w:line="276" w:lineRule="auto"/>
        <w:jc w:val="both"/>
        <w:rPr>
          <w:rFonts w:ascii="Times New Roman" w:hAnsi="Times New Roman" w:cs="Times New Roman"/>
          <w:sz w:val="24"/>
          <w:szCs w:val="24"/>
        </w:rPr>
      </w:pPr>
    </w:p>
    <w:p w14:paraId="28129E87" w14:textId="77777777" w:rsidR="00692D56" w:rsidRPr="00910EA1" w:rsidRDefault="00692D56" w:rsidP="00910EA1">
      <w:pPr>
        <w:pStyle w:val="Heading2"/>
        <w:spacing w:line="276" w:lineRule="auto"/>
        <w:jc w:val="both"/>
        <w:rPr>
          <w:rFonts w:cs="Times New Roman"/>
          <w:szCs w:val="24"/>
        </w:rPr>
      </w:pPr>
      <w:bookmarkStart w:id="2" w:name="_Toc147751412"/>
      <w:r w:rsidRPr="00910EA1">
        <w:rPr>
          <w:rFonts w:cs="Times New Roman"/>
          <w:szCs w:val="24"/>
        </w:rPr>
        <w:t>INTRODUCTION</w:t>
      </w:r>
      <w:bookmarkEnd w:id="2"/>
    </w:p>
    <w:p w14:paraId="5969003D" w14:textId="1418D3A3" w:rsidR="0037452B" w:rsidRPr="00910EA1" w:rsidRDefault="0037452B"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 xml:space="preserve">Greenhouse gas (GHG) emissions particularly carbon dioxide (CO₂) have risen significantly over recent decades contributing to approximately 60% of global warming (Hall et al. 2021). Soils play a dual role in the global carbon cycle acting both as a major source and a potential sink for atmospheric CO₂. Soil respiration alone accounts for about 20% of total CO₂ emissions </w:t>
      </w:r>
      <w:r w:rsidR="00441482" w:rsidRPr="00910EA1">
        <w:rPr>
          <w:rFonts w:ascii="Times New Roman" w:hAnsi="Times New Roman" w:cs="Times New Roman"/>
          <w:sz w:val="24"/>
          <w:szCs w:val="24"/>
        </w:rPr>
        <w:fldChar w:fldCharType="begin" w:fldLock="1"/>
      </w:r>
      <w:r w:rsidR="00441482" w:rsidRPr="00910EA1">
        <w:rPr>
          <w:rFonts w:ascii="Times New Roman" w:hAnsi="Times New Roman" w:cs="Times New Roman"/>
          <w:sz w:val="24"/>
          <w:szCs w:val="24"/>
        </w:rPr>
        <w:instrText>ADDIN CSL_CITATION {"citationItems":[{"id":"ITEM-1","itemData":{"DOI":"10.1134/S1064229323990012","author":[{"dropping-particle":"","family":"Kudeyarov","given":"V N","non-dropping-particle":"","parse-names":false,"suffix":""}],"id":"ITEM-1","issue":"9","issued":{"date-parts":[["2023"]]},"page":"1191-1200","title":"Soil Respiration and Carbon Sequestration : A Review","type":"article-journal","volume":"56"},"uris":["http://www.mendeley.com/documents/?uuid=51340ec7-ec37-47f2-b1d5-41c669485f19"]}],"mendeley":{"formattedCitation":"(Kudeyarov, 2023)","plainTextFormattedCitation":"(Kudeyarov, 2023)","previouslyFormattedCitation":"(Kudeyarov, 2023)"},"properties":{"noteIndex":0},"schema":"https://github.com/citation-style-language/schema/raw/master/csl-citation.json"}</w:instrText>
      </w:r>
      <w:r w:rsidR="00441482" w:rsidRPr="00910EA1">
        <w:rPr>
          <w:rFonts w:ascii="Times New Roman" w:hAnsi="Times New Roman" w:cs="Times New Roman"/>
          <w:sz w:val="24"/>
          <w:szCs w:val="24"/>
        </w:rPr>
        <w:fldChar w:fldCharType="separate"/>
      </w:r>
      <w:r w:rsidR="00441482" w:rsidRPr="00910EA1">
        <w:rPr>
          <w:rFonts w:ascii="Times New Roman" w:hAnsi="Times New Roman" w:cs="Times New Roman"/>
          <w:noProof/>
          <w:sz w:val="24"/>
          <w:szCs w:val="24"/>
        </w:rPr>
        <w:t>(Kudeyarov, 2023)</w:t>
      </w:r>
      <w:r w:rsidR="00441482" w:rsidRPr="00910EA1">
        <w:rPr>
          <w:rFonts w:ascii="Times New Roman" w:hAnsi="Times New Roman" w:cs="Times New Roman"/>
          <w:sz w:val="24"/>
          <w:szCs w:val="24"/>
        </w:rPr>
        <w:fldChar w:fldCharType="end"/>
      </w:r>
      <w:r w:rsidR="00441482" w:rsidRPr="00910EA1">
        <w:rPr>
          <w:rFonts w:ascii="Times New Roman" w:hAnsi="Times New Roman" w:cs="Times New Roman"/>
          <w:sz w:val="24"/>
          <w:szCs w:val="24"/>
        </w:rPr>
        <w:t>.</w:t>
      </w:r>
      <w:r w:rsidRPr="00910EA1">
        <w:rPr>
          <w:rFonts w:ascii="Times New Roman" w:hAnsi="Times New Roman" w:cs="Times New Roman"/>
          <w:sz w:val="24"/>
          <w:szCs w:val="24"/>
        </w:rPr>
        <w:t xml:space="preserve">Agricultural activities contribute 20–35% of global GHG emissions second only to the energy sector </w:t>
      </w:r>
      <w:r w:rsidR="00441482" w:rsidRPr="00910EA1">
        <w:rPr>
          <w:rFonts w:ascii="Times New Roman" w:hAnsi="Times New Roman" w:cs="Times New Roman"/>
          <w:sz w:val="24"/>
          <w:szCs w:val="24"/>
        </w:rPr>
        <w:fldChar w:fldCharType="begin" w:fldLock="1"/>
      </w:r>
      <w:r w:rsidR="00441482" w:rsidRPr="00910EA1">
        <w:rPr>
          <w:rFonts w:ascii="Times New Roman" w:hAnsi="Times New Roman" w:cs="Times New Roman"/>
          <w:sz w:val="24"/>
          <w:szCs w:val="24"/>
        </w:rPr>
        <w:instrText>ADDIN CSL_CITATION {"citationItems":[{"id":"ITEM-1","itemData":{"DOI":"10.1016/j.jafr.2023.100533","ISSN":"2666-1543","author":[{"dropping-particle":"","family":"Chataut","given":"Gopi","non-dropping-particle":"","parse-names":false,"suffix":""},{"dropping-particle":"","family":"Bhatta","given":"Bikram","non-dropping-particle":"","parse-names":false,"suffix":""},{"dropping-particle":"","family":"Joshi","given":"Dipesh","non-dropping-particle":"","parse-names":false,"suffix":""},{"dropping-particle":"","family":"Subedi","given":"Kabita","non-dropping-particle":"","parse-names":false,"suffix":""},{"dropping-particle":"","family":"Kafle","given":"Kishor","non-dropping-particle":"","parse-names":false,"suffix":""}],"container-title":"Journal of Agriculture and Food Research","id":"ITEM-1","issue":"January","issued":{"date-parts":[["2023"]]},"page":"100533","publisher":"Elsevier B.V.","title":"Greenhouse gases emission from agricultural soil : A review","type":"article-journal","volume":"11"},"uris":["http://www.mendeley.com/documents/?uuid=cc51568f-ea79-489f-83c7-d41548de339c"]}],"mendeley":{"formattedCitation":"(Chataut et al., 2023)","plainTextFormattedCitation":"(Chataut et al., 2023)","previouslyFormattedCitation":"(Chataut et al., 2023)"},"properties":{"noteIndex":0},"schema":"https://github.com/citation-style-language/schema/raw/master/csl-citation.json"}</w:instrText>
      </w:r>
      <w:r w:rsidR="00441482" w:rsidRPr="00910EA1">
        <w:rPr>
          <w:rFonts w:ascii="Times New Roman" w:hAnsi="Times New Roman" w:cs="Times New Roman"/>
          <w:sz w:val="24"/>
          <w:szCs w:val="24"/>
        </w:rPr>
        <w:fldChar w:fldCharType="separate"/>
      </w:r>
      <w:r w:rsidR="00441482" w:rsidRPr="00910EA1">
        <w:rPr>
          <w:rFonts w:ascii="Times New Roman" w:hAnsi="Times New Roman" w:cs="Times New Roman"/>
          <w:noProof/>
          <w:sz w:val="24"/>
          <w:szCs w:val="24"/>
        </w:rPr>
        <w:t>(Chataut et al., 2023)</w:t>
      </w:r>
      <w:r w:rsidR="00441482" w:rsidRPr="00910EA1">
        <w:rPr>
          <w:rFonts w:ascii="Times New Roman" w:hAnsi="Times New Roman" w:cs="Times New Roman"/>
          <w:sz w:val="24"/>
          <w:szCs w:val="24"/>
        </w:rPr>
        <w:fldChar w:fldCharType="end"/>
      </w:r>
      <w:r w:rsidRPr="00910EA1">
        <w:rPr>
          <w:rFonts w:ascii="Times New Roman" w:hAnsi="Times New Roman" w:cs="Times New Roman"/>
          <w:sz w:val="24"/>
          <w:szCs w:val="24"/>
        </w:rPr>
        <w:t xml:space="preserve"> making sustainable soil management critical for climate change mitigation.</w:t>
      </w:r>
    </w:p>
    <w:p w14:paraId="6D93DEA7" w14:textId="644C5BA6" w:rsidR="0037452B" w:rsidRPr="00910EA1" w:rsidRDefault="0037452B"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Organic amendments especially those derived from food waste offer a promising strategy to improve soil health while reducing reliance on synthetic inputs</w:t>
      </w:r>
      <w:r w:rsidR="00441482" w:rsidRPr="00910EA1">
        <w:rPr>
          <w:rFonts w:ascii="Times New Roman" w:hAnsi="Times New Roman" w:cs="Times New Roman"/>
          <w:sz w:val="24"/>
          <w:szCs w:val="24"/>
        </w:rPr>
        <w:t xml:space="preserve"> </w:t>
      </w:r>
      <w:r w:rsidR="00441482" w:rsidRPr="00910EA1">
        <w:rPr>
          <w:rFonts w:ascii="Times New Roman" w:hAnsi="Times New Roman" w:cs="Times New Roman"/>
          <w:sz w:val="24"/>
          <w:szCs w:val="24"/>
        </w:rPr>
        <w:fldChar w:fldCharType="begin" w:fldLock="1"/>
      </w:r>
      <w:r w:rsidR="00011809" w:rsidRPr="00910EA1">
        <w:rPr>
          <w:rFonts w:ascii="Times New Roman" w:hAnsi="Times New Roman" w:cs="Times New Roman"/>
          <w:sz w:val="24"/>
          <w:szCs w:val="24"/>
        </w:rPr>
        <w:instrText>ADDIN CSL_CITATION {"citationItems":[{"id":"ITEM-1","itemData":{"author":[{"dropping-particle":"","family":"Yadav","given":"Hiranmai","non-dropping-particle":"","parse-names":false,"suffix":""},{"dropping-particle":"","family":"Neeraj","given":"Ajay","non-dropping-particle":"","parse-names":false,"suffix":""},{"dropping-particle":"","family":"Vats","given":"Parul","non-dropping-particle":"","parse-names":false,"suffix":""}],"id":"ITEM-1","issue":"1","issued":{"date-parts":[["2024"]]},"page":"1-15","title":"Improvement of soil health and crop production through utilization of organic wastes : A sustainable approach","type":"article-journal","volume":"13"},"uris":["http://www.mendeley.com/documents/?uuid=6e546289-2a81-4bad-8ee0-c73f87217e3b"]}],"mendeley":{"formattedCitation":"(Yadav et al., 2024)","plainTextFormattedCitation":"(Yadav et al., 2024)","previouslyFormattedCitation":"(Yadav et al., 2024)"},"properties":{"noteIndex":0},"schema":"https://github.com/citation-style-language/schema/raw/master/csl-citation.json"}</w:instrText>
      </w:r>
      <w:r w:rsidR="00441482" w:rsidRPr="00910EA1">
        <w:rPr>
          <w:rFonts w:ascii="Times New Roman" w:hAnsi="Times New Roman" w:cs="Times New Roman"/>
          <w:sz w:val="24"/>
          <w:szCs w:val="24"/>
        </w:rPr>
        <w:fldChar w:fldCharType="separate"/>
      </w:r>
      <w:r w:rsidR="00441482" w:rsidRPr="00910EA1">
        <w:rPr>
          <w:rFonts w:ascii="Times New Roman" w:hAnsi="Times New Roman" w:cs="Times New Roman"/>
          <w:noProof/>
          <w:sz w:val="24"/>
          <w:szCs w:val="24"/>
        </w:rPr>
        <w:t>(Yadav et al., 2024)</w:t>
      </w:r>
      <w:r w:rsidR="00441482" w:rsidRPr="00910EA1">
        <w:rPr>
          <w:rFonts w:ascii="Times New Roman" w:hAnsi="Times New Roman" w:cs="Times New Roman"/>
          <w:sz w:val="24"/>
          <w:szCs w:val="24"/>
        </w:rPr>
        <w:fldChar w:fldCharType="end"/>
      </w:r>
      <w:r w:rsidRPr="00910EA1">
        <w:rPr>
          <w:rFonts w:ascii="Times New Roman" w:hAnsi="Times New Roman" w:cs="Times New Roman"/>
          <w:sz w:val="24"/>
          <w:szCs w:val="24"/>
        </w:rPr>
        <w:t>. Globally an estimated 931 million tons of food were wasted in 2019 about 17% of total food available to consumers accounting for 8–10% of global GHG emissions (UNEP 2021). In Ghana rapid population growth and urbanization exacerbate solid waste challenges with municipal systems often overwhelmed leading to indiscriminate dumping</w:t>
      </w:r>
      <w:r w:rsidR="00011809" w:rsidRPr="00910EA1">
        <w:rPr>
          <w:rFonts w:ascii="Times New Roman" w:hAnsi="Times New Roman" w:cs="Times New Roman"/>
          <w:sz w:val="24"/>
          <w:szCs w:val="24"/>
        </w:rPr>
        <w:t xml:space="preserve"> </w:t>
      </w:r>
      <w:r w:rsidR="00011809" w:rsidRPr="00910EA1">
        <w:rPr>
          <w:rFonts w:ascii="Times New Roman" w:hAnsi="Times New Roman" w:cs="Times New Roman"/>
          <w:sz w:val="24"/>
          <w:szCs w:val="24"/>
        </w:rPr>
        <w:fldChar w:fldCharType="begin" w:fldLock="1"/>
      </w:r>
      <w:r w:rsidR="005B21D1" w:rsidRPr="00910EA1">
        <w:rPr>
          <w:rFonts w:ascii="Times New Roman" w:hAnsi="Times New Roman" w:cs="Times New Roman"/>
          <w:sz w:val="24"/>
          <w:szCs w:val="24"/>
        </w:rPr>
        <w:instrText>ADDIN CSL_CITATION {"citationItems":[{"id":"ITEM-1","itemData":{"DOI":"10.1016/j.envc.2023.100805","ISSN":"2667-0100","author":[{"dropping-particle":"","family":"Kwakye","given":"Stephen Oppong","non-dropping-particle":"","parse-names":false,"suffix":""},{"dropping-particle":"","family":"Ebo","given":"Ebenezer","non-dropping-particle":"","parse-names":false,"suffix":""},{"dropping-particle":"","family":"Amuah","given":"Yahans","non-dropping-particle":"","parse-names":false,"suffix":""},{"dropping-particle":"","family":"Ankoma","given":"Kingsford Agyapong","non-dropping-particle":"","parse-names":false,"suffix":""},{"dropping-particle":"","family":"Agyemang","given":"Emmanuella Boateng","non-dropping-particle":"","parse-names":false,"suffix":""},{"dropping-particle":"","family":"Owusu","given":"Boadi-george","non-dropping-particle":"","parse-names":false,"suffix":""}],"container-title":"Environmental Challenges","id":"ITEM-1","issue":"December 2023","issued":{"date-parts":[["2024"]]},"page":"100805","publisher":"Elsevier B.V.","title":"Understanding the performance and challenges of solid waste management in an emerging megacity : Insights from the developing world","type":"article-journal","volume":"14"},"uris":["http://www.mendeley.com/documents/?uuid=dc06b62c-1fce-48c5-90fc-84a6d54c9e77"]}],"mendeley":{"formattedCitation":"(Kwakye et al., 2024)","plainTextFormattedCitation":"(Kwakye et al., 2024)","previouslyFormattedCitation":"(Kwakye et al., 2024)"},"properties":{"noteIndex":0},"schema":"https://github.com/citation-style-language/schema/raw/master/csl-citation.json"}</w:instrText>
      </w:r>
      <w:r w:rsidR="00011809" w:rsidRPr="00910EA1">
        <w:rPr>
          <w:rFonts w:ascii="Times New Roman" w:hAnsi="Times New Roman" w:cs="Times New Roman"/>
          <w:sz w:val="24"/>
          <w:szCs w:val="24"/>
        </w:rPr>
        <w:fldChar w:fldCharType="separate"/>
      </w:r>
      <w:r w:rsidR="00011809" w:rsidRPr="00910EA1">
        <w:rPr>
          <w:rFonts w:ascii="Times New Roman" w:hAnsi="Times New Roman" w:cs="Times New Roman"/>
          <w:noProof/>
          <w:sz w:val="24"/>
          <w:szCs w:val="24"/>
        </w:rPr>
        <w:t>(Kwakye et al., 2024)</w:t>
      </w:r>
      <w:r w:rsidR="00011809" w:rsidRPr="00910EA1">
        <w:rPr>
          <w:rFonts w:ascii="Times New Roman" w:hAnsi="Times New Roman" w:cs="Times New Roman"/>
          <w:sz w:val="24"/>
          <w:szCs w:val="24"/>
        </w:rPr>
        <w:fldChar w:fldCharType="end"/>
      </w:r>
      <w:r w:rsidRPr="00910EA1">
        <w:rPr>
          <w:rFonts w:ascii="Times New Roman" w:hAnsi="Times New Roman" w:cs="Times New Roman"/>
          <w:sz w:val="24"/>
          <w:szCs w:val="24"/>
        </w:rPr>
        <w:t>. Converting food waste into compost presents a waste-to-resource opportunity that can enhance soil fertility reduce landfill emissions and support circular agriculture</w:t>
      </w:r>
      <w:r w:rsidR="005B21D1" w:rsidRPr="00910EA1">
        <w:rPr>
          <w:rFonts w:ascii="Times New Roman" w:hAnsi="Times New Roman" w:cs="Times New Roman"/>
          <w:sz w:val="24"/>
          <w:szCs w:val="24"/>
        </w:rPr>
        <w:t xml:space="preserve"> </w:t>
      </w:r>
      <w:r w:rsidR="005B21D1" w:rsidRPr="00910EA1">
        <w:rPr>
          <w:rFonts w:ascii="Times New Roman" w:hAnsi="Times New Roman" w:cs="Times New Roman"/>
          <w:sz w:val="24"/>
          <w:szCs w:val="24"/>
        </w:rPr>
        <w:fldChar w:fldCharType="begin" w:fldLock="1"/>
      </w:r>
      <w:r w:rsidR="005B21D1" w:rsidRPr="00910EA1">
        <w:rPr>
          <w:rFonts w:ascii="Times New Roman" w:hAnsi="Times New Roman" w:cs="Times New Roman"/>
          <w:sz w:val="24"/>
          <w:szCs w:val="24"/>
        </w:rPr>
        <w:instrText>ADDIN CSL_CITATION {"citationItems":[{"id":"ITEM-1","itemData":{"author":[{"dropping-particle":"","family":"Kumar","given":"Krishan","non-dropping-particle":"","parse-names":false,"suffix":""},{"dropping-particle":"","family":"Khatri","given":"Annu","non-dropping-particle":"","parse-names":false,"suffix":""},{"dropping-particle":"","family":"Thakur","given":"Indu Shekhar","non-dropping-particle":"","parse-names":false,"suffix":""}],"id":"ITEM-1","issued":{"date-parts":[["0"]]},"title":"Agricultural Waste Management for Food Security and Sustainability","type":"article-journal"},"uris":["http://www.mendeley.com/documents/?uuid=d2a58635-0bb0-4833-b053-0ae113747520"]}],"mendeley":{"formattedCitation":"(Kumar et al., n.d.)","manualFormatting":"(Kumar et al., 2025)","plainTextFormattedCitation":"(Kumar et al., n.d.)","previouslyFormattedCitation":"(Kumar et al., n.d.)"},"properties":{"noteIndex":0},"schema":"https://github.com/citation-style-language/schema/raw/master/csl-citation.json"}</w:instrText>
      </w:r>
      <w:r w:rsidR="005B21D1" w:rsidRPr="00910EA1">
        <w:rPr>
          <w:rFonts w:ascii="Times New Roman" w:hAnsi="Times New Roman" w:cs="Times New Roman"/>
          <w:sz w:val="24"/>
          <w:szCs w:val="24"/>
        </w:rPr>
        <w:fldChar w:fldCharType="separate"/>
      </w:r>
      <w:r w:rsidR="005B21D1" w:rsidRPr="00910EA1">
        <w:rPr>
          <w:rFonts w:ascii="Times New Roman" w:hAnsi="Times New Roman" w:cs="Times New Roman"/>
          <w:noProof/>
          <w:sz w:val="24"/>
          <w:szCs w:val="24"/>
        </w:rPr>
        <w:t>(Kumar et al., 2025)</w:t>
      </w:r>
      <w:r w:rsidR="005B21D1" w:rsidRPr="00910EA1">
        <w:rPr>
          <w:rFonts w:ascii="Times New Roman" w:hAnsi="Times New Roman" w:cs="Times New Roman"/>
          <w:sz w:val="24"/>
          <w:szCs w:val="24"/>
        </w:rPr>
        <w:fldChar w:fldCharType="end"/>
      </w:r>
      <w:r w:rsidRPr="00910EA1">
        <w:rPr>
          <w:rFonts w:ascii="Times New Roman" w:hAnsi="Times New Roman" w:cs="Times New Roman"/>
          <w:sz w:val="24"/>
          <w:szCs w:val="24"/>
        </w:rPr>
        <w:t>.</w:t>
      </w:r>
    </w:p>
    <w:p w14:paraId="71AB46B9" w14:textId="5B11773A" w:rsidR="0037452B" w:rsidRPr="00910EA1" w:rsidRDefault="0037452B"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lastRenderedPageBreak/>
        <w:t>However the application of organic amendments can influence GHG dynamics in complex ways</w:t>
      </w:r>
      <w:r w:rsidR="005B21D1" w:rsidRPr="00910EA1">
        <w:rPr>
          <w:rFonts w:ascii="Times New Roman" w:hAnsi="Times New Roman" w:cs="Times New Roman"/>
          <w:sz w:val="24"/>
          <w:szCs w:val="24"/>
        </w:rPr>
        <w:t xml:space="preserve"> </w:t>
      </w:r>
      <w:r w:rsidR="005B21D1" w:rsidRPr="00910EA1">
        <w:rPr>
          <w:rFonts w:ascii="Times New Roman" w:hAnsi="Times New Roman" w:cs="Times New Roman"/>
          <w:sz w:val="24"/>
          <w:szCs w:val="24"/>
        </w:rPr>
        <w:fldChar w:fldCharType="begin" w:fldLock="1"/>
      </w:r>
      <w:r w:rsidR="005B21D1" w:rsidRPr="00910EA1">
        <w:rPr>
          <w:rFonts w:ascii="Times New Roman" w:hAnsi="Times New Roman" w:cs="Times New Roman"/>
          <w:sz w:val="24"/>
          <w:szCs w:val="24"/>
        </w:rPr>
        <w:instrText>ADDIN CSL_CITATION {"citationItems":[{"id":"ITEM-1","itemData":{"author":[{"dropping-particle":"","family":"Matisic","given":"Manuel","non-dropping-particle":"","parse-names":false,"suffix":""},{"dropping-particle":"","family":"Dugan","given":"Ivan","non-dropping-particle":"","parse-names":false,"suffix":""},{"dropping-particle":"","family":"Bogunovic","given":"Igor","non-dropping-particle":"","parse-names":false,"suffix":""}],"id":"ITEM-1","issued":{"date-parts":[["2024"]]},"title":"Challenges in Sustainable Agriculture — The Role of Organic Amendments","type":"article-journal"},"uris":["http://www.mendeley.com/documents/?uuid=866d7bfa-20d7-463b-8b31-61ea0bfdf9d6"]}],"mendeley":{"formattedCitation":"(Matisic et al., 2024)","plainTextFormattedCitation":"(Matisic et al., 2024)","previouslyFormattedCitation":"(Matisic et al., 2024)"},"properties":{"noteIndex":0},"schema":"https://github.com/citation-style-language/schema/raw/master/csl-citation.json"}</w:instrText>
      </w:r>
      <w:r w:rsidR="005B21D1" w:rsidRPr="00910EA1">
        <w:rPr>
          <w:rFonts w:ascii="Times New Roman" w:hAnsi="Times New Roman" w:cs="Times New Roman"/>
          <w:sz w:val="24"/>
          <w:szCs w:val="24"/>
        </w:rPr>
        <w:fldChar w:fldCharType="separate"/>
      </w:r>
      <w:r w:rsidR="005B21D1" w:rsidRPr="00910EA1">
        <w:rPr>
          <w:rFonts w:ascii="Times New Roman" w:hAnsi="Times New Roman" w:cs="Times New Roman"/>
          <w:noProof/>
          <w:sz w:val="24"/>
          <w:szCs w:val="24"/>
        </w:rPr>
        <w:t>(Matisic et al., 2024)</w:t>
      </w:r>
      <w:r w:rsidR="005B21D1" w:rsidRPr="00910EA1">
        <w:rPr>
          <w:rFonts w:ascii="Times New Roman" w:hAnsi="Times New Roman" w:cs="Times New Roman"/>
          <w:sz w:val="24"/>
          <w:szCs w:val="24"/>
        </w:rPr>
        <w:fldChar w:fldCharType="end"/>
      </w:r>
      <w:r w:rsidRPr="00910EA1">
        <w:rPr>
          <w:rFonts w:ascii="Times New Roman" w:hAnsi="Times New Roman" w:cs="Times New Roman"/>
          <w:sz w:val="24"/>
          <w:szCs w:val="24"/>
        </w:rPr>
        <w:t xml:space="preserve">. While compost improves soil structure water retention and microbial activity </w:t>
      </w:r>
      <w:r w:rsidR="005B21D1" w:rsidRPr="00910EA1">
        <w:rPr>
          <w:rFonts w:ascii="Times New Roman" w:hAnsi="Times New Roman" w:cs="Times New Roman"/>
          <w:sz w:val="24"/>
          <w:szCs w:val="24"/>
        </w:rPr>
        <w:fldChar w:fldCharType="begin" w:fldLock="1"/>
      </w:r>
      <w:r w:rsidR="005B21D1" w:rsidRPr="00910EA1">
        <w:rPr>
          <w:rFonts w:ascii="Times New Roman" w:hAnsi="Times New Roman" w:cs="Times New Roman"/>
          <w:sz w:val="24"/>
          <w:szCs w:val="24"/>
        </w:rPr>
        <w:instrText>ADDIN CSL_CITATION {"citationItems":[{"id":"ITEM-1","itemData":{"author":[{"dropping-particle":"","family":"Wang","given":"Daoyuan","non-dropping-particle":"","parse-names":false,"suffix":""},{"dropping-particle":"","family":"Lin","given":"Jonathan Y","non-dropping-particle":"","parse-names":false,"suffix":""},{"dropping-particle":"","family":"Sayre","given":"Jordan M","non-dropping-particle":"","parse-names":false,"suffix":""},{"dropping-particle":"","family":"Schmidt","given":"Radomir","non-dropping-particle":"","parse-names":false,"suffix":""},{"dropping-particle":"","family":"Fonte","given":"Steven J","non-dropping-particle":"","parse-names":false,"suffix":""},{"dropping-particle":"","family":"Rodrigues","given":"Jorge L M","non-dropping-particle":"","parse-names":false,"suffix":""},{"dropping-particle":"","family":"Scow","given":"Kate M","non-dropping-particle":"","parse-names":false,"suffix":""}],"id":"ITEM-1","issue":"August","issued":{"date-parts":[["2022"]]},"publisher":"Elsevier B.V.","title":"Geoderma Compost amendment maintains soil structure and carbon storage by increasing available carbon and microbial biomass in agricultural soil – A six-year field study","type":"article-journal","volume":"427"},"uris":["http://www.mendeley.com/documents/?uuid=377a8076-5848-4506-b5fe-308d2b1d97a6"]}],"mendeley":{"formattedCitation":"(Wang et al., 2022)","plainTextFormattedCitation":"(Wang et al., 2022)","previouslyFormattedCitation":"(Wang et al., 2022)"},"properties":{"noteIndex":0},"schema":"https://github.com/citation-style-language/schema/raw/master/csl-citation.json"}</w:instrText>
      </w:r>
      <w:r w:rsidR="005B21D1" w:rsidRPr="00910EA1">
        <w:rPr>
          <w:rFonts w:ascii="Times New Roman" w:hAnsi="Times New Roman" w:cs="Times New Roman"/>
          <w:sz w:val="24"/>
          <w:szCs w:val="24"/>
        </w:rPr>
        <w:fldChar w:fldCharType="separate"/>
      </w:r>
      <w:r w:rsidR="005B21D1" w:rsidRPr="00910EA1">
        <w:rPr>
          <w:rFonts w:ascii="Times New Roman" w:hAnsi="Times New Roman" w:cs="Times New Roman"/>
          <w:noProof/>
          <w:sz w:val="24"/>
          <w:szCs w:val="24"/>
        </w:rPr>
        <w:t>(Wang et al., 2022)</w:t>
      </w:r>
      <w:r w:rsidR="005B21D1" w:rsidRPr="00910EA1">
        <w:rPr>
          <w:rFonts w:ascii="Times New Roman" w:hAnsi="Times New Roman" w:cs="Times New Roman"/>
          <w:sz w:val="24"/>
          <w:szCs w:val="24"/>
        </w:rPr>
        <w:fldChar w:fldCharType="end"/>
      </w:r>
      <w:r w:rsidRPr="00910EA1">
        <w:rPr>
          <w:rFonts w:ascii="Times New Roman" w:hAnsi="Times New Roman" w:cs="Times New Roman"/>
          <w:sz w:val="24"/>
          <w:szCs w:val="24"/>
        </w:rPr>
        <w:t xml:space="preserve"> it may also stimulate microbial respiration and root activity potentially increasing CO₂ emissions </w:t>
      </w:r>
      <w:r w:rsidR="005B21D1" w:rsidRPr="00910EA1">
        <w:rPr>
          <w:rFonts w:ascii="Times New Roman" w:hAnsi="Times New Roman" w:cs="Times New Roman"/>
          <w:sz w:val="24"/>
          <w:szCs w:val="24"/>
        </w:rPr>
        <w:fldChar w:fldCharType="begin" w:fldLock="1"/>
      </w:r>
      <w:r w:rsidR="003E2B7B" w:rsidRPr="00910EA1">
        <w:rPr>
          <w:rFonts w:ascii="Times New Roman" w:hAnsi="Times New Roman" w:cs="Times New Roman"/>
          <w:sz w:val="24"/>
          <w:szCs w:val="24"/>
        </w:rPr>
        <w:instrText>ADDIN CSL_CITATION {"citationItems":[{"id":"ITEM-1","itemData":{"DOI":"10.1016/j.tplants.2022.04.009","ISSN":"1360-1385","author":[{"dropping-particle":"","family":"Panchal","given":"Poonam","non-dropping-particle":"","parse-names":false,"suffix":""},{"dropping-particle":"","family":"Preece","given":"Catherine","non-dropping-particle":"","parse-names":false,"suffix":""},{"dropping-particle":"","family":"Peñuelas","given":"Josep","non-dropping-particle":"","parse-names":false,"suffix":""},{"dropping-particle":"","family":"Giri","given":"Jitender","non-dropping-particle":"","parse-names":false,"suffix":""}],"container-title":"Trends in Plant Science","id":"ITEM-1","issue":"8","issued":{"date-parts":[["2022"]]},"page":"749-757","publisher":"Elsevier Ltd","title":"Soil carbon sequestration by root exudates","type":"article-journal","volume":"27"},"uris":["http://www.mendeley.com/documents/?uuid=18056e0e-a1e9-4632-9a80-1c3062510db1"]}],"mendeley":{"formattedCitation":"(Panchal et al., 2022)","plainTextFormattedCitation":"(Panchal et al., 2022)","previouslyFormattedCitation":"(Panchal et al., 2022)"},"properties":{"noteIndex":0},"schema":"https://github.com/citation-style-language/schema/raw/master/csl-citation.json"}</w:instrText>
      </w:r>
      <w:r w:rsidR="005B21D1" w:rsidRPr="00910EA1">
        <w:rPr>
          <w:rFonts w:ascii="Times New Roman" w:hAnsi="Times New Roman" w:cs="Times New Roman"/>
          <w:sz w:val="24"/>
          <w:szCs w:val="24"/>
        </w:rPr>
        <w:fldChar w:fldCharType="separate"/>
      </w:r>
      <w:r w:rsidR="005B21D1" w:rsidRPr="00910EA1">
        <w:rPr>
          <w:rFonts w:ascii="Times New Roman" w:hAnsi="Times New Roman" w:cs="Times New Roman"/>
          <w:noProof/>
          <w:sz w:val="24"/>
          <w:szCs w:val="24"/>
        </w:rPr>
        <w:t>(Panchal et al., 2022)</w:t>
      </w:r>
      <w:r w:rsidR="005B21D1" w:rsidRPr="00910EA1">
        <w:rPr>
          <w:rFonts w:ascii="Times New Roman" w:hAnsi="Times New Roman" w:cs="Times New Roman"/>
          <w:sz w:val="24"/>
          <w:szCs w:val="24"/>
        </w:rPr>
        <w:fldChar w:fldCharType="end"/>
      </w:r>
      <w:r w:rsidR="005B21D1" w:rsidRPr="00910EA1">
        <w:rPr>
          <w:rFonts w:ascii="Times New Roman" w:hAnsi="Times New Roman" w:cs="Times New Roman"/>
          <w:sz w:val="24"/>
          <w:szCs w:val="24"/>
        </w:rPr>
        <w:t>.</w:t>
      </w:r>
      <w:r w:rsidRPr="00910EA1">
        <w:rPr>
          <w:rFonts w:ascii="Times New Roman" w:hAnsi="Times New Roman" w:cs="Times New Roman"/>
          <w:sz w:val="24"/>
          <w:szCs w:val="24"/>
        </w:rPr>
        <w:t xml:space="preserve"> The impact depends on the composition of the organic material particularly its carbon-to-nitrogen (C/N) ratio which affects decomposition rates and gas fluxes (Shakoor et al. 2021). Moreover organic fertilizers often contain variable nutrient concentrations posing challenges for precise nutrient management</w:t>
      </w:r>
      <w:r w:rsidR="003E2B7B" w:rsidRPr="00910EA1">
        <w:rPr>
          <w:rFonts w:ascii="Times New Roman" w:hAnsi="Times New Roman" w:cs="Times New Roman"/>
          <w:sz w:val="24"/>
          <w:szCs w:val="24"/>
        </w:rPr>
        <w:t xml:space="preserve"> </w:t>
      </w:r>
      <w:r w:rsidR="003E2B7B" w:rsidRPr="00910EA1">
        <w:rPr>
          <w:rFonts w:ascii="Times New Roman" w:hAnsi="Times New Roman" w:cs="Times New Roman"/>
          <w:sz w:val="24"/>
          <w:szCs w:val="24"/>
        </w:rPr>
        <w:fldChar w:fldCharType="begin" w:fldLock="1"/>
      </w:r>
      <w:r w:rsidR="003E2B7B" w:rsidRPr="00910EA1">
        <w:rPr>
          <w:rFonts w:ascii="Times New Roman" w:hAnsi="Times New Roman" w:cs="Times New Roman"/>
          <w:sz w:val="24"/>
          <w:szCs w:val="24"/>
        </w:rPr>
        <w:instrText>ADDIN CSL_CITATION {"citationItems":[{"id":"ITEM-1","itemData":{"DOI":"10.3389/fsufs.2023.1173258","author":[{"dropping-particle":"","family":"Rajanna","given":"G A","non-dropping-particle":"","parse-names":false,"suffix":""}],"id":"ITEM-1","issue":"June","issued":{"date-parts":[["2023"]]},"page":"1-13","title":"Integrated nutrient management for improving crop yields , soil properties , and reducing greenhouse gas emissions","type":"article-journal"},"uris":["http://www.mendeley.com/documents/?uuid=5ab5ef7a-6bd7-4db7-af4f-a16093a28c0a"]}],"mendeley":{"formattedCitation":"(Rajanna, 2023)","plainTextFormattedCitation":"(Rajanna, 2023)","previouslyFormattedCitation":"(Rajanna, 2023)"},"properties":{"noteIndex":0},"schema":"https://github.com/citation-style-language/schema/raw/master/csl-citation.json"}</w:instrText>
      </w:r>
      <w:r w:rsidR="003E2B7B" w:rsidRPr="00910EA1">
        <w:rPr>
          <w:rFonts w:ascii="Times New Roman" w:hAnsi="Times New Roman" w:cs="Times New Roman"/>
          <w:sz w:val="24"/>
          <w:szCs w:val="24"/>
        </w:rPr>
        <w:fldChar w:fldCharType="separate"/>
      </w:r>
      <w:r w:rsidR="003E2B7B" w:rsidRPr="00910EA1">
        <w:rPr>
          <w:rFonts w:ascii="Times New Roman" w:hAnsi="Times New Roman" w:cs="Times New Roman"/>
          <w:noProof/>
          <w:sz w:val="24"/>
          <w:szCs w:val="24"/>
        </w:rPr>
        <w:t>(Rajanna, 2023)</w:t>
      </w:r>
      <w:r w:rsidR="003E2B7B" w:rsidRPr="00910EA1">
        <w:rPr>
          <w:rFonts w:ascii="Times New Roman" w:hAnsi="Times New Roman" w:cs="Times New Roman"/>
          <w:sz w:val="24"/>
          <w:szCs w:val="24"/>
        </w:rPr>
        <w:fldChar w:fldCharType="end"/>
      </w:r>
      <w:r w:rsidRPr="00910EA1">
        <w:rPr>
          <w:rFonts w:ascii="Times New Roman" w:hAnsi="Times New Roman" w:cs="Times New Roman"/>
          <w:sz w:val="24"/>
          <w:szCs w:val="24"/>
        </w:rPr>
        <w:t>.</w:t>
      </w:r>
    </w:p>
    <w:p w14:paraId="6F356818" w14:textId="07600FE5" w:rsidR="0037452B" w:rsidRPr="00910EA1" w:rsidRDefault="0037452B"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Biochar a carbon-rich stable product of biomass pyrolysis has emerged as a promising soil amendment for climate-smart agriculture</w:t>
      </w:r>
      <w:r w:rsidR="003E2B7B" w:rsidRPr="00910EA1">
        <w:rPr>
          <w:rFonts w:ascii="Times New Roman" w:hAnsi="Times New Roman" w:cs="Times New Roman"/>
          <w:sz w:val="24"/>
          <w:szCs w:val="24"/>
        </w:rPr>
        <w:t xml:space="preserve"> </w:t>
      </w:r>
      <w:r w:rsidR="003E2B7B" w:rsidRPr="00910EA1">
        <w:rPr>
          <w:rFonts w:ascii="Times New Roman" w:hAnsi="Times New Roman" w:cs="Times New Roman"/>
          <w:sz w:val="24"/>
          <w:szCs w:val="24"/>
        </w:rPr>
        <w:fldChar w:fldCharType="begin" w:fldLock="1"/>
      </w:r>
      <w:r w:rsidR="003E2B7B" w:rsidRPr="00910EA1">
        <w:rPr>
          <w:rFonts w:ascii="Times New Roman" w:hAnsi="Times New Roman" w:cs="Times New Roman"/>
          <w:sz w:val="24"/>
          <w:szCs w:val="24"/>
        </w:rPr>
        <w:instrText>ADDIN CSL_CITATION {"citationItems":[{"id":"ITEM-1","itemData":{"DOI":"10.1007/s42729-024-01629-9","ISBN":"4272902401629","ISSN":"0718-9516","author":[{"dropping-particle":"","family":"Bhattacharyya","given":"Pranaba Nanda","non-dropping-particle":"","parse-names":false,"suffix":""},{"dropping-particle":"","family":"Protim","given":"Sosanka","non-dropping-particle":"","parse-names":false,"suffix":""},{"dropping-particle":"","family":"Bhaskar","given":"Sandilya","non-dropping-particle":"","parse-names":false,"suffix":""},{"dropping-particle":"","family":"Abhay","given":"Sarma","non-dropping-particle":"","parse-names":false,"suffix":""}],"container-title":"Journal of Soil Science and Plant Nutrition","id":"ITEM-1","issue":"1","issued":{"date-parts":[["2024"]]},"page":"135-158","publisher":"Springer International Publishing","title":"Biochar as Soil Amendment in Climate ‑ Smart Agriculture : Opportunities , Future Prospects , and Challenges","type":"article-journal","volume":"24"},"uris":["http://www.mendeley.com/documents/?uuid=63cf21f4-527e-4acd-b0af-9a078d1d226b"]}],"mendeley":{"formattedCitation":"(Bhattacharyya et al., 2024)","plainTextFormattedCitation":"(Bhattacharyya et al., 2024)","previouslyFormattedCitation":"(Bhattacharyya et al., 2024)"},"properties":{"noteIndex":0},"schema":"https://github.com/citation-style-language/schema/raw/master/csl-citation.json"}</w:instrText>
      </w:r>
      <w:r w:rsidR="003E2B7B" w:rsidRPr="00910EA1">
        <w:rPr>
          <w:rFonts w:ascii="Times New Roman" w:hAnsi="Times New Roman" w:cs="Times New Roman"/>
          <w:sz w:val="24"/>
          <w:szCs w:val="24"/>
        </w:rPr>
        <w:fldChar w:fldCharType="separate"/>
      </w:r>
      <w:r w:rsidR="003E2B7B" w:rsidRPr="00910EA1">
        <w:rPr>
          <w:rFonts w:ascii="Times New Roman" w:hAnsi="Times New Roman" w:cs="Times New Roman"/>
          <w:noProof/>
          <w:sz w:val="24"/>
          <w:szCs w:val="24"/>
        </w:rPr>
        <w:t>(Bhattacharyya et al., 2024)</w:t>
      </w:r>
      <w:r w:rsidR="003E2B7B" w:rsidRPr="00910EA1">
        <w:rPr>
          <w:rFonts w:ascii="Times New Roman" w:hAnsi="Times New Roman" w:cs="Times New Roman"/>
          <w:sz w:val="24"/>
          <w:szCs w:val="24"/>
        </w:rPr>
        <w:fldChar w:fldCharType="end"/>
      </w:r>
      <w:r w:rsidRPr="00910EA1">
        <w:rPr>
          <w:rFonts w:ascii="Times New Roman" w:hAnsi="Times New Roman" w:cs="Times New Roman"/>
          <w:sz w:val="24"/>
          <w:szCs w:val="24"/>
        </w:rPr>
        <w:t xml:space="preserve">. When incorporated into soil biochar can enhance carbon sequestration improve nutrient retention and suppress CO₂ emissions by stabilizing organic matter and reducing microbial decomposition rates </w:t>
      </w:r>
      <w:r w:rsidR="003E2B7B" w:rsidRPr="00910EA1">
        <w:rPr>
          <w:rFonts w:ascii="Times New Roman" w:hAnsi="Times New Roman" w:cs="Times New Roman"/>
          <w:sz w:val="24"/>
          <w:szCs w:val="24"/>
        </w:rPr>
        <w:fldChar w:fldCharType="begin" w:fldLock="1"/>
      </w:r>
      <w:r w:rsidR="007A0E09" w:rsidRPr="00910EA1">
        <w:rPr>
          <w:rFonts w:ascii="Times New Roman" w:hAnsi="Times New Roman" w:cs="Times New Roman"/>
          <w:sz w:val="24"/>
          <w:szCs w:val="24"/>
        </w:rPr>
        <w:instrText>ADDIN CSL_CITATION {"citationItems":[{"id":"ITEM-1","itemData":{"author":[{"dropping-particle":"","family":"Elkhlifi","given":"Zouhair","non-dropping-particle":"","parse-names":false,"suffix":""},{"dropping-particle":"","family":"Iftikhar","given":"Jerosha","non-dropping-particle":"","parse-names":false,"suffix":""},{"dropping-particle":"","family":"Sarraf","given":"Mohammad","non-dropping-particle":"","parse-names":false,"suffix":""},{"dropping-particle":"","family":"Ali","given":"Baber","non-dropping-particle":"","parse-names":false,"suffix":""},{"dropping-particle":"","family":"Saleem","given":"Muhammad Hamzah","non-dropping-particle":"","parse-names":false,"suffix":""},{"dropping-particle":"","family":"Ibranshahib","given":"Irshad","non-dropping-particle":"","parse-names":false,"suffix":""},{"dropping-particle":"","family":"Bispo","given":"Mozart Daltro","non-dropping-particle":"","parse-names":false,"suffix":""},{"dropping-particle":"","family":"Meili","given":"Lucas","non-dropping-particle":"","parse-names":false,"suffix":""},{"dropping-particle":"","family":"Ercisli","given":"Sezai","non-dropping-particle":"","parse-names":false,"suffix":""},{"dropping-particle":"","family":"Kayabasi","given":"Ehlinaz Torun","non-dropping-particle":"","parse-names":false,"suffix":""}],"id":"ITEM-1","issued":{"date-parts":[["2023"]]},"title":"Potential Role of Biochar on Capturing Soil Nutrients , Carbon Sequestration and Managing Environmental Challenges : A Review","type":"article-journal"},"uris":["http://www.mendeley.com/documents/?uuid=fdb49f62-c5c4-4fff-8c0d-e6b52fbe56d8"]}],"mendeley":{"formattedCitation":"(Elkhlifi et al., 2023)","plainTextFormattedCitation":"(Elkhlifi et al., 2023)","previouslyFormattedCitation":"(Elkhlifi et al., 2023)"},"properties":{"noteIndex":0},"schema":"https://github.com/citation-style-language/schema/raw/master/csl-citation.json"}</w:instrText>
      </w:r>
      <w:r w:rsidR="003E2B7B" w:rsidRPr="00910EA1">
        <w:rPr>
          <w:rFonts w:ascii="Times New Roman" w:hAnsi="Times New Roman" w:cs="Times New Roman"/>
          <w:sz w:val="24"/>
          <w:szCs w:val="24"/>
        </w:rPr>
        <w:fldChar w:fldCharType="separate"/>
      </w:r>
      <w:r w:rsidR="003E2B7B" w:rsidRPr="00910EA1">
        <w:rPr>
          <w:rFonts w:ascii="Times New Roman" w:hAnsi="Times New Roman" w:cs="Times New Roman"/>
          <w:noProof/>
          <w:sz w:val="24"/>
          <w:szCs w:val="24"/>
        </w:rPr>
        <w:t>(Elkhlifi et al., 2023)</w:t>
      </w:r>
      <w:r w:rsidR="003E2B7B" w:rsidRPr="00910EA1">
        <w:rPr>
          <w:rFonts w:ascii="Times New Roman" w:hAnsi="Times New Roman" w:cs="Times New Roman"/>
          <w:sz w:val="24"/>
          <w:szCs w:val="24"/>
        </w:rPr>
        <w:fldChar w:fldCharType="end"/>
      </w:r>
      <w:r w:rsidR="007A0E09" w:rsidRPr="00910EA1">
        <w:rPr>
          <w:rFonts w:ascii="Times New Roman" w:hAnsi="Times New Roman" w:cs="Times New Roman"/>
          <w:sz w:val="24"/>
          <w:szCs w:val="24"/>
        </w:rPr>
        <w:t>.</w:t>
      </w:r>
      <w:r w:rsidRPr="00910EA1">
        <w:rPr>
          <w:rFonts w:ascii="Times New Roman" w:hAnsi="Times New Roman" w:cs="Times New Roman"/>
          <w:sz w:val="24"/>
          <w:szCs w:val="24"/>
        </w:rPr>
        <w:t xml:space="preserve"> Coconut husks abundant in tropical regions like Ghana represent an underutilized feedstock for biochar production</w:t>
      </w:r>
      <w:r w:rsidR="007A0E09" w:rsidRPr="00910EA1">
        <w:rPr>
          <w:rFonts w:ascii="Times New Roman" w:hAnsi="Times New Roman" w:cs="Times New Roman"/>
          <w:sz w:val="24"/>
          <w:szCs w:val="24"/>
        </w:rPr>
        <w:t xml:space="preserve"> </w:t>
      </w:r>
      <w:r w:rsidR="007A0E09" w:rsidRPr="00910EA1">
        <w:rPr>
          <w:rFonts w:ascii="Times New Roman" w:hAnsi="Times New Roman" w:cs="Times New Roman"/>
          <w:sz w:val="24"/>
          <w:szCs w:val="24"/>
        </w:rPr>
        <w:fldChar w:fldCharType="begin" w:fldLock="1"/>
      </w:r>
      <w:r w:rsidR="00BD09AE" w:rsidRPr="00910EA1">
        <w:rPr>
          <w:rFonts w:ascii="Times New Roman" w:hAnsi="Times New Roman" w:cs="Times New Roman"/>
          <w:sz w:val="24"/>
          <w:szCs w:val="24"/>
        </w:rPr>
        <w:instrText>ADDIN CSL_CITATION {"citationItems":[{"id":"ITEM-1","itemData":{"DOI":"10.65150/EP-jnsrr/V1E6/2025-02","author":[{"dropping-particle":"","family":"Fadavi","given":"Charity","non-dropping-particle":"","parse-names":false,"suffix":""},{"dropping-particle":"","family":"Felicia","given":"Tingan","non-dropping-particle":"","parse-names":false,"suffix":""},{"dropping-particle":"","family":"Daniel","given":"Alluh","non-dropping-particle":"","parse-names":false,"suffix":""}],"id":"ITEM-1","issued":{"date-parts":[["2025"]]},"page":"148-184","title":"Biochar as a Soil Amendment in Rice Production : Current Status , Debates , and Opportunities for Enhancing Rice Farming in Ghana License : This is an open access article under the CC BY 4 . 0 license : https://creativecommons.org/licenses/by/4.0/ Corresp","type":"article-journal"},"uris":["http://www.mendeley.com/documents/?uuid=d3b85f00-63ea-45df-80eb-7613445a1e92"]}],"mendeley":{"formattedCitation":"(Fadavi et al., 2025)","plainTextFormattedCitation":"(Fadavi et al., 2025)","previouslyFormattedCitation":"(Fadavi et al., 2025)"},"properties":{"noteIndex":0},"schema":"https://github.com/citation-style-language/schema/raw/master/csl-citation.json"}</w:instrText>
      </w:r>
      <w:r w:rsidR="007A0E09" w:rsidRPr="00910EA1">
        <w:rPr>
          <w:rFonts w:ascii="Times New Roman" w:hAnsi="Times New Roman" w:cs="Times New Roman"/>
          <w:sz w:val="24"/>
          <w:szCs w:val="24"/>
        </w:rPr>
        <w:fldChar w:fldCharType="separate"/>
      </w:r>
      <w:r w:rsidR="007A0E09" w:rsidRPr="00910EA1">
        <w:rPr>
          <w:rFonts w:ascii="Times New Roman" w:hAnsi="Times New Roman" w:cs="Times New Roman"/>
          <w:noProof/>
          <w:sz w:val="24"/>
          <w:szCs w:val="24"/>
        </w:rPr>
        <w:t>(Fadavi et al., 2025)</w:t>
      </w:r>
      <w:r w:rsidR="007A0E09" w:rsidRPr="00910EA1">
        <w:rPr>
          <w:rFonts w:ascii="Times New Roman" w:hAnsi="Times New Roman" w:cs="Times New Roman"/>
          <w:sz w:val="24"/>
          <w:szCs w:val="24"/>
        </w:rPr>
        <w:fldChar w:fldCharType="end"/>
      </w:r>
      <w:r w:rsidRPr="00910EA1">
        <w:rPr>
          <w:rFonts w:ascii="Times New Roman" w:hAnsi="Times New Roman" w:cs="Times New Roman"/>
          <w:sz w:val="24"/>
          <w:szCs w:val="24"/>
        </w:rPr>
        <w:t xml:space="preserve">. Combining biochar with compost may synergistically improve soil properties while mitigating GHG emissions yet systematic research on such blends particularly those using food waste and varying biochar ratios is limited </w:t>
      </w:r>
      <w:r w:rsidR="007B55C4" w:rsidRPr="00910EA1">
        <w:rPr>
          <w:rFonts w:ascii="Times New Roman" w:hAnsi="Times New Roman" w:cs="Times New Roman"/>
          <w:sz w:val="24"/>
          <w:szCs w:val="24"/>
        </w:rPr>
        <w:fldChar w:fldCharType="begin" w:fldLock="1"/>
      </w:r>
      <w:r w:rsidR="007B55C4" w:rsidRPr="00910EA1">
        <w:rPr>
          <w:rFonts w:ascii="Times New Roman" w:hAnsi="Times New Roman" w:cs="Times New Roman"/>
          <w:sz w:val="24"/>
          <w:szCs w:val="24"/>
        </w:rPr>
        <w:instrText>ADDIN CSL_CITATION {"citationItems":[{"id":"ITEM-1","itemData":{"DOI":"10.1155/ijfo/1551054","author":[{"dropping-particle":"","family":"Mia","given":"Suhel","non-dropping-particle":"","parse-names":false,"suffix":""},{"dropping-particle":"","family":"Zzaman","given":"Wahidu","non-dropping-particle":"","parse-names":false,"suffix":""}],"id":"ITEM-1","issued":{"date-parts":[["2025"]]},"title":"Review Article Food Waste – Derived Organic Fertilizers : Critical Insights , Agronomic Impacts , and Pathways for Sustainable Adoption","type":"article-journal","volume":"2025"},"uris":["http://www.mendeley.com/documents/?uuid=ecbd2a55-ab86-4ff1-8ddf-aedb8dba81ae"]}],"mendeley":{"formattedCitation":"(Mia &amp; Zzaman, 2025)","plainTextFormattedCitation":"(Mia &amp; Zzaman, 2025)","previouslyFormattedCitation":"(Mia &amp; Zzaman, 2025)"},"properties":{"noteIndex":0},"schema":"https://github.com/citation-style-language/schema/raw/master/csl-citation.json"}</w:instrText>
      </w:r>
      <w:r w:rsidR="007B55C4" w:rsidRPr="00910EA1">
        <w:rPr>
          <w:rFonts w:ascii="Times New Roman" w:hAnsi="Times New Roman" w:cs="Times New Roman"/>
          <w:sz w:val="24"/>
          <w:szCs w:val="24"/>
        </w:rPr>
        <w:fldChar w:fldCharType="separate"/>
      </w:r>
      <w:r w:rsidR="007B55C4" w:rsidRPr="00910EA1">
        <w:rPr>
          <w:rFonts w:ascii="Times New Roman" w:hAnsi="Times New Roman" w:cs="Times New Roman"/>
          <w:noProof/>
          <w:sz w:val="24"/>
          <w:szCs w:val="24"/>
        </w:rPr>
        <w:t>(Mia &amp; Zzaman, 2025)</w:t>
      </w:r>
      <w:r w:rsidR="007B55C4" w:rsidRPr="00910EA1">
        <w:rPr>
          <w:rFonts w:ascii="Times New Roman" w:hAnsi="Times New Roman" w:cs="Times New Roman"/>
          <w:sz w:val="24"/>
          <w:szCs w:val="24"/>
        </w:rPr>
        <w:fldChar w:fldCharType="end"/>
      </w:r>
      <w:r w:rsidR="007B55C4" w:rsidRPr="00910EA1">
        <w:rPr>
          <w:rFonts w:ascii="Times New Roman" w:hAnsi="Times New Roman" w:cs="Times New Roman"/>
          <w:sz w:val="24"/>
          <w:szCs w:val="24"/>
        </w:rPr>
        <w:t>.</w:t>
      </w:r>
    </w:p>
    <w:p w14:paraId="276EA9ED" w14:textId="25BD75B9" w:rsidR="0037452B" w:rsidRPr="00910EA1" w:rsidRDefault="0037452B"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The overuse of inorganic fertilizers further complicates this landscape contributing to soil acidification nutrient runoff reduced microbial diversity and elevated GHG emissions</w:t>
      </w:r>
      <w:r w:rsidR="007B55C4" w:rsidRPr="00910EA1">
        <w:rPr>
          <w:rFonts w:ascii="Times New Roman" w:hAnsi="Times New Roman" w:cs="Times New Roman"/>
          <w:sz w:val="24"/>
          <w:szCs w:val="24"/>
        </w:rPr>
        <w:t xml:space="preserve"> </w:t>
      </w:r>
      <w:r w:rsidR="007B55C4" w:rsidRPr="00910EA1">
        <w:rPr>
          <w:rFonts w:ascii="Times New Roman" w:hAnsi="Times New Roman" w:cs="Times New Roman"/>
          <w:sz w:val="24"/>
          <w:szCs w:val="24"/>
        </w:rPr>
        <w:fldChar w:fldCharType="begin" w:fldLock="1"/>
      </w:r>
      <w:r w:rsidR="00BD09AE" w:rsidRPr="00910EA1">
        <w:rPr>
          <w:rFonts w:ascii="Times New Roman" w:hAnsi="Times New Roman" w:cs="Times New Roman"/>
          <w:sz w:val="24"/>
          <w:szCs w:val="24"/>
        </w:rPr>
        <w:instrText>ADDIN CSL_CITATION {"citationItems":[{"id":"ITEM-1","itemData":{"DOI":"10.3389/fpls.2025.1595208","author":[{"dropping-particle":"","family":"Ali","given":"Aamir","non-dropping-particle":"","parse-names":false,"suffix":""},{"dropping-particle":"","family":"Jabeen","given":"Nida","non-dropping-particle":"","parse-names":false,"suffix":""},{"dropping-particle":"","family":"Chachar","given":"Zaid","non-dropping-particle":"","parse-names":false,"suffix":""},{"dropping-particle":"","family":"Chachar","given":"Sadaruddin","non-dropping-particle":"","parse-names":false,"suffix":""},{"dropping-particle":"","family":"Ahmed","given":"Shoaib","non-dropping-particle":"","parse-names":false,"suffix":""},{"dropping-particle":"","family":"Ahmed","given":"Nazir","non-dropping-particle":"","parse-names":false,"suffix":""},{"dropping-particle":"","family":"Laghari","given":"Azhar Ali","non-dropping-particle":"","parse-names":false,"suffix":""},{"dropping-particle":"","family":"Farruhbek","given":"Rasulov","non-dropping-particle":"","parse-names":false,"suffix":""},{"dropping-particle":"","family":"Yang","given":"Zhenping","non-dropping-particle":"","parse-names":false,"suffix":""}],"id":"ITEM-1","issue":"June","issued":{"date-parts":[["2025"]]},"page":"1-23","title":"The role of biochar in enhancing soil health &amp; interactions with rhizosphere properties and enzyme activities in organic fertilizer substitution","type":"article-journal"},"uris":["http://www.mendeley.com/documents/?uuid=056dff27-68ed-45b5-9279-7468bee14627"]}],"mendeley":{"formattedCitation":"(Ali et al., 2025)","plainTextFormattedCitation":"(Ali et al., 2025)","previouslyFormattedCitation":"(Ali et al., 2025)"},"properties":{"noteIndex":0},"schema":"https://github.com/citation-style-language/schema/raw/master/csl-citation.json"}</w:instrText>
      </w:r>
      <w:r w:rsidR="007B55C4" w:rsidRPr="00910EA1">
        <w:rPr>
          <w:rFonts w:ascii="Times New Roman" w:hAnsi="Times New Roman" w:cs="Times New Roman"/>
          <w:sz w:val="24"/>
          <w:szCs w:val="24"/>
        </w:rPr>
        <w:fldChar w:fldCharType="separate"/>
      </w:r>
      <w:r w:rsidR="007B55C4" w:rsidRPr="00910EA1">
        <w:rPr>
          <w:rFonts w:ascii="Times New Roman" w:hAnsi="Times New Roman" w:cs="Times New Roman"/>
          <w:noProof/>
          <w:sz w:val="24"/>
          <w:szCs w:val="24"/>
        </w:rPr>
        <w:t>(Ali et al., 2025)</w:t>
      </w:r>
      <w:r w:rsidR="007B55C4" w:rsidRPr="00910EA1">
        <w:rPr>
          <w:rFonts w:ascii="Times New Roman" w:hAnsi="Times New Roman" w:cs="Times New Roman"/>
          <w:sz w:val="24"/>
          <w:szCs w:val="24"/>
        </w:rPr>
        <w:fldChar w:fldCharType="end"/>
      </w:r>
      <w:r w:rsidR="007B55C4" w:rsidRPr="00910EA1">
        <w:rPr>
          <w:rFonts w:ascii="Times New Roman" w:hAnsi="Times New Roman" w:cs="Times New Roman"/>
          <w:sz w:val="24"/>
          <w:szCs w:val="24"/>
        </w:rPr>
        <w:t>.</w:t>
      </w:r>
      <w:r w:rsidRPr="00910EA1">
        <w:rPr>
          <w:rFonts w:ascii="Times New Roman" w:hAnsi="Times New Roman" w:cs="Times New Roman"/>
          <w:sz w:val="24"/>
          <w:szCs w:val="24"/>
        </w:rPr>
        <w:t xml:space="preserve"> Integrating organic and inorganic inputs in balanced proportions can optimize nutrient availability support soil health and reduce environmental impacts</w:t>
      </w:r>
      <w:r w:rsidR="007B55C4" w:rsidRPr="00910EA1">
        <w:rPr>
          <w:rFonts w:ascii="Times New Roman" w:hAnsi="Times New Roman" w:cs="Times New Roman"/>
          <w:sz w:val="24"/>
          <w:szCs w:val="24"/>
        </w:rPr>
        <w:t xml:space="preserve"> </w:t>
      </w:r>
      <w:r w:rsidR="00BD09AE" w:rsidRPr="00910EA1">
        <w:rPr>
          <w:rFonts w:ascii="Times New Roman" w:hAnsi="Times New Roman" w:cs="Times New Roman"/>
          <w:sz w:val="24"/>
          <w:szCs w:val="24"/>
        </w:rPr>
        <w:fldChar w:fldCharType="begin" w:fldLock="1"/>
      </w:r>
      <w:r w:rsidR="00BD09AE" w:rsidRPr="00910EA1">
        <w:rPr>
          <w:rFonts w:ascii="Times New Roman" w:hAnsi="Times New Roman" w:cs="Times New Roman"/>
          <w:sz w:val="24"/>
          <w:szCs w:val="24"/>
        </w:rPr>
        <w:instrText>ADDIN CSL_CITATION {"citationItems":[{"id":"ITEM-1","itemData":{"DOI":"10.3389/fsufs.2023.1173258","author":[{"dropping-particle":"","family":"Rajanna","given":"G A","non-dropping-particle":"","parse-names":false,"suffix":""}],"id":"ITEM-1","issue":"June","issued":{"date-parts":[["2023"]]},"page":"1-13","title":"Integrated nutrient management for improving crop yields , soil properties , and reducing greenhouse gas emissions","type":"article-journal"},"uris":["http://www.mendeley.com/documents/?uuid=5ab5ef7a-6bd7-4db7-af4f-a16093a28c0a"]}],"mendeley":{"formattedCitation":"(Rajanna, 2023)","plainTextFormattedCitation":"(Rajanna, 2023)","previouslyFormattedCitation":"(Rajanna, 2023)"},"properties":{"noteIndex":0},"schema":"https://github.com/citation-style-language/schema/raw/master/csl-citation.json"}</w:instrText>
      </w:r>
      <w:r w:rsidR="00BD09AE" w:rsidRPr="00910EA1">
        <w:rPr>
          <w:rFonts w:ascii="Times New Roman" w:hAnsi="Times New Roman" w:cs="Times New Roman"/>
          <w:sz w:val="24"/>
          <w:szCs w:val="24"/>
        </w:rPr>
        <w:fldChar w:fldCharType="separate"/>
      </w:r>
      <w:r w:rsidR="00BD09AE" w:rsidRPr="00910EA1">
        <w:rPr>
          <w:rFonts w:ascii="Times New Roman" w:hAnsi="Times New Roman" w:cs="Times New Roman"/>
          <w:noProof/>
          <w:sz w:val="24"/>
          <w:szCs w:val="24"/>
        </w:rPr>
        <w:t>(Rajanna, 2023)</w:t>
      </w:r>
      <w:r w:rsidR="00BD09AE" w:rsidRPr="00910EA1">
        <w:rPr>
          <w:rFonts w:ascii="Times New Roman" w:hAnsi="Times New Roman" w:cs="Times New Roman"/>
          <w:sz w:val="24"/>
          <w:szCs w:val="24"/>
        </w:rPr>
        <w:fldChar w:fldCharType="end"/>
      </w:r>
      <w:r w:rsidR="00BD09AE" w:rsidRPr="00910EA1">
        <w:rPr>
          <w:rFonts w:ascii="Times New Roman" w:hAnsi="Times New Roman" w:cs="Times New Roman"/>
          <w:sz w:val="24"/>
          <w:szCs w:val="24"/>
        </w:rPr>
        <w:t xml:space="preserve">. </w:t>
      </w:r>
      <w:r w:rsidRPr="00910EA1">
        <w:rPr>
          <w:rFonts w:ascii="Times New Roman" w:hAnsi="Times New Roman" w:cs="Times New Roman"/>
          <w:sz w:val="24"/>
          <w:szCs w:val="24"/>
        </w:rPr>
        <w:t xml:space="preserve">However access to organic fertilizers remains constrained in Ghana due to high costs logistical barriers and limited awareness </w:t>
      </w:r>
      <w:r w:rsidR="00BD09AE" w:rsidRPr="00910EA1">
        <w:rPr>
          <w:rFonts w:ascii="Times New Roman" w:hAnsi="Times New Roman" w:cs="Times New Roman"/>
          <w:sz w:val="24"/>
          <w:szCs w:val="24"/>
        </w:rPr>
        <w:fldChar w:fldCharType="begin" w:fldLock="1"/>
      </w:r>
      <w:r w:rsidR="000A103D" w:rsidRPr="00910EA1">
        <w:rPr>
          <w:rFonts w:ascii="Times New Roman" w:hAnsi="Times New Roman" w:cs="Times New Roman"/>
          <w:sz w:val="24"/>
          <w:szCs w:val="24"/>
        </w:rPr>
        <w:instrText>ADDIN CSL_CITATION {"citationItems":[{"id":"ITEM-1","itemData":{"DOI":"10.1017/S1742170520000228","ISSN":"17421713","abstract":"An understanding of the nexus of organic fertilizer use decisions that smallholder farmers take is essential to designing relevant policy to support adoption in sub-Saharan Africa. In this paper, we applied exploratory factor analysis (EFA) on observed farmer decisions to identify a set of common management approaches that farmers in the northeastern part of Ghana adopt in using organic fertilizer. After identification, seemingly unrelated regression (SUR) analysis was applied to relate each approach to farmer characteristics that influence uptake decisions. The EFA identified four approaches, labeled as Augmentary Compost Use Approach, Urban Human Waste Organic Fertilizer Approach, Integrated Livestock Manure Approach and Mineral Fertilizer Cost Constraint Organic Approach. Each of the first three approaches involves a set of strategic farmer decisions which could be supported to increase organic fertilizer use. The SUR analysis showed that the uptake of each approach is affected by different subsets of farmer characteristics. However, participation in organic fertilizer management training positively influences the adoption of all four approaches. Thus, we recommend free training of smallholder farmers as a core element of any policy package to support organic fertilizer adoption.","author":[{"dropping-particle":"","family":"Daadi","given":"Bunbom Edward","non-dropping-particle":"","parse-names":false,"suffix":""},{"dropping-particle":"","family":"Latacz-Lohmann","given":"Uwe","non-dropping-particle":"","parse-names":false,"suffix":""}],"container-title":"Renewable Agriculture and Food Systems","id":"ITEM-1","issue":"2","issued":{"date-parts":[["2021"]]},"page":"192-206","title":"Organic fertilizer use by smallholder farmers: Typology of management approaches in northern Ghana","type":"article-journal","volume":"36"},"uris":["http://www.mendeley.com/documents/?uuid=ea4836b0-0c04-4395-bb1d-ecfb4277c01b"]}],"mendeley":{"formattedCitation":"(Daadi &amp; Latacz-Lohmann, 2021)","plainTextFormattedCitation":"(Daadi &amp; Latacz-Lohmann, 2021)","previouslyFormattedCitation":"(Daadi &amp; Latacz-Lohmann, 2021)"},"properties":{"noteIndex":0},"schema":"https://github.com/citation-style-language/schema/raw/master/csl-citation.json"}</w:instrText>
      </w:r>
      <w:r w:rsidR="00BD09AE" w:rsidRPr="00910EA1">
        <w:rPr>
          <w:rFonts w:ascii="Times New Roman" w:hAnsi="Times New Roman" w:cs="Times New Roman"/>
          <w:sz w:val="24"/>
          <w:szCs w:val="24"/>
        </w:rPr>
        <w:fldChar w:fldCharType="separate"/>
      </w:r>
      <w:r w:rsidR="00BD09AE" w:rsidRPr="00910EA1">
        <w:rPr>
          <w:rFonts w:ascii="Times New Roman" w:hAnsi="Times New Roman" w:cs="Times New Roman"/>
          <w:noProof/>
          <w:sz w:val="24"/>
          <w:szCs w:val="24"/>
        </w:rPr>
        <w:t>(Daadi &amp; Latacz-Lohmann, 2021)</w:t>
      </w:r>
      <w:r w:rsidR="00BD09AE" w:rsidRPr="00910EA1">
        <w:rPr>
          <w:rFonts w:ascii="Times New Roman" w:hAnsi="Times New Roman" w:cs="Times New Roman"/>
          <w:sz w:val="24"/>
          <w:szCs w:val="24"/>
        </w:rPr>
        <w:fldChar w:fldCharType="end"/>
      </w:r>
      <w:r w:rsidR="00BD09AE" w:rsidRPr="00910EA1">
        <w:rPr>
          <w:rFonts w:ascii="Times New Roman" w:hAnsi="Times New Roman" w:cs="Times New Roman"/>
          <w:sz w:val="24"/>
          <w:szCs w:val="24"/>
        </w:rPr>
        <w:t xml:space="preserve">. </w:t>
      </w:r>
    </w:p>
    <w:p w14:paraId="29F82B79" w14:textId="696CAE7C" w:rsidR="0037452B" w:rsidRPr="00910EA1" w:rsidRDefault="0037452B"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The purpose of this study is to assess the impact of organic amendments prepared from food waste with varying biochar contents on CO₂ emissions. To achieve this objective, the study specifically evaluates the effect of biochar incorporation on CO₂ emissions, assesses the impact of compost derived from food waste on CO₂ emissions, and compares these organic treatments with inorganic fertilizer amendments to determine their relative influence on soil CO₂ fluxes.</w:t>
      </w:r>
    </w:p>
    <w:p w14:paraId="4299B97F" w14:textId="77777777" w:rsidR="00FB09B3" w:rsidRPr="00910EA1" w:rsidRDefault="00EB0836" w:rsidP="00910EA1">
      <w:pPr>
        <w:pStyle w:val="Heading2"/>
        <w:spacing w:line="276" w:lineRule="auto"/>
        <w:jc w:val="both"/>
        <w:rPr>
          <w:rFonts w:cs="Times New Roman"/>
          <w:szCs w:val="24"/>
        </w:rPr>
      </w:pPr>
      <w:bookmarkStart w:id="3" w:name="_Toc147751444"/>
      <w:r w:rsidRPr="00910EA1">
        <w:rPr>
          <w:rFonts w:cs="Times New Roman"/>
          <w:szCs w:val="24"/>
        </w:rPr>
        <w:t>MATERIALS AND METHODS</w:t>
      </w:r>
      <w:bookmarkStart w:id="4" w:name="_Toc147751445"/>
      <w:bookmarkEnd w:id="3"/>
    </w:p>
    <w:p w14:paraId="2CA86A3E" w14:textId="493CF542" w:rsidR="00D032AE" w:rsidRPr="00910EA1" w:rsidRDefault="00D032AE" w:rsidP="00910EA1">
      <w:pPr>
        <w:pStyle w:val="Heading2"/>
        <w:spacing w:line="276" w:lineRule="auto"/>
        <w:jc w:val="both"/>
        <w:rPr>
          <w:rFonts w:cs="Times New Roman"/>
          <w:szCs w:val="24"/>
        </w:rPr>
      </w:pPr>
      <w:r w:rsidRPr="00910EA1">
        <w:rPr>
          <w:rFonts w:cs="Times New Roman"/>
          <w:szCs w:val="24"/>
        </w:rPr>
        <w:t>Experimental site</w:t>
      </w:r>
      <w:bookmarkEnd w:id="4"/>
    </w:p>
    <w:p w14:paraId="540097D3" w14:textId="4AE8C8AB" w:rsidR="00D032AE" w:rsidRPr="00910EA1" w:rsidRDefault="00D032AE" w:rsidP="00910EA1">
      <w:pPr>
        <w:spacing w:after="0" w:line="276" w:lineRule="auto"/>
        <w:jc w:val="both"/>
        <w:rPr>
          <w:rFonts w:ascii="Times New Roman" w:hAnsi="Times New Roman" w:cs="Times New Roman"/>
          <w:b/>
          <w:bCs/>
          <w:sz w:val="24"/>
          <w:szCs w:val="24"/>
        </w:rPr>
      </w:pPr>
      <w:r w:rsidRPr="00910EA1">
        <w:rPr>
          <w:rFonts w:ascii="Times New Roman" w:hAnsi="Times New Roman" w:cs="Times New Roman"/>
          <w:sz w:val="24"/>
          <w:szCs w:val="24"/>
        </w:rPr>
        <w:t xml:space="preserve">The experiments were conducted </w:t>
      </w:r>
      <w:r w:rsidR="009A5A81" w:rsidRPr="00910EA1">
        <w:rPr>
          <w:rFonts w:ascii="Times New Roman" w:hAnsi="Times New Roman" w:cs="Times New Roman"/>
          <w:sz w:val="24"/>
          <w:szCs w:val="24"/>
        </w:rPr>
        <w:t xml:space="preserve">from 2022 to 2023 </w:t>
      </w:r>
      <w:r w:rsidRPr="00910EA1">
        <w:rPr>
          <w:rFonts w:ascii="Times New Roman" w:hAnsi="Times New Roman" w:cs="Times New Roman"/>
          <w:sz w:val="24"/>
          <w:szCs w:val="24"/>
        </w:rPr>
        <w:t>at A.G. Carson Technology Village at the School of Agriculture, University of Cape Coast, Ghana. The study area is in Cape Coast in the Central Region of Ghana, which is situated between latitudes 50.07° and 50.20° north of the equator and between longitudes 1.11° and 1.41° west of Greenwich. It is bounded on the east by Abura-Asebu-Kwamankese District, west by Komenda-Edina-Eguafo-Abrem (KEEA) District and south by Gulf of Guinea and north Twifo-Heman lower Denkyria District. The total land area of Cape Coast municipality is approximately 122sq. km. (Dankwa et al., 2018).</w:t>
      </w:r>
    </w:p>
    <w:p w14:paraId="35CD688C" w14:textId="384B6BD5" w:rsidR="00D032AE" w:rsidRPr="00910EA1" w:rsidRDefault="00D032AE" w:rsidP="00910EA1">
      <w:pPr>
        <w:pStyle w:val="Heading2"/>
        <w:spacing w:line="276" w:lineRule="auto"/>
        <w:jc w:val="both"/>
        <w:rPr>
          <w:rFonts w:cs="Times New Roman"/>
          <w:szCs w:val="24"/>
        </w:rPr>
      </w:pPr>
      <w:bookmarkStart w:id="5" w:name="_Toc147751446"/>
      <w:r w:rsidRPr="00910EA1">
        <w:rPr>
          <w:rFonts w:cs="Times New Roman"/>
          <w:szCs w:val="24"/>
        </w:rPr>
        <w:t>Climatic Conditions of the region</w:t>
      </w:r>
      <w:bookmarkEnd w:id="5"/>
    </w:p>
    <w:p w14:paraId="2430961B" w14:textId="5A342F2B" w:rsidR="00D032AE" w:rsidRPr="00910EA1" w:rsidRDefault="00D032AE"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 xml:space="preserve">The area has two seasons of rainfall, with the highest rainfall occurring from March to July and the minor season occurring from September to November. According to Asamoah (1973), the mean annual rainfall in the Cape Coast metropolis range between 900mm and 1600 mm, and the annual mean is 940.1mm. The mean or dry maximum and night temperatures are 32.7˚C and 23.5˚C respectively. The variation in temperature is greater February and March </w:t>
      </w:r>
      <w:r w:rsidRPr="00910EA1">
        <w:rPr>
          <w:rFonts w:ascii="Times New Roman" w:hAnsi="Times New Roman" w:cs="Times New Roman"/>
          <w:sz w:val="24"/>
          <w:szCs w:val="24"/>
        </w:rPr>
        <w:lastRenderedPageBreak/>
        <w:t>the relative humidity is uniformly, high at about 70% in the morning and 55% in the afternoon, (Johnson, 2020).</w:t>
      </w:r>
    </w:p>
    <w:p w14:paraId="76FB5C14" w14:textId="5B365445" w:rsidR="00D032AE" w:rsidRPr="00910EA1" w:rsidRDefault="00C52170" w:rsidP="00910EA1">
      <w:pPr>
        <w:pStyle w:val="Heading2"/>
        <w:spacing w:line="276" w:lineRule="auto"/>
        <w:jc w:val="both"/>
        <w:rPr>
          <w:rFonts w:cs="Times New Roman"/>
          <w:szCs w:val="24"/>
        </w:rPr>
      </w:pPr>
      <w:bookmarkStart w:id="6" w:name="_Toc147751447"/>
      <w:r w:rsidRPr="00910EA1">
        <w:rPr>
          <w:rFonts w:cs="Times New Roman"/>
          <w:szCs w:val="24"/>
        </w:rPr>
        <w:t xml:space="preserve"> </w:t>
      </w:r>
      <w:r w:rsidR="00D032AE" w:rsidRPr="00910EA1">
        <w:rPr>
          <w:rFonts w:cs="Times New Roman"/>
          <w:szCs w:val="24"/>
        </w:rPr>
        <w:t>Biochar Production</w:t>
      </w:r>
      <w:bookmarkEnd w:id="6"/>
    </w:p>
    <w:p w14:paraId="3C500E84" w14:textId="626E4509" w:rsidR="009216E0" w:rsidRPr="00910EA1" w:rsidRDefault="00D032AE"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Biochar used in the experiment were made from coconut husk. The feedstock for the pyrolysis were chosen as a result of readily availability, ease of accessibility and relatively cheaper. Dried coconut husk was collected from roadside sale locations in Ekumfi Abor, a farming village in Ghana's Central Region where the majority of farmers sell fresh coconut water along the highway. The feedstock was sun-dried for another day before pyrolysis began the next day</w:t>
      </w:r>
      <w:r w:rsidR="000A103D" w:rsidRPr="00910EA1">
        <w:rPr>
          <w:rFonts w:ascii="Times New Roman" w:hAnsi="Times New Roman" w:cs="Times New Roman"/>
          <w:sz w:val="24"/>
          <w:szCs w:val="24"/>
        </w:rPr>
        <w:t xml:space="preserve"> </w:t>
      </w:r>
      <w:r w:rsidR="000A103D" w:rsidRPr="00910EA1">
        <w:rPr>
          <w:rFonts w:ascii="Times New Roman" w:hAnsi="Times New Roman" w:cs="Times New Roman"/>
          <w:sz w:val="24"/>
          <w:szCs w:val="24"/>
        </w:rPr>
        <w:fldChar w:fldCharType="begin" w:fldLock="1"/>
      </w:r>
      <w:r w:rsidR="00584102" w:rsidRPr="00910EA1">
        <w:rPr>
          <w:rFonts w:ascii="Times New Roman" w:hAnsi="Times New Roman" w:cs="Times New Roman"/>
          <w:sz w:val="24"/>
          <w:szCs w:val="24"/>
        </w:rPr>
        <w:instrText>ADDIN CSL_CITATION {"citationItems":[{"id":"ITEM-1","itemData":{"DOI":"10.1039/d0se00689k","ISSN":"23984902","abstract":"The integration of conversion processes with anaerobic digestion is key to increase value from agricultural waste, like cocoa pod husks, generated in developing countries. The production of one metric ton of cocoa beans generates some 15 metric tonnes of organic waste that is today underutilized. This waste can be converted into added value products by anaerobic digestion, converting part of the cocoa pods to biogas while releasing nutrients, and pyrolysis. Here, we compared different scenarios for anaerobic digestion/slow pyrolysis integration in terms of product portfolio (i.e., biogas, pyrolysis liquids, biochar and pyrolysis gases), energy balance and potential for chemicals production. Slow pyrolysis was performed at 350 °C and 500 °C on raw cocoa pod husks, as well as on digestates obtained from mono-digestion of cocoa pod husks and co-digestion with cow manure. Anaerobic digestion resulted in 20 to 25 wt% of biogas for mono and co-digestion, respectively. Direct pyrolysis of cocoa pod husks mainly resulted in biochar with a maximum yield of 48 wt%. Anaerobic digestion induced compositional changes in the resulting biochar, pyrolysis liquids and evolved gases after pyrolysis. Pyrolysis of mono-digestate e.g., resulted in a more energy-dense organic phase, rich in valuable phenolics while poorer in light oxygenates that hold a modest value. Our comparison shows that co-digestion/slow pyrolysis at 500 °C and mono-digestion/slow pyrolysis at 350 °C both present high-potential biorefinery schemes. They can be self-sustaining in terms of energy, while resulting in high quality biochar for nutrient recycling and/or energy recovery, and/or phenolics-rich pyrolysis liquids for further upgrading into biorefinery intermediates.","author":[{"dropping-particle":"","family":"Ghysels","given":"Stef","non-dropping-particle":"","parse-names":false,"suffix":""},{"dropping-particle":"","family":"Acosta","given":"Nayaret","non-dropping-particle":"","parse-names":false,"suffix":""},{"dropping-particle":"","family":"Estrada","given":"Adriana","non-dropping-particle":"","parse-names":false,"suffix":""},{"dropping-particle":"","family":"Pala","given":"Mehmet","non-dropping-particle":"","parse-names":false,"suffix":""},{"dropping-particle":"","family":"Vrieze","given":"Jo","non-dropping-particle":"De","parse-names":false,"suffix":""},{"dropping-particle":"","family":"Ronsse","given":"Frederik","non-dropping-particle":"","parse-names":false,"suffix":""},{"dropping-particle":"","family":"Rabaey","given":"Korneel","non-dropping-particle":"","parse-names":false,"suffix":""}],"container-title":"Sustainable Energy and Fuels","id":"ITEM-1","issue":"7","issued":{"date-parts":[["2020"]]},"page":"3712-3725","publisher":"Royal Society of Chemistry","title":"Integrating anaerobic digestion and slow pyrolysis improves the product portfolio of a cocoa waste biorefinery","type":"article-journal","volume":"4"},"uris":["http://www.mendeley.com/documents/?uuid=596a8a36-d81a-4bdd-9b0f-5d5a062d37d1"]}],"mendeley":{"formattedCitation":"(Ghysels et al., 2020)","plainTextFormattedCitation":"(Ghysels et al., 2020)","previouslyFormattedCitation":"(Ghysels et al., 2020)"},"properties":{"noteIndex":0},"schema":"https://github.com/citation-style-language/schema/raw/master/csl-citation.json"}</w:instrText>
      </w:r>
      <w:r w:rsidR="000A103D" w:rsidRPr="00910EA1">
        <w:rPr>
          <w:rFonts w:ascii="Times New Roman" w:hAnsi="Times New Roman" w:cs="Times New Roman"/>
          <w:sz w:val="24"/>
          <w:szCs w:val="24"/>
        </w:rPr>
        <w:fldChar w:fldCharType="separate"/>
      </w:r>
      <w:r w:rsidR="000A103D" w:rsidRPr="00910EA1">
        <w:rPr>
          <w:rFonts w:ascii="Times New Roman" w:hAnsi="Times New Roman" w:cs="Times New Roman"/>
          <w:noProof/>
          <w:sz w:val="24"/>
          <w:szCs w:val="24"/>
        </w:rPr>
        <w:t>(Ghysels et al., 2020)</w:t>
      </w:r>
      <w:r w:rsidR="000A103D" w:rsidRPr="00910EA1">
        <w:rPr>
          <w:rFonts w:ascii="Times New Roman" w:hAnsi="Times New Roman" w:cs="Times New Roman"/>
          <w:sz w:val="24"/>
          <w:szCs w:val="24"/>
        </w:rPr>
        <w:fldChar w:fldCharType="end"/>
      </w:r>
      <w:r w:rsidRPr="00910EA1">
        <w:rPr>
          <w:rFonts w:ascii="Times New Roman" w:hAnsi="Times New Roman" w:cs="Times New Roman"/>
          <w:sz w:val="24"/>
          <w:szCs w:val="24"/>
        </w:rPr>
        <w:t>. ELSA biomass pyrolytic barrels were loaded with dried coconut husk. The barrel is built from metal and has a combustion chamber, a ventilation exit, and a lid. The barrel was filled with dry coconut husk feedstock and dried rice straw was placed on the surface of the feedstock in the chamber as fuel material, and a match was ignited. The charring occurred between 550 and 620 °C, with a residence time of 30 to 45 minutes and a 46% char yield. The generated coconut husk biochar was milled into powdered form using a miller to obtain a uniform size before incorporation after two days of sun drying.</w:t>
      </w:r>
    </w:p>
    <w:p w14:paraId="4FC07E05" w14:textId="7C825138" w:rsidR="009216E0" w:rsidRPr="00910EA1" w:rsidRDefault="009216E0" w:rsidP="00910EA1">
      <w:pPr>
        <w:spacing w:after="0" w:line="276" w:lineRule="auto"/>
        <w:jc w:val="both"/>
        <w:rPr>
          <w:rFonts w:ascii="Times New Roman" w:hAnsi="Times New Roman" w:cs="Times New Roman"/>
          <w:sz w:val="24"/>
          <w:szCs w:val="24"/>
        </w:rPr>
      </w:pPr>
      <w:r w:rsidRPr="00910EA1">
        <w:rPr>
          <w:rFonts w:ascii="Times New Roman" w:hAnsi="Times New Roman" w:cs="Times New Roman"/>
          <w:noProof/>
          <w:sz w:val="24"/>
          <w:szCs w:val="24"/>
        </w:rPr>
        <w:drawing>
          <wp:inline distT="0" distB="0" distL="0" distR="0" wp14:anchorId="6A2D1429" wp14:editId="38B05C09">
            <wp:extent cx="2799080" cy="1482040"/>
            <wp:effectExtent l="0" t="0" r="127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38126"/>
                    <a:stretch/>
                  </pic:blipFill>
                  <pic:spPr bwMode="auto">
                    <a:xfrm>
                      <a:off x="0" y="0"/>
                      <a:ext cx="2975545" cy="1575474"/>
                    </a:xfrm>
                    <a:prstGeom prst="rect">
                      <a:avLst/>
                    </a:prstGeom>
                    <a:ln>
                      <a:noFill/>
                    </a:ln>
                    <a:extLst>
                      <a:ext uri="{53640926-AAD7-44D8-BBD7-CCE9431645EC}">
                        <a14:shadowObscured xmlns:a14="http://schemas.microsoft.com/office/drawing/2010/main"/>
                      </a:ext>
                    </a:extLst>
                  </pic:spPr>
                </pic:pic>
              </a:graphicData>
            </a:graphic>
          </wp:inline>
        </w:drawing>
      </w:r>
      <w:r w:rsidRPr="00910EA1">
        <w:rPr>
          <w:rFonts w:ascii="Times New Roman" w:hAnsi="Times New Roman" w:cs="Times New Roman"/>
          <w:noProof/>
          <w:sz w:val="24"/>
          <w:szCs w:val="24"/>
        </w:rPr>
        <w:t xml:space="preserve"> </w:t>
      </w:r>
      <w:r w:rsidRPr="00910EA1">
        <w:rPr>
          <w:rFonts w:ascii="Times New Roman" w:hAnsi="Times New Roman" w:cs="Times New Roman"/>
          <w:noProof/>
          <w:sz w:val="24"/>
          <w:szCs w:val="24"/>
        </w:rPr>
        <w:drawing>
          <wp:inline distT="0" distB="0" distL="0" distR="0" wp14:anchorId="77040E13" wp14:editId="19690C2A">
            <wp:extent cx="2770188" cy="14554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59807" cy="1502505"/>
                    </a:xfrm>
                    <a:prstGeom prst="rect">
                      <a:avLst/>
                    </a:prstGeom>
                  </pic:spPr>
                </pic:pic>
              </a:graphicData>
            </a:graphic>
          </wp:inline>
        </w:drawing>
      </w:r>
      <w:r w:rsidR="00FB00E5" w:rsidRPr="00910EA1">
        <w:rPr>
          <w:rFonts w:ascii="Times New Roman" w:hAnsi="Times New Roman" w:cs="Times New Roman"/>
          <w:noProof/>
          <w:sz w:val="24"/>
          <w:szCs w:val="24"/>
        </w:rPr>
        <w:t xml:space="preserve">Figure 1. </w:t>
      </w:r>
      <w:r w:rsidRPr="00910EA1">
        <w:rPr>
          <w:rFonts w:ascii="Times New Roman" w:hAnsi="Times New Roman" w:cs="Times New Roman"/>
          <w:sz w:val="24"/>
          <w:szCs w:val="24"/>
        </w:rPr>
        <w:t>Coconut</w:t>
      </w:r>
      <w:r w:rsidR="00ED43E2" w:rsidRPr="00910EA1">
        <w:rPr>
          <w:rFonts w:ascii="Times New Roman" w:hAnsi="Times New Roman" w:cs="Times New Roman"/>
          <w:sz w:val="24"/>
          <w:szCs w:val="24"/>
        </w:rPr>
        <w:t xml:space="preserve"> </w:t>
      </w:r>
      <w:r w:rsidRPr="00910EA1">
        <w:rPr>
          <w:rFonts w:ascii="Times New Roman" w:hAnsi="Times New Roman" w:cs="Times New Roman"/>
          <w:sz w:val="24"/>
          <w:szCs w:val="24"/>
        </w:rPr>
        <w:t xml:space="preserve">husk being dried in the sun before pyrolysis.  </w:t>
      </w:r>
      <w:r w:rsidR="00FE3AC4" w:rsidRPr="00910EA1">
        <w:rPr>
          <w:rFonts w:ascii="Times New Roman" w:hAnsi="Times New Roman" w:cs="Times New Roman"/>
          <w:sz w:val="24"/>
          <w:szCs w:val="24"/>
        </w:rPr>
        <w:t xml:space="preserve">  </w:t>
      </w:r>
      <w:r w:rsidR="00ED43E2" w:rsidRPr="00910EA1">
        <w:rPr>
          <w:rFonts w:ascii="Times New Roman" w:hAnsi="Times New Roman" w:cs="Times New Roman"/>
          <w:sz w:val="24"/>
          <w:szCs w:val="24"/>
        </w:rPr>
        <w:t xml:space="preserve">      </w:t>
      </w:r>
      <w:r w:rsidR="00FB00E5" w:rsidRPr="00910EA1">
        <w:rPr>
          <w:rFonts w:ascii="Times New Roman" w:hAnsi="Times New Roman" w:cs="Times New Roman"/>
          <w:noProof/>
          <w:sz w:val="24"/>
          <w:szCs w:val="24"/>
        </w:rPr>
        <w:t xml:space="preserve">Figure 2.  </w:t>
      </w:r>
      <w:r w:rsidRPr="00910EA1">
        <w:rPr>
          <w:rFonts w:ascii="Times New Roman" w:hAnsi="Times New Roman" w:cs="Times New Roman"/>
          <w:sz w:val="24"/>
          <w:szCs w:val="24"/>
        </w:rPr>
        <w:t>Barrel filled with coconut husk for</w:t>
      </w:r>
      <w:r w:rsidR="00FE3AC4" w:rsidRPr="00910EA1">
        <w:rPr>
          <w:rFonts w:ascii="Times New Roman" w:hAnsi="Times New Roman" w:cs="Times New Roman"/>
          <w:sz w:val="24"/>
          <w:szCs w:val="24"/>
        </w:rPr>
        <w:t xml:space="preserve"> the</w:t>
      </w:r>
      <w:r w:rsidRPr="00910EA1">
        <w:rPr>
          <w:rFonts w:ascii="Times New Roman" w:hAnsi="Times New Roman" w:cs="Times New Roman"/>
          <w:sz w:val="24"/>
          <w:szCs w:val="24"/>
        </w:rPr>
        <w:t xml:space="preserve"> charring</w:t>
      </w:r>
      <w:r w:rsidR="00FE3AC4" w:rsidRPr="00910EA1">
        <w:rPr>
          <w:rFonts w:ascii="Times New Roman" w:hAnsi="Times New Roman" w:cs="Times New Roman"/>
          <w:sz w:val="24"/>
          <w:szCs w:val="24"/>
        </w:rPr>
        <w:t xml:space="preserve"> process</w:t>
      </w:r>
      <w:r w:rsidRPr="00910EA1">
        <w:rPr>
          <w:rFonts w:ascii="Times New Roman" w:hAnsi="Times New Roman" w:cs="Times New Roman"/>
          <w:sz w:val="24"/>
          <w:szCs w:val="24"/>
        </w:rPr>
        <w:t xml:space="preserve"> </w:t>
      </w:r>
    </w:p>
    <w:p w14:paraId="6ED9F7FB" w14:textId="77777777" w:rsidR="009216E0" w:rsidRPr="00910EA1" w:rsidRDefault="009216E0" w:rsidP="00910EA1">
      <w:pPr>
        <w:spacing w:after="0" w:line="276" w:lineRule="auto"/>
        <w:jc w:val="both"/>
        <w:rPr>
          <w:rFonts w:ascii="Times New Roman" w:hAnsi="Times New Roman" w:cs="Times New Roman"/>
          <w:sz w:val="24"/>
          <w:szCs w:val="24"/>
        </w:rPr>
      </w:pPr>
    </w:p>
    <w:p w14:paraId="6ED99153" w14:textId="62808B79" w:rsidR="00D032AE" w:rsidRPr="00910EA1" w:rsidRDefault="00C52170" w:rsidP="00910EA1">
      <w:pPr>
        <w:pStyle w:val="Heading2"/>
        <w:spacing w:line="276" w:lineRule="auto"/>
        <w:jc w:val="both"/>
        <w:rPr>
          <w:rFonts w:cs="Times New Roman"/>
          <w:szCs w:val="24"/>
        </w:rPr>
      </w:pPr>
      <w:bookmarkStart w:id="7" w:name="_Toc147751448"/>
      <w:r w:rsidRPr="00910EA1">
        <w:rPr>
          <w:rFonts w:cs="Times New Roman"/>
          <w:szCs w:val="24"/>
        </w:rPr>
        <w:t xml:space="preserve">3.3 </w:t>
      </w:r>
      <w:r w:rsidR="00D032AE" w:rsidRPr="00910EA1">
        <w:rPr>
          <w:rFonts w:cs="Times New Roman"/>
          <w:szCs w:val="24"/>
        </w:rPr>
        <w:t>Co-Composted Biochar preparation</w:t>
      </w:r>
      <w:bookmarkEnd w:id="7"/>
    </w:p>
    <w:p w14:paraId="279AAB2C" w14:textId="3F17A31F" w:rsidR="00FE3AC4" w:rsidRPr="00910EA1" w:rsidRDefault="00D032AE"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 xml:space="preserve">Compost used for the study was prepared from three basic materials which include domestic waste (cassava peels, plantain peels, pineapple peels and solid food leftover), </w:t>
      </w:r>
      <w:bookmarkStart w:id="8" w:name="_Hlk217355522"/>
      <w:r w:rsidRPr="00910EA1">
        <w:rPr>
          <w:rFonts w:ascii="Times New Roman" w:hAnsi="Times New Roman" w:cs="Times New Roman"/>
          <w:sz w:val="24"/>
          <w:szCs w:val="24"/>
        </w:rPr>
        <w:t>poultry manure and Coconut husk biochar using the windrow method</w:t>
      </w:r>
      <w:bookmarkEnd w:id="8"/>
      <w:r w:rsidRPr="00910EA1">
        <w:rPr>
          <w:rFonts w:ascii="Times New Roman" w:hAnsi="Times New Roman" w:cs="Times New Roman"/>
          <w:sz w:val="24"/>
          <w:szCs w:val="24"/>
        </w:rPr>
        <w:t>. Coconut husk biochar was obtained through pyrolysis, poultry manure with decomposed bedding material collected from deep litter system layer pen in the University of Cape Coast Teaching and Research Farms, cassava, plantain and pineapple peels collected from nearby restaurants and solid food leftover collected from nearby Senior High Schools such as Adisadel College, Ghana National College and University Practice S.H.S. The food waste was air dried, separated, and grating was used to decrease the particle size. The remaining feedstocks, except the biochar, were then measured, divided into four equal portions, and made into four compost heaps, each containing 100 kg of the feedstocks. The biochar co-composts were prepared separately by adding varying amounts (0%,2%, 5% and 10%) of the coconut husk biochar. In the four biochar co-compost rates, all feedstocks, including biochar, were thoroughly mixed, moistened, and heaped. Pure compost was Heap 1, 2 kg of biochar is added in Heap 2, 5 kg of biochar is added in Heap 3, and 10 kg of biochar is added in Heap 4. For the first two weeks, the heaps were turned on every three days, then once a week until they reached maturity. The compost took two months to mature, three weeks to cure and dry.</w:t>
      </w:r>
    </w:p>
    <w:p w14:paraId="7A6273B0" w14:textId="633828CF" w:rsidR="00FB00E5" w:rsidRPr="00910EA1" w:rsidRDefault="00FE3AC4" w:rsidP="00910EA1">
      <w:pPr>
        <w:spacing w:after="0" w:line="276" w:lineRule="auto"/>
        <w:jc w:val="both"/>
        <w:rPr>
          <w:rFonts w:ascii="Times New Roman" w:hAnsi="Times New Roman" w:cs="Times New Roman"/>
          <w:noProof/>
          <w:sz w:val="24"/>
          <w:szCs w:val="24"/>
        </w:rPr>
      </w:pPr>
      <w:r w:rsidRPr="00910EA1">
        <w:rPr>
          <w:rFonts w:ascii="Times New Roman" w:hAnsi="Times New Roman" w:cs="Times New Roman"/>
          <w:noProof/>
          <w:sz w:val="24"/>
          <w:szCs w:val="24"/>
        </w:rPr>
        <w:lastRenderedPageBreak/>
        <w:drawing>
          <wp:inline distT="0" distB="0" distL="0" distR="0" wp14:anchorId="5F6D6B7E" wp14:editId="5AACE8AE">
            <wp:extent cx="2620783" cy="2044431"/>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710193" cy="2114178"/>
                    </a:xfrm>
                    <a:prstGeom prst="rect">
                      <a:avLst/>
                    </a:prstGeom>
                  </pic:spPr>
                </pic:pic>
              </a:graphicData>
            </a:graphic>
          </wp:inline>
        </w:drawing>
      </w:r>
      <w:r w:rsidRPr="00910EA1">
        <w:rPr>
          <w:rFonts w:ascii="Times New Roman" w:hAnsi="Times New Roman" w:cs="Times New Roman"/>
          <w:noProof/>
          <w:sz w:val="24"/>
          <w:szCs w:val="24"/>
        </w:rPr>
        <w:drawing>
          <wp:inline distT="0" distB="0" distL="0" distR="0" wp14:anchorId="7AFE765F" wp14:editId="2A0BBCED">
            <wp:extent cx="2520315" cy="202614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27271" cy="2031739"/>
                    </a:xfrm>
                    <a:prstGeom prst="rect">
                      <a:avLst/>
                    </a:prstGeom>
                  </pic:spPr>
                </pic:pic>
              </a:graphicData>
            </a:graphic>
          </wp:inline>
        </w:drawing>
      </w:r>
    </w:p>
    <w:p w14:paraId="7859E5F8" w14:textId="2DFD2318" w:rsidR="00FE3AC4" w:rsidRPr="00910EA1" w:rsidRDefault="00FB00E5" w:rsidP="00910EA1">
      <w:pPr>
        <w:spacing w:after="0" w:line="276" w:lineRule="auto"/>
        <w:jc w:val="both"/>
        <w:rPr>
          <w:rFonts w:ascii="Times New Roman" w:hAnsi="Times New Roman" w:cs="Times New Roman"/>
          <w:i/>
          <w:iCs/>
          <w:sz w:val="24"/>
          <w:szCs w:val="24"/>
        </w:rPr>
      </w:pPr>
      <w:r w:rsidRPr="00910EA1">
        <w:rPr>
          <w:rFonts w:ascii="Times New Roman" w:hAnsi="Times New Roman" w:cs="Times New Roman"/>
          <w:noProof/>
          <w:sz w:val="24"/>
          <w:szCs w:val="24"/>
        </w:rPr>
        <w:t xml:space="preserve">Figure 3. </w:t>
      </w:r>
      <w:r w:rsidR="00FE3AC4" w:rsidRPr="00910EA1">
        <w:rPr>
          <w:rFonts w:ascii="Times New Roman" w:hAnsi="Times New Roman" w:cs="Times New Roman"/>
          <w:sz w:val="24"/>
          <w:szCs w:val="24"/>
        </w:rPr>
        <w:t>Domestic waste</w:t>
      </w:r>
      <w:r w:rsidR="00A0326A" w:rsidRPr="00910EA1">
        <w:rPr>
          <w:rFonts w:ascii="Times New Roman" w:hAnsi="Times New Roman" w:cs="Times New Roman"/>
          <w:sz w:val="24"/>
          <w:szCs w:val="24"/>
        </w:rPr>
        <w:t>,</w:t>
      </w:r>
      <w:r w:rsidR="00FE3AC4" w:rsidRPr="00910EA1">
        <w:rPr>
          <w:rFonts w:ascii="Times New Roman" w:hAnsi="Times New Roman" w:cs="Times New Roman"/>
          <w:sz w:val="24"/>
          <w:szCs w:val="24"/>
        </w:rPr>
        <w:t xml:space="preserve"> poultry manure and Coconut husk biochar </w:t>
      </w:r>
      <w:r w:rsidR="00A0326A" w:rsidRPr="00910EA1">
        <w:rPr>
          <w:rFonts w:ascii="Times New Roman" w:hAnsi="Times New Roman" w:cs="Times New Roman"/>
          <w:sz w:val="24"/>
          <w:szCs w:val="24"/>
        </w:rPr>
        <w:t xml:space="preserve">being mixed for compost </w:t>
      </w:r>
      <w:r w:rsidR="00FE3AC4" w:rsidRPr="00910EA1">
        <w:rPr>
          <w:rFonts w:ascii="Times New Roman" w:hAnsi="Times New Roman" w:cs="Times New Roman"/>
          <w:sz w:val="24"/>
          <w:szCs w:val="24"/>
        </w:rPr>
        <w:t>using the windrow method</w:t>
      </w:r>
    </w:p>
    <w:p w14:paraId="476333FC" w14:textId="03D54967" w:rsidR="00FE3AC4" w:rsidRPr="00910EA1" w:rsidRDefault="00FE3AC4" w:rsidP="00910EA1">
      <w:pPr>
        <w:spacing w:after="0" w:line="276" w:lineRule="auto"/>
        <w:ind w:firstLine="720"/>
        <w:jc w:val="both"/>
        <w:rPr>
          <w:rFonts w:ascii="Times New Roman" w:hAnsi="Times New Roman" w:cs="Times New Roman"/>
          <w:i/>
          <w:iCs/>
          <w:sz w:val="24"/>
          <w:szCs w:val="24"/>
        </w:rPr>
      </w:pPr>
    </w:p>
    <w:p w14:paraId="286DAECA" w14:textId="18A83DBB" w:rsidR="00FE3AC4" w:rsidRPr="00910EA1" w:rsidRDefault="00FE3AC4" w:rsidP="00910EA1">
      <w:pPr>
        <w:spacing w:after="0" w:line="276" w:lineRule="auto"/>
        <w:ind w:firstLine="720"/>
        <w:jc w:val="both"/>
        <w:rPr>
          <w:rFonts w:ascii="Times New Roman" w:hAnsi="Times New Roman" w:cs="Times New Roman"/>
          <w:sz w:val="24"/>
          <w:szCs w:val="24"/>
        </w:rPr>
      </w:pPr>
    </w:p>
    <w:p w14:paraId="0954E99B" w14:textId="1AE0C31E" w:rsidR="00FE3AC4" w:rsidRPr="00910EA1" w:rsidRDefault="00FE3AC4" w:rsidP="00910EA1">
      <w:pPr>
        <w:spacing w:after="0" w:line="276" w:lineRule="auto"/>
        <w:ind w:firstLine="720"/>
        <w:jc w:val="both"/>
        <w:rPr>
          <w:rFonts w:ascii="Times New Roman" w:hAnsi="Times New Roman" w:cs="Times New Roman"/>
          <w:sz w:val="24"/>
          <w:szCs w:val="24"/>
        </w:rPr>
      </w:pPr>
    </w:p>
    <w:p w14:paraId="3BAA28D8" w14:textId="77777777" w:rsidR="00FE3AC4" w:rsidRPr="00910EA1" w:rsidRDefault="00FE3AC4" w:rsidP="00910EA1">
      <w:pPr>
        <w:spacing w:after="0" w:line="276" w:lineRule="auto"/>
        <w:ind w:firstLine="720"/>
        <w:jc w:val="both"/>
        <w:rPr>
          <w:rFonts w:ascii="Times New Roman" w:hAnsi="Times New Roman" w:cs="Times New Roman"/>
          <w:sz w:val="24"/>
          <w:szCs w:val="24"/>
        </w:rPr>
      </w:pPr>
    </w:p>
    <w:p w14:paraId="1139E4D9" w14:textId="5316153C" w:rsidR="00D032AE" w:rsidRPr="00910EA1" w:rsidRDefault="008F61C5" w:rsidP="00910EA1">
      <w:pPr>
        <w:pStyle w:val="LT"/>
        <w:spacing w:line="276" w:lineRule="auto"/>
        <w:jc w:val="both"/>
      </w:pPr>
      <w:bookmarkStart w:id="9" w:name="_Toc147751517"/>
      <w:r w:rsidRPr="00910EA1">
        <w:t>3.4</w:t>
      </w:r>
      <w:r w:rsidR="00D032AE" w:rsidRPr="00910EA1">
        <w:t xml:space="preserve"> Table 1: </w:t>
      </w:r>
      <w:r w:rsidR="00EB0836" w:rsidRPr="00910EA1">
        <w:t>Treatments details</w:t>
      </w:r>
      <w:bookmarkEnd w:id="9"/>
    </w:p>
    <w:tbl>
      <w:tblPr>
        <w:tblStyle w:val="PlainTable21"/>
        <w:tblW w:w="0" w:type="auto"/>
        <w:tblLook w:val="04A0" w:firstRow="1" w:lastRow="0" w:firstColumn="1" w:lastColumn="0" w:noHBand="0" w:noVBand="1"/>
      </w:tblPr>
      <w:tblGrid>
        <w:gridCol w:w="1925"/>
        <w:gridCol w:w="1414"/>
        <w:gridCol w:w="1390"/>
        <w:gridCol w:w="1387"/>
        <w:gridCol w:w="1391"/>
        <w:gridCol w:w="1522"/>
      </w:tblGrid>
      <w:tr w:rsidR="006E3B5B" w:rsidRPr="00910EA1" w14:paraId="056510AE" w14:textId="77777777" w:rsidTr="00EB08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Borders>
              <w:top w:val="single" w:sz="4" w:space="0" w:color="7F7F7F" w:themeColor="text1" w:themeTint="80"/>
              <w:bottom w:val="single" w:sz="4" w:space="0" w:color="auto"/>
            </w:tcBorders>
          </w:tcPr>
          <w:p w14:paraId="580BE929" w14:textId="77777777" w:rsidR="006E3B5B" w:rsidRPr="00910EA1" w:rsidRDefault="006E3B5B" w:rsidP="00910EA1">
            <w:pPr>
              <w:spacing w:line="276" w:lineRule="auto"/>
              <w:jc w:val="both"/>
              <w:rPr>
                <w:rFonts w:ascii="Times New Roman" w:hAnsi="Times New Roman" w:cs="Times New Roman"/>
                <w:b w:val="0"/>
                <w:bCs w:val="0"/>
                <w:sz w:val="24"/>
                <w:szCs w:val="24"/>
              </w:rPr>
            </w:pPr>
            <w:r w:rsidRPr="00910EA1">
              <w:rPr>
                <w:rFonts w:ascii="Times New Roman" w:hAnsi="Times New Roman" w:cs="Times New Roman"/>
                <w:b w:val="0"/>
                <w:bCs w:val="0"/>
                <w:sz w:val="24"/>
                <w:szCs w:val="24"/>
              </w:rPr>
              <w:t>TREATMENTS</w:t>
            </w:r>
          </w:p>
        </w:tc>
        <w:tc>
          <w:tcPr>
            <w:tcW w:w="1493" w:type="dxa"/>
            <w:tcBorders>
              <w:top w:val="single" w:sz="4" w:space="0" w:color="7F7F7F" w:themeColor="text1" w:themeTint="80"/>
              <w:bottom w:val="single" w:sz="4" w:space="0" w:color="auto"/>
            </w:tcBorders>
          </w:tcPr>
          <w:p w14:paraId="5BFCAE72" w14:textId="77777777" w:rsidR="006E3B5B" w:rsidRPr="00910EA1" w:rsidRDefault="006E3B5B"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910EA1">
              <w:rPr>
                <w:rFonts w:ascii="Times New Roman" w:hAnsi="Times New Roman" w:cs="Times New Roman"/>
                <w:b w:val="0"/>
                <w:bCs w:val="0"/>
                <w:sz w:val="24"/>
                <w:szCs w:val="24"/>
              </w:rPr>
              <w:t>SOIL</w:t>
            </w:r>
          </w:p>
        </w:tc>
        <w:tc>
          <w:tcPr>
            <w:tcW w:w="1464" w:type="dxa"/>
            <w:tcBorders>
              <w:top w:val="single" w:sz="4" w:space="0" w:color="7F7F7F" w:themeColor="text1" w:themeTint="80"/>
              <w:bottom w:val="single" w:sz="4" w:space="0" w:color="auto"/>
            </w:tcBorders>
          </w:tcPr>
          <w:p w14:paraId="07BD427B" w14:textId="77777777" w:rsidR="006E3B5B" w:rsidRPr="00910EA1" w:rsidRDefault="006E3B5B"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910EA1">
              <w:rPr>
                <w:rFonts w:ascii="Times New Roman" w:hAnsi="Times New Roman" w:cs="Times New Roman"/>
                <w:b w:val="0"/>
                <w:bCs w:val="0"/>
                <w:sz w:val="24"/>
                <w:szCs w:val="24"/>
              </w:rPr>
              <w:t>N</w:t>
            </w:r>
          </w:p>
        </w:tc>
        <w:tc>
          <w:tcPr>
            <w:tcW w:w="1461" w:type="dxa"/>
            <w:tcBorders>
              <w:top w:val="single" w:sz="4" w:space="0" w:color="7F7F7F" w:themeColor="text1" w:themeTint="80"/>
              <w:bottom w:val="single" w:sz="4" w:space="0" w:color="auto"/>
            </w:tcBorders>
          </w:tcPr>
          <w:p w14:paraId="02AC0DDA" w14:textId="77777777" w:rsidR="006E3B5B" w:rsidRPr="00910EA1" w:rsidRDefault="006E3B5B"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910EA1">
              <w:rPr>
                <w:rFonts w:ascii="Times New Roman" w:hAnsi="Times New Roman" w:cs="Times New Roman"/>
                <w:b w:val="0"/>
                <w:bCs w:val="0"/>
                <w:sz w:val="24"/>
                <w:szCs w:val="24"/>
              </w:rPr>
              <w:t>P</w:t>
            </w:r>
          </w:p>
        </w:tc>
        <w:tc>
          <w:tcPr>
            <w:tcW w:w="1465" w:type="dxa"/>
            <w:tcBorders>
              <w:top w:val="single" w:sz="4" w:space="0" w:color="7F7F7F" w:themeColor="text1" w:themeTint="80"/>
              <w:bottom w:val="single" w:sz="4" w:space="0" w:color="auto"/>
            </w:tcBorders>
          </w:tcPr>
          <w:p w14:paraId="1D9C1B45" w14:textId="77777777" w:rsidR="006E3B5B" w:rsidRPr="00910EA1" w:rsidRDefault="006E3B5B"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910EA1">
              <w:rPr>
                <w:rFonts w:ascii="Times New Roman" w:hAnsi="Times New Roman" w:cs="Times New Roman"/>
                <w:b w:val="0"/>
                <w:bCs w:val="0"/>
                <w:sz w:val="24"/>
                <w:szCs w:val="24"/>
              </w:rPr>
              <w:t>K</w:t>
            </w:r>
          </w:p>
        </w:tc>
        <w:tc>
          <w:tcPr>
            <w:tcW w:w="1542" w:type="dxa"/>
            <w:tcBorders>
              <w:top w:val="single" w:sz="4" w:space="0" w:color="7F7F7F" w:themeColor="text1" w:themeTint="80"/>
              <w:bottom w:val="single" w:sz="4" w:space="0" w:color="auto"/>
            </w:tcBorders>
          </w:tcPr>
          <w:p w14:paraId="08CEECF4" w14:textId="77777777" w:rsidR="006E3B5B" w:rsidRPr="00910EA1" w:rsidRDefault="006E3B5B"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910EA1">
              <w:rPr>
                <w:rFonts w:ascii="Times New Roman" w:hAnsi="Times New Roman" w:cs="Times New Roman"/>
                <w:b w:val="0"/>
                <w:bCs w:val="0"/>
                <w:sz w:val="24"/>
                <w:szCs w:val="24"/>
              </w:rPr>
              <w:t>COMPOST</w:t>
            </w:r>
          </w:p>
        </w:tc>
      </w:tr>
      <w:tr w:rsidR="006E3B5B" w:rsidRPr="00910EA1" w14:paraId="02633445" w14:textId="77777777" w:rsidTr="00EB0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6"/>
            <w:tcBorders>
              <w:top w:val="single" w:sz="4" w:space="0" w:color="auto"/>
              <w:bottom w:val="single" w:sz="4" w:space="0" w:color="auto"/>
            </w:tcBorders>
          </w:tcPr>
          <w:p w14:paraId="113D93FE" w14:textId="77777777" w:rsidR="006E3B5B" w:rsidRPr="00910EA1" w:rsidRDefault="006E3B5B" w:rsidP="00910EA1">
            <w:pPr>
              <w:spacing w:line="276" w:lineRule="auto"/>
              <w:jc w:val="both"/>
              <w:rPr>
                <w:rFonts w:ascii="Times New Roman" w:hAnsi="Times New Roman" w:cs="Times New Roman"/>
                <w:b w:val="0"/>
                <w:bCs w:val="0"/>
                <w:sz w:val="24"/>
                <w:szCs w:val="24"/>
              </w:rPr>
            </w:pPr>
            <w:r w:rsidRPr="00910EA1">
              <w:rPr>
                <w:rFonts w:ascii="Times New Roman" w:hAnsi="Times New Roman" w:cs="Times New Roman"/>
                <w:b w:val="0"/>
                <w:bCs w:val="0"/>
                <w:sz w:val="24"/>
                <w:szCs w:val="24"/>
              </w:rPr>
              <w:t>Grams(g)</w:t>
            </w:r>
          </w:p>
        </w:tc>
      </w:tr>
      <w:tr w:rsidR="006E3B5B" w:rsidRPr="00910EA1" w14:paraId="75ECFEAB" w14:textId="77777777" w:rsidTr="00EB0836">
        <w:tc>
          <w:tcPr>
            <w:cnfStyle w:val="001000000000" w:firstRow="0" w:lastRow="0" w:firstColumn="1" w:lastColumn="0" w:oddVBand="0" w:evenVBand="0" w:oddHBand="0" w:evenHBand="0" w:firstRowFirstColumn="0" w:firstRowLastColumn="0" w:lastRowFirstColumn="0" w:lastRowLastColumn="0"/>
            <w:tcW w:w="1925" w:type="dxa"/>
            <w:tcBorders>
              <w:top w:val="single" w:sz="4" w:space="0" w:color="auto"/>
              <w:bottom w:val="nil"/>
            </w:tcBorders>
          </w:tcPr>
          <w:p w14:paraId="32D8E900" w14:textId="573532A7" w:rsidR="006E3B5B" w:rsidRPr="00910EA1" w:rsidRDefault="006E3B5B" w:rsidP="00910EA1">
            <w:pPr>
              <w:spacing w:line="276" w:lineRule="auto"/>
              <w:jc w:val="both"/>
              <w:rPr>
                <w:rFonts w:ascii="Times New Roman" w:hAnsi="Times New Roman" w:cs="Times New Roman"/>
                <w:b w:val="0"/>
                <w:bCs w:val="0"/>
                <w:sz w:val="24"/>
                <w:szCs w:val="24"/>
              </w:rPr>
            </w:pPr>
            <w:r w:rsidRPr="00910EA1">
              <w:rPr>
                <w:rFonts w:ascii="Times New Roman" w:hAnsi="Times New Roman" w:cs="Times New Roman"/>
                <w:b w:val="0"/>
                <w:bCs w:val="0"/>
                <w:sz w:val="24"/>
                <w:szCs w:val="24"/>
              </w:rPr>
              <w:t>CONTROL</w:t>
            </w:r>
          </w:p>
        </w:tc>
        <w:tc>
          <w:tcPr>
            <w:tcW w:w="1493" w:type="dxa"/>
            <w:tcBorders>
              <w:top w:val="single" w:sz="4" w:space="0" w:color="auto"/>
              <w:bottom w:val="nil"/>
            </w:tcBorders>
          </w:tcPr>
          <w:p w14:paraId="466F65BE" w14:textId="77777777" w:rsidR="006E3B5B" w:rsidRPr="00910EA1" w:rsidRDefault="006E3B5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100</w:t>
            </w:r>
          </w:p>
        </w:tc>
        <w:tc>
          <w:tcPr>
            <w:tcW w:w="1464" w:type="dxa"/>
            <w:tcBorders>
              <w:top w:val="single" w:sz="4" w:space="0" w:color="auto"/>
              <w:bottom w:val="nil"/>
            </w:tcBorders>
          </w:tcPr>
          <w:p w14:paraId="3A9EF21B" w14:textId="77777777" w:rsidR="006E3B5B" w:rsidRPr="00910EA1" w:rsidRDefault="006E3B5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w:t>
            </w:r>
          </w:p>
        </w:tc>
        <w:tc>
          <w:tcPr>
            <w:tcW w:w="1461" w:type="dxa"/>
            <w:tcBorders>
              <w:top w:val="single" w:sz="4" w:space="0" w:color="auto"/>
              <w:bottom w:val="nil"/>
            </w:tcBorders>
          </w:tcPr>
          <w:p w14:paraId="7EBAC59B" w14:textId="77777777" w:rsidR="006E3B5B" w:rsidRPr="00910EA1" w:rsidRDefault="006E3B5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w:t>
            </w:r>
          </w:p>
        </w:tc>
        <w:tc>
          <w:tcPr>
            <w:tcW w:w="1465" w:type="dxa"/>
            <w:tcBorders>
              <w:top w:val="single" w:sz="4" w:space="0" w:color="auto"/>
              <w:bottom w:val="nil"/>
            </w:tcBorders>
          </w:tcPr>
          <w:p w14:paraId="5E3BB64E" w14:textId="77777777" w:rsidR="006E3B5B" w:rsidRPr="00910EA1" w:rsidRDefault="006E3B5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w:t>
            </w:r>
          </w:p>
        </w:tc>
        <w:tc>
          <w:tcPr>
            <w:tcW w:w="1542" w:type="dxa"/>
            <w:tcBorders>
              <w:top w:val="single" w:sz="4" w:space="0" w:color="auto"/>
              <w:bottom w:val="nil"/>
            </w:tcBorders>
          </w:tcPr>
          <w:p w14:paraId="33CDB6DD" w14:textId="77777777" w:rsidR="006E3B5B" w:rsidRPr="00910EA1" w:rsidRDefault="006E3B5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w:t>
            </w:r>
          </w:p>
        </w:tc>
      </w:tr>
      <w:tr w:rsidR="006E3B5B" w:rsidRPr="00910EA1" w14:paraId="627873BF" w14:textId="77777777" w:rsidTr="00EB0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Borders>
              <w:top w:val="nil"/>
              <w:bottom w:val="nil"/>
            </w:tcBorders>
          </w:tcPr>
          <w:p w14:paraId="1FF2E3C7" w14:textId="11A390B7" w:rsidR="006E3B5B" w:rsidRPr="00910EA1" w:rsidRDefault="006E3B5B" w:rsidP="00910EA1">
            <w:pPr>
              <w:spacing w:line="276" w:lineRule="auto"/>
              <w:jc w:val="both"/>
              <w:rPr>
                <w:rFonts w:ascii="Times New Roman" w:hAnsi="Times New Roman" w:cs="Times New Roman"/>
                <w:b w:val="0"/>
                <w:bCs w:val="0"/>
                <w:sz w:val="24"/>
                <w:szCs w:val="24"/>
              </w:rPr>
            </w:pPr>
            <w:r w:rsidRPr="00910EA1">
              <w:rPr>
                <w:rFonts w:ascii="Times New Roman" w:hAnsi="Times New Roman" w:cs="Times New Roman"/>
                <w:b w:val="0"/>
                <w:bCs w:val="0"/>
                <w:sz w:val="24"/>
                <w:szCs w:val="24"/>
              </w:rPr>
              <w:t>INORGANIC</w:t>
            </w:r>
          </w:p>
        </w:tc>
        <w:tc>
          <w:tcPr>
            <w:tcW w:w="1493" w:type="dxa"/>
            <w:tcBorders>
              <w:top w:val="nil"/>
              <w:bottom w:val="nil"/>
            </w:tcBorders>
          </w:tcPr>
          <w:p w14:paraId="4419144C" w14:textId="77777777" w:rsidR="006E3B5B" w:rsidRPr="00910EA1" w:rsidRDefault="006E3B5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100</w:t>
            </w:r>
          </w:p>
        </w:tc>
        <w:tc>
          <w:tcPr>
            <w:tcW w:w="1464" w:type="dxa"/>
            <w:tcBorders>
              <w:top w:val="nil"/>
              <w:bottom w:val="nil"/>
            </w:tcBorders>
          </w:tcPr>
          <w:p w14:paraId="112C7AA2" w14:textId="77777777" w:rsidR="006E3B5B" w:rsidRPr="00910EA1" w:rsidRDefault="006E3B5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0.033</w:t>
            </w:r>
          </w:p>
        </w:tc>
        <w:tc>
          <w:tcPr>
            <w:tcW w:w="1461" w:type="dxa"/>
            <w:tcBorders>
              <w:top w:val="nil"/>
              <w:bottom w:val="nil"/>
            </w:tcBorders>
          </w:tcPr>
          <w:p w14:paraId="72695637" w14:textId="77777777" w:rsidR="006E3B5B" w:rsidRPr="00910EA1" w:rsidRDefault="006E3B5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0.020</w:t>
            </w:r>
          </w:p>
        </w:tc>
        <w:tc>
          <w:tcPr>
            <w:tcW w:w="1465" w:type="dxa"/>
            <w:tcBorders>
              <w:top w:val="nil"/>
              <w:bottom w:val="nil"/>
            </w:tcBorders>
          </w:tcPr>
          <w:p w14:paraId="4E1D731E" w14:textId="77777777" w:rsidR="006E3B5B" w:rsidRPr="00910EA1" w:rsidRDefault="006E3B5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0.015</w:t>
            </w:r>
          </w:p>
        </w:tc>
        <w:tc>
          <w:tcPr>
            <w:tcW w:w="1542" w:type="dxa"/>
            <w:tcBorders>
              <w:top w:val="nil"/>
              <w:bottom w:val="nil"/>
            </w:tcBorders>
          </w:tcPr>
          <w:p w14:paraId="5AD6188B" w14:textId="77777777" w:rsidR="006E3B5B" w:rsidRPr="00910EA1" w:rsidRDefault="006E3B5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6E3B5B" w:rsidRPr="00910EA1" w14:paraId="05CD7E12" w14:textId="77777777" w:rsidTr="00EB0836">
        <w:tc>
          <w:tcPr>
            <w:cnfStyle w:val="001000000000" w:firstRow="0" w:lastRow="0" w:firstColumn="1" w:lastColumn="0" w:oddVBand="0" w:evenVBand="0" w:oddHBand="0" w:evenHBand="0" w:firstRowFirstColumn="0" w:firstRowLastColumn="0" w:lastRowFirstColumn="0" w:lastRowLastColumn="0"/>
            <w:tcW w:w="1925" w:type="dxa"/>
            <w:tcBorders>
              <w:top w:val="nil"/>
              <w:bottom w:val="nil"/>
            </w:tcBorders>
          </w:tcPr>
          <w:p w14:paraId="41FD4BC4" w14:textId="77777777" w:rsidR="006E3B5B" w:rsidRPr="00910EA1" w:rsidRDefault="006E3B5B" w:rsidP="00910EA1">
            <w:pPr>
              <w:spacing w:line="276" w:lineRule="auto"/>
              <w:jc w:val="both"/>
              <w:rPr>
                <w:rFonts w:ascii="Times New Roman" w:hAnsi="Times New Roman" w:cs="Times New Roman"/>
                <w:b w:val="0"/>
                <w:bCs w:val="0"/>
                <w:sz w:val="24"/>
                <w:szCs w:val="24"/>
              </w:rPr>
            </w:pPr>
            <w:r w:rsidRPr="00910EA1">
              <w:rPr>
                <w:rFonts w:ascii="Times New Roman" w:hAnsi="Times New Roman" w:cs="Times New Roman"/>
                <w:b w:val="0"/>
                <w:bCs w:val="0"/>
                <w:sz w:val="24"/>
                <w:szCs w:val="24"/>
              </w:rPr>
              <w:t>COMPOST</w:t>
            </w:r>
          </w:p>
        </w:tc>
        <w:tc>
          <w:tcPr>
            <w:tcW w:w="1493" w:type="dxa"/>
            <w:tcBorders>
              <w:top w:val="nil"/>
              <w:bottom w:val="nil"/>
            </w:tcBorders>
          </w:tcPr>
          <w:p w14:paraId="2D506ED4" w14:textId="77777777" w:rsidR="006E3B5B" w:rsidRPr="00910EA1" w:rsidRDefault="006E3B5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100</w:t>
            </w:r>
          </w:p>
        </w:tc>
        <w:tc>
          <w:tcPr>
            <w:tcW w:w="1464" w:type="dxa"/>
            <w:tcBorders>
              <w:top w:val="nil"/>
              <w:bottom w:val="nil"/>
            </w:tcBorders>
          </w:tcPr>
          <w:p w14:paraId="01B87F94" w14:textId="77777777" w:rsidR="006E3B5B" w:rsidRPr="00910EA1" w:rsidRDefault="006E3B5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w:t>
            </w:r>
          </w:p>
        </w:tc>
        <w:tc>
          <w:tcPr>
            <w:tcW w:w="1461" w:type="dxa"/>
            <w:tcBorders>
              <w:top w:val="nil"/>
              <w:bottom w:val="nil"/>
            </w:tcBorders>
          </w:tcPr>
          <w:p w14:paraId="1E030BF6" w14:textId="77777777" w:rsidR="006E3B5B" w:rsidRPr="00910EA1" w:rsidRDefault="006E3B5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0.018</w:t>
            </w:r>
          </w:p>
        </w:tc>
        <w:tc>
          <w:tcPr>
            <w:tcW w:w="1465" w:type="dxa"/>
            <w:tcBorders>
              <w:top w:val="nil"/>
              <w:bottom w:val="nil"/>
            </w:tcBorders>
          </w:tcPr>
          <w:p w14:paraId="75EEA2E0" w14:textId="77777777" w:rsidR="006E3B5B" w:rsidRPr="00910EA1" w:rsidRDefault="006E3B5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0.012</w:t>
            </w:r>
          </w:p>
        </w:tc>
        <w:tc>
          <w:tcPr>
            <w:tcW w:w="1542" w:type="dxa"/>
            <w:tcBorders>
              <w:top w:val="nil"/>
              <w:bottom w:val="nil"/>
            </w:tcBorders>
          </w:tcPr>
          <w:p w14:paraId="5EEB594B" w14:textId="77777777" w:rsidR="006E3B5B" w:rsidRPr="00910EA1" w:rsidRDefault="006E3B5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1.24</w:t>
            </w:r>
          </w:p>
        </w:tc>
      </w:tr>
      <w:tr w:rsidR="006E3B5B" w:rsidRPr="00910EA1" w14:paraId="7F4A9FEA" w14:textId="77777777" w:rsidTr="00EB0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Borders>
              <w:top w:val="nil"/>
              <w:bottom w:val="nil"/>
            </w:tcBorders>
          </w:tcPr>
          <w:p w14:paraId="376A3AA0" w14:textId="77777777" w:rsidR="006E3B5B" w:rsidRPr="00910EA1" w:rsidRDefault="006E3B5B" w:rsidP="00910EA1">
            <w:pPr>
              <w:spacing w:line="276" w:lineRule="auto"/>
              <w:jc w:val="both"/>
              <w:rPr>
                <w:rFonts w:ascii="Times New Roman" w:hAnsi="Times New Roman" w:cs="Times New Roman"/>
                <w:b w:val="0"/>
                <w:bCs w:val="0"/>
                <w:sz w:val="24"/>
                <w:szCs w:val="24"/>
              </w:rPr>
            </w:pPr>
            <w:r w:rsidRPr="00910EA1">
              <w:rPr>
                <w:rFonts w:ascii="Times New Roman" w:hAnsi="Times New Roman" w:cs="Times New Roman"/>
                <w:b w:val="0"/>
                <w:bCs w:val="0"/>
                <w:sz w:val="24"/>
                <w:szCs w:val="24"/>
              </w:rPr>
              <w:t>COMPOST+5%</w:t>
            </w:r>
          </w:p>
          <w:p w14:paraId="0157EDE9" w14:textId="77777777" w:rsidR="006E3B5B" w:rsidRPr="00910EA1" w:rsidRDefault="006E3B5B" w:rsidP="00910EA1">
            <w:pPr>
              <w:spacing w:line="276" w:lineRule="auto"/>
              <w:jc w:val="both"/>
              <w:rPr>
                <w:rFonts w:ascii="Times New Roman" w:hAnsi="Times New Roman" w:cs="Times New Roman"/>
                <w:b w:val="0"/>
                <w:bCs w:val="0"/>
                <w:sz w:val="24"/>
                <w:szCs w:val="24"/>
              </w:rPr>
            </w:pPr>
            <w:r w:rsidRPr="00910EA1">
              <w:rPr>
                <w:rFonts w:ascii="Times New Roman" w:hAnsi="Times New Roman" w:cs="Times New Roman"/>
                <w:b w:val="0"/>
                <w:bCs w:val="0"/>
                <w:sz w:val="24"/>
                <w:szCs w:val="24"/>
              </w:rPr>
              <w:t>BIOCHAR</w:t>
            </w:r>
          </w:p>
        </w:tc>
        <w:tc>
          <w:tcPr>
            <w:tcW w:w="1493" w:type="dxa"/>
            <w:tcBorders>
              <w:top w:val="nil"/>
              <w:bottom w:val="nil"/>
            </w:tcBorders>
          </w:tcPr>
          <w:p w14:paraId="254EB8B2" w14:textId="77777777" w:rsidR="006E3B5B" w:rsidRPr="00910EA1" w:rsidRDefault="006E3B5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100</w:t>
            </w:r>
          </w:p>
        </w:tc>
        <w:tc>
          <w:tcPr>
            <w:tcW w:w="1464" w:type="dxa"/>
            <w:tcBorders>
              <w:top w:val="nil"/>
              <w:bottom w:val="nil"/>
            </w:tcBorders>
          </w:tcPr>
          <w:p w14:paraId="58104F38" w14:textId="77777777" w:rsidR="006E3B5B" w:rsidRPr="00910EA1" w:rsidRDefault="006E3B5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w:t>
            </w:r>
          </w:p>
        </w:tc>
        <w:tc>
          <w:tcPr>
            <w:tcW w:w="1461" w:type="dxa"/>
            <w:tcBorders>
              <w:top w:val="nil"/>
              <w:bottom w:val="nil"/>
            </w:tcBorders>
          </w:tcPr>
          <w:p w14:paraId="04BBF26C" w14:textId="77777777" w:rsidR="006E3B5B" w:rsidRPr="00910EA1" w:rsidRDefault="006E3B5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0.018</w:t>
            </w:r>
          </w:p>
        </w:tc>
        <w:tc>
          <w:tcPr>
            <w:tcW w:w="1465" w:type="dxa"/>
            <w:tcBorders>
              <w:top w:val="nil"/>
              <w:bottom w:val="nil"/>
            </w:tcBorders>
          </w:tcPr>
          <w:p w14:paraId="394FD793" w14:textId="77777777" w:rsidR="006E3B5B" w:rsidRPr="00910EA1" w:rsidRDefault="006E3B5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0.012</w:t>
            </w:r>
          </w:p>
        </w:tc>
        <w:tc>
          <w:tcPr>
            <w:tcW w:w="1542" w:type="dxa"/>
            <w:tcBorders>
              <w:top w:val="nil"/>
              <w:bottom w:val="nil"/>
            </w:tcBorders>
          </w:tcPr>
          <w:p w14:paraId="470E0109" w14:textId="77777777" w:rsidR="006E3B5B" w:rsidRPr="00910EA1" w:rsidRDefault="006E3B5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1.06</w:t>
            </w:r>
          </w:p>
        </w:tc>
      </w:tr>
      <w:tr w:rsidR="006E3B5B" w:rsidRPr="00910EA1" w14:paraId="3B4F7070" w14:textId="77777777" w:rsidTr="00EB0836">
        <w:tc>
          <w:tcPr>
            <w:cnfStyle w:val="001000000000" w:firstRow="0" w:lastRow="0" w:firstColumn="1" w:lastColumn="0" w:oddVBand="0" w:evenVBand="0" w:oddHBand="0" w:evenHBand="0" w:firstRowFirstColumn="0" w:firstRowLastColumn="0" w:lastRowFirstColumn="0" w:lastRowLastColumn="0"/>
            <w:tcW w:w="1925" w:type="dxa"/>
            <w:tcBorders>
              <w:top w:val="nil"/>
              <w:bottom w:val="nil"/>
            </w:tcBorders>
          </w:tcPr>
          <w:p w14:paraId="6CE5D88E" w14:textId="77777777" w:rsidR="006E3B5B" w:rsidRPr="00910EA1" w:rsidRDefault="006E3B5B" w:rsidP="00910EA1">
            <w:pPr>
              <w:spacing w:line="276" w:lineRule="auto"/>
              <w:jc w:val="both"/>
              <w:rPr>
                <w:rFonts w:ascii="Times New Roman" w:hAnsi="Times New Roman" w:cs="Times New Roman"/>
                <w:b w:val="0"/>
                <w:bCs w:val="0"/>
                <w:sz w:val="24"/>
                <w:szCs w:val="24"/>
              </w:rPr>
            </w:pPr>
            <w:r w:rsidRPr="00910EA1">
              <w:rPr>
                <w:rFonts w:ascii="Times New Roman" w:hAnsi="Times New Roman" w:cs="Times New Roman"/>
                <w:b w:val="0"/>
                <w:bCs w:val="0"/>
                <w:sz w:val="24"/>
                <w:szCs w:val="24"/>
              </w:rPr>
              <w:t>COMPOST+10%</w:t>
            </w:r>
          </w:p>
          <w:p w14:paraId="48B1A5DD" w14:textId="77777777" w:rsidR="006E3B5B" w:rsidRPr="00910EA1" w:rsidRDefault="006E3B5B" w:rsidP="00910EA1">
            <w:pPr>
              <w:spacing w:line="276" w:lineRule="auto"/>
              <w:jc w:val="both"/>
              <w:rPr>
                <w:rFonts w:ascii="Times New Roman" w:hAnsi="Times New Roman" w:cs="Times New Roman"/>
                <w:b w:val="0"/>
                <w:bCs w:val="0"/>
                <w:sz w:val="24"/>
                <w:szCs w:val="24"/>
              </w:rPr>
            </w:pPr>
            <w:r w:rsidRPr="00910EA1">
              <w:rPr>
                <w:rFonts w:ascii="Times New Roman" w:hAnsi="Times New Roman" w:cs="Times New Roman"/>
                <w:b w:val="0"/>
                <w:bCs w:val="0"/>
                <w:sz w:val="24"/>
                <w:szCs w:val="24"/>
              </w:rPr>
              <w:t>BIOCHAR</w:t>
            </w:r>
          </w:p>
        </w:tc>
        <w:tc>
          <w:tcPr>
            <w:tcW w:w="1493" w:type="dxa"/>
            <w:tcBorders>
              <w:top w:val="nil"/>
              <w:bottom w:val="nil"/>
            </w:tcBorders>
          </w:tcPr>
          <w:p w14:paraId="6234E6E0" w14:textId="77777777" w:rsidR="006E3B5B" w:rsidRPr="00910EA1" w:rsidRDefault="006E3B5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100</w:t>
            </w:r>
          </w:p>
        </w:tc>
        <w:tc>
          <w:tcPr>
            <w:tcW w:w="1464" w:type="dxa"/>
            <w:tcBorders>
              <w:top w:val="nil"/>
              <w:bottom w:val="nil"/>
            </w:tcBorders>
          </w:tcPr>
          <w:p w14:paraId="228A062E" w14:textId="77777777" w:rsidR="006E3B5B" w:rsidRPr="00910EA1" w:rsidRDefault="006E3B5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w:t>
            </w:r>
          </w:p>
        </w:tc>
        <w:tc>
          <w:tcPr>
            <w:tcW w:w="1461" w:type="dxa"/>
            <w:tcBorders>
              <w:top w:val="nil"/>
              <w:bottom w:val="nil"/>
            </w:tcBorders>
          </w:tcPr>
          <w:p w14:paraId="241BCE48" w14:textId="77777777" w:rsidR="006E3B5B" w:rsidRPr="00910EA1" w:rsidRDefault="006E3B5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0.018</w:t>
            </w:r>
          </w:p>
        </w:tc>
        <w:tc>
          <w:tcPr>
            <w:tcW w:w="1465" w:type="dxa"/>
            <w:tcBorders>
              <w:top w:val="nil"/>
              <w:bottom w:val="nil"/>
            </w:tcBorders>
          </w:tcPr>
          <w:p w14:paraId="59C56324" w14:textId="77777777" w:rsidR="006E3B5B" w:rsidRPr="00910EA1" w:rsidRDefault="006E3B5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0.012</w:t>
            </w:r>
          </w:p>
        </w:tc>
        <w:tc>
          <w:tcPr>
            <w:tcW w:w="1542" w:type="dxa"/>
            <w:tcBorders>
              <w:top w:val="nil"/>
              <w:bottom w:val="nil"/>
            </w:tcBorders>
          </w:tcPr>
          <w:p w14:paraId="047944C2" w14:textId="77777777" w:rsidR="006E3B5B" w:rsidRPr="00910EA1" w:rsidRDefault="006E3B5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0.81</w:t>
            </w:r>
          </w:p>
        </w:tc>
      </w:tr>
      <w:tr w:rsidR="006E3B5B" w:rsidRPr="00910EA1" w14:paraId="3676DC5E" w14:textId="77777777" w:rsidTr="00EB08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Borders>
              <w:top w:val="nil"/>
              <w:bottom w:val="single" w:sz="4" w:space="0" w:color="auto"/>
            </w:tcBorders>
          </w:tcPr>
          <w:p w14:paraId="719947BC" w14:textId="77777777" w:rsidR="006E3B5B" w:rsidRPr="00910EA1" w:rsidRDefault="006E3B5B" w:rsidP="00910EA1">
            <w:pPr>
              <w:spacing w:line="276" w:lineRule="auto"/>
              <w:jc w:val="both"/>
              <w:rPr>
                <w:rFonts w:ascii="Times New Roman" w:hAnsi="Times New Roman" w:cs="Times New Roman"/>
                <w:b w:val="0"/>
                <w:bCs w:val="0"/>
                <w:sz w:val="24"/>
                <w:szCs w:val="24"/>
              </w:rPr>
            </w:pPr>
            <w:r w:rsidRPr="00910EA1">
              <w:rPr>
                <w:rFonts w:ascii="Times New Roman" w:hAnsi="Times New Roman" w:cs="Times New Roman"/>
                <w:b w:val="0"/>
                <w:bCs w:val="0"/>
                <w:sz w:val="24"/>
                <w:szCs w:val="24"/>
              </w:rPr>
              <w:t>COMPOST+10%</w:t>
            </w:r>
          </w:p>
          <w:p w14:paraId="2061E957" w14:textId="77777777" w:rsidR="006E3B5B" w:rsidRPr="00910EA1" w:rsidRDefault="006E3B5B" w:rsidP="00910EA1">
            <w:pPr>
              <w:spacing w:line="276" w:lineRule="auto"/>
              <w:jc w:val="both"/>
              <w:rPr>
                <w:rFonts w:ascii="Times New Roman" w:hAnsi="Times New Roman" w:cs="Times New Roman"/>
                <w:b w:val="0"/>
                <w:bCs w:val="0"/>
                <w:sz w:val="24"/>
                <w:szCs w:val="24"/>
              </w:rPr>
            </w:pPr>
            <w:r w:rsidRPr="00910EA1">
              <w:rPr>
                <w:rFonts w:ascii="Times New Roman" w:hAnsi="Times New Roman" w:cs="Times New Roman"/>
                <w:b w:val="0"/>
                <w:bCs w:val="0"/>
                <w:sz w:val="24"/>
                <w:szCs w:val="24"/>
              </w:rPr>
              <w:t>BIOCHAR</w:t>
            </w:r>
          </w:p>
        </w:tc>
        <w:tc>
          <w:tcPr>
            <w:tcW w:w="1493" w:type="dxa"/>
            <w:tcBorders>
              <w:top w:val="nil"/>
              <w:bottom w:val="single" w:sz="4" w:space="0" w:color="auto"/>
            </w:tcBorders>
          </w:tcPr>
          <w:p w14:paraId="674173C3" w14:textId="77777777" w:rsidR="006E3B5B" w:rsidRPr="00910EA1" w:rsidRDefault="006E3B5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100</w:t>
            </w:r>
          </w:p>
        </w:tc>
        <w:tc>
          <w:tcPr>
            <w:tcW w:w="1464" w:type="dxa"/>
            <w:tcBorders>
              <w:top w:val="nil"/>
              <w:bottom w:val="single" w:sz="4" w:space="0" w:color="auto"/>
            </w:tcBorders>
          </w:tcPr>
          <w:p w14:paraId="5502F2C7" w14:textId="77777777" w:rsidR="006E3B5B" w:rsidRPr="00910EA1" w:rsidRDefault="006E3B5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w:t>
            </w:r>
          </w:p>
        </w:tc>
        <w:tc>
          <w:tcPr>
            <w:tcW w:w="1461" w:type="dxa"/>
            <w:tcBorders>
              <w:top w:val="nil"/>
              <w:bottom w:val="single" w:sz="4" w:space="0" w:color="auto"/>
            </w:tcBorders>
          </w:tcPr>
          <w:p w14:paraId="6D28AE8E" w14:textId="77777777" w:rsidR="006E3B5B" w:rsidRPr="00910EA1" w:rsidRDefault="006E3B5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0.018</w:t>
            </w:r>
          </w:p>
        </w:tc>
        <w:tc>
          <w:tcPr>
            <w:tcW w:w="1465" w:type="dxa"/>
            <w:tcBorders>
              <w:top w:val="nil"/>
              <w:bottom w:val="single" w:sz="4" w:space="0" w:color="auto"/>
            </w:tcBorders>
          </w:tcPr>
          <w:p w14:paraId="4CBD7DDD" w14:textId="77777777" w:rsidR="006E3B5B" w:rsidRPr="00910EA1" w:rsidRDefault="006E3B5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0.012</w:t>
            </w:r>
          </w:p>
        </w:tc>
        <w:tc>
          <w:tcPr>
            <w:tcW w:w="1542" w:type="dxa"/>
            <w:tcBorders>
              <w:top w:val="nil"/>
              <w:bottom w:val="single" w:sz="4" w:space="0" w:color="auto"/>
            </w:tcBorders>
          </w:tcPr>
          <w:p w14:paraId="1C925FEE" w14:textId="77777777" w:rsidR="006E3B5B" w:rsidRPr="00910EA1" w:rsidRDefault="006E3B5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0.73</w:t>
            </w:r>
          </w:p>
        </w:tc>
      </w:tr>
    </w:tbl>
    <w:p w14:paraId="720A307B" w14:textId="77777777" w:rsidR="006E3B5B" w:rsidRPr="00910EA1" w:rsidRDefault="006E3B5B" w:rsidP="00910EA1">
      <w:pPr>
        <w:spacing w:after="0" w:line="276" w:lineRule="auto"/>
        <w:ind w:firstLine="720"/>
        <w:jc w:val="both"/>
        <w:rPr>
          <w:rFonts w:ascii="Times New Roman" w:hAnsi="Times New Roman" w:cs="Times New Roman"/>
          <w:sz w:val="24"/>
          <w:szCs w:val="24"/>
        </w:rPr>
      </w:pPr>
    </w:p>
    <w:p w14:paraId="74F737A0" w14:textId="34E6715A" w:rsidR="00D032AE" w:rsidRPr="00910EA1" w:rsidRDefault="00D032AE"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A characterized, extremely weathered tropical soil was chosen, sampled, air dried and placed in containers. 100g of the air-dried soil was weighed into each of the containers. For each container, various co-composted biochar was weighed based on plant nutrient requirements and compost nitrogen contents. Straight fertilizers’ (Urea, Muriate of Potash &amp; Triple Supper Phosphate) top-up was used to supplement nutrient limitations in the composts. Treatments were six and four replications summing up to twenty – four (24) containers in total. Treatment 1 - absolute control, Treatment 2 -- amended control-NPK, Treatment 3 – 0% biochar (pure compost), Treatment 4 -- 2% biochar co-compost with P&amp;K top up, Treatment 5 -- 5% biochar co-compost with P&amp;K top up Treatment 6 -- 10% biochar co-compost with P&amp;K top up. For each treatment and its replications; the composition 100g (0.1kg) of soil, compost and straight fertilizers). The 24 containers were incubated in a dark environment i.e., in an anaerobic condition (carboard) in the soil science laboratory. 17</w:t>
      </w:r>
      <w:r w:rsidR="00EB0836" w:rsidRPr="00910EA1">
        <w:rPr>
          <w:rFonts w:ascii="Times New Roman" w:hAnsi="Times New Roman" w:cs="Times New Roman"/>
          <w:sz w:val="24"/>
          <w:szCs w:val="24"/>
        </w:rPr>
        <w:t>mL</w:t>
      </w:r>
      <w:r w:rsidRPr="00910EA1">
        <w:rPr>
          <w:rFonts w:ascii="Times New Roman" w:hAnsi="Times New Roman" w:cs="Times New Roman"/>
          <w:sz w:val="24"/>
          <w:szCs w:val="24"/>
        </w:rPr>
        <w:t xml:space="preserve"> of water was sprayed on each treatment.</w:t>
      </w:r>
    </w:p>
    <w:p w14:paraId="0797560D" w14:textId="44AE8EA9" w:rsidR="00A0326A" w:rsidRPr="00910EA1" w:rsidRDefault="00A0326A" w:rsidP="00910EA1">
      <w:pPr>
        <w:spacing w:after="0" w:line="276" w:lineRule="auto"/>
        <w:jc w:val="both"/>
        <w:rPr>
          <w:rFonts w:ascii="Times New Roman" w:hAnsi="Times New Roman" w:cs="Times New Roman"/>
          <w:sz w:val="24"/>
          <w:szCs w:val="24"/>
        </w:rPr>
      </w:pPr>
      <w:r w:rsidRPr="00910EA1">
        <w:rPr>
          <w:rFonts w:ascii="Times New Roman" w:hAnsi="Times New Roman" w:cs="Times New Roman"/>
          <w:sz w:val="24"/>
          <w:szCs w:val="24"/>
        </w:rPr>
        <w:lastRenderedPageBreak/>
        <w:t xml:space="preserve">               </w:t>
      </w:r>
      <w:r w:rsidRPr="00910EA1">
        <w:rPr>
          <w:rFonts w:ascii="Times New Roman" w:hAnsi="Times New Roman" w:cs="Times New Roman"/>
          <w:noProof/>
          <w:sz w:val="24"/>
          <w:szCs w:val="24"/>
        </w:rPr>
        <w:drawing>
          <wp:inline distT="0" distB="0" distL="0" distR="0" wp14:anchorId="59763F96" wp14:editId="3A80E62D">
            <wp:extent cx="4629150" cy="2362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29150" cy="2362200"/>
                    </a:xfrm>
                    <a:prstGeom prst="rect">
                      <a:avLst/>
                    </a:prstGeom>
                  </pic:spPr>
                </pic:pic>
              </a:graphicData>
            </a:graphic>
          </wp:inline>
        </w:drawing>
      </w:r>
    </w:p>
    <w:p w14:paraId="76E2641E" w14:textId="705EDE85" w:rsidR="00A0326A" w:rsidRPr="00910EA1" w:rsidRDefault="001B35EE"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 xml:space="preserve">                 </w:t>
      </w:r>
      <w:r w:rsidR="001C6CD9" w:rsidRPr="00910EA1">
        <w:rPr>
          <w:rFonts w:ascii="Times New Roman" w:hAnsi="Times New Roman" w:cs="Times New Roman"/>
          <w:noProof/>
          <w:sz w:val="24"/>
          <w:szCs w:val="24"/>
        </w:rPr>
        <w:t xml:space="preserve">Figure 4. </w:t>
      </w:r>
      <w:r w:rsidRPr="00910EA1">
        <w:rPr>
          <w:rFonts w:ascii="Times New Roman" w:hAnsi="Times New Roman" w:cs="Times New Roman"/>
          <w:sz w:val="24"/>
          <w:szCs w:val="24"/>
        </w:rPr>
        <w:t>Incubation of treatment in an anaerobic condition</w:t>
      </w:r>
    </w:p>
    <w:p w14:paraId="4210F4D3" w14:textId="7E3A80FE" w:rsidR="00A0326A" w:rsidRPr="00910EA1" w:rsidRDefault="00A0326A" w:rsidP="00910EA1">
      <w:pPr>
        <w:spacing w:after="0" w:line="276" w:lineRule="auto"/>
        <w:ind w:firstLine="720"/>
        <w:jc w:val="both"/>
        <w:rPr>
          <w:rFonts w:ascii="Times New Roman" w:hAnsi="Times New Roman" w:cs="Times New Roman"/>
          <w:sz w:val="24"/>
          <w:szCs w:val="24"/>
        </w:rPr>
      </w:pPr>
    </w:p>
    <w:p w14:paraId="257393ED" w14:textId="77777777" w:rsidR="00A0326A" w:rsidRPr="00910EA1" w:rsidRDefault="00A0326A" w:rsidP="00910EA1">
      <w:pPr>
        <w:spacing w:after="0" w:line="276" w:lineRule="auto"/>
        <w:ind w:firstLine="720"/>
        <w:jc w:val="both"/>
        <w:rPr>
          <w:rFonts w:ascii="Times New Roman" w:hAnsi="Times New Roman" w:cs="Times New Roman"/>
          <w:sz w:val="24"/>
          <w:szCs w:val="24"/>
        </w:rPr>
      </w:pPr>
    </w:p>
    <w:p w14:paraId="4B1DECC9" w14:textId="79FA2431" w:rsidR="00D032AE" w:rsidRPr="00910EA1" w:rsidRDefault="008F61C5" w:rsidP="00910EA1">
      <w:pPr>
        <w:pStyle w:val="Heading2"/>
        <w:spacing w:line="276" w:lineRule="auto"/>
        <w:jc w:val="both"/>
        <w:rPr>
          <w:rFonts w:cs="Times New Roman"/>
          <w:szCs w:val="24"/>
        </w:rPr>
      </w:pPr>
      <w:bookmarkStart w:id="10" w:name="_Toc147751449"/>
      <w:r w:rsidRPr="00910EA1">
        <w:rPr>
          <w:rFonts w:cs="Times New Roman"/>
          <w:szCs w:val="24"/>
        </w:rPr>
        <w:t xml:space="preserve">3.5 </w:t>
      </w:r>
      <w:r w:rsidR="00EB0836" w:rsidRPr="00910EA1">
        <w:rPr>
          <w:rFonts w:cs="Times New Roman"/>
          <w:szCs w:val="24"/>
        </w:rPr>
        <w:t>Laboratory analysis and carbon dioxide emission measurement</w:t>
      </w:r>
      <w:bookmarkEnd w:id="10"/>
    </w:p>
    <w:p w14:paraId="5611B801" w14:textId="206D32AF" w:rsidR="00D032AE" w:rsidRPr="00910EA1" w:rsidRDefault="00EB0836"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 xml:space="preserve">About </w:t>
      </w:r>
      <w:r w:rsidR="00D032AE" w:rsidRPr="00910EA1">
        <w:rPr>
          <w:rFonts w:ascii="Times New Roman" w:hAnsi="Times New Roman" w:cs="Times New Roman"/>
          <w:sz w:val="24"/>
          <w:szCs w:val="24"/>
        </w:rPr>
        <w:t>20</w:t>
      </w:r>
      <w:r w:rsidRPr="00910EA1">
        <w:rPr>
          <w:rFonts w:ascii="Times New Roman" w:hAnsi="Times New Roman" w:cs="Times New Roman"/>
          <w:sz w:val="24"/>
          <w:szCs w:val="24"/>
        </w:rPr>
        <w:t xml:space="preserve"> mL</w:t>
      </w:r>
      <w:r w:rsidR="00D032AE" w:rsidRPr="00910EA1">
        <w:rPr>
          <w:rFonts w:ascii="Times New Roman" w:hAnsi="Times New Roman" w:cs="Times New Roman"/>
          <w:sz w:val="24"/>
          <w:szCs w:val="24"/>
        </w:rPr>
        <w:t xml:space="preserve"> of 0.1M of sodium hydroxide solution (NaOH) was poured into small containers which was used for the trapping of the CO</w:t>
      </w:r>
      <w:r w:rsidR="00D032AE" w:rsidRPr="00910EA1">
        <w:rPr>
          <w:rFonts w:ascii="Times New Roman" w:hAnsi="Times New Roman" w:cs="Times New Roman"/>
          <w:sz w:val="24"/>
          <w:szCs w:val="24"/>
          <w:vertAlign w:val="subscript"/>
        </w:rPr>
        <w:t>2</w:t>
      </w:r>
      <w:r w:rsidR="00D032AE" w:rsidRPr="00910EA1">
        <w:rPr>
          <w:rFonts w:ascii="Times New Roman" w:hAnsi="Times New Roman" w:cs="Times New Roman"/>
          <w:sz w:val="24"/>
          <w:szCs w:val="24"/>
        </w:rPr>
        <w:t xml:space="preserve"> and was placed in the containers filled with the treatments. The containers were closed tightly and incubated under anaerobic condition (in a carboard). After 6 hours of incubation, the containers, containing the NaOH were removed. The various treatments containing the incubated NaOH were poured into a conical flask, 5</w:t>
      </w:r>
      <w:r w:rsidRPr="00910EA1">
        <w:rPr>
          <w:rFonts w:ascii="Times New Roman" w:hAnsi="Times New Roman" w:cs="Times New Roman"/>
          <w:sz w:val="24"/>
          <w:szCs w:val="24"/>
        </w:rPr>
        <w:t>mL</w:t>
      </w:r>
      <w:r w:rsidR="00D032AE" w:rsidRPr="00910EA1">
        <w:rPr>
          <w:rFonts w:ascii="Times New Roman" w:hAnsi="Times New Roman" w:cs="Times New Roman"/>
          <w:sz w:val="24"/>
          <w:szCs w:val="24"/>
        </w:rPr>
        <w:t xml:space="preserve"> of 1M barium chloride (BaCl</w:t>
      </w:r>
      <w:r w:rsidR="00D032AE" w:rsidRPr="00910EA1">
        <w:rPr>
          <w:rFonts w:ascii="Times New Roman" w:hAnsi="Times New Roman" w:cs="Times New Roman"/>
          <w:sz w:val="24"/>
          <w:szCs w:val="24"/>
          <w:vertAlign w:val="subscript"/>
        </w:rPr>
        <w:t>2</w:t>
      </w:r>
      <w:r w:rsidR="00D032AE" w:rsidRPr="00910EA1">
        <w:rPr>
          <w:rFonts w:ascii="Times New Roman" w:hAnsi="Times New Roman" w:cs="Times New Roman"/>
          <w:sz w:val="24"/>
          <w:szCs w:val="24"/>
        </w:rPr>
        <w:t>) was added to each incubated NaOH and there was a milky precipitate formed. 2- 3 drops of phenolphthalein indicator were dropped and there was a color change from milky precipitate to pinkish. The NaOH was titrated against 1M hydrochloric acid solution</w:t>
      </w:r>
      <w:r w:rsidR="00584102" w:rsidRPr="00910EA1">
        <w:rPr>
          <w:rFonts w:ascii="Times New Roman" w:hAnsi="Times New Roman" w:cs="Times New Roman"/>
          <w:sz w:val="24"/>
          <w:szCs w:val="24"/>
        </w:rPr>
        <w:t xml:space="preserve"> </w:t>
      </w:r>
      <w:r w:rsidR="00584102" w:rsidRPr="00910EA1">
        <w:rPr>
          <w:rFonts w:ascii="Times New Roman" w:hAnsi="Times New Roman" w:cs="Times New Roman"/>
          <w:sz w:val="24"/>
          <w:szCs w:val="24"/>
        </w:rPr>
        <w:fldChar w:fldCharType="begin" w:fldLock="1"/>
      </w:r>
      <w:r w:rsidR="00F83EAF" w:rsidRPr="00910EA1">
        <w:rPr>
          <w:rFonts w:ascii="Times New Roman" w:hAnsi="Times New Roman" w:cs="Times New Roman"/>
          <w:sz w:val="24"/>
          <w:szCs w:val="24"/>
        </w:rPr>
        <w:instrText>ADDIN CSL_CITATION {"citationItems":[{"id":"ITEM-1","itemData":{"DOI":"10.1016/j.jenvman.2024.123841","ISSN":"10958630","PMID":"39733681","abstract":"Floodplain wetlands are biologically rich and productive ecosystems that can capture carbon (C) from the atmosphere through macrophytes and phytoplanktons and hold it in soil for a long time thus playing a critical role in mitigating climate change. The Assam state of India has about 1392 floodplain wetlands engulfing around 100,000 ha area in the Brahmaputra and Barak River basin. In the present study, five different wetlands in the middle Assam viz., 47-Morakolong, Jaliguti, Charan, Chatla, and Urmal were chosen for the estimation of C capture and its storage in soil. The net primary planktonic productivity (NPP) of Chatla was much higher (300mgC/m3/hr) than other wetlands where it ranged around 100–150 mgC/m3/hr. Macrophyte coverage was highest (80%) in Chatla followed by Urmal (50%) and 30% in others. Total organic carbon (TOC) content in water was also significantly higher in Chatla than in others. The C content at different depths of the soil (upper 15 and 15–30 cm) of the wetlands varied widely from 1.3 to 7% and in absolute terms, the total C accumulated in top 30 cm varied from 12.65 to 76.95 MgC/ha. The amount of C in upper 30 cm of corresponding upland sites was estimated to be 8.8–33.62 MgC/ha. Thus, wetlands are superior in terms of C accumulation and storage in their soil compared to the corresponding upland sites. If properly managed, the wetlands can be very effective in capturing and storing C and offset GHG emission and global warming to a great extent.","author":[{"dropping-particle":"","family":"Nag","given":"Subir Kumar","non-dropping-particle":"","parse-names":false,"suffix":""},{"dropping-particle":"Das","family":"Ghosh","given":"Bandana","non-dropping-particle":"","parse-names":false,"suffix":""},{"dropping-particle":"","family":"Das","given":"Basanta Kumar","non-dropping-particle":"","parse-names":false,"suffix":""},{"dropping-particle":"","family":"Sarkar","given":"Uttam Kumar","non-dropping-particle":"","parse-names":false,"suffix":""}],"container-title":"Journal of Environmental Management","id":"ITEM-1","issue":"December 2024","issued":{"date-parts":[["2025"]]},"page":"123841","publisher":"Elsevier Ltd","title":"Wetlands function as carbon sink: Evaluation of few floodplains of middle Assam, northeast India in the perspective of climate change","type":"article-journal","volume":"373"},"uris":["http://www.mendeley.com/documents/?uuid=4949fb11-82db-43b2-97a6-e9750130c48f"]}],"mendeley":{"formattedCitation":"(Nag et al., 2025)","plainTextFormattedCitation":"(Nag et al., 2025)","previouslyFormattedCitation":"(Nag et al., 2025)"},"properties":{"noteIndex":0},"schema":"https://github.com/citation-style-language/schema/raw/master/csl-citation.json"}</w:instrText>
      </w:r>
      <w:r w:rsidR="00584102" w:rsidRPr="00910EA1">
        <w:rPr>
          <w:rFonts w:ascii="Times New Roman" w:hAnsi="Times New Roman" w:cs="Times New Roman"/>
          <w:sz w:val="24"/>
          <w:szCs w:val="24"/>
        </w:rPr>
        <w:fldChar w:fldCharType="separate"/>
      </w:r>
      <w:r w:rsidR="00584102" w:rsidRPr="00910EA1">
        <w:rPr>
          <w:rFonts w:ascii="Times New Roman" w:hAnsi="Times New Roman" w:cs="Times New Roman"/>
          <w:noProof/>
          <w:sz w:val="24"/>
          <w:szCs w:val="24"/>
        </w:rPr>
        <w:t>(Nag et al., 2025)</w:t>
      </w:r>
      <w:r w:rsidR="00584102" w:rsidRPr="00910EA1">
        <w:rPr>
          <w:rFonts w:ascii="Times New Roman" w:hAnsi="Times New Roman" w:cs="Times New Roman"/>
          <w:sz w:val="24"/>
          <w:szCs w:val="24"/>
        </w:rPr>
        <w:fldChar w:fldCharType="end"/>
      </w:r>
      <w:r w:rsidR="00D032AE" w:rsidRPr="00910EA1">
        <w:rPr>
          <w:rFonts w:ascii="Times New Roman" w:hAnsi="Times New Roman" w:cs="Times New Roman"/>
          <w:sz w:val="24"/>
          <w:szCs w:val="24"/>
        </w:rPr>
        <w:t xml:space="preserve"> and the titer value was recorded. The study was conducted for 58 days of which after 6 hours of incubation, the titration done was noted as day 0, the analysis continued after every 3 days for 3 times, then weekly for 2 times, then after the 14</w:t>
      </w:r>
      <w:r w:rsidR="00D032AE" w:rsidRPr="00910EA1">
        <w:rPr>
          <w:rFonts w:ascii="Times New Roman" w:hAnsi="Times New Roman" w:cs="Times New Roman"/>
          <w:sz w:val="24"/>
          <w:szCs w:val="24"/>
          <w:vertAlign w:val="superscript"/>
        </w:rPr>
        <w:t>th</w:t>
      </w:r>
      <w:r w:rsidR="00D032AE" w:rsidRPr="00910EA1">
        <w:rPr>
          <w:rFonts w:ascii="Times New Roman" w:hAnsi="Times New Roman" w:cs="Times New Roman"/>
          <w:sz w:val="24"/>
          <w:szCs w:val="24"/>
        </w:rPr>
        <w:t xml:space="preserve"> day and then the 21</w:t>
      </w:r>
      <w:r w:rsidR="00D032AE" w:rsidRPr="00910EA1">
        <w:rPr>
          <w:rFonts w:ascii="Times New Roman" w:hAnsi="Times New Roman" w:cs="Times New Roman"/>
          <w:sz w:val="24"/>
          <w:szCs w:val="24"/>
          <w:vertAlign w:val="superscript"/>
        </w:rPr>
        <w:t>st</w:t>
      </w:r>
      <w:r w:rsidR="00D032AE" w:rsidRPr="00910EA1">
        <w:rPr>
          <w:rFonts w:ascii="Times New Roman" w:hAnsi="Times New Roman" w:cs="Times New Roman"/>
          <w:sz w:val="24"/>
          <w:szCs w:val="24"/>
        </w:rPr>
        <w:t xml:space="preserve"> day. The amount of CO</w:t>
      </w:r>
      <w:r w:rsidR="00D032AE" w:rsidRPr="00910EA1">
        <w:rPr>
          <w:rFonts w:ascii="Times New Roman" w:hAnsi="Times New Roman" w:cs="Times New Roman"/>
          <w:sz w:val="24"/>
          <w:szCs w:val="24"/>
          <w:vertAlign w:val="subscript"/>
        </w:rPr>
        <w:t>2</w:t>
      </w:r>
      <w:r w:rsidR="00D032AE" w:rsidRPr="00910EA1">
        <w:rPr>
          <w:rFonts w:ascii="Times New Roman" w:hAnsi="Times New Roman" w:cs="Times New Roman"/>
          <w:sz w:val="24"/>
          <w:szCs w:val="24"/>
        </w:rPr>
        <w:t xml:space="preserve"> evolved from the soil during the incubation was calculated using the </w:t>
      </w:r>
      <w:r w:rsidR="009D762C" w:rsidRPr="00910EA1">
        <w:rPr>
          <w:rFonts w:ascii="Times New Roman" w:hAnsi="Times New Roman" w:cs="Times New Roman"/>
          <w:sz w:val="24"/>
          <w:szCs w:val="24"/>
        </w:rPr>
        <w:t>formula;</w:t>
      </w:r>
      <w:r w:rsidR="00D032AE" w:rsidRPr="00910EA1">
        <w:rPr>
          <w:rFonts w:ascii="Times New Roman" w:hAnsi="Times New Roman" w:cs="Times New Roman"/>
          <w:sz w:val="24"/>
          <w:szCs w:val="24"/>
        </w:rPr>
        <w:t xml:space="preserve"> </w:t>
      </w:r>
    </w:p>
    <w:p w14:paraId="6B47913E" w14:textId="77777777" w:rsidR="006D0F97" w:rsidRPr="00910EA1" w:rsidRDefault="006D0F97" w:rsidP="00910EA1">
      <w:pPr>
        <w:spacing w:after="0" w:line="276" w:lineRule="auto"/>
        <w:ind w:firstLine="720"/>
        <w:jc w:val="both"/>
        <w:rPr>
          <w:rFonts w:ascii="Times New Roman" w:hAnsi="Times New Roman" w:cs="Times New Roman"/>
          <w:sz w:val="24"/>
          <w:szCs w:val="24"/>
        </w:rPr>
      </w:pPr>
    </w:p>
    <w:p w14:paraId="1A73FCBD" w14:textId="77777777" w:rsidR="004A4424" w:rsidRPr="00910EA1" w:rsidRDefault="00D032AE" w:rsidP="00910EA1">
      <w:pPr>
        <w:spacing w:after="0" w:line="276" w:lineRule="auto"/>
        <w:jc w:val="both"/>
        <w:rPr>
          <w:rFonts w:ascii="Times New Roman" w:eastAsiaTheme="minorEastAsia" w:hAnsi="Times New Roman" w:cs="Times New Roman"/>
          <w:sz w:val="24"/>
          <w:szCs w:val="24"/>
        </w:rPr>
      </w:pPr>
      <w:r w:rsidRPr="00910EA1">
        <w:rPr>
          <w:rFonts w:ascii="Times New Roman" w:hAnsi="Times New Roman" w:cs="Times New Roman"/>
          <w:sz w:val="24"/>
          <w:szCs w:val="24"/>
        </w:rPr>
        <w:t xml:space="preserve">Milligrams of </w:t>
      </w:r>
      <m:oMath>
        <m:r>
          <w:rPr>
            <w:rFonts w:ascii="Cambria Math" w:hAnsi="Cambria Math" w:cs="Times New Roman"/>
            <w:sz w:val="24"/>
            <w:szCs w:val="24"/>
          </w:rPr>
          <m:t>C or CO2=Vx Nx E</m:t>
        </m:r>
      </m:oMath>
      <w:r w:rsidR="004A4424" w:rsidRPr="00910EA1">
        <w:rPr>
          <w:rFonts w:ascii="Times New Roman" w:eastAsiaTheme="minorEastAsia" w:hAnsi="Times New Roman" w:cs="Times New Roman"/>
          <w:sz w:val="24"/>
          <w:szCs w:val="24"/>
        </w:rPr>
        <w:t xml:space="preserve"> </w:t>
      </w:r>
    </w:p>
    <w:p w14:paraId="4FF35904" w14:textId="20027CA1" w:rsidR="00D032AE" w:rsidRPr="00910EA1" w:rsidRDefault="00D032AE" w:rsidP="00910EA1">
      <w:pPr>
        <w:spacing w:after="0" w:line="276" w:lineRule="auto"/>
        <w:jc w:val="both"/>
        <w:rPr>
          <w:rFonts w:ascii="Times New Roman" w:hAnsi="Times New Roman" w:cs="Times New Roman"/>
          <w:sz w:val="24"/>
          <w:szCs w:val="24"/>
        </w:rPr>
      </w:pPr>
      <w:r w:rsidRPr="00910EA1">
        <w:rPr>
          <w:rFonts w:ascii="Times New Roman" w:hAnsi="Times New Roman" w:cs="Times New Roman"/>
          <w:sz w:val="24"/>
          <w:szCs w:val="24"/>
        </w:rPr>
        <w:t>Where V is the volume (</w:t>
      </w:r>
      <w:r w:rsidR="00EB0836" w:rsidRPr="00910EA1">
        <w:rPr>
          <w:rFonts w:ascii="Times New Roman" w:hAnsi="Times New Roman" w:cs="Times New Roman"/>
          <w:sz w:val="24"/>
          <w:szCs w:val="24"/>
        </w:rPr>
        <w:t>mL</w:t>
      </w:r>
      <w:r w:rsidRPr="00910EA1">
        <w:rPr>
          <w:rFonts w:ascii="Times New Roman" w:hAnsi="Times New Roman" w:cs="Times New Roman"/>
          <w:sz w:val="24"/>
          <w:szCs w:val="24"/>
        </w:rPr>
        <w:t xml:space="preserve">) of HCl needed to titrate the NaOH in the containers incubated, N is the Normality of the HCl and E is the equivalent weight. </w:t>
      </w:r>
    </w:p>
    <w:p w14:paraId="59D0E94C" w14:textId="028E0757" w:rsidR="001B35EE" w:rsidRPr="00910EA1" w:rsidRDefault="00D032AE" w:rsidP="00910EA1">
      <w:pPr>
        <w:spacing w:after="0" w:line="276" w:lineRule="auto"/>
        <w:jc w:val="both"/>
        <w:rPr>
          <w:rFonts w:ascii="Times New Roman" w:hAnsi="Times New Roman" w:cs="Times New Roman"/>
          <w:sz w:val="24"/>
          <w:szCs w:val="24"/>
        </w:rPr>
      </w:pPr>
      <w:r w:rsidRPr="00910EA1">
        <w:rPr>
          <w:rFonts w:ascii="Times New Roman" w:hAnsi="Times New Roman" w:cs="Times New Roman"/>
          <w:sz w:val="24"/>
          <w:szCs w:val="24"/>
        </w:rPr>
        <w:t xml:space="preserve">To express the data in terms of carbon, </w:t>
      </w:r>
      <m:oMath>
        <m:r>
          <w:rPr>
            <w:rFonts w:ascii="Cambria Math" w:hAnsi="Cambria Math" w:cs="Times New Roman"/>
            <w:sz w:val="24"/>
            <w:szCs w:val="24"/>
          </w:rPr>
          <m:t>E = 6</m:t>
        </m:r>
      </m:oMath>
      <w:r w:rsidRPr="00910EA1">
        <w:rPr>
          <w:rFonts w:ascii="Times New Roman" w:hAnsi="Times New Roman" w:cs="Times New Roman"/>
          <w:sz w:val="24"/>
          <w:szCs w:val="24"/>
        </w:rPr>
        <w:t xml:space="preserve"> to express it as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w:t>
      </w:r>
      <m:oMath>
        <m:r>
          <w:rPr>
            <w:rFonts w:ascii="Cambria Math" w:hAnsi="Cambria Math" w:cs="Times New Roman"/>
            <w:sz w:val="24"/>
            <w:szCs w:val="24"/>
          </w:rPr>
          <m:t>E = 22.</m:t>
        </m:r>
      </m:oMath>
      <w:r w:rsidRPr="00910EA1">
        <w:rPr>
          <w:rFonts w:ascii="Times New Roman" w:hAnsi="Times New Roman" w:cs="Times New Roman"/>
          <w:sz w:val="24"/>
          <w:szCs w:val="24"/>
        </w:rPr>
        <w:t xml:space="preserve"> </w:t>
      </w:r>
    </w:p>
    <w:p w14:paraId="27841F3B" w14:textId="12AEE42B" w:rsidR="001B35EE" w:rsidRPr="00910EA1" w:rsidRDefault="001B35EE" w:rsidP="00910EA1">
      <w:pPr>
        <w:spacing w:after="0" w:line="276" w:lineRule="auto"/>
        <w:jc w:val="both"/>
        <w:rPr>
          <w:rFonts w:ascii="Times New Roman" w:hAnsi="Times New Roman" w:cs="Times New Roman"/>
          <w:sz w:val="24"/>
          <w:szCs w:val="24"/>
        </w:rPr>
      </w:pPr>
    </w:p>
    <w:p w14:paraId="5A73EEE8" w14:textId="6B7C1E1B" w:rsidR="001B35EE" w:rsidRPr="00910EA1" w:rsidRDefault="001B35EE" w:rsidP="00910EA1">
      <w:pPr>
        <w:spacing w:after="0" w:line="276" w:lineRule="auto"/>
        <w:jc w:val="both"/>
        <w:rPr>
          <w:rFonts w:ascii="Times New Roman" w:hAnsi="Times New Roman" w:cs="Times New Roman"/>
          <w:sz w:val="24"/>
          <w:szCs w:val="24"/>
        </w:rPr>
      </w:pPr>
      <w:r w:rsidRPr="00910EA1">
        <w:rPr>
          <w:rFonts w:ascii="Times New Roman" w:hAnsi="Times New Roman" w:cs="Times New Roman"/>
          <w:noProof/>
          <w:sz w:val="24"/>
          <w:szCs w:val="24"/>
        </w:rPr>
        <w:lastRenderedPageBreak/>
        <w:drawing>
          <wp:inline distT="0" distB="0" distL="0" distR="0" wp14:anchorId="34C69F58" wp14:editId="392C0D38">
            <wp:extent cx="1701800" cy="19526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5415" t="-333" r="1047" b="333"/>
                    <a:stretch/>
                  </pic:blipFill>
                  <pic:spPr bwMode="auto">
                    <a:xfrm>
                      <a:off x="0" y="0"/>
                      <a:ext cx="1718498" cy="1971784"/>
                    </a:xfrm>
                    <a:prstGeom prst="rect">
                      <a:avLst/>
                    </a:prstGeom>
                    <a:ln>
                      <a:noFill/>
                    </a:ln>
                    <a:extLst>
                      <a:ext uri="{53640926-AAD7-44D8-BBD7-CCE9431645EC}">
                        <a14:shadowObscured xmlns:a14="http://schemas.microsoft.com/office/drawing/2010/main"/>
                      </a:ext>
                    </a:extLst>
                  </pic:spPr>
                </pic:pic>
              </a:graphicData>
            </a:graphic>
          </wp:inline>
        </w:drawing>
      </w:r>
      <w:r w:rsidRPr="00910EA1">
        <w:rPr>
          <w:rFonts w:ascii="Times New Roman" w:hAnsi="Times New Roman" w:cs="Times New Roman"/>
          <w:noProof/>
          <w:sz w:val="24"/>
          <w:szCs w:val="24"/>
        </w:rPr>
        <w:t xml:space="preserve"> </w:t>
      </w:r>
      <w:r w:rsidR="008F7252" w:rsidRPr="00910EA1">
        <w:rPr>
          <w:rFonts w:ascii="Times New Roman" w:hAnsi="Times New Roman" w:cs="Times New Roman"/>
          <w:noProof/>
          <w:sz w:val="24"/>
          <w:szCs w:val="24"/>
        </w:rPr>
        <w:drawing>
          <wp:inline distT="0" distB="0" distL="0" distR="0" wp14:anchorId="139BDE3C" wp14:editId="5DA950FA">
            <wp:extent cx="1974277" cy="1917065"/>
            <wp:effectExtent l="0" t="0" r="6985"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996427" cy="1938573"/>
                    </a:xfrm>
                    <a:prstGeom prst="rect">
                      <a:avLst/>
                    </a:prstGeom>
                  </pic:spPr>
                </pic:pic>
              </a:graphicData>
            </a:graphic>
          </wp:inline>
        </w:drawing>
      </w:r>
      <w:r w:rsidR="008F7252" w:rsidRPr="00910EA1">
        <w:rPr>
          <w:rFonts w:ascii="Times New Roman" w:hAnsi="Times New Roman" w:cs="Times New Roman"/>
          <w:noProof/>
          <w:sz w:val="24"/>
          <w:szCs w:val="24"/>
        </w:rPr>
        <w:drawing>
          <wp:inline distT="0" distB="0" distL="0" distR="0" wp14:anchorId="7B10A8F5" wp14:editId="6B70FE66">
            <wp:extent cx="1708150" cy="1955800"/>
            <wp:effectExtent l="0" t="0" r="635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708150" cy="1955800"/>
                    </a:xfrm>
                    <a:prstGeom prst="rect">
                      <a:avLst/>
                    </a:prstGeom>
                  </pic:spPr>
                </pic:pic>
              </a:graphicData>
            </a:graphic>
          </wp:inline>
        </w:drawing>
      </w:r>
    </w:p>
    <w:p w14:paraId="23C274C3" w14:textId="04BBDCE1" w:rsidR="001B35EE" w:rsidRDefault="001C6CD9" w:rsidP="00910EA1">
      <w:pPr>
        <w:spacing w:after="0" w:line="276" w:lineRule="auto"/>
        <w:jc w:val="both"/>
        <w:rPr>
          <w:rFonts w:ascii="Times New Roman" w:hAnsi="Times New Roman" w:cs="Times New Roman"/>
          <w:i/>
          <w:iCs/>
          <w:sz w:val="24"/>
          <w:szCs w:val="24"/>
        </w:rPr>
      </w:pPr>
      <w:r w:rsidRPr="00910EA1">
        <w:rPr>
          <w:rFonts w:ascii="Times New Roman" w:hAnsi="Times New Roman" w:cs="Times New Roman"/>
          <w:noProof/>
          <w:sz w:val="24"/>
          <w:szCs w:val="24"/>
        </w:rPr>
        <w:t xml:space="preserve">Figure 5.  </w:t>
      </w:r>
      <w:r w:rsidR="008F7252" w:rsidRPr="00910EA1">
        <w:rPr>
          <w:rFonts w:ascii="Times New Roman" w:hAnsi="Times New Roman" w:cs="Times New Roman"/>
          <w:sz w:val="24"/>
          <w:szCs w:val="24"/>
        </w:rPr>
        <w:t>Incubated NaOH were poured into a conical flask, 5mL of 1M BaCl</w:t>
      </w:r>
      <w:r w:rsidR="008F7252" w:rsidRPr="00910EA1">
        <w:rPr>
          <w:rFonts w:ascii="Times New Roman" w:hAnsi="Times New Roman" w:cs="Times New Roman"/>
          <w:sz w:val="24"/>
          <w:szCs w:val="24"/>
          <w:vertAlign w:val="subscript"/>
        </w:rPr>
        <w:t>2</w:t>
      </w:r>
      <w:r w:rsidR="008F7252" w:rsidRPr="00910EA1">
        <w:rPr>
          <w:rFonts w:ascii="Times New Roman" w:hAnsi="Times New Roman" w:cs="Times New Roman"/>
          <w:sz w:val="24"/>
          <w:szCs w:val="24"/>
        </w:rPr>
        <w:t xml:space="preserve"> was added to each incubated NaOH and there was a milky precipitate formed, 2-3 drops of phenolphthalein indicator were dropped and there was a color change from milky precipitate to pinkish</w:t>
      </w:r>
      <w:r w:rsidR="008F7252" w:rsidRPr="00910EA1">
        <w:rPr>
          <w:rFonts w:ascii="Times New Roman" w:hAnsi="Times New Roman" w:cs="Times New Roman"/>
          <w:i/>
          <w:iCs/>
          <w:sz w:val="24"/>
          <w:szCs w:val="24"/>
        </w:rPr>
        <w:t>.</w:t>
      </w:r>
    </w:p>
    <w:p w14:paraId="3615659A" w14:textId="77777777" w:rsidR="00B91C94" w:rsidRPr="00B91C94" w:rsidRDefault="00B91C94" w:rsidP="00910EA1">
      <w:pPr>
        <w:spacing w:after="0" w:line="276" w:lineRule="auto"/>
        <w:jc w:val="both"/>
        <w:rPr>
          <w:rFonts w:ascii="Times New Roman" w:hAnsi="Times New Roman" w:cs="Times New Roman"/>
          <w:i/>
          <w:iCs/>
          <w:sz w:val="4"/>
          <w:szCs w:val="4"/>
        </w:rPr>
      </w:pPr>
    </w:p>
    <w:p w14:paraId="45345C92" w14:textId="03EF8D1F" w:rsidR="003A7F90" w:rsidRPr="00B91C94" w:rsidRDefault="001B2216" w:rsidP="00B91C94">
      <w:pPr>
        <w:spacing w:after="0" w:line="276" w:lineRule="auto"/>
        <w:jc w:val="both"/>
        <w:rPr>
          <w:rFonts w:ascii="Times New Roman" w:hAnsi="Times New Roman" w:cs="Times New Roman"/>
          <w:b/>
          <w:bCs/>
          <w:sz w:val="24"/>
          <w:szCs w:val="24"/>
        </w:rPr>
      </w:pPr>
      <w:r w:rsidRPr="00910EA1">
        <w:rPr>
          <w:rFonts w:ascii="Times New Roman" w:hAnsi="Times New Roman" w:cs="Times New Roman"/>
          <w:b/>
          <w:bCs/>
          <w:sz w:val="24"/>
          <w:szCs w:val="24"/>
        </w:rPr>
        <w:t>Data analysis</w:t>
      </w:r>
      <w:bookmarkStart w:id="11" w:name="_Toc147751452"/>
    </w:p>
    <w:p w14:paraId="40D7D2C1" w14:textId="55C97FE1" w:rsidR="003A7F90" w:rsidRPr="00910EA1" w:rsidRDefault="003A7F90" w:rsidP="00910EA1">
      <w:pPr>
        <w:pStyle w:val="Heading2"/>
        <w:spacing w:line="276" w:lineRule="auto"/>
        <w:jc w:val="both"/>
        <w:rPr>
          <w:rFonts w:cs="Times New Roman"/>
          <w:b w:val="0"/>
          <w:bCs w:val="0"/>
          <w:szCs w:val="24"/>
        </w:rPr>
      </w:pPr>
      <w:r w:rsidRPr="00910EA1">
        <w:rPr>
          <w:rFonts w:cs="Times New Roman"/>
          <w:b w:val="0"/>
          <w:bCs w:val="0"/>
          <w:szCs w:val="24"/>
        </w:rPr>
        <w:t xml:space="preserve">  The statistical analysis involved conducting four independent one-way ANOVA</w:t>
      </w:r>
      <w:r w:rsidR="0080110C" w:rsidRPr="00910EA1">
        <w:rPr>
          <w:rFonts w:cs="Times New Roman"/>
          <w:b w:val="0"/>
          <w:bCs w:val="0"/>
          <w:szCs w:val="24"/>
        </w:rPr>
        <w:t>,</w:t>
      </w:r>
      <w:r w:rsidR="00D204D8" w:rsidRPr="00910EA1">
        <w:rPr>
          <w:rFonts w:cs="Times New Roman"/>
          <w:b w:val="0"/>
          <w:bCs w:val="0"/>
          <w:szCs w:val="24"/>
        </w:rPr>
        <w:t xml:space="preserve"> </w:t>
      </w:r>
      <w:r w:rsidRPr="00910EA1">
        <w:rPr>
          <w:rFonts w:cs="Times New Roman"/>
          <w:b w:val="0"/>
          <w:bCs w:val="0"/>
          <w:szCs w:val="24"/>
        </w:rPr>
        <w:t>one for each sampling day (Days 0, 3, 6, and 9)</w:t>
      </w:r>
      <w:r w:rsidR="00913ECA" w:rsidRPr="00910EA1">
        <w:rPr>
          <w:rFonts w:cs="Times New Roman"/>
          <w:b w:val="0"/>
          <w:bCs w:val="0"/>
          <w:szCs w:val="24"/>
        </w:rPr>
        <w:t xml:space="preserve">, </w:t>
      </w:r>
      <w:r w:rsidRPr="00910EA1">
        <w:rPr>
          <w:rFonts w:cs="Times New Roman"/>
          <w:b w:val="0"/>
          <w:bCs w:val="0"/>
          <w:szCs w:val="24"/>
        </w:rPr>
        <w:t>to assess the effect of soil amendment treatments on CO₂ emissions. When the ANOVA indicated significant differences (p ≤ 0.05), a post-hoc mean separation test (Duncan’s Multiple Range Test) was used to assign homogeneous letter groups, enabling clear visual identification of which treatments differed significantly from one another on each day.</w:t>
      </w:r>
    </w:p>
    <w:p w14:paraId="1ACC0D4C" w14:textId="77777777" w:rsidR="003A7F90" w:rsidRPr="00B91C94" w:rsidRDefault="003A7F90" w:rsidP="00910EA1">
      <w:pPr>
        <w:pStyle w:val="Heading2"/>
        <w:spacing w:line="276" w:lineRule="auto"/>
        <w:jc w:val="both"/>
        <w:rPr>
          <w:rFonts w:cs="Times New Roman"/>
          <w:sz w:val="6"/>
          <w:szCs w:val="6"/>
        </w:rPr>
      </w:pPr>
    </w:p>
    <w:p w14:paraId="3415E9A5" w14:textId="32BD1499" w:rsidR="00083F43" w:rsidRPr="00910EA1" w:rsidRDefault="008F61C5" w:rsidP="00910EA1">
      <w:pPr>
        <w:pStyle w:val="Heading2"/>
        <w:spacing w:line="276" w:lineRule="auto"/>
        <w:jc w:val="both"/>
        <w:rPr>
          <w:rFonts w:cs="Times New Roman"/>
          <w:szCs w:val="24"/>
        </w:rPr>
      </w:pPr>
      <w:r w:rsidRPr="00910EA1">
        <w:rPr>
          <w:rFonts w:cs="Times New Roman"/>
          <w:szCs w:val="24"/>
        </w:rPr>
        <w:t xml:space="preserve">4.0 </w:t>
      </w:r>
      <w:r w:rsidR="00083F43" w:rsidRPr="00910EA1">
        <w:rPr>
          <w:rFonts w:cs="Times New Roman"/>
          <w:szCs w:val="24"/>
        </w:rPr>
        <w:t>Results</w:t>
      </w:r>
      <w:bookmarkEnd w:id="11"/>
    </w:p>
    <w:p w14:paraId="3D282C62" w14:textId="23E89767" w:rsidR="008B32E2" w:rsidRPr="00910EA1" w:rsidRDefault="008B32E2"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 xml:space="preserve">The daily carbon dioxide emissions from the various treatments are shown in table 2 and </w:t>
      </w:r>
      <w:r w:rsidR="008F61C5" w:rsidRPr="00910EA1">
        <w:rPr>
          <w:rFonts w:ascii="Times New Roman" w:hAnsi="Times New Roman" w:cs="Times New Roman"/>
          <w:sz w:val="24"/>
          <w:szCs w:val="24"/>
        </w:rPr>
        <w:t>3</w:t>
      </w:r>
      <w:r w:rsidRPr="00910EA1">
        <w:rPr>
          <w:rFonts w:ascii="Times New Roman" w:hAnsi="Times New Roman" w:cs="Times New Roman"/>
          <w:sz w:val="24"/>
          <w:szCs w:val="24"/>
        </w:rPr>
        <w:t xml:space="preserve"> below.</w:t>
      </w:r>
    </w:p>
    <w:p w14:paraId="565FA0D4" w14:textId="36616B46" w:rsidR="00D032AE" w:rsidRPr="00910EA1" w:rsidRDefault="008F61C5" w:rsidP="00910EA1">
      <w:pPr>
        <w:pStyle w:val="LT"/>
        <w:spacing w:line="276" w:lineRule="auto"/>
        <w:jc w:val="both"/>
      </w:pPr>
      <w:bookmarkStart w:id="12" w:name="_Toc147751518"/>
      <w:r w:rsidRPr="00910EA1">
        <w:t xml:space="preserve">4.1 </w:t>
      </w:r>
      <w:r w:rsidR="00D032AE" w:rsidRPr="00910EA1">
        <w:t>Table 2: Soil amendments effects on CO</w:t>
      </w:r>
      <w:r w:rsidR="00D032AE" w:rsidRPr="00910EA1">
        <w:rPr>
          <w:vertAlign w:val="subscript"/>
        </w:rPr>
        <w:t>2</w:t>
      </w:r>
      <w:r w:rsidR="00D032AE" w:rsidRPr="00910EA1">
        <w:t xml:space="preserve"> emission on daily basis</w:t>
      </w:r>
      <w:r w:rsidRPr="00910EA1">
        <w:t>.</w:t>
      </w:r>
      <w:bookmarkEnd w:id="12"/>
    </w:p>
    <w:tbl>
      <w:tblPr>
        <w:tblStyle w:val="PlainTable21"/>
        <w:tblW w:w="8056" w:type="dxa"/>
        <w:tblLook w:val="04A0" w:firstRow="1" w:lastRow="0" w:firstColumn="1" w:lastColumn="0" w:noHBand="0" w:noVBand="1"/>
      </w:tblPr>
      <w:tblGrid>
        <w:gridCol w:w="1955"/>
        <w:gridCol w:w="1426"/>
        <w:gridCol w:w="1677"/>
        <w:gridCol w:w="1479"/>
        <w:gridCol w:w="1519"/>
      </w:tblGrid>
      <w:tr w:rsidR="00CF1F9B" w:rsidRPr="00910EA1" w14:paraId="2A00FF35" w14:textId="77777777" w:rsidTr="00973100">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55" w:type="dxa"/>
            <w:noWrap/>
            <w:hideMark/>
          </w:tcPr>
          <w:p w14:paraId="4A0ED08E" w14:textId="77777777" w:rsidR="00CF1F9B" w:rsidRPr="00910EA1" w:rsidRDefault="00CF1F9B"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TREATMENTS</w:t>
            </w:r>
          </w:p>
        </w:tc>
        <w:tc>
          <w:tcPr>
            <w:tcW w:w="1426" w:type="dxa"/>
            <w:noWrap/>
            <w:hideMark/>
          </w:tcPr>
          <w:p w14:paraId="3563A969" w14:textId="77777777" w:rsidR="00CF1F9B" w:rsidRPr="00910EA1" w:rsidRDefault="00CF1F9B"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 xml:space="preserve"> DAY 0 </w:t>
            </w:r>
          </w:p>
        </w:tc>
        <w:tc>
          <w:tcPr>
            <w:tcW w:w="1677" w:type="dxa"/>
            <w:noWrap/>
            <w:hideMark/>
          </w:tcPr>
          <w:p w14:paraId="4B66E21B" w14:textId="77777777" w:rsidR="00CF1F9B" w:rsidRPr="00910EA1" w:rsidRDefault="00CF1F9B"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 xml:space="preserve">DAY 3 </w:t>
            </w:r>
          </w:p>
        </w:tc>
        <w:tc>
          <w:tcPr>
            <w:tcW w:w="1479" w:type="dxa"/>
            <w:noWrap/>
            <w:hideMark/>
          </w:tcPr>
          <w:p w14:paraId="44FD1228" w14:textId="77777777" w:rsidR="00CF1F9B" w:rsidRPr="00910EA1" w:rsidRDefault="00CF1F9B"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 xml:space="preserve">DAY 6 </w:t>
            </w:r>
          </w:p>
        </w:tc>
        <w:tc>
          <w:tcPr>
            <w:tcW w:w="1519" w:type="dxa"/>
            <w:noWrap/>
            <w:hideMark/>
          </w:tcPr>
          <w:p w14:paraId="3BAE5509" w14:textId="77777777" w:rsidR="00CF1F9B" w:rsidRPr="00910EA1" w:rsidRDefault="00CF1F9B"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 xml:space="preserve">DAY 9 </w:t>
            </w:r>
          </w:p>
        </w:tc>
      </w:tr>
      <w:tr w:rsidR="00CF1F9B" w:rsidRPr="00910EA1" w14:paraId="7AAC9B5C" w14:textId="77777777" w:rsidTr="0097310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8056" w:type="dxa"/>
            <w:gridSpan w:val="5"/>
            <w:tcBorders>
              <w:bottom w:val="single" w:sz="4" w:space="0" w:color="auto"/>
            </w:tcBorders>
            <w:noWrap/>
          </w:tcPr>
          <w:p w14:paraId="034B4BEE" w14:textId="77777777" w:rsidR="00CF1F9B" w:rsidRPr="00910EA1" w:rsidRDefault="00CF1F9B"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d/kg</w:t>
            </w:r>
          </w:p>
        </w:tc>
      </w:tr>
      <w:tr w:rsidR="00CF1F9B" w:rsidRPr="00910EA1" w14:paraId="0912BE98" w14:textId="77777777" w:rsidTr="00973100">
        <w:trPr>
          <w:trHeight w:val="320"/>
        </w:trPr>
        <w:tc>
          <w:tcPr>
            <w:cnfStyle w:val="001000000000" w:firstRow="0" w:lastRow="0" w:firstColumn="1" w:lastColumn="0" w:oddVBand="0" w:evenVBand="0" w:oddHBand="0" w:evenHBand="0" w:firstRowFirstColumn="0" w:firstRowLastColumn="0" w:lastRowFirstColumn="0" w:lastRowLastColumn="0"/>
            <w:tcW w:w="1955" w:type="dxa"/>
            <w:tcBorders>
              <w:top w:val="single" w:sz="4" w:space="0" w:color="auto"/>
              <w:bottom w:val="nil"/>
            </w:tcBorders>
            <w:noWrap/>
            <w:hideMark/>
          </w:tcPr>
          <w:p w14:paraId="4AD11794" w14:textId="4EB8445F" w:rsidR="00CF1F9B" w:rsidRPr="00910EA1" w:rsidRDefault="00CF1F9B"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CONTROL</w:t>
            </w:r>
          </w:p>
        </w:tc>
        <w:tc>
          <w:tcPr>
            <w:tcW w:w="1426" w:type="dxa"/>
            <w:tcBorders>
              <w:top w:val="single" w:sz="4" w:space="0" w:color="auto"/>
              <w:bottom w:val="nil"/>
            </w:tcBorders>
            <w:noWrap/>
            <w:hideMark/>
          </w:tcPr>
          <w:p w14:paraId="52825C9C"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1.21± 0.11a</w:t>
            </w:r>
          </w:p>
        </w:tc>
        <w:tc>
          <w:tcPr>
            <w:tcW w:w="1677" w:type="dxa"/>
            <w:tcBorders>
              <w:top w:val="single" w:sz="4" w:space="0" w:color="auto"/>
              <w:bottom w:val="nil"/>
            </w:tcBorders>
            <w:noWrap/>
            <w:hideMark/>
          </w:tcPr>
          <w:p w14:paraId="6E27B053"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0.07± 0.00a</w:t>
            </w:r>
          </w:p>
        </w:tc>
        <w:tc>
          <w:tcPr>
            <w:tcW w:w="1479" w:type="dxa"/>
            <w:tcBorders>
              <w:top w:val="single" w:sz="4" w:space="0" w:color="auto"/>
              <w:bottom w:val="nil"/>
            </w:tcBorders>
            <w:noWrap/>
            <w:hideMark/>
          </w:tcPr>
          <w:p w14:paraId="03A45053"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0.03± 0.00a</w:t>
            </w:r>
          </w:p>
        </w:tc>
        <w:tc>
          <w:tcPr>
            <w:tcW w:w="1519" w:type="dxa"/>
            <w:tcBorders>
              <w:top w:val="single" w:sz="4" w:space="0" w:color="auto"/>
              <w:bottom w:val="nil"/>
            </w:tcBorders>
            <w:noWrap/>
            <w:hideMark/>
          </w:tcPr>
          <w:p w14:paraId="51AA307B"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0.05±0.02a</w:t>
            </w:r>
          </w:p>
        </w:tc>
      </w:tr>
      <w:tr w:rsidR="00CF1F9B" w:rsidRPr="00910EA1" w14:paraId="4A0923BC" w14:textId="77777777" w:rsidTr="0097310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55" w:type="dxa"/>
            <w:tcBorders>
              <w:top w:val="nil"/>
              <w:bottom w:val="nil"/>
            </w:tcBorders>
            <w:noWrap/>
            <w:hideMark/>
          </w:tcPr>
          <w:p w14:paraId="2F2693E1" w14:textId="77777777" w:rsidR="00CF1F9B" w:rsidRPr="00910EA1" w:rsidRDefault="00CF1F9B"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INORGANIC</w:t>
            </w:r>
          </w:p>
        </w:tc>
        <w:tc>
          <w:tcPr>
            <w:tcW w:w="1426" w:type="dxa"/>
            <w:tcBorders>
              <w:top w:val="nil"/>
              <w:bottom w:val="nil"/>
            </w:tcBorders>
            <w:noWrap/>
            <w:hideMark/>
          </w:tcPr>
          <w:p w14:paraId="7603DD3A"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1.18± 0.06a</w:t>
            </w:r>
          </w:p>
        </w:tc>
        <w:tc>
          <w:tcPr>
            <w:tcW w:w="1677" w:type="dxa"/>
            <w:tcBorders>
              <w:top w:val="nil"/>
              <w:bottom w:val="nil"/>
            </w:tcBorders>
            <w:noWrap/>
            <w:hideMark/>
          </w:tcPr>
          <w:p w14:paraId="0D4AE6A5"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0.02± 0.01b</w:t>
            </w:r>
          </w:p>
        </w:tc>
        <w:tc>
          <w:tcPr>
            <w:tcW w:w="1479" w:type="dxa"/>
            <w:tcBorders>
              <w:top w:val="nil"/>
              <w:bottom w:val="nil"/>
            </w:tcBorders>
            <w:noWrap/>
            <w:hideMark/>
          </w:tcPr>
          <w:p w14:paraId="0D7F0310"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0.03± 0.01a</w:t>
            </w:r>
          </w:p>
        </w:tc>
        <w:tc>
          <w:tcPr>
            <w:tcW w:w="1519" w:type="dxa"/>
            <w:tcBorders>
              <w:top w:val="nil"/>
              <w:bottom w:val="nil"/>
            </w:tcBorders>
            <w:noWrap/>
            <w:hideMark/>
          </w:tcPr>
          <w:p w14:paraId="5CA53C5A"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0.04±0.00a</w:t>
            </w:r>
          </w:p>
        </w:tc>
      </w:tr>
      <w:tr w:rsidR="00CF1F9B" w:rsidRPr="00910EA1" w14:paraId="213FD11A" w14:textId="77777777" w:rsidTr="00973100">
        <w:trPr>
          <w:trHeight w:val="320"/>
        </w:trPr>
        <w:tc>
          <w:tcPr>
            <w:cnfStyle w:val="001000000000" w:firstRow="0" w:lastRow="0" w:firstColumn="1" w:lastColumn="0" w:oddVBand="0" w:evenVBand="0" w:oddHBand="0" w:evenHBand="0" w:firstRowFirstColumn="0" w:firstRowLastColumn="0" w:lastRowFirstColumn="0" w:lastRowLastColumn="0"/>
            <w:tcW w:w="1955" w:type="dxa"/>
            <w:tcBorders>
              <w:top w:val="nil"/>
              <w:bottom w:val="nil"/>
            </w:tcBorders>
            <w:noWrap/>
            <w:hideMark/>
          </w:tcPr>
          <w:p w14:paraId="5BACB15F" w14:textId="0E427769" w:rsidR="00CF1F9B" w:rsidRPr="00910EA1" w:rsidRDefault="004A4424"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COMPOST</w:t>
            </w:r>
          </w:p>
        </w:tc>
        <w:tc>
          <w:tcPr>
            <w:tcW w:w="1426" w:type="dxa"/>
            <w:tcBorders>
              <w:top w:val="nil"/>
              <w:bottom w:val="nil"/>
            </w:tcBorders>
            <w:noWrap/>
            <w:hideMark/>
          </w:tcPr>
          <w:p w14:paraId="0B1D6DB2"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1.03± 0.05b</w:t>
            </w:r>
          </w:p>
        </w:tc>
        <w:tc>
          <w:tcPr>
            <w:tcW w:w="1677" w:type="dxa"/>
            <w:tcBorders>
              <w:top w:val="nil"/>
              <w:bottom w:val="nil"/>
            </w:tcBorders>
            <w:noWrap/>
            <w:hideMark/>
          </w:tcPr>
          <w:p w14:paraId="0305F386"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0.01bc</w:t>
            </w:r>
          </w:p>
        </w:tc>
        <w:tc>
          <w:tcPr>
            <w:tcW w:w="1479" w:type="dxa"/>
            <w:tcBorders>
              <w:top w:val="nil"/>
              <w:bottom w:val="nil"/>
            </w:tcBorders>
            <w:noWrap/>
            <w:hideMark/>
          </w:tcPr>
          <w:p w14:paraId="165C1574"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0.00b</w:t>
            </w:r>
          </w:p>
        </w:tc>
        <w:tc>
          <w:tcPr>
            <w:tcW w:w="1519" w:type="dxa"/>
            <w:tcBorders>
              <w:top w:val="nil"/>
              <w:bottom w:val="nil"/>
            </w:tcBorders>
            <w:noWrap/>
            <w:hideMark/>
          </w:tcPr>
          <w:p w14:paraId="65AFB857"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0.01±0.00b</w:t>
            </w:r>
          </w:p>
        </w:tc>
      </w:tr>
      <w:tr w:rsidR="00CF1F9B" w:rsidRPr="00910EA1" w14:paraId="5FFFE304" w14:textId="77777777" w:rsidTr="0097310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55" w:type="dxa"/>
            <w:tcBorders>
              <w:top w:val="nil"/>
              <w:bottom w:val="nil"/>
            </w:tcBorders>
            <w:noWrap/>
            <w:hideMark/>
          </w:tcPr>
          <w:p w14:paraId="284590B6" w14:textId="77777777" w:rsidR="00CF1F9B" w:rsidRPr="00910EA1" w:rsidRDefault="00CF1F9B"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COMPOST+ 2% BIOCHAR</w:t>
            </w:r>
          </w:p>
        </w:tc>
        <w:tc>
          <w:tcPr>
            <w:tcW w:w="1426" w:type="dxa"/>
            <w:tcBorders>
              <w:top w:val="nil"/>
              <w:bottom w:val="nil"/>
            </w:tcBorders>
            <w:noWrap/>
            <w:hideMark/>
          </w:tcPr>
          <w:p w14:paraId="0FCD6DC9"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1.04± 0.12b</w:t>
            </w:r>
          </w:p>
        </w:tc>
        <w:tc>
          <w:tcPr>
            <w:tcW w:w="1677" w:type="dxa"/>
            <w:tcBorders>
              <w:top w:val="nil"/>
              <w:bottom w:val="nil"/>
            </w:tcBorders>
            <w:noWrap/>
            <w:hideMark/>
          </w:tcPr>
          <w:p w14:paraId="56F97F6D"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0.01bc</w:t>
            </w:r>
          </w:p>
        </w:tc>
        <w:tc>
          <w:tcPr>
            <w:tcW w:w="1479" w:type="dxa"/>
            <w:tcBorders>
              <w:top w:val="nil"/>
              <w:bottom w:val="nil"/>
            </w:tcBorders>
            <w:noWrap/>
            <w:hideMark/>
          </w:tcPr>
          <w:p w14:paraId="3C9A5669"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0.00b</w:t>
            </w:r>
          </w:p>
        </w:tc>
        <w:tc>
          <w:tcPr>
            <w:tcW w:w="1519" w:type="dxa"/>
            <w:tcBorders>
              <w:top w:val="nil"/>
              <w:bottom w:val="nil"/>
            </w:tcBorders>
            <w:noWrap/>
            <w:hideMark/>
          </w:tcPr>
          <w:p w14:paraId="07F1BD82"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0.02±0.01b</w:t>
            </w:r>
          </w:p>
        </w:tc>
      </w:tr>
      <w:tr w:rsidR="00CF1F9B" w:rsidRPr="00910EA1" w14:paraId="04D2B027" w14:textId="77777777" w:rsidTr="00973100">
        <w:trPr>
          <w:trHeight w:val="320"/>
        </w:trPr>
        <w:tc>
          <w:tcPr>
            <w:cnfStyle w:val="001000000000" w:firstRow="0" w:lastRow="0" w:firstColumn="1" w:lastColumn="0" w:oddVBand="0" w:evenVBand="0" w:oddHBand="0" w:evenHBand="0" w:firstRowFirstColumn="0" w:firstRowLastColumn="0" w:lastRowFirstColumn="0" w:lastRowLastColumn="0"/>
            <w:tcW w:w="1955" w:type="dxa"/>
            <w:tcBorders>
              <w:top w:val="nil"/>
              <w:bottom w:val="nil"/>
            </w:tcBorders>
            <w:noWrap/>
            <w:hideMark/>
          </w:tcPr>
          <w:p w14:paraId="76B4F288" w14:textId="77777777" w:rsidR="00CF1F9B" w:rsidRPr="00910EA1" w:rsidRDefault="00CF1F9B"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COMPOST+ 5% BIOCHAR</w:t>
            </w:r>
          </w:p>
        </w:tc>
        <w:tc>
          <w:tcPr>
            <w:tcW w:w="1426" w:type="dxa"/>
            <w:tcBorders>
              <w:top w:val="nil"/>
              <w:bottom w:val="nil"/>
            </w:tcBorders>
            <w:noWrap/>
            <w:hideMark/>
          </w:tcPr>
          <w:p w14:paraId="16C942B2"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0.96± 0.10bc</w:t>
            </w:r>
          </w:p>
        </w:tc>
        <w:tc>
          <w:tcPr>
            <w:tcW w:w="1677" w:type="dxa"/>
            <w:tcBorders>
              <w:top w:val="nil"/>
              <w:bottom w:val="nil"/>
            </w:tcBorders>
            <w:noWrap/>
            <w:hideMark/>
          </w:tcPr>
          <w:p w14:paraId="421060BC"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0.01bc</w:t>
            </w:r>
          </w:p>
        </w:tc>
        <w:tc>
          <w:tcPr>
            <w:tcW w:w="1479" w:type="dxa"/>
            <w:tcBorders>
              <w:top w:val="nil"/>
              <w:bottom w:val="nil"/>
            </w:tcBorders>
            <w:noWrap/>
            <w:hideMark/>
          </w:tcPr>
          <w:p w14:paraId="095BDD5F"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0.01bc</w:t>
            </w:r>
          </w:p>
        </w:tc>
        <w:tc>
          <w:tcPr>
            <w:tcW w:w="1519" w:type="dxa"/>
            <w:tcBorders>
              <w:top w:val="nil"/>
              <w:bottom w:val="nil"/>
            </w:tcBorders>
            <w:noWrap/>
            <w:hideMark/>
          </w:tcPr>
          <w:p w14:paraId="24484D85"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0.02±0.01b</w:t>
            </w:r>
          </w:p>
        </w:tc>
      </w:tr>
      <w:tr w:rsidR="00CF1F9B" w:rsidRPr="00910EA1" w14:paraId="77BA0229" w14:textId="77777777" w:rsidTr="0097310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55" w:type="dxa"/>
            <w:tcBorders>
              <w:top w:val="nil"/>
              <w:bottom w:val="single" w:sz="4" w:space="0" w:color="auto"/>
            </w:tcBorders>
            <w:noWrap/>
            <w:hideMark/>
          </w:tcPr>
          <w:p w14:paraId="799D5C07" w14:textId="77777777" w:rsidR="00CF1F9B" w:rsidRPr="00910EA1" w:rsidRDefault="00CF1F9B" w:rsidP="00910EA1">
            <w:pPr>
              <w:spacing w:line="276" w:lineRule="auto"/>
              <w:jc w:val="both"/>
              <w:rPr>
                <w:rFonts w:ascii="Times New Roman" w:hAnsi="Times New Roman" w:cs="Times New Roman"/>
                <w:b w:val="0"/>
                <w:bCs w:val="0"/>
                <w:sz w:val="24"/>
                <w:szCs w:val="24"/>
              </w:rPr>
            </w:pPr>
            <w:r w:rsidRPr="00910EA1">
              <w:rPr>
                <w:rFonts w:ascii="Times New Roman" w:hAnsi="Times New Roman" w:cs="Times New Roman"/>
                <w:sz w:val="24"/>
                <w:szCs w:val="24"/>
              </w:rPr>
              <w:t>COMPOST+ 10% BIOCHAR</w:t>
            </w:r>
          </w:p>
          <w:p w14:paraId="0CD9011A" w14:textId="77777777" w:rsidR="008E132C" w:rsidRPr="00910EA1" w:rsidRDefault="00FB2EA2" w:rsidP="00910EA1">
            <w:pPr>
              <w:spacing w:line="276" w:lineRule="auto"/>
              <w:jc w:val="both"/>
              <w:rPr>
                <w:rFonts w:ascii="Times New Roman" w:hAnsi="Times New Roman" w:cs="Times New Roman"/>
                <w:b w:val="0"/>
                <w:bCs w:val="0"/>
                <w:sz w:val="24"/>
                <w:szCs w:val="24"/>
              </w:rPr>
            </w:pPr>
            <w:r w:rsidRPr="00910EA1">
              <w:rPr>
                <w:rFonts w:ascii="Times New Roman" w:hAnsi="Times New Roman" w:cs="Times New Roman"/>
                <w:sz w:val="24"/>
                <w:szCs w:val="24"/>
              </w:rPr>
              <w:t>A</w:t>
            </w:r>
            <w:r w:rsidR="001D34ED" w:rsidRPr="00910EA1">
              <w:rPr>
                <w:rFonts w:ascii="Times New Roman" w:hAnsi="Times New Roman" w:cs="Times New Roman"/>
                <w:sz w:val="24"/>
                <w:szCs w:val="24"/>
              </w:rPr>
              <w:t xml:space="preserve">NOVA p-value </w:t>
            </w:r>
          </w:p>
          <w:p w14:paraId="21BC6A90" w14:textId="5A626C13" w:rsidR="00973100" w:rsidRPr="00910EA1" w:rsidRDefault="001D34ED" w:rsidP="00910EA1">
            <w:pPr>
              <w:spacing w:line="276" w:lineRule="auto"/>
              <w:jc w:val="both"/>
              <w:rPr>
                <w:rFonts w:ascii="Times New Roman" w:hAnsi="Times New Roman" w:cs="Times New Roman"/>
                <w:b w:val="0"/>
                <w:bCs w:val="0"/>
                <w:sz w:val="24"/>
                <w:szCs w:val="24"/>
              </w:rPr>
            </w:pPr>
            <w:r w:rsidRPr="00910EA1">
              <w:rPr>
                <w:rFonts w:ascii="Times New Roman" w:hAnsi="Times New Roman" w:cs="Times New Roman"/>
                <w:sz w:val="24"/>
                <w:szCs w:val="24"/>
              </w:rPr>
              <w:t xml:space="preserve">   </w:t>
            </w:r>
          </w:p>
        </w:tc>
        <w:tc>
          <w:tcPr>
            <w:tcW w:w="1426" w:type="dxa"/>
            <w:tcBorders>
              <w:top w:val="nil"/>
              <w:bottom w:val="single" w:sz="4" w:space="0" w:color="auto"/>
            </w:tcBorders>
            <w:noWrap/>
            <w:hideMark/>
          </w:tcPr>
          <w:p w14:paraId="48424172"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0.88± 0.08c</w:t>
            </w:r>
          </w:p>
          <w:p w14:paraId="09086718" w14:textId="77777777" w:rsidR="004C0F2F" w:rsidRPr="00910EA1" w:rsidRDefault="004C0F2F"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5450D819" w14:textId="6F2C1207" w:rsidR="004C0F2F" w:rsidRPr="00910EA1" w:rsidRDefault="004C0F2F"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&lt;</w:t>
            </w:r>
            <w:r w:rsidR="00746E11" w:rsidRPr="00910EA1">
              <w:rPr>
                <w:rFonts w:ascii="Times New Roman" w:hAnsi="Times New Roman" w:cs="Times New Roman"/>
                <w:sz w:val="24"/>
                <w:szCs w:val="24"/>
              </w:rPr>
              <w:t xml:space="preserve"> </w:t>
            </w:r>
            <w:r w:rsidRPr="00910EA1">
              <w:rPr>
                <w:rFonts w:ascii="Times New Roman" w:hAnsi="Times New Roman" w:cs="Times New Roman"/>
                <w:sz w:val="24"/>
                <w:szCs w:val="24"/>
              </w:rPr>
              <w:t>0.001</w:t>
            </w:r>
          </w:p>
        </w:tc>
        <w:tc>
          <w:tcPr>
            <w:tcW w:w="1677" w:type="dxa"/>
            <w:tcBorders>
              <w:top w:val="nil"/>
              <w:bottom w:val="single" w:sz="4" w:space="0" w:color="auto"/>
            </w:tcBorders>
            <w:noWrap/>
            <w:hideMark/>
          </w:tcPr>
          <w:p w14:paraId="46DDC572"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0.01c</w:t>
            </w:r>
          </w:p>
          <w:p w14:paraId="3EFB7B0E" w14:textId="77777777" w:rsidR="004C0F2F" w:rsidRPr="00910EA1" w:rsidRDefault="004C0F2F"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3C7F235B" w14:textId="767B31A2" w:rsidR="004C0F2F" w:rsidRPr="00910EA1" w:rsidRDefault="00813F79"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&lt;</w:t>
            </w:r>
            <w:r w:rsidR="00746E11" w:rsidRPr="00910EA1">
              <w:rPr>
                <w:rFonts w:ascii="Times New Roman" w:hAnsi="Times New Roman" w:cs="Times New Roman"/>
                <w:sz w:val="24"/>
                <w:szCs w:val="24"/>
              </w:rPr>
              <w:t xml:space="preserve"> </w:t>
            </w:r>
            <w:r w:rsidRPr="00910EA1">
              <w:rPr>
                <w:rFonts w:ascii="Times New Roman" w:hAnsi="Times New Roman" w:cs="Times New Roman"/>
                <w:sz w:val="24"/>
                <w:szCs w:val="24"/>
              </w:rPr>
              <w:t>0.001</w:t>
            </w:r>
          </w:p>
        </w:tc>
        <w:tc>
          <w:tcPr>
            <w:tcW w:w="1479" w:type="dxa"/>
            <w:tcBorders>
              <w:top w:val="nil"/>
              <w:bottom w:val="single" w:sz="4" w:space="0" w:color="auto"/>
            </w:tcBorders>
            <w:noWrap/>
            <w:hideMark/>
          </w:tcPr>
          <w:p w14:paraId="36777C90"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0.01c</w:t>
            </w:r>
          </w:p>
          <w:p w14:paraId="10310842" w14:textId="77777777" w:rsidR="00813F79" w:rsidRPr="00910EA1" w:rsidRDefault="00813F79"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747C1F97" w14:textId="493B973A" w:rsidR="00813F79" w:rsidRPr="00910EA1" w:rsidRDefault="00813F79"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0.003</w:t>
            </w:r>
          </w:p>
        </w:tc>
        <w:tc>
          <w:tcPr>
            <w:tcW w:w="1519" w:type="dxa"/>
            <w:tcBorders>
              <w:top w:val="nil"/>
              <w:bottom w:val="single" w:sz="4" w:space="0" w:color="auto"/>
            </w:tcBorders>
            <w:noWrap/>
            <w:hideMark/>
          </w:tcPr>
          <w:p w14:paraId="2E036349"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0.02±0.00b</w:t>
            </w:r>
          </w:p>
          <w:p w14:paraId="4B53525C" w14:textId="77777777" w:rsidR="00813F79" w:rsidRPr="00910EA1" w:rsidRDefault="00813F79"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3395200A" w14:textId="3A5E8D65" w:rsidR="00517A37" w:rsidRPr="00910EA1" w:rsidRDefault="000A1798"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&lt;</w:t>
            </w:r>
            <w:r w:rsidR="00746E11" w:rsidRPr="00910EA1">
              <w:rPr>
                <w:rFonts w:ascii="Times New Roman" w:hAnsi="Times New Roman" w:cs="Times New Roman"/>
                <w:sz w:val="24"/>
                <w:szCs w:val="24"/>
              </w:rPr>
              <w:t xml:space="preserve"> </w:t>
            </w:r>
            <w:r w:rsidRPr="00910EA1">
              <w:rPr>
                <w:rFonts w:ascii="Times New Roman" w:hAnsi="Times New Roman" w:cs="Times New Roman"/>
                <w:sz w:val="24"/>
                <w:szCs w:val="24"/>
              </w:rPr>
              <w:t>0.001</w:t>
            </w:r>
          </w:p>
          <w:p w14:paraId="58D4D346" w14:textId="6BA8536B" w:rsidR="00517A37" w:rsidRPr="00910EA1" w:rsidRDefault="00517A37"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bl>
    <w:p w14:paraId="1C5EA484" w14:textId="77777777" w:rsidR="00CF1F9B" w:rsidRPr="00910EA1" w:rsidRDefault="00CF1F9B" w:rsidP="00910EA1">
      <w:pPr>
        <w:spacing w:after="0" w:line="276" w:lineRule="auto"/>
        <w:jc w:val="both"/>
        <w:rPr>
          <w:rFonts w:ascii="Times New Roman" w:hAnsi="Times New Roman" w:cs="Times New Roman"/>
          <w:sz w:val="24"/>
          <w:szCs w:val="24"/>
        </w:rPr>
      </w:pPr>
    </w:p>
    <w:p w14:paraId="77768AB2" w14:textId="2B281CBF" w:rsidR="006D0F97" w:rsidRPr="00910EA1" w:rsidRDefault="006D0F97" w:rsidP="00910EA1">
      <w:pPr>
        <w:spacing w:line="276" w:lineRule="auto"/>
        <w:jc w:val="both"/>
        <w:rPr>
          <w:rFonts w:ascii="Times New Roman" w:hAnsi="Times New Roman" w:cs="Times New Roman"/>
          <w:b/>
          <w:sz w:val="24"/>
          <w:szCs w:val="24"/>
        </w:rPr>
      </w:pPr>
    </w:p>
    <w:p w14:paraId="106B3044" w14:textId="5C7F0C2B" w:rsidR="004A4424" w:rsidRPr="00910EA1" w:rsidRDefault="004A4424" w:rsidP="00910EA1">
      <w:pPr>
        <w:pStyle w:val="LT"/>
        <w:spacing w:line="276" w:lineRule="auto"/>
        <w:jc w:val="both"/>
      </w:pPr>
      <w:bookmarkStart w:id="13" w:name="_Toc147751519"/>
      <w:r w:rsidRPr="00910EA1">
        <w:t xml:space="preserve">Table </w:t>
      </w:r>
      <w:r w:rsidR="008F61C5" w:rsidRPr="00910EA1">
        <w:t>3</w:t>
      </w:r>
      <w:r w:rsidRPr="00910EA1">
        <w:t>: Soil amendments effects on CO</w:t>
      </w:r>
      <w:r w:rsidRPr="00910EA1">
        <w:rPr>
          <w:vertAlign w:val="subscript"/>
        </w:rPr>
        <w:t>2</w:t>
      </w:r>
      <w:r w:rsidRPr="00910EA1">
        <w:t xml:space="preserve"> emission on daily basis</w:t>
      </w:r>
      <w:r w:rsidR="006D0F97" w:rsidRPr="00910EA1">
        <w:t xml:space="preserve"> continued</w:t>
      </w:r>
      <w:bookmarkEnd w:id="13"/>
    </w:p>
    <w:tbl>
      <w:tblPr>
        <w:tblStyle w:val="PlainTable21"/>
        <w:tblW w:w="0" w:type="auto"/>
        <w:tblLook w:val="04A0" w:firstRow="1" w:lastRow="0" w:firstColumn="1" w:lastColumn="0" w:noHBand="0" w:noVBand="1"/>
      </w:tblPr>
      <w:tblGrid>
        <w:gridCol w:w="2272"/>
        <w:gridCol w:w="1646"/>
        <w:gridCol w:w="1646"/>
        <w:gridCol w:w="1709"/>
        <w:gridCol w:w="1756"/>
      </w:tblGrid>
      <w:tr w:rsidR="00E81A6D" w:rsidRPr="00910EA1" w14:paraId="55DF63D1" w14:textId="77777777" w:rsidTr="004C1507">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72" w:type="dxa"/>
            <w:tcBorders>
              <w:top w:val="single" w:sz="4" w:space="0" w:color="7F7F7F" w:themeColor="text1" w:themeTint="80"/>
              <w:bottom w:val="single" w:sz="4" w:space="0" w:color="auto"/>
            </w:tcBorders>
            <w:noWrap/>
            <w:hideMark/>
          </w:tcPr>
          <w:p w14:paraId="75DA253B" w14:textId="1B610EA5" w:rsidR="00E81A6D" w:rsidRPr="00910EA1" w:rsidRDefault="00E81A6D"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TREATMENTS</w:t>
            </w:r>
          </w:p>
        </w:tc>
        <w:tc>
          <w:tcPr>
            <w:tcW w:w="1646" w:type="dxa"/>
            <w:tcBorders>
              <w:top w:val="single" w:sz="4" w:space="0" w:color="7F7F7F" w:themeColor="text1" w:themeTint="80"/>
              <w:bottom w:val="single" w:sz="4" w:space="0" w:color="auto"/>
            </w:tcBorders>
            <w:noWrap/>
            <w:hideMark/>
          </w:tcPr>
          <w:p w14:paraId="4CD33B00" w14:textId="1DFA76B8" w:rsidR="00E81A6D" w:rsidRPr="00910EA1" w:rsidRDefault="00E81A6D"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 xml:space="preserve"> DAY 16</w:t>
            </w:r>
          </w:p>
        </w:tc>
        <w:tc>
          <w:tcPr>
            <w:tcW w:w="1646" w:type="dxa"/>
            <w:tcBorders>
              <w:top w:val="single" w:sz="4" w:space="0" w:color="7F7F7F" w:themeColor="text1" w:themeTint="80"/>
              <w:bottom w:val="single" w:sz="4" w:space="0" w:color="auto"/>
            </w:tcBorders>
            <w:noWrap/>
            <w:hideMark/>
          </w:tcPr>
          <w:p w14:paraId="5E8B3E7F" w14:textId="718C9C51" w:rsidR="00E81A6D" w:rsidRPr="00910EA1" w:rsidRDefault="00E81A6D"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 xml:space="preserve">DAY 23 </w:t>
            </w:r>
          </w:p>
        </w:tc>
        <w:tc>
          <w:tcPr>
            <w:tcW w:w="1709" w:type="dxa"/>
            <w:tcBorders>
              <w:top w:val="single" w:sz="4" w:space="0" w:color="7F7F7F" w:themeColor="text1" w:themeTint="80"/>
              <w:bottom w:val="single" w:sz="4" w:space="0" w:color="auto"/>
            </w:tcBorders>
            <w:noWrap/>
            <w:hideMark/>
          </w:tcPr>
          <w:p w14:paraId="1EE983A0" w14:textId="098F5F4A" w:rsidR="00E81A6D" w:rsidRPr="00910EA1" w:rsidRDefault="00E81A6D"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DAY 37</w:t>
            </w:r>
          </w:p>
        </w:tc>
        <w:tc>
          <w:tcPr>
            <w:tcW w:w="1756" w:type="dxa"/>
            <w:tcBorders>
              <w:top w:val="single" w:sz="4" w:space="0" w:color="7F7F7F" w:themeColor="text1" w:themeTint="80"/>
              <w:bottom w:val="single" w:sz="4" w:space="0" w:color="auto"/>
            </w:tcBorders>
            <w:noWrap/>
            <w:hideMark/>
          </w:tcPr>
          <w:p w14:paraId="7F6B63C4" w14:textId="37BFE4F7" w:rsidR="00E81A6D" w:rsidRPr="00910EA1" w:rsidRDefault="00E81A6D"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DAY 58</w:t>
            </w:r>
          </w:p>
        </w:tc>
      </w:tr>
      <w:tr w:rsidR="00CF1F9B" w:rsidRPr="00910EA1" w14:paraId="3FD3F6B3" w14:textId="77777777" w:rsidTr="004C150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029" w:type="dxa"/>
            <w:gridSpan w:val="5"/>
            <w:tcBorders>
              <w:top w:val="single" w:sz="4" w:space="0" w:color="auto"/>
              <w:bottom w:val="single" w:sz="4" w:space="0" w:color="auto"/>
            </w:tcBorders>
            <w:noWrap/>
          </w:tcPr>
          <w:p w14:paraId="76052E73" w14:textId="77777777" w:rsidR="00CF1F9B" w:rsidRPr="00910EA1" w:rsidRDefault="00CF1F9B"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d/kg</w:t>
            </w:r>
          </w:p>
        </w:tc>
      </w:tr>
      <w:tr w:rsidR="00CF1F9B" w:rsidRPr="00910EA1" w14:paraId="3429A590" w14:textId="77777777" w:rsidTr="004C1507">
        <w:trPr>
          <w:trHeight w:val="320"/>
        </w:trPr>
        <w:tc>
          <w:tcPr>
            <w:cnfStyle w:val="001000000000" w:firstRow="0" w:lastRow="0" w:firstColumn="1" w:lastColumn="0" w:oddVBand="0" w:evenVBand="0" w:oddHBand="0" w:evenHBand="0" w:firstRowFirstColumn="0" w:firstRowLastColumn="0" w:lastRowFirstColumn="0" w:lastRowLastColumn="0"/>
            <w:tcW w:w="2272" w:type="dxa"/>
            <w:tcBorders>
              <w:top w:val="single" w:sz="4" w:space="0" w:color="auto"/>
              <w:bottom w:val="nil"/>
            </w:tcBorders>
            <w:noWrap/>
            <w:hideMark/>
          </w:tcPr>
          <w:p w14:paraId="41AC13DC" w14:textId="6AC7FDF0" w:rsidR="00CF1F9B" w:rsidRPr="00910EA1" w:rsidRDefault="00CF1F9B"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lastRenderedPageBreak/>
              <w:t>CONTROL</w:t>
            </w:r>
          </w:p>
        </w:tc>
        <w:tc>
          <w:tcPr>
            <w:tcW w:w="1646" w:type="dxa"/>
            <w:tcBorders>
              <w:top w:val="single" w:sz="4" w:space="0" w:color="auto"/>
              <w:bottom w:val="nil"/>
            </w:tcBorders>
            <w:noWrap/>
            <w:hideMark/>
          </w:tcPr>
          <w:p w14:paraId="0182A8CE"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0.02± 0.00a</w:t>
            </w:r>
          </w:p>
        </w:tc>
        <w:tc>
          <w:tcPr>
            <w:tcW w:w="1646" w:type="dxa"/>
            <w:tcBorders>
              <w:top w:val="single" w:sz="4" w:space="0" w:color="auto"/>
              <w:bottom w:val="nil"/>
            </w:tcBorders>
            <w:noWrap/>
            <w:hideMark/>
          </w:tcPr>
          <w:p w14:paraId="0C929E10"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0.00a</w:t>
            </w:r>
          </w:p>
        </w:tc>
        <w:tc>
          <w:tcPr>
            <w:tcW w:w="1709" w:type="dxa"/>
            <w:tcBorders>
              <w:top w:val="single" w:sz="4" w:space="0" w:color="auto"/>
              <w:bottom w:val="nil"/>
            </w:tcBorders>
            <w:noWrap/>
            <w:hideMark/>
          </w:tcPr>
          <w:p w14:paraId="6FC67A44"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w:t>
            </w:r>
          </w:p>
        </w:tc>
        <w:tc>
          <w:tcPr>
            <w:tcW w:w="1756" w:type="dxa"/>
            <w:tcBorders>
              <w:top w:val="single" w:sz="4" w:space="0" w:color="auto"/>
              <w:bottom w:val="nil"/>
            </w:tcBorders>
            <w:noWrap/>
            <w:hideMark/>
          </w:tcPr>
          <w:p w14:paraId="2C4D7FB9"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w:t>
            </w:r>
          </w:p>
        </w:tc>
      </w:tr>
      <w:tr w:rsidR="00CF1F9B" w:rsidRPr="00910EA1" w14:paraId="06366D71" w14:textId="77777777" w:rsidTr="004C150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72" w:type="dxa"/>
            <w:tcBorders>
              <w:top w:val="nil"/>
              <w:bottom w:val="nil"/>
            </w:tcBorders>
            <w:noWrap/>
            <w:hideMark/>
          </w:tcPr>
          <w:p w14:paraId="3CC1587C" w14:textId="77777777" w:rsidR="00CF1F9B" w:rsidRPr="00910EA1" w:rsidRDefault="00CF1F9B"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INORGANIC</w:t>
            </w:r>
          </w:p>
        </w:tc>
        <w:tc>
          <w:tcPr>
            <w:tcW w:w="1646" w:type="dxa"/>
            <w:tcBorders>
              <w:top w:val="nil"/>
              <w:bottom w:val="nil"/>
            </w:tcBorders>
            <w:noWrap/>
            <w:hideMark/>
          </w:tcPr>
          <w:p w14:paraId="606C5859"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0.02± 0.00a</w:t>
            </w:r>
          </w:p>
        </w:tc>
        <w:tc>
          <w:tcPr>
            <w:tcW w:w="1646" w:type="dxa"/>
            <w:tcBorders>
              <w:top w:val="nil"/>
              <w:bottom w:val="nil"/>
            </w:tcBorders>
            <w:noWrap/>
            <w:hideMark/>
          </w:tcPr>
          <w:p w14:paraId="37863D3A"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0.00b</w:t>
            </w:r>
          </w:p>
        </w:tc>
        <w:tc>
          <w:tcPr>
            <w:tcW w:w="1709" w:type="dxa"/>
            <w:tcBorders>
              <w:top w:val="nil"/>
              <w:bottom w:val="nil"/>
            </w:tcBorders>
            <w:noWrap/>
            <w:hideMark/>
          </w:tcPr>
          <w:p w14:paraId="33E7AD51"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0.00ab</w:t>
            </w:r>
          </w:p>
        </w:tc>
        <w:tc>
          <w:tcPr>
            <w:tcW w:w="1756" w:type="dxa"/>
            <w:tcBorders>
              <w:top w:val="nil"/>
              <w:bottom w:val="nil"/>
            </w:tcBorders>
            <w:noWrap/>
            <w:hideMark/>
          </w:tcPr>
          <w:p w14:paraId="59F0CEB2"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w:t>
            </w:r>
          </w:p>
        </w:tc>
      </w:tr>
      <w:tr w:rsidR="00CF1F9B" w:rsidRPr="00910EA1" w14:paraId="78EDD3F3" w14:textId="77777777" w:rsidTr="004C1507">
        <w:trPr>
          <w:trHeight w:val="320"/>
        </w:trPr>
        <w:tc>
          <w:tcPr>
            <w:cnfStyle w:val="001000000000" w:firstRow="0" w:lastRow="0" w:firstColumn="1" w:lastColumn="0" w:oddVBand="0" w:evenVBand="0" w:oddHBand="0" w:evenHBand="0" w:firstRowFirstColumn="0" w:firstRowLastColumn="0" w:lastRowFirstColumn="0" w:lastRowLastColumn="0"/>
            <w:tcW w:w="2272" w:type="dxa"/>
            <w:tcBorders>
              <w:top w:val="nil"/>
              <w:bottom w:val="nil"/>
            </w:tcBorders>
            <w:noWrap/>
            <w:hideMark/>
          </w:tcPr>
          <w:p w14:paraId="7111354E" w14:textId="77777777" w:rsidR="00CF1F9B" w:rsidRPr="00910EA1" w:rsidRDefault="00CF1F9B"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COMPOST</w:t>
            </w:r>
          </w:p>
        </w:tc>
        <w:tc>
          <w:tcPr>
            <w:tcW w:w="1646" w:type="dxa"/>
            <w:tcBorders>
              <w:top w:val="nil"/>
              <w:bottom w:val="nil"/>
            </w:tcBorders>
            <w:noWrap/>
            <w:hideMark/>
          </w:tcPr>
          <w:p w14:paraId="3C36E673"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0.00b</w:t>
            </w:r>
          </w:p>
        </w:tc>
        <w:tc>
          <w:tcPr>
            <w:tcW w:w="1646" w:type="dxa"/>
            <w:tcBorders>
              <w:top w:val="nil"/>
              <w:bottom w:val="nil"/>
            </w:tcBorders>
            <w:noWrap/>
            <w:hideMark/>
          </w:tcPr>
          <w:p w14:paraId="2133A006"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tc>
        <w:tc>
          <w:tcPr>
            <w:tcW w:w="1709" w:type="dxa"/>
            <w:tcBorders>
              <w:top w:val="nil"/>
              <w:bottom w:val="nil"/>
            </w:tcBorders>
            <w:noWrap/>
            <w:hideMark/>
          </w:tcPr>
          <w:p w14:paraId="548EBC47"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0.00bc</w:t>
            </w:r>
          </w:p>
        </w:tc>
        <w:tc>
          <w:tcPr>
            <w:tcW w:w="1756" w:type="dxa"/>
            <w:tcBorders>
              <w:top w:val="nil"/>
              <w:bottom w:val="nil"/>
            </w:tcBorders>
            <w:noWrap/>
            <w:hideMark/>
          </w:tcPr>
          <w:p w14:paraId="02D9CF2E"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w:t>
            </w:r>
          </w:p>
        </w:tc>
      </w:tr>
      <w:tr w:rsidR="00CF1F9B" w:rsidRPr="00910EA1" w14:paraId="3370F84A" w14:textId="77777777" w:rsidTr="004C150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72" w:type="dxa"/>
            <w:tcBorders>
              <w:top w:val="nil"/>
              <w:bottom w:val="nil"/>
            </w:tcBorders>
            <w:noWrap/>
            <w:hideMark/>
          </w:tcPr>
          <w:p w14:paraId="56E912FB" w14:textId="77777777" w:rsidR="00CF1F9B" w:rsidRPr="00910EA1" w:rsidRDefault="00CF1F9B"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COMPOST+ 2% BIOCHAR</w:t>
            </w:r>
          </w:p>
        </w:tc>
        <w:tc>
          <w:tcPr>
            <w:tcW w:w="1646" w:type="dxa"/>
            <w:tcBorders>
              <w:top w:val="nil"/>
              <w:bottom w:val="nil"/>
            </w:tcBorders>
            <w:noWrap/>
            <w:hideMark/>
          </w:tcPr>
          <w:p w14:paraId="468A01C6"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0.00c</w:t>
            </w:r>
          </w:p>
        </w:tc>
        <w:tc>
          <w:tcPr>
            <w:tcW w:w="1646" w:type="dxa"/>
            <w:tcBorders>
              <w:top w:val="nil"/>
              <w:bottom w:val="nil"/>
            </w:tcBorders>
            <w:noWrap/>
            <w:hideMark/>
          </w:tcPr>
          <w:p w14:paraId="3772D38F"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tc>
        <w:tc>
          <w:tcPr>
            <w:tcW w:w="1709" w:type="dxa"/>
            <w:tcBorders>
              <w:top w:val="nil"/>
              <w:bottom w:val="nil"/>
            </w:tcBorders>
            <w:noWrap/>
            <w:hideMark/>
          </w:tcPr>
          <w:p w14:paraId="4B2AEB7E"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0.00bc</w:t>
            </w:r>
          </w:p>
        </w:tc>
        <w:tc>
          <w:tcPr>
            <w:tcW w:w="1756" w:type="dxa"/>
            <w:tcBorders>
              <w:top w:val="nil"/>
              <w:bottom w:val="nil"/>
            </w:tcBorders>
            <w:noWrap/>
            <w:hideMark/>
          </w:tcPr>
          <w:p w14:paraId="489912BF"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w:t>
            </w:r>
          </w:p>
        </w:tc>
      </w:tr>
      <w:tr w:rsidR="00CF1F9B" w:rsidRPr="00910EA1" w14:paraId="37C7E25C" w14:textId="77777777" w:rsidTr="004C1507">
        <w:trPr>
          <w:trHeight w:val="320"/>
        </w:trPr>
        <w:tc>
          <w:tcPr>
            <w:cnfStyle w:val="001000000000" w:firstRow="0" w:lastRow="0" w:firstColumn="1" w:lastColumn="0" w:oddVBand="0" w:evenVBand="0" w:oddHBand="0" w:evenHBand="0" w:firstRowFirstColumn="0" w:firstRowLastColumn="0" w:lastRowFirstColumn="0" w:lastRowLastColumn="0"/>
            <w:tcW w:w="2272" w:type="dxa"/>
            <w:tcBorders>
              <w:top w:val="nil"/>
              <w:bottom w:val="nil"/>
            </w:tcBorders>
            <w:noWrap/>
            <w:hideMark/>
          </w:tcPr>
          <w:p w14:paraId="0FF1ECA1" w14:textId="77777777" w:rsidR="00CF1F9B" w:rsidRPr="00910EA1" w:rsidRDefault="00CF1F9B"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COMPOST+ 5% BIOCHAR</w:t>
            </w:r>
          </w:p>
        </w:tc>
        <w:tc>
          <w:tcPr>
            <w:tcW w:w="1646" w:type="dxa"/>
            <w:tcBorders>
              <w:top w:val="nil"/>
              <w:bottom w:val="nil"/>
            </w:tcBorders>
            <w:noWrap/>
            <w:hideMark/>
          </w:tcPr>
          <w:p w14:paraId="4F0F8360"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tc>
        <w:tc>
          <w:tcPr>
            <w:tcW w:w="1646" w:type="dxa"/>
            <w:tcBorders>
              <w:top w:val="nil"/>
              <w:bottom w:val="nil"/>
            </w:tcBorders>
            <w:noWrap/>
            <w:hideMark/>
          </w:tcPr>
          <w:p w14:paraId="212FDE22"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tc>
        <w:tc>
          <w:tcPr>
            <w:tcW w:w="1709" w:type="dxa"/>
            <w:tcBorders>
              <w:top w:val="nil"/>
              <w:bottom w:val="nil"/>
            </w:tcBorders>
            <w:noWrap/>
            <w:hideMark/>
          </w:tcPr>
          <w:p w14:paraId="4469732D"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tc>
        <w:tc>
          <w:tcPr>
            <w:tcW w:w="1756" w:type="dxa"/>
            <w:tcBorders>
              <w:top w:val="nil"/>
              <w:bottom w:val="nil"/>
            </w:tcBorders>
            <w:noWrap/>
            <w:hideMark/>
          </w:tcPr>
          <w:p w14:paraId="1C74615D" w14:textId="77777777" w:rsidR="00CF1F9B" w:rsidRPr="00910EA1" w:rsidRDefault="00CF1F9B"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w:t>
            </w:r>
          </w:p>
        </w:tc>
      </w:tr>
      <w:tr w:rsidR="00CF1F9B" w:rsidRPr="00910EA1" w14:paraId="61A542FB" w14:textId="77777777" w:rsidTr="004C1507">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72" w:type="dxa"/>
            <w:tcBorders>
              <w:top w:val="nil"/>
              <w:bottom w:val="single" w:sz="4" w:space="0" w:color="auto"/>
            </w:tcBorders>
            <w:noWrap/>
            <w:hideMark/>
          </w:tcPr>
          <w:p w14:paraId="14D8F114" w14:textId="77777777" w:rsidR="00355F7B" w:rsidRPr="00910EA1" w:rsidRDefault="00CF1F9B" w:rsidP="00910EA1">
            <w:pPr>
              <w:spacing w:line="276" w:lineRule="auto"/>
              <w:jc w:val="both"/>
              <w:rPr>
                <w:rFonts w:ascii="Times New Roman" w:hAnsi="Times New Roman" w:cs="Times New Roman"/>
                <w:b w:val="0"/>
                <w:bCs w:val="0"/>
                <w:sz w:val="24"/>
                <w:szCs w:val="24"/>
              </w:rPr>
            </w:pPr>
            <w:r w:rsidRPr="00910EA1">
              <w:rPr>
                <w:rFonts w:ascii="Times New Roman" w:hAnsi="Times New Roman" w:cs="Times New Roman"/>
                <w:sz w:val="24"/>
                <w:szCs w:val="24"/>
              </w:rPr>
              <w:t>COMPOST+ 10% BIOCHAR</w:t>
            </w:r>
          </w:p>
          <w:p w14:paraId="2131EE47" w14:textId="61A55A0A" w:rsidR="004C1507" w:rsidRPr="00910EA1" w:rsidRDefault="004C1507" w:rsidP="00910EA1">
            <w:pPr>
              <w:spacing w:line="276" w:lineRule="auto"/>
              <w:jc w:val="both"/>
              <w:rPr>
                <w:rFonts w:ascii="Times New Roman" w:hAnsi="Times New Roman" w:cs="Times New Roman"/>
                <w:b w:val="0"/>
                <w:bCs w:val="0"/>
                <w:sz w:val="24"/>
                <w:szCs w:val="24"/>
              </w:rPr>
            </w:pPr>
            <w:r w:rsidRPr="00910EA1">
              <w:rPr>
                <w:rFonts w:ascii="Times New Roman" w:hAnsi="Times New Roman" w:cs="Times New Roman"/>
                <w:sz w:val="24"/>
                <w:szCs w:val="24"/>
              </w:rPr>
              <w:t xml:space="preserve">ANOVA p-value         </w:t>
            </w:r>
          </w:p>
          <w:p w14:paraId="0A43B865" w14:textId="7AD6E591" w:rsidR="004C1507" w:rsidRPr="00910EA1" w:rsidRDefault="004C1507" w:rsidP="00910EA1">
            <w:pPr>
              <w:spacing w:line="276" w:lineRule="auto"/>
              <w:jc w:val="both"/>
              <w:rPr>
                <w:rFonts w:ascii="Times New Roman" w:hAnsi="Times New Roman" w:cs="Times New Roman"/>
                <w:sz w:val="24"/>
                <w:szCs w:val="24"/>
              </w:rPr>
            </w:pPr>
          </w:p>
        </w:tc>
        <w:tc>
          <w:tcPr>
            <w:tcW w:w="1646" w:type="dxa"/>
            <w:tcBorders>
              <w:top w:val="nil"/>
              <w:bottom w:val="single" w:sz="4" w:space="0" w:color="auto"/>
            </w:tcBorders>
            <w:noWrap/>
            <w:hideMark/>
          </w:tcPr>
          <w:p w14:paraId="6E5C8942"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p w14:paraId="062BC57F" w14:textId="77777777" w:rsidR="007F7A53" w:rsidRPr="00910EA1" w:rsidRDefault="007F7A53"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6305AD6B" w14:textId="62C1D5CA" w:rsidR="007F7A53" w:rsidRPr="00910EA1" w:rsidRDefault="007F7A53"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&lt; 0.001</w:t>
            </w:r>
          </w:p>
        </w:tc>
        <w:tc>
          <w:tcPr>
            <w:tcW w:w="1646" w:type="dxa"/>
            <w:tcBorders>
              <w:top w:val="nil"/>
              <w:bottom w:val="single" w:sz="4" w:space="0" w:color="auto"/>
            </w:tcBorders>
            <w:noWrap/>
            <w:hideMark/>
          </w:tcPr>
          <w:p w14:paraId="74D8622E"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p w14:paraId="7F7B4008" w14:textId="77777777" w:rsidR="007F7A53" w:rsidRPr="00910EA1" w:rsidRDefault="007F7A53"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6BDABA95" w14:textId="226FA4B8" w:rsidR="007F7A53" w:rsidRPr="00910EA1" w:rsidRDefault="007F7A53"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&lt; 0.001</w:t>
            </w:r>
          </w:p>
        </w:tc>
        <w:tc>
          <w:tcPr>
            <w:tcW w:w="1709" w:type="dxa"/>
            <w:tcBorders>
              <w:top w:val="nil"/>
              <w:bottom w:val="single" w:sz="4" w:space="0" w:color="auto"/>
            </w:tcBorders>
            <w:noWrap/>
            <w:hideMark/>
          </w:tcPr>
          <w:p w14:paraId="470C442D"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p w14:paraId="6F64CEE1" w14:textId="77777777" w:rsidR="007F7A53" w:rsidRPr="00910EA1" w:rsidRDefault="007F7A53"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4134E8BB" w14:textId="0D11FF31" w:rsidR="007F7A53" w:rsidRPr="00910EA1" w:rsidRDefault="00F30B1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w:t>
            </w:r>
          </w:p>
        </w:tc>
        <w:tc>
          <w:tcPr>
            <w:tcW w:w="1756" w:type="dxa"/>
            <w:tcBorders>
              <w:top w:val="nil"/>
              <w:bottom w:val="single" w:sz="4" w:space="0" w:color="auto"/>
            </w:tcBorders>
            <w:noWrap/>
            <w:hideMark/>
          </w:tcPr>
          <w:p w14:paraId="392C028B" w14:textId="77777777" w:rsidR="00CF1F9B" w:rsidRPr="00910EA1" w:rsidRDefault="00CF1F9B"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w:t>
            </w:r>
          </w:p>
          <w:p w14:paraId="659B0B8E" w14:textId="77777777" w:rsidR="00D16D81" w:rsidRPr="00910EA1" w:rsidRDefault="00D16D81"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6EA80F7E" w14:textId="77777777" w:rsidR="00F30B1D" w:rsidRPr="00910EA1" w:rsidRDefault="00D16D81"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&gt;</w:t>
            </w:r>
            <w:r w:rsidR="00F30B1D" w:rsidRPr="00910EA1">
              <w:rPr>
                <w:rFonts w:ascii="Times New Roman" w:hAnsi="Times New Roman" w:cs="Times New Roman"/>
                <w:sz w:val="24"/>
                <w:szCs w:val="24"/>
              </w:rPr>
              <w:t>0.0</w:t>
            </w:r>
            <w:r w:rsidRPr="00910EA1">
              <w:rPr>
                <w:rFonts w:ascii="Times New Roman" w:hAnsi="Times New Roman" w:cs="Times New Roman"/>
                <w:sz w:val="24"/>
                <w:szCs w:val="24"/>
              </w:rPr>
              <w:t>5</w:t>
            </w:r>
          </w:p>
          <w:p w14:paraId="25D1187D" w14:textId="586325A5" w:rsidR="00B87320" w:rsidRPr="00910EA1" w:rsidRDefault="00B87320"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bl>
    <w:p w14:paraId="7FAF39F2" w14:textId="77777777" w:rsidR="00D032AE" w:rsidRPr="00910EA1" w:rsidRDefault="00D032AE" w:rsidP="00910EA1">
      <w:pPr>
        <w:spacing w:after="0" w:line="276" w:lineRule="auto"/>
        <w:ind w:firstLine="720"/>
        <w:jc w:val="both"/>
        <w:rPr>
          <w:rFonts w:ascii="Times New Roman" w:hAnsi="Times New Roman" w:cs="Times New Roman"/>
          <w:sz w:val="24"/>
          <w:szCs w:val="24"/>
        </w:rPr>
      </w:pPr>
    </w:p>
    <w:p w14:paraId="4045B875" w14:textId="30BF0A6F" w:rsidR="003256DB" w:rsidRPr="00910EA1" w:rsidRDefault="003256DB"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Based on the CO</w:t>
      </w:r>
      <w:r w:rsidRPr="00910EA1">
        <w:rPr>
          <w:rFonts w:ascii="Times New Roman" w:hAnsi="Times New Roman" w:cs="Times New Roman"/>
          <w:sz w:val="24"/>
          <w:szCs w:val="24"/>
          <w:vertAlign w:val="subscript"/>
        </w:rPr>
        <w:t xml:space="preserve">2 </w:t>
      </w:r>
      <w:r w:rsidRPr="00910EA1">
        <w:rPr>
          <w:rFonts w:ascii="Times New Roman" w:hAnsi="Times New Roman" w:cs="Times New Roman"/>
          <w:sz w:val="24"/>
          <w:szCs w:val="24"/>
        </w:rPr>
        <w:t>emission trend, it was noted that there was a significant reduction in emissions after the first day of incubation across all types of treatments. The specific level of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emissions varied depending on the treatment. Aligning with the respective sampling dates. The maximum emission was recorded on the first day of incubation. After 3 days of incubation,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emission came down sharply in all types of treatments. The lowest amount of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emission was recorded in the treatment with compost+10% biochar (Table 2), while the highest amount of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emission was recorded in the control where only soil was used. At the first 6 hours of incubation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emission was about 1.21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in the control, 1.181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when inorganic amendments (NPK) were added, while it was about 1.03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when pure compost was added. Co-composted biochar (2%) mixed with soil released 1.043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co-composted biochar (5%) mixed with soil released 0.955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while co-composted biochar (10%) mixed with soil also released 0.876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w:t>
      </w:r>
    </w:p>
    <w:p w14:paraId="4DC24774" w14:textId="4BDE07C4" w:rsidR="003256DB" w:rsidRPr="00910EA1" w:rsidRDefault="00044C47"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From (</w:t>
      </w:r>
      <w:r w:rsidR="00E719D0">
        <w:rPr>
          <w:rFonts w:ascii="Times New Roman" w:hAnsi="Times New Roman" w:cs="Times New Roman"/>
          <w:sz w:val="24"/>
          <w:szCs w:val="24"/>
        </w:rPr>
        <w:t>Table 3</w:t>
      </w:r>
      <w:r w:rsidR="003256DB" w:rsidRPr="00910EA1">
        <w:rPr>
          <w:rFonts w:ascii="Times New Roman" w:hAnsi="Times New Roman" w:cs="Times New Roman"/>
          <w:sz w:val="24"/>
          <w:szCs w:val="24"/>
        </w:rPr>
        <w:t>), the lowest emissions were observed in the co-composted biochar (10%) treatment. This can be attributed to the fact that this treatment initially had the lowest emission of carbon compared to the control. The reason behind this phenomenon is that the co-composted biochar (10%) has a high carbon content but is relatively stable and less prone to rapid decomposition. When 10% biochar is co-composted with other organic materials, it can act as a carbon sink, effectively sequestering carbon and reducing the overall emissions of CO</w:t>
      </w:r>
      <w:r w:rsidR="003256DB" w:rsidRPr="00910EA1">
        <w:rPr>
          <w:rFonts w:ascii="Times New Roman" w:hAnsi="Times New Roman" w:cs="Times New Roman"/>
          <w:sz w:val="24"/>
          <w:szCs w:val="24"/>
          <w:vertAlign w:val="subscript"/>
        </w:rPr>
        <w:t>2</w:t>
      </w:r>
      <w:r w:rsidR="003256DB" w:rsidRPr="00910EA1">
        <w:rPr>
          <w:rFonts w:ascii="Times New Roman" w:hAnsi="Times New Roman" w:cs="Times New Roman"/>
          <w:sz w:val="24"/>
          <w:szCs w:val="24"/>
        </w:rPr>
        <w:t>.</w:t>
      </w:r>
      <w:r w:rsidR="008B32E2" w:rsidRPr="00910EA1">
        <w:rPr>
          <w:rFonts w:ascii="Times New Roman" w:hAnsi="Times New Roman" w:cs="Times New Roman"/>
          <w:sz w:val="24"/>
          <w:szCs w:val="24"/>
        </w:rPr>
        <w:t>The control emitted significantly higher CO</w:t>
      </w:r>
      <w:r w:rsidR="008B32E2" w:rsidRPr="00910EA1">
        <w:rPr>
          <w:rFonts w:ascii="Times New Roman" w:hAnsi="Times New Roman" w:cs="Times New Roman"/>
          <w:sz w:val="24"/>
          <w:szCs w:val="24"/>
          <w:vertAlign w:val="subscript"/>
        </w:rPr>
        <w:t>2</w:t>
      </w:r>
      <w:r w:rsidR="008B32E2" w:rsidRPr="00910EA1">
        <w:rPr>
          <w:rFonts w:ascii="Times New Roman" w:hAnsi="Times New Roman" w:cs="Times New Roman"/>
          <w:sz w:val="24"/>
          <w:szCs w:val="24"/>
        </w:rPr>
        <w:t xml:space="preserve"> in day </w:t>
      </w:r>
      <w:r w:rsidR="00E038F7" w:rsidRPr="00910EA1">
        <w:rPr>
          <w:rFonts w:ascii="Times New Roman" w:hAnsi="Times New Roman" w:cs="Times New Roman"/>
          <w:sz w:val="24"/>
          <w:szCs w:val="24"/>
        </w:rPr>
        <w:t>0, day 6, day 9, day 16 and day 58</w:t>
      </w:r>
      <w:r w:rsidR="008B32E2" w:rsidRPr="00910EA1">
        <w:rPr>
          <w:rFonts w:ascii="Times New Roman" w:hAnsi="Times New Roman" w:cs="Times New Roman"/>
          <w:sz w:val="24"/>
          <w:szCs w:val="24"/>
        </w:rPr>
        <w:t xml:space="preserve"> than any other treatment except inorganic</w:t>
      </w:r>
      <w:r w:rsidR="00E17207" w:rsidRPr="00910EA1">
        <w:rPr>
          <w:rFonts w:ascii="Times New Roman" w:hAnsi="Times New Roman" w:cs="Times New Roman"/>
          <w:sz w:val="24"/>
          <w:szCs w:val="24"/>
        </w:rPr>
        <w:t xml:space="preserve"> while compost with 10% biochar emitted significantly lower CO</w:t>
      </w:r>
      <w:r w:rsidR="00E17207" w:rsidRPr="00910EA1">
        <w:rPr>
          <w:rFonts w:ascii="Times New Roman" w:hAnsi="Times New Roman" w:cs="Times New Roman"/>
          <w:sz w:val="24"/>
          <w:szCs w:val="24"/>
          <w:vertAlign w:val="subscript"/>
        </w:rPr>
        <w:t>2.</w:t>
      </w:r>
      <w:r w:rsidR="00E038F7" w:rsidRPr="00910EA1">
        <w:rPr>
          <w:rFonts w:ascii="Times New Roman" w:hAnsi="Times New Roman" w:cs="Times New Roman"/>
          <w:sz w:val="24"/>
          <w:szCs w:val="24"/>
          <w:vertAlign w:val="subscript"/>
        </w:rPr>
        <w:t xml:space="preserve"> </w:t>
      </w:r>
      <w:r w:rsidR="00E038F7" w:rsidRPr="00910EA1">
        <w:rPr>
          <w:rFonts w:ascii="Times New Roman" w:hAnsi="Times New Roman" w:cs="Times New Roman"/>
          <w:sz w:val="24"/>
          <w:szCs w:val="24"/>
        </w:rPr>
        <w:t>For day 3, day 23 and day 37, only the control emitted significantly higher CO</w:t>
      </w:r>
      <w:r w:rsidR="00E038F7" w:rsidRPr="00910EA1">
        <w:rPr>
          <w:rFonts w:ascii="Times New Roman" w:hAnsi="Times New Roman" w:cs="Times New Roman"/>
          <w:sz w:val="24"/>
          <w:szCs w:val="24"/>
          <w:vertAlign w:val="subscript"/>
        </w:rPr>
        <w:t xml:space="preserve">2 </w:t>
      </w:r>
      <w:r w:rsidR="00E038F7" w:rsidRPr="00910EA1">
        <w:rPr>
          <w:rFonts w:ascii="Times New Roman" w:hAnsi="Times New Roman" w:cs="Times New Roman"/>
          <w:sz w:val="24"/>
          <w:szCs w:val="24"/>
        </w:rPr>
        <w:t>than any other treatment while the compost with 10% biochar still emitted the lowest CO</w:t>
      </w:r>
      <w:r w:rsidR="00E038F7" w:rsidRPr="00910EA1">
        <w:rPr>
          <w:rFonts w:ascii="Times New Roman" w:hAnsi="Times New Roman" w:cs="Times New Roman"/>
          <w:sz w:val="24"/>
          <w:szCs w:val="24"/>
          <w:vertAlign w:val="subscript"/>
        </w:rPr>
        <w:t>2</w:t>
      </w:r>
      <w:r w:rsidR="00E038F7" w:rsidRPr="00910EA1">
        <w:rPr>
          <w:rFonts w:ascii="Times New Roman" w:hAnsi="Times New Roman" w:cs="Times New Roman"/>
          <w:sz w:val="24"/>
          <w:szCs w:val="24"/>
        </w:rPr>
        <w:t>.</w:t>
      </w:r>
    </w:p>
    <w:p w14:paraId="2DB69B77" w14:textId="7A35E77A" w:rsidR="00D032AE" w:rsidRDefault="003256DB"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After 6 hours of incubation the average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emission was recorded as 1.049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On day 3, the average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emission was recorded as 0.022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while the average CO</w:t>
      </w:r>
      <w:r w:rsidRPr="00910EA1">
        <w:rPr>
          <w:rFonts w:ascii="Times New Roman" w:hAnsi="Times New Roman" w:cs="Times New Roman"/>
          <w:sz w:val="24"/>
          <w:szCs w:val="24"/>
          <w:vertAlign w:val="subscript"/>
        </w:rPr>
        <w:t xml:space="preserve">2 </w:t>
      </w:r>
      <w:r w:rsidRPr="00910EA1">
        <w:rPr>
          <w:rFonts w:ascii="Times New Roman" w:hAnsi="Times New Roman" w:cs="Times New Roman"/>
          <w:sz w:val="24"/>
          <w:szCs w:val="24"/>
        </w:rPr>
        <w:t>emission was about 0.016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on 6th day of incubation. On the 9</w:t>
      </w:r>
      <w:r w:rsidRPr="00910EA1">
        <w:rPr>
          <w:rFonts w:ascii="Times New Roman" w:hAnsi="Times New Roman" w:cs="Times New Roman"/>
          <w:sz w:val="24"/>
          <w:szCs w:val="24"/>
          <w:vertAlign w:val="superscript"/>
        </w:rPr>
        <w:t>th</w:t>
      </w:r>
      <w:r w:rsidRPr="00910EA1">
        <w:rPr>
          <w:rFonts w:ascii="Times New Roman" w:hAnsi="Times New Roman" w:cs="Times New Roman"/>
          <w:sz w:val="24"/>
          <w:szCs w:val="24"/>
        </w:rPr>
        <w:t>day of incubation, the average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emission recorded as 0.027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also on the 16</w:t>
      </w:r>
      <w:r w:rsidRPr="00910EA1">
        <w:rPr>
          <w:rFonts w:ascii="Times New Roman" w:hAnsi="Times New Roman" w:cs="Times New Roman"/>
          <w:sz w:val="24"/>
          <w:szCs w:val="24"/>
          <w:vertAlign w:val="superscript"/>
        </w:rPr>
        <w:t>th</w:t>
      </w:r>
      <w:r w:rsidRPr="00910EA1">
        <w:rPr>
          <w:rFonts w:ascii="Times New Roman" w:hAnsi="Times New Roman" w:cs="Times New Roman"/>
          <w:sz w:val="24"/>
          <w:szCs w:val="24"/>
        </w:rPr>
        <w:t xml:space="preserve"> day of incubation, the average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emission recorded 0.01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The average emission recorded 0.006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on the 23</w:t>
      </w:r>
      <w:r w:rsidRPr="00910EA1">
        <w:rPr>
          <w:rFonts w:ascii="Times New Roman" w:hAnsi="Times New Roman" w:cs="Times New Roman"/>
          <w:sz w:val="24"/>
          <w:szCs w:val="24"/>
          <w:vertAlign w:val="superscript"/>
        </w:rPr>
        <w:t>rd</w:t>
      </w:r>
      <w:r w:rsidRPr="00910EA1">
        <w:rPr>
          <w:rFonts w:ascii="Times New Roman" w:hAnsi="Times New Roman" w:cs="Times New Roman"/>
          <w:sz w:val="24"/>
          <w:szCs w:val="24"/>
        </w:rPr>
        <w:t xml:space="preserve"> day while it also recorded 0.003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and 0.001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on the 37</w:t>
      </w:r>
      <w:r w:rsidRPr="00910EA1">
        <w:rPr>
          <w:rFonts w:ascii="Times New Roman" w:hAnsi="Times New Roman" w:cs="Times New Roman"/>
          <w:sz w:val="24"/>
          <w:szCs w:val="24"/>
          <w:vertAlign w:val="superscript"/>
        </w:rPr>
        <w:t>th</w:t>
      </w:r>
      <w:r w:rsidRPr="00910EA1">
        <w:rPr>
          <w:rFonts w:ascii="Times New Roman" w:hAnsi="Times New Roman" w:cs="Times New Roman"/>
          <w:sz w:val="24"/>
          <w:szCs w:val="24"/>
        </w:rPr>
        <w:t xml:space="preserve"> day and 58</w:t>
      </w:r>
      <w:r w:rsidRPr="00910EA1">
        <w:rPr>
          <w:rFonts w:ascii="Times New Roman" w:hAnsi="Times New Roman" w:cs="Times New Roman"/>
          <w:sz w:val="24"/>
          <w:szCs w:val="24"/>
          <w:vertAlign w:val="superscript"/>
        </w:rPr>
        <w:t>th</w:t>
      </w:r>
      <w:r w:rsidRPr="00910EA1">
        <w:rPr>
          <w:rFonts w:ascii="Times New Roman" w:hAnsi="Times New Roman" w:cs="Times New Roman"/>
          <w:sz w:val="24"/>
          <w:szCs w:val="24"/>
        </w:rPr>
        <w:t xml:space="preserve"> day.</w:t>
      </w:r>
    </w:p>
    <w:p w14:paraId="1C8DD4B4" w14:textId="77777777" w:rsidR="00E719D0" w:rsidRDefault="00E719D0" w:rsidP="00910EA1">
      <w:pPr>
        <w:spacing w:after="0" w:line="276" w:lineRule="auto"/>
        <w:ind w:firstLine="720"/>
        <w:jc w:val="both"/>
        <w:rPr>
          <w:rFonts w:ascii="Times New Roman" w:hAnsi="Times New Roman" w:cs="Times New Roman"/>
          <w:sz w:val="24"/>
          <w:szCs w:val="24"/>
        </w:rPr>
      </w:pPr>
    </w:p>
    <w:p w14:paraId="3E631429" w14:textId="77777777" w:rsidR="00E719D0" w:rsidRPr="00910EA1" w:rsidRDefault="00E719D0" w:rsidP="00910EA1">
      <w:pPr>
        <w:spacing w:after="0" w:line="276" w:lineRule="auto"/>
        <w:ind w:firstLine="720"/>
        <w:jc w:val="both"/>
        <w:rPr>
          <w:rFonts w:ascii="Times New Roman" w:hAnsi="Times New Roman" w:cs="Times New Roman"/>
          <w:sz w:val="24"/>
          <w:szCs w:val="24"/>
        </w:rPr>
      </w:pPr>
    </w:p>
    <w:p w14:paraId="4B1FFA6B" w14:textId="330A5DB6" w:rsidR="00845123" w:rsidRDefault="00845123"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lastRenderedPageBreak/>
        <w:t>The daily carbon emissions from the various treatme</w:t>
      </w:r>
      <w:r w:rsidR="00BE709A" w:rsidRPr="00910EA1">
        <w:rPr>
          <w:rFonts w:ascii="Times New Roman" w:hAnsi="Times New Roman" w:cs="Times New Roman"/>
          <w:sz w:val="24"/>
          <w:szCs w:val="24"/>
        </w:rPr>
        <w:t xml:space="preserve">nts are shown in table </w:t>
      </w:r>
      <w:r w:rsidR="00E719D0">
        <w:rPr>
          <w:rFonts w:ascii="Times New Roman" w:hAnsi="Times New Roman" w:cs="Times New Roman"/>
          <w:sz w:val="24"/>
          <w:szCs w:val="24"/>
        </w:rPr>
        <w:t>4</w:t>
      </w:r>
      <w:r w:rsidR="00BE709A" w:rsidRPr="00910EA1">
        <w:rPr>
          <w:rFonts w:ascii="Times New Roman" w:hAnsi="Times New Roman" w:cs="Times New Roman"/>
          <w:sz w:val="24"/>
          <w:szCs w:val="24"/>
        </w:rPr>
        <w:t xml:space="preserve"> and </w:t>
      </w:r>
      <w:r w:rsidR="00E719D0">
        <w:rPr>
          <w:rFonts w:ascii="Times New Roman" w:hAnsi="Times New Roman" w:cs="Times New Roman"/>
          <w:sz w:val="24"/>
          <w:szCs w:val="24"/>
        </w:rPr>
        <w:t>5</w:t>
      </w:r>
      <w:r w:rsidRPr="00910EA1">
        <w:rPr>
          <w:rFonts w:ascii="Times New Roman" w:hAnsi="Times New Roman" w:cs="Times New Roman"/>
          <w:sz w:val="24"/>
          <w:szCs w:val="24"/>
        </w:rPr>
        <w:t xml:space="preserve"> below.</w:t>
      </w:r>
    </w:p>
    <w:p w14:paraId="5DCC5DD9" w14:textId="77777777" w:rsidR="00E719D0" w:rsidRPr="00910EA1" w:rsidRDefault="00E719D0" w:rsidP="00E719D0">
      <w:pPr>
        <w:pStyle w:val="LT"/>
        <w:spacing w:line="276" w:lineRule="auto"/>
        <w:jc w:val="both"/>
      </w:pPr>
      <w:bookmarkStart w:id="14" w:name="_Hlk145554258"/>
      <w:bookmarkStart w:id="15" w:name="_Toc147751520"/>
      <w:r w:rsidRPr="00910EA1">
        <w:t xml:space="preserve">Table </w:t>
      </w:r>
      <w:r>
        <w:t>4</w:t>
      </w:r>
      <w:bookmarkEnd w:id="14"/>
      <w:r w:rsidRPr="00910EA1">
        <w:t>: Soil amendments effects on CO</w:t>
      </w:r>
      <w:r w:rsidRPr="00910EA1">
        <w:rPr>
          <w:vertAlign w:val="subscript"/>
        </w:rPr>
        <w:t>2</w:t>
      </w:r>
      <w:r w:rsidRPr="00910EA1">
        <w:t>-C emission on daily basis</w:t>
      </w:r>
      <w:bookmarkEnd w:id="15"/>
    </w:p>
    <w:p w14:paraId="39250F65" w14:textId="77777777" w:rsidR="00E719D0" w:rsidRPr="00910EA1" w:rsidRDefault="00E719D0" w:rsidP="00910EA1">
      <w:pPr>
        <w:spacing w:after="0" w:line="276" w:lineRule="auto"/>
        <w:ind w:firstLine="720"/>
        <w:jc w:val="both"/>
        <w:rPr>
          <w:rFonts w:ascii="Times New Roman" w:hAnsi="Times New Roman" w:cs="Times New Roman"/>
          <w:sz w:val="24"/>
          <w:szCs w:val="24"/>
        </w:rPr>
      </w:pPr>
    </w:p>
    <w:tbl>
      <w:tblPr>
        <w:tblStyle w:val="PlainTable21"/>
        <w:tblW w:w="8154" w:type="dxa"/>
        <w:tblLook w:val="04A0" w:firstRow="1" w:lastRow="0" w:firstColumn="1" w:lastColumn="0" w:noHBand="0" w:noVBand="1"/>
      </w:tblPr>
      <w:tblGrid>
        <w:gridCol w:w="2153"/>
        <w:gridCol w:w="1413"/>
        <w:gridCol w:w="1762"/>
        <w:gridCol w:w="1413"/>
        <w:gridCol w:w="1413"/>
      </w:tblGrid>
      <w:tr w:rsidR="00E81B3D" w:rsidRPr="00910EA1" w14:paraId="56EF42CE" w14:textId="77777777" w:rsidTr="00D446D6">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53" w:type="dxa"/>
            <w:noWrap/>
            <w:hideMark/>
          </w:tcPr>
          <w:p w14:paraId="098894DC" w14:textId="77777777" w:rsidR="00E81B3D" w:rsidRPr="00910EA1" w:rsidRDefault="00E81B3D"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TREATMENTS</w:t>
            </w:r>
          </w:p>
        </w:tc>
        <w:tc>
          <w:tcPr>
            <w:tcW w:w="1413" w:type="dxa"/>
            <w:noWrap/>
            <w:hideMark/>
          </w:tcPr>
          <w:p w14:paraId="57C36030" w14:textId="77777777" w:rsidR="00E81B3D" w:rsidRPr="00910EA1" w:rsidRDefault="00E81B3D"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 xml:space="preserve"> DAY 0 </w:t>
            </w:r>
          </w:p>
        </w:tc>
        <w:tc>
          <w:tcPr>
            <w:tcW w:w="1762" w:type="dxa"/>
            <w:noWrap/>
            <w:hideMark/>
          </w:tcPr>
          <w:p w14:paraId="7D4DE7FA" w14:textId="77777777" w:rsidR="00E81B3D" w:rsidRPr="00910EA1" w:rsidRDefault="00E81B3D"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 xml:space="preserve">DAY 3 </w:t>
            </w:r>
          </w:p>
        </w:tc>
        <w:tc>
          <w:tcPr>
            <w:tcW w:w="1413" w:type="dxa"/>
            <w:noWrap/>
            <w:hideMark/>
          </w:tcPr>
          <w:p w14:paraId="30C95A28" w14:textId="77777777" w:rsidR="00E81B3D" w:rsidRPr="00910EA1" w:rsidRDefault="00E81B3D"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 xml:space="preserve">DAY 6 </w:t>
            </w:r>
          </w:p>
        </w:tc>
        <w:tc>
          <w:tcPr>
            <w:tcW w:w="1413" w:type="dxa"/>
            <w:noWrap/>
            <w:hideMark/>
          </w:tcPr>
          <w:p w14:paraId="37947F95" w14:textId="77777777" w:rsidR="00E81B3D" w:rsidRPr="00910EA1" w:rsidRDefault="00E81B3D"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 xml:space="preserve">DAY 9 </w:t>
            </w:r>
          </w:p>
        </w:tc>
      </w:tr>
      <w:tr w:rsidR="00E81B3D" w:rsidRPr="00910EA1" w14:paraId="1D8E0A42" w14:textId="77777777" w:rsidTr="00D446D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8154" w:type="dxa"/>
            <w:gridSpan w:val="5"/>
            <w:tcBorders>
              <w:bottom w:val="single" w:sz="4" w:space="0" w:color="auto"/>
            </w:tcBorders>
            <w:noWrap/>
          </w:tcPr>
          <w:p w14:paraId="33E2C436" w14:textId="77777777" w:rsidR="00E81B3D" w:rsidRPr="00910EA1" w:rsidRDefault="00E81B3D" w:rsidP="00910EA1">
            <w:pPr>
              <w:spacing w:line="276" w:lineRule="auto"/>
              <w:jc w:val="both"/>
              <w:rPr>
                <w:rFonts w:ascii="Times New Roman" w:hAnsi="Times New Roman" w:cs="Times New Roman"/>
                <w:b w:val="0"/>
                <w:bCs w:val="0"/>
                <w:sz w:val="24"/>
                <w:szCs w:val="24"/>
              </w:rPr>
            </w:pPr>
            <w:r w:rsidRPr="00910EA1">
              <w:rPr>
                <w:rFonts w:ascii="Times New Roman" w:hAnsi="Times New Roman" w:cs="Times New Roman"/>
                <w:sz w:val="24"/>
                <w:szCs w:val="24"/>
              </w:rPr>
              <w:t>mg_CO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_C d/kg</w:t>
            </w:r>
          </w:p>
        </w:tc>
      </w:tr>
      <w:tr w:rsidR="00E81B3D" w:rsidRPr="00910EA1" w14:paraId="3F18E916" w14:textId="77777777" w:rsidTr="00D446D6">
        <w:trPr>
          <w:trHeight w:val="320"/>
        </w:trPr>
        <w:tc>
          <w:tcPr>
            <w:cnfStyle w:val="001000000000" w:firstRow="0" w:lastRow="0" w:firstColumn="1" w:lastColumn="0" w:oddVBand="0" w:evenVBand="0" w:oddHBand="0" w:evenHBand="0" w:firstRowFirstColumn="0" w:firstRowLastColumn="0" w:lastRowFirstColumn="0" w:lastRowLastColumn="0"/>
            <w:tcW w:w="2153" w:type="dxa"/>
            <w:tcBorders>
              <w:top w:val="single" w:sz="4" w:space="0" w:color="auto"/>
              <w:bottom w:val="nil"/>
            </w:tcBorders>
            <w:noWrap/>
            <w:hideMark/>
          </w:tcPr>
          <w:p w14:paraId="6D2C5A1E" w14:textId="11859D7D" w:rsidR="00E81B3D" w:rsidRPr="00910EA1" w:rsidRDefault="00E81B3D"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 xml:space="preserve"> CONTROL</w:t>
            </w:r>
          </w:p>
        </w:tc>
        <w:tc>
          <w:tcPr>
            <w:tcW w:w="1413" w:type="dxa"/>
            <w:tcBorders>
              <w:top w:val="single" w:sz="4" w:space="0" w:color="auto"/>
              <w:bottom w:val="nil"/>
            </w:tcBorders>
            <w:noWrap/>
            <w:hideMark/>
          </w:tcPr>
          <w:p w14:paraId="598A306D"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0.33± 0.03a</w:t>
            </w:r>
          </w:p>
        </w:tc>
        <w:tc>
          <w:tcPr>
            <w:tcW w:w="1762" w:type="dxa"/>
            <w:tcBorders>
              <w:top w:val="single" w:sz="4" w:space="0" w:color="auto"/>
              <w:bottom w:val="nil"/>
            </w:tcBorders>
            <w:noWrap/>
            <w:hideMark/>
          </w:tcPr>
          <w:p w14:paraId="2570A56F"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0.02± 0.00a</w:t>
            </w:r>
          </w:p>
        </w:tc>
        <w:tc>
          <w:tcPr>
            <w:tcW w:w="1413" w:type="dxa"/>
            <w:tcBorders>
              <w:top w:val="single" w:sz="4" w:space="0" w:color="auto"/>
              <w:bottom w:val="nil"/>
            </w:tcBorders>
            <w:noWrap/>
            <w:hideMark/>
          </w:tcPr>
          <w:p w14:paraId="6D875303"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0.00a</w:t>
            </w:r>
          </w:p>
        </w:tc>
        <w:tc>
          <w:tcPr>
            <w:tcW w:w="1413" w:type="dxa"/>
            <w:tcBorders>
              <w:top w:val="single" w:sz="4" w:space="0" w:color="auto"/>
              <w:bottom w:val="nil"/>
            </w:tcBorders>
            <w:noWrap/>
            <w:hideMark/>
          </w:tcPr>
          <w:p w14:paraId="7B888310"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0.00a</w:t>
            </w:r>
          </w:p>
        </w:tc>
      </w:tr>
      <w:tr w:rsidR="00E81B3D" w:rsidRPr="00910EA1" w14:paraId="2AC19775" w14:textId="77777777" w:rsidTr="00D446D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53" w:type="dxa"/>
            <w:tcBorders>
              <w:top w:val="nil"/>
              <w:bottom w:val="nil"/>
            </w:tcBorders>
            <w:noWrap/>
            <w:hideMark/>
          </w:tcPr>
          <w:p w14:paraId="39B2B69A" w14:textId="77777777" w:rsidR="00E81B3D" w:rsidRPr="00910EA1" w:rsidRDefault="00E81B3D"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INORGANIC</w:t>
            </w:r>
          </w:p>
        </w:tc>
        <w:tc>
          <w:tcPr>
            <w:tcW w:w="1413" w:type="dxa"/>
            <w:tcBorders>
              <w:top w:val="nil"/>
              <w:bottom w:val="nil"/>
            </w:tcBorders>
            <w:noWrap/>
            <w:hideMark/>
          </w:tcPr>
          <w:p w14:paraId="181401F9"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0.32± 0.02a</w:t>
            </w:r>
          </w:p>
        </w:tc>
        <w:tc>
          <w:tcPr>
            <w:tcW w:w="1762" w:type="dxa"/>
            <w:tcBorders>
              <w:top w:val="nil"/>
              <w:bottom w:val="nil"/>
            </w:tcBorders>
            <w:noWrap/>
            <w:hideMark/>
          </w:tcPr>
          <w:p w14:paraId="529C60A2"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0.00b</w:t>
            </w:r>
          </w:p>
        </w:tc>
        <w:tc>
          <w:tcPr>
            <w:tcW w:w="1413" w:type="dxa"/>
            <w:tcBorders>
              <w:top w:val="nil"/>
              <w:bottom w:val="nil"/>
            </w:tcBorders>
            <w:noWrap/>
            <w:hideMark/>
          </w:tcPr>
          <w:p w14:paraId="54340303"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0.00a</w:t>
            </w:r>
          </w:p>
        </w:tc>
        <w:tc>
          <w:tcPr>
            <w:tcW w:w="1413" w:type="dxa"/>
            <w:tcBorders>
              <w:top w:val="nil"/>
              <w:bottom w:val="nil"/>
            </w:tcBorders>
            <w:noWrap/>
            <w:hideMark/>
          </w:tcPr>
          <w:p w14:paraId="6A6473F6"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0.00a</w:t>
            </w:r>
          </w:p>
        </w:tc>
      </w:tr>
      <w:tr w:rsidR="00E81B3D" w:rsidRPr="00910EA1" w14:paraId="631D5F8C" w14:textId="77777777" w:rsidTr="00D446D6">
        <w:trPr>
          <w:trHeight w:val="320"/>
        </w:trPr>
        <w:tc>
          <w:tcPr>
            <w:cnfStyle w:val="001000000000" w:firstRow="0" w:lastRow="0" w:firstColumn="1" w:lastColumn="0" w:oddVBand="0" w:evenVBand="0" w:oddHBand="0" w:evenHBand="0" w:firstRowFirstColumn="0" w:firstRowLastColumn="0" w:lastRowFirstColumn="0" w:lastRowLastColumn="0"/>
            <w:tcW w:w="2153" w:type="dxa"/>
            <w:tcBorders>
              <w:top w:val="nil"/>
              <w:bottom w:val="nil"/>
            </w:tcBorders>
            <w:noWrap/>
            <w:hideMark/>
          </w:tcPr>
          <w:p w14:paraId="5FDC3D57" w14:textId="77777777" w:rsidR="00E81B3D" w:rsidRPr="00910EA1" w:rsidRDefault="00E81B3D"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COMPOST</w:t>
            </w:r>
          </w:p>
        </w:tc>
        <w:tc>
          <w:tcPr>
            <w:tcW w:w="1413" w:type="dxa"/>
            <w:tcBorders>
              <w:top w:val="nil"/>
              <w:bottom w:val="nil"/>
            </w:tcBorders>
            <w:noWrap/>
            <w:hideMark/>
          </w:tcPr>
          <w:p w14:paraId="1F2A2AA5"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0.28± 0.01b</w:t>
            </w:r>
          </w:p>
        </w:tc>
        <w:tc>
          <w:tcPr>
            <w:tcW w:w="1762" w:type="dxa"/>
            <w:tcBorders>
              <w:top w:val="nil"/>
              <w:bottom w:val="nil"/>
            </w:tcBorders>
            <w:noWrap/>
            <w:hideMark/>
          </w:tcPr>
          <w:p w14:paraId="2FB2AEF8"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0.00bc</w:t>
            </w:r>
          </w:p>
        </w:tc>
        <w:tc>
          <w:tcPr>
            <w:tcW w:w="1413" w:type="dxa"/>
            <w:tcBorders>
              <w:top w:val="nil"/>
              <w:bottom w:val="nil"/>
            </w:tcBorders>
            <w:noWrap/>
            <w:hideMark/>
          </w:tcPr>
          <w:p w14:paraId="74EF2E51"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0.00b</w:t>
            </w:r>
          </w:p>
        </w:tc>
        <w:tc>
          <w:tcPr>
            <w:tcW w:w="1413" w:type="dxa"/>
            <w:tcBorders>
              <w:top w:val="nil"/>
              <w:bottom w:val="nil"/>
            </w:tcBorders>
            <w:noWrap/>
            <w:hideMark/>
          </w:tcPr>
          <w:p w14:paraId="16D0CB8B"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0.00b</w:t>
            </w:r>
          </w:p>
        </w:tc>
      </w:tr>
      <w:tr w:rsidR="00E81B3D" w:rsidRPr="00910EA1" w14:paraId="2498C96E" w14:textId="77777777" w:rsidTr="00D446D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53" w:type="dxa"/>
            <w:tcBorders>
              <w:top w:val="nil"/>
              <w:bottom w:val="nil"/>
            </w:tcBorders>
            <w:noWrap/>
            <w:hideMark/>
          </w:tcPr>
          <w:p w14:paraId="78E765B5" w14:textId="77777777" w:rsidR="00E81B3D" w:rsidRPr="00910EA1" w:rsidRDefault="00E81B3D"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COMPOST+2% BIOCHAR</w:t>
            </w:r>
          </w:p>
        </w:tc>
        <w:tc>
          <w:tcPr>
            <w:tcW w:w="1413" w:type="dxa"/>
            <w:tcBorders>
              <w:top w:val="nil"/>
              <w:bottom w:val="nil"/>
            </w:tcBorders>
            <w:noWrap/>
            <w:hideMark/>
          </w:tcPr>
          <w:p w14:paraId="6035C783"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0.28± 0.03b</w:t>
            </w:r>
          </w:p>
        </w:tc>
        <w:tc>
          <w:tcPr>
            <w:tcW w:w="1762" w:type="dxa"/>
            <w:tcBorders>
              <w:top w:val="nil"/>
              <w:bottom w:val="nil"/>
            </w:tcBorders>
            <w:noWrap/>
            <w:hideMark/>
          </w:tcPr>
          <w:p w14:paraId="0A33E90D"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0.00bc</w:t>
            </w:r>
          </w:p>
        </w:tc>
        <w:tc>
          <w:tcPr>
            <w:tcW w:w="1413" w:type="dxa"/>
            <w:tcBorders>
              <w:top w:val="nil"/>
              <w:bottom w:val="nil"/>
            </w:tcBorders>
            <w:noWrap/>
            <w:hideMark/>
          </w:tcPr>
          <w:p w14:paraId="04803FE3"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0.00b</w:t>
            </w:r>
          </w:p>
        </w:tc>
        <w:tc>
          <w:tcPr>
            <w:tcW w:w="1413" w:type="dxa"/>
            <w:tcBorders>
              <w:top w:val="nil"/>
              <w:bottom w:val="nil"/>
            </w:tcBorders>
            <w:noWrap/>
            <w:hideMark/>
          </w:tcPr>
          <w:p w14:paraId="471FA8BA"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0.00b</w:t>
            </w:r>
          </w:p>
        </w:tc>
      </w:tr>
      <w:tr w:rsidR="00E81B3D" w:rsidRPr="00910EA1" w14:paraId="751C8C19" w14:textId="77777777" w:rsidTr="00D446D6">
        <w:trPr>
          <w:trHeight w:val="320"/>
        </w:trPr>
        <w:tc>
          <w:tcPr>
            <w:cnfStyle w:val="001000000000" w:firstRow="0" w:lastRow="0" w:firstColumn="1" w:lastColumn="0" w:oddVBand="0" w:evenVBand="0" w:oddHBand="0" w:evenHBand="0" w:firstRowFirstColumn="0" w:firstRowLastColumn="0" w:lastRowFirstColumn="0" w:lastRowLastColumn="0"/>
            <w:tcW w:w="2153" w:type="dxa"/>
            <w:tcBorders>
              <w:top w:val="nil"/>
              <w:bottom w:val="nil"/>
            </w:tcBorders>
            <w:noWrap/>
            <w:hideMark/>
          </w:tcPr>
          <w:p w14:paraId="14743CFB" w14:textId="77777777" w:rsidR="00E81B3D" w:rsidRPr="00910EA1" w:rsidRDefault="00E81B3D"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COMPOST+5% BIOCHAR</w:t>
            </w:r>
          </w:p>
        </w:tc>
        <w:tc>
          <w:tcPr>
            <w:tcW w:w="1413" w:type="dxa"/>
            <w:tcBorders>
              <w:top w:val="nil"/>
              <w:bottom w:val="nil"/>
            </w:tcBorders>
            <w:noWrap/>
            <w:hideMark/>
          </w:tcPr>
          <w:p w14:paraId="4A542F9E"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0.26± 0.03bc</w:t>
            </w:r>
          </w:p>
        </w:tc>
        <w:tc>
          <w:tcPr>
            <w:tcW w:w="1762" w:type="dxa"/>
            <w:tcBorders>
              <w:top w:val="nil"/>
              <w:bottom w:val="nil"/>
            </w:tcBorders>
            <w:noWrap/>
            <w:hideMark/>
          </w:tcPr>
          <w:p w14:paraId="1AB39059"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0.00bc</w:t>
            </w:r>
          </w:p>
        </w:tc>
        <w:tc>
          <w:tcPr>
            <w:tcW w:w="1413" w:type="dxa"/>
            <w:tcBorders>
              <w:top w:val="nil"/>
              <w:bottom w:val="nil"/>
            </w:tcBorders>
            <w:noWrap/>
            <w:hideMark/>
          </w:tcPr>
          <w:p w14:paraId="75B578E6"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0.00bc</w:t>
            </w:r>
          </w:p>
        </w:tc>
        <w:tc>
          <w:tcPr>
            <w:tcW w:w="1413" w:type="dxa"/>
            <w:tcBorders>
              <w:top w:val="nil"/>
              <w:bottom w:val="nil"/>
            </w:tcBorders>
            <w:noWrap/>
            <w:hideMark/>
          </w:tcPr>
          <w:p w14:paraId="4DEC1633"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0.00b</w:t>
            </w:r>
          </w:p>
        </w:tc>
      </w:tr>
      <w:tr w:rsidR="00E81B3D" w:rsidRPr="00910EA1" w14:paraId="3C860DBC" w14:textId="77777777" w:rsidTr="00D446D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53" w:type="dxa"/>
            <w:tcBorders>
              <w:top w:val="nil"/>
              <w:bottom w:val="single" w:sz="4" w:space="0" w:color="auto"/>
            </w:tcBorders>
            <w:noWrap/>
            <w:hideMark/>
          </w:tcPr>
          <w:p w14:paraId="0CE39333" w14:textId="77777777" w:rsidR="00E81B3D" w:rsidRPr="00910EA1" w:rsidRDefault="00E81B3D" w:rsidP="00910EA1">
            <w:pPr>
              <w:spacing w:line="276" w:lineRule="auto"/>
              <w:jc w:val="both"/>
              <w:rPr>
                <w:rFonts w:ascii="Times New Roman" w:hAnsi="Times New Roman" w:cs="Times New Roman"/>
                <w:b w:val="0"/>
                <w:bCs w:val="0"/>
                <w:sz w:val="24"/>
                <w:szCs w:val="24"/>
              </w:rPr>
            </w:pPr>
            <w:r w:rsidRPr="00910EA1">
              <w:rPr>
                <w:rFonts w:ascii="Times New Roman" w:hAnsi="Times New Roman" w:cs="Times New Roman"/>
                <w:sz w:val="24"/>
                <w:szCs w:val="24"/>
              </w:rPr>
              <w:t>COMPOST+10% BIOCHAR</w:t>
            </w:r>
          </w:p>
          <w:p w14:paraId="46B34FA8" w14:textId="75879BD1" w:rsidR="00D446D6" w:rsidRPr="00910EA1" w:rsidRDefault="00D446D6"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ANOVA p-value</w:t>
            </w:r>
          </w:p>
          <w:p w14:paraId="633798A9" w14:textId="6803A809" w:rsidR="00D446D6" w:rsidRPr="00910EA1" w:rsidRDefault="00D446D6" w:rsidP="00910EA1">
            <w:pPr>
              <w:spacing w:line="276" w:lineRule="auto"/>
              <w:jc w:val="both"/>
              <w:rPr>
                <w:rFonts w:ascii="Times New Roman" w:hAnsi="Times New Roman" w:cs="Times New Roman"/>
                <w:sz w:val="24"/>
                <w:szCs w:val="24"/>
              </w:rPr>
            </w:pPr>
          </w:p>
        </w:tc>
        <w:tc>
          <w:tcPr>
            <w:tcW w:w="1413" w:type="dxa"/>
            <w:tcBorders>
              <w:top w:val="nil"/>
              <w:bottom w:val="single" w:sz="4" w:space="0" w:color="auto"/>
            </w:tcBorders>
            <w:noWrap/>
            <w:hideMark/>
          </w:tcPr>
          <w:p w14:paraId="260FB4D8"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0.23± 0.02c</w:t>
            </w:r>
          </w:p>
          <w:p w14:paraId="769879AC" w14:textId="77777777" w:rsidR="00A82853" w:rsidRPr="00910EA1" w:rsidRDefault="00A82853"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66E875B7" w14:textId="0F1EEC66" w:rsidR="00A82853" w:rsidRPr="00910EA1" w:rsidRDefault="00A82853"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&lt; 0.001</w:t>
            </w:r>
          </w:p>
        </w:tc>
        <w:tc>
          <w:tcPr>
            <w:tcW w:w="1762" w:type="dxa"/>
            <w:tcBorders>
              <w:top w:val="nil"/>
              <w:bottom w:val="single" w:sz="4" w:space="0" w:color="auto"/>
            </w:tcBorders>
            <w:noWrap/>
            <w:hideMark/>
          </w:tcPr>
          <w:p w14:paraId="66B222FC"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p w14:paraId="06B7351E" w14:textId="77777777" w:rsidR="00A82853" w:rsidRPr="00910EA1" w:rsidRDefault="00A82853"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7EF8E403" w14:textId="2D89AE4E" w:rsidR="00A82853" w:rsidRPr="00910EA1" w:rsidRDefault="00A82853"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&lt; 0.001</w:t>
            </w:r>
          </w:p>
        </w:tc>
        <w:tc>
          <w:tcPr>
            <w:tcW w:w="1413" w:type="dxa"/>
            <w:tcBorders>
              <w:top w:val="nil"/>
              <w:bottom w:val="single" w:sz="4" w:space="0" w:color="auto"/>
            </w:tcBorders>
            <w:noWrap/>
            <w:hideMark/>
          </w:tcPr>
          <w:p w14:paraId="4D93CC57"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p w14:paraId="08D28814" w14:textId="77777777" w:rsidR="00A82853" w:rsidRPr="00910EA1" w:rsidRDefault="00A82853"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2D5054EE" w14:textId="47C60300" w:rsidR="00A82853" w:rsidRPr="00910EA1" w:rsidRDefault="00A82853"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0.004</w:t>
            </w:r>
          </w:p>
        </w:tc>
        <w:tc>
          <w:tcPr>
            <w:tcW w:w="1413" w:type="dxa"/>
            <w:tcBorders>
              <w:top w:val="nil"/>
              <w:bottom w:val="single" w:sz="4" w:space="0" w:color="auto"/>
            </w:tcBorders>
            <w:noWrap/>
            <w:hideMark/>
          </w:tcPr>
          <w:p w14:paraId="6D83C7BC"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0.00b</w:t>
            </w:r>
          </w:p>
          <w:p w14:paraId="53E867DE" w14:textId="77777777" w:rsidR="0079263E" w:rsidRPr="00910EA1" w:rsidRDefault="0079263E"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6A92F00A" w14:textId="77777777" w:rsidR="0079263E" w:rsidRPr="00910EA1" w:rsidRDefault="0079263E"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0.02</w:t>
            </w:r>
          </w:p>
          <w:p w14:paraId="7DD70274" w14:textId="217041A4" w:rsidR="0079263E" w:rsidRPr="00910EA1" w:rsidRDefault="0079263E"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bl>
    <w:p w14:paraId="1DCD862B" w14:textId="3F977115" w:rsidR="00B3233E" w:rsidRPr="00910EA1" w:rsidRDefault="00B3233E" w:rsidP="00910EA1">
      <w:pPr>
        <w:spacing w:line="276" w:lineRule="auto"/>
        <w:jc w:val="both"/>
        <w:rPr>
          <w:rFonts w:ascii="Times New Roman" w:hAnsi="Times New Roman" w:cs="Times New Roman"/>
          <w:b/>
          <w:sz w:val="24"/>
          <w:szCs w:val="24"/>
        </w:rPr>
      </w:pPr>
    </w:p>
    <w:p w14:paraId="7BE31719" w14:textId="15BBA306" w:rsidR="0067233F" w:rsidRPr="00910EA1" w:rsidRDefault="0067233F" w:rsidP="00910EA1">
      <w:pPr>
        <w:pStyle w:val="LT"/>
        <w:spacing w:line="276" w:lineRule="auto"/>
        <w:jc w:val="both"/>
      </w:pPr>
      <w:bookmarkStart w:id="16" w:name="_Toc147751521"/>
      <w:r w:rsidRPr="00910EA1">
        <w:t xml:space="preserve">Table </w:t>
      </w:r>
      <w:r w:rsidR="008F61C5" w:rsidRPr="00910EA1">
        <w:t>5:</w:t>
      </w:r>
      <w:r w:rsidRPr="00910EA1">
        <w:t xml:space="preserve"> Soil amendments effects on CO</w:t>
      </w:r>
      <w:r w:rsidRPr="00910EA1">
        <w:rPr>
          <w:vertAlign w:val="subscript"/>
        </w:rPr>
        <w:t>2</w:t>
      </w:r>
      <w:r w:rsidRPr="00910EA1">
        <w:t>-C emission on daily basis</w:t>
      </w:r>
      <w:r w:rsidR="00B3233E" w:rsidRPr="00910EA1">
        <w:t xml:space="preserve"> continued</w:t>
      </w:r>
      <w:bookmarkEnd w:id="16"/>
    </w:p>
    <w:tbl>
      <w:tblPr>
        <w:tblStyle w:val="PlainTable21"/>
        <w:tblW w:w="8042" w:type="dxa"/>
        <w:tblLook w:val="04A0" w:firstRow="1" w:lastRow="0" w:firstColumn="1" w:lastColumn="0" w:noHBand="0" w:noVBand="1"/>
      </w:tblPr>
      <w:tblGrid>
        <w:gridCol w:w="1988"/>
        <w:gridCol w:w="1455"/>
        <w:gridCol w:w="1454"/>
        <w:gridCol w:w="1691"/>
        <w:gridCol w:w="1454"/>
      </w:tblGrid>
      <w:tr w:rsidR="00E81B3D" w:rsidRPr="00910EA1" w14:paraId="72CF0093" w14:textId="77777777" w:rsidTr="00974D19">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88" w:type="dxa"/>
            <w:noWrap/>
            <w:hideMark/>
          </w:tcPr>
          <w:p w14:paraId="34CCAF80" w14:textId="77777777" w:rsidR="00E81B3D" w:rsidRPr="00910EA1" w:rsidRDefault="00E81B3D"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TREATMENTS</w:t>
            </w:r>
          </w:p>
        </w:tc>
        <w:tc>
          <w:tcPr>
            <w:tcW w:w="1455" w:type="dxa"/>
            <w:noWrap/>
            <w:hideMark/>
          </w:tcPr>
          <w:p w14:paraId="2B758F21" w14:textId="77777777" w:rsidR="00E81B3D" w:rsidRPr="00910EA1" w:rsidRDefault="00E81B3D"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 xml:space="preserve"> DAY 16</w:t>
            </w:r>
          </w:p>
        </w:tc>
        <w:tc>
          <w:tcPr>
            <w:tcW w:w="1454" w:type="dxa"/>
            <w:noWrap/>
            <w:hideMark/>
          </w:tcPr>
          <w:p w14:paraId="58009F5B" w14:textId="77777777" w:rsidR="00E81B3D" w:rsidRPr="00910EA1" w:rsidRDefault="00E81B3D"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 xml:space="preserve">DAY 23 </w:t>
            </w:r>
          </w:p>
        </w:tc>
        <w:tc>
          <w:tcPr>
            <w:tcW w:w="1691" w:type="dxa"/>
            <w:noWrap/>
            <w:hideMark/>
          </w:tcPr>
          <w:p w14:paraId="2AEE5302" w14:textId="77777777" w:rsidR="00E81B3D" w:rsidRPr="00910EA1" w:rsidRDefault="00E81B3D"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DAY 37</w:t>
            </w:r>
          </w:p>
        </w:tc>
        <w:tc>
          <w:tcPr>
            <w:tcW w:w="1454" w:type="dxa"/>
            <w:noWrap/>
            <w:hideMark/>
          </w:tcPr>
          <w:p w14:paraId="13F32B40" w14:textId="77777777" w:rsidR="00E81B3D" w:rsidRPr="00910EA1" w:rsidRDefault="00E81B3D" w:rsidP="00910EA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DAY 58</w:t>
            </w:r>
          </w:p>
        </w:tc>
      </w:tr>
      <w:tr w:rsidR="00E81B3D" w:rsidRPr="00910EA1" w14:paraId="22828AA4" w14:textId="77777777" w:rsidTr="00974D1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8042" w:type="dxa"/>
            <w:gridSpan w:val="5"/>
            <w:tcBorders>
              <w:bottom w:val="single" w:sz="4" w:space="0" w:color="auto"/>
            </w:tcBorders>
            <w:noWrap/>
          </w:tcPr>
          <w:p w14:paraId="0A560ECD" w14:textId="77777777" w:rsidR="00E81B3D" w:rsidRPr="00910EA1" w:rsidRDefault="00E81B3D" w:rsidP="00910EA1">
            <w:pPr>
              <w:spacing w:line="276" w:lineRule="auto"/>
              <w:jc w:val="both"/>
              <w:rPr>
                <w:rFonts w:ascii="Times New Roman" w:hAnsi="Times New Roman" w:cs="Times New Roman"/>
                <w:b w:val="0"/>
                <w:bCs w:val="0"/>
                <w:sz w:val="24"/>
                <w:szCs w:val="24"/>
              </w:rPr>
            </w:pPr>
            <w:r w:rsidRPr="00910EA1">
              <w:rPr>
                <w:rFonts w:ascii="Times New Roman" w:hAnsi="Times New Roman" w:cs="Times New Roman"/>
                <w:sz w:val="24"/>
                <w:szCs w:val="24"/>
              </w:rPr>
              <w:t>mg_CO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_C d/kg</w:t>
            </w:r>
          </w:p>
        </w:tc>
      </w:tr>
      <w:tr w:rsidR="00E81B3D" w:rsidRPr="00910EA1" w14:paraId="00D01AC5" w14:textId="77777777" w:rsidTr="00974D19">
        <w:trPr>
          <w:trHeight w:val="320"/>
        </w:trPr>
        <w:tc>
          <w:tcPr>
            <w:cnfStyle w:val="001000000000" w:firstRow="0" w:lastRow="0" w:firstColumn="1" w:lastColumn="0" w:oddVBand="0" w:evenVBand="0" w:oddHBand="0" w:evenHBand="0" w:firstRowFirstColumn="0" w:firstRowLastColumn="0" w:lastRowFirstColumn="0" w:lastRowLastColumn="0"/>
            <w:tcW w:w="1988" w:type="dxa"/>
            <w:tcBorders>
              <w:top w:val="single" w:sz="4" w:space="0" w:color="auto"/>
              <w:bottom w:val="nil"/>
            </w:tcBorders>
            <w:noWrap/>
            <w:hideMark/>
          </w:tcPr>
          <w:p w14:paraId="050D89F4" w14:textId="10F7E7D5" w:rsidR="00E81B3D" w:rsidRPr="00910EA1" w:rsidRDefault="00E81B3D"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CONTROL</w:t>
            </w:r>
          </w:p>
        </w:tc>
        <w:tc>
          <w:tcPr>
            <w:tcW w:w="1455" w:type="dxa"/>
            <w:tcBorders>
              <w:top w:val="single" w:sz="4" w:space="0" w:color="auto"/>
              <w:bottom w:val="nil"/>
            </w:tcBorders>
            <w:noWrap/>
            <w:hideMark/>
          </w:tcPr>
          <w:p w14:paraId="7371F6FB"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 0.00a</w:t>
            </w:r>
          </w:p>
        </w:tc>
        <w:tc>
          <w:tcPr>
            <w:tcW w:w="1454" w:type="dxa"/>
            <w:tcBorders>
              <w:top w:val="single" w:sz="4" w:space="0" w:color="auto"/>
              <w:bottom w:val="nil"/>
            </w:tcBorders>
            <w:noWrap/>
            <w:hideMark/>
          </w:tcPr>
          <w:p w14:paraId="761CF4DD"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w:t>
            </w:r>
          </w:p>
        </w:tc>
        <w:tc>
          <w:tcPr>
            <w:tcW w:w="1691" w:type="dxa"/>
            <w:tcBorders>
              <w:top w:val="single" w:sz="4" w:space="0" w:color="auto"/>
              <w:bottom w:val="nil"/>
            </w:tcBorders>
            <w:noWrap/>
            <w:hideMark/>
          </w:tcPr>
          <w:p w14:paraId="4FEAC1E3"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w:t>
            </w:r>
          </w:p>
        </w:tc>
        <w:tc>
          <w:tcPr>
            <w:tcW w:w="1454" w:type="dxa"/>
            <w:tcBorders>
              <w:top w:val="single" w:sz="4" w:space="0" w:color="auto"/>
              <w:bottom w:val="nil"/>
            </w:tcBorders>
            <w:noWrap/>
            <w:hideMark/>
          </w:tcPr>
          <w:p w14:paraId="7C1D0830"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w:t>
            </w:r>
          </w:p>
        </w:tc>
      </w:tr>
      <w:tr w:rsidR="00E81B3D" w:rsidRPr="00910EA1" w14:paraId="16CE806B" w14:textId="77777777" w:rsidTr="00974D1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88" w:type="dxa"/>
            <w:tcBorders>
              <w:top w:val="nil"/>
              <w:bottom w:val="nil"/>
            </w:tcBorders>
            <w:noWrap/>
            <w:hideMark/>
          </w:tcPr>
          <w:p w14:paraId="4A9F9876" w14:textId="77777777" w:rsidR="00E81B3D" w:rsidRPr="00910EA1" w:rsidRDefault="00E81B3D"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INORGANIC</w:t>
            </w:r>
          </w:p>
        </w:tc>
        <w:tc>
          <w:tcPr>
            <w:tcW w:w="1455" w:type="dxa"/>
            <w:tcBorders>
              <w:top w:val="nil"/>
              <w:bottom w:val="nil"/>
            </w:tcBorders>
            <w:noWrap/>
            <w:hideMark/>
          </w:tcPr>
          <w:p w14:paraId="67A8B6BD"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w:t>
            </w:r>
          </w:p>
        </w:tc>
        <w:tc>
          <w:tcPr>
            <w:tcW w:w="1454" w:type="dxa"/>
            <w:tcBorders>
              <w:top w:val="nil"/>
              <w:bottom w:val="nil"/>
            </w:tcBorders>
            <w:noWrap/>
            <w:hideMark/>
          </w:tcPr>
          <w:p w14:paraId="4E776E17"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0.00b</w:t>
            </w:r>
          </w:p>
        </w:tc>
        <w:tc>
          <w:tcPr>
            <w:tcW w:w="1691" w:type="dxa"/>
            <w:tcBorders>
              <w:top w:val="nil"/>
              <w:bottom w:val="nil"/>
            </w:tcBorders>
            <w:noWrap/>
            <w:hideMark/>
          </w:tcPr>
          <w:p w14:paraId="56C744BE"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0.00ab</w:t>
            </w:r>
          </w:p>
        </w:tc>
        <w:tc>
          <w:tcPr>
            <w:tcW w:w="1454" w:type="dxa"/>
            <w:tcBorders>
              <w:top w:val="nil"/>
              <w:bottom w:val="nil"/>
            </w:tcBorders>
            <w:noWrap/>
            <w:hideMark/>
          </w:tcPr>
          <w:p w14:paraId="35A50571"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w:t>
            </w:r>
          </w:p>
        </w:tc>
      </w:tr>
      <w:tr w:rsidR="00E81B3D" w:rsidRPr="00910EA1" w14:paraId="6EEE1AFE" w14:textId="77777777" w:rsidTr="00974D19">
        <w:trPr>
          <w:trHeight w:val="320"/>
        </w:trPr>
        <w:tc>
          <w:tcPr>
            <w:cnfStyle w:val="001000000000" w:firstRow="0" w:lastRow="0" w:firstColumn="1" w:lastColumn="0" w:oddVBand="0" w:evenVBand="0" w:oddHBand="0" w:evenHBand="0" w:firstRowFirstColumn="0" w:firstRowLastColumn="0" w:lastRowFirstColumn="0" w:lastRowLastColumn="0"/>
            <w:tcW w:w="1988" w:type="dxa"/>
            <w:tcBorders>
              <w:top w:val="nil"/>
              <w:bottom w:val="nil"/>
            </w:tcBorders>
            <w:noWrap/>
            <w:hideMark/>
          </w:tcPr>
          <w:p w14:paraId="0B213D79" w14:textId="77777777" w:rsidR="00E81B3D" w:rsidRPr="00910EA1" w:rsidRDefault="00E81B3D"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COMPOST</w:t>
            </w:r>
          </w:p>
        </w:tc>
        <w:tc>
          <w:tcPr>
            <w:tcW w:w="1455" w:type="dxa"/>
            <w:tcBorders>
              <w:top w:val="nil"/>
              <w:bottom w:val="nil"/>
            </w:tcBorders>
            <w:noWrap/>
            <w:hideMark/>
          </w:tcPr>
          <w:p w14:paraId="15401211"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0.00b</w:t>
            </w:r>
          </w:p>
        </w:tc>
        <w:tc>
          <w:tcPr>
            <w:tcW w:w="1454" w:type="dxa"/>
            <w:tcBorders>
              <w:top w:val="nil"/>
              <w:bottom w:val="nil"/>
            </w:tcBorders>
            <w:noWrap/>
            <w:hideMark/>
          </w:tcPr>
          <w:p w14:paraId="5601D81D"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tc>
        <w:tc>
          <w:tcPr>
            <w:tcW w:w="1691" w:type="dxa"/>
            <w:tcBorders>
              <w:top w:val="nil"/>
              <w:bottom w:val="nil"/>
            </w:tcBorders>
            <w:noWrap/>
            <w:hideMark/>
          </w:tcPr>
          <w:p w14:paraId="1FCCA462"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0.00bc</w:t>
            </w:r>
          </w:p>
        </w:tc>
        <w:tc>
          <w:tcPr>
            <w:tcW w:w="1454" w:type="dxa"/>
            <w:tcBorders>
              <w:top w:val="nil"/>
              <w:bottom w:val="nil"/>
            </w:tcBorders>
            <w:noWrap/>
            <w:hideMark/>
          </w:tcPr>
          <w:p w14:paraId="08CB00E6"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w:t>
            </w:r>
          </w:p>
        </w:tc>
      </w:tr>
      <w:tr w:rsidR="00E81B3D" w:rsidRPr="00910EA1" w14:paraId="5BDB1AF9" w14:textId="77777777" w:rsidTr="00974D1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88" w:type="dxa"/>
            <w:tcBorders>
              <w:top w:val="nil"/>
              <w:bottom w:val="nil"/>
            </w:tcBorders>
            <w:noWrap/>
            <w:hideMark/>
          </w:tcPr>
          <w:p w14:paraId="3F8E7F41" w14:textId="77777777" w:rsidR="00E81B3D" w:rsidRPr="00910EA1" w:rsidRDefault="00E81B3D"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COMPOST+ 2% BIOCHAR</w:t>
            </w:r>
          </w:p>
        </w:tc>
        <w:tc>
          <w:tcPr>
            <w:tcW w:w="1455" w:type="dxa"/>
            <w:tcBorders>
              <w:top w:val="nil"/>
              <w:bottom w:val="nil"/>
            </w:tcBorders>
            <w:noWrap/>
            <w:hideMark/>
          </w:tcPr>
          <w:p w14:paraId="58B4B98D"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tc>
        <w:tc>
          <w:tcPr>
            <w:tcW w:w="1454" w:type="dxa"/>
            <w:tcBorders>
              <w:top w:val="nil"/>
              <w:bottom w:val="nil"/>
            </w:tcBorders>
            <w:noWrap/>
            <w:hideMark/>
          </w:tcPr>
          <w:p w14:paraId="283F475E"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tc>
        <w:tc>
          <w:tcPr>
            <w:tcW w:w="1691" w:type="dxa"/>
            <w:tcBorders>
              <w:top w:val="nil"/>
              <w:bottom w:val="nil"/>
            </w:tcBorders>
            <w:noWrap/>
            <w:hideMark/>
          </w:tcPr>
          <w:p w14:paraId="1EA19F44"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0.00bc</w:t>
            </w:r>
          </w:p>
        </w:tc>
        <w:tc>
          <w:tcPr>
            <w:tcW w:w="1454" w:type="dxa"/>
            <w:tcBorders>
              <w:top w:val="nil"/>
              <w:bottom w:val="nil"/>
            </w:tcBorders>
            <w:noWrap/>
            <w:hideMark/>
          </w:tcPr>
          <w:p w14:paraId="3967BD6F"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w:t>
            </w:r>
          </w:p>
        </w:tc>
      </w:tr>
      <w:tr w:rsidR="00E81B3D" w:rsidRPr="00910EA1" w14:paraId="1984049F" w14:textId="77777777" w:rsidTr="00974D19">
        <w:trPr>
          <w:trHeight w:val="320"/>
        </w:trPr>
        <w:tc>
          <w:tcPr>
            <w:cnfStyle w:val="001000000000" w:firstRow="0" w:lastRow="0" w:firstColumn="1" w:lastColumn="0" w:oddVBand="0" w:evenVBand="0" w:oddHBand="0" w:evenHBand="0" w:firstRowFirstColumn="0" w:firstRowLastColumn="0" w:lastRowFirstColumn="0" w:lastRowLastColumn="0"/>
            <w:tcW w:w="1988" w:type="dxa"/>
            <w:tcBorders>
              <w:top w:val="nil"/>
              <w:bottom w:val="nil"/>
            </w:tcBorders>
            <w:noWrap/>
            <w:hideMark/>
          </w:tcPr>
          <w:p w14:paraId="7FA69F84" w14:textId="77777777" w:rsidR="00E81B3D" w:rsidRPr="00910EA1" w:rsidRDefault="00E81B3D"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COMPOST+ 5% BIOCHAR</w:t>
            </w:r>
          </w:p>
        </w:tc>
        <w:tc>
          <w:tcPr>
            <w:tcW w:w="1455" w:type="dxa"/>
            <w:tcBorders>
              <w:top w:val="nil"/>
              <w:bottom w:val="nil"/>
            </w:tcBorders>
            <w:noWrap/>
            <w:hideMark/>
          </w:tcPr>
          <w:p w14:paraId="36427BB9"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tc>
        <w:tc>
          <w:tcPr>
            <w:tcW w:w="1454" w:type="dxa"/>
            <w:tcBorders>
              <w:top w:val="nil"/>
              <w:bottom w:val="nil"/>
            </w:tcBorders>
            <w:noWrap/>
            <w:hideMark/>
          </w:tcPr>
          <w:p w14:paraId="2F9129EC"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tc>
        <w:tc>
          <w:tcPr>
            <w:tcW w:w="1691" w:type="dxa"/>
            <w:tcBorders>
              <w:top w:val="nil"/>
              <w:bottom w:val="nil"/>
            </w:tcBorders>
            <w:noWrap/>
            <w:hideMark/>
          </w:tcPr>
          <w:p w14:paraId="6F0201AC"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tc>
        <w:tc>
          <w:tcPr>
            <w:tcW w:w="1454" w:type="dxa"/>
            <w:tcBorders>
              <w:top w:val="nil"/>
              <w:bottom w:val="nil"/>
            </w:tcBorders>
            <w:noWrap/>
            <w:hideMark/>
          </w:tcPr>
          <w:p w14:paraId="3B071381" w14:textId="77777777" w:rsidR="00E81B3D" w:rsidRPr="00910EA1" w:rsidRDefault="00E81B3D" w:rsidP="00910EA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w:t>
            </w:r>
          </w:p>
        </w:tc>
      </w:tr>
      <w:tr w:rsidR="00E81B3D" w:rsidRPr="00910EA1" w14:paraId="16B093D0" w14:textId="77777777" w:rsidTr="00974D19">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988" w:type="dxa"/>
            <w:tcBorders>
              <w:top w:val="nil"/>
              <w:bottom w:val="single" w:sz="4" w:space="0" w:color="auto"/>
            </w:tcBorders>
            <w:noWrap/>
            <w:hideMark/>
          </w:tcPr>
          <w:p w14:paraId="53C393FA" w14:textId="77777777" w:rsidR="00E81B3D" w:rsidRPr="00910EA1" w:rsidRDefault="00E81B3D" w:rsidP="00910EA1">
            <w:pPr>
              <w:spacing w:line="276" w:lineRule="auto"/>
              <w:jc w:val="both"/>
              <w:rPr>
                <w:rFonts w:ascii="Times New Roman" w:hAnsi="Times New Roman" w:cs="Times New Roman"/>
                <w:b w:val="0"/>
                <w:bCs w:val="0"/>
                <w:sz w:val="24"/>
                <w:szCs w:val="24"/>
              </w:rPr>
            </w:pPr>
            <w:r w:rsidRPr="00910EA1">
              <w:rPr>
                <w:rFonts w:ascii="Times New Roman" w:hAnsi="Times New Roman" w:cs="Times New Roman"/>
                <w:sz w:val="24"/>
                <w:szCs w:val="24"/>
              </w:rPr>
              <w:t>COMPOST+ 10% BIOCHAR</w:t>
            </w:r>
          </w:p>
          <w:p w14:paraId="4D5C3249" w14:textId="52117E24" w:rsidR="00974D19" w:rsidRPr="00910EA1" w:rsidRDefault="00974D19" w:rsidP="00910EA1">
            <w:pPr>
              <w:spacing w:line="276" w:lineRule="auto"/>
              <w:jc w:val="both"/>
              <w:rPr>
                <w:rFonts w:ascii="Times New Roman" w:hAnsi="Times New Roman" w:cs="Times New Roman"/>
                <w:sz w:val="24"/>
                <w:szCs w:val="24"/>
              </w:rPr>
            </w:pPr>
            <w:r w:rsidRPr="00910EA1">
              <w:rPr>
                <w:rFonts w:ascii="Times New Roman" w:hAnsi="Times New Roman" w:cs="Times New Roman"/>
                <w:sz w:val="24"/>
                <w:szCs w:val="24"/>
              </w:rPr>
              <w:t>ANOVA p-value</w:t>
            </w:r>
          </w:p>
          <w:p w14:paraId="78B2098C" w14:textId="1110D230" w:rsidR="00974D19" w:rsidRPr="00910EA1" w:rsidRDefault="00974D19" w:rsidP="00910EA1">
            <w:pPr>
              <w:spacing w:line="276" w:lineRule="auto"/>
              <w:jc w:val="both"/>
              <w:rPr>
                <w:rFonts w:ascii="Times New Roman" w:hAnsi="Times New Roman" w:cs="Times New Roman"/>
                <w:sz w:val="24"/>
                <w:szCs w:val="24"/>
              </w:rPr>
            </w:pPr>
          </w:p>
        </w:tc>
        <w:tc>
          <w:tcPr>
            <w:tcW w:w="1455" w:type="dxa"/>
            <w:tcBorders>
              <w:top w:val="nil"/>
              <w:bottom w:val="single" w:sz="4" w:space="0" w:color="auto"/>
            </w:tcBorders>
            <w:noWrap/>
            <w:hideMark/>
          </w:tcPr>
          <w:p w14:paraId="0416A268"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p w14:paraId="6FC375F5" w14:textId="77777777" w:rsidR="00974D19" w:rsidRPr="00910EA1" w:rsidRDefault="00974D19"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61252C21" w14:textId="319B99FE" w:rsidR="00974D19" w:rsidRPr="00910EA1" w:rsidRDefault="00974D19"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&lt; 0.0</w:t>
            </w:r>
            <w:r w:rsidR="00385D7F" w:rsidRPr="00910EA1">
              <w:rPr>
                <w:rFonts w:ascii="Times New Roman" w:hAnsi="Times New Roman" w:cs="Times New Roman"/>
                <w:sz w:val="24"/>
                <w:szCs w:val="24"/>
              </w:rPr>
              <w:t>01</w:t>
            </w:r>
          </w:p>
        </w:tc>
        <w:tc>
          <w:tcPr>
            <w:tcW w:w="1454" w:type="dxa"/>
            <w:tcBorders>
              <w:top w:val="nil"/>
              <w:bottom w:val="single" w:sz="4" w:space="0" w:color="auto"/>
            </w:tcBorders>
            <w:noWrap/>
            <w:hideMark/>
          </w:tcPr>
          <w:p w14:paraId="039AA229"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p w14:paraId="1B459E52" w14:textId="77777777" w:rsidR="00385D7F" w:rsidRPr="00910EA1" w:rsidRDefault="00385D7F"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6A1AD9F5" w14:textId="26C0A1BD" w:rsidR="00385D7F" w:rsidRPr="00910EA1" w:rsidRDefault="00385D7F"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&lt; 0.001</w:t>
            </w:r>
          </w:p>
        </w:tc>
        <w:tc>
          <w:tcPr>
            <w:tcW w:w="1691" w:type="dxa"/>
            <w:tcBorders>
              <w:top w:val="nil"/>
              <w:bottom w:val="single" w:sz="4" w:space="0" w:color="auto"/>
            </w:tcBorders>
            <w:noWrap/>
            <w:hideMark/>
          </w:tcPr>
          <w:p w14:paraId="558809E6"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0.00c</w:t>
            </w:r>
          </w:p>
          <w:p w14:paraId="51A09184" w14:textId="77777777" w:rsidR="00385D7F" w:rsidRPr="00910EA1" w:rsidRDefault="00385D7F"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23288265" w14:textId="23A5BEBF" w:rsidR="00385D7F" w:rsidRPr="00910EA1" w:rsidRDefault="00385D7F"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0.01</w:t>
            </w:r>
          </w:p>
        </w:tc>
        <w:tc>
          <w:tcPr>
            <w:tcW w:w="1454" w:type="dxa"/>
            <w:tcBorders>
              <w:top w:val="nil"/>
              <w:bottom w:val="single" w:sz="4" w:space="0" w:color="auto"/>
            </w:tcBorders>
            <w:noWrap/>
            <w:hideMark/>
          </w:tcPr>
          <w:p w14:paraId="3B234129" w14:textId="77777777" w:rsidR="00E81B3D" w:rsidRPr="00910EA1" w:rsidRDefault="00E81B3D"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0.00± 0.00a</w:t>
            </w:r>
          </w:p>
          <w:p w14:paraId="360F9CBF" w14:textId="77777777" w:rsidR="00385D7F" w:rsidRPr="00910EA1" w:rsidRDefault="00385D7F"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0A2FDAC0" w14:textId="77777777" w:rsidR="00385D7F" w:rsidRPr="00910EA1" w:rsidRDefault="00385D7F"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10EA1">
              <w:rPr>
                <w:rFonts w:ascii="Times New Roman" w:hAnsi="Times New Roman" w:cs="Times New Roman"/>
                <w:sz w:val="24"/>
                <w:szCs w:val="24"/>
              </w:rPr>
              <w:t>&gt;0.05</w:t>
            </w:r>
          </w:p>
          <w:p w14:paraId="641F0FDE" w14:textId="2A89F95B" w:rsidR="00385D7F" w:rsidRPr="00910EA1" w:rsidRDefault="00385D7F" w:rsidP="00910EA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bl>
    <w:p w14:paraId="00804CB3" w14:textId="6D9D1FA8" w:rsidR="003256DB" w:rsidRPr="00910EA1" w:rsidRDefault="00E81B3D"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 xml:space="preserve"> </w:t>
      </w:r>
    </w:p>
    <w:p w14:paraId="5F79F58F" w14:textId="3EA53D2A" w:rsidR="00845123" w:rsidRPr="00910EA1" w:rsidRDefault="003256DB"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Based on the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-C emission trend, it was noted that there was a significant reduction in emissions after the first day of incubation across all types of treatments. The specific level of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-C emissions varied depending on the treatment. Aligning with the respective sampling dates. The maximum emission was recorded on the first day of incubation. After 3 days of incubation,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-C emission came down sharply in all types of treatments. The lowest amount of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-C emission was recorded in the treatment w</w:t>
      </w:r>
      <w:r w:rsidR="00BE709A" w:rsidRPr="00910EA1">
        <w:rPr>
          <w:rFonts w:ascii="Times New Roman" w:hAnsi="Times New Roman" w:cs="Times New Roman"/>
          <w:sz w:val="24"/>
          <w:szCs w:val="24"/>
        </w:rPr>
        <w:t xml:space="preserve">ith compost+10% biochar (Table </w:t>
      </w:r>
      <w:r w:rsidR="00E719D0">
        <w:rPr>
          <w:rFonts w:ascii="Times New Roman" w:hAnsi="Times New Roman" w:cs="Times New Roman"/>
          <w:sz w:val="24"/>
          <w:szCs w:val="24"/>
        </w:rPr>
        <w:t>4</w:t>
      </w:r>
      <w:r w:rsidR="00BE709A" w:rsidRPr="00910EA1">
        <w:rPr>
          <w:rFonts w:ascii="Times New Roman" w:hAnsi="Times New Roman" w:cs="Times New Roman"/>
          <w:sz w:val="24"/>
          <w:szCs w:val="24"/>
        </w:rPr>
        <w:t xml:space="preserve"> and 5</w:t>
      </w:r>
      <w:r w:rsidRPr="00910EA1">
        <w:rPr>
          <w:rFonts w:ascii="Times New Roman" w:hAnsi="Times New Roman" w:cs="Times New Roman"/>
          <w:sz w:val="24"/>
          <w:szCs w:val="24"/>
        </w:rPr>
        <w:t>), while the highest amount of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-C emission was recorded in the absolute control where only soil was used. At the first 6 hours of incubation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-C emission was about 0.33 mg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in the absolute control, 0.3222 mg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when inorganic amendments (NPK) were added, while it was about 0.2808 mg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when pure compost was added. Co-composted biochar (2%) mixed with soil released 0.2844 mg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co-composted biochar (5%) mixed with soil released 0.2604 mg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/day/kg soil while co-composted biochar </w:t>
      </w:r>
      <w:r w:rsidRPr="00910EA1">
        <w:rPr>
          <w:rFonts w:ascii="Times New Roman" w:hAnsi="Times New Roman" w:cs="Times New Roman"/>
          <w:sz w:val="24"/>
          <w:szCs w:val="24"/>
        </w:rPr>
        <w:lastRenderedPageBreak/>
        <w:t>(10%) mixed with soil also released 0.2388 mg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w:t>
      </w:r>
      <w:r w:rsidR="00845123" w:rsidRPr="00910EA1">
        <w:rPr>
          <w:rFonts w:ascii="Times New Roman" w:hAnsi="Times New Roman" w:cs="Times New Roman"/>
          <w:sz w:val="24"/>
          <w:szCs w:val="24"/>
        </w:rPr>
        <w:t xml:space="preserve"> The control emitted significantly higher CO</w:t>
      </w:r>
      <w:r w:rsidR="00845123" w:rsidRPr="00910EA1">
        <w:rPr>
          <w:rFonts w:ascii="Times New Roman" w:hAnsi="Times New Roman" w:cs="Times New Roman"/>
          <w:sz w:val="24"/>
          <w:szCs w:val="24"/>
          <w:vertAlign w:val="subscript"/>
        </w:rPr>
        <w:t>2</w:t>
      </w:r>
      <w:r w:rsidR="00845123" w:rsidRPr="00910EA1">
        <w:rPr>
          <w:rFonts w:ascii="Times New Roman" w:hAnsi="Times New Roman" w:cs="Times New Roman"/>
          <w:sz w:val="24"/>
          <w:szCs w:val="24"/>
        </w:rPr>
        <w:t>-C in day 0, day 6, day 9, day 16 and day 58 than any other treatment except inorganic while compost with 10% biochar emitted significantly lower CO</w:t>
      </w:r>
      <w:r w:rsidR="00845123" w:rsidRPr="00910EA1">
        <w:rPr>
          <w:rFonts w:ascii="Times New Roman" w:hAnsi="Times New Roman" w:cs="Times New Roman"/>
          <w:sz w:val="24"/>
          <w:szCs w:val="24"/>
          <w:vertAlign w:val="subscript"/>
        </w:rPr>
        <w:t>2</w:t>
      </w:r>
      <w:r w:rsidR="00845123" w:rsidRPr="00910EA1">
        <w:rPr>
          <w:rFonts w:ascii="Times New Roman" w:hAnsi="Times New Roman" w:cs="Times New Roman"/>
          <w:sz w:val="24"/>
          <w:szCs w:val="24"/>
        </w:rPr>
        <w:t>-C</w:t>
      </w:r>
      <w:r w:rsidR="00845123" w:rsidRPr="00910EA1">
        <w:rPr>
          <w:rFonts w:ascii="Times New Roman" w:hAnsi="Times New Roman" w:cs="Times New Roman"/>
          <w:sz w:val="24"/>
          <w:szCs w:val="24"/>
          <w:vertAlign w:val="subscript"/>
        </w:rPr>
        <w:t xml:space="preserve">. </w:t>
      </w:r>
      <w:r w:rsidR="00845123" w:rsidRPr="00910EA1">
        <w:rPr>
          <w:rFonts w:ascii="Times New Roman" w:hAnsi="Times New Roman" w:cs="Times New Roman"/>
          <w:sz w:val="24"/>
          <w:szCs w:val="24"/>
        </w:rPr>
        <w:t>For day 3, day 23 and day 37, only the control emitted significantly higher CO</w:t>
      </w:r>
      <w:r w:rsidR="00845123" w:rsidRPr="00910EA1">
        <w:rPr>
          <w:rFonts w:ascii="Times New Roman" w:hAnsi="Times New Roman" w:cs="Times New Roman"/>
          <w:sz w:val="24"/>
          <w:szCs w:val="24"/>
          <w:vertAlign w:val="subscript"/>
        </w:rPr>
        <w:t>2</w:t>
      </w:r>
      <w:r w:rsidR="00845123" w:rsidRPr="00910EA1">
        <w:rPr>
          <w:rFonts w:ascii="Times New Roman" w:hAnsi="Times New Roman" w:cs="Times New Roman"/>
          <w:sz w:val="24"/>
          <w:szCs w:val="24"/>
        </w:rPr>
        <w:t>-C than any other treatment while the compost with 10% biochar still emitted the lowest CO</w:t>
      </w:r>
      <w:r w:rsidR="00845123" w:rsidRPr="00910EA1">
        <w:rPr>
          <w:rFonts w:ascii="Times New Roman" w:hAnsi="Times New Roman" w:cs="Times New Roman"/>
          <w:sz w:val="24"/>
          <w:szCs w:val="24"/>
          <w:vertAlign w:val="subscript"/>
        </w:rPr>
        <w:t>2</w:t>
      </w:r>
      <w:r w:rsidR="00845123" w:rsidRPr="00910EA1">
        <w:rPr>
          <w:rFonts w:ascii="Times New Roman" w:hAnsi="Times New Roman" w:cs="Times New Roman"/>
          <w:sz w:val="24"/>
          <w:szCs w:val="24"/>
        </w:rPr>
        <w:t>-C.</w:t>
      </w:r>
    </w:p>
    <w:p w14:paraId="550B1803" w14:textId="781F2FCE" w:rsidR="003256DB" w:rsidRPr="00910EA1" w:rsidRDefault="003256DB"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After 6 hours of incubation, the average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-C emission was 0.286 mg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On day 3, the average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-C emission decreased to 0.006 mg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By the 6th day of incubation, the average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-C emission further decreased to approximately 0.004 mg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On the 9th day of incubation, the average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-C</w:t>
      </w:r>
      <w:r w:rsidRPr="00910EA1">
        <w:rPr>
          <w:rFonts w:ascii="Times New Roman" w:hAnsi="Times New Roman" w:cs="Times New Roman"/>
          <w:sz w:val="24"/>
          <w:szCs w:val="24"/>
          <w:vertAlign w:val="subscript"/>
        </w:rPr>
        <w:t xml:space="preserve"> </w:t>
      </w:r>
      <w:r w:rsidRPr="00910EA1">
        <w:rPr>
          <w:rFonts w:ascii="Times New Roman" w:hAnsi="Times New Roman" w:cs="Times New Roman"/>
          <w:sz w:val="24"/>
          <w:szCs w:val="24"/>
        </w:rPr>
        <w:t>emission slightly increased to 0.007 mg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Subsequently, on the 16th day of incubation, the average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-C emission decreased to 0.002 mg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Further monitoring showed a continued decrease, with the average emission reaching 0.001 mg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on the 23rd day. As time progressed, the emissions declined even more, recording 0.0007 mg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on the 37th day and 0.00028 mg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/day/kg soil on the 58th day.</w:t>
      </w:r>
    </w:p>
    <w:p w14:paraId="7234636F" w14:textId="40518132" w:rsidR="001B2216" w:rsidRPr="00910EA1" w:rsidRDefault="003256DB"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This data illustrates the dynamic nature of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-C</w:t>
      </w:r>
      <w:r w:rsidRPr="00910EA1">
        <w:rPr>
          <w:rFonts w:ascii="Times New Roman" w:hAnsi="Times New Roman" w:cs="Times New Roman"/>
          <w:sz w:val="24"/>
          <w:szCs w:val="24"/>
          <w:vertAlign w:val="subscript"/>
        </w:rPr>
        <w:t xml:space="preserve"> </w:t>
      </w:r>
      <w:r w:rsidRPr="00910EA1">
        <w:rPr>
          <w:rFonts w:ascii="Times New Roman" w:hAnsi="Times New Roman" w:cs="Times New Roman"/>
          <w:sz w:val="24"/>
          <w:szCs w:val="24"/>
        </w:rPr>
        <w:t>emissions from the soil over the course of the incubation period, with an initial increase followed by a gradual decline. t was reported that if organic matter added to soil containing high amount of labile carbon potentially enhances CO</w:t>
      </w:r>
      <w:r w:rsidRPr="00910EA1">
        <w:rPr>
          <w:rFonts w:ascii="Times New Roman" w:hAnsi="Times New Roman" w:cs="Times New Roman"/>
          <w:sz w:val="24"/>
          <w:szCs w:val="24"/>
          <w:vertAlign w:val="subscript"/>
        </w:rPr>
        <w:t xml:space="preserve">2 </w:t>
      </w:r>
      <w:r w:rsidRPr="00910EA1">
        <w:rPr>
          <w:rFonts w:ascii="Times New Roman" w:hAnsi="Times New Roman" w:cs="Times New Roman"/>
          <w:sz w:val="24"/>
          <w:szCs w:val="24"/>
        </w:rPr>
        <w:t>emission and thus restricts carbon accumulation in soil</w:t>
      </w:r>
      <w:r w:rsidR="00C74495" w:rsidRPr="00910EA1">
        <w:rPr>
          <w:rFonts w:ascii="Times New Roman" w:hAnsi="Times New Roman" w:cs="Times New Roman"/>
          <w:sz w:val="24"/>
          <w:szCs w:val="24"/>
        </w:rPr>
        <w:t xml:space="preserve"> </w:t>
      </w:r>
      <w:r w:rsidR="00C74495" w:rsidRPr="00910EA1">
        <w:rPr>
          <w:rFonts w:ascii="Times New Roman" w:hAnsi="Times New Roman" w:cs="Times New Roman"/>
          <w:sz w:val="24"/>
          <w:szCs w:val="24"/>
        </w:rPr>
        <w:fldChar w:fldCharType="begin" w:fldLock="1"/>
      </w:r>
      <w:r w:rsidR="00441482" w:rsidRPr="00910EA1">
        <w:rPr>
          <w:rFonts w:ascii="Times New Roman" w:hAnsi="Times New Roman" w:cs="Times New Roman"/>
          <w:sz w:val="24"/>
          <w:szCs w:val="24"/>
        </w:rPr>
        <w:instrText>ADDIN CSL_CITATION {"citationItems":[{"id":"ITEM-1","itemData":{"ISSN":"0029-8549","author":[{"dropping-particle":"","family":"Moore","given":"David J P","non-dropping-particle":"","parse-names":false,"suffix":""},{"dropping-particle":"","family":"Gonzalez-Meler","given":"Miquel A","non-dropping-particle":"","parse-names":false,"suffix":""},{"dropping-particle":"","family":"Taneva","given":"Lina","non-dropping-particle":"","parse-names":false,"suffix":""},{"dropping-particle":"","family":"Pippen","given":"Jeffrey S","non-dropping-particle":"","parse-names":false,"suffix":""},{"dropping-particle":"","family":"Kim","given":"Hyun-Seok","non-dropping-particle":"","parse-names":false,"suffix":""},{"dropping-particle":"","family":"DeLucia","given":"Evan H","non-dropping-particle":"","parse-names":false,"suffix":""}],"container-title":"Oecologia","id":"ITEM-1","issued":{"date-parts":[["2008"]]},"page":"1-10","publisher":"Springer","title":"The effect of carbon dioxide enrichment on apparent stem respiration from Pinus taeda L. is confounded by high levels of soil carbon dioxide","type":"article-journal","volume":"158"},"uris":["http://www.mendeley.com/documents/?uuid=77d12c1d-90ac-483e-b9d5-34245dc0b15f","http://www.mendeley.com/documents/?uuid=51022d1a-5c5d-49d9-9179-f8a73cadfe45"]}],"mendeley":{"formattedCitation":"(Moore et al., 2008)","plainTextFormattedCitation":"(Moore et al., 2008)","previouslyFormattedCitation":"(Moore et al., 2008)"},"properties":{"noteIndex":0},"schema":"https://github.com/citation-style-language/schema/raw/master/csl-citation.json"}</w:instrText>
      </w:r>
      <w:r w:rsidR="00C74495" w:rsidRPr="00910EA1">
        <w:rPr>
          <w:rFonts w:ascii="Times New Roman" w:hAnsi="Times New Roman" w:cs="Times New Roman"/>
          <w:sz w:val="24"/>
          <w:szCs w:val="24"/>
        </w:rPr>
        <w:fldChar w:fldCharType="separate"/>
      </w:r>
      <w:r w:rsidR="00C74495" w:rsidRPr="00910EA1">
        <w:rPr>
          <w:rFonts w:ascii="Times New Roman" w:hAnsi="Times New Roman" w:cs="Times New Roman"/>
          <w:noProof/>
          <w:sz w:val="24"/>
          <w:szCs w:val="24"/>
        </w:rPr>
        <w:t>(Moore et al., 2008)</w:t>
      </w:r>
      <w:r w:rsidR="00C74495" w:rsidRPr="00910EA1">
        <w:rPr>
          <w:rFonts w:ascii="Times New Roman" w:hAnsi="Times New Roman" w:cs="Times New Roman"/>
          <w:sz w:val="24"/>
          <w:szCs w:val="24"/>
        </w:rPr>
        <w:fldChar w:fldCharType="end"/>
      </w:r>
      <w:r w:rsidRPr="00910EA1">
        <w:rPr>
          <w:rFonts w:ascii="Times New Roman" w:hAnsi="Times New Roman" w:cs="Times New Roman"/>
          <w:sz w:val="24"/>
          <w:szCs w:val="24"/>
        </w:rPr>
        <w:t>. The trend of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and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-C emission from different treatments where emission dropped down after weeks of incubation forced us to rethink the direct use of these biochar co-compost in agriculture. Biochar combined with compost could be the alternative environment-friendly practice, which reduces greenhouse gases in the atmosphere and can enhance soil structure and fertility, leading to healthier and more productive soils. Healthy soils support plant growth and sequester carbon through plant biomass, reducing the need for fossil fuel-intensive agricultural practices.</w:t>
      </w:r>
      <w:bookmarkStart w:id="17" w:name="_Toc147751453"/>
    </w:p>
    <w:p w14:paraId="2D6629CA" w14:textId="45192F32" w:rsidR="00D032AE" w:rsidRPr="00910EA1" w:rsidRDefault="00D032AE" w:rsidP="00910EA1">
      <w:pPr>
        <w:spacing w:after="0" w:line="276" w:lineRule="auto"/>
        <w:ind w:firstLine="720"/>
        <w:jc w:val="both"/>
        <w:rPr>
          <w:rFonts w:ascii="Times New Roman" w:hAnsi="Times New Roman" w:cs="Times New Roman"/>
          <w:b/>
          <w:bCs/>
          <w:sz w:val="24"/>
          <w:szCs w:val="24"/>
        </w:rPr>
      </w:pPr>
      <w:r w:rsidRPr="00910EA1">
        <w:rPr>
          <w:rFonts w:ascii="Times New Roman" w:hAnsi="Times New Roman" w:cs="Times New Roman"/>
          <w:b/>
          <w:bCs/>
          <w:sz w:val="24"/>
          <w:szCs w:val="24"/>
        </w:rPr>
        <w:t>DISCUSSION</w:t>
      </w:r>
      <w:bookmarkEnd w:id="17"/>
    </w:p>
    <w:p w14:paraId="7D6C29DB" w14:textId="67254AD5" w:rsidR="007B0196" w:rsidRPr="00910EA1" w:rsidRDefault="00927C6B"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The rate at which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emissions change in response to biochar application is correlated with the amount of biochar added</w:t>
      </w:r>
      <w:r w:rsidR="00877EF5" w:rsidRPr="00910EA1">
        <w:rPr>
          <w:rFonts w:ascii="Times New Roman" w:hAnsi="Times New Roman" w:cs="Times New Roman"/>
          <w:sz w:val="24"/>
          <w:szCs w:val="24"/>
        </w:rPr>
        <w:t xml:space="preserve"> </w:t>
      </w:r>
      <w:r w:rsidR="00F83EAF" w:rsidRPr="00910EA1">
        <w:rPr>
          <w:rFonts w:ascii="Times New Roman" w:hAnsi="Times New Roman" w:cs="Times New Roman"/>
          <w:sz w:val="24"/>
          <w:szCs w:val="24"/>
        </w:rPr>
        <w:fldChar w:fldCharType="begin" w:fldLock="1"/>
      </w:r>
      <w:r w:rsidR="002A5561" w:rsidRPr="00910EA1">
        <w:rPr>
          <w:rFonts w:ascii="Times New Roman" w:hAnsi="Times New Roman" w:cs="Times New Roman"/>
          <w:sz w:val="24"/>
          <w:szCs w:val="24"/>
        </w:rPr>
        <w:instrText>ADDIN CSL_CITATION {"citationItems":[{"id":"ITEM-1","itemData":{"DOI":"10.1002/ldr.4405","ISSN":"1099145X","abstract":"Biochar application to the soil is a novel approach to carbon sequestration. Biochar application affects the emission of greenhouse gases (GHGs), such as CO2, CH4, and N2O, from different environments (e.g., upland soils, rice paddies and wetlands, and composting environments). In this review, the effect of biochar on GHGs emissions from the above three typical environments are critically evaluated based on a literature analysis. First, the properties of biochar and engineered biochar related to GHGs emissions was reviewed, targeting its relationship with climate change mitigation. Then, a meta-analysis was conducted to assess the effect of biochar on the emissions of CO2, CH4, and N2O in different environments, and the relevant mechanisms. Several parameters were identified as the main influencing factors in the meta-analysis, including the pH of the biochar, feedstock type, pyrolysis temperature, biochar application rate, C/N ratio of the biochar, and experimental scale. An overall suppression effect among different environments was found, in the following order for different greenhouse gases: N2O &gt; CH4 &gt; CO2. We conclude that biochar can change the physicochemical properties of soil and compost in different environments, which further shapes the microbial community in a specific environment. Biochar addition affects CO2 emissions by influencing oligotrophic and copiotrophic bacteria; CH4 emissions by regulating the abundance of functional genes, such as mcrA (a methanogen) and pmoA (a methanotroph); and N2O emissions by controlling N-cycling functional genes, including amoA, nirS, nirK, nosZ. Finally, future research directions for mitigating greenhouse gas emissions through biochar application are suggested.","author":[{"dropping-particle":"","family":"Lyu","given":"Honghong","non-dropping-particle":"","parse-names":false,"suffix":""},{"dropping-particle":"","family":"Zhang","given":"Hui","non-dropping-particle":"","parse-names":false,"suffix":""},{"dropping-particle":"","family":"Chu","given":"Mengwei","non-dropping-particle":"","parse-names":false,"suffix":""},{"dropping-particle":"","family":"Zhang","given":"Chengfang","non-dropping-particle":"","parse-names":false,"suffix":""},{"dropping-particle":"","family":"Tang","given":"Jingchun","non-dropping-particle":"","parse-names":false,"suffix":""},{"dropping-particle":"","family":"Chang","given":"Scott X.","non-dropping-particle":"","parse-names":false,"suffix":""},{"dropping-particle":"","family":"Mašek","given":"Ondřej","non-dropping-particle":"","parse-names":false,"suffix":""},{"dropping-particle":"","family":"Ok","given":"Yong Sik","non-dropping-particle":"","parse-names":false,"suffix":""}],"container-title":"Land Degradation and Development","id":"ITEM-1","issue":"17","issued":{"date-parts":[["2022"]]},"page":"3327-3342","title":"Biochar affects greenhouse gas emissions in various environments: A critical review","type":"article-journal","volume":"33"},"uris":["http://www.mendeley.com/documents/?uuid=39783cac-a2ba-44ec-9f17-813836217e92"]}],"mendeley":{"formattedCitation":"(Lyu et al., 2022)","plainTextFormattedCitation":"(Lyu et al., 2022)","previouslyFormattedCitation":"(Lyu et al., 2022)"},"properties":{"noteIndex":0},"schema":"https://github.com/citation-style-language/schema/raw/master/csl-citation.json"}</w:instrText>
      </w:r>
      <w:r w:rsidR="00F83EAF" w:rsidRPr="00910EA1">
        <w:rPr>
          <w:rFonts w:ascii="Times New Roman" w:hAnsi="Times New Roman" w:cs="Times New Roman"/>
          <w:sz w:val="24"/>
          <w:szCs w:val="24"/>
        </w:rPr>
        <w:fldChar w:fldCharType="separate"/>
      </w:r>
      <w:r w:rsidR="00F83EAF" w:rsidRPr="00910EA1">
        <w:rPr>
          <w:rFonts w:ascii="Times New Roman" w:hAnsi="Times New Roman" w:cs="Times New Roman"/>
          <w:noProof/>
          <w:sz w:val="24"/>
          <w:szCs w:val="24"/>
        </w:rPr>
        <w:t>(Lyu et al., 2022)</w:t>
      </w:r>
      <w:r w:rsidR="00F83EAF" w:rsidRPr="00910EA1">
        <w:rPr>
          <w:rFonts w:ascii="Times New Roman" w:hAnsi="Times New Roman" w:cs="Times New Roman"/>
          <w:sz w:val="24"/>
          <w:szCs w:val="24"/>
        </w:rPr>
        <w:fldChar w:fldCharType="end"/>
      </w:r>
      <w:r w:rsidRPr="00910EA1">
        <w:rPr>
          <w:rFonts w:ascii="Times New Roman" w:hAnsi="Times New Roman" w:cs="Times New Roman"/>
          <w:sz w:val="24"/>
          <w:szCs w:val="24"/>
        </w:rPr>
        <w:t>. In particular, it was observed that cumulative CO</w:t>
      </w:r>
      <w:r w:rsidRPr="00910EA1">
        <w:rPr>
          <w:rFonts w:ascii="Times New Roman" w:hAnsi="Times New Roman" w:cs="Times New Roman"/>
          <w:sz w:val="24"/>
          <w:szCs w:val="24"/>
          <w:vertAlign w:val="subscript"/>
        </w:rPr>
        <w:t xml:space="preserve">2 </w:t>
      </w:r>
      <w:r w:rsidRPr="00910EA1">
        <w:rPr>
          <w:rFonts w:ascii="Times New Roman" w:hAnsi="Times New Roman" w:cs="Times New Roman"/>
          <w:sz w:val="24"/>
          <w:szCs w:val="24"/>
        </w:rPr>
        <w:t xml:space="preserve">production significantly increased compared to the control when biochar was applied at rates of 1% and 2% </w:t>
      </w:r>
      <w:r w:rsidR="002A5561" w:rsidRPr="00910EA1">
        <w:rPr>
          <w:rFonts w:ascii="Times New Roman" w:hAnsi="Times New Roman" w:cs="Times New Roman"/>
          <w:sz w:val="24"/>
          <w:szCs w:val="24"/>
        </w:rPr>
        <w:fldChar w:fldCharType="begin" w:fldLock="1"/>
      </w:r>
      <w:r w:rsidR="00631DEB" w:rsidRPr="00910EA1">
        <w:rPr>
          <w:rFonts w:ascii="Times New Roman" w:hAnsi="Times New Roman" w:cs="Times New Roman"/>
          <w:sz w:val="24"/>
          <w:szCs w:val="24"/>
        </w:rPr>
        <w:instrText>ADDIN CSL_CITATION {"citationItems":[{"id":"ITEM-1","itemData":{"DOI":"10.1016/j.heliyon.2020.e05578","ISSN":"24058440","abstract":"Biochar, GHGs, Rice, CO2 emission, C mineralization, Agricultural soil science; Soil science; Soil composition; Soil health; Soil quality","author":[{"dropping-particle":"","family":"Olaniyan","given":"John Olajide","non-dropping-particle":"","parse-names":false,"suffix":""},{"dropping-particle":"","family":"Isimikalu","given":"Theophilus Olufemi","non-dropping-particle":"","parse-names":false,"suffix":""},{"dropping-particle":"","family":"Raji","given":"Bashiru Ademola","non-dropping-particle":"","parse-names":false,"suffix":""},{"dropping-particle":"","family":"Affinnih","given":"Kehinde Olayemi","non-dropping-particle":"","parse-names":false,"suffix":""},{"dropping-particle":"","family":"Alasinrin","given":"Sikiru Yusuf","non-dropping-particle":"","parse-names":false,"suffix":""},{"dropping-particle":"","family":"Ajala","given":"Olusegun Nathaniel","non-dropping-particle":"","parse-names":false,"suffix":""}],"container-title":"Heliyon","id":"ITEM-1","issue":"11","issued":{"date-parts":[["2020"]]},"title":"An investigation of the effect of biochar application rates on CO2 emissions in soils under upland rice production in southern Guinea Savannah of Nigeria","type":"article-journal","volume":"6"},"uris":["http://www.mendeley.com/documents/?uuid=34e0a805-9fbc-40f5-86a7-037f9c2069a0"]}],"mendeley":{"formattedCitation":"(Olaniyan et al., 2020)","plainTextFormattedCitation":"(Olaniyan et al., 2020)","previouslyFormattedCitation":"(Olaniyan et al., 2020)"},"properties":{"noteIndex":0},"schema":"https://github.com/citation-style-language/schema/raw/master/csl-citation.json"}</w:instrText>
      </w:r>
      <w:r w:rsidR="002A5561" w:rsidRPr="00910EA1">
        <w:rPr>
          <w:rFonts w:ascii="Times New Roman" w:hAnsi="Times New Roman" w:cs="Times New Roman"/>
          <w:sz w:val="24"/>
          <w:szCs w:val="24"/>
        </w:rPr>
        <w:fldChar w:fldCharType="separate"/>
      </w:r>
      <w:r w:rsidR="002A5561" w:rsidRPr="00910EA1">
        <w:rPr>
          <w:rFonts w:ascii="Times New Roman" w:hAnsi="Times New Roman" w:cs="Times New Roman"/>
          <w:noProof/>
          <w:sz w:val="24"/>
          <w:szCs w:val="24"/>
        </w:rPr>
        <w:t>(Olaniyan et al., 2020)</w:t>
      </w:r>
      <w:r w:rsidR="002A5561" w:rsidRPr="00910EA1">
        <w:rPr>
          <w:rFonts w:ascii="Times New Roman" w:hAnsi="Times New Roman" w:cs="Times New Roman"/>
          <w:sz w:val="24"/>
          <w:szCs w:val="24"/>
        </w:rPr>
        <w:fldChar w:fldCharType="end"/>
      </w:r>
      <w:r w:rsidR="002A5561" w:rsidRPr="00910EA1">
        <w:rPr>
          <w:rFonts w:ascii="Times New Roman" w:hAnsi="Times New Roman" w:cs="Times New Roman"/>
          <w:sz w:val="24"/>
          <w:szCs w:val="24"/>
        </w:rPr>
        <w:t xml:space="preserve">. </w:t>
      </w:r>
      <w:r w:rsidRPr="00910EA1">
        <w:rPr>
          <w:rFonts w:ascii="Times New Roman" w:hAnsi="Times New Roman" w:cs="Times New Roman"/>
          <w:sz w:val="24"/>
          <w:szCs w:val="24"/>
        </w:rPr>
        <w:t xml:space="preserve">However, no discernible </w:t>
      </w:r>
      <w:r w:rsidR="008F61C5" w:rsidRPr="00910EA1">
        <w:rPr>
          <w:rFonts w:ascii="Times New Roman" w:hAnsi="Times New Roman" w:cs="Times New Roman"/>
          <w:sz w:val="24"/>
          <w:szCs w:val="24"/>
        </w:rPr>
        <w:t xml:space="preserve">trends in </w:t>
      </w:r>
      <w:r w:rsidRPr="00910EA1">
        <w:rPr>
          <w:rFonts w:ascii="Times New Roman" w:hAnsi="Times New Roman" w:cs="Times New Roman"/>
          <w:sz w:val="24"/>
          <w:szCs w:val="24"/>
        </w:rPr>
        <w:t>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emissions occurred when soil was amended with 5% and 10% biochar application rates. Moreover, the impact of biochar on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emissions was contingent upon the initial carbon content of the soil it was applied to. The introduction of biochar to soil with a high carbon content did not yield any additional shifts in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emissions</w:t>
      </w:r>
      <w:r w:rsidR="00631DEB" w:rsidRPr="00910EA1">
        <w:rPr>
          <w:rFonts w:ascii="Times New Roman" w:hAnsi="Times New Roman" w:cs="Times New Roman"/>
          <w:sz w:val="24"/>
          <w:szCs w:val="24"/>
        </w:rPr>
        <w:t xml:space="preserve"> </w:t>
      </w:r>
      <w:r w:rsidR="00631DEB" w:rsidRPr="00910EA1">
        <w:rPr>
          <w:rFonts w:ascii="Times New Roman" w:hAnsi="Times New Roman" w:cs="Times New Roman"/>
          <w:sz w:val="24"/>
          <w:szCs w:val="24"/>
        </w:rPr>
        <w:fldChar w:fldCharType="begin" w:fldLock="1"/>
      </w:r>
      <w:r w:rsidR="002372F6" w:rsidRPr="00910EA1">
        <w:rPr>
          <w:rFonts w:ascii="Times New Roman" w:hAnsi="Times New Roman" w:cs="Times New Roman"/>
          <w:sz w:val="24"/>
          <w:szCs w:val="24"/>
        </w:rPr>
        <w:instrText>ADDIN CSL_CITATION {"citationItems":[{"id":"ITEM-1","itemData":{"DOI":"10.1038/s41561-021-00852-8","author":[{"dropping-particle":"","family":"Lehmann","given":"Johannes","non-dropping-particle":"","parse-names":false,"suffix":""},{"dropping-particle":"","family":"Cowie","given":"Annette","non-dropping-particle":"","parse-names":false,"suffix":""},{"dropping-particle":"","family":"Masiello","given":"Caroline A","non-dropping-particle":"","parse-names":false,"suffix":""},{"dropping-particle":"","family":"Kammann","given":"Claudia","non-dropping-particle":"","parse-names":false,"suffix":""},{"dropping-particle":"","family":"Woolf","given":"Dominic","non-dropping-particle":"","parse-names":false,"suffix":""},{"dropping-particle":"","family":"Amonette","given":"James E","non-dropping-particle":"","parse-names":false,"suffix":""},{"dropping-particle":"","family":"Cayuela","given":"Maria L","non-dropping-particle":"","parse-names":false,"suffix":""},{"dropping-particle":"","family":"Camps-arbestain","given":"Marta","non-dropping-particle":"","parse-names":false,"suffix":""},{"dropping-particle":"","family":"Whitman","given":"Thea","non-dropping-particle":"","parse-names":false,"suffix":""}],"id":"ITEM-1","issue":"December","issued":{"date-parts":[["2021"]]},"publisher":"Springer US","title":"Biochar in climate change mitigation","type":"article-journal","volume":"14"},"uris":["http://www.mendeley.com/documents/?uuid=90b14b3e-8b8a-4f54-a8bf-f624615bb03e"]}],"mendeley":{"formattedCitation":"(Lehmann et al., 2021)","plainTextFormattedCitation":"(Lehmann et al., 2021)","previouslyFormattedCitation":"(Lehmann et al., 2021)"},"properties":{"noteIndex":0},"schema":"https://github.com/citation-style-language/schema/raw/master/csl-citation.json"}</w:instrText>
      </w:r>
      <w:r w:rsidR="00631DEB" w:rsidRPr="00910EA1">
        <w:rPr>
          <w:rFonts w:ascii="Times New Roman" w:hAnsi="Times New Roman" w:cs="Times New Roman"/>
          <w:sz w:val="24"/>
          <w:szCs w:val="24"/>
        </w:rPr>
        <w:fldChar w:fldCharType="separate"/>
      </w:r>
      <w:r w:rsidR="00631DEB" w:rsidRPr="00910EA1">
        <w:rPr>
          <w:rFonts w:ascii="Times New Roman" w:hAnsi="Times New Roman" w:cs="Times New Roman"/>
          <w:noProof/>
          <w:sz w:val="24"/>
          <w:szCs w:val="24"/>
        </w:rPr>
        <w:t>(Lehmann et al., 2021)</w:t>
      </w:r>
      <w:r w:rsidR="00631DEB" w:rsidRPr="00910EA1">
        <w:rPr>
          <w:rFonts w:ascii="Times New Roman" w:hAnsi="Times New Roman" w:cs="Times New Roman"/>
          <w:sz w:val="24"/>
          <w:szCs w:val="24"/>
        </w:rPr>
        <w:fldChar w:fldCharType="end"/>
      </w:r>
      <w:r w:rsidR="0047351A" w:rsidRPr="00910EA1">
        <w:rPr>
          <w:rFonts w:ascii="Times New Roman" w:hAnsi="Times New Roman" w:cs="Times New Roman"/>
          <w:sz w:val="24"/>
          <w:szCs w:val="24"/>
        </w:rPr>
        <w:t>.</w:t>
      </w:r>
    </w:p>
    <w:p w14:paraId="7D359834" w14:textId="597F3BE3" w:rsidR="001905C7" w:rsidRPr="00910EA1" w:rsidRDefault="00927C6B"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From this study,</w:t>
      </w:r>
      <w:r w:rsidR="00D032AE" w:rsidRPr="00910EA1">
        <w:rPr>
          <w:rFonts w:ascii="Times New Roman" w:hAnsi="Times New Roman" w:cs="Times New Roman"/>
          <w:sz w:val="24"/>
          <w:szCs w:val="24"/>
        </w:rPr>
        <w:t xml:space="preserve"> the combination of biochar and compost had a considerable effect on the reduction of CO</w:t>
      </w:r>
      <w:r w:rsidR="00D032AE" w:rsidRPr="00910EA1">
        <w:rPr>
          <w:rFonts w:ascii="Times New Roman" w:hAnsi="Times New Roman" w:cs="Times New Roman"/>
          <w:sz w:val="24"/>
          <w:szCs w:val="24"/>
          <w:vertAlign w:val="subscript"/>
        </w:rPr>
        <w:t>2</w:t>
      </w:r>
      <w:r w:rsidR="00D032AE" w:rsidRPr="00910EA1">
        <w:rPr>
          <w:rFonts w:ascii="Times New Roman" w:hAnsi="Times New Roman" w:cs="Times New Roman"/>
          <w:sz w:val="24"/>
          <w:szCs w:val="24"/>
        </w:rPr>
        <w:t xml:space="preserve"> emissions after the initial days of incubation. This indicates that biochar contributed to the mitigation of initial emissions. The lowest emissions were seen in the treatment containing 10% of biochar, which is attributed to the high carbon content of the biochar and its stability, which reduces its tendency to decompose quickly. Furthermore, when the 10% biochar was added in the soil, it acted like a carbon sink, absorbing carbon and reducing CO</w:t>
      </w:r>
      <w:r w:rsidR="00D032AE" w:rsidRPr="00910EA1">
        <w:rPr>
          <w:rFonts w:ascii="Times New Roman" w:hAnsi="Times New Roman" w:cs="Times New Roman"/>
          <w:sz w:val="24"/>
          <w:szCs w:val="24"/>
          <w:vertAlign w:val="subscript"/>
        </w:rPr>
        <w:t>2</w:t>
      </w:r>
      <w:r w:rsidR="00D032AE" w:rsidRPr="00910EA1">
        <w:rPr>
          <w:rFonts w:ascii="Times New Roman" w:hAnsi="Times New Roman" w:cs="Times New Roman"/>
          <w:sz w:val="24"/>
          <w:szCs w:val="24"/>
        </w:rPr>
        <w:t xml:space="preserve"> emissions overall. These results suggest that biochar, if properly integrated into soil, not only has the potential to reduce CO</w:t>
      </w:r>
      <w:r w:rsidR="00D032AE" w:rsidRPr="00910EA1">
        <w:rPr>
          <w:rFonts w:ascii="Times New Roman" w:hAnsi="Times New Roman" w:cs="Times New Roman"/>
          <w:sz w:val="24"/>
          <w:szCs w:val="24"/>
          <w:vertAlign w:val="subscript"/>
        </w:rPr>
        <w:t>2</w:t>
      </w:r>
      <w:r w:rsidR="00D032AE" w:rsidRPr="00910EA1">
        <w:rPr>
          <w:rFonts w:ascii="Times New Roman" w:hAnsi="Times New Roman" w:cs="Times New Roman"/>
          <w:sz w:val="24"/>
          <w:szCs w:val="24"/>
        </w:rPr>
        <w:t xml:space="preserve"> emissions, but it also has the potential to sequester carbon, which is important for mitigating climate change.</w:t>
      </w:r>
      <w:r w:rsidR="0075701A" w:rsidRPr="00910EA1">
        <w:rPr>
          <w:rFonts w:ascii="Times New Roman" w:hAnsi="Times New Roman" w:cs="Times New Roman"/>
          <w:sz w:val="24"/>
          <w:szCs w:val="24"/>
        </w:rPr>
        <w:t xml:space="preserve"> </w:t>
      </w:r>
      <w:r w:rsidR="00295BD0" w:rsidRPr="00910EA1">
        <w:rPr>
          <w:rFonts w:ascii="Times New Roman" w:hAnsi="Times New Roman" w:cs="Times New Roman"/>
          <w:sz w:val="24"/>
          <w:szCs w:val="24"/>
        </w:rPr>
        <w:t xml:space="preserve">In </w:t>
      </w:r>
      <w:r w:rsidR="0075701A" w:rsidRPr="00910EA1">
        <w:rPr>
          <w:rFonts w:ascii="Times New Roman" w:hAnsi="Times New Roman" w:cs="Times New Roman"/>
          <w:sz w:val="24"/>
          <w:szCs w:val="24"/>
        </w:rPr>
        <w:t xml:space="preserve">our study, we observed that the effects of adding biochar with compost differ from the findings mentioned in the literature. </w:t>
      </w:r>
      <w:r w:rsidR="0075701A" w:rsidRPr="00910EA1">
        <w:rPr>
          <w:rFonts w:ascii="Times New Roman" w:hAnsi="Times New Roman" w:cs="Times New Roman"/>
          <w:sz w:val="24"/>
          <w:szCs w:val="24"/>
        </w:rPr>
        <w:lastRenderedPageBreak/>
        <w:t xml:space="preserve">This disparity can be attributed to the specific feedstock used during the biochar and compost preparation </w:t>
      </w:r>
      <w:r w:rsidR="00295BD0" w:rsidRPr="00910EA1">
        <w:rPr>
          <w:rFonts w:ascii="Times New Roman" w:hAnsi="Times New Roman" w:cs="Times New Roman"/>
          <w:sz w:val="24"/>
          <w:szCs w:val="24"/>
        </w:rPr>
        <w:t>processes. The</w:t>
      </w:r>
      <w:r w:rsidR="0075701A" w:rsidRPr="00910EA1">
        <w:rPr>
          <w:rFonts w:ascii="Times New Roman" w:hAnsi="Times New Roman" w:cs="Times New Roman"/>
          <w:sz w:val="24"/>
          <w:szCs w:val="24"/>
        </w:rPr>
        <w:t xml:space="preserve"> type and source of feedstock used in the production of both biochar and compost can significantly influence their properties and, subsequently, their impact on soil and CO</w:t>
      </w:r>
      <w:r w:rsidR="0075701A" w:rsidRPr="00910EA1">
        <w:rPr>
          <w:rFonts w:ascii="Times New Roman" w:hAnsi="Times New Roman" w:cs="Times New Roman"/>
          <w:sz w:val="24"/>
          <w:szCs w:val="24"/>
          <w:vertAlign w:val="subscript"/>
        </w:rPr>
        <w:t>2</w:t>
      </w:r>
      <w:r w:rsidR="0075701A" w:rsidRPr="00910EA1">
        <w:rPr>
          <w:rFonts w:ascii="Times New Roman" w:hAnsi="Times New Roman" w:cs="Times New Roman"/>
          <w:sz w:val="24"/>
          <w:szCs w:val="24"/>
        </w:rPr>
        <w:t xml:space="preserve"> emissions. Variations in feedstock characteristics, such as carbon content, nutrient composition, and physical structure, can lead to distinct outcomes when biochar and compost are combined and applied to </w:t>
      </w:r>
      <w:r w:rsidR="00295BD0" w:rsidRPr="00910EA1">
        <w:rPr>
          <w:rFonts w:ascii="Times New Roman" w:hAnsi="Times New Roman" w:cs="Times New Roman"/>
          <w:sz w:val="24"/>
          <w:szCs w:val="24"/>
        </w:rPr>
        <w:t>soil. It</w:t>
      </w:r>
      <w:r w:rsidR="0075701A" w:rsidRPr="00910EA1">
        <w:rPr>
          <w:rFonts w:ascii="Times New Roman" w:hAnsi="Times New Roman" w:cs="Times New Roman"/>
          <w:sz w:val="24"/>
          <w:szCs w:val="24"/>
        </w:rPr>
        <w:t xml:space="preserve"> is important to acknowledge that biochar and compost can be tailored to suit particular objectives. Therefore, the choice of feedstock and the preparation methods play a crucial role in determining how they interact with soil and influence CO</w:t>
      </w:r>
      <w:r w:rsidR="0075701A" w:rsidRPr="00910EA1">
        <w:rPr>
          <w:rFonts w:ascii="Times New Roman" w:hAnsi="Times New Roman" w:cs="Times New Roman"/>
          <w:sz w:val="24"/>
          <w:szCs w:val="24"/>
          <w:vertAlign w:val="subscript"/>
        </w:rPr>
        <w:t>2</w:t>
      </w:r>
      <w:r w:rsidR="0075701A" w:rsidRPr="00910EA1">
        <w:rPr>
          <w:rFonts w:ascii="Times New Roman" w:hAnsi="Times New Roman" w:cs="Times New Roman"/>
          <w:sz w:val="24"/>
          <w:szCs w:val="24"/>
        </w:rPr>
        <w:t xml:space="preserve"> emissions</w:t>
      </w:r>
      <w:r w:rsidR="00295BD0" w:rsidRPr="00910EA1">
        <w:rPr>
          <w:rFonts w:ascii="Times New Roman" w:hAnsi="Times New Roman" w:cs="Times New Roman"/>
          <w:sz w:val="24"/>
          <w:szCs w:val="24"/>
        </w:rPr>
        <w:t>.</w:t>
      </w:r>
    </w:p>
    <w:p w14:paraId="40C8FE1C" w14:textId="38EF68FB" w:rsidR="00DC662E" w:rsidRPr="00910EA1" w:rsidRDefault="00DC662E"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Composting can increase the content of soil organic matter, improve soil physiology and microbial characteristics, promote microbial fixation of nutrients, reduce nutrient loss, and reduce CH</w:t>
      </w:r>
      <w:r w:rsidRPr="00910EA1">
        <w:rPr>
          <w:rFonts w:ascii="Times New Roman" w:hAnsi="Times New Roman" w:cs="Times New Roman"/>
          <w:sz w:val="24"/>
          <w:szCs w:val="24"/>
          <w:vertAlign w:val="subscript"/>
        </w:rPr>
        <w:t xml:space="preserve">4 </w:t>
      </w:r>
      <w:r w:rsidRPr="00910EA1">
        <w:rPr>
          <w:rFonts w:ascii="Times New Roman" w:hAnsi="Times New Roman" w:cs="Times New Roman"/>
          <w:sz w:val="24"/>
          <w:szCs w:val="24"/>
        </w:rPr>
        <w:t>emissions</w:t>
      </w:r>
      <w:r w:rsidR="002372F6" w:rsidRPr="00910EA1">
        <w:rPr>
          <w:rFonts w:ascii="Times New Roman" w:hAnsi="Times New Roman" w:cs="Times New Roman"/>
          <w:color w:val="222222"/>
          <w:sz w:val="24"/>
          <w:szCs w:val="24"/>
          <w:shd w:val="clear" w:color="auto" w:fill="FFFFFF"/>
        </w:rPr>
        <w:t xml:space="preserve"> </w:t>
      </w:r>
      <w:r w:rsidR="002372F6" w:rsidRPr="00910EA1">
        <w:rPr>
          <w:rFonts w:ascii="Times New Roman" w:hAnsi="Times New Roman" w:cs="Times New Roman"/>
          <w:color w:val="222222"/>
          <w:sz w:val="24"/>
          <w:szCs w:val="24"/>
          <w:shd w:val="clear" w:color="auto" w:fill="FFFFFF"/>
        </w:rPr>
        <w:fldChar w:fldCharType="begin" w:fldLock="1"/>
      </w:r>
      <w:r w:rsidR="00396BB9" w:rsidRPr="00910EA1">
        <w:rPr>
          <w:rFonts w:ascii="Times New Roman" w:hAnsi="Times New Roman" w:cs="Times New Roman"/>
          <w:color w:val="222222"/>
          <w:sz w:val="24"/>
          <w:szCs w:val="24"/>
          <w:shd w:val="clear" w:color="auto" w:fill="FFFFFF"/>
        </w:rPr>
        <w:instrText>ADDIN CSL_CITATION {"citationItems":[{"id":"ITEM-1","itemData":{"DOI":"10.3390/su16156329","ISSN":"20711050","abstract":"With increases in global population and urbanization, the production of Municipal Solid Waste (MSW) is growing rapidly, thus contributing to social and environmental concerns for sustainable waste management. This study addresses the research gap in optimizing composting, hypothesizing that integrating best practices and recent innovations can enhance the efficiency of the process. Data were collected through a systematic review of existing literature using Google Scholar and Scopus databases. The review provides an overview of municipal organic waste composting, outlining its processes, benefits, and challenges with the aim of identifying key area of further improvement and possibilities of adopting recent technological innovations. The analysis emphasized that technological advances in composting, as microbial inoculants or in-vessel composting have greatly improved the efficiency and quality of the resulting compost. However, several challenges remain, including managing contaminants such as heavy metals and microplastics, ensuring the compost quality and safety and addressing socioeconomic barriers that prevent widespread adoption. Moreover, process optimization, environmental and economic evaluation, as well as political and public involvement are essential to unlock the whole potential of composting systems.","author":[{"dropping-particle":"","family":"Manea","given":"Elena Elisabeta","non-dropping-particle":"","parse-names":false,"suffix":""},{"dropping-particle":"","family":"Bumbac","given":"Costel","non-dropping-particle":"","parse-names":false,"suffix":""},{"dropping-particle":"","family":"Dinu","given":"Laurentiu Razvan","non-dropping-particle":"","parse-names":false,"suffix":""},{"dropping-particle":"","family":"Bumbac","given":"Marius","non-dropping-particle":"","parse-names":false,"suffix":""},{"dropping-particle":"","family":"Nicolescu","given":"Cristina Mihaela","non-dropping-particle":"","parse-names":false,"suffix":""}],"container-title":"Sustainability (Switzerland)","id":"ITEM-1","issue":"15","issued":{"date-parts":[["2024"]]},"page":"1-25","title":"Composting as a Sustainable Solution for Organic Solid Waste Management: Current Practices and Potential Improvements","type":"article-journal","volume":"16"},"uris":["http://www.mendeley.com/documents/?uuid=08f19880-8be1-45e0-9f12-402a624f927c"]}],"mendeley":{"formattedCitation":"(Manea et al., 2024)","plainTextFormattedCitation":"(Manea et al., 2024)","previouslyFormattedCitation":"(Manea et al., 2024)"},"properties":{"noteIndex":0},"schema":"https://github.com/citation-style-language/schema/raw/master/csl-citation.json"}</w:instrText>
      </w:r>
      <w:r w:rsidR="002372F6" w:rsidRPr="00910EA1">
        <w:rPr>
          <w:rFonts w:ascii="Times New Roman" w:hAnsi="Times New Roman" w:cs="Times New Roman"/>
          <w:color w:val="222222"/>
          <w:sz w:val="24"/>
          <w:szCs w:val="24"/>
          <w:shd w:val="clear" w:color="auto" w:fill="FFFFFF"/>
        </w:rPr>
        <w:fldChar w:fldCharType="separate"/>
      </w:r>
      <w:r w:rsidR="002372F6" w:rsidRPr="00910EA1">
        <w:rPr>
          <w:rFonts w:ascii="Times New Roman" w:hAnsi="Times New Roman" w:cs="Times New Roman"/>
          <w:noProof/>
          <w:color w:val="222222"/>
          <w:sz w:val="24"/>
          <w:szCs w:val="24"/>
          <w:shd w:val="clear" w:color="auto" w:fill="FFFFFF"/>
        </w:rPr>
        <w:t>(Manea et al., 2024)</w:t>
      </w:r>
      <w:r w:rsidR="002372F6" w:rsidRPr="00910EA1">
        <w:rPr>
          <w:rFonts w:ascii="Times New Roman" w:hAnsi="Times New Roman" w:cs="Times New Roman"/>
          <w:color w:val="222222"/>
          <w:sz w:val="24"/>
          <w:szCs w:val="24"/>
          <w:shd w:val="clear" w:color="auto" w:fill="FFFFFF"/>
        </w:rPr>
        <w:fldChar w:fldCharType="end"/>
      </w:r>
      <w:r w:rsidRPr="00910EA1">
        <w:rPr>
          <w:rFonts w:ascii="Times New Roman" w:hAnsi="Times New Roman" w:cs="Times New Roman"/>
          <w:sz w:val="24"/>
          <w:szCs w:val="24"/>
        </w:rPr>
        <w:t>. However, at the same time, it can lead to an increase in N</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O emissions, and promote the recycling of natural resources</w:t>
      </w:r>
      <w:r w:rsidR="00396BB9" w:rsidRPr="00910EA1">
        <w:rPr>
          <w:rFonts w:ascii="Times New Roman" w:hAnsi="Times New Roman" w:cs="Times New Roman"/>
          <w:sz w:val="24"/>
          <w:szCs w:val="24"/>
        </w:rPr>
        <w:t xml:space="preserve"> </w:t>
      </w:r>
      <w:r w:rsidR="00396BB9" w:rsidRPr="00910EA1">
        <w:rPr>
          <w:rFonts w:ascii="Times New Roman" w:hAnsi="Times New Roman" w:cs="Times New Roman"/>
          <w:sz w:val="24"/>
          <w:szCs w:val="24"/>
        </w:rPr>
        <w:fldChar w:fldCharType="begin" w:fldLock="1"/>
      </w:r>
      <w:r w:rsidR="00CF456D" w:rsidRPr="00910EA1">
        <w:rPr>
          <w:rFonts w:ascii="Times New Roman" w:hAnsi="Times New Roman" w:cs="Times New Roman"/>
          <w:sz w:val="24"/>
          <w:szCs w:val="24"/>
        </w:rPr>
        <w:instrText>ADDIN CSL_CITATION {"citationItems":[{"id":"ITEM-1","itemData":{"DOI":"10.1016/j.scitotenv.2024.173359","ISSN":"18791026","PMID":"38768722","abstract":"An in-depth analysis of the role of greenhouse gases (GHGs) in climate change is examined here along with their diverse sources, including the combustion of fossil fuels, agriculture, and industrial processes. Key GHG components such as carbon dioxide (CO2), methane (CH4), and nitrous oxide (N2O) are considered, along with data on emissions across various economic sectors. The consequences of climate change are also highlighted, ranging from more frequent and intense extreme weather events to rising sea levels and impacts on ecosystems and human health. The industrial revolution and unrestricted use of fossil fuels are key factors leading to an increase in GHG concentrations in the atmosphere. Global efforts to reduce emissions are considered, starting with the 1997 Kyoto Protocol and culminating in the 2015 Paris Agreement. The limited effectiveness of early initiatives is underscored, emphasizing the significant importance of the Paris Agreement that provides a global framework for establishing goals to reduce GHG emissions by country. The Green Climate Fund and other international financial mechanisms are also considered as essential tools for financing sustainable projects in developing countries. The global community faces the challenge and necessity for more ambitious efforts to achieve the set goals for reducing GHG emissions. Successful strategies are examined by Sweden, Costa Rica, and Denmark to achieve zero GHG emissions that integrate renewable energy sources and technologies. The importance of global cooperation for creating a sustainable future is also emphasized.","author":[{"dropping-particle":"","family":"Filonchyk","given":"Mikalai","non-dropping-particle":"","parse-names":false,"suffix":""},{"dropping-particle":"","family":"Peterson","given":"Michael P.","non-dropping-particle":"","parse-names":false,"suffix":""},{"dropping-particle":"","family":"Zhang","given":"Lifeng","non-dropping-particle":"","parse-names":false,"suffix":""},{"dropping-particle":"","family":"Hurynovich","given":"Volha","non-dropping-particle":"","parse-names":false,"suffix":""},{"dropping-particle":"","family":"He","given":"Yi","non-dropping-particle":"","parse-names":false,"suffix":""}],"container-title":"Science of the Total Environment","id":"ITEM-1","issue":"January","issued":{"date-parts":[["2024"]]},"title":"Greenhouse gases emissions and global climate change: Examining the influence of CO2, CH4, and N2O","type":"article-journal","volume":"935"},"uris":["http://www.mendeley.com/documents/?uuid=6ec3f9de-8de8-431b-b760-6921a91bfd78"]}],"mendeley":{"formattedCitation":"(Filonchyk et al., 2024)","plainTextFormattedCitation":"(Filonchyk et al., 2024)","previouslyFormattedCitation":"(Filonchyk et al., 2024)"},"properties":{"noteIndex":0},"schema":"https://github.com/citation-style-language/schema/raw/master/csl-citation.json"}</w:instrText>
      </w:r>
      <w:r w:rsidR="00396BB9" w:rsidRPr="00910EA1">
        <w:rPr>
          <w:rFonts w:ascii="Times New Roman" w:hAnsi="Times New Roman" w:cs="Times New Roman"/>
          <w:sz w:val="24"/>
          <w:szCs w:val="24"/>
        </w:rPr>
        <w:fldChar w:fldCharType="separate"/>
      </w:r>
      <w:r w:rsidR="00396BB9" w:rsidRPr="00910EA1">
        <w:rPr>
          <w:rFonts w:ascii="Times New Roman" w:hAnsi="Times New Roman" w:cs="Times New Roman"/>
          <w:noProof/>
          <w:sz w:val="24"/>
          <w:szCs w:val="24"/>
        </w:rPr>
        <w:t>(Filonchyk et al., 2024)</w:t>
      </w:r>
      <w:r w:rsidR="00396BB9" w:rsidRPr="00910EA1">
        <w:rPr>
          <w:rFonts w:ascii="Times New Roman" w:hAnsi="Times New Roman" w:cs="Times New Roman"/>
          <w:sz w:val="24"/>
          <w:szCs w:val="24"/>
        </w:rPr>
        <w:fldChar w:fldCharType="end"/>
      </w:r>
      <w:r w:rsidRPr="00910EA1">
        <w:rPr>
          <w:rFonts w:ascii="Times New Roman" w:hAnsi="Times New Roman" w:cs="Times New Roman"/>
          <w:sz w:val="24"/>
          <w:szCs w:val="24"/>
        </w:rPr>
        <w:t>. Therefore, transformation from inorganic agriculture to ecological and green agriculture is necessary</w:t>
      </w:r>
      <w:r w:rsidR="00CA5FF9" w:rsidRPr="00910EA1">
        <w:rPr>
          <w:rFonts w:ascii="Times New Roman" w:hAnsi="Times New Roman" w:cs="Times New Roman"/>
          <w:sz w:val="24"/>
          <w:szCs w:val="24"/>
        </w:rPr>
        <w:t xml:space="preserve"> </w:t>
      </w:r>
      <w:r w:rsidR="00CF456D" w:rsidRPr="00910EA1">
        <w:rPr>
          <w:rFonts w:ascii="Times New Roman" w:hAnsi="Times New Roman" w:cs="Times New Roman"/>
          <w:sz w:val="24"/>
          <w:szCs w:val="24"/>
        </w:rPr>
        <w:fldChar w:fldCharType="begin" w:fldLock="1"/>
      </w:r>
      <w:r w:rsidR="00FD329A" w:rsidRPr="00910EA1">
        <w:rPr>
          <w:rFonts w:ascii="Times New Roman" w:hAnsi="Times New Roman" w:cs="Times New Roman"/>
          <w:sz w:val="24"/>
          <w:szCs w:val="24"/>
        </w:rPr>
        <w:instrText>ADDIN CSL_CITATION {"citationItems":[{"id":"ITEM-1","itemData":{"DOI":"10.1016/j.agee.2023.108762","ISSN":"01678809","abstract":"Green manure is a widely applied to increase grain yield, while it also attributes to greenhouse gas (GHG) emissions in agriculture ecosystems. Combining green manure with inorganic fertilizer inputs is a common practice that can influence soil GHG emissions and grain yield, however, its impacts on grain yield and global warming potential (GWP) under different initial soil conditions before rotating experiments and agronomic management in paddy fields remain unclear. We synthesized 508 data pairs to evaluate the responses of CO2 emissions, CH4 emissions, N2O emissions, and grain yield to combined inputs of green manure plus inorganic fertilizer compared with only inorganic fertilizer application. Our findings indicate that both inorganic fertilizer plus extra green manure (GM-E) and green manure substitutes for inorganic fertilizer (GM-S) could increase CO2 emissions (22.5 %−76.8 %), CH4 emissions (100 %−103 %), N2O emissions (29.8 %−50.9 %), and yield (2.21 %−19.6 %). Except for GM-E, which showed a non-significant increase in grain yield. The initial soil properties before rotating experiments, the types and timing of green manure application were key drivers of GHG emissions and yield, and extra green manure applied in areas with low initial soil pH and high C:N can increase GWP and yield. Overall, the mixed green manure application had greater impact than leguminous or non-leguminous green manure applied alone. The responses of GHG emissions and yield to GM-S were modulated by mean annual precipitation and initial soil properties before rotating experiments, and green manure substitutes for inorganic fertilizer in areas with high initial soil pH and low C:N can increase GWP and yield. Meanwhile, excessive precipitation caused a reduction in yield and a significant increase in GWP intensity. Our results showed that extra green manure applications of less than 68.1 kg N ha−1 would not significantly increase GWP. Therefore, an effective green manure strategy can achieve a win-win situation for the dual challenge of agricultural production and climate change mitigation.","author":[{"dropping-particle":"","family":"Lou","given":"Ruitao","non-dropping-particle":"","parse-names":false,"suffix":""},{"dropping-particle":"","family":"Li","given":"Yong","non-dropping-particle":"","parse-names":false,"suffix":""},{"dropping-particle":"","family":"Liu","given":"Ying","non-dropping-particle":"","parse-names":false,"suffix":""},{"dropping-particle":"","family":"Jiang","given":"Qianjing","non-dropping-particle":"","parse-names":false,"suffix":""},{"dropping-particle":"","family":"Wu","given":"Qingguan","non-dropping-particle":"","parse-names":false,"suffix":""},{"dropping-particle":"","family":"He","given":"Yong","non-dropping-particle":"","parse-names":false,"suffix":""},{"dropping-particle":"","family":"Liu","given":"Ji","non-dropping-particle":"","parse-names":false,"suffix":""}],"container-title":"Agriculture, Ecosystems and Environment","id":"ITEM-1","issue":"September 2023","issued":{"date-parts":[["2024"]]},"page":"108762","publisher":"Elsevier B.V.","title":"Is green manure a viable substitute for inorganic fertilizer to improve grain yields and advance carbon neutrality in paddy agriculture?","type":"article-journal","volume":"359"},"uris":["http://www.mendeley.com/documents/?uuid=e41dd493-af96-4db5-8c94-32faaee3f0a3"]}],"mendeley":{"formattedCitation":"(Lou et al., 2024)","plainTextFormattedCitation":"(Lou et al., 2024)","previouslyFormattedCitation":"(Lou et al., 2024)"},"properties":{"noteIndex":0},"schema":"https://github.com/citation-style-language/schema/raw/master/csl-citation.json"}</w:instrText>
      </w:r>
      <w:r w:rsidR="00CF456D" w:rsidRPr="00910EA1">
        <w:rPr>
          <w:rFonts w:ascii="Times New Roman" w:hAnsi="Times New Roman" w:cs="Times New Roman"/>
          <w:sz w:val="24"/>
          <w:szCs w:val="24"/>
        </w:rPr>
        <w:fldChar w:fldCharType="separate"/>
      </w:r>
      <w:r w:rsidR="00CF456D" w:rsidRPr="00910EA1">
        <w:rPr>
          <w:rFonts w:ascii="Times New Roman" w:hAnsi="Times New Roman" w:cs="Times New Roman"/>
          <w:noProof/>
          <w:sz w:val="24"/>
          <w:szCs w:val="24"/>
        </w:rPr>
        <w:t>(Lou et al., 2024)</w:t>
      </w:r>
      <w:r w:rsidR="00CF456D" w:rsidRPr="00910EA1">
        <w:rPr>
          <w:rFonts w:ascii="Times New Roman" w:hAnsi="Times New Roman" w:cs="Times New Roman"/>
          <w:sz w:val="24"/>
          <w:szCs w:val="24"/>
        </w:rPr>
        <w:fldChar w:fldCharType="end"/>
      </w:r>
      <w:r w:rsidRPr="00910EA1">
        <w:rPr>
          <w:rFonts w:ascii="Times New Roman" w:hAnsi="Times New Roman" w:cs="Times New Roman"/>
          <w:sz w:val="24"/>
          <w:szCs w:val="24"/>
        </w:rPr>
        <w:t>. Use of compost can promote resource utilization of agricultural waste, reduce the use of chemical fertilizers, and improve crop yield and quality, indicating that it has a high practical application value</w:t>
      </w:r>
      <w:r w:rsidR="00753F5E" w:rsidRPr="00910EA1">
        <w:rPr>
          <w:rFonts w:ascii="Times New Roman" w:hAnsi="Times New Roman" w:cs="Times New Roman"/>
          <w:sz w:val="24"/>
          <w:szCs w:val="24"/>
        </w:rPr>
        <w:t xml:space="preserve"> </w:t>
      </w:r>
      <w:r w:rsidR="00FD329A" w:rsidRPr="00910EA1">
        <w:rPr>
          <w:rFonts w:ascii="Times New Roman" w:hAnsi="Times New Roman" w:cs="Times New Roman"/>
          <w:sz w:val="24"/>
          <w:szCs w:val="24"/>
        </w:rPr>
        <w:fldChar w:fldCharType="begin" w:fldLock="1"/>
      </w:r>
      <w:r w:rsidR="00C45256" w:rsidRPr="00910EA1">
        <w:rPr>
          <w:rFonts w:ascii="Times New Roman" w:hAnsi="Times New Roman" w:cs="Times New Roman"/>
          <w:sz w:val="24"/>
          <w:szCs w:val="24"/>
        </w:rPr>
        <w:instrText>ADDIN CSL_CITATION {"citationItems":[{"id":"ITEM-1","itemData":{"DOI":"10.1007/s13399-021-01438-5","ISSN":"21906823","abstract":"Due to the high demand for food and meat for the world's growing population, the agricultural sector is expanding every year. Timely and effective treatment is of utmost importance to utilize organic matter in agricultural waste and avoid environmental pollution. Composting or aerobic fermentation is an effective way to treat agricultural waste and produce organic fertilizer. Improving the application rate of organic fertilizer in soil needs time to reduce dependence on chemical fertilizers. This review article presented the current status and traditional agricultural waste (livestock manure and crop straws) utilization methods, the art of aerobic fermentation process including ultrahigh temperature fermentation and composting. The selection of livestock manure and crop straws as agricultural waste for this review article is due to high nutrients contents and massive generation of them worldwide. This article also included the development of aerobic fermentation technology and listed the high-temperature fermentation tanks. Based on high-temperature aerobic fermentation process performance and quality compost production, recently, some researchers have started working on hyperthermophile pretreatment-assisted high temperature composting, also discussed. Finally, this article gave brief knowledge about compost maturity, which is very important to measure before its application as an organic fertilizer. This art of literature could provide comprehensive knowledge about agricultural waste utilization and high-temperature composting to researchers.","author":[{"dropping-particle":"","family":"Mengqi","given":"Zhang","non-dropping-particle":"","parse-names":false,"suffix":""},{"dropping-particle":"","family":"Shi","given":"Aiping","non-dropping-particle":"","parse-names":false,"suffix":""},{"dropping-particle":"","family":"Ajmal","given":"Muhammad","non-dropping-particle":"","parse-names":false,"suffix":""},{"dropping-particle":"","family":"Ye","given":"Lihua","non-dropping-particle":"","parse-names":false,"suffix":""},{"dropping-particle":"","family":"Awais","given":"Muhammad","non-dropping-particle":"","parse-names":false,"suffix":""}],"container-title":"Biomass Conversion and Biorefinery","id":"ITEM-1","issue":"7","issued":{"date-parts":[["2023"]]},"page":"5445-5468","publisher":"Biomass Conversion and Biorefinery","title":"Comprehensive review on agricultural waste utilization and high-temperature fermentation and composting","type":"article-journal","volume":"13"},"uris":["http://www.mendeley.com/documents/?uuid=7f3e0b58-ec17-492d-9417-79e388c760ec"]}],"mendeley":{"formattedCitation":"(Mengqi et al., 2023)","plainTextFormattedCitation":"(Mengqi et al., 2023)","previouslyFormattedCitation":"(Mengqi et al., 2023)"},"properties":{"noteIndex":0},"schema":"https://github.com/citation-style-language/schema/raw/master/csl-citation.json"}</w:instrText>
      </w:r>
      <w:r w:rsidR="00FD329A" w:rsidRPr="00910EA1">
        <w:rPr>
          <w:rFonts w:ascii="Times New Roman" w:hAnsi="Times New Roman" w:cs="Times New Roman"/>
          <w:sz w:val="24"/>
          <w:szCs w:val="24"/>
        </w:rPr>
        <w:fldChar w:fldCharType="separate"/>
      </w:r>
      <w:r w:rsidR="00FD329A" w:rsidRPr="00910EA1">
        <w:rPr>
          <w:rFonts w:ascii="Times New Roman" w:hAnsi="Times New Roman" w:cs="Times New Roman"/>
          <w:noProof/>
          <w:sz w:val="24"/>
          <w:szCs w:val="24"/>
        </w:rPr>
        <w:t>(Mengqi et al., 2023)</w:t>
      </w:r>
      <w:r w:rsidR="00FD329A" w:rsidRPr="00910EA1">
        <w:rPr>
          <w:rFonts w:ascii="Times New Roman" w:hAnsi="Times New Roman" w:cs="Times New Roman"/>
          <w:sz w:val="24"/>
          <w:szCs w:val="24"/>
        </w:rPr>
        <w:fldChar w:fldCharType="end"/>
      </w:r>
      <w:r w:rsidRPr="00910EA1">
        <w:rPr>
          <w:rFonts w:ascii="Times New Roman" w:hAnsi="Times New Roman" w:cs="Times New Roman"/>
          <w:sz w:val="24"/>
          <w:szCs w:val="24"/>
        </w:rPr>
        <w:t>.</w:t>
      </w:r>
    </w:p>
    <w:p w14:paraId="342DEBE0" w14:textId="15C60BC3" w:rsidR="00AD0AE3" w:rsidRPr="00910EA1" w:rsidRDefault="00CE6FAC"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t>From this study,</w:t>
      </w:r>
      <w:r w:rsidR="00DC662E" w:rsidRPr="00910EA1">
        <w:rPr>
          <w:rFonts w:ascii="Times New Roman" w:hAnsi="Times New Roman" w:cs="Times New Roman"/>
          <w:sz w:val="24"/>
          <w:szCs w:val="24"/>
        </w:rPr>
        <w:t xml:space="preserve"> the </w:t>
      </w:r>
      <w:r w:rsidR="00AD0AE3" w:rsidRPr="00910EA1">
        <w:rPr>
          <w:rFonts w:ascii="Times New Roman" w:hAnsi="Times New Roman" w:cs="Times New Roman"/>
          <w:sz w:val="24"/>
          <w:szCs w:val="24"/>
        </w:rPr>
        <w:t>results indicate that when pure compost is added to incubated soil, there is an initial rise in CO</w:t>
      </w:r>
      <w:r w:rsidR="00AD0AE3" w:rsidRPr="00910EA1">
        <w:rPr>
          <w:rFonts w:ascii="Times New Roman" w:hAnsi="Times New Roman" w:cs="Times New Roman"/>
          <w:sz w:val="24"/>
          <w:szCs w:val="24"/>
          <w:vertAlign w:val="subscript"/>
        </w:rPr>
        <w:t>2</w:t>
      </w:r>
      <w:r w:rsidR="00AD0AE3" w:rsidRPr="00910EA1">
        <w:rPr>
          <w:rFonts w:ascii="Times New Roman" w:hAnsi="Times New Roman" w:cs="Times New Roman"/>
          <w:sz w:val="24"/>
          <w:szCs w:val="24"/>
        </w:rPr>
        <w:t xml:space="preserve"> emissions within the first 6 hours. This is to be expected, as compost provides organic matter that encourages microbial activity, resulting in the release of carbon dioxide. However, over time, the emissions decrease, suggesting that the pure compost may have contributed to improved soil structure and microbial community, which can help to maintain carbon sequestration and reduce emissions. This suggests that pure compost may be a viable option for soil management practices, as it may provide a balance between short-term emissions increases and potentially long-term benefits to soil health and sequestration of carbon.</w:t>
      </w:r>
    </w:p>
    <w:p w14:paraId="504EA6FF" w14:textId="2562D18B" w:rsidR="004B28A9" w:rsidRPr="00910EA1" w:rsidRDefault="00D032AE" w:rsidP="00910EA1">
      <w:pPr>
        <w:spacing w:after="0" w:line="276" w:lineRule="auto"/>
        <w:ind w:firstLine="720"/>
        <w:jc w:val="both"/>
        <w:rPr>
          <w:rFonts w:ascii="Times New Roman" w:hAnsi="Times New Roman" w:cs="Times New Roman"/>
          <w:b/>
          <w:bCs/>
          <w:sz w:val="24"/>
          <w:szCs w:val="24"/>
        </w:rPr>
      </w:pPr>
      <w:r w:rsidRPr="00910EA1">
        <w:rPr>
          <w:rFonts w:ascii="Times New Roman" w:hAnsi="Times New Roman" w:cs="Times New Roman"/>
          <w:sz w:val="24"/>
          <w:szCs w:val="24"/>
        </w:rPr>
        <w:t>The addition of inorganic amendments (NPK) resulted in a slight reduction in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emissions compared to the </w:t>
      </w:r>
      <w:r w:rsidR="008F61C5" w:rsidRPr="00910EA1">
        <w:rPr>
          <w:rFonts w:ascii="Times New Roman" w:hAnsi="Times New Roman" w:cs="Times New Roman"/>
          <w:sz w:val="24"/>
          <w:szCs w:val="24"/>
        </w:rPr>
        <w:t>control, in the long run</w:t>
      </w:r>
      <w:r w:rsidRPr="00910EA1">
        <w:rPr>
          <w:rFonts w:ascii="Times New Roman" w:hAnsi="Times New Roman" w:cs="Times New Roman"/>
          <w:sz w:val="24"/>
          <w:szCs w:val="24"/>
        </w:rPr>
        <w:t>. Th</w:t>
      </w:r>
      <w:r w:rsidR="008F61C5" w:rsidRPr="00910EA1">
        <w:rPr>
          <w:rFonts w:ascii="Times New Roman" w:hAnsi="Times New Roman" w:cs="Times New Roman"/>
          <w:sz w:val="24"/>
          <w:szCs w:val="24"/>
        </w:rPr>
        <w:t>e</w:t>
      </w:r>
      <w:r w:rsidRPr="00910EA1">
        <w:rPr>
          <w:rFonts w:ascii="Times New Roman" w:hAnsi="Times New Roman" w:cs="Times New Roman"/>
          <w:sz w:val="24"/>
          <w:szCs w:val="24"/>
        </w:rPr>
        <w:t xml:space="preserve"> initial rise can be explained by the presence of nitrogen-containing inorganic fertilizers in the soil. These nitrogen-containing fertilizers provide readily accessible nutrients to soil microbes, which in turn stimulate microbial activity. This microbial activity accelerates the rate at which organic matter decomposes in the soil. As a result of this microbial activity, CO</w:t>
      </w:r>
      <w:r w:rsidRPr="00910EA1">
        <w:rPr>
          <w:rFonts w:ascii="Times New Roman" w:hAnsi="Times New Roman" w:cs="Times New Roman"/>
          <w:sz w:val="24"/>
          <w:szCs w:val="24"/>
          <w:vertAlign w:val="subscript"/>
        </w:rPr>
        <w:t>2</w:t>
      </w:r>
      <w:r w:rsidRPr="00910EA1">
        <w:rPr>
          <w:rFonts w:ascii="Times New Roman" w:hAnsi="Times New Roman" w:cs="Times New Roman"/>
          <w:sz w:val="24"/>
          <w:szCs w:val="24"/>
        </w:rPr>
        <w:t xml:space="preserve"> is produced as a by-product. As a result, there is an initial increase in emissions. Inorganic amendments such as NPK are mainly responsible for the provision of essential nutrients to plants, such as nitrogen, phosphorus, and potassium. However, their effects are not limited to plant nutrition alone. The added nutrients stimulate an increase in microbial activity, especially among nitrogen fixation and nitrification bacteria. As nitrogen is a fundamental component of amino acid and protein synthesis, it is essential for microbial development. Consequently, the rapid microbial degradation of organic matter may result in an increase in CO</w:t>
      </w:r>
      <w:r w:rsidRPr="00910EA1">
        <w:rPr>
          <w:rFonts w:ascii="Times New Roman" w:hAnsi="Times New Roman" w:cs="Times New Roman"/>
          <w:sz w:val="24"/>
          <w:szCs w:val="24"/>
          <w:vertAlign w:val="subscript"/>
        </w:rPr>
        <w:t xml:space="preserve">2 </w:t>
      </w:r>
      <w:r w:rsidRPr="00910EA1">
        <w:rPr>
          <w:rFonts w:ascii="Times New Roman" w:hAnsi="Times New Roman" w:cs="Times New Roman"/>
          <w:sz w:val="24"/>
          <w:szCs w:val="24"/>
        </w:rPr>
        <w:t>emissions.</w:t>
      </w:r>
    </w:p>
    <w:p w14:paraId="43A9F33D" w14:textId="4D47F70F" w:rsidR="00574000" w:rsidRDefault="00574000" w:rsidP="00910EA1">
      <w:pPr>
        <w:spacing w:after="0" w:line="276" w:lineRule="auto"/>
        <w:ind w:firstLine="720"/>
        <w:jc w:val="both"/>
        <w:rPr>
          <w:rFonts w:ascii="Times New Roman" w:hAnsi="Times New Roman" w:cs="Times New Roman"/>
          <w:b/>
          <w:bCs/>
          <w:sz w:val="24"/>
          <w:szCs w:val="24"/>
        </w:rPr>
      </w:pPr>
    </w:p>
    <w:p w14:paraId="2341A50D" w14:textId="67902631" w:rsidR="00910EA1" w:rsidRDefault="00910EA1" w:rsidP="00910EA1">
      <w:pPr>
        <w:spacing w:after="0" w:line="276" w:lineRule="auto"/>
        <w:ind w:firstLine="720"/>
        <w:jc w:val="both"/>
        <w:rPr>
          <w:rFonts w:ascii="Times New Roman" w:hAnsi="Times New Roman" w:cs="Times New Roman"/>
          <w:b/>
          <w:bCs/>
          <w:sz w:val="24"/>
          <w:szCs w:val="24"/>
        </w:rPr>
      </w:pPr>
    </w:p>
    <w:p w14:paraId="20161093" w14:textId="77777777" w:rsidR="00910EA1" w:rsidRPr="00910EA1" w:rsidRDefault="00910EA1" w:rsidP="00910EA1">
      <w:pPr>
        <w:spacing w:after="0" w:line="276" w:lineRule="auto"/>
        <w:ind w:firstLine="720"/>
        <w:jc w:val="both"/>
        <w:rPr>
          <w:rFonts w:ascii="Times New Roman" w:hAnsi="Times New Roman" w:cs="Times New Roman"/>
          <w:b/>
          <w:bCs/>
          <w:sz w:val="24"/>
          <w:szCs w:val="24"/>
        </w:rPr>
      </w:pPr>
    </w:p>
    <w:p w14:paraId="5ACB60B4" w14:textId="352EEB90" w:rsidR="00D032AE" w:rsidRPr="00910EA1" w:rsidRDefault="00B3233E" w:rsidP="00910EA1">
      <w:pPr>
        <w:tabs>
          <w:tab w:val="left" w:pos="231"/>
        </w:tabs>
        <w:spacing w:after="0" w:line="276" w:lineRule="auto"/>
        <w:jc w:val="both"/>
        <w:rPr>
          <w:rFonts w:ascii="Times New Roman" w:hAnsi="Times New Roman" w:cs="Times New Roman"/>
          <w:b/>
          <w:bCs/>
          <w:sz w:val="24"/>
          <w:szCs w:val="24"/>
        </w:rPr>
      </w:pPr>
      <w:bookmarkStart w:id="18" w:name="_Toc147751459"/>
      <w:r w:rsidRPr="00910EA1">
        <w:rPr>
          <w:rFonts w:ascii="Times New Roman" w:hAnsi="Times New Roman" w:cs="Times New Roman"/>
          <w:b/>
          <w:bCs/>
          <w:sz w:val="24"/>
          <w:szCs w:val="24"/>
        </w:rPr>
        <w:t>Conclusion</w:t>
      </w:r>
      <w:bookmarkEnd w:id="18"/>
    </w:p>
    <w:p w14:paraId="301577F6" w14:textId="7D89E7A0" w:rsidR="001B2216" w:rsidRPr="00DE65F6" w:rsidRDefault="001B2216" w:rsidP="00910EA1">
      <w:pPr>
        <w:spacing w:after="0" w:line="276" w:lineRule="auto"/>
        <w:ind w:firstLine="720"/>
        <w:jc w:val="both"/>
        <w:rPr>
          <w:rFonts w:ascii="Times New Roman" w:hAnsi="Times New Roman" w:cs="Times New Roman"/>
          <w:sz w:val="24"/>
          <w:szCs w:val="24"/>
        </w:rPr>
      </w:pPr>
      <w:r w:rsidRPr="00910EA1">
        <w:rPr>
          <w:rFonts w:ascii="Times New Roman" w:hAnsi="Times New Roman" w:cs="Times New Roman"/>
          <w:sz w:val="24"/>
          <w:szCs w:val="24"/>
        </w:rPr>
        <w:lastRenderedPageBreak/>
        <w:t>This study highlights that while pure compost initially boosts CO₂ emissions due to heightened microbial activity, this effect declines over time, supporting its role in improving soil health and enabling long-term carbon sequestration. Combining compost with biochar especially at 10% significantly reduces CO₂ emissions after the initial phase, demonstrating biochar’s potential to stabilize carbon and mitigate climate change. Inorganic NPK fertilizers slightly lower early emissions compared to the control but may accelerate organic matter decomposition and emissions later. Therefore, a balanced soil management strategy integrating compost and 10% biochar is recommended to harness short-term microbial benefits and long-</w:t>
      </w:r>
      <w:r w:rsidRPr="001B2216">
        <w:rPr>
          <w:rFonts w:ascii="Times New Roman" w:hAnsi="Times New Roman" w:cs="Times New Roman"/>
          <w:sz w:val="24"/>
          <w:szCs w:val="24"/>
        </w:rPr>
        <w:t>term carbon storage, while inorganic fertilizer use should be carefully calibrated or supplemented with slow-release or organic alternatives to minimize CO₂ release.</w:t>
      </w:r>
    </w:p>
    <w:p w14:paraId="453C6184" w14:textId="77777777" w:rsidR="00D032AE" w:rsidRPr="00DE65F6" w:rsidRDefault="00D032AE" w:rsidP="00643DD0">
      <w:pPr>
        <w:spacing w:after="0" w:line="240" w:lineRule="auto"/>
        <w:ind w:firstLine="720"/>
        <w:jc w:val="both"/>
        <w:rPr>
          <w:rFonts w:ascii="Times New Roman" w:hAnsi="Times New Roman" w:cs="Times New Roman"/>
          <w:sz w:val="24"/>
          <w:szCs w:val="24"/>
        </w:rPr>
      </w:pPr>
    </w:p>
    <w:p w14:paraId="02EE2C5E" w14:textId="04CD546A" w:rsidR="00B3233E" w:rsidRDefault="00B3233E" w:rsidP="00643DD0">
      <w:pPr>
        <w:spacing w:line="240" w:lineRule="auto"/>
        <w:rPr>
          <w:rFonts w:ascii="Times New Roman" w:eastAsiaTheme="majorEastAsia" w:hAnsi="Times New Roman" w:cstheme="majorBidi"/>
          <w:b/>
          <w:bCs/>
          <w:sz w:val="24"/>
          <w:szCs w:val="26"/>
        </w:rPr>
      </w:pPr>
    </w:p>
    <w:p w14:paraId="542C0946" w14:textId="386CA70F" w:rsidR="00910EA1" w:rsidRDefault="00910EA1" w:rsidP="00643DD0">
      <w:pPr>
        <w:spacing w:line="240" w:lineRule="auto"/>
        <w:rPr>
          <w:rFonts w:ascii="Times New Roman" w:eastAsiaTheme="majorEastAsia" w:hAnsi="Times New Roman" w:cstheme="majorBidi"/>
          <w:b/>
          <w:bCs/>
          <w:sz w:val="24"/>
          <w:szCs w:val="26"/>
        </w:rPr>
      </w:pPr>
    </w:p>
    <w:p w14:paraId="3B51C21E" w14:textId="4178CB2A" w:rsidR="00910EA1" w:rsidRDefault="00910EA1" w:rsidP="00643DD0">
      <w:pPr>
        <w:spacing w:line="240" w:lineRule="auto"/>
        <w:rPr>
          <w:rFonts w:ascii="Times New Roman" w:eastAsiaTheme="majorEastAsia" w:hAnsi="Times New Roman" w:cstheme="majorBidi"/>
          <w:b/>
          <w:bCs/>
          <w:sz w:val="24"/>
          <w:szCs w:val="26"/>
        </w:rPr>
      </w:pPr>
    </w:p>
    <w:p w14:paraId="5216EF69" w14:textId="717186B4" w:rsidR="00910EA1" w:rsidRDefault="00910EA1" w:rsidP="00643DD0">
      <w:pPr>
        <w:spacing w:line="240" w:lineRule="auto"/>
        <w:rPr>
          <w:rFonts w:ascii="Times New Roman" w:eastAsiaTheme="majorEastAsia" w:hAnsi="Times New Roman" w:cstheme="majorBidi"/>
          <w:b/>
          <w:bCs/>
          <w:sz w:val="24"/>
          <w:szCs w:val="26"/>
        </w:rPr>
      </w:pPr>
    </w:p>
    <w:p w14:paraId="2B499ED4" w14:textId="56806DA0" w:rsidR="00910EA1" w:rsidRDefault="00910EA1" w:rsidP="00643DD0">
      <w:pPr>
        <w:spacing w:line="240" w:lineRule="auto"/>
        <w:rPr>
          <w:rFonts w:ascii="Times New Roman" w:eastAsiaTheme="majorEastAsia" w:hAnsi="Times New Roman" w:cstheme="majorBidi"/>
          <w:b/>
          <w:bCs/>
          <w:sz w:val="24"/>
          <w:szCs w:val="26"/>
        </w:rPr>
      </w:pPr>
    </w:p>
    <w:p w14:paraId="17FA7C07" w14:textId="6DB24D54" w:rsidR="00910EA1" w:rsidRDefault="00910EA1" w:rsidP="00643DD0">
      <w:pPr>
        <w:spacing w:line="240" w:lineRule="auto"/>
        <w:rPr>
          <w:rFonts w:ascii="Times New Roman" w:eastAsiaTheme="majorEastAsia" w:hAnsi="Times New Roman" w:cstheme="majorBidi"/>
          <w:b/>
          <w:bCs/>
          <w:sz w:val="24"/>
          <w:szCs w:val="26"/>
        </w:rPr>
      </w:pPr>
    </w:p>
    <w:p w14:paraId="6C4D7E42" w14:textId="7CBB7EAC" w:rsidR="00910EA1" w:rsidRDefault="00910EA1" w:rsidP="00643DD0">
      <w:pPr>
        <w:spacing w:line="240" w:lineRule="auto"/>
        <w:rPr>
          <w:rFonts w:ascii="Times New Roman" w:eastAsiaTheme="majorEastAsia" w:hAnsi="Times New Roman" w:cstheme="majorBidi"/>
          <w:b/>
          <w:bCs/>
          <w:sz w:val="24"/>
          <w:szCs w:val="26"/>
        </w:rPr>
      </w:pPr>
    </w:p>
    <w:p w14:paraId="3FF7911C" w14:textId="501FCAC8" w:rsidR="00910EA1" w:rsidRDefault="00910EA1" w:rsidP="00643DD0">
      <w:pPr>
        <w:spacing w:line="240" w:lineRule="auto"/>
        <w:rPr>
          <w:rFonts w:ascii="Times New Roman" w:eastAsiaTheme="majorEastAsia" w:hAnsi="Times New Roman" w:cstheme="majorBidi"/>
          <w:b/>
          <w:bCs/>
          <w:sz w:val="24"/>
          <w:szCs w:val="26"/>
        </w:rPr>
      </w:pPr>
    </w:p>
    <w:p w14:paraId="6EB33D8F" w14:textId="48724290" w:rsidR="00910EA1" w:rsidRDefault="00910EA1" w:rsidP="00643DD0">
      <w:pPr>
        <w:spacing w:line="240" w:lineRule="auto"/>
        <w:rPr>
          <w:rFonts w:ascii="Times New Roman" w:eastAsiaTheme="majorEastAsia" w:hAnsi="Times New Roman" w:cstheme="majorBidi"/>
          <w:b/>
          <w:bCs/>
          <w:sz w:val="24"/>
          <w:szCs w:val="26"/>
        </w:rPr>
      </w:pPr>
    </w:p>
    <w:p w14:paraId="627058CA" w14:textId="1BC682CC" w:rsidR="00910EA1" w:rsidRDefault="00910EA1" w:rsidP="00643DD0">
      <w:pPr>
        <w:spacing w:line="240" w:lineRule="auto"/>
        <w:rPr>
          <w:rFonts w:ascii="Times New Roman" w:eastAsiaTheme="majorEastAsia" w:hAnsi="Times New Roman" w:cstheme="majorBidi"/>
          <w:b/>
          <w:bCs/>
          <w:sz w:val="24"/>
          <w:szCs w:val="26"/>
        </w:rPr>
      </w:pPr>
    </w:p>
    <w:p w14:paraId="299490E5" w14:textId="543F485E" w:rsidR="00910EA1" w:rsidRDefault="00910EA1" w:rsidP="00643DD0">
      <w:pPr>
        <w:spacing w:line="240" w:lineRule="auto"/>
        <w:rPr>
          <w:rFonts w:ascii="Times New Roman" w:eastAsiaTheme="majorEastAsia" w:hAnsi="Times New Roman" w:cstheme="majorBidi"/>
          <w:b/>
          <w:bCs/>
          <w:sz w:val="24"/>
          <w:szCs w:val="26"/>
        </w:rPr>
      </w:pPr>
    </w:p>
    <w:p w14:paraId="1AC82866" w14:textId="22A2F7F3" w:rsidR="00910EA1" w:rsidRDefault="00910EA1" w:rsidP="00643DD0">
      <w:pPr>
        <w:spacing w:line="240" w:lineRule="auto"/>
        <w:rPr>
          <w:rFonts w:ascii="Times New Roman" w:eastAsiaTheme="majorEastAsia" w:hAnsi="Times New Roman" w:cstheme="majorBidi"/>
          <w:b/>
          <w:bCs/>
          <w:sz w:val="24"/>
          <w:szCs w:val="26"/>
        </w:rPr>
      </w:pPr>
    </w:p>
    <w:p w14:paraId="610EED0F" w14:textId="05AA2653" w:rsidR="00910EA1" w:rsidRDefault="00910EA1" w:rsidP="00643DD0">
      <w:pPr>
        <w:spacing w:line="240" w:lineRule="auto"/>
        <w:rPr>
          <w:rFonts w:ascii="Times New Roman" w:eastAsiaTheme="majorEastAsia" w:hAnsi="Times New Roman" w:cstheme="majorBidi"/>
          <w:b/>
          <w:bCs/>
          <w:sz w:val="24"/>
          <w:szCs w:val="26"/>
        </w:rPr>
      </w:pPr>
    </w:p>
    <w:p w14:paraId="6B8CE842" w14:textId="24267246" w:rsidR="00910EA1" w:rsidRDefault="00910EA1" w:rsidP="00643DD0">
      <w:pPr>
        <w:spacing w:line="240" w:lineRule="auto"/>
        <w:rPr>
          <w:rFonts w:ascii="Times New Roman" w:eastAsiaTheme="majorEastAsia" w:hAnsi="Times New Roman" w:cstheme="majorBidi"/>
          <w:b/>
          <w:bCs/>
          <w:sz w:val="24"/>
          <w:szCs w:val="26"/>
        </w:rPr>
      </w:pPr>
    </w:p>
    <w:p w14:paraId="71FA9AE7" w14:textId="665541DF" w:rsidR="00910EA1" w:rsidRDefault="00910EA1" w:rsidP="00643DD0">
      <w:pPr>
        <w:spacing w:line="240" w:lineRule="auto"/>
        <w:rPr>
          <w:rFonts w:ascii="Times New Roman" w:eastAsiaTheme="majorEastAsia" w:hAnsi="Times New Roman" w:cstheme="majorBidi"/>
          <w:b/>
          <w:bCs/>
          <w:sz w:val="24"/>
          <w:szCs w:val="26"/>
        </w:rPr>
      </w:pPr>
    </w:p>
    <w:p w14:paraId="6FCCF208" w14:textId="3CB76066" w:rsidR="00910EA1" w:rsidRDefault="00910EA1" w:rsidP="00643DD0">
      <w:pPr>
        <w:spacing w:line="240" w:lineRule="auto"/>
        <w:rPr>
          <w:rFonts w:ascii="Times New Roman" w:eastAsiaTheme="majorEastAsia" w:hAnsi="Times New Roman" w:cstheme="majorBidi"/>
          <w:b/>
          <w:bCs/>
          <w:sz w:val="24"/>
          <w:szCs w:val="26"/>
        </w:rPr>
      </w:pPr>
    </w:p>
    <w:p w14:paraId="61F9F328" w14:textId="7C77677D" w:rsidR="00910EA1" w:rsidRDefault="00910EA1" w:rsidP="00643DD0">
      <w:pPr>
        <w:spacing w:line="240" w:lineRule="auto"/>
        <w:rPr>
          <w:rFonts w:ascii="Times New Roman" w:eastAsiaTheme="majorEastAsia" w:hAnsi="Times New Roman" w:cstheme="majorBidi"/>
          <w:b/>
          <w:bCs/>
          <w:sz w:val="24"/>
          <w:szCs w:val="26"/>
        </w:rPr>
      </w:pPr>
    </w:p>
    <w:p w14:paraId="0BCA232B" w14:textId="0541A53C" w:rsidR="00910EA1" w:rsidRDefault="00910EA1" w:rsidP="00643DD0">
      <w:pPr>
        <w:spacing w:line="240" w:lineRule="auto"/>
        <w:rPr>
          <w:rFonts w:ascii="Times New Roman" w:eastAsiaTheme="majorEastAsia" w:hAnsi="Times New Roman" w:cstheme="majorBidi"/>
          <w:b/>
          <w:bCs/>
          <w:sz w:val="24"/>
          <w:szCs w:val="26"/>
        </w:rPr>
      </w:pPr>
    </w:p>
    <w:p w14:paraId="426C9D1A" w14:textId="253378FA" w:rsidR="00910EA1" w:rsidRDefault="00910EA1" w:rsidP="00643DD0">
      <w:pPr>
        <w:spacing w:line="240" w:lineRule="auto"/>
        <w:rPr>
          <w:rFonts w:ascii="Times New Roman" w:eastAsiaTheme="majorEastAsia" w:hAnsi="Times New Roman" w:cstheme="majorBidi"/>
          <w:b/>
          <w:bCs/>
          <w:sz w:val="24"/>
          <w:szCs w:val="26"/>
        </w:rPr>
      </w:pPr>
    </w:p>
    <w:p w14:paraId="42B4E763" w14:textId="70B37B74" w:rsidR="00910EA1" w:rsidRDefault="00910EA1" w:rsidP="00643DD0">
      <w:pPr>
        <w:spacing w:line="240" w:lineRule="auto"/>
        <w:rPr>
          <w:rFonts w:ascii="Times New Roman" w:eastAsiaTheme="majorEastAsia" w:hAnsi="Times New Roman" w:cstheme="majorBidi"/>
          <w:b/>
          <w:bCs/>
          <w:sz w:val="24"/>
          <w:szCs w:val="26"/>
        </w:rPr>
      </w:pPr>
    </w:p>
    <w:p w14:paraId="3093F266" w14:textId="6C95C25B" w:rsidR="00910EA1" w:rsidRDefault="00910EA1" w:rsidP="00643DD0">
      <w:pPr>
        <w:spacing w:line="240" w:lineRule="auto"/>
        <w:rPr>
          <w:rFonts w:ascii="Times New Roman" w:eastAsiaTheme="majorEastAsia" w:hAnsi="Times New Roman" w:cstheme="majorBidi"/>
          <w:b/>
          <w:bCs/>
          <w:sz w:val="24"/>
          <w:szCs w:val="26"/>
        </w:rPr>
      </w:pPr>
    </w:p>
    <w:p w14:paraId="484E0C8D" w14:textId="294F48D8" w:rsidR="00910EA1" w:rsidRDefault="00910EA1" w:rsidP="00643DD0">
      <w:pPr>
        <w:spacing w:line="240" w:lineRule="auto"/>
        <w:rPr>
          <w:rFonts w:ascii="Times New Roman" w:eastAsiaTheme="majorEastAsia" w:hAnsi="Times New Roman" w:cstheme="majorBidi"/>
          <w:b/>
          <w:bCs/>
          <w:sz w:val="24"/>
          <w:szCs w:val="26"/>
        </w:rPr>
      </w:pPr>
    </w:p>
    <w:p w14:paraId="61AA4BDA" w14:textId="6A7A4DC9" w:rsidR="00910EA1" w:rsidRDefault="00910EA1" w:rsidP="00643DD0">
      <w:pPr>
        <w:spacing w:line="240" w:lineRule="auto"/>
        <w:rPr>
          <w:rFonts w:ascii="Times New Roman" w:eastAsiaTheme="majorEastAsia" w:hAnsi="Times New Roman" w:cstheme="majorBidi"/>
          <w:b/>
          <w:bCs/>
          <w:sz w:val="24"/>
          <w:szCs w:val="26"/>
        </w:rPr>
      </w:pPr>
    </w:p>
    <w:p w14:paraId="1B205932" w14:textId="6DE791D2" w:rsidR="00910EA1" w:rsidRDefault="00910EA1" w:rsidP="00643DD0">
      <w:pPr>
        <w:spacing w:line="240" w:lineRule="auto"/>
        <w:rPr>
          <w:rFonts w:ascii="Times New Roman" w:eastAsiaTheme="majorEastAsia" w:hAnsi="Times New Roman" w:cstheme="majorBidi"/>
          <w:b/>
          <w:bCs/>
          <w:sz w:val="24"/>
          <w:szCs w:val="26"/>
        </w:rPr>
      </w:pPr>
    </w:p>
    <w:p w14:paraId="67D20D10" w14:textId="77777777" w:rsidR="00B91C94" w:rsidRDefault="00B91C94" w:rsidP="00643DD0">
      <w:pPr>
        <w:spacing w:line="240" w:lineRule="auto"/>
        <w:rPr>
          <w:rFonts w:ascii="Times New Roman" w:eastAsiaTheme="majorEastAsia" w:hAnsi="Times New Roman" w:cstheme="majorBidi"/>
          <w:b/>
          <w:bCs/>
          <w:sz w:val="24"/>
          <w:szCs w:val="26"/>
        </w:rPr>
      </w:pPr>
    </w:p>
    <w:p w14:paraId="5AACBFB4" w14:textId="2FDAE01F" w:rsidR="00447740" w:rsidRDefault="003979A3" w:rsidP="00447740">
      <w:pPr>
        <w:pStyle w:val="Heading2"/>
        <w:spacing w:line="240" w:lineRule="auto"/>
        <w:jc w:val="center"/>
      </w:pPr>
      <w:bookmarkStart w:id="19" w:name="_Toc147751461"/>
      <w:r w:rsidRPr="00DE65F6">
        <w:t>REFERENCES</w:t>
      </w:r>
      <w:bookmarkEnd w:id="19"/>
    </w:p>
    <w:p w14:paraId="2B635F0A" w14:textId="0E1673E3" w:rsidR="00C45256" w:rsidRPr="00C45256" w:rsidRDefault="00C45256" w:rsidP="00C45256">
      <w:pPr>
        <w:widowControl w:val="0"/>
        <w:autoSpaceDE w:val="0"/>
        <w:autoSpaceDN w:val="0"/>
        <w:adjustRightInd w:val="0"/>
        <w:spacing w:line="240" w:lineRule="auto"/>
        <w:ind w:left="480" w:hanging="480"/>
        <w:rPr>
          <w:rFonts w:ascii="Calibri" w:hAnsi="Calibri" w:cs="Calibri"/>
          <w:noProof/>
          <w:szCs w:val="24"/>
        </w:rPr>
      </w:pPr>
      <w:r>
        <w:fldChar w:fldCharType="begin" w:fldLock="1"/>
      </w:r>
      <w:r>
        <w:instrText xml:space="preserve">ADDIN Mendeley Bibliography CSL_BIBLIOGRAPHY </w:instrText>
      </w:r>
      <w:r>
        <w:fldChar w:fldCharType="separate"/>
      </w:r>
      <w:r w:rsidRPr="00C45256">
        <w:rPr>
          <w:rFonts w:ascii="Calibri" w:hAnsi="Calibri" w:cs="Calibri"/>
          <w:noProof/>
          <w:szCs w:val="24"/>
        </w:rPr>
        <w:t xml:space="preserve">Ali, A., Jabeen, N., Chachar, Z., Chachar, S., Ahmed, S., Ahmed, N., Laghari, A. A., Farruhbek, R., &amp; Yang, Z. (2025). </w:t>
      </w:r>
      <w:r w:rsidRPr="00C45256">
        <w:rPr>
          <w:rFonts w:ascii="Calibri" w:hAnsi="Calibri" w:cs="Calibri"/>
          <w:i/>
          <w:iCs/>
          <w:noProof/>
          <w:szCs w:val="24"/>
        </w:rPr>
        <w:t>The role of biochar in enhancing soil health &amp; interactions with rhizosphere properties and enzyme activities in organic fertilizer substitution</w:t>
      </w:r>
      <w:r w:rsidRPr="00C45256">
        <w:rPr>
          <w:rFonts w:ascii="Calibri" w:hAnsi="Calibri" w:cs="Calibri"/>
          <w:noProof/>
          <w:szCs w:val="24"/>
        </w:rPr>
        <w:t xml:space="preserve">. </w:t>
      </w:r>
      <w:r w:rsidRPr="00C45256">
        <w:rPr>
          <w:rFonts w:ascii="Calibri" w:hAnsi="Calibri" w:cs="Calibri"/>
          <w:i/>
          <w:iCs/>
          <w:noProof/>
          <w:szCs w:val="24"/>
        </w:rPr>
        <w:t>June</w:t>
      </w:r>
      <w:r w:rsidRPr="00C45256">
        <w:rPr>
          <w:rFonts w:ascii="Calibri" w:hAnsi="Calibri" w:cs="Calibri"/>
          <w:noProof/>
          <w:szCs w:val="24"/>
        </w:rPr>
        <w:t>, 1–23. https://doi.org/10.3389/fpls.2025.1595208</w:t>
      </w:r>
    </w:p>
    <w:p w14:paraId="1E41DEDF" w14:textId="77777777" w:rsidR="00C45256" w:rsidRPr="00C45256" w:rsidRDefault="00C45256" w:rsidP="00C45256">
      <w:pPr>
        <w:widowControl w:val="0"/>
        <w:autoSpaceDE w:val="0"/>
        <w:autoSpaceDN w:val="0"/>
        <w:adjustRightInd w:val="0"/>
        <w:spacing w:line="240" w:lineRule="auto"/>
        <w:ind w:left="480" w:hanging="480"/>
        <w:rPr>
          <w:rFonts w:ascii="Calibri" w:hAnsi="Calibri" w:cs="Calibri"/>
          <w:noProof/>
          <w:szCs w:val="24"/>
        </w:rPr>
      </w:pPr>
      <w:r w:rsidRPr="00C45256">
        <w:rPr>
          <w:rFonts w:ascii="Calibri" w:hAnsi="Calibri" w:cs="Calibri"/>
          <w:noProof/>
          <w:szCs w:val="24"/>
        </w:rPr>
        <w:t xml:space="preserve">Bhattacharyya, P. N., Protim, S., Bhaskar, S., &amp; Abhay, S. (2024). Biochar as Soil Amendment in Climate </w:t>
      </w:r>
      <w:r w:rsidRPr="00C45256">
        <w:rPr>
          <w:rFonts w:ascii="Cambria Math" w:hAnsi="Cambria Math" w:cs="Cambria Math"/>
          <w:noProof/>
          <w:szCs w:val="24"/>
        </w:rPr>
        <w:t>‑</w:t>
      </w:r>
      <w:r w:rsidRPr="00C45256">
        <w:rPr>
          <w:rFonts w:ascii="Calibri" w:hAnsi="Calibri" w:cs="Calibri"/>
          <w:noProof/>
          <w:szCs w:val="24"/>
        </w:rPr>
        <w:t xml:space="preserve"> Smart Agriculture : Opportunities , Future Prospects , and Challenges. </w:t>
      </w:r>
      <w:r w:rsidRPr="00C45256">
        <w:rPr>
          <w:rFonts w:ascii="Calibri" w:hAnsi="Calibri" w:cs="Calibri"/>
          <w:i/>
          <w:iCs/>
          <w:noProof/>
          <w:szCs w:val="24"/>
        </w:rPr>
        <w:t>Journal of Soil Science and Plant Nutrition</w:t>
      </w:r>
      <w:r w:rsidRPr="00C45256">
        <w:rPr>
          <w:rFonts w:ascii="Calibri" w:hAnsi="Calibri" w:cs="Calibri"/>
          <w:noProof/>
          <w:szCs w:val="24"/>
        </w:rPr>
        <w:t xml:space="preserve">, </w:t>
      </w:r>
      <w:r w:rsidRPr="00C45256">
        <w:rPr>
          <w:rFonts w:ascii="Calibri" w:hAnsi="Calibri" w:cs="Calibri"/>
          <w:i/>
          <w:iCs/>
          <w:noProof/>
          <w:szCs w:val="24"/>
        </w:rPr>
        <w:t>24</w:t>
      </w:r>
      <w:r w:rsidRPr="00C45256">
        <w:rPr>
          <w:rFonts w:ascii="Calibri" w:hAnsi="Calibri" w:cs="Calibri"/>
          <w:noProof/>
          <w:szCs w:val="24"/>
        </w:rPr>
        <w:t>(1), 135–158. https://doi.org/10.1007/s42729-024-01629-9</w:t>
      </w:r>
    </w:p>
    <w:p w14:paraId="600FDB7D" w14:textId="77777777" w:rsidR="00C45256" w:rsidRPr="00C45256" w:rsidRDefault="00C45256" w:rsidP="00C45256">
      <w:pPr>
        <w:widowControl w:val="0"/>
        <w:autoSpaceDE w:val="0"/>
        <w:autoSpaceDN w:val="0"/>
        <w:adjustRightInd w:val="0"/>
        <w:spacing w:line="240" w:lineRule="auto"/>
        <w:ind w:left="480" w:hanging="480"/>
        <w:rPr>
          <w:rFonts w:ascii="Calibri" w:hAnsi="Calibri" w:cs="Calibri"/>
          <w:noProof/>
          <w:szCs w:val="24"/>
        </w:rPr>
      </w:pPr>
      <w:r w:rsidRPr="00DE1D08">
        <w:rPr>
          <w:rFonts w:ascii="Calibri" w:hAnsi="Calibri" w:cs="Calibri"/>
          <w:noProof/>
          <w:szCs w:val="24"/>
          <w:lang w:val="fr-FR"/>
        </w:rPr>
        <w:t xml:space="preserve">Chataut, G., Bhatta, B., Joshi, D., Subedi, K., &amp; Kafle, K. (2023). </w:t>
      </w:r>
      <w:r w:rsidRPr="00C45256">
        <w:rPr>
          <w:rFonts w:ascii="Calibri" w:hAnsi="Calibri" w:cs="Calibri"/>
          <w:noProof/>
          <w:szCs w:val="24"/>
        </w:rPr>
        <w:t xml:space="preserve">Greenhouse gases emission from agricultural soil : A review. </w:t>
      </w:r>
      <w:r w:rsidRPr="00C45256">
        <w:rPr>
          <w:rFonts w:ascii="Calibri" w:hAnsi="Calibri" w:cs="Calibri"/>
          <w:i/>
          <w:iCs/>
          <w:noProof/>
          <w:szCs w:val="24"/>
        </w:rPr>
        <w:t>Journal of Agriculture and Food Research</w:t>
      </w:r>
      <w:r w:rsidRPr="00C45256">
        <w:rPr>
          <w:rFonts w:ascii="Calibri" w:hAnsi="Calibri" w:cs="Calibri"/>
          <w:noProof/>
          <w:szCs w:val="24"/>
        </w:rPr>
        <w:t xml:space="preserve">, </w:t>
      </w:r>
      <w:r w:rsidRPr="00C45256">
        <w:rPr>
          <w:rFonts w:ascii="Calibri" w:hAnsi="Calibri" w:cs="Calibri"/>
          <w:i/>
          <w:iCs/>
          <w:noProof/>
          <w:szCs w:val="24"/>
        </w:rPr>
        <w:t>11</w:t>
      </w:r>
      <w:r w:rsidRPr="00C45256">
        <w:rPr>
          <w:rFonts w:ascii="Calibri" w:hAnsi="Calibri" w:cs="Calibri"/>
          <w:noProof/>
          <w:szCs w:val="24"/>
        </w:rPr>
        <w:t>(January), 100533. https://doi.org/10.1016/j.jafr.2023.100533</w:t>
      </w:r>
    </w:p>
    <w:p w14:paraId="5B643961" w14:textId="77777777" w:rsidR="00C45256" w:rsidRPr="00C45256" w:rsidRDefault="00C45256" w:rsidP="00C45256">
      <w:pPr>
        <w:widowControl w:val="0"/>
        <w:autoSpaceDE w:val="0"/>
        <w:autoSpaceDN w:val="0"/>
        <w:adjustRightInd w:val="0"/>
        <w:spacing w:line="240" w:lineRule="auto"/>
        <w:ind w:left="480" w:hanging="480"/>
        <w:rPr>
          <w:rFonts w:ascii="Calibri" w:hAnsi="Calibri" w:cs="Calibri"/>
          <w:noProof/>
          <w:szCs w:val="24"/>
        </w:rPr>
      </w:pPr>
      <w:r w:rsidRPr="00DE1D08">
        <w:rPr>
          <w:rFonts w:ascii="Calibri" w:hAnsi="Calibri" w:cs="Calibri"/>
          <w:noProof/>
          <w:szCs w:val="24"/>
          <w:lang w:val="fr-FR"/>
        </w:rPr>
        <w:t xml:space="preserve">Daadi, B. E., &amp; Latacz-Lohmann, U. (2021). </w:t>
      </w:r>
      <w:r w:rsidRPr="00C45256">
        <w:rPr>
          <w:rFonts w:ascii="Calibri" w:hAnsi="Calibri" w:cs="Calibri"/>
          <w:noProof/>
          <w:szCs w:val="24"/>
        </w:rPr>
        <w:t xml:space="preserve">Organic fertilizer use by smallholder farmers: Typology of management approaches in northern Ghana. </w:t>
      </w:r>
      <w:r w:rsidRPr="00C45256">
        <w:rPr>
          <w:rFonts w:ascii="Calibri" w:hAnsi="Calibri" w:cs="Calibri"/>
          <w:i/>
          <w:iCs/>
          <w:noProof/>
          <w:szCs w:val="24"/>
        </w:rPr>
        <w:t>Renewable Agriculture and Food Systems</w:t>
      </w:r>
      <w:r w:rsidRPr="00C45256">
        <w:rPr>
          <w:rFonts w:ascii="Calibri" w:hAnsi="Calibri" w:cs="Calibri"/>
          <w:noProof/>
          <w:szCs w:val="24"/>
        </w:rPr>
        <w:t xml:space="preserve">, </w:t>
      </w:r>
      <w:r w:rsidRPr="00C45256">
        <w:rPr>
          <w:rFonts w:ascii="Calibri" w:hAnsi="Calibri" w:cs="Calibri"/>
          <w:i/>
          <w:iCs/>
          <w:noProof/>
          <w:szCs w:val="24"/>
        </w:rPr>
        <w:t>36</w:t>
      </w:r>
      <w:r w:rsidRPr="00C45256">
        <w:rPr>
          <w:rFonts w:ascii="Calibri" w:hAnsi="Calibri" w:cs="Calibri"/>
          <w:noProof/>
          <w:szCs w:val="24"/>
        </w:rPr>
        <w:t>(2), 192–206. https://doi.org/10.1017/S1742170520000228</w:t>
      </w:r>
    </w:p>
    <w:p w14:paraId="2EFA1874" w14:textId="77777777" w:rsidR="00C45256" w:rsidRPr="00C45256" w:rsidRDefault="00C45256" w:rsidP="00C45256">
      <w:pPr>
        <w:widowControl w:val="0"/>
        <w:autoSpaceDE w:val="0"/>
        <w:autoSpaceDN w:val="0"/>
        <w:adjustRightInd w:val="0"/>
        <w:spacing w:line="240" w:lineRule="auto"/>
        <w:ind w:left="480" w:hanging="480"/>
        <w:rPr>
          <w:rFonts w:ascii="Calibri" w:hAnsi="Calibri" w:cs="Calibri"/>
          <w:noProof/>
          <w:szCs w:val="24"/>
        </w:rPr>
      </w:pPr>
      <w:r w:rsidRPr="00C45256">
        <w:rPr>
          <w:rFonts w:ascii="Calibri" w:hAnsi="Calibri" w:cs="Calibri"/>
          <w:noProof/>
          <w:szCs w:val="24"/>
        </w:rPr>
        <w:t xml:space="preserve">Elkhlifi, Z., Iftikhar, J., Sarraf, M., Ali, B., Saleem, M. H., Ibranshahib, I., Bispo, M. D., Meili, L., Ercisli, S., &amp; Kayabasi, E. T. (2023). </w:t>
      </w:r>
      <w:r w:rsidRPr="00C45256">
        <w:rPr>
          <w:rFonts w:ascii="Calibri" w:hAnsi="Calibri" w:cs="Calibri"/>
          <w:i/>
          <w:iCs/>
          <w:noProof/>
          <w:szCs w:val="24"/>
        </w:rPr>
        <w:t>Potential Role of Biochar on Capturing Soil Nutrients , Carbon Sequestration and Managing Environmental Challenges : A Review</w:t>
      </w:r>
      <w:r w:rsidRPr="00C45256">
        <w:rPr>
          <w:rFonts w:ascii="Calibri" w:hAnsi="Calibri" w:cs="Calibri"/>
          <w:noProof/>
          <w:szCs w:val="24"/>
        </w:rPr>
        <w:t>.</w:t>
      </w:r>
    </w:p>
    <w:p w14:paraId="4B88E84A" w14:textId="77777777" w:rsidR="00C45256" w:rsidRPr="00C45256" w:rsidRDefault="00C45256" w:rsidP="00C45256">
      <w:pPr>
        <w:widowControl w:val="0"/>
        <w:autoSpaceDE w:val="0"/>
        <w:autoSpaceDN w:val="0"/>
        <w:adjustRightInd w:val="0"/>
        <w:spacing w:line="240" w:lineRule="auto"/>
        <w:ind w:left="480" w:hanging="480"/>
        <w:rPr>
          <w:rFonts w:ascii="Calibri" w:hAnsi="Calibri" w:cs="Calibri"/>
          <w:noProof/>
          <w:szCs w:val="24"/>
        </w:rPr>
      </w:pPr>
      <w:r w:rsidRPr="00C45256">
        <w:rPr>
          <w:rFonts w:ascii="Calibri" w:hAnsi="Calibri" w:cs="Calibri"/>
          <w:noProof/>
          <w:szCs w:val="24"/>
        </w:rPr>
        <w:t xml:space="preserve">Fadavi, C., Felicia, T., &amp; Daniel, A. (2025). </w:t>
      </w:r>
      <w:r w:rsidRPr="00C45256">
        <w:rPr>
          <w:rFonts w:ascii="Calibri" w:hAnsi="Calibri" w:cs="Calibri"/>
          <w:i/>
          <w:iCs/>
          <w:noProof/>
          <w:szCs w:val="24"/>
        </w:rPr>
        <w:t>Biochar as a Soil Amendment in Rice Production : Current Status , Debates , and Opportunities for Enhancing Rice Farming in Ghana License : This is an open access article under the CC BY 4 . 0 license : https://creativecommons.org/licenses/by/4.0/ Corresp</w:t>
      </w:r>
      <w:r w:rsidRPr="00C45256">
        <w:rPr>
          <w:rFonts w:ascii="Calibri" w:hAnsi="Calibri" w:cs="Calibri"/>
          <w:noProof/>
          <w:szCs w:val="24"/>
        </w:rPr>
        <w:t>. 148–184. https://doi.org/10.65150/EP-jnsrr/V1E6/2025-02</w:t>
      </w:r>
    </w:p>
    <w:p w14:paraId="5E444A07" w14:textId="77777777" w:rsidR="00C45256" w:rsidRPr="00C45256" w:rsidRDefault="00C45256" w:rsidP="00C45256">
      <w:pPr>
        <w:widowControl w:val="0"/>
        <w:autoSpaceDE w:val="0"/>
        <w:autoSpaceDN w:val="0"/>
        <w:adjustRightInd w:val="0"/>
        <w:spacing w:line="240" w:lineRule="auto"/>
        <w:ind w:left="480" w:hanging="480"/>
        <w:rPr>
          <w:rFonts w:ascii="Calibri" w:hAnsi="Calibri" w:cs="Calibri"/>
          <w:noProof/>
          <w:szCs w:val="24"/>
        </w:rPr>
      </w:pPr>
      <w:r w:rsidRPr="00C45256">
        <w:rPr>
          <w:rFonts w:ascii="Calibri" w:hAnsi="Calibri" w:cs="Calibri"/>
          <w:noProof/>
          <w:szCs w:val="24"/>
        </w:rPr>
        <w:t xml:space="preserve">Filonchyk, M., Peterson, M. P., Zhang, L., Hurynovich, V., &amp; He, Y. (2024). Greenhouse gases emissions and global climate change: Examining the influence of CO2, CH4, and N2O. </w:t>
      </w:r>
      <w:r w:rsidRPr="00C45256">
        <w:rPr>
          <w:rFonts w:ascii="Calibri" w:hAnsi="Calibri" w:cs="Calibri"/>
          <w:i/>
          <w:iCs/>
          <w:noProof/>
          <w:szCs w:val="24"/>
        </w:rPr>
        <w:t>Science of the Total Environment</w:t>
      </w:r>
      <w:r w:rsidRPr="00C45256">
        <w:rPr>
          <w:rFonts w:ascii="Calibri" w:hAnsi="Calibri" w:cs="Calibri"/>
          <w:noProof/>
          <w:szCs w:val="24"/>
        </w:rPr>
        <w:t xml:space="preserve">, </w:t>
      </w:r>
      <w:r w:rsidRPr="00C45256">
        <w:rPr>
          <w:rFonts w:ascii="Calibri" w:hAnsi="Calibri" w:cs="Calibri"/>
          <w:i/>
          <w:iCs/>
          <w:noProof/>
          <w:szCs w:val="24"/>
        </w:rPr>
        <w:t>935</w:t>
      </w:r>
      <w:r w:rsidRPr="00C45256">
        <w:rPr>
          <w:rFonts w:ascii="Calibri" w:hAnsi="Calibri" w:cs="Calibri"/>
          <w:noProof/>
          <w:szCs w:val="24"/>
        </w:rPr>
        <w:t>(January). https://doi.org/10.1016/j.scitotenv.2024.173359</w:t>
      </w:r>
    </w:p>
    <w:p w14:paraId="7CD8E500" w14:textId="77777777" w:rsidR="00C45256" w:rsidRPr="00C45256" w:rsidRDefault="00C45256" w:rsidP="00C45256">
      <w:pPr>
        <w:widowControl w:val="0"/>
        <w:autoSpaceDE w:val="0"/>
        <w:autoSpaceDN w:val="0"/>
        <w:adjustRightInd w:val="0"/>
        <w:spacing w:line="240" w:lineRule="auto"/>
        <w:ind w:left="480" w:hanging="480"/>
        <w:rPr>
          <w:rFonts w:ascii="Calibri" w:hAnsi="Calibri" w:cs="Calibri"/>
          <w:noProof/>
          <w:szCs w:val="24"/>
        </w:rPr>
      </w:pPr>
      <w:r w:rsidRPr="00DE1D08">
        <w:rPr>
          <w:rFonts w:ascii="Calibri" w:hAnsi="Calibri" w:cs="Calibri"/>
          <w:noProof/>
          <w:szCs w:val="24"/>
          <w:lang w:val="fr-FR"/>
        </w:rPr>
        <w:t xml:space="preserve">Ghysels, S., Acosta, N., Estrada, A., Pala, M., De Vrieze, J., Ronsse, F., &amp; Rabaey, K. (2020). </w:t>
      </w:r>
      <w:r w:rsidRPr="00C45256">
        <w:rPr>
          <w:rFonts w:ascii="Calibri" w:hAnsi="Calibri" w:cs="Calibri"/>
          <w:noProof/>
          <w:szCs w:val="24"/>
        </w:rPr>
        <w:t xml:space="preserve">Integrating anaerobic digestion and slow pyrolysis improves the product portfolio of a cocoa waste biorefinery. </w:t>
      </w:r>
      <w:r w:rsidRPr="00C45256">
        <w:rPr>
          <w:rFonts w:ascii="Calibri" w:hAnsi="Calibri" w:cs="Calibri"/>
          <w:i/>
          <w:iCs/>
          <w:noProof/>
          <w:szCs w:val="24"/>
        </w:rPr>
        <w:t>Sustainable Energy and Fuels</w:t>
      </w:r>
      <w:r w:rsidRPr="00C45256">
        <w:rPr>
          <w:rFonts w:ascii="Calibri" w:hAnsi="Calibri" w:cs="Calibri"/>
          <w:noProof/>
          <w:szCs w:val="24"/>
        </w:rPr>
        <w:t xml:space="preserve">, </w:t>
      </w:r>
      <w:r w:rsidRPr="00C45256">
        <w:rPr>
          <w:rFonts w:ascii="Calibri" w:hAnsi="Calibri" w:cs="Calibri"/>
          <w:i/>
          <w:iCs/>
          <w:noProof/>
          <w:szCs w:val="24"/>
        </w:rPr>
        <w:t>4</w:t>
      </w:r>
      <w:r w:rsidRPr="00C45256">
        <w:rPr>
          <w:rFonts w:ascii="Calibri" w:hAnsi="Calibri" w:cs="Calibri"/>
          <w:noProof/>
          <w:szCs w:val="24"/>
        </w:rPr>
        <w:t>(7), 3712–3725. https://doi.org/10.1039/d0se00689k</w:t>
      </w:r>
    </w:p>
    <w:p w14:paraId="27D637DF" w14:textId="77777777" w:rsidR="00C45256" w:rsidRPr="00C45256" w:rsidRDefault="00C45256" w:rsidP="00C45256">
      <w:pPr>
        <w:widowControl w:val="0"/>
        <w:autoSpaceDE w:val="0"/>
        <w:autoSpaceDN w:val="0"/>
        <w:adjustRightInd w:val="0"/>
        <w:spacing w:line="240" w:lineRule="auto"/>
        <w:ind w:left="480" w:hanging="480"/>
        <w:rPr>
          <w:rFonts w:ascii="Calibri" w:hAnsi="Calibri" w:cs="Calibri"/>
          <w:noProof/>
          <w:szCs w:val="24"/>
        </w:rPr>
      </w:pPr>
      <w:r w:rsidRPr="00C45256">
        <w:rPr>
          <w:rFonts w:ascii="Calibri" w:hAnsi="Calibri" w:cs="Calibri"/>
          <w:noProof/>
          <w:szCs w:val="24"/>
        </w:rPr>
        <w:t xml:space="preserve">Kudeyarov, V. N. (2023). </w:t>
      </w:r>
      <w:r w:rsidRPr="00C45256">
        <w:rPr>
          <w:rFonts w:ascii="Calibri" w:hAnsi="Calibri" w:cs="Calibri"/>
          <w:i/>
          <w:iCs/>
          <w:noProof/>
          <w:szCs w:val="24"/>
        </w:rPr>
        <w:t>Soil Respiration and Carbon Sequestration : A Review</w:t>
      </w:r>
      <w:r w:rsidRPr="00C45256">
        <w:rPr>
          <w:rFonts w:ascii="Calibri" w:hAnsi="Calibri" w:cs="Calibri"/>
          <w:noProof/>
          <w:szCs w:val="24"/>
        </w:rPr>
        <w:t xml:space="preserve">. </w:t>
      </w:r>
      <w:r w:rsidRPr="00C45256">
        <w:rPr>
          <w:rFonts w:ascii="Calibri" w:hAnsi="Calibri" w:cs="Calibri"/>
          <w:i/>
          <w:iCs/>
          <w:noProof/>
          <w:szCs w:val="24"/>
        </w:rPr>
        <w:t>56</w:t>
      </w:r>
      <w:r w:rsidRPr="00C45256">
        <w:rPr>
          <w:rFonts w:ascii="Calibri" w:hAnsi="Calibri" w:cs="Calibri"/>
          <w:noProof/>
          <w:szCs w:val="24"/>
        </w:rPr>
        <w:t>(9), 1191–1200. https://doi.org/10.1134/S1064229323990012</w:t>
      </w:r>
    </w:p>
    <w:p w14:paraId="602A3E0D" w14:textId="77777777" w:rsidR="00C45256" w:rsidRPr="00C45256" w:rsidRDefault="00C45256" w:rsidP="00C45256">
      <w:pPr>
        <w:widowControl w:val="0"/>
        <w:autoSpaceDE w:val="0"/>
        <w:autoSpaceDN w:val="0"/>
        <w:adjustRightInd w:val="0"/>
        <w:spacing w:line="240" w:lineRule="auto"/>
        <w:ind w:left="480" w:hanging="480"/>
        <w:rPr>
          <w:rFonts w:ascii="Calibri" w:hAnsi="Calibri" w:cs="Calibri"/>
          <w:noProof/>
          <w:szCs w:val="24"/>
        </w:rPr>
      </w:pPr>
      <w:r w:rsidRPr="00C45256">
        <w:rPr>
          <w:rFonts w:ascii="Calibri" w:hAnsi="Calibri" w:cs="Calibri"/>
          <w:noProof/>
          <w:szCs w:val="24"/>
        </w:rPr>
        <w:t xml:space="preserve">Kumar, K., Khatri, A., &amp; Thakur, I. S. (n.d.). </w:t>
      </w:r>
      <w:r w:rsidRPr="00C45256">
        <w:rPr>
          <w:rFonts w:ascii="Calibri" w:hAnsi="Calibri" w:cs="Calibri"/>
          <w:i/>
          <w:iCs/>
          <w:noProof/>
          <w:szCs w:val="24"/>
        </w:rPr>
        <w:t>Agricultural Waste Management for Food Security and Sustainability</w:t>
      </w:r>
      <w:r w:rsidRPr="00C45256">
        <w:rPr>
          <w:rFonts w:ascii="Calibri" w:hAnsi="Calibri" w:cs="Calibri"/>
          <w:noProof/>
          <w:szCs w:val="24"/>
        </w:rPr>
        <w:t>.</w:t>
      </w:r>
    </w:p>
    <w:p w14:paraId="4F9B62F8" w14:textId="77777777" w:rsidR="00C45256" w:rsidRPr="00C45256" w:rsidRDefault="00C45256" w:rsidP="00C45256">
      <w:pPr>
        <w:widowControl w:val="0"/>
        <w:autoSpaceDE w:val="0"/>
        <w:autoSpaceDN w:val="0"/>
        <w:adjustRightInd w:val="0"/>
        <w:spacing w:line="240" w:lineRule="auto"/>
        <w:ind w:left="480" w:hanging="480"/>
        <w:rPr>
          <w:rFonts w:ascii="Calibri" w:hAnsi="Calibri" w:cs="Calibri"/>
          <w:noProof/>
          <w:szCs w:val="24"/>
        </w:rPr>
      </w:pPr>
      <w:r w:rsidRPr="00C45256">
        <w:rPr>
          <w:rFonts w:ascii="Calibri" w:hAnsi="Calibri" w:cs="Calibri"/>
          <w:noProof/>
          <w:szCs w:val="24"/>
        </w:rPr>
        <w:t xml:space="preserve">Kwakye, S. O., Ebo, E., Amuah, Y., Ankoma, K. A., Agyemang, E. B., &amp; Owusu, B. (2024). Understanding the performance and challenges of solid waste management in an emerging megacity : Insights from the developing world. </w:t>
      </w:r>
      <w:r w:rsidRPr="00C45256">
        <w:rPr>
          <w:rFonts w:ascii="Calibri" w:hAnsi="Calibri" w:cs="Calibri"/>
          <w:i/>
          <w:iCs/>
          <w:noProof/>
          <w:szCs w:val="24"/>
        </w:rPr>
        <w:t>Environmental Challenges</w:t>
      </w:r>
      <w:r w:rsidRPr="00C45256">
        <w:rPr>
          <w:rFonts w:ascii="Calibri" w:hAnsi="Calibri" w:cs="Calibri"/>
          <w:noProof/>
          <w:szCs w:val="24"/>
        </w:rPr>
        <w:t xml:space="preserve">, </w:t>
      </w:r>
      <w:r w:rsidRPr="00C45256">
        <w:rPr>
          <w:rFonts w:ascii="Calibri" w:hAnsi="Calibri" w:cs="Calibri"/>
          <w:i/>
          <w:iCs/>
          <w:noProof/>
          <w:szCs w:val="24"/>
        </w:rPr>
        <w:t>14</w:t>
      </w:r>
      <w:r w:rsidRPr="00C45256">
        <w:rPr>
          <w:rFonts w:ascii="Calibri" w:hAnsi="Calibri" w:cs="Calibri"/>
          <w:noProof/>
          <w:szCs w:val="24"/>
        </w:rPr>
        <w:t>(December 2023), 100805. https://doi.org/10.1016/j.envc.2023.100805</w:t>
      </w:r>
    </w:p>
    <w:p w14:paraId="1730B3AA" w14:textId="77777777" w:rsidR="00C45256" w:rsidRPr="00C45256" w:rsidRDefault="00C45256" w:rsidP="00C45256">
      <w:pPr>
        <w:widowControl w:val="0"/>
        <w:autoSpaceDE w:val="0"/>
        <w:autoSpaceDN w:val="0"/>
        <w:adjustRightInd w:val="0"/>
        <w:spacing w:line="240" w:lineRule="auto"/>
        <w:ind w:left="480" w:hanging="480"/>
        <w:rPr>
          <w:rFonts w:ascii="Calibri" w:hAnsi="Calibri" w:cs="Calibri"/>
          <w:noProof/>
          <w:szCs w:val="24"/>
        </w:rPr>
      </w:pPr>
      <w:r w:rsidRPr="00C45256">
        <w:rPr>
          <w:rFonts w:ascii="Calibri" w:hAnsi="Calibri" w:cs="Calibri"/>
          <w:noProof/>
          <w:szCs w:val="24"/>
        </w:rPr>
        <w:t xml:space="preserve">Lehmann, J., Cowie, A., Masiello, C. A., Kammann, C., Woolf, D., Amonette, J. E., Cayuela, M. L., Camps-arbestain, M., &amp; Whitman, T. (2021). </w:t>
      </w:r>
      <w:r w:rsidRPr="00C45256">
        <w:rPr>
          <w:rFonts w:ascii="Calibri" w:hAnsi="Calibri" w:cs="Calibri"/>
          <w:i/>
          <w:iCs/>
          <w:noProof/>
          <w:szCs w:val="24"/>
        </w:rPr>
        <w:t>Biochar in climate change mitigation</w:t>
      </w:r>
      <w:r w:rsidRPr="00C45256">
        <w:rPr>
          <w:rFonts w:ascii="Calibri" w:hAnsi="Calibri" w:cs="Calibri"/>
          <w:noProof/>
          <w:szCs w:val="24"/>
        </w:rPr>
        <w:t xml:space="preserve">. </w:t>
      </w:r>
      <w:r w:rsidRPr="00C45256">
        <w:rPr>
          <w:rFonts w:ascii="Calibri" w:hAnsi="Calibri" w:cs="Calibri"/>
          <w:i/>
          <w:iCs/>
          <w:noProof/>
          <w:szCs w:val="24"/>
        </w:rPr>
        <w:t>14</w:t>
      </w:r>
      <w:r w:rsidRPr="00C45256">
        <w:rPr>
          <w:rFonts w:ascii="Calibri" w:hAnsi="Calibri" w:cs="Calibri"/>
          <w:noProof/>
          <w:szCs w:val="24"/>
        </w:rPr>
        <w:t>(December). https://doi.org/10.1038/s41561-021-00852-8</w:t>
      </w:r>
    </w:p>
    <w:p w14:paraId="426945FE" w14:textId="77777777" w:rsidR="00C45256" w:rsidRPr="00C45256" w:rsidRDefault="00C45256" w:rsidP="00C45256">
      <w:pPr>
        <w:widowControl w:val="0"/>
        <w:autoSpaceDE w:val="0"/>
        <w:autoSpaceDN w:val="0"/>
        <w:adjustRightInd w:val="0"/>
        <w:spacing w:line="240" w:lineRule="auto"/>
        <w:ind w:left="480" w:hanging="480"/>
        <w:rPr>
          <w:rFonts w:ascii="Calibri" w:hAnsi="Calibri" w:cs="Calibri"/>
          <w:noProof/>
          <w:szCs w:val="24"/>
        </w:rPr>
      </w:pPr>
      <w:r w:rsidRPr="00C45256">
        <w:rPr>
          <w:rFonts w:ascii="Calibri" w:hAnsi="Calibri" w:cs="Calibri"/>
          <w:noProof/>
          <w:szCs w:val="24"/>
        </w:rPr>
        <w:t xml:space="preserve">Lou, R., Li, Y., Liu, Y., Jiang, Q., Wu, Q., He, Y., &amp; Liu, J. (2024). Is green manure a viable substitute for inorganic fertilizer to improve grain yields and advance carbon neutrality in paddy agriculture? </w:t>
      </w:r>
      <w:r w:rsidRPr="00C45256">
        <w:rPr>
          <w:rFonts w:ascii="Calibri" w:hAnsi="Calibri" w:cs="Calibri"/>
          <w:i/>
          <w:iCs/>
          <w:noProof/>
          <w:szCs w:val="24"/>
        </w:rPr>
        <w:t>Agriculture, Ecosystems and Environment</w:t>
      </w:r>
      <w:r w:rsidRPr="00C45256">
        <w:rPr>
          <w:rFonts w:ascii="Calibri" w:hAnsi="Calibri" w:cs="Calibri"/>
          <w:noProof/>
          <w:szCs w:val="24"/>
        </w:rPr>
        <w:t xml:space="preserve">, </w:t>
      </w:r>
      <w:r w:rsidRPr="00C45256">
        <w:rPr>
          <w:rFonts w:ascii="Calibri" w:hAnsi="Calibri" w:cs="Calibri"/>
          <w:i/>
          <w:iCs/>
          <w:noProof/>
          <w:szCs w:val="24"/>
        </w:rPr>
        <w:t>359</w:t>
      </w:r>
      <w:r w:rsidRPr="00C45256">
        <w:rPr>
          <w:rFonts w:ascii="Calibri" w:hAnsi="Calibri" w:cs="Calibri"/>
          <w:noProof/>
          <w:szCs w:val="24"/>
        </w:rPr>
        <w:t>(September 2023), 108762. https://doi.org/10.1016/j.agee.2023.108762</w:t>
      </w:r>
    </w:p>
    <w:p w14:paraId="5BAEF4D1" w14:textId="77777777" w:rsidR="00C45256" w:rsidRPr="00C45256" w:rsidRDefault="00C45256" w:rsidP="00C45256">
      <w:pPr>
        <w:widowControl w:val="0"/>
        <w:autoSpaceDE w:val="0"/>
        <w:autoSpaceDN w:val="0"/>
        <w:adjustRightInd w:val="0"/>
        <w:spacing w:line="240" w:lineRule="auto"/>
        <w:ind w:left="480" w:hanging="480"/>
        <w:rPr>
          <w:rFonts w:ascii="Calibri" w:hAnsi="Calibri" w:cs="Calibri"/>
          <w:noProof/>
          <w:szCs w:val="24"/>
        </w:rPr>
      </w:pPr>
      <w:r w:rsidRPr="00C45256">
        <w:rPr>
          <w:rFonts w:ascii="Calibri" w:hAnsi="Calibri" w:cs="Calibri"/>
          <w:noProof/>
          <w:szCs w:val="24"/>
        </w:rPr>
        <w:lastRenderedPageBreak/>
        <w:t xml:space="preserve">Lyu, H., Zhang, H., Chu, M., Zhang, C., Tang, J., Chang, S. X., Mašek, O., &amp; Ok, Y. S. (2022). Biochar affects greenhouse gas emissions in various environments: A critical review. </w:t>
      </w:r>
      <w:r w:rsidRPr="00C45256">
        <w:rPr>
          <w:rFonts w:ascii="Calibri" w:hAnsi="Calibri" w:cs="Calibri"/>
          <w:i/>
          <w:iCs/>
          <w:noProof/>
          <w:szCs w:val="24"/>
        </w:rPr>
        <w:t>Land Degradation and Development</w:t>
      </w:r>
      <w:r w:rsidRPr="00C45256">
        <w:rPr>
          <w:rFonts w:ascii="Calibri" w:hAnsi="Calibri" w:cs="Calibri"/>
          <w:noProof/>
          <w:szCs w:val="24"/>
        </w:rPr>
        <w:t xml:space="preserve">, </w:t>
      </w:r>
      <w:r w:rsidRPr="00C45256">
        <w:rPr>
          <w:rFonts w:ascii="Calibri" w:hAnsi="Calibri" w:cs="Calibri"/>
          <w:i/>
          <w:iCs/>
          <w:noProof/>
          <w:szCs w:val="24"/>
        </w:rPr>
        <w:t>33</w:t>
      </w:r>
      <w:r w:rsidRPr="00C45256">
        <w:rPr>
          <w:rFonts w:ascii="Calibri" w:hAnsi="Calibri" w:cs="Calibri"/>
          <w:noProof/>
          <w:szCs w:val="24"/>
        </w:rPr>
        <w:t>(17), 3327–3342. https://doi.org/10.1002/ldr.4405</w:t>
      </w:r>
    </w:p>
    <w:p w14:paraId="61F2E412" w14:textId="77777777" w:rsidR="00C45256" w:rsidRPr="00C45256" w:rsidRDefault="00C45256" w:rsidP="00C45256">
      <w:pPr>
        <w:widowControl w:val="0"/>
        <w:autoSpaceDE w:val="0"/>
        <w:autoSpaceDN w:val="0"/>
        <w:adjustRightInd w:val="0"/>
        <w:spacing w:line="240" w:lineRule="auto"/>
        <w:ind w:left="480" w:hanging="480"/>
        <w:rPr>
          <w:rFonts w:ascii="Calibri" w:hAnsi="Calibri" w:cs="Calibri"/>
          <w:noProof/>
          <w:szCs w:val="24"/>
        </w:rPr>
      </w:pPr>
      <w:r w:rsidRPr="00C45256">
        <w:rPr>
          <w:rFonts w:ascii="Calibri" w:hAnsi="Calibri" w:cs="Calibri"/>
          <w:noProof/>
          <w:szCs w:val="24"/>
        </w:rPr>
        <w:t xml:space="preserve">Manea, E. E., Bumbac, C., Dinu, L. R., Bumbac, M., &amp; Nicolescu, C. M. (2024). Composting as a Sustainable Solution for Organic Solid Waste Management: Current Practices and Potential Improvements. </w:t>
      </w:r>
      <w:r w:rsidRPr="00C45256">
        <w:rPr>
          <w:rFonts w:ascii="Calibri" w:hAnsi="Calibri" w:cs="Calibri"/>
          <w:i/>
          <w:iCs/>
          <w:noProof/>
          <w:szCs w:val="24"/>
        </w:rPr>
        <w:t>Sustainability (Switzerland)</w:t>
      </w:r>
      <w:r w:rsidRPr="00C45256">
        <w:rPr>
          <w:rFonts w:ascii="Calibri" w:hAnsi="Calibri" w:cs="Calibri"/>
          <w:noProof/>
          <w:szCs w:val="24"/>
        </w:rPr>
        <w:t xml:space="preserve">, </w:t>
      </w:r>
      <w:r w:rsidRPr="00C45256">
        <w:rPr>
          <w:rFonts w:ascii="Calibri" w:hAnsi="Calibri" w:cs="Calibri"/>
          <w:i/>
          <w:iCs/>
          <w:noProof/>
          <w:szCs w:val="24"/>
        </w:rPr>
        <w:t>16</w:t>
      </w:r>
      <w:r w:rsidRPr="00C45256">
        <w:rPr>
          <w:rFonts w:ascii="Calibri" w:hAnsi="Calibri" w:cs="Calibri"/>
          <w:noProof/>
          <w:szCs w:val="24"/>
        </w:rPr>
        <w:t>(15), 1–25. https://doi.org/10.3390/su16156329</w:t>
      </w:r>
    </w:p>
    <w:p w14:paraId="3E2460D4" w14:textId="77777777" w:rsidR="00C45256" w:rsidRPr="00C45256" w:rsidRDefault="00C45256" w:rsidP="00C45256">
      <w:pPr>
        <w:widowControl w:val="0"/>
        <w:autoSpaceDE w:val="0"/>
        <w:autoSpaceDN w:val="0"/>
        <w:adjustRightInd w:val="0"/>
        <w:spacing w:line="240" w:lineRule="auto"/>
        <w:ind w:left="480" w:hanging="480"/>
        <w:rPr>
          <w:rFonts w:ascii="Calibri" w:hAnsi="Calibri" w:cs="Calibri"/>
          <w:noProof/>
          <w:szCs w:val="24"/>
        </w:rPr>
      </w:pPr>
      <w:r w:rsidRPr="00C45256">
        <w:rPr>
          <w:rFonts w:ascii="Calibri" w:hAnsi="Calibri" w:cs="Calibri"/>
          <w:noProof/>
          <w:szCs w:val="24"/>
        </w:rPr>
        <w:t xml:space="preserve">Matisic, M., Dugan, I., &amp; Bogunovic, I. (2024). </w:t>
      </w:r>
      <w:r w:rsidRPr="00C45256">
        <w:rPr>
          <w:rFonts w:ascii="Calibri" w:hAnsi="Calibri" w:cs="Calibri"/>
          <w:i/>
          <w:iCs/>
          <w:noProof/>
          <w:szCs w:val="24"/>
        </w:rPr>
        <w:t>Challenges in Sustainable Agriculture — The Role of Organic Amendments</w:t>
      </w:r>
      <w:r w:rsidRPr="00C45256">
        <w:rPr>
          <w:rFonts w:ascii="Calibri" w:hAnsi="Calibri" w:cs="Calibri"/>
          <w:noProof/>
          <w:szCs w:val="24"/>
        </w:rPr>
        <w:t>.</w:t>
      </w:r>
    </w:p>
    <w:p w14:paraId="14A37A23" w14:textId="77777777" w:rsidR="00C45256" w:rsidRPr="00C45256" w:rsidRDefault="00C45256" w:rsidP="00C45256">
      <w:pPr>
        <w:widowControl w:val="0"/>
        <w:autoSpaceDE w:val="0"/>
        <w:autoSpaceDN w:val="0"/>
        <w:adjustRightInd w:val="0"/>
        <w:spacing w:line="240" w:lineRule="auto"/>
        <w:ind w:left="480" w:hanging="480"/>
        <w:rPr>
          <w:rFonts w:ascii="Calibri" w:hAnsi="Calibri" w:cs="Calibri"/>
          <w:noProof/>
          <w:szCs w:val="24"/>
        </w:rPr>
      </w:pPr>
      <w:r w:rsidRPr="00C45256">
        <w:rPr>
          <w:rFonts w:ascii="Calibri" w:hAnsi="Calibri" w:cs="Calibri"/>
          <w:noProof/>
          <w:szCs w:val="24"/>
        </w:rPr>
        <w:t xml:space="preserve">Mengqi, Z., Shi, A., Ajmal, M., Ye, L., &amp; Awais, M. (2023). Comprehensive review on agricultural waste utilization and high-temperature fermentation and composting. </w:t>
      </w:r>
      <w:r w:rsidRPr="00C45256">
        <w:rPr>
          <w:rFonts w:ascii="Calibri" w:hAnsi="Calibri" w:cs="Calibri"/>
          <w:i/>
          <w:iCs/>
          <w:noProof/>
          <w:szCs w:val="24"/>
        </w:rPr>
        <w:t>Biomass Conversion and Biorefinery</w:t>
      </w:r>
      <w:r w:rsidRPr="00C45256">
        <w:rPr>
          <w:rFonts w:ascii="Calibri" w:hAnsi="Calibri" w:cs="Calibri"/>
          <w:noProof/>
          <w:szCs w:val="24"/>
        </w:rPr>
        <w:t xml:space="preserve">, </w:t>
      </w:r>
      <w:r w:rsidRPr="00C45256">
        <w:rPr>
          <w:rFonts w:ascii="Calibri" w:hAnsi="Calibri" w:cs="Calibri"/>
          <w:i/>
          <w:iCs/>
          <w:noProof/>
          <w:szCs w:val="24"/>
        </w:rPr>
        <w:t>13</w:t>
      </w:r>
      <w:r w:rsidRPr="00C45256">
        <w:rPr>
          <w:rFonts w:ascii="Calibri" w:hAnsi="Calibri" w:cs="Calibri"/>
          <w:noProof/>
          <w:szCs w:val="24"/>
        </w:rPr>
        <w:t>(7), 5445–5468. https://doi.org/10.1007/s13399-021-01438-5</w:t>
      </w:r>
    </w:p>
    <w:p w14:paraId="5E915160" w14:textId="77777777" w:rsidR="00C45256" w:rsidRPr="00C45256" w:rsidRDefault="00C45256" w:rsidP="00C45256">
      <w:pPr>
        <w:widowControl w:val="0"/>
        <w:autoSpaceDE w:val="0"/>
        <w:autoSpaceDN w:val="0"/>
        <w:adjustRightInd w:val="0"/>
        <w:spacing w:line="240" w:lineRule="auto"/>
        <w:ind w:left="480" w:hanging="480"/>
        <w:rPr>
          <w:rFonts w:ascii="Calibri" w:hAnsi="Calibri" w:cs="Calibri"/>
          <w:noProof/>
          <w:szCs w:val="24"/>
        </w:rPr>
      </w:pPr>
      <w:r w:rsidRPr="00C45256">
        <w:rPr>
          <w:rFonts w:ascii="Calibri" w:hAnsi="Calibri" w:cs="Calibri"/>
          <w:noProof/>
          <w:szCs w:val="24"/>
        </w:rPr>
        <w:t xml:space="preserve">Mia, S., &amp; Zzaman, W. (2025). </w:t>
      </w:r>
      <w:r w:rsidRPr="00C45256">
        <w:rPr>
          <w:rFonts w:ascii="Calibri" w:hAnsi="Calibri" w:cs="Calibri"/>
          <w:i/>
          <w:iCs/>
          <w:noProof/>
          <w:szCs w:val="24"/>
        </w:rPr>
        <w:t>Review Article Food Waste – Derived Organic Fertilizers : Critical Insights , Agronomic Impacts , and Pathways for Sustainable Adoption</w:t>
      </w:r>
      <w:r w:rsidRPr="00C45256">
        <w:rPr>
          <w:rFonts w:ascii="Calibri" w:hAnsi="Calibri" w:cs="Calibri"/>
          <w:noProof/>
          <w:szCs w:val="24"/>
        </w:rPr>
        <w:t xml:space="preserve">. </w:t>
      </w:r>
      <w:r w:rsidRPr="00C45256">
        <w:rPr>
          <w:rFonts w:ascii="Calibri" w:hAnsi="Calibri" w:cs="Calibri"/>
          <w:i/>
          <w:iCs/>
          <w:noProof/>
          <w:szCs w:val="24"/>
        </w:rPr>
        <w:t>2025</w:t>
      </w:r>
      <w:r w:rsidRPr="00C45256">
        <w:rPr>
          <w:rFonts w:ascii="Calibri" w:hAnsi="Calibri" w:cs="Calibri"/>
          <w:noProof/>
          <w:szCs w:val="24"/>
        </w:rPr>
        <w:t>. https://doi.org/10.1155/ijfo/1551054</w:t>
      </w:r>
    </w:p>
    <w:p w14:paraId="07EBC6B7" w14:textId="77777777" w:rsidR="00C45256" w:rsidRPr="00C45256" w:rsidRDefault="00C45256" w:rsidP="00C45256">
      <w:pPr>
        <w:widowControl w:val="0"/>
        <w:autoSpaceDE w:val="0"/>
        <w:autoSpaceDN w:val="0"/>
        <w:adjustRightInd w:val="0"/>
        <w:spacing w:line="240" w:lineRule="auto"/>
        <w:ind w:left="480" w:hanging="480"/>
        <w:rPr>
          <w:rFonts w:ascii="Calibri" w:hAnsi="Calibri" w:cs="Calibri"/>
          <w:noProof/>
          <w:szCs w:val="24"/>
        </w:rPr>
      </w:pPr>
      <w:r w:rsidRPr="00C45256">
        <w:rPr>
          <w:rFonts w:ascii="Calibri" w:hAnsi="Calibri" w:cs="Calibri"/>
          <w:noProof/>
          <w:szCs w:val="24"/>
        </w:rPr>
        <w:t xml:space="preserve">Moore, D. J. P., Gonzalez-Meler, M. A., Taneva, L., Pippen, J. S., Kim, H.-S., &amp; DeLucia, E. H. (2008). The effect of carbon dioxide enrichment on apparent stem respiration from Pinus taeda L. is confounded by high levels of soil carbon dioxide. </w:t>
      </w:r>
      <w:r w:rsidRPr="00C45256">
        <w:rPr>
          <w:rFonts w:ascii="Calibri" w:hAnsi="Calibri" w:cs="Calibri"/>
          <w:i/>
          <w:iCs/>
          <w:noProof/>
          <w:szCs w:val="24"/>
        </w:rPr>
        <w:t>Oecologia</w:t>
      </w:r>
      <w:r w:rsidRPr="00C45256">
        <w:rPr>
          <w:rFonts w:ascii="Calibri" w:hAnsi="Calibri" w:cs="Calibri"/>
          <w:noProof/>
          <w:szCs w:val="24"/>
        </w:rPr>
        <w:t xml:space="preserve">, </w:t>
      </w:r>
      <w:r w:rsidRPr="00C45256">
        <w:rPr>
          <w:rFonts w:ascii="Calibri" w:hAnsi="Calibri" w:cs="Calibri"/>
          <w:i/>
          <w:iCs/>
          <w:noProof/>
          <w:szCs w:val="24"/>
        </w:rPr>
        <w:t>158</w:t>
      </w:r>
      <w:r w:rsidRPr="00C45256">
        <w:rPr>
          <w:rFonts w:ascii="Calibri" w:hAnsi="Calibri" w:cs="Calibri"/>
          <w:noProof/>
          <w:szCs w:val="24"/>
        </w:rPr>
        <w:t>, 1–10.</w:t>
      </w:r>
    </w:p>
    <w:p w14:paraId="7B33111A" w14:textId="77777777" w:rsidR="00C45256" w:rsidRPr="00C45256" w:rsidRDefault="00C45256" w:rsidP="00C45256">
      <w:pPr>
        <w:widowControl w:val="0"/>
        <w:autoSpaceDE w:val="0"/>
        <w:autoSpaceDN w:val="0"/>
        <w:adjustRightInd w:val="0"/>
        <w:spacing w:line="240" w:lineRule="auto"/>
        <w:ind w:left="480" w:hanging="480"/>
        <w:rPr>
          <w:rFonts w:ascii="Calibri" w:hAnsi="Calibri" w:cs="Calibri"/>
          <w:noProof/>
          <w:szCs w:val="24"/>
        </w:rPr>
      </w:pPr>
      <w:r w:rsidRPr="00C45256">
        <w:rPr>
          <w:rFonts w:ascii="Calibri" w:hAnsi="Calibri" w:cs="Calibri"/>
          <w:noProof/>
          <w:szCs w:val="24"/>
        </w:rPr>
        <w:t xml:space="preserve">Nag, S. K., Ghosh, B. Das, Das, B. K., &amp; Sarkar, U. K. (2025). Wetlands function as carbon sink: Evaluation of few floodplains of middle Assam, northeast India in the perspective of climate change. </w:t>
      </w:r>
      <w:r w:rsidRPr="00C45256">
        <w:rPr>
          <w:rFonts w:ascii="Calibri" w:hAnsi="Calibri" w:cs="Calibri"/>
          <w:i/>
          <w:iCs/>
          <w:noProof/>
          <w:szCs w:val="24"/>
        </w:rPr>
        <w:t>Journal of Environmental Management</w:t>
      </w:r>
      <w:r w:rsidRPr="00C45256">
        <w:rPr>
          <w:rFonts w:ascii="Calibri" w:hAnsi="Calibri" w:cs="Calibri"/>
          <w:noProof/>
          <w:szCs w:val="24"/>
        </w:rPr>
        <w:t xml:space="preserve">, </w:t>
      </w:r>
      <w:r w:rsidRPr="00C45256">
        <w:rPr>
          <w:rFonts w:ascii="Calibri" w:hAnsi="Calibri" w:cs="Calibri"/>
          <w:i/>
          <w:iCs/>
          <w:noProof/>
          <w:szCs w:val="24"/>
        </w:rPr>
        <w:t>373</w:t>
      </w:r>
      <w:r w:rsidRPr="00C45256">
        <w:rPr>
          <w:rFonts w:ascii="Calibri" w:hAnsi="Calibri" w:cs="Calibri"/>
          <w:noProof/>
          <w:szCs w:val="24"/>
        </w:rPr>
        <w:t>(December 2024), 123841. https://doi.org/10.1016/j.jenvman.2024.123841</w:t>
      </w:r>
    </w:p>
    <w:p w14:paraId="7123FC3E" w14:textId="77777777" w:rsidR="00C45256" w:rsidRPr="00C45256" w:rsidRDefault="00C45256" w:rsidP="00C45256">
      <w:pPr>
        <w:widowControl w:val="0"/>
        <w:autoSpaceDE w:val="0"/>
        <w:autoSpaceDN w:val="0"/>
        <w:adjustRightInd w:val="0"/>
        <w:spacing w:line="240" w:lineRule="auto"/>
        <w:ind w:left="480" w:hanging="480"/>
        <w:rPr>
          <w:rFonts w:ascii="Calibri" w:hAnsi="Calibri" w:cs="Calibri"/>
          <w:noProof/>
          <w:szCs w:val="24"/>
        </w:rPr>
      </w:pPr>
      <w:r w:rsidRPr="00C45256">
        <w:rPr>
          <w:rFonts w:ascii="Calibri" w:hAnsi="Calibri" w:cs="Calibri"/>
          <w:noProof/>
          <w:szCs w:val="24"/>
        </w:rPr>
        <w:t xml:space="preserve">Olaniyan, J. O., Isimikalu, T. O., Raji, B. A., Affinnih, K. O., Alasinrin, S. Y., &amp; Ajala, O. N. (2020). An investigation of the effect of biochar application rates on CO2 emissions in soils under upland rice production in southern Guinea Savannah of Nigeria. </w:t>
      </w:r>
      <w:r w:rsidRPr="00C45256">
        <w:rPr>
          <w:rFonts w:ascii="Calibri" w:hAnsi="Calibri" w:cs="Calibri"/>
          <w:i/>
          <w:iCs/>
          <w:noProof/>
          <w:szCs w:val="24"/>
        </w:rPr>
        <w:t>Heliyon</w:t>
      </w:r>
      <w:r w:rsidRPr="00C45256">
        <w:rPr>
          <w:rFonts w:ascii="Calibri" w:hAnsi="Calibri" w:cs="Calibri"/>
          <w:noProof/>
          <w:szCs w:val="24"/>
        </w:rPr>
        <w:t xml:space="preserve">, </w:t>
      </w:r>
      <w:r w:rsidRPr="00C45256">
        <w:rPr>
          <w:rFonts w:ascii="Calibri" w:hAnsi="Calibri" w:cs="Calibri"/>
          <w:i/>
          <w:iCs/>
          <w:noProof/>
          <w:szCs w:val="24"/>
        </w:rPr>
        <w:t>6</w:t>
      </w:r>
      <w:r w:rsidRPr="00C45256">
        <w:rPr>
          <w:rFonts w:ascii="Calibri" w:hAnsi="Calibri" w:cs="Calibri"/>
          <w:noProof/>
          <w:szCs w:val="24"/>
        </w:rPr>
        <w:t>(11). https://doi.org/10.1016/j.heliyon.2020.e05578</w:t>
      </w:r>
    </w:p>
    <w:p w14:paraId="0C90C2A6" w14:textId="77777777" w:rsidR="00C45256" w:rsidRPr="00C45256" w:rsidRDefault="00C45256" w:rsidP="00C45256">
      <w:pPr>
        <w:widowControl w:val="0"/>
        <w:autoSpaceDE w:val="0"/>
        <w:autoSpaceDN w:val="0"/>
        <w:adjustRightInd w:val="0"/>
        <w:spacing w:line="240" w:lineRule="auto"/>
        <w:ind w:left="480" w:hanging="480"/>
        <w:rPr>
          <w:rFonts w:ascii="Calibri" w:hAnsi="Calibri" w:cs="Calibri"/>
          <w:noProof/>
          <w:szCs w:val="24"/>
        </w:rPr>
      </w:pPr>
      <w:r w:rsidRPr="00C45256">
        <w:rPr>
          <w:rFonts w:ascii="Calibri" w:hAnsi="Calibri" w:cs="Calibri"/>
          <w:noProof/>
          <w:szCs w:val="24"/>
        </w:rPr>
        <w:t xml:space="preserve">Panchal, P., Preece, C., Peñuelas, J., &amp; Giri, J. (2022). Soil carbon sequestration by root exudates. </w:t>
      </w:r>
      <w:r w:rsidRPr="00C45256">
        <w:rPr>
          <w:rFonts w:ascii="Calibri" w:hAnsi="Calibri" w:cs="Calibri"/>
          <w:i/>
          <w:iCs/>
          <w:noProof/>
          <w:szCs w:val="24"/>
        </w:rPr>
        <w:t>Trends in Plant Science</w:t>
      </w:r>
      <w:r w:rsidRPr="00C45256">
        <w:rPr>
          <w:rFonts w:ascii="Calibri" w:hAnsi="Calibri" w:cs="Calibri"/>
          <w:noProof/>
          <w:szCs w:val="24"/>
        </w:rPr>
        <w:t xml:space="preserve">, </w:t>
      </w:r>
      <w:r w:rsidRPr="00C45256">
        <w:rPr>
          <w:rFonts w:ascii="Calibri" w:hAnsi="Calibri" w:cs="Calibri"/>
          <w:i/>
          <w:iCs/>
          <w:noProof/>
          <w:szCs w:val="24"/>
        </w:rPr>
        <w:t>27</w:t>
      </w:r>
      <w:r w:rsidRPr="00C45256">
        <w:rPr>
          <w:rFonts w:ascii="Calibri" w:hAnsi="Calibri" w:cs="Calibri"/>
          <w:noProof/>
          <w:szCs w:val="24"/>
        </w:rPr>
        <w:t>(8), 749–757. https://doi.org/10.1016/j.tplants.2022.04.009</w:t>
      </w:r>
    </w:p>
    <w:p w14:paraId="288811FA" w14:textId="77777777" w:rsidR="00C45256" w:rsidRPr="00C45256" w:rsidRDefault="00C45256" w:rsidP="00C45256">
      <w:pPr>
        <w:widowControl w:val="0"/>
        <w:autoSpaceDE w:val="0"/>
        <w:autoSpaceDN w:val="0"/>
        <w:adjustRightInd w:val="0"/>
        <w:spacing w:line="240" w:lineRule="auto"/>
        <w:ind w:left="480" w:hanging="480"/>
        <w:rPr>
          <w:rFonts w:ascii="Calibri" w:hAnsi="Calibri" w:cs="Calibri"/>
          <w:noProof/>
          <w:szCs w:val="24"/>
        </w:rPr>
      </w:pPr>
      <w:r w:rsidRPr="00C45256">
        <w:rPr>
          <w:rFonts w:ascii="Calibri" w:hAnsi="Calibri" w:cs="Calibri"/>
          <w:noProof/>
          <w:szCs w:val="24"/>
        </w:rPr>
        <w:t xml:space="preserve">Rajanna, G. A. (2023). </w:t>
      </w:r>
      <w:r w:rsidRPr="00C45256">
        <w:rPr>
          <w:rFonts w:ascii="Calibri" w:hAnsi="Calibri" w:cs="Calibri"/>
          <w:i/>
          <w:iCs/>
          <w:noProof/>
          <w:szCs w:val="24"/>
        </w:rPr>
        <w:t>Integrated nutrient management for improving crop yields , soil properties , and reducing greenhouse gas emissions</w:t>
      </w:r>
      <w:r w:rsidRPr="00C45256">
        <w:rPr>
          <w:rFonts w:ascii="Calibri" w:hAnsi="Calibri" w:cs="Calibri"/>
          <w:noProof/>
          <w:szCs w:val="24"/>
        </w:rPr>
        <w:t xml:space="preserve">. </w:t>
      </w:r>
      <w:r w:rsidRPr="00C45256">
        <w:rPr>
          <w:rFonts w:ascii="Calibri" w:hAnsi="Calibri" w:cs="Calibri"/>
          <w:i/>
          <w:iCs/>
          <w:noProof/>
          <w:szCs w:val="24"/>
        </w:rPr>
        <w:t>June</w:t>
      </w:r>
      <w:r w:rsidRPr="00C45256">
        <w:rPr>
          <w:rFonts w:ascii="Calibri" w:hAnsi="Calibri" w:cs="Calibri"/>
          <w:noProof/>
          <w:szCs w:val="24"/>
        </w:rPr>
        <w:t>, 1–13. https://doi.org/10.3389/fsufs.2023.1173258</w:t>
      </w:r>
    </w:p>
    <w:p w14:paraId="07267C17" w14:textId="77777777" w:rsidR="00C45256" w:rsidRPr="00C45256" w:rsidRDefault="00C45256" w:rsidP="00C45256">
      <w:pPr>
        <w:widowControl w:val="0"/>
        <w:autoSpaceDE w:val="0"/>
        <w:autoSpaceDN w:val="0"/>
        <w:adjustRightInd w:val="0"/>
        <w:spacing w:line="240" w:lineRule="auto"/>
        <w:ind w:left="480" w:hanging="480"/>
        <w:rPr>
          <w:rFonts w:ascii="Calibri" w:hAnsi="Calibri" w:cs="Calibri"/>
          <w:noProof/>
          <w:szCs w:val="24"/>
        </w:rPr>
      </w:pPr>
      <w:r w:rsidRPr="00C45256">
        <w:rPr>
          <w:rFonts w:ascii="Calibri" w:hAnsi="Calibri" w:cs="Calibri"/>
          <w:noProof/>
          <w:szCs w:val="24"/>
        </w:rPr>
        <w:t xml:space="preserve">Wang, D., Lin, J. Y., Sayre, J. M., Schmidt, R., Fonte, S. J., Rodrigues, J. L. M., &amp; Scow, K. M. (2022). </w:t>
      </w:r>
      <w:r w:rsidRPr="00C45256">
        <w:rPr>
          <w:rFonts w:ascii="Calibri" w:hAnsi="Calibri" w:cs="Calibri"/>
          <w:i/>
          <w:iCs/>
          <w:noProof/>
          <w:szCs w:val="24"/>
        </w:rPr>
        <w:t>Geoderma Compost amendment maintains soil structure and carbon storage by increasing available carbon and microbial biomass in agricultural soil – A six-year field study</w:t>
      </w:r>
      <w:r w:rsidRPr="00C45256">
        <w:rPr>
          <w:rFonts w:ascii="Calibri" w:hAnsi="Calibri" w:cs="Calibri"/>
          <w:noProof/>
          <w:szCs w:val="24"/>
        </w:rPr>
        <w:t xml:space="preserve">. </w:t>
      </w:r>
      <w:r w:rsidRPr="00C45256">
        <w:rPr>
          <w:rFonts w:ascii="Calibri" w:hAnsi="Calibri" w:cs="Calibri"/>
          <w:i/>
          <w:iCs/>
          <w:noProof/>
          <w:szCs w:val="24"/>
        </w:rPr>
        <w:t>427</w:t>
      </w:r>
      <w:r w:rsidRPr="00C45256">
        <w:rPr>
          <w:rFonts w:ascii="Calibri" w:hAnsi="Calibri" w:cs="Calibri"/>
          <w:noProof/>
          <w:szCs w:val="24"/>
        </w:rPr>
        <w:t>(August).</w:t>
      </w:r>
    </w:p>
    <w:p w14:paraId="6A7330C8" w14:textId="77777777" w:rsidR="00C45256" w:rsidRPr="00C45256" w:rsidRDefault="00C45256" w:rsidP="00C45256">
      <w:pPr>
        <w:widowControl w:val="0"/>
        <w:autoSpaceDE w:val="0"/>
        <w:autoSpaceDN w:val="0"/>
        <w:adjustRightInd w:val="0"/>
        <w:spacing w:line="240" w:lineRule="auto"/>
        <w:ind w:left="480" w:hanging="480"/>
        <w:rPr>
          <w:rFonts w:ascii="Calibri" w:hAnsi="Calibri" w:cs="Calibri"/>
          <w:noProof/>
        </w:rPr>
      </w:pPr>
      <w:r w:rsidRPr="00C45256">
        <w:rPr>
          <w:rFonts w:ascii="Calibri" w:hAnsi="Calibri" w:cs="Calibri"/>
          <w:noProof/>
          <w:szCs w:val="24"/>
        </w:rPr>
        <w:t xml:space="preserve">Yadav, H., Neeraj, A., &amp; Vats, P. (2024). </w:t>
      </w:r>
      <w:r w:rsidRPr="00C45256">
        <w:rPr>
          <w:rFonts w:ascii="Calibri" w:hAnsi="Calibri" w:cs="Calibri"/>
          <w:i/>
          <w:iCs/>
          <w:noProof/>
          <w:szCs w:val="24"/>
        </w:rPr>
        <w:t>Improvement of soil health and crop production through utilization of organic wastes : A sustainable approach</w:t>
      </w:r>
      <w:r w:rsidRPr="00C45256">
        <w:rPr>
          <w:rFonts w:ascii="Calibri" w:hAnsi="Calibri" w:cs="Calibri"/>
          <w:noProof/>
          <w:szCs w:val="24"/>
        </w:rPr>
        <w:t xml:space="preserve">. </w:t>
      </w:r>
      <w:r w:rsidRPr="00C45256">
        <w:rPr>
          <w:rFonts w:ascii="Calibri" w:hAnsi="Calibri" w:cs="Calibri"/>
          <w:i/>
          <w:iCs/>
          <w:noProof/>
          <w:szCs w:val="24"/>
        </w:rPr>
        <w:t>13</w:t>
      </w:r>
      <w:r w:rsidRPr="00C45256">
        <w:rPr>
          <w:rFonts w:ascii="Calibri" w:hAnsi="Calibri" w:cs="Calibri"/>
          <w:noProof/>
          <w:szCs w:val="24"/>
        </w:rPr>
        <w:t>(1), 1–15.</w:t>
      </w:r>
    </w:p>
    <w:p w14:paraId="01B019AD" w14:textId="49BE39EC" w:rsidR="00C45256" w:rsidRPr="00C45256" w:rsidRDefault="00C45256" w:rsidP="00C45256">
      <w:r>
        <w:fldChar w:fldCharType="end"/>
      </w:r>
    </w:p>
    <w:sectPr w:rsidR="00C45256" w:rsidRPr="00C45256" w:rsidSect="00643DD0">
      <w:headerReference w:type="even" r:id="rId16"/>
      <w:headerReference w:type="default" r:id="rId17"/>
      <w:footerReference w:type="even" r:id="rId18"/>
      <w:footerReference w:type="default" r:id="rId19"/>
      <w:headerReference w:type="first" r:id="rId20"/>
      <w:footerReference w:type="first" r:id="rId21"/>
      <w:type w:val="nextColumn"/>
      <w:pgSz w:w="11909" w:h="16834" w:code="9"/>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4EFA749" w14:textId="77777777" w:rsidR="0083196F" w:rsidRDefault="0083196F" w:rsidP="006E6A69">
      <w:pPr>
        <w:spacing w:after="0" w:line="240" w:lineRule="auto"/>
      </w:pPr>
      <w:r>
        <w:separator/>
      </w:r>
    </w:p>
  </w:endnote>
  <w:endnote w:type="continuationSeparator" w:id="0">
    <w:p w14:paraId="22163D43" w14:textId="77777777" w:rsidR="0083196F" w:rsidRDefault="0083196F" w:rsidP="006E6A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92744211"/>
      <w:docPartObj>
        <w:docPartGallery w:val="Page Numbers (Bottom of Page)"/>
        <w:docPartUnique/>
      </w:docPartObj>
    </w:sdtPr>
    <w:sdtEndPr>
      <w:rPr>
        <w:rStyle w:val="PageNumber"/>
      </w:rPr>
    </w:sdtEndPr>
    <w:sdtContent>
      <w:p w14:paraId="145B9EEE" w14:textId="35DEACB4" w:rsidR="00BE709A" w:rsidRDefault="00BE709A" w:rsidP="00A24AD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34</w:t>
        </w:r>
        <w:r>
          <w:rPr>
            <w:rStyle w:val="PageNumber"/>
          </w:rPr>
          <w:fldChar w:fldCharType="end"/>
        </w:r>
      </w:p>
    </w:sdtContent>
  </w:sdt>
  <w:p w14:paraId="4B5B9B24" w14:textId="77777777" w:rsidR="00BE709A" w:rsidRDefault="00BE709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87745294"/>
      <w:docPartObj>
        <w:docPartGallery w:val="Page Numbers (Bottom of Page)"/>
        <w:docPartUnique/>
      </w:docPartObj>
    </w:sdtPr>
    <w:sdtEndPr>
      <w:rPr>
        <w:noProof/>
      </w:rPr>
    </w:sdtEndPr>
    <w:sdtContent>
      <w:p w14:paraId="2DB1B20B" w14:textId="75A9E35E" w:rsidR="00BE709A" w:rsidRDefault="00BE709A">
        <w:pPr>
          <w:pStyle w:val="Footer"/>
          <w:jc w:val="center"/>
        </w:pPr>
        <w:r>
          <w:fldChar w:fldCharType="begin"/>
        </w:r>
        <w:r>
          <w:instrText xml:space="preserve"> PAGE   \* MERGEFORMAT </w:instrText>
        </w:r>
        <w:r>
          <w:fldChar w:fldCharType="separate"/>
        </w:r>
        <w:r w:rsidR="00444D78">
          <w:rPr>
            <w:noProof/>
          </w:rPr>
          <w:t>x</w:t>
        </w:r>
        <w:r>
          <w:rPr>
            <w:noProof/>
          </w:rPr>
          <w:fldChar w:fldCharType="end"/>
        </w:r>
      </w:p>
    </w:sdtContent>
  </w:sdt>
  <w:p w14:paraId="77A8A11D" w14:textId="5B50780F" w:rsidR="00BE709A" w:rsidRPr="006D0F97" w:rsidRDefault="00BE709A" w:rsidP="006D0F97">
    <w:pPr>
      <w:pStyle w:val="Footer"/>
      <w:rPr>
        <w:rStyle w:val="PageNumber"/>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2C4551" w14:textId="77777777" w:rsidR="006D1F14" w:rsidRDefault="006D1F1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0DE8E9E" w14:textId="77777777" w:rsidR="0083196F" w:rsidRDefault="0083196F" w:rsidP="006E6A69">
      <w:pPr>
        <w:spacing w:after="0" w:line="240" w:lineRule="auto"/>
      </w:pPr>
      <w:r>
        <w:separator/>
      </w:r>
    </w:p>
  </w:footnote>
  <w:footnote w:type="continuationSeparator" w:id="0">
    <w:p w14:paraId="3698F510" w14:textId="77777777" w:rsidR="0083196F" w:rsidRDefault="0083196F" w:rsidP="006E6A6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4E7C2C" w14:textId="6D74B58D" w:rsidR="006D1F14" w:rsidRDefault="006D1F14">
    <w:pPr>
      <w:pStyle w:val="Header"/>
    </w:pPr>
    <w:r>
      <w:rPr>
        <w:noProof/>
      </w:rPr>
      <w:pict w14:anchorId="00AC4F8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style="position:absolute;margin-left:0;margin-top:0;width:535.45pt;height:100.9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4D77E6" w14:textId="399F180F" w:rsidR="006D1F14" w:rsidRDefault="006D1F14">
    <w:pPr>
      <w:pStyle w:val="Header"/>
    </w:pPr>
    <w:r>
      <w:rPr>
        <w:noProof/>
      </w:rPr>
      <w:pict w14:anchorId="4DDD309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1" type="#_x0000_t136" style="position:absolute;margin-left:0;margin-top:0;width:535.45pt;height:100.9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A2FAF4" w14:textId="49937470" w:rsidR="006D1F14" w:rsidRDefault="006D1F14">
    <w:pPr>
      <w:pStyle w:val="Header"/>
    </w:pPr>
    <w:r>
      <w:rPr>
        <w:noProof/>
      </w:rPr>
      <w:pict w14:anchorId="535045D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2049" type="#_x0000_t136" style="position:absolute;margin-left:0;margin-top:0;width:535.45pt;height:100.9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E5745E"/>
    <w:multiLevelType w:val="hybridMultilevel"/>
    <w:tmpl w:val="85884750"/>
    <w:lvl w:ilvl="0" w:tplc="4F18CBF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E45295A"/>
    <w:multiLevelType w:val="hybridMultilevel"/>
    <w:tmpl w:val="724A0FE0"/>
    <w:lvl w:ilvl="0" w:tplc="3A9CBDDE">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50353BD"/>
    <w:multiLevelType w:val="hybridMultilevel"/>
    <w:tmpl w:val="6F0800AA"/>
    <w:lvl w:ilvl="0" w:tplc="4F18CBF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8C452E9"/>
    <w:multiLevelType w:val="hybridMultilevel"/>
    <w:tmpl w:val="819A69AA"/>
    <w:lvl w:ilvl="0" w:tplc="1E46AFEC">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F7156F6"/>
    <w:multiLevelType w:val="hybridMultilevel"/>
    <w:tmpl w:val="8F4027B8"/>
    <w:lvl w:ilvl="0" w:tplc="C742EAA6">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8560408"/>
    <w:multiLevelType w:val="hybridMultilevel"/>
    <w:tmpl w:val="7CE6E668"/>
    <w:lvl w:ilvl="0" w:tplc="4F18CBF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C7817BC"/>
    <w:multiLevelType w:val="hybridMultilevel"/>
    <w:tmpl w:val="8AB23D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73D3D3D"/>
    <w:multiLevelType w:val="hybridMultilevel"/>
    <w:tmpl w:val="18942876"/>
    <w:lvl w:ilvl="0" w:tplc="AB7C48BE">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5"/>
  </w:num>
  <w:num w:numId="3">
    <w:abstractNumId w:val="2"/>
  </w:num>
  <w:num w:numId="4">
    <w:abstractNumId w:val="0"/>
  </w:num>
  <w:num w:numId="5">
    <w:abstractNumId w:val="1"/>
  </w:num>
  <w:num w:numId="6">
    <w:abstractNumId w:val="4"/>
  </w:num>
  <w:num w:numId="7">
    <w:abstractNumId w:val="7"/>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4"/>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5771"/>
    <w:rsid w:val="00004B03"/>
    <w:rsid w:val="00010A00"/>
    <w:rsid w:val="00011809"/>
    <w:rsid w:val="00034D5D"/>
    <w:rsid w:val="00041F7D"/>
    <w:rsid w:val="00044C47"/>
    <w:rsid w:val="00083F43"/>
    <w:rsid w:val="000A103D"/>
    <w:rsid w:val="000A1798"/>
    <w:rsid w:val="000D2BA5"/>
    <w:rsid w:val="000F0DBA"/>
    <w:rsid w:val="000F55F8"/>
    <w:rsid w:val="00111D0E"/>
    <w:rsid w:val="0012543C"/>
    <w:rsid w:val="00125A71"/>
    <w:rsid w:val="001539F3"/>
    <w:rsid w:val="001905C7"/>
    <w:rsid w:val="001A186E"/>
    <w:rsid w:val="001B2216"/>
    <w:rsid w:val="001B35EE"/>
    <w:rsid w:val="001C4505"/>
    <w:rsid w:val="001C6CD9"/>
    <w:rsid w:val="001D34ED"/>
    <w:rsid w:val="001F6229"/>
    <w:rsid w:val="00204B42"/>
    <w:rsid w:val="002110E3"/>
    <w:rsid w:val="002372F6"/>
    <w:rsid w:val="00253BD1"/>
    <w:rsid w:val="00265771"/>
    <w:rsid w:val="00295BD0"/>
    <w:rsid w:val="002A4125"/>
    <w:rsid w:val="002A5561"/>
    <w:rsid w:val="002C3197"/>
    <w:rsid w:val="002D01BB"/>
    <w:rsid w:val="00304F38"/>
    <w:rsid w:val="00324469"/>
    <w:rsid w:val="00324BA9"/>
    <w:rsid w:val="003256DB"/>
    <w:rsid w:val="00336314"/>
    <w:rsid w:val="00353D6E"/>
    <w:rsid w:val="00355F7B"/>
    <w:rsid w:val="00366EEA"/>
    <w:rsid w:val="0037441B"/>
    <w:rsid w:val="0037452B"/>
    <w:rsid w:val="00385D7F"/>
    <w:rsid w:val="00396BB9"/>
    <w:rsid w:val="003979A3"/>
    <w:rsid w:val="003A3CA9"/>
    <w:rsid w:val="003A7F90"/>
    <w:rsid w:val="003C22CA"/>
    <w:rsid w:val="003E2B7B"/>
    <w:rsid w:val="003F03E4"/>
    <w:rsid w:val="004120F3"/>
    <w:rsid w:val="00413F01"/>
    <w:rsid w:val="00441007"/>
    <w:rsid w:val="00441482"/>
    <w:rsid w:val="00444D78"/>
    <w:rsid w:val="00445820"/>
    <w:rsid w:val="00447740"/>
    <w:rsid w:val="00456E53"/>
    <w:rsid w:val="00461985"/>
    <w:rsid w:val="00463679"/>
    <w:rsid w:val="0047351A"/>
    <w:rsid w:val="00474070"/>
    <w:rsid w:val="00491181"/>
    <w:rsid w:val="004A0EFB"/>
    <w:rsid w:val="004A104F"/>
    <w:rsid w:val="004A4424"/>
    <w:rsid w:val="004B25B4"/>
    <w:rsid w:val="004B28A9"/>
    <w:rsid w:val="004B61DC"/>
    <w:rsid w:val="004C0EE4"/>
    <w:rsid w:val="004C0F2F"/>
    <w:rsid w:val="004C1507"/>
    <w:rsid w:val="004C15D0"/>
    <w:rsid w:val="004F0A38"/>
    <w:rsid w:val="00500263"/>
    <w:rsid w:val="0050157E"/>
    <w:rsid w:val="00504D3B"/>
    <w:rsid w:val="00517A37"/>
    <w:rsid w:val="00520F8C"/>
    <w:rsid w:val="00563B88"/>
    <w:rsid w:val="00570F76"/>
    <w:rsid w:val="00574000"/>
    <w:rsid w:val="005809AD"/>
    <w:rsid w:val="00583AA1"/>
    <w:rsid w:val="00584102"/>
    <w:rsid w:val="005854F9"/>
    <w:rsid w:val="005B21D1"/>
    <w:rsid w:val="005D4FF0"/>
    <w:rsid w:val="005E4FA1"/>
    <w:rsid w:val="00615B8A"/>
    <w:rsid w:val="00625E19"/>
    <w:rsid w:val="00630086"/>
    <w:rsid w:val="00631DEB"/>
    <w:rsid w:val="00632708"/>
    <w:rsid w:val="00636FC6"/>
    <w:rsid w:val="00640B23"/>
    <w:rsid w:val="00640D80"/>
    <w:rsid w:val="00643DD0"/>
    <w:rsid w:val="00650449"/>
    <w:rsid w:val="006668F9"/>
    <w:rsid w:val="00670E0F"/>
    <w:rsid w:val="0067233F"/>
    <w:rsid w:val="00692D56"/>
    <w:rsid w:val="006A3CFB"/>
    <w:rsid w:val="006A612F"/>
    <w:rsid w:val="006B1413"/>
    <w:rsid w:val="006C527E"/>
    <w:rsid w:val="006D0F97"/>
    <w:rsid w:val="006D1F14"/>
    <w:rsid w:val="006D67E8"/>
    <w:rsid w:val="006E3B5B"/>
    <w:rsid w:val="006E61DB"/>
    <w:rsid w:val="006E6A69"/>
    <w:rsid w:val="006F1BD1"/>
    <w:rsid w:val="006F42E8"/>
    <w:rsid w:val="00716406"/>
    <w:rsid w:val="00740DD6"/>
    <w:rsid w:val="00742E7D"/>
    <w:rsid w:val="00746E11"/>
    <w:rsid w:val="00753F5E"/>
    <w:rsid w:val="0075701A"/>
    <w:rsid w:val="0076246F"/>
    <w:rsid w:val="00774004"/>
    <w:rsid w:val="00777B4A"/>
    <w:rsid w:val="00783202"/>
    <w:rsid w:val="00785019"/>
    <w:rsid w:val="00786E35"/>
    <w:rsid w:val="0079263E"/>
    <w:rsid w:val="007A0E09"/>
    <w:rsid w:val="007B0196"/>
    <w:rsid w:val="007B55C4"/>
    <w:rsid w:val="007D0516"/>
    <w:rsid w:val="007D1350"/>
    <w:rsid w:val="007F7A53"/>
    <w:rsid w:val="0080110C"/>
    <w:rsid w:val="00813F79"/>
    <w:rsid w:val="0082754F"/>
    <w:rsid w:val="0083196F"/>
    <w:rsid w:val="00832168"/>
    <w:rsid w:val="00836E48"/>
    <w:rsid w:val="00845123"/>
    <w:rsid w:val="00877EF5"/>
    <w:rsid w:val="008835D8"/>
    <w:rsid w:val="00887A00"/>
    <w:rsid w:val="008963EE"/>
    <w:rsid w:val="008A278C"/>
    <w:rsid w:val="008B1777"/>
    <w:rsid w:val="008B32E2"/>
    <w:rsid w:val="008E132C"/>
    <w:rsid w:val="008E5672"/>
    <w:rsid w:val="008F61C5"/>
    <w:rsid w:val="008F7252"/>
    <w:rsid w:val="00910D89"/>
    <w:rsid w:val="00910EA1"/>
    <w:rsid w:val="00913ECA"/>
    <w:rsid w:val="0091686D"/>
    <w:rsid w:val="009216E0"/>
    <w:rsid w:val="0092478C"/>
    <w:rsid w:val="00927C6B"/>
    <w:rsid w:val="00932B9B"/>
    <w:rsid w:val="00946B40"/>
    <w:rsid w:val="00954D7A"/>
    <w:rsid w:val="00956ABB"/>
    <w:rsid w:val="00960EAD"/>
    <w:rsid w:val="00965434"/>
    <w:rsid w:val="00973100"/>
    <w:rsid w:val="00973D20"/>
    <w:rsid w:val="00974D19"/>
    <w:rsid w:val="00995CF1"/>
    <w:rsid w:val="009A33B0"/>
    <w:rsid w:val="009A3962"/>
    <w:rsid w:val="009A5A81"/>
    <w:rsid w:val="009A722A"/>
    <w:rsid w:val="009A7C74"/>
    <w:rsid w:val="009B5356"/>
    <w:rsid w:val="009B6A78"/>
    <w:rsid w:val="009C5DAE"/>
    <w:rsid w:val="009C7307"/>
    <w:rsid w:val="009D4D25"/>
    <w:rsid w:val="009D762C"/>
    <w:rsid w:val="009E0BEA"/>
    <w:rsid w:val="009F6DCF"/>
    <w:rsid w:val="00A0326A"/>
    <w:rsid w:val="00A04074"/>
    <w:rsid w:val="00A24AD0"/>
    <w:rsid w:val="00A730C8"/>
    <w:rsid w:val="00A766BD"/>
    <w:rsid w:val="00A82853"/>
    <w:rsid w:val="00AC2ED0"/>
    <w:rsid w:val="00AD0AE3"/>
    <w:rsid w:val="00B036A4"/>
    <w:rsid w:val="00B23EB7"/>
    <w:rsid w:val="00B26BE4"/>
    <w:rsid w:val="00B31159"/>
    <w:rsid w:val="00B3233E"/>
    <w:rsid w:val="00B3372B"/>
    <w:rsid w:val="00B33E53"/>
    <w:rsid w:val="00B87320"/>
    <w:rsid w:val="00B91C94"/>
    <w:rsid w:val="00B93E38"/>
    <w:rsid w:val="00BA406F"/>
    <w:rsid w:val="00BD09AE"/>
    <w:rsid w:val="00BD405E"/>
    <w:rsid w:val="00BD78A1"/>
    <w:rsid w:val="00BE709A"/>
    <w:rsid w:val="00BE7BB4"/>
    <w:rsid w:val="00BF078E"/>
    <w:rsid w:val="00C03D3F"/>
    <w:rsid w:val="00C45256"/>
    <w:rsid w:val="00C52170"/>
    <w:rsid w:val="00C52D46"/>
    <w:rsid w:val="00C62F85"/>
    <w:rsid w:val="00C70896"/>
    <w:rsid w:val="00C74495"/>
    <w:rsid w:val="00CA1B7D"/>
    <w:rsid w:val="00CA5FF9"/>
    <w:rsid w:val="00CC141C"/>
    <w:rsid w:val="00CD6841"/>
    <w:rsid w:val="00CE2E4D"/>
    <w:rsid w:val="00CE6FAC"/>
    <w:rsid w:val="00CF1F9B"/>
    <w:rsid w:val="00CF456D"/>
    <w:rsid w:val="00CF6FD6"/>
    <w:rsid w:val="00D032AE"/>
    <w:rsid w:val="00D16D81"/>
    <w:rsid w:val="00D204D8"/>
    <w:rsid w:val="00D213CD"/>
    <w:rsid w:val="00D446D6"/>
    <w:rsid w:val="00D45BAD"/>
    <w:rsid w:val="00D45C40"/>
    <w:rsid w:val="00D46E7A"/>
    <w:rsid w:val="00D94FAA"/>
    <w:rsid w:val="00DA2643"/>
    <w:rsid w:val="00DB5D7C"/>
    <w:rsid w:val="00DC662E"/>
    <w:rsid w:val="00DE1D08"/>
    <w:rsid w:val="00DE65F6"/>
    <w:rsid w:val="00E01733"/>
    <w:rsid w:val="00E038F7"/>
    <w:rsid w:val="00E04FD8"/>
    <w:rsid w:val="00E11FD2"/>
    <w:rsid w:val="00E1269A"/>
    <w:rsid w:val="00E1664B"/>
    <w:rsid w:val="00E17207"/>
    <w:rsid w:val="00E20BE5"/>
    <w:rsid w:val="00E229F9"/>
    <w:rsid w:val="00E2392D"/>
    <w:rsid w:val="00E31837"/>
    <w:rsid w:val="00E60578"/>
    <w:rsid w:val="00E6726D"/>
    <w:rsid w:val="00E719D0"/>
    <w:rsid w:val="00E75D6B"/>
    <w:rsid w:val="00E81A6D"/>
    <w:rsid w:val="00E81B3D"/>
    <w:rsid w:val="00E81CEB"/>
    <w:rsid w:val="00E852CE"/>
    <w:rsid w:val="00E97DA3"/>
    <w:rsid w:val="00EA0424"/>
    <w:rsid w:val="00EA461F"/>
    <w:rsid w:val="00EB0836"/>
    <w:rsid w:val="00EC2E98"/>
    <w:rsid w:val="00EC37E8"/>
    <w:rsid w:val="00EC728D"/>
    <w:rsid w:val="00ED43A9"/>
    <w:rsid w:val="00ED43E2"/>
    <w:rsid w:val="00EF4093"/>
    <w:rsid w:val="00F30B1D"/>
    <w:rsid w:val="00F320B9"/>
    <w:rsid w:val="00F34722"/>
    <w:rsid w:val="00F64AE5"/>
    <w:rsid w:val="00F64D76"/>
    <w:rsid w:val="00F765EC"/>
    <w:rsid w:val="00F81BC0"/>
    <w:rsid w:val="00F83EAF"/>
    <w:rsid w:val="00FB00E5"/>
    <w:rsid w:val="00FB09B3"/>
    <w:rsid w:val="00FB2E13"/>
    <w:rsid w:val="00FB2EA2"/>
    <w:rsid w:val="00FD329A"/>
    <w:rsid w:val="00FE3A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15A9924D"/>
  <w15:docId w15:val="{7ACBBD7E-6F49-4C34-99AB-67B090B077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E65F6"/>
    <w:pPr>
      <w:keepNext/>
      <w:keepLines/>
      <w:spacing w:before="240" w:after="0" w:line="480" w:lineRule="auto"/>
      <w:jc w:val="center"/>
      <w:outlineLvl w:val="0"/>
    </w:pPr>
    <w:rPr>
      <w:rFonts w:ascii="Cambria" w:eastAsia="MS Gothic" w:hAnsi="Cambria" w:cs="Times New Roman"/>
      <w:b/>
      <w:bCs/>
      <w:caps/>
      <w:sz w:val="20"/>
      <w:szCs w:val="20"/>
    </w:rPr>
  </w:style>
  <w:style w:type="paragraph" w:styleId="Heading2">
    <w:name w:val="heading 2"/>
    <w:basedOn w:val="Normal"/>
    <w:next w:val="Normal"/>
    <w:link w:val="Heading2Char"/>
    <w:uiPriority w:val="9"/>
    <w:unhideWhenUsed/>
    <w:qFormat/>
    <w:rsid w:val="006D0F97"/>
    <w:pPr>
      <w:keepNext/>
      <w:keepLines/>
      <w:spacing w:after="0" w:line="480" w:lineRule="auto"/>
      <w:outlineLvl w:val="1"/>
    </w:pPr>
    <w:rPr>
      <w:rFonts w:ascii="Times New Roman" w:eastAsiaTheme="majorEastAsia" w:hAnsi="Times New Roman" w:cstheme="majorBidi"/>
      <w:b/>
      <w:bCs/>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E6A69"/>
    <w:pPr>
      <w:tabs>
        <w:tab w:val="center" w:pos="4680"/>
        <w:tab w:val="right" w:pos="9360"/>
      </w:tabs>
      <w:spacing w:after="0" w:line="240" w:lineRule="auto"/>
    </w:pPr>
  </w:style>
  <w:style w:type="character" w:customStyle="1" w:styleId="HeaderChar">
    <w:name w:val="Header Char"/>
    <w:basedOn w:val="DefaultParagraphFont"/>
    <w:link w:val="Header"/>
    <w:uiPriority w:val="99"/>
    <w:rsid w:val="006E6A69"/>
  </w:style>
  <w:style w:type="paragraph" w:styleId="Footer">
    <w:name w:val="footer"/>
    <w:basedOn w:val="Normal"/>
    <w:link w:val="FooterChar"/>
    <w:uiPriority w:val="99"/>
    <w:unhideWhenUsed/>
    <w:rsid w:val="006E6A69"/>
    <w:pPr>
      <w:tabs>
        <w:tab w:val="center" w:pos="4680"/>
        <w:tab w:val="right" w:pos="9360"/>
      </w:tabs>
      <w:spacing w:after="0" w:line="240" w:lineRule="auto"/>
    </w:pPr>
  </w:style>
  <w:style w:type="character" w:customStyle="1" w:styleId="FooterChar">
    <w:name w:val="Footer Char"/>
    <w:basedOn w:val="DefaultParagraphFont"/>
    <w:link w:val="Footer"/>
    <w:uiPriority w:val="99"/>
    <w:rsid w:val="006E6A69"/>
  </w:style>
  <w:style w:type="table" w:styleId="TableGrid">
    <w:name w:val="Table Grid"/>
    <w:basedOn w:val="TableNormal"/>
    <w:uiPriority w:val="39"/>
    <w:rsid w:val="00D032AE"/>
    <w:pPr>
      <w:spacing w:after="0" w:line="240" w:lineRule="auto"/>
    </w:pPr>
    <w:rPr>
      <w:kern w:val="2"/>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41">
    <w:name w:val="Plain Table 41"/>
    <w:basedOn w:val="TableNormal"/>
    <w:uiPriority w:val="44"/>
    <w:rsid w:val="00CF1F9B"/>
    <w:pPr>
      <w:spacing w:after="0" w:line="240" w:lineRule="auto"/>
    </w:pPr>
    <w:rPr>
      <w:kern w:val="2"/>
      <w:sz w:val="24"/>
      <w:szCs w:val="24"/>
      <w14:ligatures w14:val="standardContextual"/>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ageNumber">
    <w:name w:val="page number"/>
    <w:basedOn w:val="DefaultParagraphFont"/>
    <w:uiPriority w:val="99"/>
    <w:semiHidden/>
    <w:unhideWhenUsed/>
    <w:rsid w:val="00A24AD0"/>
  </w:style>
  <w:style w:type="table" w:customStyle="1" w:styleId="PlainTable21">
    <w:name w:val="Plain Table 21"/>
    <w:basedOn w:val="TableNormal"/>
    <w:uiPriority w:val="42"/>
    <w:rsid w:val="00EB083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Heading1Char">
    <w:name w:val="Heading 1 Char"/>
    <w:basedOn w:val="DefaultParagraphFont"/>
    <w:link w:val="Heading1"/>
    <w:uiPriority w:val="9"/>
    <w:rsid w:val="00DE65F6"/>
    <w:rPr>
      <w:rFonts w:ascii="Cambria" w:eastAsia="MS Gothic" w:hAnsi="Cambria" w:cs="Times New Roman"/>
      <w:b/>
      <w:bCs/>
      <w:caps/>
      <w:sz w:val="20"/>
      <w:szCs w:val="20"/>
    </w:rPr>
  </w:style>
  <w:style w:type="paragraph" w:customStyle="1" w:styleId="Default">
    <w:name w:val="Default"/>
    <w:rsid w:val="00DE65F6"/>
    <w:pPr>
      <w:widowControl w:val="0"/>
      <w:autoSpaceDE w:val="0"/>
      <w:autoSpaceDN w:val="0"/>
      <w:adjustRightInd w:val="0"/>
      <w:spacing w:after="0" w:line="240" w:lineRule="auto"/>
    </w:pPr>
    <w:rPr>
      <w:rFonts w:ascii="Arial" w:hAnsi="Arial" w:cs="Arial"/>
      <w:color w:val="000000"/>
      <w:sz w:val="24"/>
      <w:szCs w:val="24"/>
      <w:lang w:val="en-GB"/>
    </w:rPr>
  </w:style>
  <w:style w:type="character" w:customStyle="1" w:styleId="Heading2Char">
    <w:name w:val="Heading 2 Char"/>
    <w:basedOn w:val="DefaultParagraphFont"/>
    <w:link w:val="Heading2"/>
    <w:uiPriority w:val="9"/>
    <w:rsid w:val="006D0F97"/>
    <w:rPr>
      <w:rFonts w:ascii="Times New Roman" w:eastAsiaTheme="majorEastAsia" w:hAnsi="Times New Roman" w:cstheme="majorBidi"/>
      <w:b/>
      <w:bCs/>
      <w:sz w:val="24"/>
      <w:szCs w:val="26"/>
    </w:rPr>
  </w:style>
  <w:style w:type="paragraph" w:styleId="NoSpacing">
    <w:name w:val="No Spacing"/>
    <w:uiPriority w:val="1"/>
    <w:qFormat/>
    <w:rsid w:val="006D0F97"/>
    <w:pPr>
      <w:spacing w:after="0" w:line="240" w:lineRule="auto"/>
    </w:pPr>
  </w:style>
  <w:style w:type="paragraph" w:customStyle="1" w:styleId="LT">
    <w:name w:val="LT"/>
    <w:basedOn w:val="Normal"/>
    <w:qFormat/>
    <w:rsid w:val="006D0F97"/>
    <w:pPr>
      <w:spacing w:after="0" w:line="240" w:lineRule="auto"/>
    </w:pPr>
    <w:rPr>
      <w:rFonts w:ascii="Times New Roman" w:hAnsi="Times New Roman" w:cs="Times New Roman"/>
      <w:b/>
      <w:sz w:val="24"/>
      <w:szCs w:val="24"/>
    </w:rPr>
  </w:style>
  <w:style w:type="paragraph" w:styleId="ListParagraph">
    <w:name w:val="List Paragraph"/>
    <w:basedOn w:val="Normal"/>
    <w:uiPriority w:val="34"/>
    <w:qFormat/>
    <w:rsid w:val="006D0F97"/>
    <w:pPr>
      <w:ind w:left="720"/>
      <w:contextualSpacing/>
    </w:pPr>
  </w:style>
  <w:style w:type="paragraph" w:styleId="TOC2">
    <w:name w:val="toc 2"/>
    <w:basedOn w:val="Normal"/>
    <w:next w:val="Normal"/>
    <w:autoRedefine/>
    <w:uiPriority w:val="39"/>
    <w:unhideWhenUsed/>
    <w:rsid w:val="006A3CFB"/>
    <w:pPr>
      <w:spacing w:after="100"/>
      <w:ind w:left="220"/>
    </w:pPr>
  </w:style>
  <w:style w:type="character" w:styleId="Hyperlink">
    <w:name w:val="Hyperlink"/>
    <w:basedOn w:val="DefaultParagraphFont"/>
    <w:uiPriority w:val="99"/>
    <w:unhideWhenUsed/>
    <w:rsid w:val="006A3CFB"/>
    <w:rPr>
      <w:color w:val="0563C1" w:themeColor="hyperlink"/>
      <w:u w:val="single"/>
    </w:rPr>
  </w:style>
  <w:style w:type="paragraph" w:styleId="TableofFigures">
    <w:name w:val="table of figures"/>
    <w:basedOn w:val="Normal"/>
    <w:next w:val="Normal"/>
    <w:uiPriority w:val="99"/>
    <w:unhideWhenUsed/>
    <w:rsid w:val="0012543C"/>
    <w:pPr>
      <w:spacing w:after="0"/>
    </w:pPr>
  </w:style>
  <w:style w:type="character" w:styleId="CommentReference">
    <w:name w:val="annotation reference"/>
    <w:basedOn w:val="DefaultParagraphFont"/>
    <w:uiPriority w:val="99"/>
    <w:semiHidden/>
    <w:unhideWhenUsed/>
    <w:rsid w:val="0037452B"/>
    <w:rPr>
      <w:sz w:val="16"/>
      <w:szCs w:val="16"/>
    </w:rPr>
  </w:style>
  <w:style w:type="paragraph" w:styleId="CommentText">
    <w:name w:val="annotation text"/>
    <w:basedOn w:val="Normal"/>
    <w:link w:val="CommentTextChar"/>
    <w:uiPriority w:val="99"/>
    <w:unhideWhenUsed/>
    <w:rsid w:val="0037452B"/>
    <w:pPr>
      <w:spacing w:line="240" w:lineRule="auto"/>
    </w:pPr>
    <w:rPr>
      <w:sz w:val="20"/>
      <w:szCs w:val="20"/>
    </w:rPr>
  </w:style>
  <w:style w:type="character" w:customStyle="1" w:styleId="CommentTextChar">
    <w:name w:val="Comment Text Char"/>
    <w:basedOn w:val="DefaultParagraphFont"/>
    <w:link w:val="CommentText"/>
    <w:uiPriority w:val="99"/>
    <w:rsid w:val="0037452B"/>
    <w:rPr>
      <w:sz w:val="20"/>
      <w:szCs w:val="20"/>
    </w:rPr>
  </w:style>
  <w:style w:type="paragraph" w:styleId="CommentSubject">
    <w:name w:val="annotation subject"/>
    <w:basedOn w:val="CommentText"/>
    <w:next w:val="CommentText"/>
    <w:link w:val="CommentSubjectChar"/>
    <w:uiPriority w:val="99"/>
    <w:semiHidden/>
    <w:unhideWhenUsed/>
    <w:rsid w:val="0037452B"/>
    <w:rPr>
      <w:b/>
      <w:bCs/>
    </w:rPr>
  </w:style>
  <w:style w:type="character" w:customStyle="1" w:styleId="CommentSubjectChar">
    <w:name w:val="Comment Subject Char"/>
    <w:basedOn w:val="CommentTextChar"/>
    <w:link w:val="CommentSubject"/>
    <w:uiPriority w:val="99"/>
    <w:semiHidden/>
    <w:rsid w:val="0037452B"/>
    <w:rPr>
      <w:b/>
      <w:bCs/>
      <w:sz w:val="20"/>
      <w:szCs w:val="20"/>
    </w:rPr>
  </w:style>
  <w:style w:type="character" w:customStyle="1" w:styleId="qwen-markdown-text">
    <w:name w:val="qwen-markdown-text"/>
    <w:basedOn w:val="DefaultParagraphFont"/>
    <w:rsid w:val="00973100"/>
  </w:style>
  <w:style w:type="character" w:styleId="UnresolvedMention">
    <w:name w:val="Unresolved Mention"/>
    <w:basedOn w:val="DefaultParagraphFont"/>
    <w:uiPriority w:val="99"/>
    <w:semiHidden/>
    <w:unhideWhenUsed/>
    <w:rsid w:val="00FB00E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9856129">
      <w:bodyDiv w:val="1"/>
      <w:marLeft w:val="0"/>
      <w:marRight w:val="0"/>
      <w:marTop w:val="0"/>
      <w:marBottom w:val="0"/>
      <w:divBdr>
        <w:top w:val="none" w:sz="0" w:space="0" w:color="auto"/>
        <w:left w:val="none" w:sz="0" w:space="0" w:color="auto"/>
        <w:bottom w:val="none" w:sz="0" w:space="0" w:color="auto"/>
        <w:right w:val="none" w:sz="0" w:space="0" w:color="auto"/>
      </w:divBdr>
      <w:divsChild>
        <w:div w:id="97217414">
          <w:marLeft w:val="0"/>
          <w:marRight w:val="0"/>
          <w:marTop w:val="0"/>
          <w:marBottom w:val="0"/>
          <w:divBdr>
            <w:top w:val="single" w:sz="2" w:space="0" w:color="E3E3E3"/>
            <w:left w:val="single" w:sz="2" w:space="0" w:color="E3E3E3"/>
            <w:bottom w:val="single" w:sz="2" w:space="0" w:color="E3E3E3"/>
            <w:right w:val="single" w:sz="2" w:space="0" w:color="E3E3E3"/>
          </w:divBdr>
        </w:div>
        <w:div w:id="543952232">
          <w:marLeft w:val="0"/>
          <w:marRight w:val="0"/>
          <w:marTop w:val="0"/>
          <w:marBottom w:val="0"/>
          <w:divBdr>
            <w:top w:val="single" w:sz="2" w:space="0" w:color="E3E3E3"/>
            <w:left w:val="single" w:sz="2" w:space="0" w:color="E3E3E3"/>
            <w:bottom w:val="single" w:sz="2" w:space="0" w:color="E3E3E3"/>
            <w:right w:val="single" w:sz="2" w:space="0" w:color="E3E3E3"/>
          </w:divBdr>
        </w:div>
        <w:div w:id="1453937863">
          <w:marLeft w:val="0"/>
          <w:marRight w:val="0"/>
          <w:marTop w:val="0"/>
          <w:marBottom w:val="0"/>
          <w:divBdr>
            <w:top w:val="single" w:sz="2" w:space="0" w:color="E3E3E3"/>
            <w:left w:val="single" w:sz="2" w:space="0" w:color="E3E3E3"/>
            <w:bottom w:val="single" w:sz="2" w:space="0" w:color="E3E3E3"/>
            <w:right w:val="single" w:sz="2" w:space="0" w:color="E3E3E3"/>
          </w:divBdr>
        </w:div>
        <w:div w:id="145588142">
          <w:marLeft w:val="0"/>
          <w:marRight w:val="0"/>
          <w:marTop w:val="0"/>
          <w:marBottom w:val="0"/>
          <w:divBdr>
            <w:top w:val="single" w:sz="2" w:space="0" w:color="E3E3E3"/>
            <w:left w:val="single" w:sz="2" w:space="0" w:color="E3E3E3"/>
            <w:bottom w:val="single" w:sz="2" w:space="0" w:color="E3E3E3"/>
            <w:right w:val="single" w:sz="2" w:space="0" w:color="E3E3E3"/>
          </w:divBdr>
        </w:div>
        <w:div w:id="1947498707">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689913122">
      <w:bodyDiv w:val="1"/>
      <w:marLeft w:val="0"/>
      <w:marRight w:val="0"/>
      <w:marTop w:val="0"/>
      <w:marBottom w:val="0"/>
      <w:divBdr>
        <w:top w:val="none" w:sz="0" w:space="0" w:color="auto"/>
        <w:left w:val="none" w:sz="0" w:space="0" w:color="auto"/>
        <w:bottom w:val="none" w:sz="0" w:space="0" w:color="auto"/>
        <w:right w:val="none" w:sz="0" w:space="0" w:color="auto"/>
      </w:divBdr>
    </w:div>
    <w:div w:id="769589390">
      <w:bodyDiv w:val="1"/>
      <w:marLeft w:val="0"/>
      <w:marRight w:val="0"/>
      <w:marTop w:val="0"/>
      <w:marBottom w:val="0"/>
      <w:divBdr>
        <w:top w:val="none" w:sz="0" w:space="0" w:color="auto"/>
        <w:left w:val="none" w:sz="0" w:space="0" w:color="auto"/>
        <w:bottom w:val="none" w:sz="0" w:space="0" w:color="auto"/>
        <w:right w:val="none" w:sz="0" w:space="0" w:color="auto"/>
      </w:divBdr>
      <w:divsChild>
        <w:div w:id="190269059">
          <w:marLeft w:val="0"/>
          <w:marRight w:val="0"/>
          <w:marTop w:val="0"/>
          <w:marBottom w:val="0"/>
          <w:divBdr>
            <w:top w:val="single" w:sz="2" w:space="0" w:color="E3E3E3"/>
            <w:left w:val="single" w:sz="2" w:space="0" w:color="E3E3E3"/>
            <w:bottom w:val="single" w:sz="2" w:space="0" w:color="E3E3E3"/>
            <w:right w:val="single" w:sz="2" w:space="0" w:color="E3E3E3"/>
          </w:divBdr>
        </w:div>
        <w:div w:id="1060596789">
          <w:marLeft w:val="0"/>
          <w:marRight w:val="0"/>
          <w:marTop w:val="0"/>
          <w:marBottom w:val="0"/>
          <w:divBdr>
            <w:top w:val="single" w:sz="2" w:space="0" w:color="E3E3E3"/>
            <w:left w:val="single" w:sz="2" w:space="0" w:color="E3E3E3"/>
            <w:bottom w:val="single" w:sz="2" w:space="0" w:color="E3E3E3"/>
            <w:right w:val="single" w:sz="2" w:space="0" w:color="E3E3E3"/>
          </w:divBdr>
        </w:div>
        <w:div w:id="1456296001">
          <w:marLeft w:val="0"/>
          <w:marRight w:val="0"/>
          <w:marTop w:val="0"/>
          <w:marBottom w:val="0"/>
          <w:divBdr>
            <w:top w:val="single" w:sz="2" w:space="0" w:color="E3E3E3"/>
            <w:left w:val="single" w:sz="2" w:space="0" w:color="E3E3E3"/>
            <w:bottom w:val="single" w:sz="2" w:space="0" w:color="E3E3E3"/>
            <w:right w:val="single" w:sz="2" w:space="0" w:color="E3E3E3"/>
          </w:divBdr>
        </w:div>
        <w:div w:id="1834568043">
          <w:marLeft w:val="0"/>
          <w:marRight w:val="0"/>
          <w:marTop w:val="0"/>
          <w:marBottom w:val="0"/>
          <w:divBdr>
            <w:top w:val="single" w:sz="2" w:space="0" w:color="E3E3E3"/>
            <w:left w:val="single" w:sz="2" w:space="0" w:color="E3E3E3"/>
            <w:bottom w:val="single" w:sz="2" w:space="0" w:color="E3E3E3"/>
            <w:right w:val="single" w:sz="2" w:space="0" w:color="E3E3E3"/>
          </w:divBdr>
        </w:div>
        <w:div w:id="643705107">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005278755">
      <w:bodyDiv w:val="1"/>
      <w:marLeft w:val="0"/>
      <w:marRight w:val="0"/>
      <w:marTop w:val="0"/>
      <w:marBottom w:val="0"/>
      <w:divBdr>
        <w:top w:val="none" w:sz="0" w:space="0" w:color="auto"/>
        <w:left w:val="none" w:sz="0" w:space="0" w:color="auto"/>
        <w:bottom w:val="none" w:sz="0" w:space="0" w:color="auto"/>
        <w:right w:val="none" w:sz="0" w:space="0" w:color="auto"/>
      </w:divBdr>
      <w:divsChild>
        <w:div w:id="1769353773">
          <w:marLeft w:val="0"/>
          <w:marRight w:val="0"/>
          <w:marTop w:val="0"/>
          <w:marBottom w:val="0"/>
          <w:divBdr>
            <w:top w:val="single" w:sz="2" w:space="0" w:color="E3E3E3"/>
            <w:left w:val="single" w:sz="2" w:space="0" w:color="E3E3E3"/>
            <w:bottom w:val="single" w:sz="2" w:space="0" w:color="E3E3E3"/>
            <w:right w:val="single" w:sz="2" w:space="0" w:color="E3E3E3"/>
          </w:divBdr>
        </w:div>
        <w:div w:id="2073304889">
          <w:marLeft w:val="0"/>
          <w:marRight w:val="0"/>
          <w:marTop w:val="0"/>
          <w:marBottom w:val="0"/>
          <w:divBdr>
            <w:top w:val="single" w:sz="2" w:space="0" w:color="E3E3E3"/>
            <w:left w:val="single" w:sz="2" w:space="0" w:color="E3E3E3"/>
            <w:bottom w:val="single" w:sz="2" w:space="0" w:color="E3E3E3"/>
            <w:right w:val="single" w:sz="2" w:space="0" w:color="E3E3E3"/>
          </w:divBdr>
        </w:div>
        <w:div w:id="1858886841">
          <w:marLeft w:val="0"/>
          <w:marRight w:val="0"/>
          <w:marTop w:val="0"/>
          <w:marBottom w:val="0"/>
          <w:divBdr>
            <w:top w:val="single" w:sz="2" w:space="0" w:color="E3E3E3"/>
            <w:left w:val="single" w:sz="2" w:space="0" w:color="E3E3E3"/>
            <w:bottom w:val="single" w:sz="2" w:space="0" w:color="E3E3E3"/>
            <w:right w:val="single" w:sz="2" w:space="0" w:color="E3E3E3"/>
          </w:divBdr>
        </w:div>
        <w:div w:id="1164472675">
          <w:marLeft w:val="0"/>
          <w:marRight w:val="0"/>
          <w:marTop w:val="0"/>
          <w:marBottom w:val="0"/>
          <w:divBdr>
            <w:top w:val="single" w:sz="2" w:space="0" w:color="E3E3E3"/>
            <w:left w:val="single" w:sz="2" w:space="0" w:color="E3E3E3"/>
            <w:bottom w:val="single" w:sz="2" w:space="0" w:color="E3E3E3"/>
            <w:right w:val="single" w:sz="2" w:space="0" w:color="E3E3E3"/>
          </w:divBdr>
        </w:div>
        <w:div w:id="360209093">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796172339">
      <w:bodyDiv w:val="1"/>
      <w:marLeft w:val="0"/>
      <w:marRight w:val="0"/>
      <w:marTop w:val="0"/>
      <w:marBottom w:val="0"/>
      <w:divBdr>
        <w:top w:val="none" w:sz="0" w:space="0" w:color="auto"/>
        <w:left w:val="none" w:sz="0" w:space="0" w:color="auto"/>
        <w:bottom w:val="none" w:sz="0" w:space="0" w:color="auto"/>
        <w:right w:val="none" w:sz="0" w:space="0" w:color="auto"/>
      </w:divBdr>
      <w:divsChild>
        <w:div w:id="983587420">
          <w:marLeft w:val="0"/>
          <w:marRight w:val="0"/>
          <w:marTop w:val="0"/>
          <w:marBottom w:val="0"/>
          <w:divBdr>
            <w:top w:val="single" w:sz="2" w:space="0" w:color="E3E3E3"/>
            <w:left w:val="single" w:sz="2" w:space="0" w:color="E3E3E3"/>
            <w:bottom w:val="single" w:sz="2" w:space="0" w:color="E3E3E3"/>
            <w:right w:val="single" w:sz="2" w:space="0" w:color="E3E3E3"/>
          </w:divBdr>
        </w:div>
        <w:div w:id="249703283">
          <w:marLeft w:val="0"/>
          <w:marRight w:val="0"/>
          <w:marTop w:val="0"/>
          <w:marBottom w:val="0"/>
          <w:divBdr>
            <w:top w:val="single" w:sz="2" w:space="0" w:color="E3E3E3"/>
            <w:left w:val="single" w:sz="2" w:space="0" w:color="E3E3E3"/>
            <w:bottom w:val="single" w:sz="2" w:space="0" w:color="E3E3E3"/>
            <w:right w:val="single" w:sz="2" w:space="0" w:color="E3E3E3"/>
          </w:divBdr>
        </w:div>
        <w:div w:id="2024165816">
          <w:marLeft w:val="0"/>
          <w:marRight w:val="0"/>
          <w:marTop w:val="0"/>
          <w:marBottom w:val="0"/>
          <w:divBdr>
            <w:top w:val="single" w:sz="2" w:space="0" w:color="E3E3E3"/>
            <w:left w:val="single" w:sz="2" w:space="0" w:color="E3E3E3"/>
            <w:bottom w:val="single" w:sz="2" w:space="0" w:color="E3E3E3"/>
            <w:right w:val="single" w:sz="2" w:space="0" w:color="E3E3E3"/>
          </w:divBdr>
        </w:div>
        <w:div w:id="781613576">
          <w:marLeft w:val="0"/>
          <w:marRight w:val="0"/>
          <w:marTop w:val="0"/>
          <w:marBottom w:val="0"/>
          <w:divBdr>
            <w:top w:val="single" w:sz="2" w:space="0" w:color="E3E3E3"/>
            <w:left w:val="single" w:sz="2" w:space="0" w:color="E3E3E3"/>
            <w:bottom w:val="single" w:sz="2" w:space="0" w:color="E3E3E3"/>
            <w:right w:val="single" w:sz="2" w:space="0" w:color="E3E3E3"/>
          </w:divBdr>
        </w:div>
        <w:div w:id="715591994">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928805784">
      <w:bodyDiv w:val="1"/>
      <w:marLeft w:val="0"/>
      <w:marRight w:val="0"/>
      <w:marTop w:val="0"/>
      <w:marBottom w:val="0"/>
      <w:divBdr>
        <w:top w:val="none" w:sz="0" w:space="0" w:color="auto"/>
        <w:left w:val="none" w:sz="0" w:space="0" w:color="auto"/>
        <w:bottom w:val="none" w:sz="0" w:space="0" w:color="auto"/>
        <w:right w:val="none" w:sz="0" w:space="0" w:color="auto"/>
      </w:divBdr>
      <w:divsChild>
        <w:div w:id="1337727188">
          <w:marLeft w:val="0"/>
          <w:marRight w:val="0"/>
          <w:marTop w:val="0"/>
          <w:marBottom w:val="0"/>
          <w:divBdr>
            <w:top w:val="single" w:sz="2" w:space="0" w:color="E3E3E3"/>
            <w:left w:val="single" w:sz="2" w:space="0" w:color="E3E3E3"/>
            <w:bottom w:val="single" w:sz="2" w:space="0" w:color="E3E3E3"/>
            <w:right w:val="single" w:sz="2" w:space="0" w:color="E3E3E3"/>
          </w:divBdr>
        </w:div>
        <w:div w:id="372853320">
          <w:marLeft w:val="0"/>
          <w:marRight w:val="0"/>
          <w:marTop w:val="0"/>
          <w:marBottom w:val="0"/>
          <w:divBdr>
            <w:top w:val="single" w:sz="2" w:space="0" w:color="E3E3E3"/>
            <w:left w:val="single" w:sz="2" w:space="0" w:color="E3E3E3"/>
            <w:bottom w:val="single" w:sz="2" w:space="0" w:color="E3E3E3"/>
            <w:right w:val="single" w:sz="2" w:space="0" w:color="E3E3E3"/>
          </w:divBdr>
        </w:div>
        <w:div w:id="1467774427">
          <w:marLeft w:val="0"/>
          <w:marRight w:val="0"/>
          <w:marTop w:val="0"/>
          <w:marBottom w:val="0"/>
          <w:divBdr>
            <w:top w:val="single" w:sz="2" w:space="0" w:color="E3E3E3"/>
            <w:left w:val="single" w:sz="2" w:space="0" w:color="E3E3E3"/>
            <w:bottom w:val="single" w:sz="2" w:space="0" w:color="E3E3E3"/>
            <w:right w:val="single" w:sz="2" w:space="0" w:color="E3E3E3"/>
          </w:divBdr>
        </w:div>
        <w:div w:id="1897858386">
          <w:marLeft w:val="0"/>
          <w:marRight w:val="0"/>
          <w:marTop w:val="0"/>
          <w:marBottom w:val="0"/>
          <w:divBdr>
            <w:top w:val="single" w:sz="2" w:space="0" w:color="E3E3E3"/>
            <w:left w:val="single" w:sz="2" w:space="0" w:color="E3E3E3"/>
            <w:bottom w:val="single" w:sz="2" w:space="0" w:color="E3E3E3"/>
            <w:right w:val="single" w:sz="2" w:space="0" w:color="E3E3E3"/>
          </w:divBdr>
        </w:div>
        <w:div w:id="77340566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E68832-061C-48E9-B29C-F544EB9095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TotalTime>
  <Pages>13</Pages>
  <Words>12292</Words>
  <Characters>70071</Characters>
  <Application>Microsoft Office Word</Application>
  <DocSecurity>0</DocSecurity>
  <Lines>583</Lines>
  <Paragraphs>164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82199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Moses Koomson</dc:creator>
  <cp:lastModifiedBy>SDI 1084</cp:lastModifiedBy>
  <cp:revision>5</cp:revision>
  <cp:lastPrinted>2023-10-09T13:58:00Z</cp:lastPrinted>
  <dcterms:created xsi:type="dcterms:W3CDTF">2026-02-03T13:50:00Z</dcterms:created>
  <dcterms:modified xsi:type="dcterms:W3CDTF">2026-02-12T12:02:00Z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6th/7th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4th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9th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c1524677-579b-3e6a-b395-00933cc109f8</vt:lpwstr>
  </property>
  <property fmtid="{D5CDD505-2E9C-101B-9397-08002B2CF9AE}" pid="24" name="Mendeley Citation Style_1">
    <vt:lpwstr>http://www.zotero.org/styles/apa</vt:lpwstr>
  </property>
</Properties>
</file>