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6528BB" w14:textId="5C19A26B" w:rsidR="003E5269" w:rsidRPr="009C6FEF" w:rsidRDefault="00866102" w:rsidP="00194612">
      <w:pPr>
        <w:spacing w:after="0" w:line="360" w:lineRule="auto"/>
        <w:jc w:val="center"/>
        <w:rPr>
          <w:rFonts w:ascii="Times New Roman" w:hAnsi="Times New Roman" w:cs="Times New Roman"/>
          <w:b/>
          <w:bCs/>
          <w:sz w:val="28"/>
          <w:szCs w:val="28"/>
        </w:rPr>
      </w:pPr>
      <w:r w:rsidRPr="009C6FEF">
        <w:rPr>
          <w:rFonts w:ascii="Times New Roman" w:hAnsi="Times New Roman" w:cs="Times New Roman"/>
          <w:b/>
          <w:bCs/>
          <w:sz w:val="28"/>
          <w:szCs w:val="28"/>
        </w:rPr>
        <w:t xml:space="preserve">Geospatial modelling and participatory governance: an integrated framework for phase-wise ecotourism development in </w:t>
      </w:r>
      <w:proofErr w:type="spellStart"/>
      <w:r w:rsidRPr="009C6FEF">
        <w:rPr>
          <w:rFonts w:ascii="Times New Roman" w:hAnsi="Times New Roman" w:cs="Times New Roman"/>
          <w:b/>
          <w:bCs/>
          <w:sz w:val="28"/>
          <w:szCs w:val="28"/>
        </w:rPr>
        <w:t>Jhargram</w:t>
      </w:r>
      <w:proofErr w:type="spellEnd"/>
      <w:r w:rsidRPr="009C6FEF">
        <w:rPr>
          <w:rFonts w:ascii="Times New Roman" w:hAnsi="Times New Roman" w:cs="Times New Roman"/>
          <w:b/>
          <w:bCs/>
          <w:sz w:val="28"/>
          <w:szCs w:val="28"/>
        </w:rPr>
        <w:t xml:space="preserve"> district, </w:t>
      </w:r>
      <w:r w:rsidR="00232BDB" w:rsidRPr="009C6FEF">
        <w:rPr>
          <w:rFonts w:ascii="Times New Roman" w:hAnsi="Times New Roman" w:cs="Times New Roman"/>
          <w:b/>
          <w:bCs/>
          <w:sz w:val="28"/>
          <w:szCs w:val="28"/>
        </w:rPr>
        <w:t xml:space="preserve">West Bengal, </w:t>
      </w:r>
      <w:r w:rsidRPr="009C6FEF">
        <w:rPr>
          <w:rFonts w:ascii="Times New Roman" w:hAnsi="Times New Roman" w:cs="Times New Roman"/>
          <w:b/>
          <w:bCs/>
          <w:sz w:val="28"/>
          <w:szCs w:val="28"/>
        </w:rPr>
        <w:t>India</w:t>
      </w:r>
    </w:p>
    <w:p w14:paraId="677F3067" w14:textId="77777777" w:rsidR="00F6587A" w:rsidRDefault="00F6587A" w:rsidP="00194612">
      <w:pPr>
        <w:spacing w:after="0" w:line="360" w:lineRule="auto"/>
        <w:jc w:val="both"/>
        <w:rPr>
          <w:rFonts w:ascii="Times New Roman" w:hAnsi="Times New Roman" w:cs="Times New Roman"/>
          <w:b/>
          <w:bCs/>
          <w:sz w:val="28"/>
          <w:szCs w:val="28"/>
        </w:rPr>
      </w:pPr>
    </w:p>
    <w:p w14:paraId="322CF9F2" w14:textId="729F61FE" w:rsidR="004D65A2" w:rsidRPr="009C6FEF" w:rsidRDefault="002A2C47" w:rsidP="00194612">
      <w:pPr>
        <w:spacing w:after="0" w:line="360" w:lineRule="auto"/>
        <w:jc w:val="both"/>
        <w:rPr>
          <w:rFonts w:ascii="Times New Roman" w:hAnsi="Times New Roman" w:cs="Times New Roman"/>
          <w:b/>
          <w:bCs/>
          <w:sz w:val="28"/>
          <w:szCs w:val="28"/>
        </w:rPr>
      </w:pPr>
      <w:bookmarkStart w:id="0" w:name="_GoBack"/>
      <w:bookmarkEnd w:id="0"/>
      <w:r w:rsidRPr="009C6FEF">
        <w:rPr>
          <w:rFonts w:ascii="Times New Roman" w:hAnsi="Times New Roman" w:cs="Times New Roman"/>
          <w:b/>
          <w:bCs/>
          <w:sz w:val="28"/>
          <w:szCs w:val="28"/>
        </w:rPr>
        <w:t>Abstract</w:t>
      </w:r>
    </w:p>
    <w:p w14:paraId="264FD8D8" w14:textId="1F7ECA90" w:rsidR="004D65A2" w:rsidRPr="009C6FEF" w:rsidRDefault="003A326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This study formulates an integrated framework for ecotourism development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District, India, by </w:t>
      </w:r>
      <w:r w:rsidR="00D02F60" w:rsidRPr="009C6FEF">
        <w:rPr>
          <w:rFonts w:ascii="Times New Roman" w:hAnsi="Times New Roman" w:cs="Times New Roman"/>
          <w:sz w:val="24"/>
          <w:szCs w:val="24"/>
        </w:rPr>
        <w:t>synthesising</w:t>
      </w:r>
      <w:r w:rsidRPr="009C6FEF">
        <w:rPr>
          <w:rFonts w:ascii="Times New Roman" w:hAnsi="Times New Roman" w:cs="Times New Roman"/>
          <w:sz w:val="24"/>
          <w:szCs w:val="24"/>
        </w:rPr>
        <w:t xml:space="preserve"> geospatial modelling with participatory governance. </w:t>
      </w:r>
      <w:r w:rsidR="004D65A2" w:rsidRPr="009C6FEF">
        <w:rPr>
          <w:rFonts w:ascii="Times New Roman" w:hAnsi="Times New Roman" w:cs="Times New Roman"/>
          <w:sz w:val="24"/>
          <w:szCs w:val="24"/>
        </w:rPr>
        <w:t xml:space="preserve">Addressing the critical gap between planning and implementation in tribal-forest landscapes, the research employs a multi-criteria decision-making model (Analytic Hierarchy Process) and Weighted Overlay Analysis in ArcGIS. A comprehensive database, built from multi-source geospatial data and primary surveys across 16 sites, informed ten thematic layers for site suitability analysis. The results categorise the district into five suitability zones, identifying </w:t>
      </w:r>
      <w:proofErr w:type="spellStart"/>
      <w:r w:rsidR="004D65A2" w:rsidRPr="009C6FEF">
        <w:rPr>
          <w:rFonts w:ascii="Times New Roman" w:hAnsi="Times New Roman" w:cs="Times New Roman"/>
          <w:sz w:val="24"/>
          <w:szCs w:val="24"/>
        </w:rPr>
        <w:t>Binpur</w:t>
      </w:r>
      <w:proofErr w:type="spellEnd"/>
      <w:r w:rsidR="004D65A2" w:rsidRPr="009C6FEF">
        <w:rPr>
          <w:rFonts w:ascii="Times New Roman" w:hAnsi="Times New Roman" w:cs="Times New Roman"/>
          <w:sz w:val="24"/>
          <w:szCs w:val="24"/>
        </w:rPr>
        <w:t xml:space="preserve">-II block as the most promising region. The core of the framework is a three-tier micro-zoning model (Core, Ecotourism, and Buffer Zones) designed to regulate carrying capacity and conserve biodiversity. This is coupled with the institutionalisation of Village Ecotourism Committees (VECs) to ensure participatory governance and equitable benefit-sharing. The proposed three-phase development plan strategically sequences interventions: from site preparation and community mobilisation (Phase 1), through eco-friendly infrastructure development (Phase 2), to diversification into </w:t>
      </w:r>
      <w:proofErr w:type="spellStart"/>
      <w:r w:rsidR="004D65A2" w:rsidRPr="009C6FEF">
        <w:rPr>
          <w:rFonts w:ascii="Times New Roman" w:hAnsi="Times New Roman" w:cs="Times New Roman"/>
          <w:sz w:val="24"/>
          <w:szCs w:val="24"/>
        </w:rPr>
        <w:t>agro</w:t>
      </w:r>
      <w:proofErr w:type="spellEnd"/>
      <w:r w:rsidR="004D65A2" w:rsidRPr="009C6FEF">
        <w:rPr>
          <w:rFonts w:ascii="Times New Roman" w:hAnsi="Times New Roman" w:cs="Times New Roman"/>
          <w:sz w:val="24"/>
          <w:szCs w:val="24"/>
        </w:rPr>
        <w:t xml:space="preserve">-tourism, handicraft corridors, and wellness retreats (Phase 3). The study concludes that this integrated approach, blending spatial analytics with robust community institutions, offers a viable pathway for transforming </w:t>
      </w:r>
      <w:proofErr w:type="spellStart"/>
      <w:r w:rsidR="004D65A2" w:rsidRPr="009C6FEF">
        <w:rPr>
          <w:rFonts w:ascii="Times New Roman" w:hAnsi="Times New Roman" w:cs="Times New Roman"/>
          <w:sz w:val="24"/>
          <w:szCs w:val="24"/>
        </w:rPr>
        <w:t>Jhargram</w:t>
      </w:r>
      <w:proofErr w:type="spellEnd"/>
      <w:r w:rsidR="004D65A2" w:rsidRPr="009C6FEF">
        <w:rPr>
          <w:rFonts w:ascii="Times New Roman" w:hAnsi="Times New Roman" w:cs="Times New Roman"/>
          <w:sz w:val="24"/>
          <w:szCs w:val="24"/>
        </w:rPr>
        <w:t xml:space="preserve"> into a model ecotourism destination that simultaneously safeguards ecological resilience, empowers tribal communities, and generates sustainable livelihoods, thereby providing a scalable blueprint for similar regions in India.</w:t>
      </w:r>
    </w:p>
    <w:p w14:paraId="038F4E73" w14:textId="712E3F5C" w:rsidR="00D13E85" w:rsidRPr="009C6FEF" w:rsidRDefault="004D65A2" w:rsidP="000C55F7">
      <w:pPr>
        <w:spacing w:after="0" w:line="360" w:lineRule="auto"/>
        <w:jc w:val="both"/>
        <w:rPr>
          <w:rFonts w:ascii="Times New Roman" w:hAnsi="Times New Roman" w:cs="Times New Roman"/>
          <w:sz w:val="24"/>
          <w:szCs w:val="24"/>
        </w:rPr>
      </w:pPr>
      <w:r w:rsidRPr="009C6FEF">
        <w:rPr>
          <w:rFonts w:ascii="Times New Roman" w:hAnsi="Times New Roman" w:cs="Times New Roman"/>
          <w:b/>
          <w:bCs/>
          <w:i/>
          <w:iCs/>
          <w:sz w:val="24"/>
          <w:szCs w:val="24"/>
        </w:rPr>
        <w:t>Keywords</w:t>
      </w:r>
      <w:r w:rsidRPr="009C6FEF">
        <w:rPr>
          <w:rFonts w:ascii="Times New Roman" w:hAnsi="Times New Roman" w:cs="Times New Roman"/>
          <w:sz w:val="24"/>
          <w:szCs w:val="24"/>
        </w:rPr>
        <w:t xml:space="preserve">: Ecotourism, GIS-AHP, Community Participation, Micro-Zoning, Sustainable Development,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district.</w:t>
      </w:r>
    </w:p>
    <w:p w14:paraId="32315ADE" w14:textId="37B3B0B8" w:rsidR="003D2BC8" w:rsidRPr="009C6FEF" w:rsidRDefault="00686EE5" w:rsidP="00194612">
      <w:pPr>
        <w:spacing w:after="0" w:line="360" w:lineRule="auto"/>
        <w:jc w:val="both"/>
        <w:rPr>
          <w:rFonts w:ascii="Times New Roman" w:hAnsi="Times New Roman" w:cs="Times New Roman"/>
          <w:b/>
          <w:bCs/>
          <w:sz w:val="28"/>
          <w:szCs w:val="28"/>
        </w:rPr>
      </w:pPr>
      <w:r w:rsidRPr="009C6FEF">
        <w:rPr>
          <w:rFonts w:ascii="Times New Roman" w:hAnsi="Times New Roman" w:cs="Times New Roman"/>
          <w:b/>
          <w:bCs/>
          <w:sz w:val="28"/>
          <w:szCs w:val="28"/>
        </w:rPr>
        <w:t xml:space="preserve">1. </w:t>
      </w:r>
      <w:r w:rsidR="00695F46" w:rsidRPr="009C6FEF">
        <w:rPr>
          <w:rFonts w:ascii="Times New Roman" w:hAnsi="Times New Roman" w:cs="Times New Roman"/>
          <w:b/>
          <w:bCs/>
          <w:sz w:val="28"/>
          <w:szCs w:val="28"/>
        </w:rPr>
        <w:t>Introduction</w:t>
      </w:r>
      <w:r w:rsidR="00AE2519" w:rsidRPr="009C6FEF">
        <w:rPr>
          <w:rFonts w:ascii="Times New Roman" w:hAnsi="Times New Roman" w:cs="Times New Roman"/>
          <w:b/>
          <w:bCs/>
          <w:sz w:val="28"/>
          <w:szCs w:val="28"/>
        </w:rPr>
        <w:t>:</w:t>
      </w:r>
    </w:p>
    <w:p w14:paraId="4E4A4254" w14:textId="71681F97"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Ecotourism has emerged globally as a sustainable alternative to conventional mass tourism, emphasising the harmonious coexistence of environmental conservation, community participation, and socio-economic development (</w:t>
      </w:r>
      <w:r w:rsidRPr="009C6FEF">
        <w:rPr>
          <w:rFonts w:ascii="Times New Roman" w:hAnsi="Times New Roman" w:cs="Times New Roman"/>
          <w:color w:val="0070C0"/>
          <w:sz w:val="24"/>
          <w:szCs w:val="24"/>
        </w:rPr>
        <w:t xml:space="preserve">Tesema et al., 2020; </w:t>
      </w:r>
      <w:proofErr w:type="spellStart"/>
      <w:r w:rsidRPr="009C6FEF">
        <w:rPr>
          <w:rFonts w:ascii="Times New Roman" w:hAnsi="Times New Roman" w:cs="Times New Roman"/>
          <w:color w:val="0070C0"/>
          <w:sz w:val="24"/>
          <w:szCs w:val="24"/>
        </w:rPr>
        <w:t>Svіtlichna</w:t>
      </w:r>
      <w:proofErr w:type="spellEnd"/>
      <w:r w:rsidRPr="009C6FEF">
        <w:rPr>
          <w:rFonts w:ascii="Times New Roman" w:hAnsi="Times New Roman" w:cs="Times New Roman"/>
          <w:color w:val="0070C0"/>
          <w:sz w:val="24"/>
          <w:szCs w:val="24"/>
        </w:rPr>
        <w:t xml:space="preserve"> et al., 2024; Wani et al., 2025</w:t>
      </w:r>
      <w:r w:rsidRPr="009C6FEF">
        <w:rPr>
          <w:rFonts w:ascii="Times New Roman" w:hAnsi="Times New Roman" w:cs="Times New Roman"/>
          <w:sz w:val="24"/>
          <w:szCs w:val="24"/>
        </w:rPr>
        <w:t>). It is broadly defined as “responsible travel to natural areas that conserves the environment and improves the well-being of local people” (</w:t>
      </w:r>
      <w:r w:rsidRPr="009C6FEF">
        <w:rPr>
          <w:rFonts w:ascii="Times New Roman" w:hAnsi="Times New Roman" w:cs="Times New Roman"/>
          <w:color w:val="0070C0"/>
          <w:sz w:val="24"/>
          <w:szCs w:val="24"/>
        </w:rPr>
        <w:t>Kiper, 2013</w:t>
      </w:r>
      <w:r w:rsidRPr="009C6FEF">
        <w:rPr>
          <w:rFonts w:ascii="Times New Roman" w:hAnsi="Times New Roman" w:cs="Times New Roman"/>
          <w:sz w:val="24"/>
          <w:szCs w:val="24"/>
        </w:rPr>
        <w:t xml:space="preserve">). Unlike mass tourism, which often contributes to ecological degradation and resource depletion, ecotourism </w:t>
      </w:r>
      <w:r w:rsidRPr="009C6FEF">
        <w:rPr>
          <w:rFonts w:ascii="Times New Roman" w:hAnsi="Times New Roman" w:cs="Times New Roman"/>
          <w:sz w:val="24"/>
          <w:szCs w:val="24"/>
        </w:rPr>
        <w:lastRenderedPageBreak/>
        <w:t>advocates for low-impact travel, biodiversity preservation, and inclusive community engagement (</w:t>
      </w:r>
      <w:r w:rsidRPr="009C6FEF">
        <w:rPr>
          <w:rFonts w:ascii="Times New Roman" w:hAnsi="Times New Roman" w:cs="Times New Roman"/>
          <w:color w:val="0070C0"/>
          <w:sz w:val="24"/>
          <w:szCs w:val="24"/>
        </w:rPr>
        <w:t xml:space="preserve">Baloch et al., 2023; Bentley &amp; Halim, 2024; </w:t>
      </w:r>
      <w:proofErr w:type="spellStart"/>
      <w:r w:rsidRPr="009C6FEF">
        <w:rPr>
          <w:rFonts w:ascii="Times New Roman" w:hAnsi="Times New Roman" w:cs="Times New Roman"/>
          <w:color w:val="0070C0"/>
          <w:sz w:val="24"/>
          <w:szCs w:val="24"/>
        </w:rPr>
        <w:t>Mazzuoli</w:t>
      </w:r>
      <w:proofErr w:type="spellEnd"/>
      <w:r w:rsidRPr="009C6FEF">
        <w:rPr>
          <w:rFonts w:ascii="Times New Roman" w:hAnsi="Times New Roman" w:cs="Times New Roman"/>
          <w:color w:val="0070C0"/>
          <w:sz w:val="24"/>
          <w:szCs w:val="24"/>
        </w:rPr>
        <w:t>, 2025</w:t>
      </w:r>
      <w:r w:rsidRPr="009C6FEF">
        <w:rPr>
          <w:rFonts w:ascii="Times New Roman" w:hAnsi="Times New Roman" w:cs="Times New Roman"/>
          <w:sz w:val="24"/>
          <w:szCs w:val="24"/>
        </w:rPr>
        <w:t>). In developing countries such as India-where environmental diversity intersects with rich cultural heritage-ecotourism has increasingly been recognized as a strategic instrument for rural development and livelihood enhancement.</w:t>
      </w:r>
    </w:p>
    <w:p w14:paraId="2A4E7FAD" w14:textId="4277C672"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West Bengal, endowed with diverse landscapes ranging from the Sundarbans mangrove delta to the Himalayan foothills and tribal-inhabited plateau regions, has incorporated ecotourism into its sustainable development agenda. Among its various regions,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District stands out as a promising ecotourism destination due to its distinctive ecological and cultural characteristics. Situated at the interface of the </w:t>
      </w:r>
      <w:proofErr w:type="spellStart"/>
      <w:r w:rsidRPr="009C6FEF">
        <w:rPr>
          <w:rFonts w:ascii="Times New Roman" w:hAnsi="Times New Roman" w:cs="Times New Roman"/>
          <w:sz w:val="24"/>
          <w:szCs w:val="24"/>
        </w:rPr>
        <w:t>Chhotanagpur</w:t>
      </w:r>
      <w:proofErr w:type="spellEnd"/>
      <w:r w:rsidRPr="009C6FEF">
        <w:rPr>
          <w:rFonts w:ascii="Times New Roman" w:hAnsi="Times New Roman" w:cs="Times New Roman"/>
          <w:sz w:val="24"/>
          <w:szCs w:val="24"/>
        </w:rPr>
        <w:t xml:space="preserve"> Plateau and the Bengal plains,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exhibits undulating topography, dense </w:t>
      </w:r>
      <w:proofErr w:type="spellStart"/>
      <w:r w:rsidRPr="009C6FEF">
        <w:rPr>
          <w:rFonts w:ascii="Times New Roman" w:hAnsi="Times New Roman" w:cs="Times New Roman"/>
          <w:sz w:val="24"/>
          <w:szCs w:val="24"/>
        </w:rPr>
        <w:t>sal</w:t>
      </w:r>
      <w:proofErr w:type="spellEnd"/>
      <w:r w:rsidRPr="009C6FEF">
        <w:rPr>
          <w:rFonts w:ascii="Times New Roman" w:hAnsi="Times New Roman" w:cs="Times New Roman"/>
          <w:sz w:val="24"/>
          <w:szCs w:val="24"/>
        </w:rPr>
        <w:t>-</w:t>
      </w:r>
      <w:proofErr w:type="spellStart"/>
      <w:r w:rsidRPr="009C6FEF">
        <w:rPr>
          <w:rFonts w:ascii="Times New Roman" w:hAnsi="Times New Roman" w:cs="Times New Roman"/>
          <w:sz w:val="24"/>
          <w:szCs w:val="24"/>
        </w:rPr>
        <w:t>palas</w:t>
      </w:r>
      <w:proofErr w:type="spellEnd"/>
      <w:r w:rsidRPr="009C6FEF">
        <w:rPr>
          <w:rFonts w:ascii="Times New Roman" w:hAnsi="Times New Roman" w:cs="Times New Roman"/>
          <w:sz w:val="24"/>
          <w:szCs w:val="24"/>
        </w:rPr>
        <w:t xml:space="preserve">-mahua forests, and a network of rivers such as the Subarnarekha, </w:t>
      </w:r>
      <w:proofErr w:type="spellStart"/>
      <w:r w:rsidRPr="009C6FEF">
        <w:rPr>
          <w:rFonts w:ascii="Times New Roman" w:hAnsi="Times New Roman" w:cs="Times New Roman"/>
          <w:sz w:val="24"/>
          <w:szCs w:val="24"/>
        </w:rPr>
        <w:t>Kangsabati</w:t>
      </w:r>
      <w:proofErr w:type="spellEnd"/>
      <w:r w:rsidRPr="009C6FEF">
        <w:rPr>
          <w:rFonts w:ascii="Times New Roman" w:hAnsi="Times New Roman" w:cs="Times New Roman"/>
          <w:sz w:val="24"/>
          <w:szCs w:val="24"/>
        </w:rPr>
        <w:t xml:space="preserve">, and </w:t>
      </w:r>
      <w:proofErr w:type="spellStart"/>
      <w:r w:rsidRPr="009C6FEF">
        <w:rPr>
          <w:rFonts w:ascii="Times New Roman" w:hAnsi="Times New Roman" w:cs="Times New Roman"/>
          <w:sz w:val="24"/>
          <w:szCs w:val="24"/>
        </w:rPr>
        <w:t>Dulung</w:t>
      </w:r>
      <w:proofErr w:type="spellEnd"/>
      <w:r w:rsidRPr="009C6FEF">
        <w:rPr>
          <w:rFonts w:ascii="Times New Roman" w:hAnsi="Times New Roman" w:cs="Times New Roman"/>
          <w:sz w:val="24"/>
          <w:szCs w:val="24"/>
        </w:rPr>
        <w:t xml:space="preserve">. The district’s tribal </w:t>
      </w:r>
      <w:r w:rsidR="00051825" w:rsidRPr="009C6FEF">
        <w:rPr>
          <w:rFonts w:ascii="Times New Roman" w:hAnsi="Times New Roman" w:cs="Times New Roman"/>
          <w:sz w:val="24"/>
          <w:szCs w:val="24"/>
        </w:rPr>
        <w:t>communities, including the Santhal, Munda, Lodha, and Sabar, possess</w:t>
      </w:r>
      <w:r w:rsidRPr="009C6FEF">
        <w:rPr>
          <w:rFonts w:ascii="Times New Roman" w:hAnsi="Times New Roman" w:cs="Times New Roman"/>
          <w:sz w:val="24"/>
          <w:szCs w:val="24"/>
        </w:rPr>
        <w:t xml:space="preserve"> rich traditions of folk music, dance, handicrafts, and indigenous ecological knowledge that form the cultural foundation of the region (</w:t>
      </w:r>
      <w:r w:rsidRPr="009C6FEF">
        <w:rPr>
          <w:rFonts w:ascii="Times New Roman" w:hAnsi="Times New Roman" w:cs="Times New Roman"/>
          <w:color w:val="0070C0"/>
          <w:sz w:val="24"/>
          <w:szCs w:val="24"/>
        </w:rPr>
        <w:t>Tribe, 2024; Siddique et al., 2022</w:t>
      </w:r>
      <w:r w:rsidRPr="009C6FEF">
        <w:rPr>
          <w:rFonts w:ascii="Times New Roman" w:hAnsi="Times New Roman" w:cs="Times New Roman"/>
          <w:sz w:val="24"/>
          <w:szCs w:val="24"/>
        </w:rPr>
        <w:t>). This fusion of natural and cultural heritage provides an ideal setting for developing an integrated eco-cultural tourism model.</w:t>
      </w:r>
    </w:p>
    <w:p w14:paraId="2084C7F9" w14:textId="5AD256CA"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Covering approximately 3,037 km², nearly 31% of which is under forest cover,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w:t>
      </w:r>
      <w:r w:rsidR="00DF295B" w:rsidRPr="009C6FEF">
        <w:rPr>
          <w:rFonts w:ascii="Times New Roman" w:hAnsi="Times New Roman" w:cs="Times New Roman"/>
          <w:sz w:val="24"/>
          <w:szCs w:val="24"/>
        </w:rPr>
        <w:t>harbours</w:t>
      </w:r>
      <w:r w:rsidRPr="009C6FEF">
        <w:rPr>
          <w:rFonts w:ascii="Times New Roman" w:hAnsi="Times New Roman" w:cs="Times New Roman"/>
          <w:sz w:val="24"/>
          <w:szCs w:val="24"/>
        </w:rPr>
        <w:t xml:space="preserve"> a variety of natural attractions: waterfalls such as </w:t>
      </w:r>
      <w:proofErr w:type="spellStart"/>
      <w:r w:rsidRPr="009C6FEF">
        <w:rPr>
          <w:rFonts w:ascii="Times New Roman" w:hAnsi="Times New Roman" w:cs="Times New Roman"/>
          <w:sz w:val="24"/>
          <w:szCs w:val="24"/>
        </w:rPr>
        <w:t>Ghagra</w:t>
      </w:r>
      <w:proofErr w:type="spellEnd"/>
      <w:r w:rsidRPr="009C6FEF">
        <w:rPr>
          <w:rFonts w:ascii="Times New Roman" w:hAnsi="Times New Roman" w:cs="Times New Roman"/>
          <w:sz w:val="24"/>
          <w:szCs w:val="24"/>
        </w:rPr>
        <w:t xml:space="preserve"> and </w:t>
      </w:r>
      <w:proofErr w:type="spellStart"/>
      <w:r w:rsidRPr="009C6FEF">
        <w:rPr>
          <w:rFonts w:ascii="Times New Roman" w:hAnsi="Times New Roman" w:cs="Times New Roman"/>
          <w:sz w:val="24"/>
          <w:szCs w:val="24"/>
        </w:rPr>
        <w:t>Hudhudi</w:t>
      </w:r>
      <w:proofErr w:type="spellEnd"/>
      <w:r w:rsidRPr="009C6FEF">
        <w:rPr>
          <w:rFonts w:ascii="Times New Roman" w:hAnsi="Times New Roman" w:cs="Times New Roman"/>
          <w:sz w:val="24"/>
          <w:szCs w:val="24"/>
        </w:rPr>
        <w:t xml:space="preserve">, hillocks like </w:t>
      </w:r>
      <w:proofErr w:type="spellStart"/>
      <w:r w:rsidRPr="009C6FEF">
        <w:rPr>
          <w:rFonts w:ascii="Times New Roman" w:hAnsi="Times New Roman" w:cs="Times New Roman"/>
          <w:sz w:val="24"/>
          <w:szCs w:val="24"/>
        </w:rPr>
        <w:t>Gadrasini</w:t>
      </w:r>
      <w:proofErr w:type="spellEnd"/>
      <w:r w:rsidRPr="009C6FEF">
        <w:rPr>
          <w:rFonts w:ascii="Times New Roman" w:hAnsi="Times New Roman" w:cs="Times New Roman"/>
          <w:sz w:val="24"/>
          <w:szCs w:val="24"/>
        </w:rPr>
        <w:t xml:space="preserve"> and </w:t>
      </w:r>
      <w:proofErr w:type="spellStart"/>
      <w:r w:rsidRPr="009C6FEF">
        <w:rPr>
          <w:rFonts w:ascii="Times New Roman" w:hAnsi="Times New Roman" w:cs="Times New Roman"/>
          <w:sz w:val="24"/>
          <w:szCs w:val="24"/>
        </w:rPr>
        <w:t>Kankrajhore</w:t>
      </w:r>
      <w:proofErr w:type="spellEnd"/>
      <w:r w:rsidRPr="009C6FEF">
        <w:rPr>
          <w:rFonts w:ascii="Times New Roman" w:hAnsi="Times New Roman" w:cs="Times New Roman"/>
          <w:sz w:val="24"/>
          <w:szCs w:val="24"/>
        </w:rPr>
        <w:t xml:space="preserve">, and water bodies such as </w:t>
      </w:r>
      <w:proofErr w:type="spellStart"/>
      <w:r w:rsidRPr="009C6FEF">
        <w:rPr>
          <w:rFonts w:ascii="Times New Roman" w:hAnsi="Times New Roman" w:cs="Times New Roman"/>
          <w:sz w:val="24"/>
          <w:szCs w:val="24"/>
        </w:rPr>
        <w:t>Khandarani</w:t>
      </w:r>
      <w:proofErr w:type="spellEnd"/>
      <w:r w:rsidRPr="009C6FEF">
        <w:rPr>
          <w:rFonts w:ascii="Times New Roman" w:hAnsi="Times New Roman" w:cs="Times New Roman"/>
          <w:sz w:val="24"/>
          <w:szCs w:val="24"/>
        </w:rPr>
        <w:t xml:space="preserve"> Lake. In addition, sacred groves, ancient temples, </w:t>
      </w:r>
      <w:proofErr w:type="spellStart"/>
      <w:r w:rsidRPr="009C6FEF">
        <w:rPr>
          <w:rFonts w:ascii="Times New Roman" w:hAnsi="Times New Roman" w:cs="Times New Roman"/>
          <w:sz w:val="24"/>
          <w:szCs w:val="24"/>
        </w:rPr>
        <w:t>Chikigarh</w:t>
      </w:r>
      <w:proofErr w:type="spellEnd"/>
      <w:r w:rsidRPr="009C6FEF">
        <w:rPr>
          <w:rFonts w:ascii="Times New Roman" w:hAnsi="Times New Roman" w:cs="Times New Roman"/>
          <w:sz w:val="24"/>
          <w:szCs w:val="24"/>
        </w:rPr>
        <w:t xml:space="preserve"> Fort, and the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Raj Palace enhance its cultural and historical value. Collectively, these resources form a strong basis for developing a comprehensive ecotourism framework that connects ecological sustainability with cultural preservation.</w:t>
      </w:r>
    </w:p>
    <w:p w14:paraId="55E9B0C9" w14:textId="5B4ADA0A"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Despite its substantial natural and cultural endowments, ecotourism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remains underdeveloped. Inadequate infrastructure, poor accessibility to remote sites, and fragmented planning have limited </w:t>
      </w:r>
      <w:r w:rsidR="00CC7AD6" w:rsidRPr="009C6FEF">
        <w:rPr>
          <w:rFonts w:ascii="Times New Roman" w:hAnsi="Times New Roman" w:cs="Times New Roman"/>
          <w:sz w:val="24"/>
          <w:szCs w:val="24"/>
        </w:rPr>
        <w:t>organised</w:t>
      </w:r>
      <w:r w:rsidRPr="009C6FEF">
        <w:rPr>
          <w:rFonts w:ascii="Times New Roman" w:hAnsi="Times New Roman" w:cs="Times New Roman"/>
          <w:sz w:val="24"/>
          <w:szCs w:val="24"/>
        </w:rPr>
        <w:t xml:space="preserve"> tourism activities. Weak coordination among government departments, private enterprises, and local communities further constrains growth. Although the district has high tourism potential, the absence of structured development policies, promotional initiatives, and investment mechanisms prevents its resources from being effectively utilised.</w:t>
      </w:r>
    </w:p>
    <w:p w14:paraId="25FF51DB" w14:textId="6867B660"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Moreover, tribal communities, who represent the cultural custodians of the landscape, often remain marginalised in tourism governance and benefit-sharing processes. Their limited involvement not only reduces the inclusivity of tourism development but also risks cultural commodification. The expansion of unregulated tourism activities in ecologically sensitive </w:t>
      </w:r>
      <w:r w:rsidRPr="009C6FEF">
        <w:rPr>
          <w:rFonts w:ascii="Times New Roman" w:hAnsi="Times New Roman" w:cs="Times New Roman"/>
          <w:sz w:val="24"/>
          <w:szCs w:val="24"/>
        </w:rPr>
        <w:lastRenderedPageBreak/>
        <w:t>zones poses additional threats to biodiversity, forest ecosystems, and water resources. Over-tourism, deforestation, and pollution are emerging risks that demand spatially informed planning measures such as micro-zoning and carrying capacity assessment.</w:t>
      </w:r>
    </w:p>
    <w:p w14:paraId="00C412FF" w14:textId="6DCC7011"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Existing government initiatives like the Rural Tourism Development Program (RTDP) have attempted to promote community-based tourism but often operate in isolation, lacking integrated frameworks that link conservation, community welfare, and tourism growth. With high underemployment rates and dependence on subsistence agriculture, the district’s rural population could greatly benefit from ecotourism-based non-farm employment if properly planned and implemented through participatory mechanisms.</w:t>
      </w:r>
    </w:p>
    <w:p w14:paraId="0DF4F338" w14:textId="709E2084"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Globally, ecotourism success stories illustrate the critical role of spatial planning, zoning, and participatory governance. Latin America’s Biosphere Reserves (</w:t>
      </w:r>
      <w:r w:rsidRPr="009C6FEF">
        <w:rPr>
          <w:rFonts w:ascii="Times New Roman" w:hAnsi="Times New Roman" w:cs="Times New Roman"/>
          <w:color w:val="0070C0"/>
          <w:sz w:val="24"/>
          <w:szCs w:val="24"/>
        </w:rPr>
        <w:t>Montes et al., 2025</w:t>
      </w:r>
      <w:r w:rsidRPr="009C6FEF">
        <w:rPr>
          <w:rFonts w:ascii="Times New Roman" w:hAnsi="Times New Roman" w:cs="Times New Roman"/>
          <w:sz w:val="24"/>
          <w:szCs w:val="24"/>
        </w:rPr>
        <w:t>) and Southeast Asia’s community-based tourism models (</w:t>
      </w:r>
      <w:r w:rsidRPr="009C6FEF">
        <w:rPr>
          <w:rFonts w:ascii="Times New Roman" w:hAnsi="Times New Roman" w:cs="Times New Roman"/>
          <w:color w:val="0070C0"/>
          <w:sz w:val="24"/>
          <w:szCs w:val="24"/>
        </w:rPr>
        <w:t>Phong, 2025</w:t>
      </w:r>
      <w:r w:rsidRPr="009C6FEF">
        <w:rPr>
          <w:rFonts w:ascii="Times New Roman" w:hAnsi="Times New Roman" w:cs="Times New Roman"/>
          <w:sz w:val="24"/>
          <w:szCs w:val="24"/>
        </w:rPr>
        <w:t>) demonstrate how conservation and livelihoods can be effectively integrated. In India, examples such as the Sundarbans mangrove ecotourism, Meghalaya’s living root bridges (</w:t>
      </w:r>
      <w:r w:rsidRPr="009C6FEF">
        <w:rPr>
          <w:rFonts w:ascii="Times New Roman" w:hAnsi="Times New Roman" w:cs="Times New Roman"/>
          <w:color w:val="0070C0"/>
          <w:sz w:val="24"/>
          <w:szCs w:val="24"/>
        </w:rPr>
        <w:t>Shankar, 2015</w:t>
      </w:r>
      <w:r w:rsidRPr="009C6FEF">
        <w:rPr>
          <w:rFonts w:ascii="Times New Roman" w:hAnsi="Times New Roman" w:cs="Times New Roman"/>
          <w:sz w:val="24"/>
          <w:szCs w:val="24"/>
        </w:rPr>
        <w:t>), and Odisha’s handicraft-based tourism villages (</w:t>
      </w:r>
      <w:r w:rsidRPr="009C6FEF">
        <w:rPr>
          <w:rFonts w:ascii="Times New Roman" w:hAnsi="Times New Roman" w:cs="Times New Roman"/>
          <w:color w:val="0070C0"/>
          <w:sz w:val="24"/>
          <w:szCs w:val="24"/>
        </w:rPr>
        <w:t>Dash &amp; Mishra, 2021</w:t>
      </w:r>
      <w:r w:rsidRPr="009C6FEF">
        <w:rPr>
          <w:rFonts w:ascii="Times New Roman" w:hAnsi="Times New Roman" w:cs="Times New Roman"/>
          <w:sz w:val="24"/>
          <w:szCs w:val="24"/>
        </w:rPr>
        <w:t xml:space="preserve">) show how traditional knowledge and biodiversity conservation can coexist with sustainable tourism. These examples </w:t>
      </w:r>
      <w:r w:rsidR="00ED4F14" w:rsidRPr="009C6FEF">
        <w:rPr>
          <w:rFonts w:ascii="Times New Roman" w:hAnsi="Times New Roman" w:cs="Times New Roman"/>
          <w:sz w:val="24"/>
          <w:szCs w:val="24"/>
        </w:rPr>
        <w:t>emphasise</w:t>
      </w:r>
      <w:r w:rsidRPr="009C6FEF">
        <w:rPr>
          <w:rFonts w:ascii="Times New Roman" w:hAnsi="Times New Roman" w:cs="Times New Roman"/>
          <w:sz w:val="24"/>
          <w:szCs w:val="24"/>
        </w:rPr>
        <w:t xml:space="preserve"> the need for a holistic framework that combines scientific assessment, spatial planning, and local </w:t>
      </w:r>
      <w:r w:rsidR="00ED4F14" w:rsidRPr="009C6FEF">
        <w:rPr>
          <w:rFonts w:ascii="Times New Roman" w:hAnsi="Times New Roman" w:cs="Times New Roman"/>
          <w:sz w:val="24"/>
          <w:szCs w:val="24"/>
        </w:rPr>
        <w:t>participation principles,</w:t>
      </w:r>
      <w:r w:rsidRPr="009C6FEF">
        <w:rPr>
          <w:rFonts w:ascii="Times New Roman" w:hAnsi="Times New Roman" w:cs="Times New Roman"/>
          <w:sz w:val="24"/>
          <w:szCs w:val="24"/>
        </w:rPr>
        <w:t xml:space="preserve"> particularly relevant for a tribal-forest district like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w:t>
      </w:r>
    </w:p>
    <w:p w14:paraId="134A24E0" w14:textId="7887EC4D"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The use of Geographic Information Systems (GIS) and multi-criteria decision-making (MCDM) methods such as the Analytic Hierarchy Process (AHP) has revolutionised scientific tourism planning. These methods facilitate spatial suitability analyses by integrating environmental, physical, and socio-economic parameters, including land use/land cover, slope, accessibility, proximity to water bodies, and ecological sensitivity (</w:t>
      </w:r>
      <w:r w:rsidRPr="009C6FEF">
        <w:rPr>
          <w:rFonts w:ascii="Times New Roman" w:hAnsi="Times New Roman" w:cs="Times New Roman"/>
          <w:color w:val="0070C0"/>
          <w:sz w:val="24"/>
          <w:szCs w:val="24"/>
        </w:rPr>
        <w:t>Sharif et al., 2020; Maiti et al., 2022</w:t>
      </w:r>
      <w:r w:rsidRPr="009C6FEF">
        <w:rPr>
          <w:rFonts w:ascii="Times New Roman" w:hAnsi="Times New Roman" w:cs="Times New Roman"/>
          <w:sz w:val="24"/>
          <w:szCs w:val="24"/>
        </w:rPr>
        <w:t>). GIS-based overlay models help identify and prioritise potential ecotourism zones through weighted evaluation of criteria. In the Central Himalayas, such techniques have guided eco-restoration strategies (</w:t>
      </w:r>
      <w:r w:rsidRPr="009C6FEF">
        <w:rPr>
          <w:rFonts w:ascii="Times New Roman" w:hAnsi="Times New Roman" w:cs="Times New Roman"/>
          <w:color w:val="0070C0"/>
          <w:sz w:val="24"/>
          <w:szCs w:val="24"/>
        </w:rPr>
        <w:t>Maiti et al., 2022</w:t>
      </w:r>
      <w:r w:rsidRPr="009C6FEF">
        <w:rPr>
          <w:rFonts w:ascii="Times New Roman" w:hAnsi="Times New Roman" w:cs="Times New Roman"/>
          <w:sz w:val="24"/>
          <w:szCs w:val="24"/>
        </w:rPr>
        <w:t>), while in the Sundarbans, spatial zoning has been successfully applied to regulate tourism activities and conserve biodiversity (</w:t>
      </w:r>
      <w:r w:rsidRPr="009C6FEF">
        <w:rPr>
          <w:rFonts w:ascii="Times New Roman" w:hAnsi="Times New Roman" w:cs="Times New Roman"/>
          <w:color w:val="0070C0"/>
          <w:sz w:val="24"/>
          <w:szCs w:val="24"/>
        </w:rPr>
        <w:t>Ghosh, 2014</w:t>
      </w:r>
      <w:r w:rsidRPr="009C6FEF">
        <w:rPr>
          <w:rFonts w:ascii="Times New Roman" w:hAnsi="Times New Roman" w:cs="Times New Roman"/>
          <w:sz w:val="24"/>
          <w:szCs w:val="24"/>
        </w:rPr>
        <w:t xml:space="preserve">). Applying these geospatial approaches to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enables scientific micro-zoning of ecotourism sites based on carrying capacity and ecological vulnerability.</w:t>
      </w:r>
    </w:p>
    <w:p w14:paraId="042E1548" w14:textId="65E1157C"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Equally critical to sustainable ecotourism is community involvement. As </w:t>
      </w:r>
      <w:r w:rsidRPr="009C6FEF">
        <w:rPr>
          <w:rFonts w:ascii="Times New Roman" w:hAnsi="Times New Roman" w:cs="Times New Roman"/>
          <w:color w:val="0070C0"/>
          <w:sz w:val="24"/>
          <w:szCs w:val="24"/>
        </w:rPr>
        <w:t>Selman</w:t>
      </w:r>
      <w:r w:rsidRPr="009C6FEF">
        <w:rPr>
          <w:rFonts w:ascii="Times New Roman" w:hAnsi="Times New Roman" w:cs="Times New Roman"/>
          <w:sz w:val="24"/>
          <w:szCs w:val="24"/>
        </w:rPr>
        <w:t xml:space="preserve"> (2004) argued, local participation ensures cultural integrity and </w:t>
      </w:r>
      <w:r w:rsidR="0077677A" w:rsidRPr="009C6FEF">
        <w:rPr>
          <w:rFonts w:ascii="Times New Roman" w:hAnsi="Times New Roman" w:cs="Times New Roman"/>
          <w:sz w:val="24"/>
          <w:szCs w:val="24"/>
        </w:rPr>
        <w:t>minimises</w:t>
      </w:r>
      <w:r w:rsidRPr="009C6FEF">
        <w:rPr>
          <w:rFonts w:ascii="Times New Roman" w:hAnsi="Times New Roman" w:cs="Times New Roman"/>
          <w:sz w:val="24"/>
          <w:szCs w:val="24"/>
        </w:rPr>
        <w:t xml:space="preserve"> external exploitation. Participatory models in the Sundarbans have demonstrated how community governance and conservation can coexist (</w:t>
      </w:r>
      <w:r w:rsidRPr="009C6FEF">
        <w:rPr>
          <w:rFonts w:ascii="Times New Roman" w:hAnsi="Times New Roman" w:cs="Times New Roman"/>
          <w:color w:val="0070C0"/>
          <w:sz w:val="24"/>
          <w:szCs w:val="24"/>
        </w:rPr>
        <w:t>Mondal et al., 2021</w:t>
      </w:r>
      <w:r w:rsidRPr="009C6FEF">
        <w:rPr>
          <w:rFonts w:ascii="Times New Roman" w:hAnsi="Times New Roman" w:cs="Times New Roman"/>
          <w:sz w:val="24"/>
          <w:szCs w:val="24"/>
        </w:rPr>
        <w:t xml:space="preserve">). International experiences from Thailand and </w:t>
      </w:r>
      <w:r w:rsidRPr="009C6FEF">
        <w:rPr>
          <w:rFonts w:ascii="Times New Roman" w:hAnsi="Times New Roman" w:cs="Times New Roman"/>
          <w:sz w:val="24"/>
          <w:szCs w:val="24"/>
        </w:rPr>
        <w:lastRenderedPageBreak/>
        <w:t>Costa Rica also highlight how community-based ecotourism empowers indigenous populations and promotes livelihood diversification (</w:t>
      </w:r>
      <w:r w:rsidRPr="009C6FEF">
        <w:rPr>
          <w:rFonts w:ascii="Times New Roman" w:hAnsi="Times New Roman" w:cs="Times New Roman"/>
          <w:color w:val="0070C0"/>
          <w:sz w:val="24"/>
          <w:szCs w:val="24"/>
        </w:rPr>
        <w:t>Gardner, 2010</w:t>
      </w:r>
      <w:r w:rsidRPr="009C6FEF">
        <w:rPr>
          <w:rFonts w:ascii="Times New Roman" w:hAnsi="Times New Roman" w:cs="Times New Roman"/>
          <w:sz w:val="24"/>
          <w:szCs w:val="24"/>
        </w:rPr>
        <w:t>). Institutional models like Village Ecotourism Committees (VECs) and cooperatives encourage shared decision-making, skill development, and equitable benefit distribution (</w:t>
      </w:r>
      <w:proofErr w:type="spellStart"/>
      <w:r w:rsidRPr="009C6FEF">
        <w:rPr>
          <w:rFonts w:ascii="Times New Roman" w:hAnsi="Times New Roman" w:cs="Times New Roman"/>
          <w:color w:val="0070C0"/>
          <w:sz w:val="24"/>
          <w:szCs w:val="24"/>
        </w:rPr>
        <w:t>Marrewijk</w:t>
      </w:r>
      <w:proofErr w:type="spellEnd"/>
      <w:r w:rsidRPr="009C6FEF">
        <w:rPr>
          <w:rFonts w:ascii="Times New Roman" w:hAnsi="Times New Roman" w:cs="Times New Roman"/>
          <w:color w:val="0070C0"/>
          <w:sz w:val="24"/>
          <w:szCs w:val="24"/>
        </w:rPr>
        <w:t xml:space="preserve"> et al., 2004</w:t>
      </w:r>
      <w:r w:rsidRPr="009C6FEF">
        <w:rPr>
          <w:rFonts w:ascii="Times New Roman" w:hAnsi="Times New Roman" w:cs="Times New Roman"/>
          <w:sz w:val="24"/>
          <w:szCs w:val="24"/>
        </w:rPr>
        <w:t xml:space="preserve">). Such models are well-suited for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where tribal communities serve as both ecological stewards and cultural ambassadors.</w:t>
      </w:r>
    </w:p>
    <w:p w14:paraId="76F31138" w14:textId="77777777"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Cultural tourism forms a complementary component of ecotourism in tribal landscapes. Indigenous handicrafts, folk performances, and traditional knowledge systems enrich the visitor experience while strengthening local economies. Studies in Pakistan (</w:t>
      </w:r>
      <w:r w:rsidRPr="009C6FEF">
        <w:rPr>
          <w:rFonts w:ascii="Times New Roman" w:hAnsi="Times New Roman" w:cs="Times New Roman"/>
          <w:color w:val="0070C0"/>
          <w:sz w:val="24"/>
          <w:szCs w:val="24"/>
        </w:rPr>
        <w:t>Yang et al., 2018</w:t>
      </w:r>
      <w:r w:rsidRPr="009C6FEF">
        <w:rPr>
          <w:rFonts w:ascii="Times New Roman" w:hAnsi="Times New Roman" w:cs="Times New Roman"/>
          <w:sz w:val="24"/>
          <w:szCs w:val="24"/>
        </w:rPr>
        <w:t>) and Odisha (</w:t>
      </w:r>
      <w:proofErr w:type="spellStart"/>
      <w:r w:rsidRPr="009C6FEF">
        <w:rPr>
          <w:rFonts w:ascii="Times New Roman" w:hAnsi="Times New Roman" w:cs="Times New Roman"/>
          <w:color w:val="0070C0"/>
          <w:sz w:val="24"/>
          <w:szCs w:val="24"/>
        </w:rPr>
        <w:t>Azharunnisa</w:t>
      </w:r>
      <w:proofErr w:type="spellEnd"/>
      <w:r w:rsidRPr="009C6FEF">
        <w:rPr>
          <w:rFonts w:ascii="Times New Roman" w:hAnsi="Times New Roman" w:cs="Times New Roman"/>
          <w:color w:val="0070C0"/>
          <w:sz w:val="24"/>
          <w:szCs w:val="24"/>
        </w:rPr>
        <w:t xml:space="preserve"> et al., 2024</w:t>
      </w:r>
      <w:r w:rsidRPr="009C6FEF">
        <w:rPr>
          <w:rFonts w:ascii="Times New Roman" w:hAnsi="Times New Roman" w:cs="Times New Roman"/>
          <w:sz w:val="24"/>
          <w:szCs w:val="24"/>
        </w:rPr>
        <w:t xml:space="preserve">) have shown that handicraft tourism can sustain both cultural heritage and livelihoods. In West Bengal, Purulia’s </w:t>
      </w:r>
      <w:proofErr w:type="spellStart"/>
      <w:r w:rsidRPr="009C6FEF">
        <w:rPr>
          <w:rFonts w:ascii="Times New Roman" w:hAnsi="Times New Roman" w:cs="Times New Roman"/>
          <w:sz w:val="24"/>
          <w:szCs w:val="24"/>
        </w:rPr>
        <w:t>Chhau</w:t>
      </w:r>
      <w:proofErr w:type="spellEnd"/>
      <w:r w:rsidRPr="009C6FEF">
        <w:rPr>
          <w:rFonts w:ascii="Times New Roman" w:hAnsi="Times New Roman" w:cs="Times New Roman"/>
          <w:sz w:val="24"/>
          <w:szCs w:val="24"/>
        </w:rPr>
        <w:t xml:space="preserve"> dance and </w:t>
      </w:r>
      <w:proofErr w:type="spellStart"/>
      <w:r w:rsidRPr="009C6FEF">
        <w:rPr>
          <w:rFonts w:ascii="Times New Roman" w:hAnsi="Times New Roman" w:cs="Times New Roman"/>
          <w:sz w:val="24"/>
          <w:szCs w:val="24"/>
        </w:rPr>
        <w:t>Jhargram’s</w:t>
      </w:r>
      <w:proofErr w:type="spellEnd"/>
      <w:r w:rsidRPr="009C6FEF">
        <w:rPr>
          <w:rFonts w:ascii="Times New Roman" w:hAnsi="Times New Roman" w:cs="Times New Roman"/>
          <w:sz w:val="24"/>
          <w:szCs w:val="24"/>
        </w:rPr>
        <w:t xml:space="preserve"> Sabai grass crafts (</w:t>
      </w:r>
      <w:r w:rsidRPr="009C6FEF">
        <w:rPr>
          <w:rFonts w:ascii="Times New Roman" w:hAnsi="Times New Roman" w:cs="Times New Roman"/>
          <w:color w:val="0070C0"/>
          <w:sz w:val="24"/>
          <w:szCs w:val="24"/>
        </w:rPr>
        <w:t>Mukherjee &amp; Chatterjee, 2024</w:t>
      </w:r>
      <w:r w:rsidRPr="009C6FEF">
        <w:rPr>
          <w:rFonts w:ascii="Times New Roman" w:hAnsi="Times New Roman" w:cs="Times New Roman"/>
          <w:sz w:val="24"/>
          <w:szCs w:val="24"/>
        </w:rPr>
        <w:t>) exemplify how cultural assets can be integrated into ecotourism circuits, promoting both economic resilience and cultural continuity.</w:t>
      </w:r>
    </w:p>
    <w:p w14:paraId="2F3351CC" w14:textId="504C0D7D"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Innovative tourism practices-such as wellness tourism, </w:t>
      </w:r>
      <w:proofErr w:type="spellStart"/>
      <w:r w:rsidRPr="009C6FEF">
        <w:rPr>
          <w:rFonts w:ascii="Times New Roman" w:hAnsi="Times New Roman" w:cs="Times New Roman"/>
          <w:sz w:val="24"/>
          <w:szCs w:val="24"/>
        </w:rPr>
        <w:t>agro</w:t>
      </w:r>
      <w:proofErr w:type="spellEnd"/>
      <w:r w:rsidRPr="009C6FEF">
        <w:rPr>
          <w:rFonts w:ascii="Times New Roman" w:hAnsi="Times New Roman" w:cs="Times New Roman"/>
          <w:sz w:val="24"/>
          <w:szCs w:val="24"/>
        </w:rPr>
        <w:t xml:space="preserve">-tourism, and nocturnal biodiversity tourism-offer additional opportunities for diversification. </w:t>
      </w:r>
      <w:r w:rsidRPr="009C6FEF">
        <w:rPr>
          <w:rFonts w:ascii="Times New Roman" w:hAnsi="Times New Roman" w:cs="Times New Roman"/>
          <w:color w:val="0070C0"/>
          <w:sz w:val="24"/>
          <w:szCs w:val="24"/>
        </w:rPr>
        <w:t xml:space="preserve">Smith and Puczkó </w:t>
      </w:r>
      <w:r w:rsidRPr="009C6FEF">
        <w:rPr>
          <w:rFonts w:ascii="Times New Roman" w:hAnsi="Times New Roman" w:cs="Times New Roman"/>
          <w:sz w:val="24"/>
          <w:szCs w:val="24"/>
        </w:rPr>
        <w:t xml:space="preserve">(2014) linked wellness tourism with traditional healing systems and forest environments, while </w:t>
      </w:r>
      <w:r w:rsidRPr="009C6FEF">
        <w:rPr>
          <w:rFonts w:ascii="Times New Roman" w:hAnsi="Times New Roman" w:cs="Times New Roman"/>
          <w:color w:val="0070C0"/>
          <w:sz w:val="24"/>
          <w:szCs w:val="24"/>
        </w:rPr>
        <w:t xml:space="preserve">Chatterjee and Prasad </w:t>
      </w:r>
      <w:r w:rsidRPr="009C6FEF">
        <w:rPr>
          <w:rFonts w:ascii="Times New Roman" w:hAnsi="Times New Roman" w:cs="Times New Roman"/>
          <w:sz w:val="24"/>
          <w:szCs w:val="24"/>
        </w:rPr>
        <w:t xml:space="preserve">(2019) highlighted </w:t>
      </w:r>
      <w:proofErr w:type="spellStart"/>
      <w:r w:rsidRPr="009C6FEF">
        <w:rPr>
          <w:rFonts w:ascii="Times New Roman" w:hAnsi="Times New Roman" w:cs="Times New Roman"/>
          <w:sz w:val="24"/>
          <w:szCs w:val="24"/>
        </w:rPr>
        <w:t>agro</w:t>
      </w:r>
      <w:proofErr w:type="spellEnd"/>
      <w:r w:rsidRPr="009C6FEF">
        <w:rPr>
          <w:rFonts w:ascii="Times New Roman" w:hAnsi="Times New Roman" w:cs="Times New Roman"/>
          <w:sz w:val="24"/>
          <w:szCs w:val="24"/>
        </w:rPr>
        <w:t xml:space="preserve">-tourism’s potential to </w:t>
      </w:r>
      <w:r w:rsidR="00A47451" w:rsidRPr="009C6FEF">
        <w:rPr>
          <w:rFonts w:ascii="Times New Roman" w:hAnsi="Times New Roman" w:cs="Times New Roman"/>
          <w:sz w:val="24"/>
          <w:szCs w:val="24"/>
        </w:rPr>
        <w:t>revitalise</w:t>
      </w:r>
      <w:r w:rsidRPr="009C6FEF">
        <w:rPr>
          <w:rFonts w:ascii="Times New Roman" w:hAnsi="Times New Roman" w:cs="Times New Roman"/>
          <w:sz w:val="24"/>
          <w:szCs w:val="24"/>
        </w:rPr>
        <w:t xml:space="preserve"> rural economies through organic farming and indigenous agricultural practices. Likewise, firefly tourism, examined by </w:t>
      </w:r>
      <w:r w:rsidRPr="009C6FEF">
        <w:rPr>
          <w:rFonts w:ascii="Times New Roman" w:hAnsi="Times New Roman" w:cs="Times New Roman"/>
          <w:color w:val="0070C0"/>
          <w:sz w:val="24"/>
          <w:szCs w:val="24"/>
        </w:rPr>
        <w:t>Lewis et al</w:t>
      </w:r>
      <w:r w:rsidRPr="009C6FEF">
        <w:rPr>
          <w:rFonts w:ascii="Times New Roman" w:hAnsi="Times New Roman" w:cs="Times New Roman"/>
          <w:sz w:val="24"/>
          <w:szCs w:val="24"/>
        </w:rPr>
        <w:t xml:space="preserve">. (2021), showcases how biodiversity conservation can generate novel visitor attractions. Given its herbal medicine traditions, agricultural diversity, and nocturnal ecological richness,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holds significant potential to integrate such niche tourism initiatives.</w:t>
      </w:r>
    </w:p>
    <w:p w14:paraId="31DA2D9A" w14:textId="398922D5"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Although numerous studies have explored ecotourism in India, research on tribal-dominated plateau regions such as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remains limited. Existing literature in West Bengal has primarily focused on the Sundarbans (</w:t>
      </w:r>
      <w:r w:rsidRPr="009C6FEF">
        <w:rPr>
          <w:rFonts w:ascii="Times New Roman" w:hAnsi="Times New Roman" w:cs="Times New Roman"/>
          <w:color w:val="0070C0"/>
          <w:sz w:val="24"/>
          <w:szCs w:val="24"/>
        </w:rPr>
        <w:t>Ghosh, 2014; Mondal et al., 2021</w:t>
      </w:r>
      <w:r w:rsidRPr="009C6FEF">
        <w:rPr>
          <w:rFonts w:ascii="Times New Roman" w:hAnsi="Times New Roman" w:cs="Times New Roman"/>
          <w:sz w:val="24"/>
          <w:szCs w:val="24"/>
        </w:rPr>
        <w:t>) and Himalayan ecosystems (</w:t>
      </w:r>
      <w:r w:rsidRPr="009C6FEF">
        <w:rPr>
          <w:rFonts w:ascii="Times New Roman" w:hAnsi="Times New Roman" w:cs="Times New Roman"/>
          <w:color w:val="0070C0"/>
          <w:sz w:val="24"/>
          <w:szCs w:val="24"/>
        </w:rPr>
        <w:t>Maiti et al., 2022</w:t>
      </w:r>
      <w:r w:rsidRPr="009C6FEF">
        <w:rPr>
          <w:rFonts w:ascii="Times New Roman" w:hAnsi="Times New Roman" w:cs="Times New Roman"/>
          <w:sz w:val="24"/>
          <w:szCs w:val="24"/>
        </w:rPr>
        <w:t xml:space="preserve">). Few studies have applied GIS-based suitability analysis to plateau-forest transition zones or proposed integrated, phase-wise frameworks that align spatial planning with participatory governance. Similarly, while handicraft and cultural tourism have been studied in Odisha and Purulia, such integrative approaches are yet to be applied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w:t>
      </w:r>
    </w:p>
    <w:p w14:paraId="405FD697" w14:textId="21C24DE1"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This research addresses these gaps by proposing a phase-wise strategic framework for sustainable ecotourism development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District. It combines geospatial analysis using GIS and AHP with participatory mechanisms such as Village Ecotourism Committees (VECs). The framework delineates three micro-zones-Core, Ecotourism, and Buffer-based on </w:t>
      </w:r>
      <w:r w:rsidRPr="009C6FEF">
        <w:rPr>
          <w:rFonts w:ascii="Times New Roman" w:hAnsi="Times New Roman" w:cs="Times New Roman"/>
          <w:sz w:val="24"/>
          <w:szCs w:val="24"/>
        </w:rPr>
        <w:lastRenderedPageBreak/>
        <w:t xml:space="preserve">ecological sensitivity and carrying capacity. It unfolds in three sequential phases: Site preparation and community </w:t>
      </w:r>
      <w:r w:rsidR="0077677A" w:rsidRPr="009C6FEF">
        <w:rPr>
          <w:rFonts w:ascii="Times New Roman" w:hAnsi="Times New Roman" w:cs="Times New Roman"/>
          <w:sz w:val="24"/>
          <w:szCs w:val="24"/>
        </w:rPr>
        <w:t>mobilisation</w:t>
      </w:r>
      <w:r w:rsidRPr="009C6FEF">
        <w:rPr>
          <w:rFonts w:ascii="Times New Roman" w:hAnsi="Times New Roman" w:cs="Times New Roman"/>
          <w:sz w:val="24"/>
          <w:szCs w:val="24"/>
        </w:rPr>
        <w:t xml:space="preserve">, Eco-infrastructure and connectivity enhancement, and Diversification into </w:t>
      </w:r>
      <w:proofErr w:type="spellStart"/>
      <w:r w:rsidRPr="009C6FEF">
        <w:rPr>
          <w:rFonts w:ascii="Times New Roman" w:hAnsi="Times New Roman" w:cs="Times New Roman"/>
          <w:sz w:val="24"/>
          <w:szCs w:val="24"/>
        </w:rPr>
        <w:t>agro</w:t>
      </w:r>
      <w:proofErr w:type="spellEnd"/>
      <w:r w:rsidRPr="009C6FEF">
        <w:rPr>
          <w:rFonts w:ascii="Times New Roman" w:hAnsi="Times New Roman" w:cs="Times New Roman"/>
          <w:sz w:val="24"/>
          <w:szCs w:val="24"/>
        </w:rPr>
        <w:t>-tourism, handicraft tourism, wellness, and cultural festivals.</w:t>
      </w:r>
    </w:p>
    <w:p w14:paraId="2E83F772" w14:textId="0EF1AAF6"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The approach integrates conservation goals with livelihood development and aligns district-level ecotourism planning with the United Nations Sustainable Development Goals (SDGs).</w:t>
      </w:r>
    </w:p>
    <w:p w14:paraId="114441BF" w14:textId="683849ED"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The significance of this study lies in three key contributions:</w:t>
      </w:r>
    </w:p>
    <w:p w14:paraId="10DED5B2" w14:textId="51E0BC21" w:rsidR="003D2BC8" w:rsidRPr="009C6FEF" w:rsidRDefault="003D2BC8" w:rsidP="00194612">
      <w:pPr>
        <w:pStyle w:val="ListParagraph"/>
        <w:numPr>
          <w:ilvl w:val="0"/>
          <w:numId w:val="4"/>
        </w:num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It operationalises ecotourism theory by applying advanced geospatial and multi-criteria analysis to a tribal-dominated ecological landscape.</w:t>
      </w:r>
    </w:p>
    <w:p w14:paraId="001550E4" w14:textId="03A3D77C" w:rsidR="003D2BC8" w:rsidRPr="009C6FEF" w:rsidRDefault="003D2BC8" w:rsidP="00194612">
      <w:pPr>
        <w:pStyle w:val="ListParagraph"/>
        <w:numPr>
          <w:ilvl w:val="0"/>
          <w:numId w:val="4"/>
        </w:num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It advances a participatory governance model that positions local communities as co-managers and beneficiaries of tourism development.</w:t>
      </w:r>
    </w:p>
    <w:p w14:paraId="79F5DECF" w14:textId="77777777" w:rsidR="003D2BC8" w:rsidRPr="009C6FEF" w:rsidRDefault="003D2BC8" w:rsidP="00194612">
      <w:pPr>
        <w:pStyle w:val="ListParagraph"/>
        <w:numPr>
          <w:ilvl w:val="0"/>
          <w:numId w:val="4"/>
        </w:numPr>
        <w:spacing w:after="0" w:line="360" w:lineRule="auto"/>
        <w:jc w:val="both"/>
        <w:rPr>
          <w:rFonts w:ascii="Times New Roman" w:hAnsi="Times New Roman" w:cs="Times New Roman"/>
          <w:b/>
          <w:bCs/>
          <w:sz w:val="24"/>
          <w:szCs w:val="24"/>
        </w:rPr>
      </w:pPr>
      <w:r w:rsidRPr="009C6FEF">
        <w:rPr>
          <w:rFonts w:ascii="Times New Roman" w:hAnsi="Times New Roman" w:cs="Times New Roman"/>
          <w:sz w:val="24"/>
          <w:szCs w:val="24"/>
        </w:rPr>
        <w:t>It presents a replicable, phase-wise framework that can guide sustainable ecotourism initiatives across similar tribal-forest districts in India, contributing to the global agenda of environmental sustainability and inclusive rural development (</w:t>
      </w:r>
      <w:r w:rsidRPr="009C6FEF">
        <w:rPr>
          <w:rFonts w:ascii="Times New Roman" w:hAnsi="Times New Roman" w:cs="Times New Roman"/>
          <w:color w:val="0070C0"/>
          <w:sz w:val="24"/>
          <w:szCs w:val="24"/>
        </w:rPr>
        <w:t>TIES, 2015; NITI Aayog, 2018; Fennell, 2020</w:t>
      </w:r>
      <w:r w:rsidRPr="009C6FEF">
        <w:rPr>
          <w:rFonts w:ascii="Times New Roman" w:hAnsi="Times New Roman" w:cs="Times New Roman"/>
          <w:sz w:val="24"/>
          <w:szCs w:val="24"/>
        </w:rPr>
        <w:t>).</w:t>
      </w:r>
    </w:p>
    <w:p w14:paraId="06C601DF" w14:textId="72405467" w:rsidR="004A0228" w:rsidRPr="009C6FEF" w:rsidRDefault="00686EE5" w:rsidP="00194612">
      <w:pPr>
        <w:spacing w:after="0" w:line="360" w:lineRule="auto"/>
        <w:jc w:val="both"/>
        <w:rPr>
          <w:rFonts w:ascii="Times New Roman" w:hAnsi="Times New Roman" w:cs="Times New Roman"/>
          <w:b/>
          <w:bCs/>
          <w:sz w:val="28"/>
          <w:szCs w:val="28"/>
        </w:rPr>
      </w:pPr>
      <w:r w:rsidRPr="009C6FEF">
        <w:rPr>
          <w:rFonts w:ascii="Times New Roman" w:hAnsi="Times New Roman" w:cs="Times New Roman"/>
          <w:b/>
          <w:bCs/>
          <w:sz w:val="28"/>
          <w:szCs w:val="28"/>
        </w:rPr>
        <w:t xml:space="preserve">2. </w:t>
      </w:r>
      <w:r w:rsidR="004A0228" w:rsidRPr="009C6FEF">
        <w:rPr>
          <w:rFonts w:ascii="Times New Roman" w:hAnsi="Times New Roman" w:cs="Times New Roman"/>
          <w:b/>
          <w:bCs/>
          <w:sz w:val="28"/>
          <w:szCs w:val="28"/>
        </w:rPr>
        <w:t>Materials and Methods:</w:t>
      </w:r>
    </w:p>
    <w:p w14:paraId="7292C88C" w14:textId="5FCBFEB9" w:rsidR="00666264" w:rsidRPr="009C6FEF" w:rsidRDefault="004A0228" w:rsidP="00194612">
      <w:pPr>
        <w:spacing w:after="0" w:line="360" w:lineRule="auto"/>
        <w:jc w:val="both"/>
        <w:rPr>
          <w:rFonts w:ascii="Times New Roman" w:hAnsi="Times New Roman" w:cs="Times New Roman"/>
          <w:b/>
          <w:bCs/>
          <w:sz w:val="24"/>
          <w:szCs w:val="24"/>
        </w:rPr>
      </w:pPr>
      <w:r w:rsidRPr="009C6FEF">
        <w:rPr>
          <w:rFonts w:ascii="Times New Roman" w:hAnsi="Times New Roman" w:cs="Times New Roman"/>
          <w:b/>
          <w:bCs/>
          <w:sz w:val="24"/>
          <w:szCs w:val="24"/>
        </w:rPr>
        <w:t xml:space="preserve">2.1 </w:t>
      </w:r>
      <w:r w:rsidR="00666264" w:rsidRPr="009C6FEF">
        <w:rPr>
          <w:rFonts w:ascii="Times New Roman" w:hAnsi="Times New Roman" w:cs="Times New Roman"/>
          <w:b/>
          <w:bCs/>
          <w:sz w:val="24"/>
          <w:szCs w:val="24"/>
        </w:rPr>
        <w:t>Study Area</w:t>
      </w:r>
      <w:r w:rsidR="00DB0D40" w:rsidRPr="009C6FEF">
        <w:rPr>
          <w:rFonts w:ascii="Times New Roman" w:hAnsi="Times New Roman" w:cs="Times New Roman"/>
          <w:b/>
          <w:bCs/>
          <w:sz w:val="24"/>
          <w:szCs w:val="24"/>
        </w:rPr>
        <w:t>:</w:t>
      </w:r>
    </w:p>
    <w:p w14:paraId="0B349E49" w14:textId="23EBBABC" w:rsidR="00666264" w:rsidRPr="009C6FEF" w:rsidRDefault="00666264" w:rsidP="00194612">
      <w:pPr>
        <w:spacing w:after="0" w:line="360" w:lineRule="auto"/>
        <w:jc w:val="both"/>
        <w:rPr>
          <w:rFonts w:ascii="Times New Roman" w:hAnsi="Times New Roman" w:cs="Times New Roman"/>
          <w:sz w:val="24"/>
          <w:szCs w:val="24"/>
        </w:rPr>
      </w:pP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District, located in the </w:t>
      </w:r>
      <w:r w:rsidR="00C35E4D" w:rsidRPr="009C6FEF">
        <w:rPr>
          <w:rFonts w:ascii="Times New Roman" w:hAnsi="Times New Roman" w:cs="Times New Roman"/>
          <w:sz w:val="24"/>
          <w:szCs w:val="24"/>
        </w:rPr>
        <w:t>southwestern</w:t>
      </w:r>
      <w:r w:rsidRPr="009C6FEF">
        <w:rPr>
          <w:rFonts w:ascii="Times New Roman" w:hAnsi="Times New Roman" w:cs="Times New Roman"/>
          <w:sz w:val="24"/>
          <w:szCs w:val="24"/>
        </w:rPr>
        <w:t xml:space="preserve"> part of West Bengal, covers 3,037 km² between 22°30′N</w:t>
      </w:r>
      <w:r w:rsidR="00C35E4D" w:rsidRPr="009C6FEF">
        <w:rPr>
          <w:rFonts w:ascii="Times New Roman" w:hAnsi="Times New Roman" w:cs="Times New Roman"/>
          <w:sz w:val="24"/>
          <w:szCs w:val="24"/>
        </w:rPr>
        <w:t>-</w:t>
      </w:r>
      <w:r w:rsidRPr="009C6FEF">
        <w:rPr>
          <w:rFonts w:ascii="Times New Roman" w:hAnsi="Times New Roman" w:cs="Times New Roman"/>
          <w:sz w:val="24"/>
          <w:szCs w:val="24"/>
        </w:rPr>
        <w:t>22°58′N and 86°34′E</w:t>
      </w:r>
      <w:r w:rsidR="00C35E4D" w:rsidRPr="009C6FEF">
        <w:rPr>
          <w:rFonts w:ascii="Times New Roman" w:hAnsi="Times New Roman" w:cs="Times New Roman"/>
          <w:sz w:val="24"/>
          <w:szCs w:val="24"/>
        </w:rPr>
        <w:t>-</w:t>
      </w:r>
      <w:r w:rsidRPr="009C6FEF">
        <w:rPr>
          <w:rFonts w:ascii="Times New Roman" w:hAnsi="Times New Roman" w:cs="Times New Roman"/>
          <w:sz w:val="24"/>
          <w:szCs w:val="24"/>
        </w:rPr>
        <w:t xml:space="preserve">87°20′E. Formed in 2017, it lies at the transition between the </w:t>
      </w:r>
      <w:proofErr w:type="spellStart"/>
      <w:r w:rsidRPr="009C6FEF">
        <w:rPr>
          <w:rFonts w:ascii="Times New Roman" w:hAnsi="Times New Roman" w:cs="Times New Roman"/>
          <w:sz w:val="24"/>
          <w:szCs w:val="24"/>
        </w:rPr>
        <w:t>Chhotanagpur</w:t>
      </w:r>
      <w:proofErr w:type="spellEnd"/>
      <w:r w:rsidRPr="009C6FEF">
        <w:rPr>
          <w:rFonts w:ascii="Times New Roman" w:hAnsi="Times New Roman" w:cs="Times New Roman"/>
          <w:sz w:val="24"/>
          <w:szCs w:val="24"/>
        </w:rPr>
        <w:t xml:space="preserve"> Plateau and the Gangetic plains, bordered by Jharkhand, Odisha, and Paschim Medinipur. The terrain is undulating, with elevations from 10 to 421 m, lateritic soils, and a landscape shaped by crystalline rocks and alluvial deposits.</w:t>
      </w:r>
    </w:p>
    <w:p w14:paraId="6B5A68A2" w14:textId="77777777" w:rsidR="000D2237" w:rsidRPr="009C6FEF" w:rsidRDefault="000D2237" w:rsidP="000D2237">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The climate is tropical monsoonal, with annual rainfall of about 1,400 mm, mostly during June-September. Major rivers include the Subarnarekha, </w:t>
      </w:r>
      <w:proofErr w:type="spellStart"/>
      <w:r w:rsidRPr="009C6FEF">
        <w:rPr>
          <w:rFonts w:ascii="Times New Roman" w:hAnsi="Times New Roman" w:cs="Times New Roman"/>
          <w:sz w:val="24"/>
          <w:szCs w:val="24"/>
        </w:rPr>
        <w:t>Kangsabati</w:t>
      </w:r>
      <w:proofErr w:type="spellEnd"/>
      <w:r w:rsidRPr="009C6FEF">
        <w:rPr>
          <w:rFonts w:ascii="Times New Roman" w:hAnsi="Times New Roman" w:cs="Times New Roman"/>
          <w:sz w:val="24"/>
          <w:szCs w:val="24"/>
        </w:rPr>
        <w:t xml:space="preserve">, </w:t>
      </w:r>
      <w:proofErr w:type="spellStart"/>
      <w:r w:rsidRPr="009C6FEF">
        <w:rPr>
          <w:rFonts w:ascii="Times New Roman" w:hAnsi="Times New Roman" w:cs="Times New Roman"/>
          <w:sz w:val="24"/>
          <w:szCs w:val="24"/>
        </w:rPr>
        <w:t>Dulung</w:t>
      </w:r>
      <w:proofErr w:type="spellEnd"/>
      <w:r w:rsidRPr="009C6FEF">
        <w:rPr>
          <w:rFonts w:ascii="Times New Roman" w:hAnsi="Times New Roman" w:cs="Times New Roman"/>
          <w:sz w:val="24"/>
          <w:szCs w:val="24"/>
        </w:rPr>
        <w:t xml:space="preserve">, and </w:t>
      </w:r>
      <w:proofErr w:type="spellStart"/>
      <w:r w:rsidRPr="009C6FEF">
        <w:rPr>
          <w:rFonts w:ascii="Times New Roman" w:hAnsi="Times New Roman" w:cs="Times New Roman"/>
          <w:sz w:val="24"/>
          <w:szCs w:val="24"/>
        </w:rPr>
        <w:t>Tarafeni</w:t>
      </w:r>
      <w:proofErr w:type="spellEnd"/>
      <w:r w:rsidRPr="009C6FEF">
        <w:rPr>
          <w:rFonts w:ascii="Times New Roman" w:hAnsi="Times New Roman" w:cs="Times New Roman"/>
          <w:sz w:val="24"/>
          <w:szCs w:val="24"/>
        </w:rPr>
        <w:t xml:space="preserve">, while </w:t>
      </w:r>
      <w:proofErr w:type="spellStart"/>
      <w:r w:rsidRPr="009C6FEF">
        <w:rPr>
          <w:rFonts w:ascii="Times New Roman" w:hAnsi="Times New Roman" w:cs="Times New Roman"/>
          <w:sz w:val="24"/>
          <w:szCs w:val="24"/>
        </w:rPr>
        <w:t>Khandarani</w:t>
      </w:r>
      <w:proofErr w:type="spellEnd"/>
      <w:r w:rsidRPr="009C6FEF">
        <w:rPr>
          <w:rFonts w:ascii="Times New Roman" w:hAnsi="Times New Roman" w:cs="Times New Roman"/>
          <w:sz w:val="24"/>
          <w:szCs w:val="24"/>
        </w:rPr>
        <w:t xml:space="preserve"> Lake and several waterfalls (</w:t>
      </w:r>
      <w:proofErr w:type="spellStart"/>
      <w:r w:rsidRPr="009C6FEF">
        <w:rPr>
          <w:rFonts w:ascii="Times New Roman" w:hAnsi="Times New Roman" w:cs="Times New Roman"/>
          <w:sz w:val="24"/>
          <w:szCs w:val="24"/>
        </w:rPr>
        <w:t>Ghagra</w:t>
      </w:r>
      <w:proofErr w:type="spellEnd"/>
      <w:r w:rsidRPr="009C6FEF">
        <w:rPr>
          <w:rFonts w:ascii="Times New Roman" w:hAnsi="Times New Roman" w:cs="Times New Roman"/>
          <w:sz w:val="24"/>
          <w:szCs w:val="24"/>
        </w:rPr>
        <w:t xml:space="preserve">, </w:t>
      </w:r>
      <w:proofErr w:type="spellStart"/>
      <w:r w:rsidRPr="009C6FEF">
        <w:rPr>
          <w:rFonts w:ascii="Times New Roman" w:hAnsi="Times New Roman" w:cs="Times New Roman"/>
          <w:sz w:val="24"/>
          <w:szCs w:val="24"/>
        </w:rPr>
        <w:t>Hudhudi</w:t>
      </w:r>
      <w:proofErr w:type="spellEnd"/>
      <w:r w:rsidRPr="009C6FEF">
        <w:rPr>
          <w:rFonts w:ascii="Times New Roman" w:hAnsi="Times New Roman" w:cs="Times New Roman"/>
          <w:sz w:val="24"/>
          <w:szCs w:val="24"/>
        </w:rPr>
        <w:t>) enhance scenic beauty. Forests cover about 31% of the district (927 km²), dominated by Sal, Mahua, Palash, and Kusum. Wildlife such as deer, elephants, and diverse bird species make the district suitable for eco-adventure and nature tourism.</w:t>
      </w:r>
    </w:p>
    <w:p w14:paraId="5AE24258" w14:textId="77777777" w:rsidR="000D2237" w:rsidRPr="009C6FEF" w:rsidRDefault="000D2237" w:rsidP="000D2237">
      <w:pPr>
        <w:spacing w:after="0" w:line="360" w:lineRule="auto"/>
        <w:jc w:val="both"/>
        <w:rPr>
          <w:rFonts w:ascii="Times New Roman" w:hAnsi="Times New Roman" w:cs="Times New Roman"/>
          <w:sz w:val="24"/>
          <w:szCs w:val="24"/>
        </w:rPr>
      </w:pP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has a population of around 1.1 million, with tribal groups such as the Santhal, Munda, Lodha, Bhumij, and Sabar forming nearly one-third. Their cultural identity is expressed through folk dances (</w:t>
      </w:r>
      <w:proofErr w:type="spellStart"/>
      <w:r w:rsidRPr="009C6FEF">
        <w:rPr>
          <w:rFonts w:ascii="Times New Roman" w:hAnsi="Times New Roman" w:cs="Times New Roman"/>
          <w:sz w:val="24"/>
          <w:szCs w:val="24"/>
        </w:rPr>
        <w:t>Jhumur</w:t>
      </w:r>
      <w:proofErr w:type="spellEnd"/>
      <w:r w:rsidRPr="009C6FEF">
        <w:rPr>
          <w:rFonts w:ascii="Times New Roman" w:hAnsi="Times New Roman" w:cs="Times New Roman"/>
          <w:sz w:val="24"/>
          <w:szCs w:val="24"/>
        </w:rPr>
        <w:t>, Dong), handicrafts (</w:t>
      </w:r>
      <w:proofErr w:type="spellStart"/>
      <w:r w:rsidRPr="009C6FEF">
        <w:rPr>
          <w:rFonts w:ascii="Times New Roman" w:hAnsi="Times New Roman" w:cs="Times New Roman"/>
          <w:sz w:val="24"/>
          <w:szCs w:val="24"/>
        </w:rPr>
        <w:t>sabai</w:t>
      </w:r>
      <w:proofErr w:type="spellEnd"/>
      <w:r w:rsidRPr="009C6FEF">
        <w:rPr>
          <w:rFonts w:ascii="Times New Roman" w:hAnsi="Times New Roman" w:cs="Times New Roman"/>
          <w:sz w:val="24"/>
          <w:szCs w:val="24"/>
        </w:rPr>
        <w:t xml:space="preserve"> grass, bamboo, wood, </w:t>
      </w:r>
      <w:proofErr w:type="spellStart"/>
      <w:r w:rsidRPr="009C6FEF">
        <w:rPr>
          <w:rFonts w:ascii="Times New Roman" w:hAnsi="Times New Roman" w:cs="Times New Roman"/>
          <w:sz w:val="24"/>
          <w:szCs w:val="24"/>
        </w:rPr>
        <w:t>dokra</w:t>
      </w:r>
      <w:proofErr w:type="spellEnd"/>
      <w:r w:rsidRPr="009C6FEF">
        <w:rPr>
          <w:rFonts w:ascii="Times New Roman" w:hAnsi="Times New Roman" w:cs="Times New Roman"/>
          <w:sz w:val="24"/>
          <w:szCs w:val="24"/>
        </w:rPr>
        <w:t>, stone carvings), and traditional gastronomy (</w:t>
      </w:r>
      <w:proofErr w:type="spellStart"/>
      <w:r w:rsidRPr="009C6FEF">
        <w:rPr>
          <w:rFonts w:ascii="Times New Roman" w:hAnsi="Times New Roman" w:cs="Times New Roman"/>
          <w:sz w:val="24"/>
          <w:szCs w:val="24"/>
        </w:rPr>
        <w:t>Handia</w:t>
      </w:r>
      <w:proofErr w:type="spellEnd"/>
      <w:r w:rsidRPr="009C6FEF">
        <w:rPr>
          <w:rFonts w:ascii="Times New Roman" w:hAnsi="Times New Roman" w:cs="Times New Roman"/>
          <w:sz w:val="24"/>
          <w:szCs w:val="24"/>
        </w:rPr>
        <w:t>, mahua sweets, bamboo shoot curry). These cultural assets provide opportunities for eco-cultural tourism.</w:t>
      </w:r>
    </w:p>
    <w:p w14:paraId="217642C9" w14:textId="273BC40E" w:rsidR="000D2237" w:rsidRPr="009C6FEF" w:rsidRDefault="008D293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lastRenderedPageBreak/>
        <w:t>Tourism resources include natural sites (</w:t>
      </w:r>
      <w:proofErr w:type="spellStart"/>
      <w:r w:rsidRPr="009C6FEF">
        <w:rPr>
          <w:rFonts w:ascii="Times New Roman" w:hAnsi="Times New Roman" w:cs="Times New Roman"/>
          <w:sz w:val="24"/>
          <w:szCs w:val="24"/>
        </w:rPr>
        <w:t>Kankrajhore</w:t>
      </w:r>
      <w:proofErr w:type="spellEnd"/>
      <w:r w:rsidRPr="009C6FEF">
        <w:rPr>
          <w:rFonts w:ascii="Times New Roman" w:hAnsi="Times New Roman" w:cs="Times New Roman"/>
          <w:sz w:val="24"/>
          <w:szCs w:val="24"/>
        </w:rPr>
        <w:t xml:space="preserve">, </w:t>
      </w:r>
      <w:proofErr w:type="spellStart"/>
      <w:r w:rsidRPr="009C6FEF">
        <w:rPr>
          <w:rFonts w:ascii="Times New Roman" w:hAnsi="Times New Roman" w:cs="Times New Roman"/>
          <w:sz w:val="24"/>
          <w:szCs w:val="24"/>
        </w:rPr>
        <w:t>Belpahari</w:t>
      </w:r>
      <w:proofErr w:type="spellEnd"/>
      <w:r w:rsidRPr="009C6FEF">
        <w:rPr>
          <w:rFonts w:ascii="Times New Roman" w:hAnsi="Times New Roman" w:cs="Times New Roman"/>
          <w:sz w:val="24"/>
          <w:szCs w:val="24"/>
        </w:rPr>
        <w:t xml:space="preserve">, </w:t>
      </w:r>
      <w:proofErr w:type="spellStart"/>
      <w:r w:rsidRPr="009C6FEF">
        <w:rPr>
          <w:rFonts w:ascii="Times New Roman" w:hAnsi="Times New Roman" w:cs="Times New Roman"/>
          <w:sz w:val="24"/>
          <w:szCs w:val="24"/>
        </w:rPr>
        <w:t>Gadrasini</w:t>
      </w:r>
      <w:proofErr w:type="spellEnd"/>
      <w:r w:rsidRPr="009C6FEF">
        <w:rPr>
          <w:rFonts w:ascii="Times New Roman" w:hAnsi="Times New Roman" w:cs="Times New Roman"/>
          <w:sz w:val="24"/>
          <w:szCs w:val="24"/>
        </w:rPr>
        <w:t xml:space="preserve"> Hills, </w:t>
      </w:r>
      <w:proofErr w:type="spellStart"/>
      <w:r w:rsidRPr="009C6FEF">
        <w:rPr>
          <w:rFonts w:ascii="Times New Roman" w:hAnsi="Times New Roman" w:cs="Times New Roman"/>
          <w:sz w:val="24"/>
          <w:szCs w:val="24"/>
        </w:rPr>
        <w:t>Tarafeni</w:t>
      </w:r>
      <w:proofErr w:type="spellEnd"/>
      <w:r w:rsidRPr="009C6FEF">
        <w:rPr>
          <w:rFonts w:ascii="Times New Roman" w:hAnsi="Times New Roman" w:cs="Times New Roman"/>
          <w:sz w:val="24"/>
          <w:szCs w:val="24"/>
        </w:rPr>
        <w:t xml:space="preserve"> Gorge), cultural-historical sites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Raj Palace, </w:t>
      </w:r>
      <w:proofErr w:type="spellStart"/>
      <w:r w:rsidRPr="009C6FEF">
        <w:rPr>
          <w:rFonts w:ascii="Times New Roman" w:hAnsi="Times New Roman" w:cs="Times New Roman"/>
          <w:sz w:val="24"/>
          <w:szCs w:val="24"/>
        </w:rPr>
        <w:t>Chikigarh</w:t>
      </w:r>
      <w:proofErr w:type="spellEnd"/>
      <w:r w:rsidRPr="009C6FEF">
        <w:rPr>
          <w:rFonts w:ascii="Times New Roman" w:hAnsi="Times New Roman" w:cs="Times New Roman"/>
          <w:sz w:val="24"/>
          <w:szCs w:val="24"/>
        </w:rPr>
        <w:t xml:space="preserve"> Rajbari), and eco-cultural attractions such as tribal villages and handicraft hubs. Despite rich resources, the district faces poor infrastructure, weak connectivity, and minimal organised tourism, limiting visitor inflows.</w:t>
      </w:r>
    </w:p>
    <w:p w14:paraId="3A87E758" w14:textId="3551917A" w:rsidR="00B01310" w:rsidRPr="009C6FEF" w:rsidRDefault="00B01310"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noProof/>
          <w:sz w:val="24"/>
          <w:szCs w:val="24"/>
        </w:rPr>
        <w:drawing>
          <wp:inline distT="0" distB="0" distL="0" distR="0" wp14:anchorId="5B17EF91" wp14:editId="4DBBAE4A">
            <wp:extent cx="5731510" cy="4052570"/>
            <wp:effectExtent l="19050" t="19050" r="21590" b="24130"/>
            <wp:docPr id="1465018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solidFill>
                        <a:schemeClr val="tx1"/>
                      </a:solidFill>
                    </a:ln>
                  </pic:spPr>
                </pic:pic>
              </a:graphicData>
            </a:graphic>
          </wp:inline>
        </w:drawing>
      </w:r>
    </w:p>
    <w:p w14:paraId="26E731AF" w14:textId="0E1DE7B5" w:rsidR="00C35E4D" w:rsidRPr="009C6FEF" w:rsidRDefault="00C35E4D" w:rsidP="00194612">
      <w:pPr>
        <w:spacing w:after="0" w:line="360" w:lineRule="auto"/>
        <w:jc w:val="both"/>
        <w:rPr>
          <w:rFonts w:ascii="Times New Roman" w:hAnsi="Times New Roman" w:cs="Times New Roman"/>
          <w:i/>
          <w:iCs/>
          <w:sz w:val="24"/>
          <w:szCs w:val="24"/>
        </w:rPr>
      </w:pPr>
      <w:r w:rsidRPr="009C6FEF">
        <w:rPr>
          <w:rFonts w:ascii="Times New Roman" w:hAnsi="Times New Roman" w:cs="Times New Roman"/>
          <w:i/>
          <w:iCs/>
          <w:sz w:val="24"/>
          <w:szCs w:val="24"/>
        </w:rPr>
        <w:t xml:space="preserve">Fig. 1: Location map of study area, </w:t>
      </w:r>
      <w:proofErr w:type="spellStart"/>
      <w:r w:rsidRPr="009C6FEF">
        <w:rPr>
          <w:rFonts w:ascii="Times New Roman" w:hAnsi="Times New Roman" w:cs="Times New Roman"/>
          <w:i/>
          <w:iCs/>
          <w:sz w:val="24"/>
          <w:szCs w:val="24"/>
        </w:rPr>
        <w:t>Jhargram</w:t>
      </w:r>
      <w:proofErr w:type="spellEnd"/>
      <w:r w:rsidRPr="009C6FEF">
        <w:rPr>
          <w:rFonts w:ascii="Times New Roman" w:hAnsi="Times New Roman" w:cs="Times New Roman"/>
          <w:i/>
          <w:iCs/>
          <w:sz w:val="24"/>
          <w:szCs w:val="24"/>
        </w:rPr>
        <w:t xml:space="preserve"> district, prepared with help of ArcGIS by the researcher.</w:t>
      </w:r>
    </w:p>
    <w:p w14:paraId="24985789" w14:textId="15C2F9AA" w:rsidR="007E1D9F" w:rsidRPr="009C6FEF" w:rsidRDefault="004A0228" w:rsidP="00194612">
      <w:pPr>
        <w:spacing w:after="0" w:line="360" w:lineRule="auto"/>
        <w:jc w:val="both"/>
        <w:rPr>
          <w:rFonts w:ascii="Times New Roman" w:hAnsi="Times New Roman" w:cs="Times New Roman"/>
          <w:b/>
          <w:bCs/>
          <w:sz w:val="24"/>
          <w:szCs w:val="24"/>
        </w:rPr>
      </w:pPr>
      <w:r w:rsidRPr="009C6FEF">
        <w:rPr>
          <w:rFonts w:ascii="Times New Roman" w:hAnsi="Times New Roman" w:cs="Times New Roman"/>
          <w:b/>
          <w:bCs/>
          <w:sz w:val="24"/>
          <w:szCs w:val="24"/>
        </w:rPr>
        <w:t>2.2</w:t>
      </w:r>
      <w:r w:rsidR="00686EE5" w:rsidRPr="009C6FEF">
        <w:rPr>
          <w:rFonts w:ascii="Times New Roman" w:hAnsi="Times New Roman" w:cs="Times New Roman"/>
          <w:b/>
          <w:bCs/>
          <w:sz w:val="24"/>
          <w:szCs w:val="24"/>
        </w:rPr>
        <w:t xml:space="preserve">. </w:t>
      </w:r>
      <w:r w:rsidRPr="009C6FEF">
        <w:rPr>
          <w:rFonts w:ascii="Times New Roman" w:hAnsi="Times New Roman" w:cs="Times New Roman"/>
          <w:b/>
          <w:bCs/>
          <w:sz w:val="24"/>
          <w:szCs w:val="24"/>
        </w:rPr>
        <w:t>Method</w:t>
      </w:r>
    </w:p>
    <w:p w14:paraId="67E935F6" w14:textId="04E3D7AE" w:rsidR="007E1D9F" w:rsidRPr="009C6FEF" w:rsidRDefault="007E1D9F"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The methodological framework for this study was designed to be both exploratory and analytical, integrating quantitative geospatial analysis with qualitative, community-based insights to formulate a holistic plan for ecotourism development (</w:t>
      </w:r>
      <w:r w:rsidRPr="009C6FEF">
        <w:rPr>
          <w:rFonts w:ascii="Times New Roman" w:hAnsi="Times New Roman" w:cs="Times New Roman"/>
          <w:color w:val="0070C0"/>
          <w:sz w:val="24"/>
          <w:szCs w:val="24"/>
        </w:rPr>
        <w:t>Yasin &amp; Woldemariam, 2023; Aksoy et al., 2025</w:t>
      </w:r>
      <w:r w:rsidRPr="009C6FEF">
        <w:rPr>
          <w:rFonts w:ascii="Times New Roman" w:hAnsi="Times New Roman" w:cs="Times New Roman"/>
          <w:sz w:val="24"/>
          <w:szCs w:val="24"/>
        </w:rPr>
        <w:t xml:space="preserve">). This research design systematically combined field-based data collection, geospatial </w:t>
      </w:r>
      <w:r w:rsidR="00D67B56" w:rsidRPr="009C6FEF">
        <w:rPr>
          <w:rFonts w:ascii="Times New Roman" w:hAnsi="Times New Roman" w:cs="Times New Roman"/>
          <w:sz w:val="24"/>
          <w:szCs w:val="24"/>
        </w:rPr>
        <w:t>modelling</w:t>
      </w:r>
      <w:r w:rsidRPr="009C6FEF">
        <w:rPr>
          <w:rFonts w:ascii="Times New Roman" w:hAnsi="Times New Roman" w:cs="Times New Roman"/>
          <w:sz w:val="24"/>
          <w:szCs w:val="24"/>
        </w:rPr>
        <w:t>, and participatory approaches to identify ecotourism potential zones and conduct critical sensitivity analyses (</w:t>
      </w:r>
      <w:r w:rsidRPr="009C6FEF">
        <w:rPr>
          <w:rFonts w:ascii="Times New Roman" w:hAnsi="Times New Roman" w:cs="Times New Roman"/>
          <w:color w:val="0070C0"/>
          <w:sz w:val="24"/>
          <w:szCs w:val="24"/>
        </w:rPr>
        <w:t>Gutierrez-Lopez et al., 2023</w:t>
      </w:r>
      <w:r w:rsidRPr="009C6FEF">
        <w:rPr>
          <w:rFonts w:ascii="Times New Roman" w:hAnsi="Times New Roman" w:cs="Times New Roman"/>
          <w:sz w:val="24"/>
          <w:szCs w:val="24"/>
        </w:rPr>
        <w:t xml:space="preserve">), as illustrated in Figure </w:t>
      </w:r>
      <w:r w:rsidR="0035513D" w:rsidRPr="009C6FEF">
        <w:rPr>
          <w:rFonts w:ascii="Times New Roman" w:hAnsi="Times New Roman" w:cs="Times New Roman"/>
          <w:sz w:val="24"/>
          <w:szCs w:val="24"/>
        </w:rPr>
        <w:t>2</w:t>
      </w:r>
      <w:r w:rsidRPr="009C6FEF">
        <w:rPr>
          <w:rFonts w:ascii="Times New Roman" w:hAnsi="Times New Roman" w:cs="Times New Roman"/>
          <w:sz w:val="24"/>
          <w:szCs w:val="24"/>
        </w:rPr>
        <w:t>.</w:t>
      </w:r>
    </w:p>
    <w:p w14:paraId="46B0969C" w14:textId="408AB1B3" w:rsidR="00605B14" w:rsidRPr="009C6FEF" w:rsidRDefault="00605B14"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A multi-layered geospatial database was built using primary and secondary sources. Key parameters influencing ecotourism potential, including distance from geo-sites, elevation, slope, proximity to forests and rivers, land use/land cover (LULC), and accessibility to cultural sites, tribal villages, roads, and accommodations</w:t>
      </w:r>
      <w:r w:rsidR="00645026" w:rsidRPr="009C6FEF">
        <w:rPr>
          <w:rFonts w:ascii="Times New Roman" w:hAnsi="Times New Roman" w:cs="Times New Roman"/>
          <w:sz w:val="24"/>
          <w:szCs w:val="24"/>
        </w:rPr>
        <w:t xml:space="preserve">, </w:t>
      </w:r>
      <w:r w:rsidRPr="009C6FEF">
        <w:rPr>
          <w:rFonts w:ascii="Times New Roman" w:hAnsi="Times New Roman" w:cs="Times New Roman"/>
          <w:sz w:val="24"/>
          <w:szCs w:val="24"/>
        </w:rPr>
        <w:t xml:space="preserve">were mapped. Data sources included 30-meter SRTM DEM (USGS) for terrain, Sentinel-2 imagery (ArcGIS Living Atlas) for LULC </w:t>
      </w:r>
      <w:r w:rsidRPr="009C6FEF">
        <w:rPr>
          <w:rFonts w:ascii="Times New Roman" w:hAnsi="Times New Roman" w:cs="Times New Roman"/>
          <w:sz w:val="24"/>
          <w:szCs w:val="24"/>
        </w:rPr>
        <w:lastRenderedPageBreak/>
        <w:t>and forest cover, OpenStreetMap for transportation networks, and Google Earth Pro (GPS-verified) for specific site locations. The relative weight of each factor was determined using the Analytic Hierarchy Process (AHP), and a potential zones map was generated through Weighted Overlay Analysis (WOA) in ArcGIS.</w:t>
      </w:r>
    </w:p>
    <w:p w14:paraId="2331F547" w14:textId="691CEE30" w:rsidR="00605B14" w:rsidRPr="009C6FEF" w:rsidRDefault="00605B14"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Primary data was collected from December 2023 to December 2024 through a mixed-methods approach. Structured surveys using a Likert scale were administered to 415 respondents, including visitors, tribal community members, and local stakeholders, selected via stratified and purposive sampling. Qualitative depth was added through Participatory Rural Appraisal (PRA) techniques</w:t>
      </w:r>
      <w:r w:rsidR="00645026" w:rsidRPr="009C6FEF">
        <w:rPr>
          <w:rFonts w:ascii="Times New Roman" w:hAnsi="Times New Roman" w:cs="Times New Roman"/>
          <w:sz w:val="24"/>
          <w:szCs w:val="24"/>
        </w:rPr>
        <w:t>-</w:t>
      </w:r>
      <w:r w:rsidRPr="009C6FEF">
        <w:rPr>
          <w:rFonts w:ascii="Times New Roman" w:hAnsi="Times New Roman" w:cs="Times New Roman"/>
          <w:sz w:val="24"/>
          <w:szCs w:val="24"/>
        </w:rPr>
        <w:t>semi-structured interviews, focus group discussions, and transect walks. Secondary data from the Census of India, Forest Survey of India, and State Tourism Department policies provided contextual and policy-level insights.</w:t>
      </w:r>
    </w:p>
    <w:p w14:paraId="4E9B7424" w14:textId="77777777" w:rsidR="00605B14" w:rsidRPr="009C6FEF" w:rsidRDefault="00605B14"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This integrated database forms the empirical foundation for the proposed phase-wise ecotourism development model, linking identified geospatial potential with on-ground stakeholder perspectives and governance structures.</w:t>
      </w:r>
    </w:p>
    <w:p w14:paraId="3FC73CFD" w14:textId="30AE03D0" w:rsidR="0077677A" w:rsidRPr="009C6FEF" w:rsidRDefault="0077677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noProof/>
          <w:sz w:val="24"/>
          <w:szCs w:val="24"/>
        </w:rPr>
        <w:drawing>
          <wp:inline distT="0" distB="0" distL="0" distR="0" wp14:anchorId="1ED514E9" wp14:editId="6F8FFA05">
            <wp:extent cx="5573027" cy="4947385"/>
            <wp:effectExtent l="19050" t="19050" r="27940" b="24765"/>
            <wp:docPr id="1031318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1260" t="953" r="1503" b="1029"/>
                    <a:stretch>
                      <a:fillRect/>
                    </a:stretch>
                  </pic:blipFill>
                  <pic:spPr bwMode="auto">
                    <a:xfrm>
                      <a:off x="0" y="0"/>
                      <a:ext cx="5573225" cy="4947561"/>
                    </a:xfrm>
                    <a:prstGeom prst="rect">
                      <a:avLst/>
                    </a:prstGeom>
                    <a:noFill/>
                    <a:ln>
                      <a:solidFill>
                        <a:srgbClr val="4472C4"/>
                      </a:solidFill>
                    </a:ln>
                    <a:extLst>
                      <a:ext uri="{53640926-AAD7-44D8-BBD7-CCE9431645EC}">
                        <a14:shadowObscured xmlns:a14="http://schemas.microsoft.com/office/drawing/2010/main"/>
                      </a:ext>
                    </a:extLst>
                  </pic:spPr>
                </pic:pic>
              </a:graphicData>
            </a:graphic>
          </wp:inline>
        </w:drawing>
      </w:r>
    </w:p>
    <w:p w14:paraId="4E626FE9" w14:textId="13D50F14" w:rsidR="0035513D" w:rsidRPr="009C6FEF" w:rsidRDefault="0035513D"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i/>
          <w:iCs/>
          <w:sz w:val="24"/>
          <w:szCs w:val="24"/>
        </w:rPr>
        <w:lastRenderedPageBreak/>
        <w:t>Fig. 2: Methodological framework</w:t>
      </w:r>
      <w:r w:rsidRPr="009C6FEF">
        <w:rPr>
          <w:rFonts w:ascii="Times New Roman" w:hAnsi="Times New Roman" w:cs="Times New Roman"/>
          <w:sz w:val="24"/>
          <w:szCs w:val="24"/>
        </w:rPr>
        <w:t>.</w:t>
      </w:r>
    </w:p>
    <w:p w14:paraId="0C10D19B" w14:textId="0DB52C91" w:rsidR="004917D9" w:rsidRPr="009C6FEF" w:rsidRDefault="004917D9"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The core of the spatial analysis involved a two-tiered analytical approach using thematic layers and the Analytic Hierarchy Process (AHP) for distinct but sequential purposes, moving from macro-level identification to micro-level regulation of ecotourism potential (</w:t>
      </w:r>
      <w:r w:rsidRPr="009C6FEF">
        <w:rPr>
          <w:rFonts w:ascii="Times New Roman" w:hAnsi="Times New Roman" w:cs="Times New Roman"/>
          <w:color w:val="0070C0"/>
          <w:sz w:val="24"/>
          <w:szCs w:val="24"/>
        </w:rPr>
        <w:t>Yasin &amp; Woldemariam, 2023; Aksoy et al., 2025</w:t>
      </w:r>
      <w:r w:rsidRPr="009C6FEF">
        <w:rPr>
          <w:rFonts w:ascii="Times New Roman" w:hAnsi="Times New Roman" w:cs="Times New Roman"/>
          <w:sz w:val="24"/>
          <w:szCs w:val="24"/>
        </w:rPr>
        <w:t>).</w:t>
      </w:r>
    </w:p>
    <w:p w14:paraId="169BB9C3" w14:textId="6F322DE7" w:rsidR="00E036DB" w:rsidRPr="009C6FEF" w:rsidRDefault="004917D9"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Site Suitability Analysis (Macro-level): This initial analysis aimed to identify and rank broad areas across the entire district with the highest potential for ecotourism development. Ten thematic layers were integrated for this purpose. The AHP, a well-established multi-criteria decision-making method (</w:t>
      </w:r>
      <w:r w:rsidRPr="009C6FEF">
        <w:rPr>
          <w:rFonts w:ascii="Times New Roman" w:hAnsi="Times New Roman" w:cs="Times New Roman"/>
          <w:color w:val="0070C0"/>
          <w:sz w:val="24"/>
          <w:szCs w:val="24"/>
        </w:rPr>
        <w:t>Sharif et al., 2020; Maiti et al., 2022</w:t>
      </w:r>
      <w:r w:rsidRPr="009C6FEF">
        <w:rPr>
          <w:rFonts w:ascii="Times New Roman" w:hAnsi="Times New Roman" w:cs="Times New Roman"/>
          <w:sz w:val="24"/>
          <w:szCs w:val="24"/>
        </w:rPr>
        <w:t xml:space="preserve">), was applied to assign objective weights to these criteria. A pairwise comparison matrix constructed using Saaty's 1-9 scale yielded weights that logically emphasised geo-sites (27%), elevation (20%), and slope (15%) as the primary drivers of ecotourism potential in </w:t>
      </w:r>
      <w:proofErr w:type="spellStart"/>
      <w:r w:rsidRPr="009C6FEF">
        <w:rPr>
          <w:rFonts w:ascii="Times New Roman" w:hAnsi="Times New Roman" w:cs="Times New Roman"/>
          <w:sz w:val="24"/>
          <w:szCs w:val="24"/>
        </w:rPr>
        <w:t>Jhargram's</w:t>
      </w:r>
      <w:proofErr w:type="spellEnd"/>
      <w:r w:rsidRPr="009C6FEF">
        <w:rPr>
          <w:rFonts w:ascii="Times New Roman" w:hAnsi="Times New Roman" w:cs="Times New Roman"/>
          <w:sz w:val="24"/>
          <w:szCs w:val="24"/>
        </w:rPr>
        <w:t xml:space="preserve"> rugged landscape. The derived weights were normalised, and consistency was rigorously verified, with a Consistency Ratio (CR) of 0.027, which is well below the acceptable threshold of 0.10. All raster datasets were projected to a common coordinate system (WGS 84 UTM Zone 45N), reclassified, and integrated using a Weighted Overlay Analysis in ArcGIS 10.8 to generate a composite suitability map. This macro-level analysis answered the question: Where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should ecotourism be developed?</w:t>
      </w:r>
    </w:p>
    <w:p w14:paraId="6F06A635" w14:textId="180C8C11" w:rsidR="004917D9" w:rsidRPr="009C6FEF" w:rsidRDefault="004917D9"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Sensitivity Analysis for Micro-Zoning (Micro-level): Building directly on the results of the Site Suitability Analysis, this second step focused on the identified "Highly" and "Moderately Suitable" zones. Its purpose was to regulate and manage development sustainably by assessing ecological fragility, inspired by the UNESCO Biosphere Reserve model (</w:t>
      </w:r>
      <w:r w:rsidRPr="009C6FEF">
        <w:rPr>
          <w:rFonts w:ascii="Times New Roman" w:hAnsi="Times New Roman" w:cs="Times New Roman"/>
          <w:color w:val="0070C0"/>
          <w:sz w:val="24"/>
          <w:szCs w:val="24"/>
        </w:rPr>
        <w:t>Gutierrez-Lopez et al., 2023</w:t>
      </w:r>
      <w:r w:rsidRPr="009C6FEF">
        <w:rPr>
          <w:rFonts w:ascii="Times New Roman" w:hAnsi="Times New Roman" w:cs="Times New Roman"/>
          <w:sz w:val="24"/>
          <w:szCs w:val="24"/>
        </w:rPr>
        <w:t>). Five weighted criteria</w:t>
      </w:r>
      <w:r w:rsidR="00A83A52" w:rsidRPr="009C6FEF">
        <w:rPr>
          <w:rFonts w:ascii="Times New Roman" w:hAnsi="Times New Roman" w:cs="Times New Roman"/>
          <w:sz w:val="24"/>
          <w:szCs w:val="24"/>
        </w:rPr>
        <w:t>-</w:t>
      </w:r>
      <w:r w:rsidRPr="009C6FEF">
        <w:rPr>
          <w:rFonts w:ascii="Times New Roman" w:hAnsi="Times New Roman" w:cs="Times New Roman"/>
          <w:sz w:val="24"/>
          <w:szCs w:val="24"/>
        </w:rPr>
        <w:t>including Potential Zone (45%, derived from the first analysis), LULC (25%), and Slope (15%)</w:t>
      </w:r>
      <w:r w:rsidR="00A83A52" w:rsidRPr="009C6FEF">
        <w:rPr>
          <w:rFonts w:ascii="Times New Roman" w:hAnsi="Times New Roman" w:cs="Times New Roman"/>
          <w:sz w:val="24"/>
          <w:szCs w:val="24"/>
        </w:rPr>
        <w:t>-</w:t>
      </w:r>
      <w:r w:rsidRPr="009C6FEF">
        <w:rPr>
          <w:rFonts w:ascii="Times New Roman" w:hAnsi="Times New Roman" w:cs="Times New Roman"/>
          <w:sz w:val="24"/>
          <w:szCs w:val="24"/>
        </w:rPr>
        <w:t>were used to delineate a three-tier micro-zoning framework (Core, Ecotourism, and Buffer). This sensitivity analysis answered the subsequent critical question: Within the suitable areas, how should different zones be managed to minimize environmental impact?</w:t>
      </w:r>
    </w:p>
    <w:p w14:paraId="77E52FAF" w14:textId="0BE9CE06" w:rsidR="004917D9" w:rsidRPr="009C6FEF" w:rsidRDefault="004917D9"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A separate analysis was conducted for accommodation zoning using seven thematic layers to identify optimal sites for eco-lodges and homestays, ensuring infrastructure development aligns with sustainability principles.</w:t>
      </w:r>
    </w:p>
    <w:p w14:paraId="647CE971" w14:textId="2E634F53" w:rsidR="00377AAF" w:rsidRPr="009C6FEF" w:rsidRDefault="004917D9"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A forest cover change detection analysis was conducted between 2017 and 2023 to quantify afforestation and deforestation trends, providing a critical baseline for conservation planning.</w:t>
      </w:r>
    </w:p>
    <w:p w14:paraId="671509BC" w14:textId="7A619B22" w:rsidR="002F6160" w:rsidRPr="009C6FEF" w:rsidRDefault="00D67B56"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Recognising</w:t>
      </w:r>
      <w:r w:rsidR="007E1D9F" w:rsidRPr="009C6FEF">
        <w:rPr>
          <w:rFonts w:ascii="Times New Roman" w:hAnsi="Times New Roman" w:cs="Times New Roman"/>
          <w:sz w:val="24"/>
          <w:szCs w:val="24"/>
        </w:rPr>
        <w:t xml:space="preserve"> that technocratic solutions are insufficient, the methodology </w:t>
      </w:r>
      <w:r w:rsidRPr="009C6FEF">
        <w:rPr>
          <w:rFonts w:ascii="Times New Roman" w:hAnsi="Times New Roman" w:cs="Times New Roman"/>
          <w:sz w:val="24"/>
          <w:szCs w:val="24"/>
        </w:rPr>
        <w:t>embeds</w:t>
      </w:r>
      <w:r w:rsidR="007E1D9F" w:rsidRPr="009C6FEF">
        <w:rPr>
          <w:rFonts w:ascii="Times New Roman" w:hAnsi="Times New Roman" w:cs="Times New Roman"/>
          <w:sz w:val="24"/>
          <w:szCs w:val="24"/>
        </w:rPr>
        <w:t xml:space="preserve"> community participation at its core. The formation of Village Ecotourism Committees (VECs) was </w:t>
      </w:r>
      <w:r w:rsidR="007E1D9F" w:rsidRPr="009C6FEF">
        <w:rPr>
          <w:rFonts w:ascii="Times New Roman" w:hAnsi="Times New Roman" w:cs="Times New Roman"/>
          <w:sz w:val="24"/>
          <w:szCs w:val="24"/>
        </w:rPr>
        <w:lastRenderedPageBreak/>
        <w:t>proposed as the primary institutional mechanism for governance. The structure and functions of these committees were designed based on successful global and national models (</w:t>
      </w:r>
      <w:proofErr w:type="spellStart"/>
      <w:r w:rsidR="007E1D9F" w:rsidRPr="009C6FEF">
        <w:rPr>
          <w:rFonts w:ascii="Times New Roman" w:hAnsi="Times New Roman" w:cs="Times New Roman"/>
          <w:color w:val="0070C0"/>
          <w:sz w:val="24"/>
          <w:szCs w:val="24"/>
        </w:rPr>
        <w:t>Marrewijk</w:t>
      </w:r>
      <w:proofErr w:type="spellEnd"/>
      <w:r w:rsidR="007E1D9F" w:rsidRPr="009C6FEF">
        <w:rPr>
          <w:rFonts w:ascii="Times New Roman" w:hAnsi="Times New Roman" w:cs="Times New Roman"/>
          <w:color w:val="0070C0"/>
          <w:sz w:val="24"/>
          <w:szCs w:val="24"/>
        </w:rPr>
        <w:t xml:space="preserve"> et al., 2004</w:t>
      </w:r>
      <w:r w:rsidR="007E1D9F" w:rsidRPr="009C6FEF">
        <w:rPr>
          <w:rFonts w:ascii="Times New Roman" w:hAnsi="Times New Roman" w:cs="Times New Roman"/>
          <w:sz w:val="24"/>
          <w:szCs w:val="24"/>
        </w:rPr>
        <w:t xml:space="preserve">) to ensure inclusive decision-making, skill development in areas such as eco-guiding and handicraft promotion, and equitable revenue sharing, thereby actively integrating local populations into the ecotourism value chain. The study employed a suite of analytical tools for this integrated analysis; ArcGIS 10.8 and QGIS were used for spatial </w:t>
      </w:r>
      <w:r w:rsidRPr="009C6FEF">
        <w:rPr>
          <w:rFonts w:ascii="Times New Roman" w:hAnsi="Times New Roman" w:cs="Times New Roman"/>
          <w:sz w:val="24"/>
          <w:szCs w:val="24"/>
        </w:rPr>
        <w:t>modelling</w:t>
      </w:r>
      <w:r w:rsidR="007E1D9F" w:rsidRPr="009C6FEF">
        <w:rPr>
          <w:rFonts w:ascii="Times New Roman" w:hAnsi="Times New Roman" w:cs="Times New Roman"/>
          <w:sz w:val="24"/>
          <w:szCs w:val="24"/>
        </w:rPr>
        <w:t xml:space="preserve"> and thematic mapping, the AHP model was implemented for criterion weighting, and Microsoft Excel was </w:t>
      </w:r>
      <w:r w:rsidRPr="009C6FEF">
        <w:rPr>
          <w:rFonts w:ascii="Times New Roman" w:hAnsi="Times New Roman" w:cs="Times New Roman"/>
          <w:sz w:val="24"/>
          <w:szCs w:val="24"/>
        </w:rPr>
        <w:t>utilised</w:t>
      </w:r>
      <w:r w:rsidR="007E1D9F" w:rsidRPr="009C6FEF">
        <w:rPr>
          <w:rFonts w:ascii="Times New Roman" w:hAnsi="Times New Roman" w:cs="Times New Roman"/>
          <w:sz w:val="24"/>
          <w:szCs w:val="24"/>
        </w:rPr>
        <w:t xml:space="preserve"> for statistical analysis of survey data and AHP matrix calculations. This mixed-methods approach ensures that the resulting ecotourism framework is not only spatially optimal but also socially inclusive, ecologically sensitive, and institutionally viable.</w:t>
      </w:r>
    </w:p>
    <w:p w14:paraId="125524BD" w14:textId="1E711558" w:rsidR="00CA52A8" w:rsidRPr="009C6FEF" w:rsidRDefault="00832B6C" w:rsidP="00194612">
      <w:pPr>
        <w:spacing w:after="0" w:line="360" w:lineRule="auto"/>
        <w:jc w:val="both"/>
        <w:rPr>
          <w:rFonts w:ascii="Times New Roman" w:hAnsi="Times New Roman" w:cs="Times New Roman"/>
          <w:b/>
          <w:bCs/>
          <w:sz w:val="28"/>
          <w:szCs w:val="28"/>
        </w:rPr>
      </w:pPr>
      <w:r w:rsidRPr="009C6FEF">
        <w:rPr>
          <w:rFonts w:ascii="Times New Roman" w:hAnsi="Times New Roman" w:cs="Times New Roman"/>
          <w:b/>
          <w:bCs/>
          <w:sz w:val="28"/>
          <w:szCs w:val="28"/>
        </w:rPr>
        <w:t>3</w:t>
      </w:r>
      <w:r w:rsidR="00686EE5" w:rsidRPr="009C6FEF">
        <w:rPr>
          <w:rFonts w:ascii="Times New Roman" w:hAnsi="Times New Roman" w:cs="Times New Roman"/>
          <w:b/>
          <w:bCs/>
          <w:sz w:val="28"/>
          <w:szCs w:val="28"/>
        </w:rPr>
        <w:t xml:space="preserve">. </w:t>
      </w:r>
      <w:r w:rsidR="005A28D9" w:rsidRPr="009C6FEF">
        <w:rPr>
          <w:rFonts w:ascii="Times New Roman" w:hAnsi="Times New Roman" w:cs="Times New Roman"/>
          <w:b/>
          <w:bCs/>
          <w:sz w:val="28"/>
          <w:szCs w:val="28"/>
        </w:rPr>
        <w:t xml:space="preserve">Result and Discussion: </w:t>
      </w:r>
    </w:p>
    <w:p w14:paraId="4F1D30C6" w14:textId="5D44CFC3" w:rsidR="00686EE5" w:rsidRPr="009C6FEF" w:rsidRDefault="00832B6C" w:rsidP="00194612">
      <w:pPr>
        <w:spacing w:after="0" w:line="360" w:lineRule="auto"/>
        <w:jc w:val="both"/>
        <w:rPr>
          <w:rFonts w:ascii="Times New Roman" w:hAnsi="Times New Roman" w:cs="Times New Roman"/>
          <w:b/>
          <w:bCs/>
          <w:i/>
          <w:iCs/>
          <w:sz w:val="24"/>
          <w:szCs w:val="24"/>
        </w:rPr>
      </w:pPr>
      <w:r w:rsidRPr="009C6FEF">
        <w:rPr>
          <w:rFonts w:ascii="Times New Roman" w:hAnsi="Times New Roman" w:cs="Times New Roman"/>
          <w:b/>
          <w:bCs/>
          <w:i/>
          <w:iCs/>
          <w:sz w:val="24"/>
          <w:szCs w:val="24"/>
        </w:rPr>
        <w:t>3</w:t>
      </w:r>
      <w:r w:rsidR="00686EE5" w:rsidRPr="009C6FEF">
        <w:rPr>
          <w:rFonts w:ascii="Times New Roman" w:hAnsi="Times New Roman" w:cs="Times New Roman"/>
          <w:b/>
          <w:bCs/>
          <w:i/>
          <w:iCs/>
          <w:sz w:val="24"/>
          <w:szCs w:val="24"/>
        </w:rPr>
        <w:t>.1 Identification of Potential Sites of Ecotourism:</w:t>
      </w:r>
    </w:p>
    <w:p w14:paraId="283FD463" w14:textId="27FDCFE4" w:rsidR="00B56A64" w:rsidRPr="009C6FEF" w:rsidRDefault="00B56A64"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The AHP</w:t>
      </w:r>
      <w:r w:rsidR="00E604FC" w:rsidRPr="009C6FEF">
        <w:rPr>
          <w:rFonts w:ascii="Times New Roman" w:hAnsi="Times New Roman" w:cs="Times New Roman"/>
          <w:sz w:val="24"/>
          <w:szCs w:val="24"/>
        </w:rPr>
        <w:t>-</w:t>
      </w:r>
      <w:r w:rsidRPr="009C6FEF">
        <w:rPr>
          <w:rFonts w:ascii="Times New Roman" w:hAnsi="Times New Roman" w:cs="Times New Roman"/>
          <w:sz w:val="24"/>
          <w:szCs w:val="24"/>
        </w:rPr>
        <w:t xml:space="preserve">GIS analysis, supported by primary survey data, identified ten weighted criteria influencing ecotourism site suitability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District, with</w:t>
      </w:r>
      <w:r w:rsidR="001F60C9" w:rsidRPr="009C6FEF">
        <w:rPr>
          <w:rFonts w:ascii="Times New Roman" w:hAnsi="Times New Roman" w:cs="Times New Roman"/>
          <w:sz w:val="24"/>
          <w:szCs w:val="24"/>
        </w:rPr>
        <w:t>: geo-sites (27%), elevation (20%), slope</w:t>
      </w:r>
      <w:r w:rsidR="007C2A54" w:rsidRPr="009C6FEF">
        <w:rPr>
          <w:rFonts w:ascii="Times New Roman" w:hAnsi="Times New Roman" w:cs="Times New Roman"/>
          <w:sz w:val="24"/>
          <w:szCs w:val="24"/>
        </w:rPr>
        <w:t xml:space="preserve"> </w:t>
      </w:r>
      <w:r w:rsidR="001F60C9" w:rsidRPr="009C6FEF">
        <w:rPr>
          <w:rFonts w:ascii="Times New Roman" w:hAnsi="Times New Roman" w:cs="Times New Roman"/>
          <w:sz w:val="24"/>
          <w:szCs w:val="24"/>
        </w:rPr>
        <w:t>(15%), forest proximity (11%), rivers (8%), cultural sites (6%), LULC (5%), tribal villages (4%), roads (3%), and hotels &amp; homestays (2%</w:t>
      </w:r>
      <w:proofErr w:type="gramStart"/>
      <w:r w:rsidR="001F60C9" w:rsidRPr="009C6FEF">
        <w:rPr>
          <w:rFonts w:ascii="Times New Roman" w:hAnsi="Times New Roman" w:cs="Times New Roman"/>
          <w:sz w:val="24"/>
          <w:szCs w:val="24"/>
        </w:rPr>
        <w:t>).</w:t>
      </w:r>
      <w:r w:rsidRPr="009C6FEF">
        <w:rPr>
          <w:rFonts w:ascii="Times New Roman" w:hAnsi="Times New Roman" w:cs="Times New Roman"/>
          <w:sz w:val="24"/>
          <w:szCs w:val="24"/>
        </w:rPr>
        <w:t>.</w:t>
      </w:r>
      <w:proofErr w:type="gramEnd"/>
      <w:r w:rsidRPr="009C6FEF">
        <w:rPr>
          <w:rFonts w:ascii="Times New Roman" w:hAnsi="Times New Roman" w:cs="Times New Roman"/>
          <w:sz w:val="24"/>
          <w:szCs w:val="24"/>
        </w:rPr>
        <w:t xml:space="preserve"> The pairwise comparison matrix achieved a CR of 0.027, confirming consistency.</w:t>
      </w:r>
    </w:p>
    <w:p w14:paraId="71EA84A4" w14:textId="3DBB0477" w:rsidR="00B56A64" w:rsidRPr="009C6FEF" w:rsidRDefault="00B56A64"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The district was </w:t>
      </w:r>
      <w:r w:rsidR="00C91AEA" w:rsidRPr="009C6FEF">
        <w:rPr>
          <w:rFonts w:ascii="Times New Roman" w:hAnsi="Times New Roman" w:cs="Times New Roman"/>
          <w:sz w:val="24"/>
          <w:szCs w:val="24"/>
        </w:rPr>
        <w:t>categorised</w:t>
      </w:r>
      <w:r w:rsidRPr="009C6FEF">
        <w:rPr>
          <w:rFonts w:ascii="Times New Roman" w:hAnsi="Times New Roman" w:cs="Times New Roman"/>
          <w:sz w:val="24"/>
          <w:szCs w:val="24"/>
        </w:rPr>
        <w:t xml:space="preserve"> into five suitability zones</w:t>
      </w:r>
      <w:r w:rsidR="00ED0A88" w:rsidRPr="009C6FEF">
        <w:rPr>
          <w:rFonts w:ascii="Times New Roman" w:hAnsi="Times New Roman" w:cs="Times New Roman"/>
          <w:sz w:val="24"/>
          <w:szCs w:val="24"/>
        </w:rPr>
        <w:t xml:space="preserve"> (Fig. 3)</w:t>
      </w:r>
      <w:r w:rsidRPr="009C6FEF">
        <w:rPr>
          <w:rFonts w:ascii="Times New Roman" w:hAnsi="Times New Roman" w:cs="Times New Roman"/>
          <w:sz w:val="24"/>
          <w:szCs w:val="24"/>
        </w:rPr>
        <w:t xml:space="preserve">: Very Highly Suitable (0.16%), Highly Suitable (14.28%), Moderately Suitable (73.21%), Less Suitable (11.97%), and Not Suitable (0.38%). The Very Highly Suitable areas are confined to </w:t>
      </w:r>
      <w:proofErr w:type="spellStart"/>
      <w:r w:rsidRPr="009C6FEF">
        <w:rPr>
          <w:rFonts w:ascii="Times New Roman" w:hAnsi="Times New Roman" w:cs="Times New Roman"/>
          <w:sz w:val="24"/>
          <w:szCs w:val="24"/>
        </w:rPr>
        <w:t>Binpur</w:t>
      </w:r>
      <w:proofErr w:type="spellEnd"/>
      <w:r w:rsidRPr="009C6FEF">
        <w:rPr>
          <w:rFonts w:ascii="Times New Roman" w:hAnsi="Times New Roman" w:cs="Times New Roman"/>
          <w:sz w:val="24"/>
          <w:szCs w:val="24"/>
        </w:rPr>
        <w:t xml:space="preserve">-II block (4.98 km²), while Highly Suitable areas are distributed across </w:t>
      </w:r>
      <w:proofErr w:type="spellStart"/>
      <w:r w:rsidRPr="009C6FEF">
        <w:rPr>
          <w:rFonts w:ascii="Times New Roman" w:hAnsi="Times New Roman" w:cs="Times New Roman"/>
          <w:sz w:val="24"/>
          <w:szCs w:val="24"/>
        </w:rPr>
        <w:t>Binpur</w:t>
      </w:r>
      <w:proofErr w:type="spellEnd"/>
      <w:r w:rsidRPr="009C6FEF">
        <w:rPr>
          <w:rFonts w:ascii="Times New Roman" w:hAnsi="Times New Roman" w:cs="Times New Roman"/>
          <w:sz w:val="24"/>
          <w:szCs w:val="24"/>
        </w:rPr>
        <w:t xml:space="preserve">-II, </w:t>
      </w:r>
      <w:proofErr w:type="spellStart"/>
      <w:r w:rsidRPr="009C6FEF">
        <w:rPr>
          <w:rFonts w:ascii="Times New Roman" w:hAnsi="Times New Roman" w:cs="Times New Roman"/>
          <w:sz w:val="24"/>
          <w:szCs w:val="24"/>
        </w:rPr>
        <w:t>Jamboni</w:t>
      </w:r>
      <w:proofErr w:type="spellEnd"/>
      <w:r w:rsidRPr="009C6FEF">
        <w:rPr>
          <w:rFonts w:ascii="Times New Roman" w:hAnsi="Times New Roman" w:cs="Times New Roman"/>
          <w:sz w:val="24"/>
          <w:szCs w:val="24"/>
        </w:rPr>
        <w:t xml:space="preserve">, </w:t>
      </w:r>
      <w:proofErr w:type="spellStart"/>
      <w:r w:rsidRPr="009C6FEF">
        <w:rPr>
          <w:rFonts w:ascii="Times New Roman" w:hAnsi="Times New Roman" w:cs="Times New Roman"/>
          <w:sz w:val="24"/>
          <w:szCs w:val="24"/>
        </w:rPr>
        <w:t>Nayagram</w:t>
      </w:r>
      <w:proofErr w:type="spellEnd"/>
      <w:r w:rsidRPr="009C6FEF">
        <w:rPr>
          <w:rFonts w:ascii="Times New Roman" w:hAnsi="Times New Roman" w:cs="Times New Roman"/>
          <w:sz w:val="24"/>
          <w:szCs w:val="24"/>
        </w:rPr>
        <w:t xml:space="preserve">, and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blocks, reflecting the district’s diverse landscapes and biodiversity.</w:t>
      </w:r>
    </w:p>
    <w:p w14:paraId="1DD4440E" w14:textId="4CEF73C6" w:rsidR="00B56A64" w:rsidRPr="009C6FEF" w:rsidRDefault="00B56A64" w:rsidP="00194612">
      <w:pPr>
        <w:spacing w:after="0" w:line="360" w:lineRule="auto"/>
        <w:jc w:val="both"/>
        <w:rPr>
          <w:rFonts w:ascii="Times New Roman" w:hAnsi="Times New Roman" w:cs="Times New Roman"/>
          <w:sz w:val="24"/>
          <w:szCs w:val="24"/>
        </w:rPr>
      </w:pPr>
      <w:proofErr w:type="spellStart"/>
      <w:r w:rsidRPr="009C6FEF">
        <w:rPr>
          <w:rFonts w:ascii="Times New Roman" w:hAnsi="Times New Roman" w:cs="Times New Roman"/>
          <w:sz w:val="24"/>
          <w:szCs w:val="24"/>
        </w:rPr>
        <w:t>Binpur</w:t>
      </w:r>
      <w:proofErr w:type="spellEnd"/>
      <w:r w:rsidRPr="009C6FEF">
        <w:rPr>
          <w:rFonts w:ascii="Times New Roman" w:hAnsi="Times New Roman" w:cs="Times New Roman"/>
          <w:sz w:val="24"/>
          <w:szCs w:val="24"/>
        </w:rPr>
        <w:t>-II emerged as the most promising ecotourism zone due to its natural beauty, forest cover, and accessibility. Overall, 50 potential ecotourism sites were identified within very high, high, and moderate suitability zones, underscoring the district’s strong potential for sustainable ecotourism development, though infrastructural and environmental constraints remain in less suitable areas.</w:t>
      </w:r>
    </w:p>
    <w:p w14:paraId="3A898204" w14:textId="30FAB5A0" w:rsidR="004356B9" w:rsidRPr="009C6FEF" w:rsidRDefault="00832B6C" w:rsidP="00194612">
      <w:pPr>
        <w:spacing w:after="0" w:line="360" w:lineRule="auto"/>
        <w:jc w:val="both"/>
        <w:rPr>
          <w:rFonts w:ascii="Times New Roman" w:hAnsi="Times New Roman" w:cs="Times New Roman"/>
          <w:b/>
          <w:bCs/>
          <w:i/>
          <w:iCs/>
          <w:sz w:val="24"/>
          <w:szCs w:val="24"/>
        </w:rPr>
      </w:pPr>
      <w:r w:rsidRPr="009C6FEF">
        <w:rPr>
          <w:rFonts w:ascii="Times New Roman" w:hAnsi="Times New Roman" w:cs="Times New Roman"/>
          <w:b/>
          <w:bCs/>
          <w:i/>
          <w:iCs/>
          <w:sz w:val="24"/>
          <w:szCs w:val="24"/>
        </w:rPr>
        <w:t>3</w:t>
      </w:r>
      <w:r w:rsidR="00686EE5" w:rsidRPr="009C6FEF">
        <w:rPr>
          <w:rFonts w:ascii="Times New Roman" w:hAnsi="Times New Roman" w:cs="Times New Roman"/>
          <w:b/>
          <w:bCs/>
          <w:i/>
          <w:iCs/>
          <w:sz w:val="24"/>
          <w:szCs w:val="24"/>
        </w:rPr>
        <w:t xml:space="preserve">.2 </w:t>
      </w:r>
      <w:r w:rsidR="004356B9" w:rsidRPr="009C6FEF">
        <w:rPr>
          <w:rFonts w:ascii="Times New Roman" w:hAnsi="Times New Roman" w:cs="Times New Roman"/>
          <w:b/>
          <w:bCs/>
          <w:i/>
          <w:iCs/>
          <w:sz w:val="24"/>
          <w:szCs w:val="24"/>
        </w:rPr>
        <w:t>A Participatory and Spatially-Grounded Development Framework</w:t>
      </w:r>
    </w:p>
    <w:p w14:paraId="5FC9ACF1" w14:textId="777ABBF4" w:rsidR="00686EE5" w:rsidRPr="009C6FEF" w:rsidRDefault="00686EE5" w:rsidP="00194612">
      <w:pPr>
        <w:spacing w:after="0" w:line="360" w:lineRule="auto"/>
        <w:jc w:val="both"/>
        <w:rPr>
          <w:rFonts w:ascii="Times New Roman" w:hAnsi="Times New Roman" w:cs="Times New Roman"/>
          <w:b/>
          <w:bCs/>
          <w:sz w:val="24"/>
          <w:szCs w:val="24"/>
        </w:rPr>
      </w:pPr>
      <w:r w:rsidRPr="009C6FEF">
        <w:rPr>
          <w:rFonts w:ascii="Times New Roman" w:hAnsi="Times New Roman" w:cs="Times New Roman"/>
          <w:sz w:val="24"/>
          <w:szCs w:val="24"/>
        </w:rPr>
        <w:t xml:space="preserve">A structured phase-wise development plan is crucial for ensuring sustainable ecotourism growth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District while minimising ecological degradation (</w:t>
      </w:r>
      <w:proofErr w:type="spellStart"/>
      <w:r w:rsidRPr="009C6FEF">
        <w:rPr>
          <w:rFonts w:ascii="Times New Roman" w:hAnsi="Times New Roman" w:cs="Times New Roman"/>
          <w:color w:val="0070C0"/>
          <w:sz w:val="24"/>
          <w:szCs w:val="24"/>
        </w:rPr>
        <w:t>Marrewijk</w:t>
      </w:r>
      <w:proofErr w:type="spellEnd"/>
      <w:r w:rsidRPr="009C6FEF">
        <w:rPr>
          <w:rFonts w:ascii="Times New Roman" w:hAnsi="Times New Roman" w:cs="Times New Roman"/>
          <w:color w:val="0070C0"/>
          <w:sz w:val="24"/>
          <w:szCs w:val="24"/>
        </w:rPr>
        <w:t xml:space="preserve"> et al., 2004; Sharif et al., 2020; Maiti et al., 2022</w:t>
      </w:r>
      <w:r w:rsidRPr="009C6FEF">
        <w:rPr>
          <w:rFonts w:ascii="Times New Roman" w:hAnsi="Times New Roman" w:cs="Times New Roman"/>
          <w:sz w:val="24"/>
          <w:szCs w:val="24"/>
        </w:rPr>
        <w:t xml:space="preserve">). Phase I (1-2 years) focused on site preparation, awareness campaigns, community mobilisation, and provision of basic infrastructure. Phase II (3-5 years) emphasised eco-friendly infrastructure, interpretation centres, connectivity improvements, skill </w:t>
      </w:r>
      <w:r w:rsidRPr="009C6FEF">
        <w:rPr>
          <w:rFonts w:ascii="Times New Roman" w:hAnsi="Times New Roman" w:cs="Times New Roman"/>
          <w:sz w:val="24"/>
          <w:szCs w:val="24"/>
        </w:rPr>
        <w:lastRenderedPageBreak/>
        <w:t xml:space="preserve">training, and cultural festivals. Phase III (6-10 years) proposed diversification into </w:t>
      </w:r>
      <w:proofErr w:type="spellStart"/>
      <w:r w:rsidRPr="009C6FEF">
        <w:rPr>
          <w:rFonts w:ascii="Times New Roman" w:hAnsi="Times New Roman" w:cs="Times New Roman"/>
          <w:sz w:val="24"/>
          <w:szCs w:val="24"/>
        </w:rPr>
        <w:t>agro</w:t>
      </w:r>
      <w:proofErr w:type="spellEnd"/>
      <w:r w:rsidRPr="009C6FEF">
        <w:rPr>
          <w:rFonts w:ascii="Times New Roman" w:hAnsi="Times New Roman" w:cs="Times New Roman"/>
          <w:sz w:val="24"/>
          <w:szCs w:val="24"/>
        </w:rPr>
        <w:t>-tourism, handicraft tourism, wellness retreats, firefly festivals, and digital promotion strategies. This phased approach ensures gradual, sustainable expansion of ecotourism</w:t>
      </w:r>
      <w:r w:rsidRPr="009C6FEF">
        <w:rPr>
          <w:rFonts w:ascii="Times New Roman" w:hAnsi="Times New Roman" w:cs="Times New Roman"/>
          <w:b/>
          <w:bCs/>
          <w:sz w:val="24"/>
          <w:szCs w:val="24"/>
        </w:rPr>
        <w:t>.</w:t>
      </w:r>
    </w:p>
    <w:p w14:paraId="493E1086" w14:textId="4BC39D2D" w:rsidR="002405BD" w:rsidRPr="009C6FEF" w:rsidRDefault="002405BD" w:rsidP="00194612">
      <w:pPr>
        <w:spacing w:after="0" w:line="360" w:lineRule="auto"/>
        <w:jc w:val="both"/>
        <w:rPr>
          <w:rFonts w:ascii="Times New Roman" w:hAnsi="Times New Roman" w:cs="Times New Roman"/>
          <w:b/>
          <w:bCs/>
          <w:sz w:val="24"/>
          <w:szCs w:val="24"/>
        </w:rPr>
      </w:pPr>
      <w:r w:rsidRPr="009C6FEF">
        <w:rPr>
          <w:rFonts w:ascii="Times New Roman" w:hAnsi="Times New Roman" w:cs="Times New Roman"/>
          <w:b/>
          <w:bCs/>
          <w:noProof/>
          <w:sz w:val="24"/>
          <w:szCs w:val="24"/>
        </w:rPr>
        <w:drawing>
          <wp:inline distT="0" distB="0" distL="0" distR="0" wp14:anchorId="76E1A32E" wp14:editId="2C003FC5">
            <wp:extent cx="5731510" cy="7417435"/>
            <wp:effectExtent l="19050" t="19050" r="21590" b="12065"/>
            <wp:docPr id="1958370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417435"/>
                    </a:xfrm>
                    <a:prstGeom prst="rect">
                      <a:avLst/>
                    </a:prstGeom>
                    <a:noFill/>
                    <a:ln>
                      <a:solidFill>
                        <a:schemeClr val="tx1"/>
                      </a:solidFill>
                    </a:ln>
                  </pic:spPr>
                </pic:pic>
              </a:graphicData>
            </a:graphic>
          </wp:inline>
        </w:drawing>
      </w:r>
    </w:p>
    <w:p w14:paraId="49865B34" w14:textId="174F93C1" w:rsidR="00686EE5" w:rsidRPr="009C6FEF" w:rsidRDefault="00686EE5" w:rsidP="00194612">
      <w:pPr>
        <w:spacing w:after="0" w:line="360" w:lineRule="auto"/>
        <w:jc w:val="both"/>
        <w:rPr>
          <w:rFonts w:ascii="Times New Roman" w:hAnsi="Times New Roman" w:cs="Times New Roman"/>
          <w:i/>
          <w:iCs/>
          <w:sz w:val="24"/>
          <w:szCs w:val="24"/>
        </w:rPr>
      </w:pPr>
      <w:r w:rsidRPr="009C6FEF">
        <w:rPr>
          <w:rFonts w:ascii="Times New Roman" w:hAnsi="Times New Roman" w:cs="Times New Roman"/>
          <w:i/>
          <w:iCs/>
          <w:sz w:val="24"/>
          <w:szCs w:val="24"/>
        </w:rPr>
        <w:t>Fig. 3: Identification of potential sites of ecotourism by weighted overlay analysis in ArcGIS.</w:t>
      </w:r>
    </w:p>
    <w:p w14:paraId="6D12102D" w14:textId="77777777" w:rsidR="00B23FC3" w:rsidRPr="009C6FEF" w:rsidRDefault="00B23FC3" w:rsidP="00194612">
      <w:pPr>
        <w:spacing w:after="0" w:line="360" w:lineRule="auto"/>
        <w:jc w:val="both"/>
        <w:rPr>
          <w:rFonts w:ascii="Times New Roman" w:hAnsi="Times New Roman" w:cs="Times New Roman"/>
          <w:b/>
          <w:bCs/>
          <w:sz w:val="24"/>
          <w:szCs w:val="24"/>
        </w:rPr>
      </w:pPr>
    </w:p>
    <w:p w14:paraId="3A806314" w14:textId="05102868" w:rsidR="000D2ADA" w:rsidRPr="009C6FEF" w:rsidRDefault="00832B6C" w:rsidP="00194612">
      <w:pPr>
        <w:spacing w:after="0" w:line="360" w:lineRule="auto"/>
        <w:jc w:val="both"/>
        <w:rPr>
          <w:rFonts w:ascii="Times New Roman" w:hAnsi="Times New Roman" w:cs="Times New Roman"/>
          <w:b/>
          <w:bCs/>
          <w:sz w:val="24"/>
          <w:szCs w:val="24"/>
        </w:rPr>
      </w:pPr>
      <w:r w:rsidRPr="009C6FEF">
        <w:rPr>
          <w:rFonts w:ascii="Times New Roman" w:hAnsi="Times New Roman" w:cs="Times New Roman"/>
          <w:b/>
          <w:bCs/>
          <w:sz w:val="24"/>
          <w:szCs w:val="24"/>
        </w:rPr>
        <w:lastRenderedPageBreak/>
        <w:t>3</w:t>
      </w:r>
      <w:r w:rsidR="000F6745" w:rsidRPr="009C6FEF">
        <w:rPr>
          <w:rFonts w:ascii="Times New Roman" w:hAnsi="Times New Roman" w:cs="Times New Roman"/>
          <w:b/>
          <w:bCs/>
          <w:sz w:val="24"/>
          <w:szCs w:val="24"/>
        </w:rPr>
        <w:t xml:space="preserve">.2.1 </w:t>
      </w:r>
      <w:r w:rsidR="008373FA" w:rsidRPr="009C6FEF">
        <w:rPr>
          <w:rFonts w:ascii="Times New Roman" w:hAnsi="Times New Roman" w:cs="Times New Roman"/>
          <w:b/>
          <w:bCs/>
          <w:sz w:val="24"/>
          <w:szCs w:val="24"/>
        </w:rPr>
        <w:t>Phase 1 (Years 1-2): Foundation Building through Micro-Zoning and Community Mobilization</w:t>
      </w:r>
    </w:p>
    <w:p w14:paraId="684C458F" w14:textId="79AB3A2C" w:rsidR="008373FA" w:rsidRPr="009C6FEF" w:rsidRDefault="008373F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The initial phase focuses on establishing the regulatory and social infrastructure for sustainability.</w:t>
      </w:r>
    </w:p>
    <w:p w14:paraId="4A95FD6C" w14:textId="62324649" w:rsidR="008373FA" w:rsidRPr="009C6FEF" w:rsidRDefault="005F2245" w:rsidP="00194612">
      <w:pPr>
        <w:spacing w:after="0" w:line="360" w:lineRule="auto"/>
        <w:jc w:val="both"/>
        <w:rPr>
          <w:rFonts w:ascii="Times New Roman" w:hAnsi="Times New Roman" w:cs="Times New Roman"/>
          <w:b/>
          <w:bCs/>
          <w:sz w:val="24"/>
          <w:szCs w:val="24"/>
        </w:rPr>
      </w:pPr>
      <w:r w:rsidRPr="009C6FEF">
        <w:rPr>
          <w:rFonts w:ascii="Times New Roman" w:hAnsi="Times New Roman" w:cs="Times New Roman"/>
          <w:b/>
          <w:bCs/>
          <w:i/>
          <w:iCs/>
          <w:sz w:val="24"/>
          <w:szCs w:val="24"/>
        </w:rPr>
        <w:t>3.2.1.1</w:t>
      </w:r>
      <w:r w:rsidR="00E57AE6" w:rsidRPr="009C6FEF">
        <w:rPr>
          <w:rFonts w:ascii="Times New Roman" w:hAnsi="Times New Roman" w:cs="Times New Roman"/>
          <w:b/>
          <w:bCs/>
          <w:i/>
          <w:iCs/>
          <w:sz w:val="24"/>
          <w:szCs w:val="24"/>
        </w:rPr>
        <w:t xml:space="preserve"> </w:t>
      </w:r>
      <w:r w:rsidR="008373FA" w:rsidRPr="009C6FEF">
        <w:rPr>
          <w:rFonts w:ascii="Times New Roman" w:hAnsi="Times New Roman" w:cs="Times New Roman"/>
          <w:b/>
          <w:bCs/>
          <w:sz w:val="24"/>
          <w:szCs w:val="24"/>
        </w:rPr>
        <w:t>Scientific Micro-Zoning for Carrying Capacity Management</w:t>
      </w:r>
    </w:p>
    <w:p w14:paraId="53928828" w14:textId="36178E23" w:rsidR="008373FA" w:rsidRPr="009C6FEF" w:rsidRDefault="008373F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Informed by the GIS-based sensitivity analysis (using criteria like Potential Zone and LULC), a three-tier micro-zoning framework was delineated (Fig. 4, Table 1). This model, inspired by the UNESCO Biosphere Reserve concept (</w:t>
      </w:r>
      <w:r w:rsidRPr="009C6FEF">
        <w:rPr>
          <w:rFonts w:ascii="Times New Roman" w:hAnsi="Times New Roman" w:cs="Times New Roman"/>
          <w:color w:val="0070C0"/>
          <w:sz w:val="24"/>
          <w:szCs w:val="24"/>
        </w:rPr>
        <w:t>Batisse, 1997</w:t>
      </w:r>
      <w:r w:rsidRPr="009C6FEF">
        <w:rPr>
          <w:rFonts w:ascii="Times New Roman" w:hAnsi="Times New Roman" w:cs="Times New Roman"/>
          <w:sz w:val="24"/>
          <w:szCs w:val="24"/>
        </w:rPr>
        <w:t>), is crucial for preventing the ecological degradation often associated with unregulated tourism.</w:t>
      </w:r>
    </w:p>
    <w:p w14:paraId="0560A12F" w14:textId="40B4A6FD" w:rsidR="008373FA" w:rsidRPr="009C6FEF" w:rsidRDefault="008373F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Core Conservation Areas: These zones protect the most sensitive ecosystems. Restricting access to 20-50 visitors per day for research and guided eco-study tours is essential to preserve </w:t>
      </w:r>
      <w:proofErr w:type="spellStart"/>
      <w:r w:rsidRPr="009C6FEF">
        <w:rPr>
          <w:rFonts w:ascii="Times New Roman" w:hAnsi="Times New Roman" w:cs="Times New Roman"/>
          <w:sz w:val="24"/>
          <w:szCs w:val="24"/>
        </w:rPr>
        <w:t>Jhargram's</w:t>
      </w:r>
      <w:proofErr w:type="spellEnd"/>
      <w:r w:rsidRPr="009C6FEF">
        <w:rPr>
          <w:rFonts w:ascii="Times New Roman" w:hAnsi="Times New Roman" w:cs="Times New Roman"/>
          <w:sz w:val="24"/>
          <w:szCs w:val="24"/>
        </w:rPr>
        <w:t xml:space="preserve"> dense forests and wildlife habitats, mirroring successful conservation-first approaches in the Sundarbans (Ghosh, 2014).</w:t>
      </w:r>
    </w:p>
    <w:p w14:paraId="0BF8BC06" w14:textId="6D76FC51" w:rsidR="008373FA" w:rsidRPr="009C6FEF" w:rsidRDefault="008373F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Ecotourism Zones: Designated for low-impact activities like trekking and birdwatching, these areas allow for higher visitation (100-300/day) under guided supervision. This balances recreational demand with environmental protection.</w:t>
      </w:r>
    </w:p>
    <w:p w14:paraId="14D2E815" w14:textId="6051D9AA" w:rsidR="008373FA" w:rsidRPr="009C6FEF" w:rsidRDefault="008373F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Buffer Zones: Acting as transitional spaces, these zones with gentler slopes can host 500-1000 visitors daily for accommodations, markets, and cultural shows. This structure channels economic activity towards communities while shielding core ecological assets.</w:t>
      </w:r>
    </w:p>
    <w:tbl>
      <w:tblPr>
        <w:tblStyle w:val="TableGrid"/>
        <w:tblpPr w:leftFromText="180" w:rightFromText="180" w:vertAnchor="page" w:horzAnchor="margin" w:tblpY="8416"/>
        <w:tblW w:w="906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555"/>
        <w:gridCol w:w="1701"/>
        <w:gridCol w:w="3447"/>
        <w:gridCol w:w="2364"/>
      </w:tblGrid>
      <w:tr w:rsidR="00A126E2" w:rsidRPr="009C6FEF" w14:paraId="05404FB2" w14:textId="77777777" w:rsidTr="000D3617">
        <w:tc>
          <w:tcPr>
            <w:tcW w:w="1555" w:type="dxa"/>
          </w:tcPr>
          <w:p w14:paraId="2497E2AA" w14:textId="77777777" w:rsidR="00A126E2" w:rsidRPr="009C6FEF" w:rsidRDefault="00A126E2" w:rsidP="000D3617">
            <w:pPr>
              <w:spacing w:line="360" w:lineRule="auto"/>
              <w:jc w:val="both"/>
              <w:rPr>
                <w:rFonts w:ascii="Times New Roman" w:hAnsi="Times New Roman" w:cs="Times New Roman"/>
                <w:b/>
                <w:bCs/>
                <w:sz w:val="24"/>
                <w:szCs w:val="24"/>
              </w:rPr>
            </w:pPr>
            <w:bookmarkStart w:id="1" w:name="_Hlk210471321"/>
            <w:r w:rsidRPr="009C6FEF">
              <w:rPr>
                <w:rFonts w:ascii="Times New Roman" w:hAnsi="Times New Roman" w:cs="Times New Roman"/>
                <w:b/>
                <w:bCs/>
                <w:sz w:val="24"/>
                <w:szCs w:val="24"/>
              </w:rPr>
              <w:t>Zone Type</w:t>
            </w:r>
          </w:p>
        </w:tc>
        <w:tc>
          <w:tcPr>
            <w:tcW w:w="1701" w:type="dxa"/>
          </w:tcPr>
          <w:p w14:paraId="71DF5458" w14:textId="77777777" w:rsidR="00A126E2" w:rsidRPr="009C6FEF" w:rsidRDefault="00A126E2" w:rsidP="000D3617">
            <w:pPr>
              <w:spacing w:line="360" w:lineRule="auto"/>
              <w:jc w:val="both"/>
              <w:rPr>
                <w:rFonts w:ascii="Times New Roman" w:hAnsi="Times New Roman" w:cs="Times New Roman"/>
                <w:b/>
                <w:bCs/>
                <w:sz w:val="24"/>
                <w:szCs w:val="24"/>
              </w:rPr>
            </w:pPr>
            <w:r w:rsidRPr="009C6FEF">
              <w:rPr>
                <w:rFonts w:ascii="Times New Roman" w:hAnsi="Times New Roman" w:cs="Times New Roman"/>
                <w:b/>
                <w:bCs/>
                <w:sz w:val="24"/>
                <w:szCs w:val="24"/>
              </w:rPr>
              <w:t>Maximum Visitors Per Day</w:t>
            </w:r>
          </w:p>
        </w:tc>
        <w:tc>
          <w:tcPr>
            <w:tcW w:w="3447" w:type="dxa"/>
          </w:tcPr>
          <w:p w14:paraId="1FB3BAD8" w14:textId="77777777" w:rsidR="00A126E2" w:rsidRPr="009C6FEF" w:rsidRDefault="00A126E2" w:rsidP="000D3617">
            <w:pPr>
              <w:spacing w:line="360" w:lineRule="auto"/>
              <w:jc w:val="both"/>
              <w:rPr>
                <w:rFonts w:ascii="Times New Roman" w:hAnsi="Times New Roman" w:cs="Times New Roman"/>
                <w:b/>
                <w:bCs/>
                <w:sz w:val="24"/>
                <w:szCs w:val="24"/>
              </w:rPr>
            </w:pPr>
            <w:r w:rsidRPr="009C6FEF">
              <w:rPr>
                <w:rFonts w:ascii="Times New Roman" w:hAnsi="Times New Roman" w:cs="Times New Roman"/>
                <w:b/>
                <w:bCs/>
                <w:sz w:val="24"/>
                <w:szCs w:val="24"/>
              </w:rPr>
              <w:t>Tourism Activities Allowed</w:t>
            </w:r>
          </w:p>
        </w:tc>
        <w:tc>
          <w:tcPr>
            <w:tcW w:w="2364" w:type="dxa"/>
          </w:tcPr>
          <w:p w14:paraId="4D13A225" w14:textId="77777777" w:rsidR="00A126E2" w:rsidRPr="009C6FEF" w:rsidRDefault="00A126E2" w:rsidP="000D3617">
            <w:pPr>
              <w:spacing w:line="360" w:lineRule="auto"/>
              <w:jc w:val="both"/>
              <w:rPr>
                <w:rFonts w:ascii="Times New Roman" w:hAnsi="Times New Roman" w:cs="Times New Roman"/>
                <w:b/>
                <w:bCs/>
                <w:sz w:val="24"/>
                <w:szCs w:val="24"/>
              </w:rPr>
            </w:pPr>
            <w:r w:rsidRPr="009C6FEF">
              <w:rPr>
                <w:rFonts w:ascii="Times New Roman" w:hAnsi="Times New Roman" w:cs="Times New Roman"/>
                <w:b/>
                <w:bCs/>
                <w:sz w:val="24"/>
                <w:szCs w:val="24"/>
              </w:rPr>
              <w:t>Entry Regulation</w:t>
            </w:r>
          </w:p>
        </w:tc>
      </w:tr>
      <w:tr w:rsidR="00A126E2" w:rsidRPr="009C6FEF" w14:paraId="22BAA753" w14:textId="77777777" w:rsidTr="000D3617">
        <w:tc>
          <w:tcPr>
            <w:tcW w:w="1555" w:type="dxa"/>
          </w:tcPr>
          <w:p w14:paraId="0F3E0282"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Core Conservation</w:t>
            </w:r>
          </w:p>
        </w:tc>
        <w:tc>
          <w:tcPr>
            <w:tcW w:w="1701" w:type="dxa"/>
          </w:tcPr>
          <w:p w14:paraId="58F2FA76"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20-50 </w:t>
            </w:r>
          </w:p>
        </w:tc>
        <w:tc>
          <w:tcPr>
            <w:tcW w:w="3447" w:type="dxa"/>
          </w:tcPr>
          <w:p w14:paraId="7C7F5469"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Research, Eco-study Tours</w:t>
            </w:r>
          </w:p>
        </w:tc>
        <w:tc>
          <w:tcPr>
            <w:tcW w:w="2364" w:type="dxa"/>
          </w:tcPr>
          <w:p w14:paraId="3BD62E4A"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Pre-booking only, No walk-ins</w:t>
            </w:r>
          </w:p>
        </w:tc>
      </w:tr>
      <w:tr w:rsidR="00A126E2" w:rsidRPr="009C6FEF" w14:paraId="12CEAB6B" w14:textId="77777777" w:rsidTr="000D3617">
        <w:tc>
          <w:tcPr>
            <w:tcW w:w="1555" w:type="dxa"/>
          </w:tcPr>
          <w:p w14:paraId="6DB1D7D8"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Ecotourism</w:t>
            </w:r>
          </w:p>
        </w:tc>
        <w:tc>
          <w:tcPr>
            <w:tcW w:w="1701" w:type="dxa"/>
          </w:tcPr>
          <w:p w14:paraId="5AB25840"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100-300</w:t>
            </w:r>
          </w:p>
        </w:tc>
        <w:tc>
          <w:tcPr>
            <w:tcW w:w="3447" w:type="dxa"/>
          </w:tcPr>
          <w:p w14:paraId="06F086EA"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Trekking, Birdwatching, Cultural Shows</w:t>
            </w:r>
          </w:p>
        </w:tc>
        <w:tc>
          <w:tcPr>
            <w:tcW w:w="2364" w:type="dxa"/>
          </w:tcPr>
          <w:p w14:paraId="5474758E"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Guided entry, Timed slots</w:t>
            </w:r>
          </w:p>
        </w:tc>
      </w:tr>
      <w:tr w:rsidR="00A126E2" w:rsidRPr="009C6FEF" w14:paraId="08F5BCB1" w14:textId="77777777" w:rsidTr="000D3617">
        <w:tc>
          <w:tcPr>
            <w:tcW w:w="1555" w:type="dxa"/>
          </w:tcPr>
          <w:p w14:paraId="1D92F1C1"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Buffer </w:t>
            </w:r>
          </w:p>
        </w:tc>
        <w:tc>
          <w:tcPr>
            <w:tcW w:w="1701" w:type="dxa"/>
          </w:tcPr>
          <w:p w14:paraId="29513056"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500-1000</w:t>
            </w:r>
          </w:p>
        </w:tc>
        <w:tc>
          <w:tcPr>
            <w:tcW w:w="3447" w:type="dxa"/>
          </w:tcPr>
          <w:p w14:paraId="2AB82810"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Market Visits, Folk Shows, Accommodation</w:t>
            </w:r>
          </w:p>
        </w:tc>
        <w:tc>
          <w:tcPr>
            <w:tcW w:w="2364" w:type="dxa"/>
          </w:tcPr>
          <w:p w14:paraId="75E5B8F6"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Open access, but regulated</w:t>
            </w:r>
          </w:p>
        </w:tc>
      </w:tr>
    </w:tbl>
    <w:bookmarkEnd w:id="1"/>
    <w:p w14:paraId="4E33C536" w14:textId="473794DE" w:rsidR="000F6745" w:rsidRPr="009C6FEF" w:rsidRDefault="000F6745" w:rsidP="00194612">
      <w:pPr>
        <w:spacing w:after="0" w:line="360" w:lineRule="auto"/>
        <w:jc w:val="both"/>
        <w:rPr>
          <w:rFonts w:ascii="Times New Roman" w:hAnsi="Times New Roman" w:cs="Times New Roman"/>
          <w:i/>
          <w:iCs/>
          <w:sz w:val="24"/>
          <w:szCs w:val="24"/>
        </w:rPr>
      </w:pPr>
      <w:r w:rsidRPr="009C6FEF">
        <w:rPr>
          <w:rFonts w:ascii="Times New Roman" w:hAnsi="Times New Roman" w:cs="Times New Roman"/>
          <w:i/>
          <w:iCs/>
          <w:sz w:val="24"/>
          <w:szCs w:val="24"/>
        </w:rPr>
        <w:t>Table 1: Micro-zoning of ecotourism sites with carrying capacity of visitors, tourism activity and regulation.</w:t>
      </w:r>
    </w:p>
    <w:p w14:paraId="6568EAA9" w14:textId="77777777" w:rsidR="00A126E2" w:rsidRPr="009C6FEF" w:rsidRDefault="00A126E2" w:rsidP="00A126E2">
      <w:pPr>
        <w:rPr>
          <w:rFonts w:ascii="Times New Roman" w:hAnsi="Times New Roman" w:cs="Times New Roman"/>
          <w:sz w:val="24"/>
          <w:szCs w:val="24"/>
        </w:rPr>
      </w:pPr>
    </w:p>
    <w:p w14:paraId="3ABBF0FC" w14:textId="77777777" w:rsidR="00A126E2" w:rsidRPr="009C6FEF" w:rsidRDefault="00A126E2" w:rsidP="00A126E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Sustainable ecotourism cannot succeed without the meaningful participation of local communities, as they are the custodians of both cultural heritage and natural resources. A strong </w:t>
      </w:r>
      <w:r w:rsidRPr="009C6FEF">
        <w:rPr>
          <w:rFonts w:ascii="Times New Roman" w:hAnsi="Times New Roman" w:cs="Times New Roman"/>
          <w:sz w:val="24"/>
          <w:szCs w:val="24"/>
        </w:rPr>
        <w:lastRenderedPageBreak/>
        <w:t>example is the Sundarbans of West Bengal, where ecotourism has been integrated with mangrove conservation through active community engagement (</w:t>
      </w:r>
      <w:r w:rsidRPr="009C6FEF">
        <w:rPr>
          <w:rFonts w:ascii="Times New Roman" w:hAnsi="Times New Roman" w:cs="Times New Roman"/>
          <w:color w:val="0070C0"/>
          <w:sz w:val="24"/>
          <w:szCs w:val="24"/>
        </w:rPr>
        <w:t>Mondal et al., 2021</w:t>
      </w:r>
      <w:r w:rsidRPr="009C6FEF">
        <w:rPr>
          <w:rFonts w:ascii="Times New Roman" w:hAnsi="Times New Roman" w:cs="Times New Roman"/>
          <w:sz w:val="24"/>
          <w:szCs w:val="24"/>
        </w:rPr>
        <w:t xml:space="preserve">).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District, community consultation and skill development programs should be strategically implemented near potential ecotourism sites to enhance local participation, generate employment, and foster sustainable tourism.</w:t>
      </w:r>
    </w:p>
    <w:p w14:paraId="1CD63BBF" w14:textId="633F9B29" w:rsidR="00A126E2" w:rsidRPr="009C6FEF" w:rsidRDefault="00A126E2" w:rsidP="00A126E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The establishment of Village Ecotourism Committees (VECs) is a cornerstone of community-driven ecotourism. Composed of panchayat members, tribal leaders, women, youth, artisans, and conservation officials, these committees act as local governance bodies ensuring that tourism initiatives align with community needs, cultural traditions, and environmental priorities. VECs prevent external exploitation by promoting inclusive decision-making and equitable benefit-sharing. Their responsibilities include maintaining ecotourism sites, monitoring visitor flows, enforcing eco-guidelines, and planning tourist circuits so that benefits extend across multiple villages. Moreover, they act as intermediaries between government agencies, NGOs, and private investors to ensure that interventions serve local interests.</w:t>
      </w:r>
    </w:p>
    <w:p w14:paraId="674D6475" w14:textId="764FD034" w:rsidR="0099512E" w:rsidRPr="009C6FEF" w:rsidRDefault="000C121B"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noProof/>
          <w:sz w:val="24"/>
          <w:szCs w:val="24"/>
        </w:rPr>
        <w:lastRenderedPageBreak/>
        <w:drawing>
          <wp:inline distT="0" distB="0" distL="0" distR="0" wp14:anchorId="05C43360" wp14:editId="48E296C1">
            <wp:extent cx="5807173" cy="7991094"/>
            <wp:effectExtent l="19050" t="19050" r="22225" b="10160"/>
            <wp:docPr id="1012504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99"/>
                    <a:stretch>
                      <a:fillRect/>
                    </a:stretch>
                  </pic:blipFill>
                  <pic:spPr bwMode="auto">
                    <a:xfrm>
                      <a:off x="0" y="0"/>
                      <a:ext cx="5815790" cy="800295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D60799" w14:textId="695CE0A5" w:rsidR="000F6745" w:rsidRPr="009C6FEF" w:rsidRDefault="000F6745" w:rsidP="00194612">
      <w:pPr>
        <w:spacing w:after="0" w:line="360" w:lineRule="auto"/>
        <w:jc w:val="both"/>
        <w:rPr>
          <w:rFonts w:ascii="Times New Roman" w:hAnsi="Times New Roman" w:cs="Times New Roman"/>
          <w:b/>
          <w:bCs/>
          <w:i/>
          <w:iCs/>
          <w:sz w:val="24"/>
          <w:szCs w:val="24"/>
        </w:rPr>
      </w:pPr>
      <w:r w:rsidRPr="009C6FEF">
        <w:rPr>
          <w:rFonts w:ascii="Times New Roman" w:hAnsi="Times New Roman" w:cs="Times New Roman"/>
          <w:b/>
          <w:bCs/>
          <w:i/>
          <w:iCs/>
          <w:sz w:val="24"/>
          <w:szCs w:val="24"/>
        </w:rPr>
        <w:t xml:space="preserve">Fig.4: </w:t>
      </w:r>
      <w:r w:rsidRPr="009C6FEF">
        <w:rPr>
          <w:rFonts w:ascii="Times New Roman" w:hAnsi="Times New Roman" w:cs="Times New Roman"/>
          <w:i/>
          <w:iCs/>
          <w:sz w:val="24"/>
          <w:szCs w:val="24"/>
        </w:rPr>
        <w:t>Micro-zoning of ecotourism sites by weighted overlay analysis in ArcGIS.</w:t>
      </w:r>
    </w:p>
    <w:p w14:paraId="6F69E3D9" w14:textId="77777777" w:rsidR="000F6745" w:rsidRPr="009C6FEF" w:rsidRDefault="000F6745" w:rsidP="00194612">
      <w:pPr>
        <w:spacing w:after="0" w:line="360" w:lineRule="auto"/>
        <w:jc w:val="both"/>
        <w:rPr>
          <w:rFonts w:ascii="Times New Roman" w:hAnsi="Times New Roman" w:cs="Times New Roman"/>
          <w:b/>
          <w:bCs/>
          <w:i/>
          <w:iCs/>
          <w:sz w:val="24"/>
          <w:szCs w:val="24"/>
        </w:rPr>
      </w:pPr>
    </w:p>
    <w:p w14:paraId="1CB1083B" w14:textId="77777777" w:rsidR="007D239F" w:rsidRPr="009C6FEF" w:rsidRDefault="007D239F" w:rsidP="00194612">
      <w:pPr>
        <w:spacing w:after="0" w:line="360" w:lineRule="auto"/>
        <w:jc w:val="both"/>
        <w:rPr>
          <w:rFonts w:ascii="Times New Roman" w:hAnsi="Times New Roman" w:cs="Times New Roman"/>
          <w:b/>
          <w:bCs/>
          <w:i/>
          <w:iCs/>
          <w:sz w:val="24"/>
          <w:szCs w:val="24"/>
        </w:rPr>
      </w:pPr>
    </w:p>
    <w:p w14:paraId="3CEE00CF" w14:textId="7636503C" w:rsidR="0000755F" w:rsidRPr="009C6FEF" w:rsidRDefault="005F2245" w:rsidP="00194612">
      <w:pPr>
        <w:spacing w:after="0" w:line="360" w:lineRule="auto"/>
        <w:jc w:val="both"/>
        <w:rPr>
          <w:rFonts w:ascii="Times New Roman" w:hAnsi="Times New Roman" w:cs="Times New Roman"/>
          <w:b/>
          <w:bCs/>
          <w:i/>
          <w:iCs/>
          <w:sz w:val="24"/>
          <w:szCs w:val="24"/>
        </w:rPr>
      </w:pPr>
      <w:r w:rsidRPr="009C6FEF">
        <w:rPr>
          <w:rFonts w:ascii="Times New Roman" w:hAnsi="Times New Roman" w:cs="Times New Roman"/>
          <w:b/>
          <w:bCs/>
          <w:i/>
          <w:iCs/>
          <w:sz w:val="24"/>
          <w:szCs w:val="24"/>
        </w:rPr>
        <w:lastRenderedPageBreak/>
        <w:t>3.2.1.2</w:t>
      </w:r>
      <w:r w:rsidR="00E57AE6" w:rsidRPr="009C6FEF">
        <w:rPr>
          <w:rFonts w:ascii="Times New Roman" w:hAnsi="Times New Roman" w:cs="Times New Roman"/>
          <w:b/>
          <w:bCs/>
          <w:i/>
          <w:iCs/>
          <w:sz w:val="24"/>
          <w:szCs w:val="24"/>
        </w:rPr>
        <w:t xml:space="preserve"> </w:t>
      </w:r>
      <w:r w:rsidR="0000755F" w:rsidRPr="009C6FEF">
        <w:rPr>
          <w:rFonts w:ascii="Times New Roman" w:hAnsi="Times New Roman" w:cs="Times New Roman"/>
          <w:b/>
          <w:bCs/>
          <w:i/>
          <w:iCs/>
          <w:sz w:val="24"/>
          <w:szCs w:val="24"/>
        </w:rPr>
        <w:t>Institutionalizing Participation through Village Ecotourism Committees (VECs)</w:t>
      </w:r>
    </w:p>
    <w:p w14:paraId="2A61A269" w14:textId="326B9DFA" w:rsidR="00DF149A" w:rsidRPr="009C6FEF" w:rsidRDefault="00DF149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A key mandate of VECs is capacity building. They should </w:t>
      </w:r>
      <w:r w:rsidR="0092503F" w:rsidRPr="009C6FEF">
        <w:rPr>
          <w:rFonts w:ascii="Times New Roman" w:hAnsi="Times New Roman" w:cs="Times New Roman"/>
          <w:sz w:val="24"/>
          <w:szCs w:val="24"/>
        </w:rPr>
        <w:t>organise</w:t>
      </w:r>
      <w:r w:rsidRPr="009C6FEF">
        <w:rPr>
          <w:rFonts w:ascii="Times New Roman" w:hAnsi="Times New Roman" w:cs="Times New Roman"/>
          <w:sz w:val="24"/>
          <w:szCs w:val="24"/>
        </w:rPr>
        <w:t xml:space="preserve"> training on eco-guiding, biodiversity interpretation, cultural storytelling, and wildlife conservation to strengthen visitor experiences. Training in homestay management, hospitality, and customer service empowers local families, while women and youth can be integrated into handicrafts and cultural tourism. Programs should also extend to financial literacy, digital marketing, and tour management so that local entrepreneurs can effectively market and manage ecotourism products.</w:t>
      </w:r>
    </w:p>
    <w:p w14:paraId="31507DB6" w14:textId="3001948C" w:rsidR="00923A76" w:rsidRPr="009C6FEF" w:rsidRDefault="00DF149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For financial sustainability, VECs should design robust revenue models grounded in conservation principles. Revenue streams may include ecotourism fees, homestays, eco-lodges, handicraft sales, guided tours, and cultural events. These funds must be reinvested into welfare schemes, education, and conservation programs. </w:t>
      </w:r>
      <w:r w:rsidR="008D37E0" w:rsidRPr="009C6FEF">
        <w:rPr>
          <w:rFonts w:ascii="Times New Roman" w:hAnsi="Times New Roman" w:cs="Times New Roman"/>
          <w:sz w:val="24"/>
          <w:szCs w:val="24"/>
        </w:rPr>
        <w:t>Standardisation</w:t>
      </w:r>
      <w:r w:rsidRPr="009C6FEF">
        <w:rPr>
          <w:rFonts w:ascii="Times New Roman" w:hAnsi="Times New Roman" w:cs="Times New Roman"/>
          <w:sz w:val="24"/>
          <w:szCs w:val="24"/>
        </w:rPr>
        <w:t xml:space="preserve"> of services such as homestays, eco-cafés, and farm-based tourism ensures high-quality visitor experiences while protecting community rights.</w:t>
      </w:r>
    </w:p>
    <w:p w14:paraId="4A49EE56" w14:textId="51A4825A" w:rsidR="00DF149A" w:rsidRPr="009C6FEF" w:rsidRDefault="00DF149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Environmental protection remains integral to VEC operations. Zero-waste tourism policies should be adopted through plastic </w:t>
      </w:r>
      <w:proofErr w:type="spellStart"/>
      <w:r w:rsidRPr="009C6FEF">
        <w:rPr>
          <w:rFonts w:ascii="Times New Roman" w:hAnsi="Times New Roman" w:cs="Times New Roman"/>
          <w:sz w:val="24"/>
          <w:szCs w:val="24"/>
        </w:rPr>
        <w:t>bans</w:t>
      </w:r>
      <w:proofErr w:type="spellEnd"/>
      <w:r w:rsidRPr="009C6FEF">
        <w:rPr>
          <w:rFonts w:ascii="Times New Roman" w:hAnsi="Times New Roman" w:cs="Times New Roman"/>
          <w:sz w:val="24"/>
          <w:szCs w:val="24"/>
        </w:rPr>
        <w:t>, recycling, and eco-friendly alternatives. Community-led afforestation and reforestation initiatives, integrated with carbon credit mechanisms, can restore degraded lands while providing income. Training eco-guards to monitor wildlife reduces human</w:t>
      </w:r>
      <w:r w:rsidR="00586812" w:rsidRPr="009C6FEF">
        <w:rPr>
          <w:rFonts w:ascii="Times New Roman" w:hAnsi="Times New Roman" w:cs="Times New Roman"/>
          <w:sz w:val="24"/>
          <w:szCs w:val="24"/>
        </w:rPr>
        <w:t>-</w:t>
      </w:r>
      <w:r w:rsidRPr="009C6FEF">
        <w:rPr>
          <w:rFonts w:ascii="Times New Roman" w:hAnsi="Times New Roman" w:cs="Times New Roman"/>
          <w:sz w:val="24"/>
          <w:szCs w:val="24"/>
        </w:rPr>
        <w:t>animal conflict. In addition, water conservation strategies like rainwater harvesting and sustainable irrigation methods help prevent resource depletion. By balancing ecological conservation with livelihood generation, VECs can foster a self-sustaining ecotourism model.</w:t>
      </w:r>
    </w:p>
    <w:p w14:paraId="636A4926" w14:textId="31396E60" w:rsidR="00DF149A" w:rsidRPr="009C6FEF" w:rsidRDefault="00DF149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The success of VECs requires robust government and NGO support. The West Bengal Tourism Department should provide financial assistance through schemes such as the Rural Tourism Development Program (RTDP) and NREGA, while MFIs can facilitate micro-credit and cooperatives. Capacity-building support from the Skill India Mission, WWF-India, and ATREE should focus on eco-guiding, handicrafts, sustainable agriculture, and hospitality training. Infrastructure investment must prioritize eco-lodges, signboards, solar-powered guesthouses, sanitation facilities, and green transport. Public-private partnerships (PPPs) may further strengthen infrastructure through funding of nature trails, interpretation centres, and conservation projects. NGOs should additionally spearhead waste management, afforestation, water conservation, carbon credit schemes, and wildlife monitoring programs.</w:t>
      </w:r>
    </w:p>
    <w:p w14:paraId="2F945356" w14:textId="24CC40F4" w:rsidR="00DF149A" w:rsidRPr="009C6FEF" w:rsidRDefault="005F2245" w:rsidP="00194612">
      <w:pPr>
        <w:spacing w:after="0" w:line="360" w:lineRule="auto"/>
        <w:jc w:val="both"/>
        <w:rPr>
          <w:rFonts w:ascii="Times New Roman" w:hAnsi="Times New Roman" w:cs="Times New Roman"/>
          <w:b/>
          <w:bCs/>
          <w:i/>
          <w:iCs/>
          <w:sz w:val="24"/>
          <w:szCs w:val="24"/>
        </w:rPr>
      </w:pPr>
      <w:r w:rsidRPr="009C6FEF">
        <w:rPr>
          <w:rFonts w:ascii="Times New Roman" w:hAnsi="Times New Roman" w:cs="Times New Roman"/>
          <w:b/>
          <w:bCs/>
          <w:i/>
          <w:iCs/>
          <w:sz w:val="24"/>
          <w:szCs w:val="24"/>
        </w:rPr>
        <w:t>3.2.1.3</w:t>
      </w:r>
      <w:r w:rsidR="00DF149A" w:rsidRPr="009C6FEF">
        <w:rPr>
          <w:rFonts w:ascii="Times New Roman" w:hAnsi="Times New Roman" w:cs="Times New Roman"/>
          <w:b/>
          <w:bCs/>
          <w:i/>
          <w:iCs/>
          <w:sz w:val="24"/>
          <w:szCs w:val="24"/>
        </w:rPr>
        <w:t xml:space="preserve"> Biodiversity Conservation and Regulation in Ecotourism</w:t>
      </w:r>
    </w:p>
    <w:p w14:paraId="0FE0438B" w14:textId="1A48AA6D" w:rsidR="00DF149A" w:rsidRPr="009C6FEF" w:rsidRDefault="00DF149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Biodiversity conservation must remain central to ecotourism planning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The district’s forests, wildlife, and natural landscapes are its prime attractions, and their degradation </w:t>
      </w:r>
      <w:r w:rsidRPr="009C6FEF">
        <w:rPr>
          <w:rFonts w:ascii="Times New Roman" w:hAnsi="Times New Roman" w:cs="Times New Roman"/>
          <w:sz w:val="24"/>
          <w:szCs w:val="24"/>
        </w:rPr>
        <w:lastRenderedPageBreak/>
        <w:t>would undermine tourism potential. Two strategies are vital: afforestation programs and strict ecotourism guidelines.</w:t>
      </w:r>
    </w:p>
    <w:p w14:paraId="56EB1FCE" w14:textId="7B50A462" w:rsidR="003C1BA1" w:rsidRPr="009C6FEF" w:rsidRDefault="00DF149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Afforestation, using native tree species, should be pursued in degraded landscapes </w:t>
      </w:r>
      <w:r w:rsidR="000710C7" w:rsidRPr="009C6FEF">
        <w:rPr>
          <w:rFonts w:ascii="Times New Roman" w:hAnsi="Times New Roman" w:cs="Times New Roman"/>
          <w:sz w:val="24"/>
          <w:szCs w:val="24"/>
        </w:rPr>
        <w:t>through partnerships</w:t>
      </w:r>
      <w:r w:rsidRPr="009C6FEF">
        <w:rPr>
          <w:rFonts w:ascii="Times New Roman" w:hAnsi="Times New Roman" w:cs="Times New Roman"/>
          <w:sz w:val="24"/>
          <w:szCs w:val="24"/>
        </w:rPr>
        <w:t xml:space="preserve"> between VECs, forest departments, and NGOs. Such programs must engage schools, universities, and even eco-tourists to enhance environmental awareness and stewardship. Between 2017 and 2023, afforestation covered 175.74 km² (6% of </w:t>
      </w:r>
      <w:proofErr w:type="spellStart"/>
      <w:r w:rsidRPr="009C6FEF">
        <w:rPr>
          <w:rFonts w:ascii="Times New Roman" w:hAnsi="Times New Roman" w:cs="Times New Roman"/>
          <w:sz w:val="24"/>
          <w:szCs w:val="24"/>
        </w:rPr>
        <w:t>Jhargram’s</w:t>
      </w:r>
      <w:proofErr w:type="spellEnd"/>
      <w:r w:rsidRPr="009C6FEF">
        <w:rPr>
          <w:rFonts w:ascii="Times New Roman" w:hAnsi="Times New Roman" w:cs="Times New Roman"/>
          <w:sz w:val="24"/>
          <w:szCs w:val="24"/>
        </w:rPr>
        <w:t xml:space="preserve"> area); however, deforestation claimed 104.49 km² (3%), threatening ecological balance (Figure </w:t>
      </w:r>
      <w:r w:rsidR="00D8776D" w:rsidRPr="009C6FEF">
        <w:rPr>
          <w:rFonts w:ascii="Times New Roman" w:hAnsi="Times New Roman" w:cs="Times New Roman"/>
          <w:sz w:val="24"/>
          <w:szCs w:val="24"/>
        </w:rPr>
        <w:t>5</w:t>
      </w:r>
      <w:r w:rsidRPr="009C6FEF">
        <w:rPr>
          <w:rFonts w:ascii="Times New Roman" w:hAnsi="Times New Roman" w:cs="Times New Roman"/>
          <w:sz w:val="24"/>
          <w:szCs w:val="24"/>
        </w:rPr>
        <w:t>). Sustainable afforestation is crucial for mitigating these losses, supporting tribal livelihoods, and combating climate impacts. Agroforestry initiatives and community-managed forest resources can reduce deforestation risks tied to tourism. Protected green zones around ecotourism sites further safeguard biodiversity from unregulated land-use changes.</w:t>
      </w:r>
    </w:p>
    <w:p w14:paraId="2FEBC29B" w14:textId="7B44DEC3" w:rsidR="00DF149A" w:rsidRPr="009C6FEF" w:rsidRDefault="00DF149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Without regulation, tourism risks pollution, cultural erosion, and ecological damage. VECs, forest departments, and tourism authorities must enforce strict eco-guidelines:</w:t>
      </w:r>
    </w:p>
    <w:p w14:paraId="3D478751" w14:textId="1C22C665" w:rsidR="00DF149A" w:rsidRPr="009C6FEF" w:rsidRDefault="00DF149A" w:rsidP="00194612">
      <w:pPr>
        <w:pStyle w:val="ListParagraph"/>
        <w:numPr>
          <w:ilvl w:val="0"/>
          <w:numId w:val="3"/>
        </w:num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Visitor Limits: Apply carrying capacity models to control numbers in sensitive areas.</w:t>
      </w:r>
    </w:p>
    <w:p w14:paraId="4A9343A6" w14:textId="7D21C55D" w:rsidR="00DF149A" w:rsidRPr="009C6FEF" w:rsidRDefault="00DF149A" w:rsidP="00194612">
      <w:pPr>
        <w:pStyle w:val="ListParagraph"/>
        <w:numPr>
          <w:ilvl w:val="0"/>
          <w:numId w:val="3"/>
        </w:num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Waste Management: Adopt zero-waste policies, enforce plastic </w:t>
      </w:r>
      <w:proofErr w:type="spellStart"/>
      <w:r w:rsidRPr="009C6FEF">
        <w:rPr>
          <w:rFonts w:ascii="Times New Roman" w:hAnsi="Times New Roman" w:cs="Times New Roman"/>
          <w:sz w:val="24"/>
          <w:szCs w:val="24"/>
        </w:rPr>
        <w:t>bans</w:t>
      </w:r>
      <w:proofErr w:type="spellEnd"/>
      <w:r w:rsidRPr="009C6FEF">
        <w:rPr>
          <w:rFonts w:ascii="Times New Roman" w:hAnsi="Times New Roman" w:cs="Times New Roman"/>
          <w:sz w:val="24"/>
          <w:szCs w:val="24"/>
        </w:rPr>
        <w:t>, and provide disposal and recycling facilities. Tourists should carry reusable and biodegradable products.</w:t>
      </w:r>
    </w:p>
    <w:p w14:paraId="55BB7BA1" w14:textId="139D753A" w:rsidR="00DF149A" w:rsidRPr="009C6FEF" w:rsidRDefault="00DF149A" w:rsidP="00194612">
      <w:pPr>
        <w:pStyle w:val="ListParagraph"/>
        <w:numPr>
          <w:ilvl w:val="0"/>
          <w:numId w:val="3"/>
        </w:num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Eco-Friendly Infrastructure: Encourage solar-powered lodges, composting toilets, and low-impact facilities.</w:t>
      </w:r>
    </w:p>
    <w:p w14:paraId="73679008" w14:textId="1AA6F00A" w:rsidR="00DF149A" w:rsidRPr="009C6FEF" w:rsidRDefault="00DF149A" w:rsidP="00194612">
      <w:pPr>
        <w:pStyle w:val="ListParagraph"/>
        <w:numPr>
          <w:ilvl w:val="0"/>
          <w:numId w:val="3"/>
        </w:num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Wildlife Protection: Ban loud noise, littering, and off-trail trekking in fragile habitats.</w:t>
      </w:r>
    </w:p>
    <w:p w14:paraId="08B145DC" w14:textId="11536B6E" w:rsidR="00DF149A" w:rsidRPr="009C6FEF" w:rsidRDefault="00DF149A" w:rsidP="00194612">
      <w:pPr>
        <w:pStyle w:val="ListParagraph"/>
        <w:numPr>
          <w:ilvl w:val="0"/>
          <w:numId w:val="3"/>
        </w:num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Eco-Certification: Homestays, cafés, and tour operators should adopt eco-practices such as local sourcing, energy efficiency, and waste reduction.</w:t>
      </w:r>
    </w:p>
    <w:p w14:paraId="76D2BC13" w14:textId="6F270775" w:rsidR="008D37E0" w:rsidRPr="009C6FEF" w:rsidRDefault="005F2245" w:rsidP="00194612">
      <w:pPr>
        <w:spacing w:after="0" w:line="360" w:lineRule="auto"/>
        <w:jc w:val="both"/>
        <w:rPr>
          <w:rFonts w:ascii="Times New Roman" w:hAnsi="Times New Roman" w:cs="Times New Roman"/>
          <w:b/>
          <w:bCs/>
          <w:i/>
          <w:iCs/>
          <w:sz w:val="24"/>
          <w:szCs w:val="24"/>
        </w:rPr>
      </w:pPr>
      <w:r w:rsidRPr="009C6FEF">
        <w:rPr>
          <w:rFonts w:ascii="Times New Roman" w:hAnsi="Times New Roman" w:cs="Times New Roman"/>
          <w:b/>
          <w:bCs/>
          <w:i/>
          <w:iCs/>
          <w:sz w:val="24"/>
          <w:szCs w:val="24"/>
        </w:rPr>
        <w:t xml:space="preserve">3.2.1.4 </w:t>
      </w:r>
      <w:r w:rsidR="008D37E0" w:rsidRPr="009C6FEF">
        <w:rPr>
          <w:rFonts w:ascii="Times New Roman" w:hAnsi="Times New Roman" w:cs="Times New Roman"/>
          <w:b/>
          <w:bCs/>
          <w:i/>
          <w:iCs/>
          <w:sz w:val="24"/>
          <w:szCs w:val="24"/>
        </w:rPr>
        <w:t>Basic Access and Infrastructure Planning</w:t>
      </w:r>
    </w:p>
    <w:p w14:paraId="1BC8F1CA" w14:textId="1CD7FB49" w:rsidR="008D37E0" w:rsidRPr="009C6FEF" w:rsidRDefault="008D37E0"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Infrastructure planning must enhance tourism potential while protecting ecological and cultural assets.</w:t>
      </w:r>
      <w:r w:rsidR="00D8776D" w:rsidRPr="009C6FEF">
        <w:rPr>
          <w:rFonts w:ascii="Times New Roman" w:hAnsi="Times New Roman" w:cs="Times New Roman"/>
          <w:sz w:val="24"/>
          <w:szCs w:val="24"/>
        </w:rPr>
        <w:t xml:space="preserve"> </w:t>
      </w:r>
      <w:r w:rsidRPr="009C6FEF">
        <w:rPr>
          <w:rFonts w:ascii="Times New Roman" w:hAnsi="Times New Roman" w:cs="Times New Roman"/>
          <w:sz w:val="24"/>
          <w:szCs w:val="24"/>
        </w:rPr>
        <w:t xml:space="preserve">Poor road connectivity hampers ecotourism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Instead of wide highways, existing village roads should be upgraded using eco-friendly materials such as permeable pavers, gravel, or </w:t>
      </w:r>
      <w:r w:rsidR="00D8776D" w:rsidRPr="009C6FEF">
        <w:rPr>
          <w:rFonts w:ascii="Times New Roman" w:hAnsi="Times New Roman" w:cs="Times New Roman"/>
          <w:sz w:val="24"/>
          <w:szCs w:val="24"/>
        </w:rPr>
        <w:t>stabilised</w:t>
      </w:r>
      <w:r w:rsidRPr="009C6FEF">
        <w:rPr>
          <w:rFonts w:ascii="Times New Roman" w:hAnsi="Times New Roman" w:cs="Times New Roman"/>
          <w:sz w:val="24"/>
          <w:szCs w:val="24"/>
        </w:rPr>
        <w:t xml:space="preserve"> soil. Low-impact designs, including tree-lined roads, green corridors, and natural drainage systems, reduce erosion and preserve ecosystems. Additional features such as solar lighting, rainwater drains, rest spots with biodegradable seating, and eco-shuttle services will improve accessibility. Walking trails and cycling routes in core ecotourism areas can further </w:t>
      </w:r>
      <w:r w:rsidR="00D8776D" w:rsidRPr="009C6FEF">
        <w:rPr>
          <w:rFonts w:ascii="Times New Roman" w:hAnsi="Times New Roman" w:cs="Times New Roman"/>
          <w:sz w:val="24"/>
          <w:szCs w:val="24"/>
        </w:rPr>
        <w:t>minimise</w:t>
      </w:r>
      <w:r w:rsidRPr="009C6FEF">
        <w:rPr>
          <w:rFonts w:ascii="Times New Roman" w:hAnsi="Times New Roman" w:cs="Times New Roman"/>
          <w:sz w:val="24"/>
          <w:szCs w:val="24"/>
        </w:rPr>
        <w:t xml:space="preserve"> carbon emissions.</w:t>
      </w:r>
    </w:p>
    <w:p w14:paraId="5AB66E91" w14:textId="301BE6CC" w:rsidR="00875732" w:rsidRPr="009C6FEF" w:rsidRDefault="00875732"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The site selection for accommodation infrastructure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District, covering eco-lodges, camping sites, and interpretation centres, is a strategic process linking ecological preservation, accessibility, and community welfare. Using a GIS-based weighted overlay model with seven </w:t>
      </w:r>
      <w:r w:rsidRPr="009C6FEF">
        <w:rPr>
          <w:rFonts w:ascii="Times New Roman" w:hAnsi="Times New Roman" w:cs="Times New Roman"/>
          <w:sz w:val="24"/>
          <w:szCs w:val="24"/>
        </w:rPr>
        <w:lastRenderedPageBreak/>
        <w:t xml:space="preserve">criteria, the study prioritised Proximity to Tourism Sites (21%) and Ecological Sensitivity (20%) to balance visitor convenience with minimal environmental disturbance. Land Use/Land Cover (18%) guided development toward non-forest, degraded, or fallow lands, avoiding ecologically fragile zones. Moderate weights for Road Access and Market Proximity (each 12%) ensured practicality without compromising sustainability, while Slope (9%) and Distance from Existing Hotels (8%) promoted construction safety and equitable economic distribution across blocks like </w:t>
      </w:r>
      <w:proofErr w:type="spellStart"/>
      <w:r w:rsidRPr="009C6FEF">
        <w:rPr>
          <w:rFonts w:ascii="Times New Roman" w:hAnsi="Times New Roman" w:cs="Times New Roman"/>
          <w:sz w:val="24"/>
          <w:szCs w:val="24"/>
        </w:rPr>
        <w:t>Nayagram</w:t>
      </w:r>
      <w:proofErr w:type="spellEnd"/>
      <w:r w:rsidRPr="009C6FEF">
        <w:rPr>
          <w:rFonts w:ascii="Times New Roman" w:hAnsi="Times New Roman" w:cs="Times New Roman"/>
          <w:sz w:val="24"/>
          <w:szCs w:val="24"/>
        </w:rPr>
        <w:t>.</w:t>
      </w:r>
    </w:p>
    <w:p w14:paraId="4618EE08" w14:textId="77777777" w:rsidR="00875732" w:rsidRPr="009C6FEF" w:rsidRDefault="00875732" w:rsidP="0087573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The resulting suitability map (Fig. 6) identifies optimal accommodation zones in </w:t>
      </w:r>
      <w:proofErr w:type="spellStart"/>
      <w:r w:rsidRPr="009C6FEF">
        <w:rPr>
          <w:rFonts w:ascii="Times New Roman" w:hAnsi="Times New Roman" w:cs="Times New Roman"/>
          <w:sz w:val="24"/>
          <w:szCs w:val="24"/>
        </w:rPr>
        <w:t>Binpur</w:t>
      </w:r>
      <w:proofErr w:type="spellEnd"/>
      <w:r w:rsidRPr="009C6FEF">
        <w:rPr>
          <w:rFonts w:ascii="Times New Roman" w:hAnsi="Times New Roman" w:cs="Times New Roman"/>
          <w:sz w:val="24"/>
          <w:szCs w:val="24"/>
        </w:rPr>
        <w:t xml:space="preserve">-II,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and </w:t>
      </w:r>
      <w:proofErr w:type="spellStart"/>
      <w:r w:rsidRPr="009C6FEF">
        <w:rPr>
          <w:rFonts w:ascii="Times New Roman" w:hAnsi="Times New Roman" w:cs="Times New Roman"/>
          <w:sz w:val="24"/>
          <w:szCs w:val="24"/>
        </w:rPr>
        <w:t>Nayagram</w:t>
      </w:r>
      <w:proofErr w:type="spellEnd"/>
      <w:r w:rsidRPr="009C6FEF">
        <w:rPr>
          <w:rFonts w:ascii="Times New Roman" w:hAnsi="Times New Roman" w:cs="Times New Roman"/>
          <w:sz w:val="24"/>
          <w:szCs w:val="24"/>
        </w:rPr>
        <w:t xml:space="preserve"> blocks, offering a policy-ready framework for government and private investment. This scientific approach integrates tourism infrastructure within the broader ecotourism circuit, transforming sustainability principles into a spatially grounded development strategy for balanced regional growth.</w:t>
      </w:r>
    </w:p>
    <w:p w14:paraId="59A5BB8D" w14:textId="0AB60FA5" w:rsidR="00875732" w:rsidRPr="009C6FEF" w:rsidRDefault="00875732"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 Eco-Lodges should use bamboo, mud, or reclaimed wood, with solar panels, composting toilets, and rainwater systems. Camping Sites should be near trekking routes or rivers with minimal vegetation clearance. Information Centres should serve as eco-hubs, educating tourists, showcasing local handicrafts, and operating on renewable energy.</w:t>
      </w:r>
    </w:p>
    <w:p w14:paraId="3249C6D6" w14:textId="509A5668" w:rsidR="00590435" w:rsidRPr="009C6FEF" w:rsidRDefault="00590435" w:rsidP="00194612">
      <w:pPr>
        <w:spacing w:after="0" w:line="360" w:lineRule="auto"/>
        <w:jc w:val="center"/>
        <w:rPr>
          <w:rFonts w:ascii="Times New Roman" w:hAnsi="Times New Roman" w:cs="Times New Roman"/>
          <w:sz w:val="24"/>
          <w:szCs w:val="24"/>
        </w:rPr>
      </w:pPr>
      <w:r w:rsidRPr="009C6FEF">
        <w:rPr>
          <w:rFonts w:ascii="Times New Roman" w:eastAsia="Calibri" w:hAnsi="Times New Roman" w:cs="Times New Roman"/>
          <w:noProof/>
          <w:sz w:val="24"/>
          <w:szCs w:val="24"/>
        </w:rPr>
        <w:lastRenderedPageBreak/>
        <w:drawing>
          <wp:anchor distT="0" distB="0" distL="114300" distR="114300" simplePos="0" relativeHeight="251659264" behindDoc="0" locked="0" layoutInCell="1" allowOverlap="1" wp14:anchorId="4BF1C54C" wp14:editId="4BDC173C">
            <wp:simplePos x="0" y="0"/>
            <wp:positionH relativeFrom="column">
              <wp:posOffset>295536</wp:posOffset>
            </wp:positionH>
            <wp:positionV relativeFrom="paragraph">
              <wp:posOffset>3017432</wp:posOffset>
            </wp:positionV>
            <wp:extent cx="2008509" cy="1204938"/>
            <wp:effectExtent l="0" t="0" r="0" b="0"/>
            <wp:wrapNone/>
            <wp:docPr id="1073502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8509" cy="1204938"/>
                    </a:xfrm>
                    <a:prstGeom prst="rect">
                      <a:avLst/>
                    </a:prstGeom>
                    <a:noFill/>
                  </pic:spPr>
                </pic:pic>
              </a:graphicData>
            </a:graphic>
            <wp14:sizeRelH relativeFrom="page">
              <wp14:pctWidth>0</wp14:pctWidth>
            </wp14:sizeRelH>
            <wp14:sizeRelV relativeFrom="page">
              <wp14:pctHeight>0</wp14:pctHeight>
            </wp14:sizeRelV>
          </wp:anchor>
        </w:drawing>
      </w:r>
      <w:r w:rsidRPr="009C6FEF">
        <w:rPr>
          <w:rFonts w:ascii="Times New Roman" w:hAnsi="Times New Roman" w:cs="Times New Roman"/>
          <w:noProof/>
          <w:sz w:val="24"/>
          <w:szCs w:val="24"/>
        </w:rPr>
        <w:drawing>
          <wp:inline distT="0" distB="0" distL="0" distR="0" wp14:anchorId="290EA7D8" wp14:editId="081800E1">
            <wp:extent cx="5345856" cy="6917749"/>
            <wp:effectExtent l="19050" t="19050" r="26670" b="16510"/>
            <wp:docPr id="18708630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1928" cy="6925607"/>
                    </a:xfrm>
                    <a:prstGeom prst="rect">
                      <a:avLst/>
                    </a:prstGeom>
                    <a:noFill/>
                    <a:ln>
                      <a:solidFill>
                        <a:schemeClr val="tx1"/>
                      </a:solidFill>
                    </a:ln>
                  </pic:spPr>
                </pic:pic>
              </a:graphicData>
            </a:graphic>
          </wp:inline>
        </w:drawing>
      </w:r>
    </w:p>
    <w:p w14:paraId="7186550B" w14:textId="0F7B6F44" w:rsidR="00590435" w:rsidRPr="009C6FEF" w:rsidRDefault="008D37E0" w:rsidP="00194612">
      <w:pPr>
        <w:spacing w:after="0" w:line="360" w:lineRule="auto"/>
        <w:jc w:val="both"/>
        <w:rPr>
          <w:rFonts w:ascii="Times New Roman" w:hAnsi="Times New Roman" w:cs="Times New Roman"/>
          <w:i/>
          <w:iCs/>
          <w:sz w:val="24"/>
          <w:szCs w:val="24"/>
        </w:rPr>
      </w:pPr>
      <w:r w:rsidRPr="009C6FEF">
        <w:rPr>
          <w:rFonts w:ascii="Times New Roman" w:hAnsi="Times New Roman" w:cs="Times New Roman"/>
          <w:i/>
          <w:iCs/>
          <w:sz w:val="24"/>
          <w:szCs w:val="24"/>
        </w:rPr>
        <w:t>Fig.5: Afforestation and deforestation area (change detection) identified by ArcGIS.</w:t>
      </w:r>
    </w:p>
    <w:p w14:paraId="51BC309C" w14:textId="77777777" w:rsidR="00F173F4" w:rsidRPr="009C6FEF" w:rsidRDefault="00F173F4" w:rsidP="00194612">
      <w:pPr>
        <w:spacing w:after="0" w:line="360" w:lineRule="auto"/>
        <w:jc w:val="both"/>
        <w:rPr>
          <w:rFonts w:ascii="Times New Roman" w:hAnsi="Times New Roman" w:cs="Times New Roman"/>
          <w:sz w:val="24"/>
          <w:szCs w:val="24"/>
        </w:rPr>
      </w:pPr>
    </w:p>
    <w:p w14:paraId="437EDC1E" w14:textId="213AFA44" w:rsidR="00F173F4" w:rsidRPr="009C6FEF" w:rsidRDefault="00F173F4"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noProof/>
          <w:sz w:val="24"/>
          <w:szCs w:val="24"/>
        </w:rPr>
        <w:lastRenderedPageBreak/>
        <w:drawing>
          <wp:inline distT="0" distB="0" distL="0" distR="0" wp14:anchorId="6E9FC310" wp14:editId="020B3E25">
            <wp:extent cx="5731441" cy="7391933"/>
            <wp:effectExtent l="0" t="0" r="3175" b="0"/>
            <wp:docPr id="1336571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154" b="8537"/>
                    <a:stretch/>
                  </pic:blipFill>
                  <pic:spPr bwMode="auto">
                    <a:xfrm>
                      <a:off x="0" y="0"/>
                      <a:ext cx="5731510" cy="7392022"/>
                    </a:xfrm>
                    <a:prstGeom prst="rect">
                      <a:avLst/>
                    </a:prstGeom>
                    <a:noFill/>
                    <a:ln>
                      <a:noFill/>
                    </a:ln>
                    <a:extLst>
                      <a:ext uri="{53640926-AAD7-44D8-BBD7-CCE9431645EC}">
                        <a14:shadowObscured xmlns:a14="http://schemas.microsoft.com/office/drawing/2010/main"/>
                      </a:ext>
                    </a:extLst>
                  </pic:spPr>
                </pic:pic>
              </a:graphicData>
            </a:graphic>
          </wp:inline>
        </w:drawing>
      </w:r>
    </w:p>
    <w:p w14:paraId="41051630" w14:textId="25574248" w:rsidR="00F173F4" w:rsidRPr="009C6FEF" w:rsidRDefault="00F173F4" w:rsidP="00194612">
      <w:pPr>
        <w:spacing w:after="0" w:line="360" w:lineRule="auto"/>
        <w:jc w:val="both"/>
        <w:rPr>
          <w:rFonts w:ascii="Times New Roman" w:hAnsi="Times New Roman" w:cs="Times New Roman"/>
          <w:i/>
          <w:iCs/>
          <w:sz w:val="24"/>
          <w:szCs w:val="24"/>
        </w:rPr>
      </w:pPr>
      <w:r w:rsidRPr="009C6FEF">
        <w:rPr>
          <w:rFonts w:ascii="Times New Roman" w:hAnsi="Times New Roman" w:cs="Times New Roman"/>
          <w:i/>
          <w:iCs/>
          <w:sz w:val="24"/>
          <w:szCs w:val="24"/>
        </w:rPr>
        <w:t>Fig.6: Site selection for accommodation must follow GIS-based weighted overlay analysis</w:t>
      </w:r>
    </w:p>
    <w:p w14:paraId="4B4FE28B" w14:textId="7B60EC69" w:rsidR="00D8776D" w:rsidRPr="009C6FEF" w:rsidRDefault="005F2245" w:rsidP="00194612">
      <w:pPr>
        <w:spacing w:after="0" w:line="360" w:lineRule="auto"/>
        <w:jc w:val="both"/>
        <w:rPr>
          <w:rFonts w:ascii="Times New Roman" w:hAnsi="Times New Roman" w:cs="Times New Roman"/>
          <w:b/>
          <w:bCs/>
          <w:i/>
          <w:iCs/>
          <w:sz w:val="24"/>
          <w:szCs w:val="24"/>
        </w:rPr>
      </w:pPr>
      <w:r w:rsidRPr="009C6FEF">
        <w:rPr>
          <w:rFonts w:ascii="Times New Roman" w:hAnsi="Times New Roman" w:cs="Times New Roman"/>
          <w:b/>
          <w:bCs/>
          <w:i/>
          <w:iCs/>
          <w:sz w:val="24"/>
          <w:szCs w:val="24"/>
        </w:rPr>
        <w:t>3.2.1.5</w:t>
      </w:r>
      <w:r w:rsidR="00D8776D" w:rsidRPr="009C6FEF">
        <w:rPr>
          <w:rFonts w:ascii="Times New Roman" w:hAnsi="Times New Roman" w:cs="Times New Roman"/>
          <w:b/>
          <w:bCs/>
          <w:i/>
          <w:iCs/>
          <w:sz w:val="24"/>
          <w:szCs w:val="24"/>
        </w:rPr>
        <w:t xml:space="preserve"> Improvement of Transport Connectivity</w:t>
      </w:r>
    </w:p>
    <w:p w14:paraId="52B2CACF" w14:textId="322E70F1" w:rsidR="00D8776D" w:rsidRPr="009C6FEF" w:rsidRDefault="00D8776D"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Transport links are essential for regional ecotourism integration.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should strengthen road and rail connections to </w:t>
      </w:r>
      <w:r w:rsidR="007077A1" w:rsidRPr="009C6FEF">
        <w:rPr>
          <w:rFonts w:ascii="Times New Roman" w:hAnsi="Times New Roman" w:cs="Times New Roman"/>
          <w:sz w:val="24"/>
          <w:szCs w:val="24"/>
        </w:rPr>
        <w:t>neighbouring</w:t>
      </w:r>
      <w:r w:rsidRPr="009C6FEF">
        <w:rPr>
          <w:rFonts w:ascii="Times New Roman" w:hAnsi="Times New Roman" w:cs="Times New Roman"/>
          <w:sz w:val="24"/>
          <w:szCs w:val="24"/>
        </w:rPr>
        <w:t xml:space="preserve"> districts such as Bankura, Purulia, Paschim and </w:t>
      </w:r>
      <w:proofErr w:type="spellStart"/>
      <w:r w:rsidRPr="009C6FEF">
        <w:rPr>
          <w:rFonts w:ascii="Times New Roman" w:hAnsi="Times New Roman" w:cs="Times New Roman"/>
          <w:sz w:val="24"/>
          <w:szCs w:val="24"/>
        </w:rPr>
        <w:t>Purba</w:t>
      </w:r>
      <w:proofErr w:type="spellEnd"/>
      <w:r w:rsidRPr="009C6FEF">
        <w:rPr>
          <w:rFonts w:ascii="Times New Roman" w:hAnsi="Times New Roman" w:cs="Times New Roman"/>
          <w:sz w:val="24"/>
          <w:szCs w:val="24"/>
        </w:rPr>
        <w:t xml:space="preserve"> </w:t>
      </w:r>
      <w:proofErr w:type="spellStart"/>
      <w:r w:rsidRPr="009C6FEF">
        <w:rPr>
          <w:rFonts w:ascii="Times New Roman" w:hAnsi="Times New Roman" w:cs="Times New Roman"/>
          <w:sz w:val="24"/>
          <w:szCs w:val="24"/>
        </w:rPr>
        <w:t>Medinipur</w:t>
      </w:r>
      <w:proofErr w:type="spellEnd"/>
      <w:r w:rsidRPr="009C6FEF">
        <w:rPr>
          <w:rFonts w:ascii="Times New Roman" w:hAnsi="Times New Roman" w:cs="Times New Roman"/>
          <w:sz w:val="24"/>
          <w:szCs w:val="24"/>
        </w:rPr>
        <w:t xml:space="preserve">, East </w:t>
      </w:r>
      <w:proofErr w:type="spellStart"/>
      <w:r w:rsidRPr="009C6FEF">
        <w:rPr>
          <w:rFonts w:ascii="Times New Roman" w:hAnsi="Times New Roman" w:cs="Times New Roman"/>
          <w:sz w:val="24"/>
          <w:szCs w:val="24"/>
        </w:rPr>
        <w:t>Singhbhum</w:t>
      </w:r>
      <w:proofErr w:type="spellEnd"/>
      <w:r w:rsidRPr="009C6FEF">
        <w:rPr>
          <w:rFonts w:ascii="Times New Roman" w:hAnsi="Times New Roman" w:cs="Times New Roman"/>
          <w:sz w:val="24"/>
          <w:szCs w:val="24"/>
        </w:rPr>
        <w:t xml:space="preserve">, Mayurbhanj, </w:t>
      </w:r>
      <w:proofErr w:type="spellStart"/>
      <w:r w:rsidRPr="009C6FEF">
        <w:rPr>
          <w:rFonts w:ascii="Times New Roman" w:hAnsi="Times New Roman" w:cs="Times New Roman"/>
          <w:sz w:val="24"/>
          <w:szCs w:val="24"/>
        </w:rPr>
        <w:t>Balasore</w:t>
      </w:r>
      <w:proofErr w:type="spellEnd"/>
      <w:r w:rsidRPr="009C6FEF">
        <w:rPr>
          <w:rFonts w:ascii="Times New Roman" w:hAnsi="Times New Roman" w:cs="Times New Roman"/>
          <w:sz w:val="24"/>
          <w:szCs w:val="24"/>
        </w:rPr>
        <w:t xml:space="preserve">, and </w:t>
      </w:r>
      <w:proofErr w:type="spellStart"/>
      <w:r w:rsidRPr="009C6FEF">
        <w:rPr>
          <w:rFonts w:ascii="Times New Roman" w:hAnsi="Times New Roman" w:cs="Times New Roman"/>
          <w:sz w:val="24"/>
          <w:szCs w:val="24"/>
        </w:rPr>
        <w:t>Saraikela-Kharsawan</w:t>
      </w:r>
      <w:proofErr w:type="spellEnd"/>
      <w:r w:rsidRPr="009C6FEF">
        <w:rPr>
          <w:rFonts w:ascii="Times New Roman" w:hAnsi="Times New Roman" w:cs="Times New Roman"/>
          <w:sz w:val="24"/>
          <w:szCs w:val="24"/>
        </w:rPr>
        <w:t xml:space="preserve">. </w:t>
      </w:r>
      <w:r w:rsidRPr="009C6FEF">
        <w:rPr>
          <w:rFonts w:ascii="Times New Roman" w:hAnsi="Times New Roman" w:cs="Times New Roman"/>
          <w:sz w:val="24"/>
          <w:szCs w:val="24"/>
        </w:rPr>
        <w:lastRenderedPageBreak/>
        <w:t xml:space="preserve">Improved National and State Highways, more frequent trains to destinations like </w:t>
      </w:r>
      <w:proofErr w:type="spellStart"/>
      <w:r w:rsidRPr="009C6FEF">
        <w:rPr>
          <w:rFonts w:ascii="Times New Roman" w:hAnsi="Times New Roman" w:cs="Times New Roman"/>
          <w:sz w:val="24"/>
          <w:szCs w:val="24"/>
        </w:rPr>
        <w:t>Susunia</w:t>
      </w:r>
      <w:proofErr w:type="spellEnd"/>
      <w:r w:rsidRPr="009C6FEF">
        <w:rPr>
          <w:rFonts w:ascii="Times New Roman" w:hAnsi="Times New Roman" w:cs="Times New Roman"/>
          <w:sz w:val="24"/>
          <w:szCs w:val="24"/>
        </w:rPr>
        <w:t xml:space="preserve">, Ajodhya Hills, or </w:t>
      </w:r>
      <w:proofErr w:type="spellStart"/>
      <w:r w:rsidRPr="009C6FEF">
        <w:rPr>
          <w:rFonts w:ascii="Times New Roman" w:hAnsi="Times New Roman" w:cs="Times New Roman"/>
          <w:sz w:val="24"/>
          <w:szCs w:val="24"/>
        </w:rPr>
        <w:t>Gangani</w:t>
      </w:r>
      <w:proofErr w:type="spellEnd"/>
      <w:r w:rsidRPr="009C6FEF">
        <w:rPr>
          <w:rFonts w:ascii="Times New Roman" w:hAnsi="Times New Roman" w:cs="Times New Roman"/>
          <w:sz w:val="24"/>
          <w:szCs w:val="24"/>
        </w:rPr>
        <w:t>, and dedicated eco-buses and regulated taxi services can enhance accessibility. Establishing tourist information centres at transport hubs will provide visitors with guidance and itineraries.</w:t>
      </w:r>
    </w:p>
    <w:p w14:paraId="1672A092" w14:textId="450E0850" w:rsidR="00BD6897" w:rsidRPr="009C6FEF" w:rsidRDefault="005F2245" w:rsidP="00194612">
      <w:pPr>
        <w:spacing w:after="0" w:line="360" w:lineRule="auto"/>
        <w:jc w:val="both"/>
        <w:rPr>
          <w:rFonts w:ascii="Times New Roman" w:hAnsi="Times New Roman" w:cs="Times New Roman"/>
          <w:b/>
          <w:bCs/>
          <w:i/>
          <w:iCs/>
          <w:sz w:val="24"/>
          <w:szCs w:val="24"/>
        </w:rPr>
      </w:pPr>
      <w:r w:rsidRPr="009C6FEF">
        <w:rPr>
          <w:rFonts w:ascii="Times New Roman" w:hAnsi="Times New Roman" w:cs="Times New Roman"/>
          <w:b/>
          <w:bCs/>
          <w:i/>
          <w:iCs/>
          <w:sz w:val="24"/>
          <w:szCs w:val="24"/>
        </w:rPr>
        <w:t>3.2.1.6</w:t>
      </w:r>
      <w:r w:rsidR="00BD6897" w:rsidRPr="009C6FEF">
        <w:rPr>
          <w:rFonts w:ascii="Times New Roman" w:hAnsi="Times New Roman" w:cs="Times New Roman"/>
          <w:b/>
          <w:bCs/>
          <w:i/>
          <w:iCs/>
          <w:sz w:val="24"/>
          <w:szCs w:val="24"/>
        </w:rPr>
        <w:t xml:space="preserve"> Innovative Media Strategies for Promotion</w:t>
      </w:r>
    </w:p>
    <w:p w14:paraId="4686CE24" w14:textId="77777777" w:rsidR="00BD6897" w:rsidRPr="009C6FEF" w:rsidRDefault="00BD6897"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In the first phase, focus should be on awareness and digital outreach. An Interactive Digital Tourism Map, like the Kaziranga Virtual Guide, can help visitors explore sites and attractions with GPS, offline access, and virtual tours (</w:t>
      </w:r>
      <w:proofErr w:type="spellStart"/>
      <w:r w:rsidRPr="009C6FEF">
        <w:rPr>
          <w:rFonts w:ascii="Times New Roman" w:hAnsi="Times New Roman" w:cs="Times New Roman"/>
          <w:color w:val="0070C0"/>
          <w:sz w:val="24"/>
          <w:szCs w:val="24"/>
        </w:rPr>
        <w:t>Osipchuk</w:t>
      </w:r>
      <w:proofErr w:type="spellEnd"/>
      <w:r w:rsidRPr="009C6FEF">
        <w:rPr>
          <w:rFonts w:ascii="Times New Roman" w:hAnsi="Times New Roman" w:cs="Times New Roman"/>
          <w:color w:val="0070C0"/>
          <w:sz w:val="24"/>
          <w:szCs w:val="24"/>
        </w:rPr>
        <w:t xml:space="preserve"> et al., 2023</w:t>
      </w:r>
      <w:r w:rsidRPr="009C6FEF">
        <w:rPr>
          <w:rFonts w:ascii="Times New Roman" w:hAnsi="Times New Roman" w:cs="Times New Roman"/>
          <w:sz w:val="24"/>
          <w:szCs w:val="24"/>
        </w:rPr>
        <w:t xml:space="preserve">). A Documentary on Tribal Culture and Biodiversity, inspired by Meghalaya’s storytelling model, should showcase </w:t>
      </w:r>
      <w:proofErr w:type="spellStart"/>
      <w:r w:rsidRPr="009C6FEF">
        <w:rPr>
          <w:rFonts w:ascii="Times New Roman" w:hAnsi="Times New Roman" w:cs="Times New Roman"/>
          <w:sz w:val="24"/>
          <w:szCs w:val="24"/>
        </w:rPr>
        <w:t>Santhali</w:t>
      </w:r>
      <w:proofErr w:type="spellEnd"/>
      <w:r w:rsidRPr="009C6FEF">
        <w:rPr>
          <w:rFonts w:ascii="Times New Roman" w:hAnsi="Times New Roman" w:cs="Times New Roman"/>
          <w:sz w:val="24"/>
          <w:szCs w:val="24"/>
        </w:rPr>
        <w:t xml:space="preserve"> traditions, ecology, and ecotourism, distributed through YouTube and OTT platforms (</w:t>
      </w:r>
      <w:proofErr w:type="spellStart"/>
      <w:r w:rsidRPr="009C6FEF">
        <w:rPr>
          <w:rFonts w:ascii="Times New Roman" w:hAnsi="Times New Roman" w:cs="Times New Roman"/>
          <w:color w:val="0070C0"/>
          <w:sz w:val="24"/>
          <w:szCs w:val="24"/>
        </w:rPr>
        <w:t>Osipchuk</w:t>
      </w:r>
      <w:proofErr w:type="spellEnd"/>
      <w:r w:rsidRPr="009C6FEF">
        <w:rPr>
          <w:rFonts w:ascii="Times New Roman" w:hAnsi="Times New Roman" w:cs="Times New Roman"/>
          <w:color w:val="0070C0"/>
          <w:sz w:val="24"/>
          <w:szCs w:val="24"/>
        </w:rPr>
        <w:t xml:space="preserve"> et al., 2023</w:t>
      </w:r>
      <w:r w:rsidRPr="009C6FEF">
        <w:rPr>
          <w:rFonts w:ascii="Times New Roman" w:hAnsi="Times New Roman" w:cs="Times New Roman"/>
          <w:sz w:val="24"/>
          <w:szCs w:val="24"/>
        </w:rPr>
        <w:t>). A Social Media Photo Challenge can engage tourists, with winners receiving local handicrafts (</w:t>
      </w:r>
      <w:r w:rsidRPr="009C6FEF">
        <w:rPr>
          <w:rFonts w:ascii="Times New Roman" w:hAnsi="Times New Roman" w:cs="Times New Roman"/>
          <w:color w:val="0070C0"/>
          <w:sz w:val="24"/>
          <w:szCs w:val="24"/>
        </w:rPr>
        <w:t>Hays et al., 2013</w:t>
      </w:r>
      <w:r w:rsidRPr="009C6FEF">
        <w:rPr>
          <w:rFonts w:ascii="Times New Roman" w:hAnsi="Times New Roman" w:cs="Times New Roman"/>
          <w:sz w:val="24"/>
          <w:szCs w:val="24"/>
        </w:rPr>
        <w:t xml:space="preserve">). A Local Radio Show (“Explore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FM”) can further promote destinations through grassroots communication (</w:t>
      </w:r>
      <w:r w:rsidRPr="009C6FEF">
        <w:rPr>
          <w:rFonts w:ascii="Times New Roman" w:hAnsi="Times New Roman" w:cs="Times New Roman"/>
          <w:color w:val="0070C0"/>
          <w:sz w:val="24"/>
          <w:szCs w:val="24"/>
        </w:rPr>
        <w:t>van Wyk-Jacobs, 2018</w:t>
      </w:r>
      <w:r w:rsidRPr="009C6FEF">
        <w:rPr>
          <w:rFonts w:ascii="Times New Roman" w:hAnsi="Times New Roman" w:cs="Times New Roman"/>
          <w:sz w:val="24"/>
          <w:szCs w:val="24"/>
        </w:rPr>
        <w:t xml:space="preserve">). Complementary attractions like Night Safaris, the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Tribal &amp; Cultural Carnival, and the Monsoon Waterfall Trail (</w:t>
      </w:r>
      <w:proofErr w:type="spellStart"/>
      <w:r w:rsidRPr="009C6FEF">
        <w:rPr>
          <w:rFonts w:ascii="Times New Roman" w:hAnsi="Times New Roman" w:cs="Times New Roman"/>
          <w:sz w:val="24"/>
          <w:szCs w:val="24"/>
        </w:rPr>
        <w:t>Hudhudi</w:t>
      </w:r>
      <w:proofErr w:type="spellEnd"/>
      <w:r w:rsidRPr="009C6FEF">
        <w:rPr>
          <w:rFonts w:ascii="Times New Roman" w:hAnsi="Times New Roman" w:cs="Times New Roman"/>
          <w:sz w:val="24"/>
          <w:szCs w:val="24"/>
        </w:rPr>
        <w:t xml:space="preserve">, </w:t>
      </w:r>
      <w:proofErr w:type="spellStart"/>
      <w:r w:rsidRPr="009C6FEF">
        <w:rPr>
          <w:rFonts w:ascii="Times New Roman" w:hAnsi="Times New Roman" w:cs="Times New Roman"/>
          <w:sz w:val="24"/>
          <w:szCs w:val="24"/>
        </w:rPr>
        <w:t>Ghagra</w:t>
      </w:r>
      <w:proofErr w:type="spellEnd"/>
      <w:r w:rsidRPr="009C6FEF">
        <w:rPr>
          <w:rFonts w:ascii="Times New Roman" w:hAnsi="Times New Roman" w:cs="Times New Roman"/>
          <w:sz w:val="24"/>
          <w:szCs w:val="24"/>
        </w:rPr>
        <w:t xml:space="preserve">, </w:t>
      </w:r>
      <w:proofErr w:type="spellStart"/>
      <w:r w:rsidRPr="009C6FEF">
        <w:rPr>
          <w:rFonts w:ascii="Times New Roman" w:hAnsi="Times New Roman" w:cs="Times New Roman"/>
          <w:sz w:val="24"/>
          <w:szCs w:val="24"/>
        </w:rPr>
        <w:t>Tarafeni</w:t>
      </w:r>
      <w:proofErr w:type="spellEnd"/>
      <w:r w:rsidRPr="009C6FEF">
        <w:rPr>
          <w:rFonts w:ascii="Times New Roman" w:hAnsi="Times New Roman" w:cs="Times New Roman"/>
          <w:sz w:val="24"/>
          <w:szCs w:val="24"/>
        </w:rPr>
        <w:t xml:space="preserve">, </w:t>
      </w:r>
      <w:proofErr w:type="spellStart"/>
      <w:r w:rsidRPr="009C6FEF">
        <w:rPr>
          <w:rFonts w:ascii="Times New Roman" w:hAnsi="Times New Roman" w:cs="Times New Roman"/>
          <w:sz w:val="24"/>
          <w:szCs w:val="24"/>
        </w:rPr>
        <w:t>Ketki</w:t>
      </w:r>
      <w:proofErr w:type="spellEnd"/>
      <w:r w:rsidRPr="009C6FEF">
        <w:rPr>
          <w:rFonts w:ascii="Times New Roman" w:hAnsi="Times New Roman" w:cs="Times New Roman"/>
          <w:sz w:val="24"/>
          <w:szCs w:val="24"/>
        </w:rPr>
        <w:t xml:space="preserve"> Jharna) will enhance seasonal tourism.</w:t>
      </w:r>
    </w:p>
    <w:p w14:paraId="6D2585BF" w14:textId="68FFC4E7" w:rsidR="008A293A" w:rsidRPr="009C6FEF" w:rsidRDefault="00832B6C" w:rsidP="00194612">
      <w:pPr>
        <w:spacing w:after="0" w:line="360" w:lineRule="auto"/>
        <w:jc w:val="both"/>
        <w:rPr>
          <w:rFonts w:ascii="Times New Roman" w:hAnsi="Times New Roman" w:cs="Times New Roman"/>
          <w:b/>
          <w:bCs/>
          <w:sz w:val="24"/>
          <w:szCs w:val="24"/>
        </w:rPr>
      </w:pPr>
      <w:r w:rsidRPr="009C6FEF">
        <w:rPr>
          <w:rFonts w:ascii="Times New Roman" w:hAnsi="Times New Roman" w:cs="Times New Roman"/>
          <w:b/>
          <w:bCs/>
          <w:sz w:val="24"/>
          <w:szCs w:val="24"/>
        </w:rPr>
        <w:t>3</w:t>
      </w:r>
      <w:r w:rsidR="007077A1" w:rsidRPr="009C6FEF">
        <w:rPr>
          <w:rFonts w:ascii="Times New Roman" w:hAnsi="Times New Roman" w:cs="Times New Roman"/>
          <w:b/>
          <w:bCs/>
          <w:sz w:val="24"/>
          <w:szCs w:val="24"/>
        </w:rPr>
        <w:t xml:space="preserve">.2.2 </w:t>
      </w:r>
      <w:r w:rsidR="008A293A" w:rsidRPr="009C6FEF">
        <w:rPr>
          <w:rFonts w:ascii="Times New Roman" w:hAnsi="Times New Roman" w:cs="Times New Roman"/>
          <w:b/>
          <w:bCs/>
          <w:sz w:val="24"/>
          <w:szCs w:val="24"/>
        </w:rPr>
        <w:t>Phase 2: Eco-Friendly Infrastructure Development (Year 3</w:t>
      </w:r>
      <w:r w:rsidR="00586812" w:rsidRPr="009C6FEF">
        <w:rPr>
          <w:rFonts w:ascii="Times New Roman" w:hAnsi="Times New Roman" w:cs="Times New Roman"/>
          <w:b/>
          <w:bCs/>
          <w:sz w:val="24"/>
          <w:szCs w:val="24"/>
        </w:rPr>
        <w:t>-</w:t>
      </w:r>
      <w:r w:rsidR="008A293A" w:rsidRPr="009C6FEF">
        <w:rPr>
          <w:rFonts w:ascii="Times New Roman" w:hAnsi="Times New Roman" w:cs="Times New Roman"/>
          <w:b/>
          <w:bCs/>
          <w:sz w:val="24"/>
          <w:szCs w:val="24"/>
        </w:rPr>
        <w:t>5)</w:t>
      </w:r>
    </w:p>
    <w:p w14:paraId="481CA2EF" w14:textId="77C28995" w:rsidR="00EA69B2" w:rsidRPr="009C6FEF" w:rsidRDefault="00EA69B2" w:rsidP="00EA69B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Phase </w:t>
      </w:r>
      <w:proofErr w:type="gramStart"/>
      <w:r w:rsidRPr="009C6FEF">
        <w:rPr>
          <w:rFonts w:ascii="Times New Roman" w:hAnsi="Times New Roman" w:cs="Times New Roman"/>
          <w:sz w:val="24"/>
          <w:szCs w:val="24"/>
        </w:rPr>
        <w:t>2  focuses</w:t>
      </w:r>
      <w:proofErr w:type="gramEnd"/>
      <w:r w:rsidRPr="009C6FEF">
        <w:rPr>
          <w:rFonts w:ascii="Times New Roman" w:hAnsi="Times New Roman" w:cs="Times New Roman"/>
          <w:sz w:val="24"/>
          <w:szCs w:val="24"/>
        </w:rPr>
        <w:t xml:space="preserve"> on developing sustainable infrastructure in </w:t>
      </w:r>
      <w:proofErr w:type="spellStart"/>
      <w:r w:rsidRPr="009C6FEF">
        <w:rPr>
          <w:rFonts w:ascii="Times New Roman" w:hAnsi="Times New Roman" w:cs="Times New Roman"/>
          <w:sz w:val="24"/>
          <w:szCs w:val="24"/>
        </w:rPr>
        <w:t>Jhargram’s</w:t>
      </w:r>
      <w:proofErr w:type="spellEnd"/>
      <w:r w:rsidRPr="009C6FEF">
        <w:rPr>
          <w:rFonts w:ascii="Times New Roman" w:hAnsi="Times New Roman" w:cs="Times New Roman"/>
          <w:sz w:val="24"/>
          <w:szCs w:val="24"/>
        </w:rPr>
        <w:t xml:space="preserve"> buffer zones. Green construction for eco-lodges, campsites, and interpretation centres will employ solar energy, rainwater harvesting, and zero-waste systems (</w:t>
      </w:r>
      <w:r w:rsidRPr="009C6FEF">
        <w:rPr>
          <w:rFonts w:ascii="Times New Roman" w:hAnsi="Times New Roman" w:cs="Times New Roman"/>
          <w:color w:val="4472C4" w:themeColor="accent1"/>
          <w:sz w:val="24"/>
          <w:szCs w:val="24"/>
        </w:rPr>
        <w:t>Gross, 2002; Lewis et al., 2021</w:t>
      </w:r>
      <w:r w:rsidRPr="009C6FEF">
        <w:rPr>
          <w:rFonts w:ascii="Times New Roman" w:hAnsi="Times New Roman" w:cs="Times New Roman"/>
          <w:sz w:val="24"/>
          <w:szCs w:val="24"/>
        </w:rPr>
        <w:t>). Community involvement in building and management ensures local employment and ownership.</w:t>
      </w:r>
    </w:p>
    <w:p w14:paraId="5505A0DA" w14:textId="7AE8735E" w:rsidR="00EA69B2" w:rsidRPr="009C6FEF" w:rsidRDefault="00EA69B2" w:rsidP="00EA69B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Biodiversity experiences will be enhanced through guided walks in </w:t>
      </w:r>
      <w:proofErr w:type="spellStart"/>
      <w:r w:rsidRPr="009C6FEF">
        <w:rPr>
          <w:rFonts w:ascii="Times New Roman" w:hAnsi="Times New Roman" w:cs="Times New Roman"/>
          <w:sz w:val="24"/>
          <w:szCs w:val="24"/>
        </w:rPr>
        <w:t>Kankrajhor</w:t>
      </w:r>
      <w:proofErr w:type="spellEnd"/>
      <w:r w:rsidRPr="009C6FEF">
        <w:rPr>
          <w:rFonts w:ascii="Times New Roman" w:hAnsi="Times New Roman" w:cs="Times New Roman"/>
          <w:sz w:val="24"/>
          <w:szCs w:val="24"/>
        </w:rPr>
        <w:t xml:space="preserve"> and deer parks, with trained local guides. Regulated river activities on the Subarnarekha and </w:t>
      </w:r>
      <w:proofErr w:type="spellStart"/>
      <w:r w:rsidRPr="009C6FEF">
        <w:rPr>
          <w:rFonts w:ascii="Times New Roman" w:hAnsi="Times New Roman" w:cs="Times New Roman"/>
          <w:sz w:val="24"/>
          <w:szCs w:val="24"/>
        </w:rPr>
        <w:t>Dulung</w:t>
      </w:r>
      <w:proofErr w:type="spellEnd"/>
      <w:r w:rsidRPr="009C6FEF">
        <w:rPr>
          <w:rFonts w:ascii="Times New Roman" w:hAnsi="Times New Roman" w:cs="Times New Roman"/>
          <w:sz w:val="24"/>
          <w:szCs w:val="24"/>
        </w:rPr>
        <w:t xml:space="preserve"> will be community-monitored. Innovative accommodations like floating eco-lodges and bamboo treehouses (inspired by Sri Lanka’s model) will minimise impact. Unique attractions include bioluminescent gardens, firefly sanctuaries (</w:t>
      </w:r>
      <w:r w:rsidRPr="009C6FEF">
        <w:rPr>
          <w:rFonts w:ascii="Times New Roman" w:hAnsi="Times New Roman" w:cs="Times New Roman"/>
          <w:color w:val="4472C4" w:themeColor="accent1"/>
          <w:sz w:val="24"/>
          <w:szCs w:val="24"/>
        </w:rPr>
        <w:t>Lewis et al., 2021</w:t>
      </w:r>
      <w:r w:rsidRPr="009C6FEF">
        <w:rPr>
          <w:rFonts w:ascii="Times New Roman" w:hAnsi="Times New Roman" w:cs="Times New Roman"/>
          <w:sz w:val="24"/>
          <w:szCs w:val="24"/>
        </w:rPr>
        <w:t>), forest bathing (Hansen et al., 2017), and tribal wellness retreats (</w:t>
      </w:r>
      <w:r w:rsidRPr="009C6FEF">
        <w:rPr>
          <w:rFonts w:ascii="Times New Roman" w:hAnsi="Times New Roman" w:cs="Times New Roman"/>
          <w:color w:val="4472C4" w:themeColor="accent1"/>
          <w:sz w:val="24"/>
          <w:szCs w:val="24"/>
        </w:rPr>
        <w:t>Arora et al., 2023</w:t>
      </w:r>
      <w:r w:rsidRPr="009C6FEF">
        <w:rPr>
          <w:rFonts w:ascii="Times New Roman" w:hAnsi="Times New Roman" w:cs="Times New Roman"/>
          <w:sz w:val="24"/>
          <w:szCs w:val="24"/>
        </w:rPr>
        <w:t>).</w:t>
      </w:r>
    </w:p>
    <w:p w14:paraId="05DA30B2" w14:textId="14EF7A6A" w:rsidR="00EA69B2" w:rsidRPr="009C6FEF" w:rsidRDefault="00EA69B2" w:rsidP="00EA69B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Cultural heritage will be promoted via AI-driven storytelling hubs with QR-coded oral histories </w:t>
      </w:r>
      <w:r w:rsidRPr="009C6FEF">
        <w:rPr>
          <w:rFonts w:ascii="Times New Roman" w:hAnsi="Times New Roman" w:cs="Times New Roman"/>
          <w:color w:val="4472C4" w:themeColor="accent1"/>
          <w:sz w:val="24"/>
          <w:szCs w:val="24"/>
        </w:rPr>
        <w:t>(Nanduri, 2024</w:t>
      </w:r>
      <w:r w:rsidRPr="009C6FEF">
        <w:rPr>
          <w:rFonts w:ascii="Times New Roman" w:hAnsi="Times New Roman" w:cs="Times New Roman"/>
          <w:sz w:val="24"/>
          <w:szCs w:val="24"/>
        </w:rPr>
        <w:t>), a Tribal Heritage Museum with AR, and a mobile ‘Eco Caravan’ for crafts (</w:t>
      </w:r>
      <w:proofErr w:type="spellStart"/>
      <w:r w:rsidRPr="009C6FEF">
        <w:rPr>
          <w:rFonts w:ascii="Times New Roman" w:hAnsi="Times New Roman" w:cs="Times New Roman"/>
          <w:color w:val="4472C4" w:themeColor="accent1"/>
          <w:sz w:val="24"/>
          <w:szCs w:val="24"/>
        </w:rPr>
        <w:t>Mangaraj</w:t>
      </w:r>
      <w:proofErr w:type="spellEnd"/>
      <w:r w:rsidRPr="009C6FEF">
        <w:rPr>
          <w:rFonts w:ascii="Times New Roman" w:hAnsi="Times New Roman" w:cs="Times New Roman"/>
          <w:color w:val="4472C4" w:themeColor="accent1"/>
          <w:sz w:val="24"/>
          <w:szCs w:val="24"/>
        </w:rPr>
        <w:t xml:space="preserve"> &amp; </w:t>
      </w:r>
      <w:proofErr w:type="spellStart"/>
      <w:r w:rsidRPr="009C6FEF">
        <w:rPr>
          <w:rFonts w:ascii="Times New Roman" w:hAnsi="Times New Roman" w:cs="Times New Roman"/>
          <w:color w:val="4472C4" w:themeColor="accent1"/>
          <w:sz w:val="24"/>
          <w:szCs w:val="24"/>
        </w:rPr>
        <w:t>Smrutirekha</w:t>
      </w:r>
      <w:proofErr w:type="spellEnd"/>
      <w:r w:rsidRPr="009C6FEF">
        <w:rPr>
          <w:rFonts w:ascii="Times New Roman" w:hAnsi="Times New Roman" w:cs="Times New Roman"/>
          <w:color w:val="4472C4" w:themeColor="accent1"/>
          <w:sz w:val="24"/>
          <w:szCs w:val="24"/>
        </w:rPr>
        <w:t>, 2021</w:t>
      </w:r>
      <w:r w:rsidRPr="009C6FEF">
        <w:rPr>
          <w:rFonts w:ascii="Times New Roman" w:hAnsi="Times New Roman" w:cs="Times New Roman"/>
          <w:sz w:val="24"/>
          <w:szCs w:val="24"/>
        </w:rPr>
        <w:t>). Gastronomy will highlight wild foods and Mahua-based drinks, with foraging tours (Russo &amp; McCarthy, 2024) and a tribal cooking studio (</w:t>
      </w:r>
      <w:r w:rsidRPr="009C6FEF">
        <w:rPr>
          <w:rFonts w:ascii="Times New Roman" w:hAnsi="Times New Roman" w:cs="Times New Roman"/>
          <w:color w:val="4472C4" w:themeColor="accent1"/>
          <w:sz w:val="24"/>
          <w:szCs w:val="24"/>
        </w:rPr>
        <w:t>Moon, 2015</w:t>
      </w:r>
      <w:r w:rsidRPr="009C6FEF">
        <w:rPr>
          <w:rFonts w:ascii="Times New Roman" w:hAnsi="Times New Roman" w:cs="Times New Roman"/>
          <w:sz w:val="24"/>
          <w:szCs w:val="24"/>
        </w:rPr>
        <w:t>).</w:t>
      </w:r>
    </w:p>
    <w:p w14:paraId="1E8AC26E" w14:textId="77777777" w:rsidR="00EA69B2" w:rsidRPr="009C6FEF" w:rsidRDefault="00EA69B2" w:rsidP="00EA69B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lastRenderedPageBreak/>
        <w:t xml:space="preserve">Transport links will improve connectivity to sites like </w:t>
      </w:r>
      <w:proofErr w:type="spellStart"/>
      <w:r w:rsidRPr="009C6FEF">
        <w:rPr>
          <w:rFonts w:ascii="Times New Roman" w:hAnsi="Times New Roman" w:cs="Times New Roman"/>
          <w:sz w:val="24"/>
          <w:szCs w:val="24"/>
        </w:rPr>
        <w:t>Similipal</w:t>
      </w:r>
      <w:proofErr w:type="spellEnd"/>
      <w:r w:rsidRPr="009C6FEF">
        <w:rPr>
          <w:rFonts w:ascii="Times New Roman" w:hAnsi="Times New Roman" w:cs="Times New Roman"/>
          <w:sz w:val="24"/>
          <w:szCs w:val="24"/>
        </w:rPr>
        <w:t>, supported by digital ticketing. Solar-powered amenities and organic restaurants serving local cuisine will ensure sustainability and visitor comfort.</w:t>
      </w:r>
    </w:p>
    <w:p w14:paraId="17A928BB" w14:textId="0934F087" w:rsidR="00991B3C" w:rsidRPr="009C6FEF" w:rsidRDefault="00832B6C" w:rsidP="00194612">
      <w:pPr>
        <w:spacing w:after="0" w:line="360" w:lineRule="auto"/>
        <w:jc w:val="both"/>
        <w:rPr>
          <w:rFonts w:ascii="Times New Roman" w:hAnsi="Times New Roman" w:cs="Times New Roman"/>
          <w:b/>
          <w:bCs/>
          <w:sz w:val="24"/>
          <w:szCs w:val="24"/>
        </w:rPr>
      </w:pPr>
      <w:r w:rsidRPr="009C6FEF">
        <w:rPr>
          <w:rFonts w:ascii="Times New Roman" w:hAnsi="Times New Roman" w:cs="Times New Roman"/>
          <w:b/>
          <w:bCs/>
          <w:sz w:val="24"/>
          <w:szCs w:val="24"/>
        </w:rPr>
        <w:t>3</w:t>
      </w:r>
      <w:r w:rsidR="007077A1" w:rsidRPr="009C6FEF">
        <w:rPr>
          <w:rFonts w:ascii="Times New Roman" w:hAnsi="Times New Roman" w:cs="Times New Roman"/>
          <w:b/>
          <w:bCs/>
          <w:sz w:val="24"/>
          <w:szCs w:val="24"/>
        </w:rPr>
        <w:t xml:space="preserve">.2.3 </w:t>
      </w:r>
      <w:r w:rsidR="00991B3C" w:rsidRPr="009C6FEF">
        <w:rPr>
          <w:rFonts w:ascii="Times New Roman" w:hAnsi="Times New Roman" w:cs="Times New Roman"/>
          <w:b/>
          <w:bCs/>
          <w:sz w:val="24"/>
          <w:szCs w:val="24"/>
        </w:rPr>
        <w:t>Phase 3: Diversified Ecotourism Activities &amp; Soft Launch (Year 6</w:t>
      </w:r>
      <w:r w:rsidR="00586812" w:rsidRPr="009C6FEF">
        <w:rPr>
          <w:rFonts w:ascii="Times New Roman" w:hAnsi="Times New Roman" w:cs="Times New Roman"/>
          <w:b/>
          <w:bCs/>
          <w:sz w:val="24"/>
          <w:szCs w:val="24"/>
        </w:rPr>
        <w:t>-</w:t>
      </w:r>
      <w:r w:rsidR="00991B3C" w:rsidRPr="009C6FEF">
        <w:rPr>
          <w:rFonts w:ascii="Times New Roman" w:hAnsi="Times New Roman" w:cs="Times New Roman"/>
          <w:b/>
          <w:bCs/>
          <w:sz w:val="24"/>
          <w:szCs w:val="24"/>
        </w:rPr>
        <w:t>10)</w:t>
      </w:r>
    </w:p>
    <w:p w14:paraId="42E2F0EF" w14:textId="452A3459" w:rsidR="00387BA8" w:rsidRPr="009C6FEF" w:rsidRDefault="00387BA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This phase diversifies </w:t>
      </w:r>
      <w:proofErr w:type="spellStart"/>
      <w:r w:rsidRPr="009C6FEF">
        <w:rPr>
          <w:rFonts w:ascii="Times New Roman" w:hAnsi="Times New Roman" w:cs="Times New Roman"/>
          <w:sz w:val="24"/>
          <w:szCs w:val="24"/>
        </w:rPr>
        <w:t>Jhargram’s</w:t>
      </w:r>
      <w:proofErr w:type="spellEnd"/>
      <w:r w:rsidRPr="009C6FEF">
        <w:rPr>
          <w:rFonts w:ascii="Times New Roman" w:hAnsi="Times New Roman" w:cs="Times New Roman"/>
          <w:sz w:val="24"/>
          <w:szCs w:val="24"/>
        </w:rPr>
        <w:t xml:space="preserve"> ecotourism through thematic, year-round initiatives (</w:t>
      </w:r>
      <w:r w:rsidRPr="009C6FEF">
        <w:rPr>
          <w:rFonts w:ascii="Times New Roman" w:hAnsi="Times New Roman" w:cs="Times New Roman"/>
          <w:color w:val="4472C4" w:themeColor="accent1"/>
          <w:sz w:val="24"/>
          <w:szCs w:val="24"/>
        </w:rPr>
        <w:t>Aayog, NITI, 2018</w:t>
      </w:r>
      <w:r w:rsidRPr="009C6FEF">
        <w:rPr>
          <w:rFonts w:ascii="Times New Roman" w:hAnsi="Times New Roman" w:cs="Times New Roman"/>
          <w:sz w:val="24"/>
          <w:szCs w:val="24"/>
        </w:rPr>
        <w:t xml:space="preserve">). </w:t>
      </w:r>
      <w:proofErr w:type="spellStart"/>
      <w:r w:rsidRPr="009C6FEF">
        <w:rPr>
          <w:rFonts w:ascii="Times New Roman" w:hAnsi="Times New Roman" w:cs="Times New Roman"/>
          <w:sz w:val="24"/>
          <w:szCs w:val="24"/>
        </w:rPr>
        <w:t>Agro</w:t>
      </w:r>
      <w:proofErr w:type="spellEnd"/>
      <w:r w:rsidRPr="009C6FEF">
        <w:rPr>
          <w:rFonts w:ascii="Times New Roman" w:hAnsi="Times New Roman" w:cs="Times New Roman"/>
          <w:sz w:val="24"/>
          <w:szCs w:val="24"/>
        </w:rPr>
        <w:t>-tourism immerses visitors in tribal farming and seasonal harvests (</w:t>
      </w:r>
      <w:r w:rsidRPr="009C6FEF">
        <w:rPr>
          <w:rFonts w:ascii="Times New Roman" w:hAnsi="Times New Roman" w:cs="Times New Roman"/>
          <w:color w:val="4472C4" w:themeColor="accent1"/>
          <w:sz w:val="24"/>
          <w:szCs w:val="24"/>
        </w:rPr>
        <w:t xml:space="preserve">Chatterjee &amp; Prasad, 2019; </w:t>
      </w:r>
      <w:proofErr w:type="spellStart"/>
      <w:r w:rsidRPr="009C6FEF">
        <w:rPr>
          <w:rFonts w:ascii="Times New Roman" w:hAnsi="Times New Roman" w:cs="Times New Roman"/>
          <w:color w:val="4472C4" w:themeColor="accent1"/>
          <w:sz w:val="24"/>
          <w:szCs w:val="24"/>
        </w:rPr>
        <w:t>Koohafkan</w:t>
      </w:r>
      <w:proofErr w:type="spellEnd"/>
      <w:r w:rsidRPr="009C6FEF">
        <w:rPr>
          <w:rFonts w:ascii="Times New Roman" w:hAnsi="Times New Roman" w:cs="Times New Roman"/>
          <w:color w:val="4472C4" w:themeColor="accent1"/>
          <w:sz w:val="24"/>
          <w:szCs w:val="24"/>
        </w:rPr>
        <w:t xml:space="preserve"> &amp; Altieri, 2011</w:t>
      </w:r>
      <w:r w:rsidRPr="009C6FEF">
        <w:rPr>
          <w:rFonts w:ascii="Times New Roman" w:hAnsi="Times New Roman" w:cs="Times New Roman"/>
          <w:sz w:val="24"/>
          <w:szCs w:val="24"/>
        </w:rPr>
        <w:t xml:space="preserve">). Handicraft tourism promotes </w:t>
      </w:r>
      <w:proofErr w:type="spellStart"/>
      <w:r w:rsidRPr="009C6FEF">
        <w:rPr>
          <w:rFonts w:ascii="Times New Roman" w:hAnsi="Times New Roman" w:cs="Times New Roman"/>
          <w:sz w:val="24"/>
          <w:szCs w:val="24"/>
        </w:rPr>
        <w:t>Sabai</w:t>
      </w:r>
      <w:proofErr w:type="spellEnd"/>
      <w:r w:rsidRPr="009C6FEF">
        <w:rPr>
          <w:rFonts w:ascii="Times New Roman" w:hAnsi="Times New Roman" w:cs="Times New Roman"/>
          <w:sz w:val="24"/>
          <w:szCs w:val="24"/>
        </w:rPr>
        <w:t xml:space="preserve"> grass and </w:t>
      </w:r>
      <w:proofErr w:type="spellStart"/>
      <w:r w:rsidRPr="009C6FEF">
        <w:rPr>
          <w:rFonts w:ascii="Times New Roman" w:hAnsi="Times New Roman" w:cs="Times New Roman"/>
          <w:sz w:val="24"/>
          <w:szCs w:val="24"/>
        </w:rPr>
        <w:t>Dokra</w:t>
      </w:r>
      <w:proofErr w:type="spellEnd"/>
      <w:r w:rsidRPr="009C6FEF">
        <w:rPr>
          <w:rFonts w:ascii="Times New Roman" w:hAnsi="Times New Roman" w:cs="Times New Roman"/>
          <w:sz w:val="24"/>
          <w:szCs w:val="24"/>
        </w:rPr>
        <w:t xml:space="preserve"> art in dedicated villages (</w:t>
      </w:r>
      <w:r w:rsidRPr="009C6FEF">
        <w:rPr>
          <w:rFonts w:ascii="Times New Roman" w:hAnsi="Times New Roman" w:cs="Times New Roman"/>
          <w:color w:val="4472C4" w:themeColor="accent1"/>
          <w:sz w:val="24"/>
          <w:szCs w:val="24"/>
        </w:rPr>
        <w:t xml:space="preserve">Yang et al., 2018; </w:t>
      </w:r>
      <w:proofErr w:type="spellStart"/>
      <w:r w:rsidRPr="009C6FEF">
        <w:rPr>
          <w:rFonts w:ascii="Times New Roman" w:hAnsi="Times New Roman" w:cs="Times New Roman"/>
          <w:color w:val="4472C4" w:themeColor="accent1"/>
          <w:sz w:val="24"/>
          <w:szCs w:val="24"/>
        </w:rPr>
        <w:t>Azharunnisa</w:t>
      </w:r>
      <w:proofErr w:type="spellEnd"/>
      <w:r w:rsidRPr="009C6FEF">
        <w:rPr>
          <w:rFonts w:ascii="Times New Roman" w:hAnsi="Times New Roman" w:cs="Times New Roman"/>
          <w:color w:val="4472C4" w:themeColor="accent1"/>
          <w:sz w:val="24"/>
          <w:szCs w:val="24"/>
        </w:rPr>
        <w:t xml:space="preserve"> et al., 2024</w:t>
      </w:r>
      <w:r w:rsidRPr="009C6FEF">
        <w:rPr>
          <w:rFonts w:ascii="Times New Roman" w:hAnsi="Times New Roman" w:cs="Times New Roman"/>
          <w:sz w:val="24"/>
          <w:szCs w:val="24"/>
        </w:rPr>
        <w:t>). Wellness retreats utilise local medicinal plants (</w:t>
      </w:r>
      <w:r w:rsidRPr="009C6FEF">
        <w:rPr>
          <w:rFonts w:ascii="Times New Roman" w:hAnsi="Times New Roman" w:cs="Times New Roman"/>
          <w:color w:val="4472C4" w:themeColor="accent1"/>
          <w:sz w:val="24"/>
          <w:szCs w:val="24"/>
        </w:rPr>
        <w:t>Sahoo et al., 2024; Paul &amp; Dey, 2022</w:t>
      </w:r>
      <w:r w:rsidRPr="009C6FEF">
        <w:rPr>
          <w:rFonts w:ascii="Times New Roman" w:hAnsi="Times New Roman" w:cs="Times New Roman"/>
          <w:sz w:val="24"/>
          <w:szCs w:val="24"/>
        </w:rPr>
        <w:t>) and therapies like herbal massages (</w:t>
      </w:r>
      <w:r w:rsidRPr="009C6FEF">
        <w:rPr>
          <w:rFonts w:ascii="Times New Roman" w:hAnsi="Times New Roman" w:cs="Times New Roman"/>
          <w:color w:val="4472C4" w:themeColor="accent1"/>
          <w:sz w:val="24"/>
          <w:szCs w:val="24"/>
        </w:rPr>
        <w:t>Jurri, Kumar &amp; Mollick, 2022</w:t>
      </w:r>
      <w:r w:rsidRPr="009C6FEF">
        <w:rPr>
          <w:rFonts w:ascii="Times New Roman" w:hAnsi="Times New Roman" w:cs="Times New Roman"/>
          <w:sz w:val="24"/>
          <w:szCs w:val="24"/>
        </w:rPr>
        <w:t>) alongside forest mindfulness (</w:t>
      </w:r>
      <w:r w:rsidRPr="009C6FEF">
        <w:rPr>
          <w:rFonts w:ascii="Times New Roman" w:hAnsi="Times New Roman" w:cs="Times New Roman"/>
          <w:color w:val="4472C4" w:themeColor="accent1"/>
          <w:sz w:val="24"/>
          <w:szCs w:val="24"/>
        </w:rPr>
        <w:t>Smith &amp; Puczkó, 2014</w:t>
      </w:r>
      <w:r w:rsidRPr="009C6FEF">
        <w:rPr>
          <w:rFonts w:ascii="Times New Roman" w:hAnsi="Times New Roman" w:cs="Times New Roman"/>
          <w:sz w:val="24"/>
          <w:szCs w:val="24"/>
        </w:rPr>
        <w:t>). Adventure offerings include trekking, kayaking, and cultural sports. A Tribal Food Trail highlights local cuisine (</w:t>
      </w:r>
      <w:r w:rsidRPr="009C6FEF">
        <w:rPr>
          <w:rFonts w:ascii="Times New Roman" w:hAnsi="Times New Roman" w:cs="Times New Roman"/>
          <w:color w:val="4472C4" w:themeColor="accent1"/>
          <w:sz w:val="24"/>
          <w:szCs w:val="24"/>
        </w:rPr>
        <w:t>Mason &amp; O’Mahony, 2007</w:t>
      </w:r>
      <w:r w:rsidRPr="009C6FEF">
        <w:rPr>
          <w:rFonts w:ascii="Times New Roman" w:hAnsi="Times New Roman" w:cs="Times New Roman"/>
          <w:sz w:val="24"/>
          <w:szCs w:val="24"/>
        </w:rPr>
        <w:t xml:space="preserve">), while annual Firefly Festivals create nocturnal experiences </w:t>
      </w:r>
      <w:r w:rsidRPr="009C6FEF">
        <w:rPr>
          <w:rFonts w:ascii="Times New Roman" w:hAnsi="Times New Roman" w:cs="Times New Roman"/>
          <w:color w:val="4472C4" w:themeColor="accent1"/>
          <w:sz w:val="24"/>
          <w:szCs w:val="24"/>
        </w:rPr>
        <w:t>(Lewis et al., 2021</w:t>
      </w:r>
      <w:r w:rsidRPr="009C6FEF">
        <w:rPr>
          <w:rFonts w:ascii="Times New Roman" w:hAnsi="Times New Roman" w:cs="Times New Roman"/>
          <w:sz w:val="24"/>
          <w:szCs w:val="24"/>
        </w:rPr>
        <w:t>).</w:t>
      </w:r>
    </w:p>
    <w:p w14:paraId="3A7EEF95" w14:textId="01660BE5" w:rsidR="005A28D9" w:rsidRPr="009C6FEF" w:rsidRDefault="00832B6C" w:rsidP="00194612">
      <w:pPr>
        <w:spacing w:after="0" w:line="360" w:lineRule="auto"/>
        <w:jc w:val="both"/>
        <w:rPr>
          <w:rFonts w:ascii="Times New Roman" w:hAnsi="Times New Roman" w:cs="Times New Roman"/>
          <w:b/>
          <w:bCs/>
          <w:sz w:val="28"/>
          <w:szCs w:val="28"/>
        </w:rPr>
      </w:pPr>
      <w:r w:rsidRPr="009C6FEF">
        <w:rPr>
          <w:rFonts w:ascii="Times New Roman" w:hAnsi="Times New Roman" w:cs="Times New Roman"/>
          <w:b/>
          <w:bCs/>
          <w:sz w:val="28"/>
          <w:szCs w:val="28"/>
        </w:rPr>
        <w:t>4</w:t>
      </w:r>
      <w:r w:rsidR="007077A1" w:rsidRPr="009C6FEF">
        <w:rPr>
          <w:rFonts w:ascii="Times New Roman" w:hAnsi="Times New Roman" w:cs="Times New Roman"/>
          <w:b/>
          <w:bCs/>
          <w:sz w:val="28"/>
          <w:szCs w:val="28"/>
        </w:rPr>
        <w:t xml:space="preserve">. </w:t>
      </w:r>
      <w:r w:rsidR="00635E6E" w:rsidRPr="009C6FEF">
        <w:rPr>
          <w:rFonts w:ascii="Times New Roman" w:hAnsi="Times New Roman" w:cs="Times New Roman"/>
          <w:b/>
          <w:bCs/>
          <w:sz w:val="28"/>
          <w:szCs w:val="28"/>
        </w:rPr>
        <w:t xml:space="preserve">Conclusion: </w:t>
      </w:r>
    </w:p>
    <w:p w14:paraId="534EF86A" w14:textId="19FCBA75" w:rsidR="00E16618" w:rsidRPr="009C6FEF" w:rsidRDefault="00E1661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This study has established a comprehensive, phase-wise strategic framework for ecotourism development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District, demonstrating the critical synergy between geospatial science and community-centric governance. The GIS-AHP analysis successfully identified and prioritised ecotourism potential, with </w:t>
      </w:r>
      <w:proofErr w:type="spellStart"/>
      <w:r w:rsidRPr="009C6FEF">
        <w:rPr>
          <w:rFonts w:ascii="Times New Roman" w:hAnsi="Times New Roman" w:cs="Times New Roman"/>
          <w:sz w:val="24"/>
          <w:szCs w:val="24"/>
        </w:rPr>
        <w:t>Binpur</w:t>
      </w:r>
      <w:proofErr w:type="spellEnd"/>
      <w:r w:rsidRPr="009C6FEF">
        <w:rPr>
          <w:rFonts w:ascii="Times New Roman" w:hAnsi="Times New Roman" w:cs="Times New Roman"/>
          <w:sz w:val="24"/>
          <w:szCs w:val="24"/>
        </w:rPr>
        <w:t>-II block emerging as the most promising zone, thereby providing a data-driven foundation for targeted investment and conservation efforts. The resultant micro-zoning model- delineating Core, Ecotourism, and Buffer Zones-offers a pragmatic mechanism for regulating tourist carrying capacity, mitigating environmental degradation, and safeguarding the district's rich biodiversity.</w:t>
      </w:r>
    </w:p>
    <w:p w14:paraId="7615514E" w14:textId="2EFBEE8D" w:rsidR="00E16618" w:rsidRPr="009C6FEF" w:rsidRDefault="00E1661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The proposed three-phase development strategy provides an actionable roadmap to transition from foundational capacity-building to sustainable economic diversification. Crucially, the institutionalisation of Village Ecotourism Committees (VECs) is positioned as the linchpin of this model, ensuring that ecotourism evolves as a vehicle for participatory governance, equitable benefit-sharing, and the preservation of indigenous knowledge and cultural heritage. By strategically sequencing interventions, from site preparation and eco-friendly infrastructure to the introduction of </w:t>
      </w:r>
      <w:proofErr w:type="spellStart"/>
      <w:r w:rsidRPr="009C6FEF">
        <w:rPr>
          <w:rFonts w:ascii="Times New Roman" w:hAnsi="Times New Roman" w:cs="Times New Roman"/>
          <w:sz w:val="24"/>
          <w:szCs w:val="24"/>
        </w:rPr>
        <w:t>agro</w:t>
      </w:r>
      <w:proofErr w:type="spellEnd"/>
      <w:r w:rsidRPr="009C6FEF">
        <w:rPr>
          <w:rFonts w:ascii="Times New Roman" w:hAnsi="Times New Roman" w:cs="Times New Roman"/>
          <w:sz w:val="24"/>
          <w:szCs w:val="24"/>
        </w:rPr>
        <w:t>-tourism, handicraft corridors, and wellness retreats, the framework ensures that growth is managed, resilient, and aligned with ecological limits.</w:t>
      </w:r>
    </w:p>
    <w:p w14:paraId="7C451106" w14:textId="69FDD7B6" w:rsidR="00E16618" w:rsidRPr="009C6FEF" w:rsidRDefault="00E1661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The broader significance of this research lies in its integrated approach to sustainability. Environmentally, it champions biodiversity conservation through scientific zoning and strict eco-guidelines. Socially, it empowers tribal communities, strengthens cultural identity, and </w:t>
      </w:r>
      <w:r w:rsidRPr="009C6FEF">
        <w:rPr>
          <w:rFonts w:ascii="Times New Roman" w:hAnsi="Times New Roman" w:cs="Times New Roman"/>
          <w:sz w:val="24"/>
          <w:szCs w:val="24"/>
        </w:rPr>
        <w:lastRenderedPageBreak/>
        <w:t xml:space="preserve">fosters inclusivity. Economically, it catalyses the creation of non-farm livelihoods, revitalises local crafts, and stimulates rural entrepreneurship. This trifecta of benefits underscores ecotourism's potential as a powerful tool for sustainable regional development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w:t>
      </w:r>
    </w:p>
    <w:p w14:paraId="55D8AC0F" w14:textId="61BA4883" w:rsidR="00BD53C8" w:rsidRPr="009C6FEF" w:rsidRDefault="00BD53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While this study provides a comprehensive framework, it is subject to certain limitations. The initial scoring in the AHP model, though consistent, involves an element of expert judgment. The successful implementation of VECs is contingent on mitigating real-world challenges such as potential elite capture or political interference. Future research should involve longitudinal studies to monitor the social and ecological impacts of this framework once implemented and refine the dynamic carrying capacity models based on real-time data.</w:t>
      </w:r>
    </w:p>
    <w:p w14:paraId="6E9C0E58" w14:textId="721F932B" w:rsidR="00E16618" w:rsidRPr="009C6FEF" w:rsidRDefault="00E1661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In conclusion, this study affirms that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District can indeed transform into a model ecotourism destination, but this transformation is contingent upon disciplined, phased planning and robust institutional collaboration. For successful implementation, it is recommended that the West Bengal government formally adopt this framework and establish a dedicated multi-stakeholder task force to oversee its rollout. Future research should focus on longitudinal monitoring of the social and ecological impacts of implemented initiatives and on refining dynamic carrying capacity models. Ultimately, this replicable framework offers a viable blueprint for balancing conservation with development, not only fulfilling local aspirations but also contributing meaningfully to national priorities and the global Sustainable Development Goals (SDGs).</w:t>
      </w:r>
    </w:p>
    <w:p w14:paraId="0347517F" w14:textId="2394A3A4" w:rsidR="002248BF" w:rsidRPr="009C6FEF" w:rsidRDefault="002248BF" w:rsidP="00194612">
      <w:pPr>
        <w:spacing w:after="0" w:line="360" w:lineRule="auto"/>
        <w:jc w:val="both"/>
        <w:rPr>
          <w:rFonts w:ascii="Times New Roman" w:eastAsia="Calibri" w:hAnsi="Times New Roman" w:cs="Times New Roman"/>
          <w:b/>
          <w:bCs/>
          <w:sz w:val="24"/>
          <w:szCs w:val="24"/>
        </w:rPr>
      </w:pPr>
      <w:r w:rsidRPr="009C6FEF">
        <w:rPr>
          <w:rFonts w:ascii="Times New Roman" w:eastAsia="Calibri" w:hAnsi="Times New Roman" w:cs="Times New Roman"/>
          <w:b/>
          <w:bCs/>
          <w:sz w:val="24"/>
          <w:szCs w:val="24"/>
        </w:rPr>
        <w:br/>
      </w:r>
      <w:r w:rsidR="00BF43D3" w:rsidRPr="009C6FEF">
        <w:rPr>
          <w:rFonts w:ascii="Times New Roman" w:eastAsia="Calibri" w:hAnsi="Times New Roman" w:cs="Times New Roman"/>
          <w:b/>
          <w:bCs/>
          <w:sz w:val="24"/>
          <w:szCs w:val="24"/>
        </w:rPr>
        <w:t>Ethics approval statement</w:t>
      </w:r>
    </w:p>
    <w:p w14:paraId="209584DA" w14:textId="71706D64" w:rsidR="00BF43D3" w:rsidRPr="009C6FEF" w:rsidRDefault="00BF43D3" w:rsidP="00194612">
      <w:pPr>
        <w:spacing w:after="0" w:line="360" w:lineRule="auto"/>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This study was conducted in accordance with institutional and national ethical standards. As the research involved no interventions, experiments, or the collection of sensitive personal data, formal ethical approval was deemed unnecessary. </w:t>
      </w:r>
      <w:r w:rsidR="00FF3A53" w:rsidRPr="009C6FEF">
        <w:rPr>
          <w:rFonts w:ascii="Times New Roman" w:eastAsia="Calibri" w:hAnsi="Times New Roman" w:cs="Times New Roman"/>
          <w:sz w:val="24"/>
          <w:szCs w:val="24"/>
        </w:rPr>
        <w:t>Before</w:t>
      </w:r>
      <w:r w:rsidRPr="009C6FEF">
        <w:rPr>
          <w:rFonts w:ascii="Times New Roman" w:eastAsia="Calibri" w:hAnsi="Times New Roman" w:cs="Times New Roman"/>
          <w:sz w:val="24"/>
          <w:szCs w:val="24"/>
        </w:rPr>
        <w:t xml:space="preserve"> participation, verbal informed consent was obtained from all subjects, and the anonymity and confidentiality of all participants were rigorously preserved throughout the study.</w:t>
      </w:r>
    </w:p>
    <w:p w14:paraId="53C8C5C1" w14:textId="77777777" w:rsidR="002248BF" w:rsidRPr="009C6FEF" w:rsidRDefault="002248BF" w:rsidP="00194612">
      <w:pPr>
        <w:spacing w:after="0" w:line="360" w:lineRule="auto"/>
        <w:jc w:val="both"/>
        <w:rPr>
          <w:rFonts w:ascii="Times New Roman" w:eastAsia="Calibri" w:hAnsi="Times New Roman" w:cs="Times New Roman"/>
          <w:b/>
          <w:bCs/>
          <w:sz w:val="24"/>
          <w:szCs w:val="24"/>
        </w:rPr>
      </w:pPr>
    </w:p>
    <w:p w14:paraId="472C6C4D" w14:textId="77777777" w:rsidR="00035B67" w:rsidRPr="009C6FEF" w:rsidRDefault="00035B67" w:rsidP="00194612">
      <w:pPr>
        <w:spacing w:after="0" w:line="360" w:lineRule="auto"/>
        <w:jc w:val="both"/>
        <w:rPr>
          <w:rFonts w:ascii="Times New Roman" w:eastAsia="Calibri" w:hAnsi="Times New Roman" w:cs="Times New Roman"/>
          <w:b/>
          <w:bCs/>
          <w:sz w:val="24"/>
          <w:szCs w:val="24"/>
        </w:rPr>
      </w:pPr>
    </w:p>
    <w:p w14:paraId="430FC104" w14:textId="77777777" w:rsidR="005F3465" w:rsidRPr="009C6FEF" w:rsidRDefault="005F3465" w:rsidP="00194612">
      <w:pPr>
        <w:spacing w:after="0" w:line="360" w:lineRule="auto"/>
        <w:jc w:val="both"/>
        <w:rPr>
          <w:rFonts w:ascii="Times New Roman" w:eastAsia="Calibri" w:hAnsi="Times New Roman" w:cs="Times New Roman"/>
          <w:b/>
          <w:bCs/>
          <w:sz w:val="24"/>
          <w:szCs w:val="24"/>
        </w:rPr>
      </w:pPr>
    </w:p>
    <w:p w14:paraId="343C1230" w14:textId="77777777" w:rsidR="005F3465" w:rsidRPr="009C6FEF" w:rsidRDefault="005F3465" w:rsidP="00194612">
      <w:pPr>
        <w:spacing w:after="0" w:line="360" w:lineRule="auto"/>
        <w:jc w:val="both"/>
        <w:rPr>
          <w:rFonts w:ascii="Times New Roman" w:eastAsia="Calibri" w:hAnsi="Times New Roman" w:cs="Times New Roman"/>
          <w:b/>
          <w:bCs/>
          <w:sz w:val="24"/>
          <w:szCs w:val="24"/>
        </w:rPr>
      </w:pPr>
    </w:p>
    <w:p w14:paraId="19A4F8B1" w14:textId="4E6C8521" w:rsidR="008D0399" w:rsidRPr="009C6FEF" w:rsidRDefault="008D0399" w:rsidP="00194612">
      <w:pPr>
        <w:spacing w:after="0" w:line="360" w:lineRule="auto"/>
        <w:jc w:val="both"/>
        <w:rPr>
          <w:rFonts w:ascii="Times New Roman" w:eastAsia="Calibri" w:hAnsi="Times New Roman" w:cs="Times New Roman"/>
          <w:b/>
          <w:bCs/>
          <w:sz w:val="24"/>
          <w:szCs w:val="24"/>
        </w:rPr>
      </w:pPr>
      <w:r w:rsidRPr="009C6FEF">
        <w:rPr>
          <w:rFonts w:ascii="Times New Roman" w:eastAsia="Calibri" w:hAnsi="Times New Roman" w:cs="Times New Roman"/>
          <w:b/>
          <w:bCs/>
          <w:sz w:val="24"/>
          <w:szCs w:val="24"/>
        </w:rPr>
        <w:t xml:space="preserve">References: </w:t>
      </w:r>
    </w:p>
    <w:p w14:paraId="40B208BE"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Aayog, N. I. T. I. (2018). Sustainable tourism in the Indian Himalayan region. Report of Working Group II, NITI Aayog, Government of India.</w:t>
      </w:r>
    </w:p>
    <w:p w14:paraId="09064668"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lastRenderedPageBreak/>
        <w:t xml:space="preserve">Aksoy, T., Metin, T. C., </w:t>
      </w:r>
      <w:proofErr w:type="spellStart"/>
      <w:r w:rsidRPr="009C6FEF">
        <w:rPr>
          <w:rFonts w:ascii="Times New Roman" w:eastAsia="Calibri" w:hAnsi="Times New Roman" w:cs="Times New Roman"/>
          <w:sz w:val="24"/>
          <w:szCs w:val="24"/>
        </w:rPr>
        <w:t>Altunel</w:t>
      </w:r>
      <w:proofErr w:type="spellEnd"/>
      <w:r w:rsidRPr="009C6FEF">
        <w:rPr>
          <w:rFonts w:ascii="Times New Roman" w:eastAsia="Calibri" w:hAnsi="Times New Roman" w:cs="Times New Roman"/>
          <w:sz w:val="24"/>
          <w:szCs w:val="24"/>
        </w:rPr>
        <w:t>, M. C., Kavlak, M. Ö., Erdoğan, Ö., Korkmaz, C., ... &amp; Çabuk, A. (2025). Relational analysis of publications on the use of geographic information systems in tourism-Recreation planning and management. Journal of Tourism Leisure and Hospitality, 7(1), 90-113.</w:t>
      </w:r>
    </w:p>
    <w:p w14:paraId="50C7AE0A"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Arora, M., Dhiman, V., &amp; Sharma, R. L. (2023). Exploring the dimensions of spirituality, wellness and value creation amidst Himalayan regions promoting entrepreneurship and sustainability. Journal of </w:t>
      </w:r>
      <w:proofErr w:type="spellStart"/>
      <w:r w:rsidRPr="009C6FEF">
        <w:rPr>
          <w:rFonts w:ascii="Times New Roman" w:eastAsia="Calibri" w:hAnsi="Times New Roman" w:cs="Times New Roman"/>
          <w:sz w:val="24"/>
          <w:szCs w:val="24"/>
        </w:rPr>
        <w:t>Tourismology</w:t>
      </w:r>
      <w:proofErr w:type="spellEnd"/>
      <w:r w:rsidRPr="009C6FEF">
        <w:rPr>
          <w:rFonts w:ascii="Times New Roman" w:eastAsia="Calibri" w:hAnsi="Times New Roman" w:cs="Times New Roman"/>
          <w:sz w:val="24"/>
          <w:szCs w:val="24"/>
        </w:rPr>
        <w:t>, 9(2), 86-96.</w:t>
      </w:r>
    </w:p>
    <w:p w14:paraId="176CA08F"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proofErr w:type="spellStart"/>
      <w:r w:rsidRPr="009C6FEF">
        <w:rPr>
          <w:rFonts w:ascii="Times New Roman" w:eastAsia="Calibri" w:hAnsi="Times New Roman" w:cs="Times New Roman"/>
          <w:sz w:val="24"/>
          <w:szCs w:val="24"/>
        </w:rPr>
        <w:t>Azharunnisa</w:t>
      </w:r>
      <w:proofErr w:type="spellEnd"/>
      <w:r w:rsidRPr="009C6FEF">
        <w:rPr>
          <w:rFonts w:ascii="Times New Roman" w:eastAsia="Calibri" w:hAnsi="Times New Roman" w:cs="Times New Roman"/>
          <w:sz w:val="24"/>
          <w:szCs w:val="24"/>
        </w:rPr>
        <w:t>, A., Gupta, S., &amp; Panda, S. (2024). Craft culture revival through a sustainable approach of integrating tourism with craft promotion: case study of Puri, Odisha. Journal of Cultural Heritage Management and Sustainable Development, 14(3), 397-418.</w:t>
      </w:r>
    </w:p>
    <w:p w14:paraId="3D584925"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Baloch, Q. B., Shah, S. N., Iqbal, N., </w:t>
      </w:r>
      <w:proofErr w:type="spellStart"/>
      <w:r w:rsidRPr="009C6FEF">
        <w:rPr>
          <w:rFonts w:ascii="Times New Roman" w:eastAsia="Calibri" w:hAnsi="Times New Roman" w:cs="Times New Roman"/>
          <w:sz w:val="24"/>
          <w:szCs w:val="24"/>
        </w:rPr>
        <w:t>Sheeraz</w:t>
      </w:r>
      <w:proofErr w:type="spellEnd"/>
      <w:r w:rsidRPr="009C6FEF">
        <w:rPr>
          <w:rFonts w:ascii="Times New Roman" w:eastAsia="Calibri" w:hAnsi="Times New Roman" w:cs="Times New Roman"/>
          <w:sz w:val="24"/>
          <w:szCs w:val="24"/>
        </w:rPr>
        <w:t>, M., Asadullah, M., Mahar, S., &amp; Khan, A. U. (2023). Impact of tourism development upon environmental sustainability: a suggested framework for sustainable ecotourism. Environmental Science and Pollution Research, 30(3), 5917-5930.</w:t>
      </w:r>
    </w:p>
    <w:p w14:paraId="7EFAD6F2"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Batisse, M. (1997). Biosphere reserves: a challenge for biodiversity conservation &amp; regional development. Environment: Science and Policy for Sustainable Development, 39(5), 6-33.</w:t>
      </w:r>
    </w:p>
    <w:p w14:paraId="7814FF31"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Bentley, L., &amp; Halim, H. B. (2024). Evaluating the long-term impact of sustainable tourism practices on local communities and natural resources in developing countries. Integrated Journal for Research in Arts and Humanities, 4(3), 136-141.</w:t>
      </w:r>
    </w:p>
    <w:p w14:paraId="588EEF9D"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Chatterjee, S., &amp; Prasad, D. M. V. (2019). The Evolution of Agri-Tourism Practices in India: Some Success Stories. </w:t>
      </w:r>
      <w:proofErr w:type="spellStart"/>
      <w:r w:rsidRPr="009C6FEF">
        <w:rPr>
          <w:rFonts w:ascii="Times New Roman" w:eastAsia="Calibri" w:hAnsi="Times New Roman" w:cs="Times New Roman"/>
          <w:sz w:val="24"/>
          <w:szCs w:val="24"/>
        </w:rPr>
        <w:t>Madridge</w:t>
      </w:r>
      <w:proofErr w:type="spellEnd"/>
      <w:r w:rsidRPr="009C6FEF">
        <w:rPr>
          <w:rFonts w:ascii="Times New Roman" w:eastAsia="Calibri" w:hAnsi="Times New Roman" w:cs="Times New Roman"/>
          <w:sz w:val="24"/>
          <w:szCs w:val="24"/>
        </w:rPr>
        <w:t xml:space="preserve"> J Agric Environ Sci, 1(1), 19-25.</w:t>
      </w:r>
    </w:p>
    <w:p w14:paraId="7E8B3AC4"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Dash, M., &amp; Mishra, B. B. (2021). Problems of handicraft artisans: an overview. International Journal of Managerial Studies and Research, 9(5), 29-38.</w:t>
      </w:r>
    </w:p>
    <w:p w14:paraId="3E5A5E26"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Gardner, T. (2010). Monitoring forest biodiversity: improving conservation through ecologically responsible management. Routledge.</w:t>
      </w:r>
    </w:p>
    <w:p w14:paraId="2BDAB5D7"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Ghosh, P. (2014). Subsistence and biodiversity conservation in the </w:t>
      </w:r>
      <w:proofErr w:type="spellStart"/>
      <w:r w:rsidRPr="009C6FEF">
        <w:rPr>
          <w:rFonts w:ascii="Times New Roman" w:eastAsia="Calibri" w:hAnsi="Times New Roman" w:cs="Times New Roman"/>
          <w:sz w:val="24"/>
          <w:szCs w:val="24"/>
        </w:rPr>
        <w:t>Sundarban</w:t>
      </w:r>
      <w:proofErr w:type="spellEnd"/>
      <w:r w:rsidRPr="009C6FEF">
        <w:rPr>
          <w:rFonts w:ascii="Times New Roman" w:eastAsia="Calibri" w:hAnsi="Times New Roman" w:cs="Times New Roman"/>
          <w:sz w:val="24"/>
          <w:szCs w:val="24"/>
        </w:rPr>
        <w:t xml:space="preserve"> Biosphere Reserve, West Bengal, India.</w:t>
      </w:r>
    </w:p>
    <w:p w14:paraId="007ED160"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Gross, M. (2002). Light and life (Vol. 120). OUP Oxford.</w:t>
      </w:r>
    </w:p>
    <w:p w14:paraId="07D3D44D" w14:textId="614E4C4B" w:rsidR="006E09F7" w:rsidRPr="009C6FEF" w:rsidRDefault="006E09F7"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Gutierrez-Lopez, J., McGarvey, R. G., Costello, C., &amp; Hall, D. M. (2023). Decision support frameworks in solid waste management: a systematic review of multi-criteria decision-making with sustainability and social indicators. Sustainability, 15(18), 13316.</w:t>
      </w:r>
    </w:p>
    <w:p w14:paraId="1C33024E"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lastRenderedPageBreak/>
        <w:t xml:space="preserve">Hansen, M. M., Jones, R., &amp; </w:t>
      </w:r>
      <w:proofErr w:type="spellStart"/>
      <w:r w:rsidRPr="009C6FEF">
        <w:rPr>
          <w:rFonts w:ascii="Times New Roman" w:eastAsia="Calibri" w:hAnsi="Times New Roman" w:cs="Times New Roman"/>
          <w:sz w:val="24"/>
          <w:szCs w:val="24"/>
        </w:rPr>
        <w:t>Tocchini</w:t>
      </w:r>
      <w:proofErr w:type="spellEnd"/>
      <w:r w:rsidRPr="009C6FEF">
        <w:rPr>
          <w:rFonts w:ascii="Times New Roman" w:eastAsia="Calibri" w:hAnsi="Times New Roman" w:cs="Times New Roman"/>
          <w:sz w:val="24"/>
          <w:szCs w:val="24"/>
        </w:rPr>
        <w:t xml:space="preserve">, K. (2017). </w:t>
      </w:r>
      <w:proofErr w:type="spellStart"/>
      <w:r w:rsidRPr="009C6FEF">
        <w:rPr>
          <w:rFonts w:ascii="Times New Roman" w:eastAsia="Calibri" w:hAnsi="Times New Roman" w:cs="Times New Roman"/>
          <w:sz w:val="24"/>
          <w:szCs w:val="24"/>
        </w:rPr>
        <w:t>Shinrin-yoku</w:t>
      </w:r>
      <w:proofErr w:type="spellEnd"/>
      <w:r w:rsidRPr="009C6FEF">
        <w:rPr>
          <w:rFonts w:ascii="Times New Roman" w:eastAsia="Calibri" w:hAnsi="Times New Roman" w:cs="Times New Roman"/>
          <w:sz w:val="24"/>
          <w:szCs w:val="24"/>
        </w:rPr>
        <w:t xml:space="preserve"> (forest bathing) and nature therapy: A state-of-the-art review. International journal of environmental research and public health, 14(8), 851.</w:t>
      </w:r>
    </w:p>
    <w:p w14:paraId="6BEC272D"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Hays, S., Page, S. J., &amp; </w:t>
      </w:r>
      <w:proofErr w:type="spellStart"/>
      <w:r w:rsidRPr="009C6FEF">
        <w:rPr>
          <w:rFonts w:ascii="Times New Roman" w:eastAsia="Calibri" w:hAnsi="Times New Roman" w:cs="Times New Roman"/>
          <w:sz w:val="24"/>
          <w:szCs w:val="24"/>
        </w:rPr>
        <w:t>Buhalis</w:t>
      </w:r>
      <w:proofErr w:type="spellEnd"/>
      <w:r w:rsidRPr="009C6FEF">
        <w:rPr>
          <w:rFonts w:ascii="Times New Roman" w:eastAsia="Calibri" w:hAnsi="Times New Roman" w:cs="Times New Roman"/>
          <w:sz w:val="24"/>
          <w:szCs w:val="24"/>
        </w:rPr>
        <w:t>, D. (2013). Social media as a destination marketing tool: its use by national tourism organisations. Current issues in Tourism, 16(3), 211-239.</w:t>
      </w:r>
    </w:p>
    <w:p w14:paraId="5DA7E192"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Hutson, J., Hutson, P., &amp; Harper-Nichols, M. (2024). Integrating Sensory Modalities and Technologies in Artistic Contexts. In Sensemaking and </w:t>
      </w:r>
      <w:proofErr w:type="spellStart"/>
      <w:r w:rsidRPr="009C6FEF">
        <w:rPr>
          <w:rFonts w:ascii="Times New Roman" w:eastAsia="Calibri" w:hAnsi="Times New Roman" w:cs="Times New Roman"/>
          <w:sz w:val="24"/>
          <w:szCs w:val="24"/>
        </w:rPr>
        <w:t>Neuroaesthetics</w:t>
      </w:r>
      <w:proofErr w:type="spellEnd"/>
      <w:r w:rsidRPr="009C6FEF">
        <w:rPr>
          <w:rFonts w:ascii="Times New Roman" w:eastAsia="Calibri" w:hAnsi="Times New Roman" w:cs="Times New Roman"/>
          <w:sz w:val="24"/>
          <w:szCs w:val="24"/>
        </w:rPr>
        <w:t xml:space="preserve">: </w:t>
      </w:r>
      <w:proofErr w:type="spellStart"/>
      <w:r w:rsidRPr="009C6FEF">
        <w:rPr>
          <w:rFonts w:ascii="Times New Roman" w:eastAsia="Calibri" w:hAnsi="Times New Roman" w:cs="Times New Roman"/>
          <w:sz w:val="24"/>
          <w:szCs w:val="24"/>
        </w:rPr>
        <w:t>Neuroarts</w:t>
      </w:r>
      <w:proofErr w:type="spellEnd"/>
      <w:r w:rsidRPr="009C6FEF">
        <w:rPr>
          <w:rFonts w:ascii="Times New Roman" w:eastAsia="Calibri" w:hAnsi="Times New Roman" w:cs="Times New Roman"/>
          <w:sz w:val="24"/>
          <w:szCs w:val="24"/>
        </w:rPr>
        <w:t xml:space="preserve"> and the Spectrum of Neurodiverse Experiences (pp. 45-106). Cham: Springer Nature Switzerland.</w:t>
      </w:r>
    </w:p>
    <w:p w14:paraId="0C8575C9"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Jurri, R., Kumar, A., &amp; Mollick, F. (2022). Medicinal Importance of Mahua Among Gond, </w:t>
      </w:r>
      <w:proofErr w:type="spellStart"/>
      <w:r w:rsidRPr="009C6FEF">
        <w:rPr>
          <w:rFonts w:ascii="Times New Roman" w:eastAsia="Calibri" w:hAnsi="Times New Roman" w:cs="Times New Roman"/>
          <w:sz w:val="24"/>
          <w:szCs w:val="24"/>
        </w:rPr>
        <w:t>Halba</w:t>
      </w:r>
      <w:proofErr w:type="spellEnd"/>
      <w:r w:rsidRPr="009C6FEF">
        <w:rPr>
          <w:rFonts w:ascii="Times New Roman" w:eastAsia="Calibri" w:hAnsi="Times New Roman" w:cs="Times New Roman"/>
          <w:sz w:val="24"/>
          <w:szCs w:val="24"/>
        </w:rPr>
        <w:t xml:space="preserve"> and Dorla Tribes of Bijapur District </w:t>
      </w:r>
      <w:proofErr w:type="gramStart"/>
      <w:r w:rsidRPr="009C6FEF">
        <w:rPr>
          <w:rFonts w:ascii="Times New Roman" w:eastAsia="Calibri" w:hAnsi="Times New Roman" w:cs="Times New Roman"/>
          <w:sz w:val="24"/>
          <w:szCs w:val="24"/>
        </w:rPr>
        <w:t>Of</w:t>
      </w:r>
      <w:proofErr w:type="gramEnd"/>
      <w:r w:rsidRPr="009C6FEF">
        <w:rPr>
          <w:rFonts w:ascii="Times New Roman" w:eastAsia="Calibri" w:hAnsi="Times New Roman" w:cs="Times New Roman"/>
          <w:sz w:val="24"/>
          <w:szCs w:val="24"/>
        </w:rPr>
        <w:t xml:space="preserve"> Chhattisgarh. J. Bio. Innov, 11(2), 288-295.</w:t>
      </w:r>
    </w:p>
    <w:p w14:paraId="77044807"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Kiper, T. (2013). Role of ecotourism in sustainable development.</w:t>
      </w:r>
    </w:p>
    <w:p w14:paraId="7A4C3498"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proofErr w:type="spellStart"/>
      <w:r w:rsidRPr="009C6FEF">
        <w:rPr>
          <w:rFonts w:ascii="Times New Roman" w:eastAsia="Calibri" w:hAnsi="Times New Roman" w:cs="Times New Roman"/>
          <w:sz w:val="24"/>
          <w:szCs w:val="24"/>
        </w:rPr>
        <w:t>Koohafkan</w:t>
      </w:r>
      <w:proofErr w:type="spellEnd"/>
      <w:r w:rsidRPr="009C6FEF">
        <w:rPr>
          <w:rFonts w:ascii="Times New Roman" w:eastAsia="Calibri" w:hAnsi="Times New Roman" w:cs="Times New Roman"/>
          <w:sz w:val="24"/>
          <w:szCs w:val="24"/>
        </w:rPr>
        <w:t>, P., &amp; Altieri, M. A. (2011). Globally important agricultural heritage systems: a legacy for the future (pp. 1-47). Rome: Food and Agriculture Organization of the United Nations.</w:t>
      </w:r>
    </w:p>
    <w:p w14:paraId="588A9564"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Lewis, S. M., </w:t>
      </w:r>
      <w:proofErr w:type="spellStart"/>
      <w:r w:rsidRPr="009C6FEF">
        <w:rPr>
          <w:rFonts w:ascii="Times New Roman" w:eastAsia="Calibri" w:hAnsi="Times New Roman" w:cs="Times New Roman"/>
          <w:sz w:val="24"/>
          <w:szCs w:val="24"/>
        </w:rPr>
        <w:t>Thancharoen</w:t>
      </w:r>
      <w:proofErr w:type="spellEnd"/>
      <w:r w:rsidRPr="009C6FEF">
        <w:rPr>
          <w:rFonts w:ascii="Times New Roman" w:eastAsia="Calibri" w:hAnsi="Times New Roman" w:cs="Times New Roman"/>
          <w:sz w:val="24"/>
          <w:szCs w:val="24"/>
        </w:rPr>
        <w:t>, A., Wong, C. H., López‐Palafox, T., Santos, P. V., Wu, C., ... &amp; Reed, J. M. (2021). Firefly tourism: Advancing a global phenomenon toward a brighter future. Conservation Science and Practice, 3(5), e391.</w:t>
      </w:r>
    </w:p>
    <w:p w14:paraId="57920600"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Lewis, S. M., </w:t>
      </w:r>
      <w:proofErr w:type="spellStart"/>
      <w:r w:rsidRPr="009C6FEF">
        <w:rPr>
          <w:rFonts w:ascii="Times New Roman" w:eastAsia="Calibri" w:hAnsi="Times New Roman" w:cs="Times New Roman"/>
          <w:sz w:val="24"/>
          <w:szCs w:val="24"/>
        </w:rPr>
        <w:t>Thancharoen</w:t>
      </w:r>
      <w:proofErr w:type="spellEnd"/>
      <w:r w:rsidRPr="009C6FEF">
        <w:rPr>
          <w:rFonts w:ascii="Times New Roman" w:eastAsia="Calibri" w:hAnsi="Times New Roman" w:cs="Times New Roman"/>
          <w:sz w:val="24"/>
          <w:szCs w:val="24"/>
        </w:rPr>
        <w:t>, A., Wong, C. H., López‐Palafox, T., Santos, P. V., Wu, C., ... &amp; Reed, J. M. (2021). Firefly tourism: Advancing a global phenomenon toward a brighter future. Conservation Science and Practice, 3(5), e391.</w:t>
      </w:r>
    </w:p>
    <w:p w14:paraId="17FD24B0"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Lukas, S. A. (2016). A reader in themed and immersive spaces. Lulu. com.</w:t>
      </w:r>
    </w:p>
    <w:p w14:paraId="657542FC"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Maiti, P., </w:t>
      </w:r>
      <w:proofErr w:type="spellStart"/>
      <w:r w:rsidRPr="009C6FEF">
        <w:rPr>
          <w:rFonts w:ascii="Times New Roman" w:eastAsia="Calibri" w:hAnsi="Times New Roman" w:cs="Times New Roman"/>
          <w:sz w:val="24"/>
          <w:szCs w:val="24"/>
        </w:rPr>
        <w:t>Kuniyal</w:t>
      </w:r>
      <w:proofErr w:type="spellEnd"/>
      <w:r w:rsidRPr="009C6FEF">
        <w:rPr>
          <w:rFonts w:ascii="Times New Roman" w:eastAsia="Calibri" w:hAnsi="Times New Roman" w:cs="Times New Roman"/>
          <w:sz w:val="24"/>
          <w:szCs w:val="24"/>
        </w:rPr>
        <w:t xml:space="preserve">, J. C., Sekar, K. C., Satish, K. V., Singh, D., Bisht, N., ... &amp; </w:t>
      </w:r>
      <w:proofErr w:type="spellStart"/>
      <w:r w:rsidRPr="009C6FEF">
        <w:rPr>
          <w:rFonts w:ascii="Times New Roman" w:eastAsia="Calibri" w:hAnsi="Times New Roman" w:cs="Times New Roman"/>
          <w:sz w:val="24"/>
          <w:szCs w:val="24"/>
        </w:rPr>
        <w:t>Sundriyal</w:t>
      </w:r>
      <w:proofErr w:type="spellEnd"/>
      <w:r w:rsidRPr="009C6FEF">
        <w:rPr>
          <w:rFonts w:ascii="Times New Roman" w:eastAsia="Calibri" w:hAnsi="Times New Roman" w:cs="Times New Roman"/>
          <w:sz w:val="24"/>
          <w:szCs w:val="24"/>
        </w:rPr>
        <w:t>, R. C. (2022). Landscape-level ecological assessment and eco-restoration strategies for alpine and sub-alpine regions of the Central Himalaya. Ecological Engineering, 180, 106674.</w:t>
      </w:r>
    </w:p>
    <w:p w14:paraId="5E97AF96"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Mangaraj, J. K., &amp; </w:t>
      </w:r>
      <w:proofErr w:type="spellStart"/>
      <w:r w:rsidRPr="009C6FEF">
        <w:rPr>
          <w:rFonts w:ascii="Times New Roman" w:eastAsia="Calibri" w:hAnsi="Times New Roman" w:cs="Times New Roman"/>
          <w:sz w:val="24"/>
          <w:szCs w:val="24"/>
        </w:rPr>
        <w:t>Smrutirekha</w:t>
      </w:r>
      <w:proofErr w:type="spellEnd"/>
      <w:r w:rsidRPr="009C6FEF">
        <w:rPr>
          <w:rFonts w:ascii="Times New Roman" w:eastAsia="Calibri" w:hAnsi="Times New Roman" w:cs="Times New Roman"/>
          <w:sz w:val="24"/>
          <w:szCs w:val="24"/>
        </w:rPr>
        <w:t>, P. R. S. (2021). Destination attributes contributing to customer satisfaction among Glamping tourists in India. Indian Journal of Hospitality Management, 3(1), 55-60.</w:t>
      </w:r>
    </w:p>
    <w:p w14:paraId="7C37F8DC"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proofErr w:type="spellStart"/>
      <w:r w:rsidRPr="009C6FEF">
        <w:rPr>
          <w:rFonts w:ascii="Times New Roman" w:eastAsia="Calibri" w:hAnsi="Times New Roman" w:cs="Times New Roman"/>
          <w:sz w:val="24"/>
          <w:szCs w:val="24"/>
        </w:rPr>
        <w:t>Marrewijk</w:t>
      </w:r>
      <w:proofErr w:type="spellEnd"/>
      <w:r w:rsidRPr="009C6FEF">
        <w:rPr>
          <w:rFonts w:ascii="Times New Roman" w:eastAsia="Calibri" w:hAnsi="Times New Roman" w:cs="Times New Roman"/>
          <w:sz w:val="24"/>
          <w:szCs w:val="24"/>
        </w:rPr>
        <w:t xml:space="preserve">, M. V., Wuisman, I., </w:t>
      </w:r>
      <w:proofErr w:type="spellStart"/>
      <w:r w:rsidRPr="009C6FEF">
        <w:rPr>
          <w:rFonts w:ascii="Times New Roman" w:eastAsia="Calibri" w:hAnsi="Times New Roman" w:cs="Times New Roman"/>
          <w:sz w:val="24"/>
          <w:szCs w:val="24"/>
        </w:rPr>
        <w:t>Cleyn</w:t>
      </w:r>
      <w:proofErr w:type="spellEnd"/>
      <w:r w:rsidRPr="009C6FEF">
        <w:rPr>
          <w:rFonts w:ascii="Times New Roman" w:eastAsia="Calibri" w:hAnsi="Times New Roman" w:cs="Times New Roman"/>
          <w:sz w:val="24"/>
          <w:szCs w:val="24"/>
        </w:rPr>
        <w:t xml:space="preserve">, W. D., </w:t>
      </w:r>
      <w:proofErr w:type="spellStart"/>
      <w:r w:rsidRPr="009C6FEF">
        <w:rPr>
          <w:rFonts w:ascii="Times New Roman" w:eastAsia="Calibri" w:hAnsi="Times New Roman" w:cs="Times New Roman"/>
          <w:sz w:val="24"/>
          <w:szCs w:val="24"/>
        </w:rPr>
        <w:t>Timmers</w:t>
      </w:r>
      <w:proofErr w:type="spellEnd"/>
      <w:r w:rsidRPr="009C6FEF">
        <w:rPr>
          <w:rFonts w:ascii="Times New Roman" w:eastAsia="Calibri" w:hAnsi="Times New Roman" w:cs="Times New Roman"/>
          <w:sz w:val="24"/>
          <w:szCs w:val="24"/>
        </w:rPr>
        <w:t xml:space="preserve">, J., </w:t>
      </w:r>
      <w:proofErr w:type="spellStart"/>
      <w:r w:rsidRPr="009C6FEF">
        <w:rPr>
          <w:rFonts w:ascii="Times New Roman" w:eastAsia="Calibri" w:hAnsi="Times New Roman" w:cs="Times New Roman"/>
          <w:sz w:val="24"/>
          <w:szCs w:val="24"/>
        </w:rPr>
        <w:t>Panapanaan</w:t>
      </w:r>
      <w:proofErr w:type="spellEnd"/>
      <w:r w:rsidRPr="009C6FEF">
        <w:rPr>
          <w:rFonts w:ascii="Times New Roman" w:eastAsia="Calibri" w:hAnsi="Times New Roman" w:cs="Times New Roman"/>
          <w:sz w:val="24"/>
          <w:szCs w:val="24"/>
        </w:rPr>
        <w:t xml:space="preserve">, V., &amp; </w:t>
      </w:r>
      <w:proofErr w:type="spellStart"/>
      <w:r w:rsidRPr="009C6FEF">
        <w:rPr>
          <w:rFonts w:ascii="Times New Roman" w:eastAsia="Calibri" w:hAnsi="Times New Roman" w:cs="Times New Roman"/>
          <w:sz w:val="24"/>
          <w:szCs w:val="24"/>
        </w:rPr>
        <w:t>Linnanen</w:t>
      </w:r>
      <w:proofErr w:type="spellEnd"/>
      <w:r w:rsidRPr="009C6FEF">
        <w:rPr>
          <w:rFonts w:ascii="Times New Roman" w:eastAsia="Calibri" w:hAnsi="Times New Roman" w:cs="Times New Roman"/>
          <w:sz w:val="24"/>
          <w:szCs w:val="24"/>
        </w:rPr>
        <w:t>, L. (2004). A phase-wise development approach to business excellence: Towards an innovative, stakeholder-oriented assessment tool for organizational excellence and CSR. Journal of Business Ethics, 55(2), 83-98.</w:t>
      </w:r>
    </w:p>
    <w:p w14:paraId="0A531B4B"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lastRenderedPageBreak/>
        <w:t>Mason, R., &amp; O'Mahony, B. (2007). On the trail of food and wine: The tourist search for meaningful experience. Annals of Leisure Research, 10(3-4), 498-517.</w:t>
      </w:r>
    </w:p>
    <w:p w14:paraId="314ABA07"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proofErr w:type="spellStart"/>
      <w:r w:rsidRPr="009C6FEF">
        <w:rPr>
          <w:rFonts w:ascii="Times New Roman" w:eastAsia="Calibri" w:hAnsi="Times New Roman" w:cs="Times New Roman"/>
          <w:sz w:val="24"/>
          <w:szCs w:val="24"/>
        </w:rPr>
        <w:t>Mazzuoli</w:t>
      </w:r>
      <w:proofErr w:type="spellEnd"/>
      <w:r w:rsidRPr="009C6FEF">
        <w:rPr>
          <w:rFonts w:ascii="Times New Roman" w:eastAsia="Calibri" w:hAnsi="Times New Roman" w:cs="Times New Roman"/>
          <w:sz w:val="24"/>
          <w:szCs w:val="24"/>
        </w:rPr>
        <w:t>, S. (2025). Community based ecotourism for biodiversity in Africa.</w:t>
      </w:r>
    </w:p>
    <w:p w14:paraId="1ACF77B6"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Mondal, T., Bowers, W. W., &amp; Ali, M. H. (2021). Sustainable management of Sundarbans: Stakeholder attitudes towards participatory management and conservation of mangrove forests. Journal of Sustainable Development, 14(3), 23.</w:t>
      </w:r>
    </w:p>
    <w:p w14:paraId="24303A70"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Montes, J. R., Lado, C., López-Ortiz, N. M., &amp; Estrada-Torres, A. (2025). Desert Protists unveiled: Myxomycetes (Amoebozoa) diversity in the </w:t>
      </w:r>
      <w:proofErr w:type="spellStart"/>
      <w:r w:rsidRPr="009C6FEF">
        <w:rPr>
          <w:rFonts w:ascii="Times New Roman" w:eastAsia="Calibri" w:hAnsi="Times New Roman" w:cs="Times New Roman"/>
          <w:sz w:val="24"/>
          <w:szCs w:val="24"/>
        </w:rPr>
        <w:t>Mapimí</w:t>
      </w:r>
      <w:proofErr w:type="spellEnd"/>
      <w:r w:rsidRPr="009C6FEF">
        <w:rPr>
          <w:rFonts w:ascii="Times New Roman" w:eastAsia="Calibri" w:hAnsi="Times New Roman" w:cs="Times New Roman"/>
          <w:sz w:val="24"/>
          <w:szCs w:val="24"/>
        </w:rPr>
        <w:t xml:space="preserve"> Biosphere Reserve, </w:t>
      </w:r>
      <w:proofErr w:type="spellStart"/>
      <w:r w:rsidRPr="009C6FEF">
        <w:rPr>
          <w:rFonts w:ascii="Times New Roman" w:eastAsia="Calibri" w:hAnsi="Times New Roman" w:cs="Times New Roman"/>
          <w:sz w:val="24"/>
          <w:szCs w:val="24"/>
        </w:rPr>
        <w:t>Chihuahuan</w:t>
      </w:r>
      <w:proofErr w:type="spellEnd"/>
      <w:r w:rsidRPr="009C6FEF">
        <w:rPr>
          <w:rFonts w:ascii="Times New Roman" w:eastAsia="Calibri" w:hAnsi="Times New Roman" w:cs="Times New Roman"/>
          <w:sz w:val="24"/>
          <w:szCs w:val="24"/>
        </w:rPr>
        <w:t xml:space="preserve"> Desert's arid refugia. </w:t>
      </w:r>
      <w:proofErr w:type="spellStart"/>
      <w:r w:rsidRPr="009C6FEF">
        <w:rPr>
          <w:rFonts w:ascii="Times New Roman" w:eastAsia="Calibri" w:hAnsi="Times New Roman" w:cs="Times New Roman"/>
          <w:sz w:val="24"/>
          <w:szCs w:val="24"/>
        </w:rPr>
        <w:t>Phytotaxa</w:t>
      </w:r>
      <w:proofErr w:type="spellEnd"/>
      <w:r w:rsidRPr="009C6FEF">
        <w:rPr>
          <w:rFonts w:ascii="Times New Roman" w:eastAsia="Calibri" w:hAnsi="Times New Roman" w:cs="Times New Roman"/>
          <w:sz w:val="24"/>
          <w:szCs w:val="24"/>
        </w:rPr>
        <w:t>, 715(1), 1-31.</w:t>
      </w:r>
    </w:p>
    <w:p w14:paraId="693EB2CD"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Moon, M. (2015). Interpreting food at museums and historic sites. Rowman &amp; Littlefield.</w:t>
      </w:r>
    </w:p>
    <w:p w14:paraId="255E53B1"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Mukherjee, J., &amp; Chatterjee, A. (2024). “From Nature, to Nature”: Articulating the Discourse of Environmental Sustainability in a </w:t>
      </w:r>
      <w:proofErr w:type="spellStart"/>
      <w:r w:rsidRPr="009C6FEF">
        <w:rPr>
          <w:rFonts w:ascii="Times New Roman" w:eastAsia="Calibri" w:hAnsi="Times New Roman" w:cs="Times New Roman"/>
          <w:sz w:val="24"/>
          <w:szCs w:val="24"/>
        </w:rPr>
        <w:t>Chhau</w:t>
      </w:r>
      <w:proofErr w:type="spellEnd"/>
      <w:r w:rsidRPr="009C6FEF">
        <w:rPr>
          <w:rFonts w:ascii="Times New Roman" w:eastAsia="Calibri" w:hAnsi="Times New Roman" w:cs="Times New Roman"/>
          <w:sz w:val="24"/>
          <w:szCs w:val="24"/>
        </w:rPr>
        <w:t xml:space="preserve"> Dance Community (West Bengal), India. In Environmental and Ecological Sustainability Through Indigenous Traditions: Perspectives from the Global South (pp. 217-238). Singapore: Springer Nature Singapore.</w:t>
      </w:r>
    </w:p>
    <w:p w14:paraId="2EBD7263"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Nanduri, D. K. (2024). Exploring the Role of Generative Artificial Intelligence in Culturally Relevant Storytelling for Native Language Learning Among Children (Master's thesis, University of Maryland, College Park).</w:t>
      </w:r>
    </w:p>
    <w:p w14:paraId="34DA0593"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Osipchuk, A. S., </w:t>
      </w:r>
      <w:proofErr w:type="spellStart"/>
      <w:r w:rsidRPr="009C6FEF">
        <w:rPr>
          <w:rFonts w:ascii="Times New Roman" w:eastAsia="Calibri" w:hAnsi="Times New Roman" w:cs="Times New Roman"/>
          <w:sz w:val="24"/>
          <w:szCs w:val="24"/>
        </w:rPr>
        <w:t>Skydan</w:t>
      </w:r>
      <w:proofErr w:type="spellEnd"/>
      <w:r w:rsidRPr="009C6FEF">
        <w:rPr>
          <w:rFonts w:ascii="Times New Roman" w:eastAsia="Calibri" w:hAnsi="Times New Roman" w:cs="Times New Roman"/>
          <w:sz w:val="24"/>
          <w:szCs w:val="24"/>
        </w:rPr>
        <w:t xml:space="preserve">, V., Valinkevych, N. V., Tyshchenko, S. V., &amp; Lunov, A. O. (2023). Innovative ecotourism product development based on the use of geographic information technologies. Journal of Geology, Geography and </w:t>
      </w:r>
      <w:proofErr w:type="spellStart"/>
      <w:r w:rsidRPr="009C6FEF">
        <w:rPr>
          <w:rFonts w:ascii="Times New Roman" w:eastAsia="Calibri" w:hAnsi="Times New Roman" w:cs="Times New Roman"/>
          <w:sz w:val="24"/>
          <w:szCs w:val="24"/>
        </w:rPr>
        <w:t>Geoecology</w:t>
      </w:r>
      <w:proofErr w:type="spellEnd"/>
      <w:r w:rsidRPr="009C6FEF">
        <w:rPr>
          <w:rFonts w:ascii="Times New Roman" w:eastAsia="Calibri" w:hAnsi="Times New Roman" w:cs="Times New Roman"/>
          <w:sz w:val="24"/>
          <w:szCs w:val="24"/>
        </w:rPr>
        <w:t>, 32(1), 164-177.</w:t>
      </w:r>
    </w:p>
    <w:p w14:paraId="2B14A86D"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Paul, S., &amp; Dey, A. (2022). A survey on ethnomedicinal plants of </w:t>
      </w:r>
      <w:proofErr w:type="spellStart"/>
      <w:r w:rsidRPr="009C6FEF">
        <w:rPr>
          <w:rFonts w:ascii="Times New Roman" w:eastAsia="Calibri" w:hAnsi="Times New Roman" w:cs="Times New Roman"/>
          <w:sz w:val="24"/>
          <w:szCs w:val="24"/>
        </w:rPr>
        <w:t>Nayagram</w:t>
      </w:r>
      <w:proofErr w:type="spellEnd"/>
      <w:r w:rsidRPr="009C6FEF">
        <w:rPr>
          <w:rFonts w:ascii="Times New Roman" w:eastAsia="Calibri" w:hAnsi="Times New Roman" w:cs="Times New Roman"/>
          <w:sz w:val="24"/>
          <w:szCs w:val="24"/>
        </w:rPr>
        <w:t xml:space="preserve"> Block of </w:t>
      </w:r>
      <w:proofErr w:type="spellStart"/>
      <w:r w:rsidRPr="009C6FEF">
        <w:rPr>
          <w:rFonts w:ascii="Times New Roman" w:eastAsia="Calibri" w:hAnsi="Times New Roman" w:cs="Times New Roman"/>
          <w:sz w:val="24"/>
          <w:szCs w:val="24"/>
        </w:rPr>
        <w:t>Jhargram</w:t>
      </w:r>
      <w:proofErr w:type="spellEnd"/>
      <w:r w:rsidRPr="009C6FEF">
        <w:rPr>
          <w:rFonts w:ascii="Times New Roman" w:eastAsia="Calibri" w:hAnsi="Times New Roman" w:cs="Times New Roman"/>
          <w:sz w:val="24"/>
          <w:szCs w:val="24"/>
        </w:rPr>
        <w:t xml:space="preserve"> District, West Bengal, India. J </w:t>
      </w:r>
      <w:proofErr w:type="spellStart"/>
      <w:r w:rsidRPr="009C6FEF">
        <w:rPr>
          <w:rFonts w:ascii="Times New Roman" w:eastAsia="Calibri" w:hAnsi="Times New Roman" w:cs="Times New Roman"/>
          <w:sz w:val="24"/>
          <w:szCs w:val="24"/>
        </w:rPr>
        <w:t>Phytopharmacol</w:t>
      </w:r>
      <w:proofErr w:type="spellEnd"/>
      <w:r w:rsidRPr="009C6FEF">
        <w:rPr>
          <w:rFonts w:ascii="Times New Roman" w:eastAsia="Calibri" w:hAnsi="Times New Roman" w:cs="Times New Roman"/>
          <w:sz w:val="24"/>
          <w:szCs w:val="24"/>
        </w:rPr>
        <w:t xml:space="preserve">, 11(1), 35-39. https://doi.org/10.31254/phyto.2022.11107 </w:t>
      </w:r>
    </w:p>
    <w:p w14:paraId="528E3723"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Phong, N. N. (2025). CONFIDENCE-MODEL FOR TOURISM COOPERATIVE NETWORKS TO FOSTER RESILIENT VALUE CO-CREATION IN THE DESTINATION.</w:t>
      </w:r>
    </w:p>
    <w:p w14:paraId="34E615E1"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Russo, A., &amp; McCarthy, L. (2024). Designing edible cities: Exploring the origins and future of urban foraging and wild herbalism in the United Kingdom. In Urban foraging in the changing world (pp. 169-204). Singapore: Springer Nature Singapore.</w:t>
      </w:r>
    </w:p>
    <w:p w14:paraId="79E21C3F" w14:textId="77F0E743"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Sahoo, K. P., Siddique, G., Roy, A., Ghosh, S., &amp; Mandal, M. H. (2024). Ethnomedicinal knowledge and utilization of the medicinal plant resources by the tribal people of the </w:t>
      </w:r>
      <w:proofErr w:type="spellStart"/>
      <w:r w:rsidRPr="009C6FEF">
        <w:rPr>
          <w:rFonts w:ascii="Times New Roman" w:eastAsia="Calibri" w:hAnsi="Times New Roman" w:cs="Times New Roman"/>
          <w:sz w:val="24"/>
          <w:szCs w:val="24"/>
        </w:rPr>
        <w:t>Jhargram</w:t>
      </w:r>
      <w:proofErr w:type="spellEnd"/>
      <w:r w:rsidRPr="009C6FEF">
        <w:rPr>
          <w:rFonts w:ascii="Times New Roman" w:eastAsia="Calibri" w:hAnsi="Times New Roman" w:cs="Times New Roman"/>
          <w:sz w:val="24"/>
          <w:szCs w:val="24"/>
        </w:rPr>
        <w:t xml:space="preserve"> District, West Bengal, India. Plant Biosystems, 158(4), 668</w:t>
      </w:r>
      <w:r w:rsidR="00586812" w:rsidRPr="009C6FEF">
        <w:rPr>
          <w:rFonts w:ascii="Times New Roman" w:eastAsia="Calibri" w:hAnsi="Times New Roman" w:cs="Times New Roman"/>
          <w:sz w:val="24"/>
          <w:szCs w:val="24"/>
        </w:rPr>
        <w:t>-</w:t>
      </w:r>
      <w:r w:rsidRPr="009C6FEF">
        <w:rPr>
          <w:rFonts w:ascii="Times New Roman" w:eastAsia="Calibri" w:hAnsi="Times New Roman" w:cs="Times New Roman"/>
          <w:sz w:val="24"/>
          <w:szCs w:val="24"/>
        </w:rPr>
        <w:t xml:space="preserve">687. https://doi.org/10.1080/11263504.2024.2351886 </w:t>
      </w:r>
    </w:p>
    <w:p w14:paraId="72628FF9"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lastRenderedPageBreak/>
        <w:t xml:space="preserve">Sarkar, S., &amp; </w:t>
      </w:r>
      <w:proofErr w:type="spellStart"/>
      <w:r w:rsidRPr="009C6FEF">
        <w:rPr>
          <w:rFonts w:ascii="Times New Roman" w:eastAsia="Calibri" w:hAnsi="Times New Roman" w:cs="Times New Roman"/>
          <w:sz w:val="24"/>
          <w:szCs w:val="24"/>
        </w:rPr>
        <w:t>Modwel</w:t>
      </w:r>
      <w:proofErr w:type="spellEnd"/>
      <w:r w:rsidRPr="009C6FEF">
        <w:rPr>
          <w:rFonts w:ascii="Times New Roman" w:eastAsia="Calibri" w:hAnsi="Times New Roman" w:cs="Times New Roman"/>
          <w:sz w:val="24"/>
          <w:szCs w:val="24"/>
        </w:rPr>
        <w:t>, N. Y. (Eds.). (2020). Oral Traditions, Continuities and Transformations in Northeast India and Beyond. Taylor &amp; Francis.</w:t>
      </w:r>
    </w:p>
    <w:p w14:paraId="4A3A43A9"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Selman, P. (2004). Community participation in the planning and management of cultural landscapes. Journal of environmental planning and management, 47(3), 365-392.</w:t>
      </w:r>
    </w:p>
    <w:p w14:paraId="38427C24"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Shankar, S. (2015, September). Living Root Bridges: State of knowledge, fundamental research and future application. In IABSE Symposium Report: Structural Engineering: Providing Solutions to Global Challenges (Vol. 1, No. 1, pp. 1974-1981).</w:t>
      </w:r>
    </w:p>
    <w:p w14:paraId="69A1516F"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Sharif, A., Saha, S., Campbell, N., Sinha, A., &amp; Ibrahim, D. M. (2020). Tourism, environment and energy: an analysis for China. Current Issues in Tourism, 23(23), 2930-2949.</w:t>
      </w:r>
    </w:p>
    <w:p w14:paraId="6CBDFFCA"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Siddique, G., Siddique, Z. F., &amp; Kahlon, L. (2022). Significance of social systems in forest and biodiversity conservation: experiences from </w:t>
      </w:r>
      <w:proofErr w:type="spellStart"/>
      <w:r w:rsidRPr="009C6FEF">
        <w:rPr>
          <w:rFonts w:ascii="Times New Roman" w:eastAsia="Calibri" w:hAnsi="Times New Roman" w:cs="Times New Roman"/>
          <w:sz w:val="24"/>
          <w:szCs w:val="24"/>
        </w:rPr>
        <w:t>Jangal</w:t>
      </w:r>
      <w:proofErr w:type="spellEnd"/>
      <w:r w:rsidRPr="009C6FEF">
        <w:rPr>
          <w:rFonts w:ascii="Times New Roman" w:eastAsia="Calibri" w:hAnsi="Times New Roman" w:cs="Times New Roman"/>
          <w:sz w:val="24"/>
          <w:szCs w:val="24"/>
        </w:rPr>
        <w:t xml:space="preserve"> Mahals of West Bengal, India. In Conservation, Management and Monitoring of Forest Resources in India (pp. 107-129). Cham: Springer International Publishing.</w:t>
      </w:r>
    </w:p>
    <w:p w14:paraId="500ADADF"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Smith, M., &amp; Puczkó, L. (2014). Health, tourism and hospitality: Spas, wellness and medical travel. Routledge.</w:t>
      </w:r>
    </w:p>
    <w:p w14:paraId="4B7B8BD5"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proofErr w:type="spellStart"/>
      <w:r w:rsidRPr="009C6FEF">
        <w:rPr>
          <w:rFonts w:ascii="Times New Roman" w:eastAsia="Calibri" w:hAnsi="Times New Roman" w:cs="Times New Roman"/>
          <w:sz w:val="24"/>
          <w:szCs w:val="24"/>
        </w:rPr>
        <w:t>Svіtlichna</w:t>
      </w:r>
      <w:proofErr w:type="spellEnd"/>
      <w:r w:rsidRPr="009C6FEF">
        <w:rPr>
          <w:rFonts w:ascii="Times New Roman" w:eastAsia="Calibri" w:hAnsi="Times New Roman" w:cs="Times New Roman"/>
          <w:sz w:val="24"/>
          <w:szCs w:val="24"/>
        </w:rPr>
        <w:t xml:space="preserve">, V., Tonkoshkur, M., Cirella, G. T., </w:t>
      </w:r>
      <w:proofErr w:type="spellStart"/>
      <w:r w:rsidRPr="009C6FEF">
        <w:rPr>
          <w:rFonts w:ascii="Times New Roman" w:eastAsia="Calibri" w:hAnsi="Times New Roman" w:cs="Times New Roman"/>
          <w:sz w:val="24"/>
          <w:szCs w:val="24"/>
        </w:rPr>
        <w:t>Radionova</w:t>
      </w:r>
      <w:proofErr w:type="spellEnd"/>
      <w:r w:rsidRPr="009C6FEF">
        <w:rPr>
          <w:rFonts w:ascii="Times New Roman" w:eastAsia="Calibri" w:hAnsi="Times New Roman" w:cs="Times New Roman"/>
          <w:sz w:val="24"/>
          <w:szCs w:val="24"/>
        </w:rPr>
        <w:t xml:space="preserve">, L., </w:t>
      </w:r>
      <w:proofErr w:type="spellStart"/>
      <w:r w:rsidRPr="009C6FEF">
        <w:rPr>
          <w:rFonts w:ascii="Times New Roman" w:eastAsia="Calibri" w:hAnsi="Times New Roman" w:cs="Times New Roman"/>
          <w:sz w:val="24"/>
          <w:szCs w:val="24"/>
        </w:rPr>
        <w:t>Yatsiuk</w:t>
      </w:r>
      <w:proofErr w:type="spellEnd"/>
      <w:r w:rsidRPr="009C6FEF">
        <w:rPr>
          <w:rFonts w:ascii="Times New Roman" w:eastAsia="Calibri" w:hAnsi="Times New Roman" w:cs="Times New Roman"/>
          <w:sz w:val="24"/>
          <w:szCs w:val="24"/>
        </w:rPr>
        <w:t xml:space="preserve">, M., &amp; </w:t>
      </w:r>
      <w:proofErr w:type="spellStart"/>
      <w:r w:rsidRPr="009C6FEF">
        <w:rPr>
          <w:rFonts w:ascii="Times New Roman" w:eastAsia="Calibri" w:hAnsi="Times New Roman" w:cs="Times New Roman"/>
          <w:sz w:val="24"/>
          <w:szCs w:val="24"/>
        </w:rPr>
        <w:t>Uhodnikova</w:t>
      </w:r>
      <w:proofErr w:type="spellEnd"/>
      <w:r w:rsidRPr="009C6FEF">
        <w:rPr>
          <w:rFonts w:ascii="Times New Roman" w:eastAsia="Calibri" w:hAnsi="Times New Roman" w:cs="Times New Roman"/>
          <w:sz w:val="24"/>
          <w:szCs w:val="24"/>
        </w:rPr>
        <w:t xml:space="preserve">, O. (2024). Sustainable ecotourism development: Integrating public marketing, community engagement, and environmental stewardship in Ukraine. In Handbook on Post-War Reconstruction and Development Economics of Ukraine: </w:t>
      </w:r>
      <w:proofErr w:type="spellStart"/>
      <w:r w:rsidRPr="009C6FEF">
        <w:rPr>
          <w:rFonts w:ascii="Times New Roman" w:eastAsia="Calibri" w:hAnsi="Times New Roman" w:cs="Times New Roman"/>
          <w:sz w:val="24"/>
          <w:szCs w:val="24"/>
        </w:rPr>
        <w:t>Catalyzing</w:t>
      </w:r>
      <w:proofErr w:type="spellEnd"/>
      <w:r w:rsidRPr="009C6FEF">
        <w:rPr>
          <w:rFonts w:ascii="Times New Roman" w:eastAsia="Calibri" w:hAnsi="Times New Roman" w:cs="Times New Roman"/>
          <w:sz w:val="24"/>
          <w:szCs w:val="24"/>
        </w:rPr>
        <w:t xml:space="preserve"> Progress (pp. 271-291). Cham: Springer International Publishing.</w:t>
      </w:r>
    </w:p>
    <w:p w14:paraId="5DB036A8"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Tesema, D., </w:t>
      </w:r>
      <w:proofErr w:type="spellStart"/>
      <w:r w:rsidRPr="009C6FEF">
        <w:rPr>
          <w:rFonts w:ascii="Times New Roman" w:eastAsia="Calibri" w:hAnsi="Times New Roman" w:cs="Times New Roman"/>
          <w:sz w:val="24"/>
          <w:szCs w:val="24"/>
        </w:rPr>
        <w:t>Garbole</w:t>
      </w:r>
      <w:proofErr w:type="spellEnd"/>
      <w:r w:rsidRPr="009C6FEF">
        <w:rPr>
          <w:rFonts w:ascii="Times New Roman" w:eastAsia="Calibri" w:hAnsi="Times New Roman" w:cs="Times New Roman"/>
          <w:sz w:val="24"/>
          <w:szCs w:val="24"/>
        </w:rPr>
        <w:t xml:space="preserve">, D., &amp; </w:t>
      </w:r>
      <w:proofErr w:type="spellStart"/>
      <w:r w:rsidRPr="009C6FEF">
        <w:rPr>
          <w:rFonts w:ascii="Times New Roman" w:eastAsia="Calibri" w:hAnsi="Times New Roman" w:cs="Times New Roman"/>
          <w:sz w:val="24"/>
          <w:szCs w:val="24"/>
        </w:rPr>
        <w:t>Umata</w:t>
      </w:r>
      <w:proofErr w:type="spellEnd"/>
      <w:r w:rsidRPr="009C6FEF">
        <w:rPr>
          <w:rFonts w:ascii="Times New Roman" w:eastAsia="Calibri" w:hAnsi="Times New Roman" w:cs="Times New Roman"/>
          <w:sz w:val="24"/>
          <w:szCs w:val="24"/>
        </w:rPr>
        <w:t>, T. (2020). Role of sustainable tourism and ecotourism development in Ethiopia. Journal of Forestry and Environment, 2(2), 25-35.</w:t>
      </w:r>
    </w:p>
    <w:p w14:paraId="4C2DA16C"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TRIBE, E. O. A. I. (2024). THE KHARIA. Particularly Vulnerable Tribal Groups of India: Livelihood Patterns and Development Strategies (Volume 1), 168.</w:t>
      </w:r>
    </w:p>
    <w:p w14:paraId="0D9696A3"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van Wyk-Jacobs, L. (2018). Astro-tourism as a catalyst for rural route development. University of Pretoria (South Africa).</w:t>
      </w:r>
    </w:p>
    <w:p w14:paraId="651D9BFE"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Verdes, A., Navarro, C., &amp; Álvarez‐Campos, P. (2021). Mobile learning applications to improve invertebrate zoology online teaching. Invertebrate Biology, 140(1), e12321.</w:t>
      </w:r>
    </w:p>
    <w:p w14:paraId="3BF642A1"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Wani, M. D., Dada, Z. A., Bhat, W. A., &amp; Shah, S. A. (2025). Community-driven ecotourism in the trans Himalayan region: A sustainable model for cultural and environmental preservation. Community Development, 1-23.</w:t>
      </w:r>
    </w:p>
    <w:p w14:paraId="7166EEC8"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Yang, Y., Shafi, M., Song, X., &amp; Yang, R. (2018). Preservation of cultural heritage embodied in traditional crafts in the developing countries. A case study of Pakistani handicraft industry. Sustainability, 10(5), 1336.</w:t>
      </w:r>
    </w:p>
    <w:p w14:paraId="14E355C3"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lastRenderedPageBreak/>
        <w:t xml:space="preserve">Yasin, K. H., &amp; Woldemariam, G. W. (2023). GIS-based ecotourism potentiality mapping in the East </w:t>
      </w:r>
      <w:proofErr w:type="spellStart"/>
      <w:r w:rsidRPr="009C6FEF">
        <w:rPr>
          <w:rFonts w:ascii="Times New Roman" w:eastAsia="Calibri" w:hAnsi="Times New Roman" w:cs="Times New Roman"/>
          <w:sz w:val="24"/>
          <w:szCs w:val="24"/>
        </w:rPr>
        <w:t>Hararghe</w:t>
      </w:r>
      <w:proofErr w:type="spellEnd"/>
      <w:r w:rsidRPr="009C6FEF">
        <w:rPr>
          <w:rFonts w:ascii="Times New Roman" w:eastAsia="Calibri" w:hAnsi="Times New Roman" w:cs="Times New Roman"/>
          <w:sz w:val="24"/>
          <w:szCs w:val="24"/>
        </w:rPr>
        <w:t xml:space="preserve"> Zone, Ethiopia. </w:t>
      </w:r>
      <w:proofErr w:type="spellStart"/>
      <w:r w:rsidRPr="009C6FEF">
        <w:rPr>
          <w:rFonts w:ascii="Times New Roman" w:eastAsia="Calibri" w:hAnsi="Times New Roman" w:cs="Times New Roman"/>
          <w:sz w:val="24"/>
          <w:szCs w:val="24"/>
        </w:rPr>
        <w:t>Heliyon</w:t>
      </w:r>
      <w:proofErr w:type="spellEnd"/>
      <w:r w:rsidRPr="009C6FEF">
        <w:rPr>
          <w:rFonts w:ascii="Times New Roman" w:eastAsia="Calibri" w:hAnsi="Times New Roman" w:cs="Times New Roman"/>
          <w:sz w:val="24"/>
          <w:szCs w:val="24"/>
        </w:rPr>
        <w:t>, 9(8).</w:t>
      </w:r>
    </w:p>
    <w:p w14:paraId="477D0366" w14:textId="5EB0D396" w:rsidR="00B555D6" w:rsidRPr="009C6FEF" w:rsidRDefault="00B555D6" w:rsidP="00194612">
      <w:pPr>
        <w:spacing w:after="0" w:line="360" w:lineRule="auto"/>
        <w:ind w:left="567" w:hanging="567"/>
        <w:jc w:val="both"/>
        <w:rPr>
          <w:rFonts w:ascii="Times New Roman" w:eastAsia="Calibri" w:hAnsi="Times New Roman" w:cs="Times New Roman"/>
          <w:sz w:val="24"/>
          <w:szCs w:val="24"/>
        </w:rPr>
      </w:pPr>
    </w:p>
    <w:sectPr w:rsidR="00B555D6" w:rsidRPr="009C6FEF" w:rsidSect="00373D4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F0EE2" w14:textId="77777777" w:rsidR="006C614D" w:rsidRDefault="006C614D" w:rsidP="00F6587A">
      <w:pPr>
        <w:spacing w:after="0" w:line="240" w:lineRule="auto"/>
      </w:pPr>
      <w:r>
        <w:separator/>
      </w:r>
    </w:p>
  </w:endnote>
  <w:endnote w:type="continuationSeparator" w:id="0">
    <w:p w14:paraId="405C62E1" w14:textId="77777777" w:rsidR="006C614D" w:rsidRDefault="006C614D" w:rsidP="00F65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40785" w14:textId="77777777" w:rsidR="00F6587A" w:rsidRDefault="00F658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5A664" w14:textId="77777777" w:rsidR="00F6587A" w:rsidRDefault="00F658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B0A9E" w14:textId="77777777" w:rsidR="00F6587A" w:rsidRDefault="00F658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EBE1D" w14:textId="77777777" w:rsidR="006C614D" w:rsidRDefault="006C614D" w:rsidP="00F6587A">
      <w:pPr>
        <w:spacing w:after="0" w:line="240" w:lineRule="auto"/>
      </w:pPr>
      <w:r>
        <w:separator/>
      </w:r>
    </w:p>
  </w:footnote>
  <w:footnote w:type="continuationSeparator" w:id="0">
    <w:p w14:paraId="2A2194C5" w14:textId="77777777" w:rsidR="006C614D" w:rsidRDefault="006C614D" w:rsidP="00F658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1DAFD" w14:textId="2EC3058E" w:rsidR="00F6587A" w:rsidRDefault="00F6587A">
    <w:pPr>
      <w:pStyle w:val="Header"/>
    </w:pPr>
    <w:r>
      <w:rPr>
        <w:noProof/>
      </w:rPr>
      <w:pict w14:anchorId="11D4E0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40328" w14:textId="364C5DBC" w:rsidR="00F6587A" w:rsidRDefault="00F6587A">
    <w:pPr>
      <w:pStyle w:val="Header"/>
    </w:pPr>
    <w:r>
      <w:rPr>
        <w:noProof/>
      </w:rPr>
      <w:pict w14:anchorId="114C4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3D5BE" w14:textId="611DF752" w:rsidR="00F6587A" w:rsidRDefault="00F6587A">
    <w:pPr>
      <w:pStyle w:val="Header"/>
    </w:pPr>
    <w:r>
      <w:rPr>
        <w:noProof/>
      </w:rPr>
      <w:pict w14:anchorId="1B95E9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0620D"/>
    <w:multiLevelType w:val="hybridMultilevel"/>
    <w:tmpl w:val="C09C93A6"/>
    <w:lvl w:ilvl="0" w:tplc="46B0360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C653C03"/>
    <w:multiLevelType w:val="hybridMultilevel"/>
    <w:tmpl w:val="057A7FB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7F12335"/>
    <w:multiLevelType w:val="hybridMultilevel"/>
    <w:tmpl w:val="9F32C77A"/>
    <w:lvl w:ilvl="0" w:tplc="BB5E83E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B8A01BE"/>
    <w:multiLevelType w:val="hybridMultilevel"/>
    <w:tmpl w:val="FE0A81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264"/>
    <w:rsid w:val="00003645"/>
    <w:rsid w:val="0000755F"/>
    <w:rsid w:val="00035B67"/>
    <w:rsid w:val="00040642"/>
    <w:rsid w:val="00051825"/>
    <w:rsid w:val="000647CE"/>
    <w:rsid w:val="000710C7"/>
    <w:rsid w:val="00073764"/>
    <w:rsid w:val="000A1885"/>
    <w:rsid w:val="000A3466"/>
    <w:rsid w:val="000B5BF7"/>
    <w:rsid w:val="000C121B"/>
    <w:rsid w:val="000C44A3"/>
    <w:rsid w:val="000C4511"/>
    <w:rsid w:val="000C55F7"/>
    <w:rsid w:val="000D0C38"/>
    <w:rsid w:val="000D2237"/>
    <w:rsid w:val="000D2ADA"/>
    <w:rsid w:val="000D3617"/>
    <w:rsid w:val="000E33A2"/>
    <w:rsid w:val="000F6745"/>
    <w:rsid w:val="001144CA"/>
    <w:rsid w:val="001326B6"/>
    <w:rsid w:val="0013470B"/>
    <w:rsid w:val="00135565"/>
    <w:rsid w:val="00135B60"/>
    <w:rsid w:val="00136149"/>
    <w:rsid w:val="00140CB4"/>
    <w:rsid w:val="00150981"/>
    <w:rsid w:val="00152677"/>
    <w:rsid w:val="00155CB7"/>
    <w:rsid w:val="0015697E"/>
    <w:rsid w:val="00194612"/>
    <w:rsid w:val="001A6397"/>
    <w:rsid w:val="001A6C49"/>
    <w:rsid w:val="001B3516"/>
    <w:rsid w:val="001B67D2"/>
    <w:rsid w:val="001B7D6C"/>
    <w:rsid w:val="001C5A26"/>
    <w:rsid w:val="001D1B8E"/>
    <w:rsid w:val="001E3A19"/>
    <w:rsid w:val="001E4578"/>
    <w:rsid w:val="001F0C6F"/>
    <w:rsid w:val="001F60C9"/>
    <w:rsid w:val="002248BF"/>
    <w:rsid w:val="00225523"/>
    <w:rsid w:val="00226587"/>
    <w:rsid w:val="00232BDB"/>
    <w:rsid w:val="0023771E"/>
    <w:rsid w:val="002405BD"/>
    <w:rsid w:val="00245B4D"/>
    <w:rsid w:val="0025442C"/>
    <w:rsid w:val="0026480C"/>
    <w:rsid w:val="00272714"/>
    <w:rsid w:val="00281B05"/>
    <w:rsid w:val="002A2C47"/>
    <w:rsid w:val="002C4156"/>
    <w:rsid w:val="002D63CD"/>
    <w:rsid w:val="002F047C"/>
    <w:rsid w:val="002F1C53"/>
    <w:rsid w:val="002F6160"/>
    <w:rsid w:val="00310519"/>
    <w:rsid w:val="00312A2D"/>
    <w:rsid w:val="00332D21"/>
    <w:rsid w:val="00341483"/>
    <w:rsid w:val="00342CA2"/>
    <w:rsid w:val="003476B3"/>
    <w:rsid w:val="00351AD5"/>
    <w:rsid w:val="0035513D"/>
    <w:rsid w:val="00357A47"/>
    <w:rsid w:val="00373D49"/>
    <w:rsid w:val="00377AAF"/>
    <w:rsid w:val="00387BA8"/>
    <w:rsid w:val="00391FF0"/>
    <w:rsid w:val="00395D47"/>
    <w:rsid w:val="003A3268"/>
    <w:rsid w:val="003B2168"/>
    <w:rsid w:val="003C1BA1"/>
    <w:rsid w:val="003D2BC8"/>
    <w:rsid w:val="003E50DA"/>
    <w:rsid w:val="003E5269"/>
    <w:rsid w:val="003E63BC"/>
    <w:rsid w:val="003F7C06"/>
    <w:rsid w:val="00412D79"/>
    <w:rsid w:val="0041746C"/>
    <w:rsid w:val="004236D8"/>
    <w:rsid w:val="004308A0"/>
    <w:rsid w:val="004356B9"/>
    <w:rsid w:val="00446EA1"/>
    <w:rsid w:val="00453787"/>
    <w:rsid w:val="00460F2F"/>
    <w:rsid w:val="00465A83"/>
    <w:rsid w:val="004917D9"/>
    <w:rsid w:val="00492113"/>
    <w:rsid w:val="00492376"/>
    <w:rsid w:val="004972A6"/>
    <w:rsid w:val="004A0228"/>
    <w:rsid w:val="004B6575"/>
    <w:rsid w:val="004C4780"/>
    <w:rsid w:val="004D3501"/>
    <w:rsid w:val="004D59E5"/>
    <w:rsid w:val="004D65A2"/>
    <w:rsid w:val="004E77B9"/>
    <w:rsid w:val="00500671"/>
    <w:rsid w:val="00513107"/>
    <w:rsid w:val="00524899"/>
    <w:rsid w:val="005305E3"/>
    <w:rsid w:val="00586812"/>
    <w:rsid w:val="00590435"/>
    <w:rsid w:val="005A0952"/>
    <w:rsid w:val="005A217D"/>
    <w:rsid w:val="005A28D9"/>
    <w:rsid w:val="005B33A4"/>
    <w:rsid w:val="005B513F"/>
    <w:rsid w:val="005C4316"/>
    <w:rsid w:val="005E13C6"/>
    <w:rsid w:val="005F2245"/>
    <w:rsid w:val="005F3465"/>
    <w:rsid w:val="005F41E9"/>
    <w:rsid w:val="00603CE6"/>
    <w:rsid w:val="00605B14"/>
    <w:rsid w:val="00612478"/>
    <w:rsid w:val="00613834"/>
    <w:rsid w:val="00635E6E"/>
    <w:rsid w:val="006446D7"/>
    <w:rsid w:val="00645026"/>
    <w:rsid w:val="006574CC"/>
    <w:rsid w:val="006649FB"/>
    <w:rsid w:val="00666264"/>
    <w:rsid w:val="00684905"/>
    <w:rsid w:val="00686EE5"/>
    <w:rsid w:val="0069011C"/>
    <w:rsid w:val="00695F46"/>
    <w:rsid w:val="006B6EF7"/>
    <w:rsid w:val="006B7E07"/>
    <w:rsid w:val="006C3A33"/>
    <w:rsid w:val="006C614D"/>
    <w:rsid w:val="006D6BA6"/>
    <w:rsid w:val="006E09F7"/>
    <w:rsid w:val="006E3FA6"/>
    <w:rsid w:val="007070E0"/>
    <w:rsid w:val="007077A1"/>
    <w:rsid w:val="00722D9D"/>
    <w:rsid w:val="00737516"/>
    <w:rsid w:val="007508FE"/>
    <w:rsid w:val="00755521"/>
    <w:rsid w:val="007603EB"/>
    <w:rsid w:val="007655EA"/>
    <w:rsid w:val="0077677A"/>
    <w:rsid w:val="00791A7D"/>
    <w:rsid w:val="007B1B32"/>
    <w:rsid w:val="007C2A54"/>
    <w:rsid w:val="007D12C0"/>
    <w:rsid w:val="007D239F"/>
    <w:rsid w:val="007E1D9F"/>
    <w:rsid w:val="007E2DF7"/>
    <w:rsid w:val="00802664"/>
    <w:rsid w:val="008130B2"/>
    <w:rsid w:val="0082062B"/>
    <w:rsid w:val="008212F7"/>
    <w:rsid w:val="008277E1"/>
    <w:rsid w:val="00832B6C"/>
    <w:rsid w:val="008373FA"/>
    <w:rsid w:val="00843E79"/>
    <w:rsid w:val="00847450"/>
    <w:rsid w:val="00856ECB"/>
    <w:rsid w:val="00866102"/>
    <w:rsid w:val="00875732"/>
    <w:rsid w:val="008A293A"/>
    <w:rsid w:val="008C494C"/>
    <w:rsid w:val="008C6119"/>
    <w:rsid w:val="008D0399"/>
    <w:rsid w:val="008D23DA"/>
    <w:rsid w:val="008D2938"/>
    <w:rsid w:val="008D37E0"/>
    <w:rsid w:val="008D5BD3"/>
    <w:rsid w:val="009147FF"/>
    <w:rsid w:val="00923A76"/>
    <w:rsid w:val="0092503F"/>
    <w:rsid w:val="0092509E"/>
    <w:rsid w:val="009365E6"/>
    <w:rsid w:val="009738C3"/>
    <w:rsid w:val="00986219"/>
    <w:rsid w:val="0098623B"/>
    <w:rsid w:val="00991B3C"/>
    <w:rsid w:val="0099512E"/>
    <w:rsid w:val="009A19C9"/>
    <w:rsid w:val="009C6FEF"/>
    <w:rsid w:val="009C7FF9"/>
    <w:rsid w:val="00A126E2"/>
    <w:rsid w:val="00A150AB"/>
    <w:rsid w:val="00A15742"/>
    <w:rsid w:val="00A21248"/>
    <w:rsid w:val="00A21D36"/>
    <w:rsid w:val="00A33C85"/>
    <w:rsid w:val="00A40481"/>
    <w:rsid w:val="00A42C0F"/>
    <w:rsid w:val="00A44B53"/>
    <w:rsid w:val="00A44C44"/>
    <w:rsid w:val="00A47451"/>
    <w:rsid w:val="00A61AAF"/>
    <w:rsid w:val="00A628D9"/>
    <w:rsid w:val="00A83A52"/>
    <w:rsid w:val="00A94AC7"/>
    <w:rsid w:val="00A97A3E"/>
    <w:rsid w:val="00AA251B"/>
    <w:rsid w:val="00AB1BED"/>
    <w:rsid w:val="00AC051C"/>
    <w:rsid w:val="00AD504A"/>
    <w:rsid w:val="00AE2519"/>
    <w:rsid w:val="00AE66E7"/>
    <w:rsid w:val="00AF55FA"/>
    <w:rsid w:val="00B01310"/>
    <w:rsid w:val="00B03993"/>
    <w:rsid w:val="00B12F46"/>
    <w:rsid w:val="00B13E3E"/>
    <w:rsid w:val="00B156C2"/>
    <w:rsid w:val="00B23FC3"/>
    <w:rsid w:val="00B555D6"/>
    <w:rsid w:val="00B56A64"/>
    <w:rsid w:val="00BA22A3"/>
    <w:rsid w:val="00BA470D"/>
    <w:rsid w:val="00BB578E"/>
    <w:rsid w:val="00BC459E"/>
    <w:rsid w:val="00BC7DC8"/>
    <w:rsid w:val="00BD53C8"/>
    <w:rsid w:val="00BD6897"/>
    <w:rsid w:val="00BF43D3"/>
    <w:rsid w:val="00C15F31"/>
    <w:rsid w:val="00C2218F"/>
    <w:rsid w:val="00C2227F"/>
    <w:rsid w:val="00C27914"/>
    <w:rsid w:val="00C307DC"/>
    <w:rsid w:val="00C35E4D"/>
    <w:rsid w:val="00C45CAD"/>
    <w:rsid w:val="00C5248F"/>
    <w:rsid w:val="00C83209"/>
    <w:rsid w:val="00C91AEA"/>
    <w:rsid w:val="00C920B7"/>
    <w:rsid w:val="00CA52A8"/>
    <w:rsid w:val="00CC283B"/>
    <w:rsid w:val="00CC3D28"/>
    <w:rsid w:val="00CC5F34"/>
    <w:rsid w:val="00CC7AD6"/>
    <w:rsid w:val="00CC7AEE"/>
    <w:rsid w:val="00CC7FE7"/>
    <w:rsid w:val="00CD0FED"/>
    <w:rsid w:val="00CF3FC0"/>
    <w:rsid w:val="00D02F60"/>
    <w:rsid w:val="00D05B19"/>
    <w:rsid w:val="00D07025"/>
    <w:rsid w:val="00D139EE"/>
    <w:rsid w:val="00D13E85"/>
    <w:rsid w:val="00D27D4E"/>
    <w:rsid w:val="00D35D1F"/>
    <w:rsid w:val="00D41664"/>
    <w:rsid w:val="00D523D0"/>
    <w:rsid w:val="00D67B56"/>
    <w:rsid w:val="00D73F64"/>
    <w:rsid w:val="00D80AC0"/>
    <w:rsid w:val="00D83A55"/>
    <w:rsid w:val="00D8776D"/>
    <w:rsid w:val="00D93CB2"/>
    <w:rsid w:val="00DA00DB"/>
    <w:rsid w:val="00DA72A4"/>
    <w:rsid w:val="00DB0D40"/>
    <w:rsid w:val="00DC6BA3"/>
    <w:rsid w:val="00DF149A"/>
    <w:rsid w:val="00DF295B"/>
    <w:rsid w:val="00E036DB"/>
    <w:rsid w:val="00E07DA0"/>
    <w:rsid w:val="00E16618"/>
    <w:rsid w:val="00E353A3"/>
    <w:rsid w:val="00E5731F"/>
    <w:rsid w:val="00E57AE6"/>
    <w:rsid w:val="00E604FC"/>
    <w:rsid w:val="00E62157"/>
    <w:rsid w:val="00E80436"/>
    <w:rsid w:val="00E84CA0"/>
    <w:rsid w:val="00E85976"/>
    <w:rsid w:val="00E85A87"/>
    <w:rsid w:val="00E90F3D"/>
    <w:rsid w:val="00E92300"/>
    <w:rsid w:val="00EA69B2"/>
    <w:rsid w:val="00EA69DA"/>
    <w:rsid w:val="00EA725E"/>
    <w:rsid w:val="00EA76EB"/>
    <w:rsid w:val="00EB01EC"/>
    <w:rsid w:val="00EC2558"/>
    <w:rsid w:val="00ED0A88"/>
    <w:rsid w:val="00ED37AC"/>
    <w:rsid w:val="00ED4F14"/>
    <w:rsid w:val="00ED56B1"/>
    <w:rsid w:val="00EE2FE1"/>
    <w:rsid w:val="00F07021"/>
    <w:rsid w:val="00F07E23"/>
    <w:rsid w:val="00F173F4"/>
    <w:rsid w:val="00F26887"/>
    <w:rsid w:val="00F504FA"/>
    <w:rsid w:val="00F6587A"/>
    <w:rsid w:val="00FA7330"/>
    <w:rsid w:val="00FB096C"/>
    <w:rsid w:val="00FB6A32"/>
    <w:rsid w:val="00FD079F"/>
    <w:rsid w:val="00FD0A0A"/>
    <w:rsid w:val="00FE3387"/>
    <w:rsid w:val="00FE6325"/>
    <w:rsid w:val="00FF3A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95450A4"/>
  <w15:chartTrackingRefBased/>
  <w15:docId w15:val="{C419D144-FD86-4E43-B60F-B3DCC6B27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5523"/>
  </w:style>
  <w:style w:type="paragraph" w:styleId="Heading1">
    <w:name w:val="heading 1"/>
    <w:basedOn w:val="Normal"/>
    <w:next w:val="Normal"/>
    <w:link w:val="Heading1Char"/>
    <w:uiPriority w:val="9"/>
    <w:qFormat/>
    <w:rsid w:val="006662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62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626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626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626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62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62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62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62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2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62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62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62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62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62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62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6264"/>
    <w:rPr>
      <w:rFonts w:eastAsiaTheme="majorEastAsia" w:cstheme="majorBidi"/>
      <w:color w:val="272727" w:themeColor="text1" w:themeTint="D8"/>
    </w:rPr>
  </w:style>
  <w:style w:type="paragraph" w:styleId="Title">
    <w:name w:val="Title"/>
    <w:basedOn w:val="Normal"/>
    <w:next w:val="Normal"/>
    <w:link w:val="TitleChar"/>
    <w:uiPriority w:val="10"/>
    <w:qFormat/>
    <w:rsid w:val="006662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62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62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62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6264"/>
    <w:pPr>
      <w:spacing w:before="160"/>
      <w:jc w:val="center"/>
    </w:pPr>
    <w:rPr>
      <w:i/>
      <w:iCs/>
      <w:color w:val="404040" w:themeColor="text1" w:themeTint="BF"/>
    </w:rPr>
  </w:style>
  <w:style w:type="character" w:customStyle="1" w:styleId="QuoteChar">
    <w:name w:val="Quote Char"/>
    <w:basedOn w:val="DefaultParagraphFont"/>
    <w:link w:val="Quote"/>
    <w:uiPriority w:val="29"/>
    <w:rsid w:val="00666264"/>
    <w:rPr>
      <w:i/>
      <w:iCs/>
      <w:color w:val="404040" w:themeColor="text1" w:themeTint="BF"/>
    </w:rPr>
  </w:style>
  <w:style w:type="paragraph" w:styleId="ListParagraph">
    <w:name w:val="List Paragraph"/>
    <w:basedOn w:val="Normal"/>
    <w:uiPriority w:val="34"/>
    <w:qFormat/>
    <w:rsid w:val="00666264"/>
    <w:pPr>
      <w:ind w:left="720"/>
      <w:contextualSpacing/>
    </w:pPr>
  </w:style>
  <w:style w:type="character" w:styleId="IntenseEmphasis">
    <w:name w:val="Intense Emphasis"/>
    <w:basedOn w:val="DefaultParagraphFont"/>
    <w:uiPriority w:val="21"/>
    <w:qFormat/>
    <w:rsid w:val="00666264"/>
    <w:rPr>
      <w:i/>
      <w:iCs/>
      <w:color w:val="2F5496" w:themeColor="accent1" w:themeShade="BF"/>
    </w:rPr>
  </w:style>
  <w:style w:type="paragraph" w:styleId="IntenseQuote">
    <w:name w:val="Intense Quote"/>
    <w:basedOn w:val="Normal"/>
    <w:next w:val="Normal"/>
    <w:link w:val="IntenseQuoteChar"/>
    <w:uiPriority w:val="30"/>
    <w:qFormat/>
    <w:rsid w:val="006662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6264"/>
    <w:rPr>
      <w:i/>
      <w:iCs/>
      <w:color w:val="2F5496" w:themeColor="accent1" w:themeShade="BF"/>
    </w:rPr>
  </w:style>
  <w:style w:type="character" w:styleId="IntenseReference">
    <w:name w:val="Intense Reference"/>
    <w:basedOn w:val="DefaultParagraphFont"/>
    <w:uiPriority w:val="32"/>
    <w:qFormat/>
    <w:rsid w:val="00666264"/>
    <w:rPr>
      <w:b/>
      <w:bCs/>
      <w:smallCaps/>
      <w:color w:val="2F5496" w:themeColor="accent1" w:themeShade="BF"/>
      <w:spacing w:val="5"/>
    </w:rPr>
  </w:style>
  <w:style w:type="table" w:styleId="TableGrid">
    <w:name w:val="Table Grid"/>
    <w:basedOn w:val="TableNormal"/>
    <w:uiPriority w:val="39"/>
    <w:rsid w:val="00995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4578"/>
    <w:rPr>
      <w:color w:val="0563C1" w:themeColor="hyperlink"/>
      <w:u w:val="single"/>
    </w:rPr>
  </w:style>
  <w:style w:type="character" w:styleId="UnresolvedMention">
    <w:name w:val="Unresolved Mention"/>
    <w:basedOn w:val="DefaultParagraphFont"/>
    <w:uiPriority w:val="99"/>
    <w:semiHidden/>
    <w:unhideWhenUsed/>
    <w:rsid w:val="001E4578"/>
    <w:rPr>
      <w:color w:val="605E5C"/>
      <w:shd w:val="clear" w:color="auto" w:fill="E1DFDD"/>
    </w:rPr>
  </w:style>
  <w:style w:type="paragraph" w:styleId="Header">
    <w:name w:val="header"/>
    <w:basedOn w:val="Normal"/>
    <w:link w:val="HeaderChar"/>
    <w:uiPriority w:val="99"/>
    <w:unhideWhenUsed/>
    <w:rsid w:val="00F658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87A"/>
  </w:style>
  <w:style w:type="paragraph" w:styleId="Footer">
    <w:name w:val="footer"/>
    <w:basedOn w:val="Normal"/>
    <w:link w:val="FooterChar"/>
    <w:uiPriority w:val="99"/>
    <w:unhideWhenUsed/>
    <w:rsid w:val="00F658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8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B5767-DE76-4DE0-B214-46A0B616D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1057</TotalTime>
  <Pages>26</Pages>
  <Words>7532</Words>
  <Characters>42934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Uttam Bhunia</dc:creator>
  <cp:keywords/>
  <dc:description/>
  <cp:lastModifiedBy>SDI 1084</cp:lastModifiedBy>
  <cp:revision>287</cp:revision>
  <dcterms:created xsi:type="dcterms:W3CDTF">2025-09-11T14:29:00Z</dcterms:created>
  <dcterms:modified xsi:type="dcterms:W3CDTF">2026-02-10T12:40:00Z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4c1e2c5a-615f-4357-a9c3-ec65a5d798d1</vt:lpwstr>
  </property>
</Properties>
</file>