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D6AF7" w14:textId="3AD8562E" w:rsidR="003D3B25" w:rsidRPr="004304ED" w:rsidRDefault="003D3B25" w:rsidP="001B3FEE">
      <w:pPr>
        <w:spacing w:after="0" w:line="240" w:lineRule="auto"/>
        <w:jc w:val="both"/>
        <w:rPr>
          <w:rFonts w:ascii="Times New Roman" w:hAnsi="Times New Roman" w:cs="Times New Roman"/>
          <w:b/>
        </w:rPr>
      </w:pPr>
      <w:r w:rsidRPr="004304ED">
        <w:rPr>
          <w:rFonts w:ascii="Times New Roman" w:hAnsi="Times New Roman" w:cs="Times New Roman"/>
          <w:b/>
        </w:rPr>
        <w:t>Geochemical signatures and waste-soil interaction</w:t>
      </w:r>
      <w:r w:rsidR="00EF589B" w:rsidRPr="004304ED">
        <w:rPr>
          <w:rFonts w:ascii="Times New Roman" w:hAnsi="Times New Roman" w:cs="Times New Roman"/>
          <w:b/>
        </w:rPr>
        <w:t>s</w:t>
      </w:r>
      <w:r w:rsidRPr="004304ED">
        <w:rPr>
          <w:rFonts w:ascii="Times New Roman" w:hAnsi="Times New Roman" w:cs="Times New Roman"/>
          <w:b/>
        </w:rPr>
        <w:t xml:space="preserve"> </w:t>
      </w:r>
      <w:r w:rsidR="00876397" w:rsidRPr="004304ED">
        <w:rPr>
          <w:rFonts w:ascii="Times New Roman" w:hAnsi="Times New Roman" w:cs="Times New Roman"/>
          <w:b/>
        </w:rPr>
        <w:t xml:space="preserve">of heavy metals in open dumpsite soils: </w:t>
      </w:r>
    </w:p>
    <w:p w14:paraId="4B2D2956" w14:textId="2C3E4568" w:rsidR="00876397" w:rsidRPr="004304ED" w:rsidRDefault="00876397" w:rsidP="00876397">
      <w:pPr>
        <w:spacing w:after="0" w:line="240" w:lineRule="auto"/>
        <w:rPr>
          <w:rFonts w:ascii="Times New Roman" w:hAnsi="Times New Roman" w:cs="Times New Roman"/>
          <w:b/>
          <w:bCs/>
        </w:rPr>
      </w:pPr>
      <w:r w:rsidRPr="004304ED">
        <w:rPr>
          <w:rFonts w:ascii="Times New Roman" w:hAnsi="Times New Roman" w:cs="Times New Roman"/>
          <w:b/>
          <w:bCs/>
        </w:rPr>
        <w:t>Implications for contaminant dynamics and soil health</w:t>
      </w:r>
    </w:p>
    <w:p w14:paraId="2F81F4EE" w14:textId="6F038EC5" w:rsidR="003D3B25" w:rsidRPr="004304ED" w:rsidRDefault="00876397" w:rsidP="001B3FEE">
      <w:pPr>
        <w:spacing w:after="0" w:line="240" w:lineRule="auto"/>
        <w:jc w:val="both"/>
        <w:rPr>
          <w:rFonts w:ascii="Times New Roman" w:hAnsi="Times New Roman" w:cs="Times New Roman"/>
        </w:rPr>
      </w:pPr>
      <w:r w:rsidRPr="004304ED">
        <w:rPr>
          <w:rFonts w:ascii="Times New Roman" w:hAnsi="Times New Roman" w:cs="Times New Roman"/>
        </w:rPr>
        <w:t xml:space="preserve"> </w:t>
      </w:r>
    </w:p>
    <w:p w14:paraId="72DAF182" w14:textId="77777777" w:rsidR="00BC510B" w:rsidRPr="00BC510B" w:rsidRDefault="00BC510B" w:rsidP="00894E5A">
      <w:pPr>
        <w:spacing w:after="0" w:line="360" w:lineRule="auto"/>
        <w:rPr>
          <w:rFonts w:ascii="Times New Roman" w:hAnsi="Times New Roman" w:cs="Times New Roman"/>
          <w:bCs/>
          <w:sz w:val="18"/>
          <w:szCs w:val="18"/>
        </w:rPr>
      </w:pPr>
    </w:p>
    <w:p w14:paraId="1B20E173" w14:textId="23DA62B8" w:rsidR="001B3FEE" w:rsidRPr="004304ED" w:rsidRDefault="001B3FEE" w:rsidP="001B3FEE">
      <w:pPr>
        <w:spacing w:after="0" w:line="360" w:lineRule="auto"/>
        <w:rPr>
          <w:rFonts w:ascii="Times New Roman" w:hAnsi="Times New Roman" w:cs="Times New Roman"/>
          <w:b/>
          <w:bCs/>
        </w:rPr>
      </w:pPr>
      <w:r w:rsidRPr="004304ED">
        <w:rPr>
          <w:rFonts w:ascii="Times New Roman" w:hAnsi="Times New Roman" w:cs="Times New Roman"/>
          <w:b/>
          <w:bCs/>
        </w:rPr>
        <w:t>A</w:t>
      </w:r>
      <w:r w:rsidR="00C420A6" w:rsidRPr="004304ED">
        <w:rPr>
          <w:rFonts w:ascii="Times New Roman" w:hAnsi="Times New Roman" w:cs="Times New Roman"/>
          <w:b/>
          <w:bCs/>
        </w:rPr>
        <w:t>BSTRACT</w:t>
      </w:r>
    </w:p>
    <w:p w14:paraId="77F8B55D" w14:textId="3FF68130" w:rsidR="0020481D" w:rsidRPr="004304ED" w:rsidRDefault="002978D3" w:rsidP="001B3FEE">
      <w:pPr>
        <w:spacing w:after="0" w:line="360" w:lineRule="auto"/>
        <w:rPr>
          <w:rFonts w:ascii="Times New Roman" w:hAnsi="Times New Roman" w:cs="Times New Roman"/>
        </w:rPr>
      </w:pPr>
      <w:r w:rsidRPr="004304ED">
        <w:rPr>
          <w:rFonts w:ascii="Times New Roman" w:hAnsi="Times New Roman" w:cs="Times New Roman"/>
        </w:rPr>
        <w:t xml:space="preserve">This study investigated the physicochemical properties, heavy metal concentrations, and depth-dependent release behavior of soils impacted by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paint-processing, and abattoir wastes in Akwa Ibom State, Nigeria. Composite soil samples collected directly beneath waste piles and from a control site were analyzed for texture, pH, organic carbon, electrical conductivity, cation exchange capacity, and base saturation, alongside aqua regia-extractable Pb, Cd, Cr, Ni, and V. Waste inputs significantly altered soil chemical properties, producing marked shifts in pH, organic carbon, ionic strength, and exchange capacity. Heavy metal concentrations in dumpsite soils were substantially elevated relative to the control, with mean values following the general sequence C &lt; AB &lt; P &lt; A for Pb, Cd, Cr, and Ni. Lead and cadmium concentrations in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paint-processing soils exceeded international guideline limits for residential soils, indicating severe contamination. Depth-profile analysis revealed that Pb and V were relatively uniform with depth, while Cd and Ni showed significant attenuation with depth. Heavy Metal Release Percentage (HMR) analysis demonstrated the highest release in the topsoil (0–20 cm), declining with depth, though persistently high Pb and Ni release at some subsurface layers suggested potential groundwater risk. The study highlights the need for improved waste management, soil remediation, and continuous environmental monitoring to protect soil and groundwater resources in the region.</w:t>
      </w:r>
    </w:p>
    <w:p w14:paraId="054F4E41" w14:textId="77777777" w:rsidR="002978D3" w:rsidRPr="004304ED" w:rsidRDefault="002978D3" w:rsidP="001B3FEE">
      <w:pPr>
        <w:spacing w:after="0" w:line="360" w:lineRule="auto"/>
        <w:rPr>
          <w:rFonts w:ascii="Times New Roman" w:hAnsi="Times New Roman" w:cs="Times New Roman"/>
        </w:rPr>
      </w:pPr>
    </w:p>
    <w:p w14:paraId="088501F7" w14:textId="22151ABA" w:rsidR="001B3FEE" w:rsidRDefault="001B3FEE" w:rsidP="001B3FEE">
      <w:pPr>
        <w:spacing w:after="0" w:line="360" w:lineRule="auto"/>
        <w:rPr>
          <w:rFonts w:ascii="Times New Roman" w:hAnsi="Times New Roman" w:cs="Times New Roman"/>
        </w:rPr>
      </w:pPr>
      <w:r w:rsidRPr="004304ED">
        <w:rPr>
          <w:rFonts w:ascii="Times New Roman" w:hAnsi="Times New Roman" w:cs="Times New Roman"/>
          <w:b/>
          <w:bCs/>
        </w:rPr>
        <w:t xml:space="preserve">Keywords: </w:t>
      </w:r>
      <w:r w:rsidR="002978D3" w:rsidRPr="004304ED">
        <w:rPr>
          <w:rFonts w:ascii="Times New Roman" w:hAnsi="Times New Roman" w:cs="Times New Roman"/>
        </w:rPr>
        <w:t>H</w:t>
      </w:r>
      <w:r w:rsidRPr="004304ED">
        <w:rPr>
          <w:rFonts w:ascii="Times New Roman" w:hAnsi="Times New Roman" w:cs="Times New Roman"/>
        </w:rPr>
        <w:t>eavy metals, soil contamination, physicochemical properties, waste</w:t>
      </w:r>
      <w:r w:rsidR="002978D3" w:rsidRPr="004304ED">
        <w:rPr>
          <w:rFonts w:ascii="Times New Roman" w:hAnsi="Times New Roman" w:cs="Times New Roman"/>
        </w:rPr>
        <w:t>-</w:t>
      </w:r>
      <w:r w:rsidRPr="004304ED">
        <w:rPr>
          <w:rFonts w:ascii="Times New Roman" w:hAnsi="Times New Roman" w:cs="Times New Roman"/>
        </w:rPr>
        <w:t>soil interaction, environmental geochemistry, remediation</w:t>
      </w:r>
    </w:p>
    <w:p w14:paraId="7685ABE1" w14:textId="77777777" w:rsidR="00BC510B" w:rsidRDefault="00BC510B" w:rsidP="001B3FEE">
      <w:pPr>
        <w:spacing w:after="0" w:line="360" w:lineRule="auto"/>
        <w:rPr>
          <w:rFonts w:ascii="Times New Roman" w:hAnsi="Times New Roman" w:cs="Times New Roman"/>
        </w:rPr>
      </w:pPr>
    </w:p>
    <w:p w14:paraId="7E8010CC" w14:textId="278B0B4F" w:rsidR="00BC510B" w:rsidRDefault="00BC510B" w:rsidP="001B3FEE">
      <w:pPr>
        <w:spacing w:after="0" w:line="360" w:lineRule="auto"/>
        <w:rPr>
          <w:rFonts w:ascii="Times New Roman" w:hAnsi="Times New Roman" w:cs="Times New Roman"/>
        </w:rPr>
      </w:pPr>
    </w:p>
    <w:p w14:paraId="1C3DB011" w14:textId="059831E7" w:rsidR="00EB5769" w:rsidRDefault="00EB5769" w:rsidP="001B3FEE">
      <w:pPr>
        <w:spacing w:after="0" w:line="360" w:lineRule="auto"/>
        <w:rPr>
          <w:rFonts w:ascii="Times New Roman" w:hAnsi="Times New Roman" w:cs="Times New Roman"/>
        </w:rPr>
      </w:pPr>
    </w:p>
    <w:p w14:paraId="3ABF2776" w14:textId="5259AAB7" w:rsidR="00EB5769" w:rsidRDefault="00EB5769" w:rsidP="001B3FEE">
      <w:pPr>
        <w:spacing w:after="0" w:line="360" w:lineRule="auto"/>
        <w:rPr>
          <w:rFonts w:ascii="Times New Roman" w:hAnsi="Times New Roman" w:cs="Times New Roman"/>
        </w:rPr>
      </w:pPr>
    </w:p>
    <w:p w14:paraId="54F707F2" w14:textId="77777777" w:rsidR="00EB5769" w:rsidRDefault="00EB5769" w:rsidP="001B3FEE">
      <w:pPr>
        <w:spacing w:after="0" w:line="360" w:lineRule="auto"/>
        <w:rPr>
          <w:rFonts w:ascii="Times New Roman" w:hAnsi="Times New Roman" w:cs="Times New Roman"/>
        </w:rPr>
      </w:pPr>
    </w:p>
    <w:p w14:paraId="783165F1" w14:textId="77777777" w:rsidR="00BC510B" w:rsidRDefault="00BC510B" w:rsidP="001B3FEE">
      <w:pPr>
        <w:spacing w:after="0" w:line="360" w:lineRule="auto"/>
        <w:rPr>
          <w:rFonts w:ascii="Times New Roman" w:hAnsi="Times New Roman" w:cs="Times New Roman"/>
        </w:rPr>
      </w:pPr>
    </w:p>
    <w:p w14:paraId="53FD67CD" w14:textId="77777777" w:rsidR="00BC510B" w:rsidRDefault="00BC510B" w:rsidP="001B3FEE">
      <w:pPr>
        <w:spacing w:after="0" w:line="360" w:lineRule="auto"/>
        <w:rPr>
          <w:rFonts w:ascii="Times New Roman" w:hAnsi="Times New Roman" w:cs="Times New Roman"/>
        </w:rPr>
      </w:pPr>
    </w:p>
    <w:p w14:paraId="2D3680FE" w14:textId="77777777" w:rsidR="00BC510B" w:rsidRDefault="00BC510B" w:rsidP="001B3FEE">
      <w:pPr>
        <w:spacing w:after="0" w:line="360" w:lineRule="auto"/>
        <w:rPr>
          <w:rFonts w:ascii="Times New Roman" w:hAnsi="Times New Roman" w:cs="Times New Roman"/>
        </w:rPr>
      </w:pPr>
    </w:p>
    <w:p w14:paraId="7ACBB959" w14:textId="1BEC0AE3" w:rsidR="00894E5A" w:rsidRPr="004304ED" w:rsidRDefault="005A0F73" w:rsidP="00894E5A">
      <w:pPr>
        <w:spacing w:after="0" w:line="360" w:lineRule="auto"/>
        <w:rPr>
          <w:rFonts w:ascii="Times New Roman" w:hAnsi="Times New Roman" w:cs="Times New Roman"/>
          <w:b/>
          <w:bCs/>
        </w:rPr>
      </w:pPr>
      <w:r w:rsidRPr="004304ED">
        <w:rPr>
          <w:rFonts w:ascii="Times New Roman" w:hAnsi="Times New Roman" w:cs="Times New Roman"/>
          <w:b/>
          <w:bCs/>
        </w:rPr>
        <w:t>INTRODUCTION</w:t>
      </w:r>
    </w:p>
    <w:p w14:paraId="284CA6E5" w14:textId="57050B06"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Traditional waste disposal techni</w:t>
      </w:r>
      <w:r w:rsidR="006C7E7F" w:rsidRPr="004304ED">
        <w:rPr>
          <w:rFonts w:ascii="Times New Roman" w:hAnsi="Times New Roman" w:cs="Times New Roman"/>
        </w:rPr>
        <w:t>ques:</w:t>
      </w:r>
      <w:r w:rsidRPr="004304ED">
        <w:rPr>
          <w:rFonts w:ascii="Times New Roman" w:hAnsi="Times New Roman" w:cs="Times New Roman"/>
        </w:rPr>
        <w:t xml:space="preserve"> open dumping, uncontrolled landfilling, and rudimentary incineration, have persisted despite their well-documented environmental consequences (</w:t>
      </w:r>
      <w:r w:rsidR="001622BB" w:rsidRPr="004304ED">
        <w:rPr>
          <w:rFonts w:ascii="Times New Roman" w:hAnsi="Times New Roman" w:cs="Times New Roman"/>
        </w:rPr>
        <w:t xml:space="preserve">Ali et al. 2014; </w:t>
      </w:r>
      <w:proofErr w:type="spellStart"/>
      <w:r w:rsidRPr="004304ED">
        <w:rPr>
          <w:rFonts w:ascii="Times New Roman" w:hAnsi="Times New Roman" w:cs="Times New Roman"/>
        </w:rPr>
        <w:t>Oketola</w:t>
      </w:r>
      <w:proofErr w:type="spellEnd"/>
      <w:r w:rsidRPr="004304ED">
        <w:rPr>
          <w:rFonts w:ascii="Times New Roman" w:hAnsi="Times New Roman" w:cs="Times New Roman"/>
        </w:rPr>
        <w:t xml:space="preserve"> et al. 2015; </w:t>
      </w:r>
      <w:r w:rsidR="001622BB" w:rsidRPr="004304ED">
        <w:rPr>
          <w:rFonts w:ascii="Times New Roman" w:hAnsi="Times New Roman" w:cs="Times New Roman"/>
        </w:rPr>
        <w:t xml:space="preserve">Kebede et al. 2016; </w:t>
      </w:r>
      <w:proofErr w:type="spellStart"/>
      <w:r w:rsidRPr="004304ED">
        <w:rPr>
          <w:rFonts w:ascii="Times New Roman" w:hAnsi="Times New Roman" w:cs="Times New Roman"/>
        </w:rPr>
        <w:t>Nwaogu</w:t>
      </w:r>
      <w:proofErr w:type="spellEnd"/>
      <w:r w:rsidRPr="004304ED">
        <w:rPr>
          <w:rFonts w:ascii="Times New Roman" w:hAnsi="Times New Roman" w:cs="Times New Roman"/>
        </w:rPr>
        <w:t xml:space="preserve"> et al. 2017; </w:t>
      </w:r>
      <w:r w:rsidR="001622BB" w:rsidRPr="004304ED">
        <w:rPr>
          <w:rFonts w:ascii="Times New Roman" w:hAnsi="Times New Roman" w:cs="Times New Roman"/>
        </w:rPr>
        <w:t xml:space="preserve">Sharma et al. 2018; </w:t>
      </w:r>
      <w:r w:rsidRPr="004304ED">
        <w:rPr>
          <w:rFonts w:ascii="Times New Roman" w:hAnsi="Times New Roman" w:cs="Times New Roman"/>
        </w:rPr>
        <w:t>Sharma &amp; Jain, 2020;</w:t>
      </w:r>
      <w:r w:rsidR="001622BB" w:rsidRPr="004304ED">
        <w:rPr>
          <w:rFonts w:ascii="Times New Roman" w:hAnsi="Times New Roman" w:cs="Times New Roman"/>
        </w:rPr>
        <w:t xml:space="preserve"> </w:t>
      </w:r>
      <w:proofErr w:type="spellStart"/>
      <w:r w:rsidR="001622BB" w:rsidRPr="004304ED">
        <w:rPr>
          <w:rFonts w:ascii="Times New Roman" w:hAnsi="Times New Roman" w:cs="Times New Roman"/>
        </w:rPr>
        <w:t>Agbeshie</w:t>
      </w:r>
      <w:proofErr w:type="spellEnd"/>
      <w:r w:rsidR="001622BB" w:rsidRPr="004304ED">
        <w:rPr>
          <w:rFonts w:ascii="Times New Roman" w:hAnsi="Times New Roman" w:cs="Times New Roman"/>
        </w:rPr>
        <w:t xml:space="preserve"> et al. 2020; </w:t>
      </w:r>
      <w:proofErr w:type="spellStart"/>
      <w:r w:rsidR="001622BB" w:rsidRPr="004304ED">
        <w:rPr>
          <w:rFonts w:ascii="Times New Roman" w:hAnsi="Times New Roman" w:cs="Times New Roman"/>
        </w:rPr>
        <w:t>Nta</w:t>
      </w:r>
      <w:proofErr w:type="spellEnd"/>
      <w:r w:rsidR="001622BB" w:rsidRPr="004304ED">
        <w:rPr>
          <w:rFonts w:ascii="Times New Roman" w:hAnsi="Times New Roman" w:cs="Times New Roman"/>
        </w:rPr>
        <w:t xml:space="preserve"> et al. 2020; Mekonnen et al. 2020;</w:t>
      </w:r>
      <w:r w:rsidRPr="004304ED">
        <w:rPr>
          <w:rFonts w:ascii="Times New Roman" w:hAnsi="Times New Roman" w:cs="Times New Roman"/>
        </w:rPr>
        <w:t xml:space="preserve"> Sanga et al. 2023; </w:t>
      </w:r>
      <w:proofErr w:type="spellStart"/>
      <w:r w:rsidRPr="004304ED">
        <w:rPr>
          <w:rFonts w:ascii="Times New Roman" w:hAnsi="Times New Roman" w:cs="Times New Roman"/>
        </w:rPr>
        <w:t>Azuka</w:t>
      </w:r>
      <w:proofErr w:type="spellEnd"/>
      <w:r w:rsidRPr="004304ED">
        <w:rPr>
          <w:rFonts w:ascii="Times New Roman" w:hAnsi="Times New Roman" w:cs="Times New Roman"/>
        </w:rPr>
        <w:t xml:space="preserve"> and </w:t>
      </w:r>
      <w:proofErr w:type="spellStart"/>
      <w:r w:rsidRPr="004304ED">
        <w:rPr>
          <w:rFonts w:ascii="Times New Roman" w:hAnsi="Times New Roman" w:cs="Times New Roman"/>
        </w:rPr>
        <w:t>Ezeme</w:t>
      </w:r>
      <w:proofErr w:type="spellEnd"/>
      <w:r w:rsidRPr="004304ED">
        <w:rPr>
          <w:rFonts w:ascii="Times New Roman" w:hAnsi="Times New Roman" w:cs="Times New Roman"/>
        </w:rPr>
        <w:t xml:space="preserve"> 2023). These legacy systems lack engineered liners, leachate containment mechanisms, and gas recovery infrastructure, allowing for uncontrolled interaction between waste and the surrounding environment (</w:t>
      </w:r>
      <w:proofErr w:type="spellStart"/>
      <w:r w:rsidRPr="004304ED">
        <w:rPr>
          <w:rFonts w:ascii="Times New Roman" w:hAnsi="Times New Roman" w:cs="Times New Roman"/>
        </w:rPr>
        <w:t>Ogundiran</w:t>
      </w:r>
      <w:proofErr w:type="spellEnd"/>
      <w:r w:rsidRPr="004304ED">
        <w:rPr>
          <w:rFonts w:ascii="Times New Roman" w:hAnsi="Times New Roman" w:cs="Times New Roman"/>
        </w:rPr>
        <w:t xml:space="preserve"> et al. 2008; </w:t>
      </w:r>
      <w:proofErr w:type="spellStart"/>
      <w:r w:rsidRPr="004304ED">
        <w:rPr>
          <w:rFonts w:ascii="Times New Roman" w:hAnsi="Times New Roman" w:cs="Times New Roman"/>
        </w:rPr>
        <w:t>Obianefo</w:t>
      </w:r>
      <w:proofErr w:type="spellEnd"/>
      <w:r w:rsidRPr="004304ED">
        <w:rPr>
          <w:rFonts w:ascii="Times New Roman" w:hAnsi="Times New Roman" w:cs="Times New Roman"/>
        </w:rPr>
        <w:t xml:space="preserve"> et al 2017; </w:t>
      </w:r>
      <w:r w:rsidR="001622BB" w:rsidRPr="004304ED">
        <w:rPr>
          <w:rFonts w:ascii="Times New Roman" w:hAnsi="Times New Roman" w:cs="Times New Roman"/>
        </w:rPr>
        <w:t xml:space="preserve">Olagunju et al. 2018; </w:t>
      </w:r>
      <w:proofErr w:type="spellStart"/>
      <w:r w:rsidRPr="004304ED">
        <w:rPr>
          <w:rFonts w:ascii="Times New Roman" w:hAnsi="Times New Roman" w:cs="Times New Roman"/>
        </w:rPr>
        <w:t>Mouhoun-Chouaki</w:t>
      </w:r>
      <w:proofErr w:type="spellEnd"/>
      <w:r w:rsidRPr="004304ED">
        <w:rPr>
          <w:rFonts w:ascii="Times New Roman" w:hAnsi="Times New Roman" w:cs="Times New Roman"/>
        </w:rPr>
        <w:t xml:space="preserve"> et al. 2019; Kulkarni et al. 2024; Drall et al. 2025). The decomposition of organic fractions produces large volumes of leachate, a chemically complex solution enriched with organic acids, dissolved solids, heavy metals, and nutrients (</w:t>
      </w:r>
      <w:r w:rsidR="005A0F73" w:rsidRPr="004304ED">
        <w:rPr>
          <w:rFonts w:ascii="Times New Roman" w:hAnsi="Times New Roman" w:cs="Times New Roman"/>
        </w:rPr>
        <w:t>Ebong et al., 2020</w:t>
      </w:r>
      <w:r w:rsidRPr="004304ED">
        <w:rPr>
          <w:rFonts w:ascii="Times New Roman" w:hAnsi="Times New Roman" w:cs="Times New Roman"/>
        </w:rPr>
        <w:t xml:space="preserve">). Upon infiltration, leachate alters the natural physicochemical balance of soils, modifying pH, cation exchange capacity, and redox potential, and promotes the downward migration of pollutants into the unsaturated and saturated zones (Zhao et al., 2016; Sarma Bora et al., 2023; Kanmani et al., 2013; Jilani and </w:t>
      </w:r>
      <w:proofErr w:type="spellStart"/>
      <w:proofErr w:type="gramStart"/>
      <w:r w:rsidRPr="004304ED">
        <w:rPr>
          <w:rFonts w:ascii="Times New Roman" w:hAnsi="Times New Roman" w:cs="Times New Roman"/>
        </w:rPr>
        <w:t>Rashi,d</w:t>
      </w:r>
      <w:proofErr w:type="spellEnd"/>
      <w:proofErr w:type="gramEnd"/>
      <w:r w:rsidRPr="004304ED">
        <w:rPr>
          <w:rFonts w:ascii="Times New Roman" w:hAnsi="Times New Roman" w:cs="Times New Roman"/>
        </w:rPr>
        <w:t xml:space="preserve"> 2020; Bisht et al. 2024; Udo et al., 2025</w:t>
      </w:r>
      <w:r w:rsidR="005A0F73" w:rsidRPr="004304ED">
        <w:rPr>
          <w:rFonts w:ascii="Times New Roman" w:hAnsi="Times New Roman" w:cs="Times New Roman"/>
        </w:rPr>
        <w:t>a</w:t>
      </w:r>
      <w:r w:rsidRPr="004304ED">
        <w:rPr>
          <w:rFonts w:ascii="Times New Roman" w:hAnsi="Times New Roman" w:cs="Times New Roman"/>
        </w:rPr>
        <w:t>). Simultaneously, the decomposition process emits green</w:t>
      </w:r>
      <w:r w:rsidR="003D34AF" w:rsidRPr="004304ED">
        <w:rPr>
          <w:rFonts w:ascii="Times New Roman" w:hAnsi="Times New Roman" w:cs="Times New Roman"/>
        </w:rPr>
        <w:t>house gases such as methane (CH</w:t>
      </w:r>
      <w:r w:rsidR="003D34AF" w:rsidRPr="004304ED">
        <w:rPr>
          <w:rFonts w:ascii="Times New Roman" w:hAnsi="Times New Roman" w:cs="Times New Roman"/>
          <w:vertAlign w:val="subscript"/>
        </w:rPr>
        <w:t>4</w:t>
      </w:r>
      <w:r w:rsidRPr="004304ED">
        <w:rPr>
          <w:rFonts w:ascii="Times New Roman" w:hAnsi="Times New Roman" w:cs="Times New Roman"/>
        </w:rPr>
        <w:t>) and carbon dioxide (CO</w:t>
      </w:r>
      <w:r w:rsidR="003D34AF" w:rsidRPr="004304ED">
        <w:rPr>
          <w:rFonts w:ascii="Times New Roman" w:hAnsi="Times New Roman" w:cs="Times New Roman"/>
          <w:vertAlign w:val="subscript"/>
        </w:rPr>
        <w:t>2</w:t>
      </w:r>
      <w:r w:rsidRPr="004304ED">
        <w:rPr>
          <w:rFonts w:ascii="Times New Roman" w:hAnsi="Times New Roman" w:cs="Times New Roman"/>
        </w:rPr>
        <w:t xml:space="preserve">), aggravating atmospheric warming, while volatile sulfur and nitrogen compounds cause offensive odors and photochemical smog (FAO, 2018). These interlinked soil-air-water interactions render open dumpsites complex environmental systems whose cumulative effects can persist for decades (Chen et al., 2016; Soubra et al., 2023; </w:t>
      </w:r>
      <w:proofErr w:type="spellStart"/>
      <w:r w:rsidRPr="004304ED">
        <w:rPr>
          <w:rFonts w:ascii="Times New Roman" w:hAnsi="Times New Roman" w:cs="Times New Roman"/>
        </w:rPr>
        <w:t>Alao</w:t>
      </w:r>
      <w:proofErr w:type="spellEnd"/>
      <w:r w:rsidRPr="004304ED">
        <w:rPr>
          <w:rFonts w:ascii="Times New Roman" w:hAnsi="Times New Roman" w:cs="Times New Roman"/>
        </w:rPr>
        <w:t xml:space="preserve">, 2024; </w:t>
      </w:r>
      <w:proofErr w:type="spellStart"/>
      <w:r w:rsidRPr="004304ED">
        <w:rPr>
          <w:rFonts w:ascii="Times New Roman" w:hAnsi="Times New Roman" w:cs="Times New Roman"/>
        </w:rPr>
        <w:t>Prechthai</w:t>
      </w:r>
      <w:proofErr w:type="spellEnd"/>
      <w:r w:rsidRPr="004304ED">
        <w:rPr>
          <w:rFonts w:ascii="Times New Roman" w:hAnsi="Times New Roman" w:cs="Times New Roman"/>
        </w:rPr>
        <w:t xml:space="preserve"> et al., 2008; Breza-Boruta et al., 2016; Osim et al., 2023).</w:t>
      </w:r>
    </w:p>
    <w:p w14:paraId="1FAB77FC" w14:textId="35F3D22A"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 xml:space="preserve">Among the suite of contaminants released from dumpsites, heavy metals pose the most critical environmental and public health threats. Metals such as lead (Pb), cadmium (Cd), zinc (Zn), copper (Cu), nickel (Ni), and chromium (Cr) are common constituents of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paint-processing, and abattoir wastes (</w:t>
      </w:r>
      <w:r w:rsidR="005A0F73" w:rsidRPr="004304ED">
        <w:rPr>
          <w:rFonts w:ascii="Times New Roman" w:hAnsi="Times New Roman" w:cs="Times New Roman"/>
        </w:rPr>
        <w:t xml:space="preserve">Ahmed et al. 2014; </w:t>
      </w:r>
      <w:proofErr w:type="spellStart"/>
      <w:r w:rsidR="005A0F73" w:rsidRPr="004304ED">
        <w:rPr>
          <w:rFonts w:ascii="Times New Roman" w:hAnsi="Times New Roman" w:cs="Times New Roman"/>
        </w:rPr>
        <w:t>Ihedioha</w:t>
      </w:r>
      <w:proofErr w:type="spellEnd"/>
      <w:r w:rsidR="005A0F73" w:rsidRPr="004304ED">
        <w:rPr>
          <w:rFonts w:ascii="Times New Roman" w:hAnsi="Times New Roman" w:cs="Times New Roman"/>
        </w:rPr>
        <w:t xml:space="preserve"> et al. 2017; </w:t>
      </w:r>
      <w:proofErr w:type="spellStart"/>
      <w:r w:rsidRPr="004304ED">
        <w:rPr>
          <w:rFonts w:ascii="Times New Roman" w:hAnsi="Times New Roman" w:cs="Times New Roman"/>
        </w:rPr>
        <w:t>Kaparwan</w:t>
      </w:r>
      <w:proofErr w:type="spellEnd"/>
      <w:r w:rsidRPr="004304ED">
        <w:rPr>
          <w:rFonts w:ascii="Times New Roman" w:hAnsi="Times New Roman" w:cs="Times New Roman"/>
        </w:rPr>
        <w:t xml:space="preserve"> et al., 2020). Unlike organic pollutants, heavy metals are non-biodegradable and chemically stable; hence, they accumulate in soils and sediments over time (</w:t>
      </w:r>
      <w:proofErr w:type="spellStart"/>
      <w:r w:rsidRPr="004304ED">
        <w:rPr>
          <w:rFonts w:ascii="Times New Roman" w:hAnsi="Times New Roman" w:cs="Times New Roman"/>
        </w:rPr>
        <w:t>Wuana</w:t>
      </w:r>
      <w:proofErr w:type="spellEnd"/>
      <w:r w:rsidRPr="004304ED">
        <w:rPr>
          <w:rFonts w:ascii="Times New Roman" w:hAnsi="Times New Roman" w:cs="Times New Roman"/>
        </w:rPr>
        <w:t xml:space="preserve"> &amp; </w:t>
      </w:r>
      <w:proofErr w:type="spellStart"/>
      <w:r w:rsidRPr="004304ED">
        <w:rPr>
          <w:rFonts w:ascii="Times New Roman" w:hAnsi="Times New Roman" w:cs="Times New Roman"/>
        </w:rPr>
        <w:t>Okieimen</w:t>
      </w:r>
      <w:proofErr w:type="spellEnd"/>
      <w:r w:rsidRPr="004304ED">
        <w:rPr>
          <w:rFonts w:ascii="Times New Roman" w:hAnsi="Times New Roman" w:cs="Times New Roman"/>
        </w:rPr>
        <w:t xml:space="preserve">, 2011). Once mobilized, they enter terrestrial food webs, causing chronic toxicity in plants, animals, and humans. Prolonged exposure to these elements has been associated with kidney and liver dysfunction, neurodegenerative disorders, reproductive impairment, and carcinogenic outcomes </w:t>
      </w:r>
      <w:r w:rsidRPr="004304ED">
        <w:rPr>
          <w:rFonts w:ascii="Times New Roman" w:hAnsi="Times New Roman" w:cs="Times New Roman"/>
        </w:rPr>
        <w:lastRenderedPageBreak/>
        <w:t>(WHO, 2011; Maas et al., 2010). On a global scale, over 10 million contaminated sites have been identified, with heavy metals accounting for more than half of all pollution sources (He et al., 2015). This persistence and bioaccumulation potential make heavy metals a priority concern for soil scientists, toxicologists, and environmental policymakers (</w:t>
      </w:r>
      <w:proofErr w:type="spellStart"/>
      <w:r w:rsidRPr="004304ED">
        <w:rPr>
          <w:rFonts w:ascii="Times New Roman" w:hAnsi="Times New Roman" w:cs="Times New Roman"/>
        </w:rPr>
        <w:t>Ghafourian</w:t>
      </w:r>
      <w:proofErr w:type="spellEnd"/>
      <w:r w:rsidRPr="004304ED">
        <w:rPr>
          <w:rFonts w:ascii="Times New Roman" w:hAnsi="Times New Roman" w:cs="Times New Roman"/>
        </w:rPr>
        <w:t xml:space="preserve"> et al., 2016; </w:t>
      </w:r>
      <w:proofErr w:type="spellStart"/>
      <w:r w:rsidRPr="004304ED">
        <w:rPr>
          <w:rFonts w:ascii="Times New Roman" w:hAnsi="Times New Roman" w:cs="Times New Roman"/>
        </w:rPr>
        <w:t>Ferronato</w:t>
      </w:r>
      <w:proofErr w:type="spellEnd"/>
      <w:r w:rsidRPr="004304ED">
        <w:rPr>
          <w:rFonts w:ascii="Times New Roman" w:hAnsi="Times New Roman" w:cs="Times New Roman"/>
        </w:rPr>
        <w:t xml:space="preserve"> et al., 2018; </w:t>
      </w:r>
      <w:proofErr w:type="spellStart"/>
      <w:r w:rsidRPr="004304ED">
        <w:rPr>
          <w:rFonts w:ascii="Times New Roman" w:hAnsi="Times New Roman" w:cs="Times New Roman"/>
        </w:rPr>
        <w:t>Omeiza</w:t>
      </w:r>
      <w:proofErr w:type="spellEnd"/>
      <w:r w:rsidRPr="004304ED">
        <w:rPr>
          <w:rFonts w:ascii="Times New Roman" w:hAnsi="Times New Roman" w:cs="Times New Roman"/>
        </w:rPr>
        <w:t xml:space="preserve"> et al., 2022, 2023; Udo et al., 2025</w:t>
      </w:r>
      <w:r w:rsidR="00D45D1F" w:rsidRPr="004304ED">
        <w:rPr>
          <w:rFonts w:ascii="Times New Roman" w:hAnsi="Times New Roman" w:cs="Times New Roman"/>
        </w:rPr>
        <w:t>b</w:t>
      </w:r>
      <w:r w:rsidRPr="004304ED">
        <w:rPr>
          <w:rFonts w:ascii="Times New Roman" w:hAnsi="Times New Roman" w:cs="Times New Roman"/>
        </w:rPr>
        <w:t>).</w:t>
      </w:r>
    </w:p>
    <w:p w14:paraId="1026BB64" w14:textId="77777777"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Despite numerous investigations on waste-induced heavy metal contamination, critical gaps persist in understanding the differential behavior of metals derived from heterogeneous waste sources under varying soil physicochemical conditions. Most previous studies have examined dumpsites as uniform entities, overlooking how waste type uniquely modulates soil chemistry and metal mobility. The absence of such approaches limits the ability to establish causal relationships between waste composition, soil geochemistry, and contamination pathways. Additionally, tropical regions such as southern Nigeria remain underrepresented in global datasets, despite their distinct geoclimatic conditions that influence pollutant migration and persistence. A multi-waste comparative assessment combining physicochemical and geochemical indices was necessary to unravel the mechanisms of heavy metal mobilization and accumulation in these complex soil systems.</w:t>
      </w:r>
    </w:p>
    <w:p w14:paraId="38EFB1B0" w14:textId="7FBCEDC1"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 xml:space="preserve">This study aims to evaluate the extent and spatial pattern of heavy metal contamination in soils impacted by three distinct waste streams: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paint-processing, and abattoir dumpsites in Akwa Ibom State, southern Nigeria. It is hypothesized that waste type significantly influences the magnitude and pattern of heavy metal accumulation and soil physicochemical alteration. To test this hypothesis, the study integrates physicochemical analysis (pH, electrical conductivity, cation e</w:t>
      </w:r>
      <w:r w:rsidR="00C10807" w:rsidRPr="004304ED">
        <w:rPr>
          <w:rFonts w:ascii="Times New Roman" w:hAnsi="Times New Roman" w:cs="Times New Roman"/>
        </w:rPr>
        <w:t>xchange capacity, organic carbon</w:t>
      </w:r>
      <w:r w:rsidRPr="004304ED">
        <w:rPr>
          <w:rFonts w:ascii="Times New Roman" w:hAnsi="Times New Roman" w:cs="Times New Roman"/>
        </w:rPr>
        <w:t>, etc.) to elucidate contamination levels, potential ecological risks, and controlling factors of metal distribution. By adopting a multi-metric analytical design, this research advances beyond traditional dumpsite assessments by providing waste-specific contamination fingerprints and mechanistic explanations for metal mobility in tropical soils. The outcomes are expected to enhance the predictive understanding of soil–metal interactions under heterogeneous waste loading and inform sustainable waste management and remediation strategies aligned with the United Nations Sustainable Development Goals (SDGs 3, 6, 11, 12, and 15). This study contributes a regionally grounded but globally relevant framework for evaluating and mitigating the long-term environmental implications of open dumpsites in data-scarce tropical environments.</w:t>
      </w:r>
    </w:p>
    <w:p w14:paraId="46AD9CEA" w14:textId="77777777" w:rsidR="005A0F73" w:rsidRPr="004304ED" w:rsidRDefault="005A0F73" w:rsidP="001B3FEE">
      <w:pPr>
        <w:spacing w:after="0" w:line="360" w:lineRule="auto"/>
        <w:rPr>
          <w:rFonts w:ascii="Times New Roman" w:hAnsi="Times New Roman" w:cs="Times New Roman"/>
          <w:b/>
          <w:bCs/>
        </w:rPr>
      </w:pPr>
    </w:p>
    <w:p w14:paraId="797AEC02" w14:textId="3141DC4F" w:rsidR="008509FA" w:rsidRPr="004304ED" w:rsidRDefault="008509FA" w:rsidP="001B3FEE">
      <w:pPr>
        <w:spacing w:after="0" w:line="360" w:lineRule="auto"/>
        <w:rPr>
          <w:rFonts w:ascii="Times New Roman" w:hAnsi="Times New Roman" w:cs="Times New Roman"/>
          <w:b/>
          <w:bCs/>
        </w:rPr>
      </w:pPr>
      <w:r w:rsidRPr="004304ED">
        <w:rPr>
          <w:rFonts w:ascii="Times New Roman" w:hAnsi="Times New Roman" w:cs="Times New Roman"/>
          <w:b/>
          <w:bCs/>
        </w:rPr>
        <w:t>Geology of study area</w:t>
      </w:r>
    </w:p>
    <w:p w14:paraId="6B83C18A" w14:textId="32846EAB" w:rsidR="008509FA" w:rsidRPr="004304ED" w:rsidRDefault="008509FA" w:rsidP="008509FA">
      <w:pPr>
        <w:spacing w:after="0" w:line="360" w:lineRule="auto"/>
        <w:rPr>
          <w:rFonts w:ascii="Times New Roman" w:hAnsi="Times New Roman" w:cs="Times New Roman"/>
        </w:rPr>
      </w:pPr>
      <w:r w:rsidRPr="004304ED">
        <w:rPr>
          <w:rFonts w:ascii="Times New Roman" w:hAnsi="Times New Roman" w:cs="Times New Roman"/>
        </w:rPr>
        <w:t>Akwa Ibom State is located in the southern part of Nigeria, within the humid tropical rainforest belt of West Africa</w:t>
      </w:r>
      <w:r w:rsidR="00F50DCE" w:rsidRPr="004304ED">
        <w:rPr>
          <w:rFonts w:ascii="Times New Roman" w:hAnsi="Times New Roman" w:cs="Times New Roman"/>
        </w:rPr>
        <w:t xml:space="preserve"> (Figure 1)</w:t>
      </w:r>
      <w:r w:rsidRPr="004304ED">
        <w:rPr>
          <w:rFonts w:ascii="Times New Roman" w:hAnsi="Times New Roman" w:cs="Times New Roman"/>
        </w:rPr>
        <w:t>. Geographically, it lies between latitudes 4°32′ and 5°33′ N and longitudes 7°25′ and 8°25′ E (</w:t>
      </w:r>
      <w:proofErr w:type="spellStart"/>
      <w:r w:rsidRPr="004304ED">
        <w:rPr>
          <w:rFonts w:ascii="Times New Roman" w:hAnsi="Times New Roman" w:cs="Times New Roman"/>
        </w:rPr>
        <w:t>Ibia</w:t>
      </w:r>
      <w:proofErr w:type="spellEnd"/>
      <w:r w:rsidRPr="004304ED">
        <w:rPr>
          <w:rFonts w:ascii="Times New Roman" w:hAnsi="Times New Roman" w:cs="Times New Roman"/>
        </w:rPr>
        <w:t>, 2019), occupying an estimated land area of 8,412 km². The State is bordered by Cross River State to the east, Abia State to the north, Rivers State to the west, and the Atlantic Ocean to the south. Its coastal location exerts a strong influence on both the climatic and pedological characteristics of the region.</w:t>
      </w:r>
    </w:p>
    <w:p w14:paraId="38A4C9B0" w14:textId="398FF03A" w:rsidR="008509FA" w:rsidRPr="004304ED" w:rsidRDefault="008509FA" w:rsidP="008509FA">
      <w:pPr>
        <w:spacing w:after="0" w:line="360" w:lineRule="auto"/>
        <w:ind w:firstLine="720"/>
        <w:rPr>
          <w:rFonts w:ascii="Times New Roman" w:hAnsi="Times New Roman" w:cs="Times New Roman"/>
        </w:rPr>
      </w:pPr>
      <w:r w:rsidRPr="004304ED">
        <w:rPr>
          <w:rFonts w:ascii="Times New Roman" w:hAnsi="Times New Roman" w:cs="Times New Roman"/>
        </w:rPr>
        <w:t xml:space="preserve">Climatically, Akwa Ibom experiences a tropical monsoonal climate characterized by high rainfall, temperature, and humidity throughout most of the year. The rainfall pattern is bimodal, comprising a major rainy season extending from April to July, and a minor rainy season from September to November, with a brief dry spell in August and a longer dry season from December to March. Mean annual rainfall varies between </w:t>
      </w:r>
      <w:r w:rsidR="00CD0F9F" w:rsidRPr="004304ED">
        <w:rPr>
          <w:rFonts w:ascii="Times New Roman" w:hAnsi="Times New Roman" w:cs="Times New Roman"/>
        </w:rPr>
        <w:t>2,500</w:t>
      </w:r>
      <w:r w:rsidR="00D83410" w:rsidRPr="004304ED">
        <w:rPr>
          <w:rFonts w:ascii="Times New Roman" w:hAnsi="Times New Roman" w:cs="Times New Roman"/>
        </w:rPr>
        <w:t xml:space="preserve"> mm</w:t>
      </w:r>
      <w:r w:rsidR="00CD0F9F" w:rsidRPr="004304ED">
        <w:rPr>
          <w:rFonts w:ascii="Times New Roman" w:hAnsi="Times New Roman" w:cs="Times New Roman"/>
        </w:rPr>
        <w:t xml:space="preserve"> and 3,000</w:t>
      </w:r>
      <w:r w:rsidR="00D83410" w:rsidRPr="004304ED">
        <w:rPr>
          <w:rFonts w:ascii="Times New Roman" w:hAnsi="Times New Roman" w:cs="Times New Roman"/>
        </w:rPr>
        <w:t xml:space="preserve"> </w:t>
      </w:r>
      <w:r w:rsidR="00CD0F9F" w:rsidRPr="004304ED">
        <w:rPr>
          <w:rFonts w:ascii="Times New Roman" w:hAnsi="Times New Roman" w:cs="Times New Roman"/>
        </w:rPr>
        <w:t>mm.</w:t>
      </w:r>
      <w:r w:rsidR="008C62F1" w:rsidRPr="004304ED">
        <w:rPr>
          <w:rFonts w:ascii="Times New Roman" w:hAnsi="Times New Roman" w:cs="Times New Roman"/>
        </w:rPr>
        <w:t xml:space="preserve"> Values</w:t>
      </w:r>
      <w:r w:rsidRPr="004304ED">
        <w:rPr>
          <w:rFonts w:ascii="Times New Roman" w:hAnsi="Times New Roman" w:cs="Times New Roman"/>
        </w:rPr>
        <w:t xml:space="preserve"> as high as 3,000 mm are recorded in the southern coastal belt, </w:t>
      </w:r>
      <w:r w:rsidR="008C62F1" w:rsidRPr="004304ED">
        <w:rPr>
          <w:rFonts w:ascii="Times New Roman" w:hAnsi="Times New Roman" w:cs="Times New Roman"/>
        </w:rPr>
        <w:t xml:space="preserve">and these </w:t>
      </w:r>
      <w:r w:rsidRPr="004304ED">
        <w:rPr>
          <w:rFonts w:ascii="Times New Roman" w:hAnsi="Times New Roman" w:cs="Times New Roman"/>
        </w:rPr>
        <w:t>gradually declin</w:t>
      </w:r>
      <w:r w:rsidR="008C62F1" w:rsidRPr="004304ED">
        <w:rPr>
          <w:rFonts w:ascii="Times New Roman" w:hAnsi="Times New Roman" w:cs="Times New Roman"/>
        </w:rPr>
        <w:t>e</w:t>
      </w:r>
      <w:r w:rsidRPr="004304ED">
        <w:rPr>
          <w:rFonts w:ascii="Times New Roman" w:hAnsi="Times New Roman" w:cs="Times New Roman"/>
        </w:rPr>
        <w:t xml:space="preserve"> northwards to about 2,000 mm. The mean annual temperature ranges from 27°C to 28°C, while relative humidity remains high (75–80%) throughout the year, fostering intense weathering and leaching processes that influence soil development.</w:t>
      </w:r>
    </w:p>
    <w:p w14:paraId="1B4CEB65" w14:textId="194C2A5C" w:rsidR="008509FA" w:rsidRPr="004304ED" w:rsidRDefault="008509FA" w:rsidP="008C62F1">
      <w:pPr>
        <w:spacing w:after="0" w:line="360" w:lineRule="auto"/>
        <w:ind w:firstLine="720"/>
        <w:rPr>
          <w:rFonts w:ascii="Times New Roman" w:hAnsi="Times New Roman" w:cs="Times New Roman"/>
        </w:rPr>
      </w:pPr>
      <w:r w:rsidRPr="004304ED">
        <w:rPr>
          <w:rFonts w:ascii="Times New Roman" w:hAnsi="Times New Roman" w:cs="Times New Roman"/>
        </w:rPr>
        <w:t>The soils of Akwa Ibom State are predominantly derived from coastal plain sands, accounting for approximately 70% of the total land area. Other notable parent materials include beach ridge sands, sandstones, shales, and alluvial deposits (</w:t>
      </w:r>
      <w:r w:rsidR="000C4975" w:rsidRPr="004304ED">
        <w:rPr>
          <w:rFonts w:ascii="Times New Roman" w:hAnsi="Times New Roman" w:cs="Times New Roman"/>
        </w:rPr>
        <w:t xml:space="preserve">Udoh and </w:t>
      </w:r>
      <w:proofErr w:type="spellStart"/>
      <w:r w:rsidR="000C4975" w:rsidRPr="004304ED">
        <w:rPr>
          <w:rFonts w:ascii="Times New Roman" w:hAnsi="Times New Roman" w:cs="Times New Roman"/>
        </w:rPr>
        <w:t>Ibia</w:t>
      </w:r>
      <w:proofErr w:type="spellEnd"/>
      <w:r w:rsidR="000C4975" w:rsidRPr="004304ED">
        <w:rPr>
          <w:rFonts w:ascii="Times New Roman" w:hAnsi="Times New Roman" w:cs="Times New Roman"/>
        </w:rPr>
        <w:t xml:space="preserve"> 2022</w:t>
      </w:r>
      <w:r w:rsidRPr="004304ED">
        <w:rPr>
          <w:rFonts w:ascii="Times New Roman" w:hAnsi="Times New Roman" w:cs="Times New Roman"/>
        </w:rPr>
        <w:t>). These lithological formations have given rise to a range of soil types that are typically deep, highly weathered, and acidic, with low base saturation and limited cation exchange capacity. The dominance of coarse-textured coastal plain sands contributes to the generally well-drained but nutrient-poor nature of the soils</w:t>
      </w:r>
      <w:r w:rsidR="000C4975" w:rsidRPr="004304ED">
        <w:rPr>
          <w:rFonts w:ascii="Times New Roman" w:hAnsi="Times New Roman" w:cs="Times New Roman"/>
        </w:rPr>
        <w:t xml:space="preserve"> (Udo et al. 2009a, b)</w:t>
      </w:r>
      <w:r w:rsidRPr="004304ED">
        <w:rPr>
          <w:rFonts w:ascii="Times New Roman" w:hAnsi="Times New Roman" w:cs="Times New Roman"/>
        </w:rPr>
        <w:t xml:space="preserve">. Continuous leaching due to high rainfall further enhances soil acidity and promotes </w:t>
      </w:r>
      <w:proofErr w:type="spellStart"/>
      <w:r w:rsidRPr="004304ED">
        <w:rPr>
          <w:rFonts w:ascii="Times New Roman" w:hAnsi="Times New Roman" w:cs="Times New Roman"/>
        </w:rPr>
        <w:t>ferrallitic</w:t>
      </w:r>
      <w:proofErr w:type="spellEnd"/>
      <w:r w:rsidRPr="004304ED">
        <w:rPr>
          <w:rFonts w:ascii="Times New Roman" w:hAnsi="Times New Roman" w:cs="Times New Roman"/>
        </w:rPr>
        <w:t xml:space="preserve"> and lateritic characteristics. Consequently, the soils are often fragile and susceptible to erosion and nutrient depletion, posing challenges for sustainable land management and agricultural productivity in the region</w:t>
      </w:r>
      <w:r w:rsidR="008C62F1" w:rsidRPr="004304ED">
        <w:rPr>
          <w:rFonts w:ascii="Times New Roman" w:hAnsi="Times New Roman" w:cs="Times New Roman"/>
        </w:rPr>
        <w:t>.</w:t>
      </w:r>
    </w:p>
    <w:p w14:paraId="6F47D488" w14:textId="77777777" w:rsidR="00F50DCE" w:rsidRPr="004304ED" w:rsidRDefault="00F50DCE" w:rsidP="00F50DCE">
      <w:pPr>
        <w:spacing w:after="0" w:line="360" w:lineRule="auto"/>
        <w:rPr>
          <w:rFonts w:ascii="Times New Roman" w:hAnsi="Times New Roman" w:cs="Times New Roman"/>
        </w:rPr>
      </w:pPr>
    </w:p>
    <w:p w14:paraId="224F586E" w14:textId="5E90F687"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MATERIAL AND METHODS</w:t>
      </w:r>
    </w:p>
    <w:p w14:paraId="73325E5C" w14:textId="2D9848E0"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 xml:space="preserve">Study </w:t>
      </w:r>
      <w:r w:rsidR="004F57D8" w:rsidRPr="004304ED">
        <w:rPr>
          <w:rFonts w:ascii="Times New Roman" w:hAnsi="Times New Roman" w:cs="Times New Roman"/>
          <w:b/>
          <w:bCs/>
        </w:rPr>
        <w:t>locations and site selection criteria</w:t>
      </w:r>
    </w:p>
    <w:p w14:paraId="4645E6E3"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lastRenderedPageBreak/>
        <w:t xml:space="preserve">The study was conducted across three Local Government Areas (LGAs) in Akwa Ibom State, Nigeria: </w:t>
      </w:r>
      <w:proofErr w:type="spellStart"/>
      <w:r w:rsidRPr="004304ED">
        <w:rPr>
          <w:rFonts w:ascii="Times New Roman" w:hAnsi="Times New Roman" w:cs="Times New Roman"/>
        </w:rPr>
        <w:t>Etinan</w:t>
      </w:r>
      <w:proofErr w:type="spellEnd"/>
      <w:r w:rsidRPr="004304ED">
        <w:rPr>
          <w:rFonts w:ascii="Times New Roman" w:hAnsi="Times New Roman" w:cs="Times New Roman"/>
        </w:rPr>
        <w:t xml:space="preserve">, </w:t>
      </w:r>
      <w:proofErr w:type="spellStart"/>
      <w:r w:rsidRPr="004304ED">
        <w:rPr>
          <w:rFonts w:ascii="Times New Roman" w:hAnsi="Times New Roman" w:cs="Times New Roman"/>
        </w:rPr>
        <w:t>Uyo</w:t>
      </w:r>
      <w:proofErr w:type="spellEnd"/>
      <w:r w:rsidRPr="004304ED">
        <w:rPr>
          <w:rFonts w:ascii="Times New Roman" w:hAnsi="Times New Roman" w:cs="Times New Roman"/>
        </w:rPr>
        <w:t xml:space="preserve">, and Ikot </w:t>
      </w:r>
      <w:proofErr w:type="spellStart"/>
      <w:r w:rsidRPr="004304ED">
        <w:rPr>
          <w:rFonts w:ascii="Times New Roman" w:hAnsi="Times New Roman" w:cs="Times New Roman"/>
        </w:rPr>
        <w:t>Ekpene</w:t>
      </w:r>
      <w:proofErr w:type="spellEnd"/>
      <w:r w:rsidRPr="004304ED">
        <w:rPr>
          <w:rFonts w:ascii="Times New Roman" w:hAnsi="Times New Roman" w:cs="Times New Roman"/>
        </w:rPr>
        <w:t xml:space="preserve"> (Fig. 1). These sites were chosen based on their distinct anthropogenic activities and waste-generation histories. </w:t>
      </w:r>
      <w:proofErr w:type="spellStart"/>
      <w:r w:rsidRPr="004304ED">
        <w:rPr>
          <w:rFonts w:ascii="Times New Roman" w:hAnsi="Times New Roman" w:cs="Times New Roman"/>
        </w:rPr>
        <w:t>Etinan</w:t>
      </w:r>
      <w:proofErr w:type="spellEnd"/>
      <w:r w:rsidRPr="004304ED">
        <w:rPr>
          <w:rFonts w:ascii="Times New Roman" w:hAnsi="Times New Roman" w:cs="Times New Roman"/>
        </w:rPr>
        <w:t xml:space="preserve"> hosts the defunct Peacock Paint Limited, previously one of the region’s largest paint manufacturing facilities, which potentially contributed to heavy metal contamination through pigment-rich waste discharges. </w:t>
      </w:r>
      <w:proofErr w:type="spellStart"/>
      <w:r w:rsidRPr="004304ED">
        <w:rPr>
          <w:rFonts w:ascii="Times New Roman" w:hAnsi="Times New Roman" w:cs="Times New Roman"/>
        </w:rPr>
        <w:t>Uyo</w:t>
      </w:r>
      <w:proofErr w:type="spellEnd"/>
      <w:r w:rsidRPr="004304ED">
        <w:rPr>
          <w:rFonts w:ascii="Times New Roman" w:hAnsi="Times New Roman" w:cs="Times New Roman"/>
        </w:rPr>
        <w:t xml:space="preserve">, the state capital, experiences rapid urbanization, industrial expansion, and increased waste production. It is estimated that nearly 40% of the state’s slaughtered animals originate from </w:t>
      </w:r>
      <w:proofErr w:type="spellStart"/>
      <w:r w:rsidRPr="004304ED">
        <w:rPr>
          <w:rFonts w:ascii="Times New Roman" w:hAnsi="Times New Roman" w:cs="Times New Roman"/>
        </w:rPr>
        <w:t>Uyo</w:t>
      </w:r>
      <w:proofErr w:type="spellEnd"/>
      <w:r w:rsidRPr="004304ED">
        <w:rPr>
          <w:rFonts w:ascii="Times New Roman" w:hAnsi="Times New Roman" w:cs="Times New Roman"/>
        </w:rPr>
        <w:t xml:space="preserve"> (Bello et al., 2023), indicating significant abattoir-related waste loads (Opara et al., 2005). Ikot </w:t>
      </w:r>
      <w:proofErr w:type="spellStart"/>
      <w:r w:rsidRPr="004304ED">
        <w:rPr>
          <w:rFonts w:ascii="Times New Roman" w:hAnsi="Times New Roman" w:cs="Times New Roman"/>
        </w:rPr>
        <w:t>Ekpene</w:t>
      </w:r>
      <w:proofErr w:type="spellEnd"/>
      <w:r w:rsidRPr="004304ED">
        <w:rPr>
          <w:rFonts w:ascii="Times New Roman" w:hAnsi="Times New Roman" w:cs="Times New Roman"/>
        </w:rPr>
        <w:t>, a rapidly growing commercial hub, is characterized by extensive automobile repair workshops and food processing industries. These anthropogenic activities are known to influence soil quality through heavy metal accumulation (Sharma and Jain, 2020).</w:t>
      </w:r>
    </w:p>
    <w:p w14:paraId="02B77D18" w14:textId="6A84F3D0" w:rsidR="00D83410" w:rsidRPr="004304ED" w:rsidRDefault="00D83410" w:rsidP="00D83410">
      <w:pPr>
        <w:spacing w:after="0" w:line="360" w:lineRule="auto"/>
        <w:ind w:firstLine="720"/>
        <w:rPr>
          <w:rFonts w:ascii="Times New Roman" w:hAnsi="Times New Roman" w:cs="Times New Roman"/>
        </w:rPr>
      </w:pPr>
      <w:r w:rsidRPr="004304ED">
        <w:rPr>
          <w:rFonts w:ascii="Times New Roman" w:hAnsi="Times New Roman" w:cs="Times New Roman"/>
        </w:rPr>
        <w:t xml:space="preserve">Three dumpsite types: abattoir, paint-processing, and auto-mechanic waste sites, were selected within each LGA, representing diverse contamination sources. Corresponding control sites with no known history of industrial or waste-disposal activities were established </w:t>
      </w:r>
      <w:r w:rsidR="00476F95" w:rsidRPr="004304ED">
        <w:rPr>
          <w:rFonts w:ascii="Times New Roman" w:hAnsi="Times New Roman" w:cs="Times New Roman"/>
        </w:rPr>
        <w:t>within each LGA, approximately 2–3</w:t>
      </w:r>
      <w:r w:rsidRPr="004304ED">
        <w:rPr>
          <w:rFonts w:ascii="Times New Roman" w:hAnsi="Times New Roman" w:cs="Times New Roman"/>
        </w:rPr>
        <w:t xml:space="preserve"> km from the dumpsites, ensuring comparable soil type and land use history. The geographical coordinates of all sampling sites are presented in Table 1, while the spatial distribution of sampling locations is illustrated in Figure 1.</w:t>
      </w:r>
    </w:p>
    <w:p w14:paraId="1B385BF0" w14:textId="77777777" w:rsidR="001736F9" w:rsidRDefault="001736F9" w:rsidP="001736F9">
      <w:pPr>
        <w:spacing w:after="0" w:line="360" w:lineRule="auto"/>
        <w:rPr>
          <w:rFonts w:ascii="Times New Roman" w:hAnsi="Times New Roman" w:cs="Times New Roman"/>
        </w:rPr>
      </w:pPr>
    </w:p>
    <w:p w14:paraId="3D35C016" w14:textId="77777777" w:rsidR="003E72AF" w:rsidRDefault="003E72AF" w:rsidP="001736F9">
      <w:pPr>
        <w:spacing w:after="0" w:line="360" w:lineRule="auto"/>
        <w:rPr>
          <w:rFonts w:ascii="Times New Roman" w:hAnsi="Times New Roman" w:cs="Times New Roman"/>
        </w:rPr>
      </w:pPr>
    </w:p>
    <w:p w14:paraId="20D29F01" w14:textId="0DFE45A0" w:rsidR="003E72AF" w:rsidRPr="004304ED" w:rsidRDefault="003E72AF" w:rsidP="001736F9">
      <w:pPr>
        <w:spacing w:after="0" w:line="360" w:lineRule="auto"/>
        <w:rPr>
          <w:rFonts w:ascii="Times New Roman" w:hAnsi="Times New Roman" w:cs="Times New Roman"/>
        </w:rPr>
      </w:pPr>
      <w:r w:rsidRPr="004304ED">
        <w:rPr>
          <w:rFonts w:ascii="Times New Roman" w:hAnsi="Times New Roman" w:cs="Times New Roman"/>
          <w:noProof/>
        </w:rPr>
        <w:lastRenderedPageBreak/>
        <mc:AlternateContent>
          <mc:Choice Requires="wps">
            <w:drawing>
              <wp:anchor distT="0" distB="0" distL="114300" distR="114300" simplePos="0" relativeHeight="251657216" behindDoc="0" locked="0" layoutInCell="1" allowOverlap="1" wp14:anchorId="4D0838FA" wp14:editId="7368F63C">
                <wp:simplePos x="0" y="0"/>
                <wp:positionH relativeFrom="column">
                  <wp:posOffset>1733550</wp:posOffset>
                </wp:positionH>
                <wp:positionV relativeFrom="paragraph">
                  <wp:posOffset>2825750</wp:posOffset>
                </wp:positionV>
                <wp:extent cx="666750" cy="450850"/>
                <wp:effectExtent l="19050" t="19050" r="19050" b="25400"/>
                <wp:wrapNone/>
                <wp:docPr id="29706109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1621B" id="Oval 2" o:spid="_x0000_s1026" style="position:absolute;margin-left:136.5pt;margin-top:222.5pt;width:52.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2199DBCF" wp14:editId="635BA276">
                <wp:simplePos x="0" y="0"/>
                <wp:positionH relativeFrom="column">
                  <wp:posOffset>1174750</wp:posOffset>
                </wp:positionH>
                <wp:positionV relativeFrom="paragraph">
                  <wp:posOffset>1384300</wp:posOffset>
                </wp:positionV>
                <wp:extent cx="666750" cy="450850"/>
                <wp:effectExtent l="19050" t="19050" r="19050" b="25400"/>
                <wp:wrapNone/>
                <wp:docPr id="1044338111"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DCBD7" id="Oval 2" o:spid="_x0000_s1026" style="position:absolute;margin-left:92.5pt;margin-top:109pt;width:52.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167B67C4" wp14:editId="00E98916">
                <wp:simplePos x="0" y="0"/>
                <wp:positionH relativeFrom="column">
                  <wp:posOffset>2063750</wp:posOffset>
                </wp:positionH>
                <wp:positionV relativeFrom="paragraph">
                  <wp:posOffset>2019300</wp:posOffset>
                </wp:positionV>
                <wp:extent cx="666750" cy="450850"/>
                <wp:effectExtent l="19050" t="19050" r="19050" b="25400"/>
                <wp:wrapNone/>
                <wp:docPr id="60266971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0BA27" id="Oval 2" o:spid="_x0000_s1026" style="position:absolute;margin-left:162.5pt;margin-top:159pt;width:52.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" filled="f" strokecolor="#0070c0" strokeweight="2.25pt">
                <v:stroke joinstyle="miter"/>
              </v:oval>
            </w:pict>
          </mc:Fallback>
        </mc:AlternateContent>
      </w:r>
      <w:r w:rsidRPr="00704733">
        <w:rPr>
          <w:noProof/>
        </w:rPr>
        <w:drawing>
          <wp:inline distT="0" distB="0" distL="0" distR="0" wp14:anchorId="63A1513C" wp14:editId="3EB65053">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8"/>
                    <a:srcRect l="3326" t="10715" r="1552" b="9286"/>
                    <a:stretch>
                      <a:fillRect/>
                    </a:stretch>
                  </pic:blipFill>
                  <pic:spPr bwMode="auto">
                    <a:xfrm>
                      <a:off x="0" y="0"/>
                      <a:ext cx="4617720" cy="5120640"/>
                    </a:xfrm>
                    <a:prstGeom prst="rect">
                      <a:avLst/>
                    </a:prstGeom>
                    <a:noFill/>
                  </pic:spPr>
                </pic:pic>
              </a:graphicData>
            </a:graphic>
          </wp:inline>
        </w:drawing>
      </w:r>
    </w:p>
    <w:p w14:paraId="143C6368" w14:textId="10D439EC" w:rsidR="001736F9" w:rsidRPr="004304ED" w:rsidRDefault="001736F9" w:rsidP="001736F9">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FB0500D" wp14:editId="20717F5B">
                <wp:simplePos x="0" y="0"/>
                <wp:positionH relativeFrom="column">
                  <wp:posOffset>2295525</wp:posOffset>
                </wp:positionH>
                <wp:positionV relativeFrom="paragraph">
                  <wp:posOffset>4181475</wp:posOffset>
                </wp:positionV>
                <wp:extent cx="714375" cy="695325"/>
                <wp:effectExtent l="19050" t="19050" r="28575" b="28575"/>
                <wp:wrapNone/>
                <wp:docPr id="812002592" name="Oval 2"/>
                <wp:cNvGraphicFramePr/>
                <a:graphic xmlns:a="http://schemas.openxmlformats.org/drawingml/2006/main">
                  <a:graphicData uri="http://schemas.microsoft.com/office/word/2010/wordprocessingShape">
                    <wps:wsp>
                      <wps:cNvSpPr/>
                      <wps:spPr>
                        <a:xfrm>
                          <a:off x="0" y="0"/>
                          <a:ext cx="714375" cy="69532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092BE" id="Oval 2" o:spid="_x0000_s1026" style="position:absolute;margin-left:180.75pt;margin-top:329.25pt;width:56.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" filled="f" strokecolor="#c00000" strokeweight="2.25pt">
                <v:stroke joinstyle="miter"/>
              </v:oval>
            </w:pict>
          </mc:Fallback>
        </mc:AlternateContent>
      </w:r>
      <w:r w:rsidRPr="004304ED">
        <w:rPr>
          <w:rFonts w:ascii="Times New Roman" w:hAnsi="Times New Roman" w:cs="Times New Roman"/>
          <w:b/>
          <w:bCs/>
        </w:rPr>
        <w:t>Figure 1:</w:t>
      </w:r>
      <w:r w:rsidRPr="004304ED">
        <w:rPr>
          <w:rFonts w:ascii="Times New Roman" w:hAnsi="Times New Roman" w:cs="Times New Roman"/>
        </w:rPr>
        <w:t xml:space="preserve"> Geologic map of study area</w:t>
      </w:r>
    </w:p>
    <w:p w14:paraId="6512072B" w14:textId="77777777" w:rsidR="001736F9" w:rsidRDefault="001736F9" w:rsidP="00D83410">
      <w:pPr>
        <w:spacing w:after="0" w:line="360" w:lineRule="auto"/>
        <w:ind w:firstLine="720"/>
        <w:rPr>
          <w:rFonts w:ascii="Times New Roman" w:hAnsi="Times New Roman" w:cs="Times New Roman"/>
        </w:rPr>
      </w:pPr>
    </w:p>
    <w:p w14:paraId="237F2B23" w14:textId="77777777" w:rsidR="003E72AF" w:rsidRDefault="003E72AF" w:rsidP="00D83410">
      <w:pPr>
        <w:spacing w:after="0" w:line="360" w:lineRule="auto"/>
        <w:ind w:firstLine="720"/>
        <w:rPr>
          <w:rFonts w:ascii="Times New Roman" w:hAnsi="Times New Roman" w:cs="Times New Roman"/>
        </w:rPr>
      </w:pPr>
    </w:p>
    <w:p w14:paraId="649FE606" w14:textId="77777777" w:rsidR="003E72AF" w:rsidRDefault="003E72AF" w:rsidP="00D83410">
      <w:pPr>
        <w:spacing w:after="0" w:line="360" w:lineRule="auto"/>
        <w:ind w:firstLine="720"/>
        <w:rPr>
          <w:rFonts w:ascii="Times New Roman" w:hAnsi="Times New Roman" w:cs="Times New Roman"/>
        </w:rPr>
      </w:pPr>
    </w:p>
    <w:p w14:paraId="25FB30AA" w14:textId="77777777" w:rsidR="003E72AF" w:rsidRDefault="003E72AF" w:rsidP="00D83410">
      <w:pPr>
        <w:spacing w:after="0" w:line="360" w:lineRule="auto"/>
        <w:ind w:firstLine="720"/>
        <w:rPr>
          <w:rFonts w:ascii="Times New Roman" w:hAnsi="Times New Roman" w:cs="Times New Roman"/>
        </w:rPr>
      </w:pPr>
    </w:p>
    <w:p w14:paraId="2072782A" w14:textId="77777777" w:rsidR="003E72AF" w:rsidRDefault="003E72AF" w:rsidP="00D83410">
      <w:pPr>
        <w:spacing w:after="0" w:line="360" w:lineRule="auto"/>
        <w:ind w:firstLine="720"/>
        <w:rPr>
          <w:rFonts w:ascii="Times New Roman" w:hAnsi="Times New Roman" w:cs="Times New Roman"/>
        </w:rPr>
      </w:pPr>
    </w:p>
    <w:p w14:paraId="692AC36F" w14:textId="77777777" w:rsidR="003E72AF" w:rsidRDefault="003E72AF" w:rsidP="00D83410">
      <w:pPr>
        <w:spacing w:after="0" w:line="360" w:lineRule="auto"/>
        <w:ind w:firstLine="720"/>
        <w:rPr>
          <w:rFonts w:ascii="Times New Roman" w:hAnsi="Times New Roman" w:cs="Times New Roman"/>
        </w:rPr>
      </w:pPr>
    </w:p>
    <w:p w14:paraId="552683D0" w14:textId="77777777" w:rsidR="003E72AF" w:rsidRDefault="003E72AF" w:rsidP="00D83410">
      <w:pPr>
        <w:spacing w:after="0" w:line="360" w:lineRule="auto"/>
        <w:ind w:firstLine="720"/>
        <w:rPr>
          <w:rFonts w:ascii="Times New Roman" w:hAnsi="Times New Roman" w:cs="Times New Roman"/>
        </w:rPr>
      </w:pPr>
    </w:p>
    <w:p w14:paraId="198BA3A2" w14:textId="77777777" w:rsidR="003E72AF" w:rsidRDefault="003E72AF" w:rsidP="00D83410">
      <w:pPr>
        <w:spacing w:after="0" w:line="360" w:lineRule="auto"/>
        <w:ind w:firstLine="720"/>
        <w:rPr>
          <w:rFonts w:ascii="Times New Roman" w:hAnsi="Times New Roman" w:cs="Times New Roman"/>
        </w:rPr>
      </w:pPr>
    </w:p>
    <w:p w14:paraId="0791F730" w14:textId="77777777" w:rsidR="003E72AF" w:rsidRPr="004304ED" w:rsidRDefault="003E72AF" w:rsidP="00D83410">
      <w:pPr>
        <w:spacing w:after="0" w:line="360" w:lineRule="auto"/>
        <w:ind w:firstLine="720"/>
        <w:rPr>
          <w:rFonts w:ascii="Times New Roman" w:hAnsi="Times New Roman" w:cs="Times New Roman"/>
        </w:rPr>
      </w:pPr>
    </w:p>
    <w:p w14:paraId="2FC40A0B" w14:textId="77777777" w:rsidR="001736F9" w:rsidRPr="004304ED" w:rsidRDefault="001736F9" w:rsidP="00D83410">
      <w:pPr>
        <w:spacing w:after="0" w:line="360" w:lineRule="auto"/>
        <w:ind w:firstLine="720"/>
        <w:rPr>
          <w:rFonts w:ascii="Times New Roman" w:hAnsi="Times New Roman" w:cs="Times New Roman"/>
        </w:rPr>
      </w:pPr>
    </w:p>
    <w:p w14:paraId="7DD44163" w14:textId="77777777" w:rsidR="001736F9" w:rsidRPr="004304ED" w:rsidRDefault="001736F9" w:rsidP="001736F9">
      <w:pPr>
        <w:spacing w:after="0" w:line="240" w:lineRule="auto"/>
        <w:rPr>
          <w:rFonts w:ascii="Times New Roman" w:hAnsi="Times New Roman" w:cs="Times New Roman"/>
        </w:rPr>
      </w:pPr>
      <w:r w:rsidRPr="004304ED">
        <w:rPr>
          <w:rFonts w:ascii="Times New Roman" w:hAnsi="Times New Roman" w:cs="Times New Roman"/>
          <w:b/>
          <w:bCs/>
        </w:rPr>
        <w:lastRenderedPageBreak/>
        <w:t xml:space="preserve">Table 1. </w:t>
      </w:r>
      <w:r w:rsidRPr="004304ED">
        <w:rPr>
          <w:rFonts w:ascii="Times New Roman" w:hAnsi="Times New Roman" w:cs="Times New Roman"/>
        </w:rPr>
        <w:t>Coordinates of dumpsites and control locations in the study area. Keys: A1–A3 = Auto-mechanic waste sites; P1–P3 = Paint waste sites; AB1–AB3 = Abattoir waste sites; C1–C3 = Control sites.</w:t>
      </w:r>
    </w:p>
    <w:p w14:paraId="249125A6" w14:textId="77777777" w:rsidR="001736F9" w:rsidRPr="004304ED" w:rsidRDefault="001736F9" w:rsidP="00D83410">
      <w:pPr>
        <w:spacing w:after="0" w:line="360" w:lineRule="auto"/>
        <w:ind w:firstLine="720"/>
        <w:rPr>
          <w:rFonts w:ascii="Times New Roman" w:hAnsi="Times New Roman" w:cs="Times New Roman"/>
        </w:rPr>
      </w:pPr>
    </w:p>
    <w:tbl>
      <w:tblPr>
        <w:tblStyle w:val="TableGridLight1"/>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46"/>
        <w:gridCol w:w="2612"/>
        <w:gridCol w:w="991"/>
        <w:gridCol w:w="1723"/>
        <w:gridCol w:w="1842"/>
      </w:tblGrid>
      <w:tr w:rsidR="001736F9" w:rsidRPr="004304ED" w14:paraId="51B593F7" w14:textId="77777777" w:rsidTr="00476C0D">
        <w:trPr>
          <w:trHeight w:val="773"/>
        </w:trPr>
        <w:tc>
          <w:tcPr>
            <w:tcW w:w="0" w:type="auto"/>
            <w:hideMark/>
          </w:tcPr>
          <w:p w14:paraId="160D2CC6"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S/N</w:t>
            </w:r>
          </w:p>
        </w:tc>
        <w:tc>
          <w:tcPr>
            <w:tcW w:w="0" w:type="auto"/>
            <w:hideMark/>
          </w:tcPr>
          <w:p w14:paraId="127B647A"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Local Government Area (LGA)</w:t>
            </w:r>
          </w:p>
        </w:tc>
        <w:tc>
          <w:tcPr>
            <w:tcW w:w="0" w:type="auto"/>
            <w:hideMark/>
          </w:tcPr>
          <w:p w14:paraId="22CA46CF"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Waste Disposal Site Description</w:t>
            </w:r>
          </w:p>
        </w:tc>
        <w:tc>
          <w:tcPr>
            <w:tcW w:w="0" w:type="auto"/>
            <w:hideMark/>
          </w:tcPr>
          <w:p w14:paraId="450B264D"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Site Code</w:t>
            </w:r>
          </w:p>
        </w:tc>
        <w:tc>
          <w:tcPr>
            <w:tcW w:w="0" w:type="auto"/>
            <w:hideMark/>
          </w:tcPr>
          <w:p w14:paraId="57C92D2A"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Latitude (Decimal)</w:t>
            </w:r>
          </w:p>
        </w:tc>
        <w:tc>
          <w:tcPr>
            <w:tcW w:w="0" w:type="auto"/>
            <w:hideMark/>
          </w:tcPr>
          <w:p w14:paraId="5BD69240"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Longitude (Decimal)</w:t>
            </w:r>
          </w:p>
        </w:tc>
      </w:tr>
      <w:tr w:rsidR="001736F9" w:rsidRPr="004304ED" w14:paraId="21A3A1C4" w14:textId="77777777" w:rsidTr="00476C0D">
        <w:trPr>
          <w:trHeight w:val="477"/>
        </w:trPr>
        <w:tc>
          <w:tcPr>
            <w:tcW w:w="0" w:type="auto"/>
            <w:hideMark/>
          </w:tcPr>
          <w:p w14:paraId="3DFA481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w:t>
            </w:r>
          </w:p>
        </w:tc>
        <w:tc>
          <w:tcPr>
            <w:tcW w:w="0" w:type="auto"/>
            <w:hideMark/>
          </w:tcPr>
          <w:p w14:paraId="45AC80A2"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Etinan</w:t>
            </w:r>
            <w:proofErr w:type="spellEnd"/>
          </w:p>
        </w:tc>
        <w:tc>
          <w:tcPr>
            <w:tcW w:w="0" w:type="auto"/>
            <w:hideMark/>
          </w:tcPr>
          <w:p w14:paraId="05CF9E5F"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waste site</w:t>
            </w:r>
          </w:p>
        </w:tc>
        <w:tc>
          <w:tcPr>
            <w:tcW w:w="0" w:type="auto"/>
            <w:hideMark/>
          </w:tcPr>
          <w:p w14:paraId="08FB5BF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A1</w:t>
            </w:r>
          </w:p>
        </w:tc>
        <w:tc>
          <w:tcPr>
            <w:tcW w:w="0" w:type="auto"/>
            <w:hideMark/>
          </w:tcPr>
          <w:p w14:paraId="2E04923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4.831111</w:t>
            </w:r>
          </w:p>
        </w:tc>
        <w:tc>
          <w:tcPr>
            <w:tcW w:w="0" w:type="auto"/>
            <w:hideMark/>
          </w:tcPr>
          <w:p w14:paraId="006AF0C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7.852500</w:t>
            </w:r>
          </w:p>
        </w:tc>
      </w:tr>
      <w:tr w:rsidR="001736F9" w:rsidRPr="004304ED" w14:paraId="345EAD99" w14:textId="77777777" w:rsidTr="00476C0D">
        <w:trPr>
          <w:trHeight w:val="773"/>
        </w:trPr>
        <w:tc>
          <w:tcPr>
            <w:tcW w:w="0" w:type="auto"/>
            <w:hideMark/>
          </w:tcPr>
          <w:p w14:paraId="1D819AC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2</w:t>
            </w:r>
          </w:p>
        </w:tc>
        <w:tc>
          <w:tcPr>
            <w:tcW w:w="0" w:type="auto"/>
            <w:hideMark/>
          </w:tcPr>
          <w:p w14:paraId="101B503F"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Etinan</w:t>
            </w:r>
            <w:proofErr w:type="spellEnd"/>
          </w:p>
        </w:tc>
        <w:tc>
          <w:tcPr>
            <w:tcW w:w="0" w:type="auto"/>
            <w:hideMark/>
          </w:tcPr>
          <w:p w14:paraId="02E2467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3DB5D63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P1</w:t>
            </w:r>
          </w:p>
        </w:tc>
        <w:tc>
          <w:tcPr>
            <w:tcW w:w="0" w:type="auto"/>
            <w:hideMark/>
          </w:tcPr>
          <w:p w14:paraId="03E8377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4.809167</w:t>
            </w:r>
          </w:p>
        </w:tc>
        <w:tc>
          <w:tcPr>
            <w:tcW w:w="0" w:type="auto"/>
            <w:hideMark/>
          </w:tcPr>
          <w:p w14:paraId="7EA5A95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7.883611</w:t>
            </w:r>
          </w:p>
        </w:tc>
      </w:tr>
      <w:tr w:rsidR="001736F9" w:rsidRPr="004304ED" w14:paraId="08C5F31B" w14:textId="77777777" w:rsidTr="00476C0D">
        <w:trPr>
          <w:trHeight w:val="460"/>
        </w:trPr>
        <w:tc>
          <w:tcPr>
            <w:tcW w:w="0" w:type="auto"/>
            <w:hideMark/>
          </w:tcPr>
          <w:p w14:paraId="2F36A09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3</w:t>
            </w:r>
          </w:p>
        </w:tc>
        <w:tc>
          <w:tcPr>
            <w:tcW w:w="0" w:type="auto"/>
            <w:hideMark/>
          </w:tcPr>
          <w:p w14:paraId="5DBAE0A5"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Etinan</w:t>
            </w:r>
            <w:proofErr w:type="spellEnd"/>
          </w:p>
        </w:tc>
        <w:tc>
          <w:tcPr>
            <w:tcW w:w="0" w:type="auto"/>
            <w:hideMark/>
          </w:tcPr>
          <w:p w14:paraId="65491173"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3F2F5E1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AB1</w:t>
            </w:r>
          </w:p>
        </w:tc>
        <w:tc>
          <w:tcPr>
            <w:tcW w:w="0" w:type="auto"/>
            <w:hideMark/>
          </w:tcPr>
          <w:p w14:paraId="173A699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4.870556</w:t>
            </w:r>
          </w:p>
        </w:tc>
        <w:tc>
          <w:tcPr>
            <w:tcW w:w="0" w:type="auto"/>
            <w:hideMark/>
          </w:tcPr>
          <w:p w14:paraId="36F24EC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7.844444</w:t>
            </w:r>
          </w:p>
        </w:tc>
      </w:tr>
      <w:tr w:rsidR="001736F9" w:rsidRPr="004304ED" w14:paraId="55AE30E5" w14:textId="77777777" w:rsidTr="00476C0D">
        <w:trPr>
          <w:trHeight w:val="460"/>
        </w:trPr>
        <w:tc>
          <w:tcPr>
            <w:tcW w:w="0" w:type="auto"/>
            <w:hideMark/>
          </w:tcPr>
          <w:p w14:paraId="2D0C041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w:t>
            </w:r>
          </w:p>
        </w:tc>
        <w:tc>
          <w:tcPr>
            <w:tcW w:w="0" w:type="auto"/>
            <w:hideMark/>
          </w:tcPr>
          <w:p w14:paraId="410693F1"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Etinan</w:t>
            </w:r>
            <w:proofErr w:type="spellEnd"/>
          </w:p>
        </w:tc>
        <w:tc>
          <w:tcPr>
            <w:tcW w:w="0" w:type="auto"/>
            <w:hideMark/>
          </w:tcPr>
          <w:p w14:paraId="3466625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56D84D2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C1</w:t>
            </w:r>
          </w:p>
        </w:tc>
        <w:tc>
          <w:tcPr>
            <w:tcW w:w="0" w:type="auto"/>
            <w:hideMark/>
          </w:tcPr>
          <w:p w14:paraId="4314699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4.935556</w:t>
            </w:r>
          </w:p>
        </w:tc>
        <w:tc>
          <w:tcPr>
            <w:tcW w:w="0" w:type="auto"/>
            <w:hideMark/>
          </w:tcPr>
          <w:p w14:paraId="0123CE4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7.841389</w:t>
            </w:r>
          </w:p>
        </w:tc>
      </w:tr>
      <w:tr w:rsidR="001736F9" w:rsidRPr="004304ED" w14:paraId="2C2D2032" w14:textId="77777777" w:rsidTr="00476C0D">
        <w:trPr>
          <w:trHeight w:val="477"/>
        </w:trPr>
        <w:tc>
          <w:tcPr>
            <w:tcW w:w="0" w:type="auto"/>
            <w:hideMark/>
          </w:tcPr>
          <w:p w14:paraId="1696A1A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w:t>
            </w:r>
          </w:p>
        </w:tc>
        <w:tc>
          <w:tcPr>
            <w:tcW w:w="0" w:type="auto"/>
            <w:hideMark/>
          </w:tcPr>
          <w:p w14:paraId="2BC353AA"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Uyo</w:t>
            </w:r>
            <w:proofErr w:type="spellEnd"/>
          </w:p>
        </w:tc>
        <w:tc>
          <w:tcPr>
            <w:tcW w:w="0" w:type="auto"/>
            <w:hideMark/>
          </w:tcPr>
          <w:p w14:paraId="7F6D60BE"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waste site</w:t>
            </w:r>
          </w:p>
        </w:tc>
        <w:tc>
          <w:tcPr>
            <w:tcW w:w="0" w:type="auto"/>
            <w:hideMark/>
          </w:tcPr>
          <w:p w14:paraId="22255DE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A2</w:t>
            </w:r>
          </w:p>
        </w:tc>
        <w:tc>
          <w:tcPr>
            <w:tcW w:w="0" w:type="auto"/>
            <w:hideMark/>
          </w:tcPr>
          <w:p w14:paraId="0E8F0FC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5.023333</w:t>
            </w:r>
          </w:p>
        </w:tc>
        <w:tc>
          <w:tcPr>
            <w:tcW w:w="0" w:type="auto"/>
            <w:hideMark/>
          </w:tcPr>
          <w:p w14:paraId="215DF28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7.897778</w:t>
            </w:r>
          </w:p>
        </w:tc>
      </w:tr>
      <w:tr w:rsidR="001736F9" w:rsidRPr="004304ED" w14:paraId="64624C7B" w14:textId="77777777" w:rsidTr="00476C0D">
        <w:trPr>
          <w:trHeight w:val="773"/>
        </w:trPr>
        <w:tc>
          <w:tcPr>
            <w:tcW w:w="0" w:type="auto"/>
            <w:hideMark/>
          </w:tcPr>
          <w:p w14:paraId="5A38F62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6</w:t>
            </w:r>
          </w:p>
        </w:tc>
        <w:tc>
          <w:tcPr>
            <w:tcW w:w="0" w:type="auto"/>
            <w:hideMark/>
          </w:tcPr>
          <w:p w14:paraId="56473344"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Uyo</w:t>
            </w:r>
            <w:proofErr w:type="spellEnd"/>
          </w:p>
        </w:tc>
        <w:tc>
          <w:tcPr>
            <w:tcW w:w="0" w:type="auto"/>
            <w:hideMark/>
          </w:tcPr>
          <w:p w14:paraId="0486AB6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3D6A068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P2</w:t>
            </w:r>
          </w:p>
        </w:tc>
        <w:tc>
          <w:tcPr>
            <w:tcW w:w="0" w:type="auto"/>
            <w:hideMark/>
          </w:tcPr>
          <w:p w14:paraId="278A264B"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5.027500</w:t>
            </w:r>
          </w:p>
        </w:tc>
        <w:tc>
          <w:tcPr>
            <w:tcW w:w="0" w:type="auto"/>
            <w:hideMark/>
          </w:tcPr>
          <w:p w14:paraId="79EBC14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7.942500</w:t>
            </w:r>
          </w:p>
        </w:tc>
      </w:tr>
      <w:tr w:rsidR="001736F9" w:rsidRPr="004304ED" w14:paraId="75E1540C" w14:textId="77777777" w:rsidTr="00476C0D">
        <w:trPr>
          <w:trHeight w:val="460"/>
        </w:trPr>
        <w:tc>
          <w:tcPr>
            <w:tcW w:w="0" w:type="auto"/>
            <w:hideMark/>
          </w:tcPr>
          <w:p w14:paraId="2A1CF16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w:t>
            </w:r>
          </w:p>
        </w:tc>
        <w:tc>
          <w:tcPr>
            <w:tcW w:w="0" w:type="auto"/>
            <w:hideMark/>
          </w:tcPr>
          <w:p w14:paraId="3366241C"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Uyo</w:t>
            </w:r>
            <w:proofErr w:type="spellEnd"/>
          </w:p>
        </w:tc>
        <w:tc>
          <w:tcPr>
            <w:tcW w:w="0" w:type="auto"/>
            <w:hideMark/>
          </w:tcPr>
          <w:p w14:paraId="70840D4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14FE451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AB2</w:t>
            </w:r>
          </w:p>
        </w:tc>
        <w:tc>
          <w:tcPr>
            <w:tcW w:w="0" w:type="auto"/>
            <w:hideMark/>
          </w:tcPr>
          <w:p w14:paraId="79AD7D8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5.056389</w:t>
            </w:r>
          </w:p>
        </w:tc>
        <w:tc>
          <w:tcPr>
            <w:tcW w:w="0" w:type="auto"/>
            <w:hideMark/>
          </w:tcPr>
          <w:p w14:paraId="0FB6E0F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7.884444</w:t>
            </w:r>
          </w:p>
        </w:tc>
      </w:tr>
      <w:tr w:rsidR="001736F9" w:rsidRPr="004304ED" w14:paraId="39957321" w14:textId="77777777" w:rsidTr="00476C0D">
        <w:trPr>
          <w:trHeight w:val="460"/>
        </w:trPr>
        <w:tc>
          <w:tcPr>
            <w:tcW w:w="0" w:type="auto"/>
            <w:hideMark/>
          </w:tcPr>
          <w:p w14:paraId="606234E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8</w:t>
            </w:r>
          </w:p>
        </w:tc>
        <w:tc>
          <w:tcPr>
            <w:tcW w:w="0" w:type="auto"/>
            <w:hideMark/>
          </w:tcPr>
          <w:p w14:paraId="3294C5DB"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Uyo</w:t>
            </w:r>
            <w:proofErr w:type="spellEnd"/>
          </w:p>
        </w:tc>
        <w:tc>
          <w:tcPr>
            <w:tcW w:w="0" w:type="auto"/>
            <w:hideMark/>
          </w:tcPr>
          <w:p w14:paraId="10773C0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4946875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C2</w:t>
            </w:r>
          </w:p>
        </w:tc>
        <w:tc>
          <w:tcPr>
            <w:tcW w:w="0" w:type="auto"/>
            <w:hideMark/>
          </w:tcPr>
          <w:p w14:paraId="31C4358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4.966944</w:t>
            </w:r>
          </w:p>
        </w:tc>
        <w:tc>
          <w:tcPr>
            <w:tcW w:w="0" w:type="auto"/>
            <w:hideMark/>
          </w:tcPr>
          <w:p w14:paraId="4F45889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7.979444</w:t>
            </w:r>
          </w:p>
        </w:tc>
      </w:tr>
      <w:tr w:rsidR="001736F9" w:rsidRPr="004304ED" w14:paraId="1903E982" w14:textId="77777777" w:rsidTr="00476C0D">
        <w:trPr>
          <w:trHeight w:val="477"/>
        </w:trPr>
        <w:tc>
          <w:tcPr>
            <w:tcW w:w="0" w:type="auto"/>
            <w:hideMark/>
          </w:tcPr>
          <w:p w14:paraId="356E78E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9</w:t>
            </w:r>
          </w:p>
        </w:tc>
        <w:tc>
          <w:tcPr>
            <w:tcW w:w="0" w:type="auto"/>
            <w:hideMark/>
          </w:tcPr>
          <w:p w14:paraId="6A210D6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 xml:space="preserve">Ikot </w:t>
            </w:r>
            <w:proofErr w:type="spellStart"/>
            <w:r w:rsidRPr="004304ED">
              <w:rPr>
                <w:rFonts w:ascii="Times New Roman" w:hAnsi="Times New Roman" w:cs="Times New Roman"/>
              </w:rPr>
              <w:t>Ekpene</w:t>
            </w:r>
            <w:proofErr w:type="spellEnd"/>
          </w:p>
        </w:tc>
        <w:tc>
          <w:tcPr>
            <w:tcW w:w="0" w:type="auto"/>
            <w:hideMark/>
          </w:tcPr>
          <w:p w14:paraId="110D3B29" w14:textId="77777777" w:rsidR="001736F9" w:rsidRPr="004304ED" w:rsidRDefault="001736F9" w:rsidP="00476C0D">
            <w:pPr>
              <w:spacing w:after="160" w:line="278" w:lineRule="auto"/>
              <w:jc w:val="center"/>
              <w:rPr>
                <w:rFonts w:ascii="Times New Roman" w:hAnsi="Times New Roman" w:cs="Times New Roman"/>
              </w:rPr>
            </w:pP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waste site</w:t>
            </w:r>
          </w:p>
        </w:tc>
        <w:tc>
          <w:tcPr>
            <w:tcW w:w="0" w:type="auto"/>
            <w:hideMark/>
          </w:tcPr>
          <w:p w14:paraId="43A3539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A3</w:t>
            </w:r>
          </w:p>
        </w:tc>
        <w:tc>
          <w:tcPr>
            <w:tcW w:w="0" w:type="auto"/>
            <w:hideMark/>
          </w:tcPr>
          <w:p w14:paraId="6BCA641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5.161944</w:t>
            </w:r>
          </w:p>
        </w:tc>
        <w:tc>
          <w:tcPr>
            <w:tcW w:w="0" w:type="auto"/>
            <w:hideMark/>
          </w:tcPr>
          <w:p w14:paraId="4E6F25A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7.731667</w:t>
            </w:r>
          </w:p>
        </w:tc>
      </w:tr>
      <w:tr w:rsidR="001736F9" w:rsidRPr="004304ED" w14:paraId="567A298B" w14:textId="77777777" w:rsidTr="00476C0D">
        <w:trPr>
          <w:trHeight w:val="773"/>
        </w:trPr>
        <w:tc>
          <w:tcPr>
            <w:tcW w:w="0" w:type="auto"/>
            <w:hideMark/>
          </w:tcPr>
          <w:p w14:paraId="4621ED6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10</w:t>
            </w:r>
          </w:p>
        </w:tc>
        <w:tc>
          <w:tcPr>
            <w:tcW w:w="0" w:type="auto"/>
            <w:hideMark/>
          </w:tcPr>
          <w:p w14:paraId="1E9D65B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 xml:space="preserve">Ikot </w:t>
            </w:r>
            <w:proofErr w:type="spellStart"/>
            <w:r w:rsidRPr="004304ED">
              <w:rPr>
                <w:rFonts w:ascii="Times New Roman" w:hAnsi="Times New Roman" w:cs="Times New Roman"/>
              </w:rPr>
              <w:t>Ekpene</w:t>
            </w:r>
            <w:proofErr w:type="spellEnd"/>
          </w:p>
        </w:tc>
        <w:tc>
          <w:tcPr>
            <w:tcW w:w="0" w:type="auto"/>
            <w:hideMark/>
          </w:tcPr>
          <w:p w14:paraId="175389B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7AD673A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P3</w:t>
            </w:r>
          </w:p>
        </w:tc>
        <w:tc>
          <w:tcPr>
            <w:tcW w:w="0" w:type="auto"/>
            <w:hideMark/>
          </w:tcPr>
          <w:p w14:paraId="1020203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5.163056</w:t>
            </w:r>
          </w:p>
        </w:tc>
        <w:tc>
          <w:tcPr>
            <w:tcW w:w="0" w:type="auto"/>
            <w:hideMark/>
          </w:tcPr>
          <w:p w14:paraId="3B80C7B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7.732500</w:t>
            </w:r>
          </w:p>
        </w:tc>
      </w:tr>
      <w:tr w:rsidR="001736F9" w:rsidRPr="004304ED" w14:paraId="7807DCA2" w14:textId="77777777" w:rsidTr="00476C0D">
        <w:trPr>
          <w:trHeight w:val="460"/>
        </w:trPr>
        <w:tc>
          <w:tcPr>
            <w:tcW w:w="0" w:type="auto"/>
            <w:hideMark/>
          </w:tcPr>
          <w:p w14:paraId="27989B9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11</w:t>
            </w:r>
          </w:p>
        </w:tc>
        <w:tc>
          <w:tcPr>
            <w:tcW w:w="0" w:type="auto"/>
            <w:hideMark/>
          </w:tcPr>
          <w:p w14:paraId="24954DB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 xml:space="preserve">Ikot </w:t>
            </w:r>
            <w:proofErr w:type="spellStart"/>
            <w:r w:rsidRPr="004304ED">
              <w:rPr>
                <w:rFonts w:ascii="Times New Roman" w:hAnsi="Times New Roman" w:cs="Times New Roman"/>
              </w:rPr>
              <w:t>Ekpene</w:t>
            </w:r>
            <w:proofErr w:type="spellEnd"/>
          </w:p>
        </w:tc>
        <w:tc>
          <w:tcPr>
            <w:tcW w:w="0" w:type="auto"/>
            <w:hideMark/>
          </w:tcPr>
          <w:p w14:paraId="0ED2396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31EFC29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AB3</w:t>
            </w:r>
          </w:p>
        </w:tc>
        <w:tc>
          <w:tcPr>
            <w:tcW w:w="0" w:type="auto"/>
            <w:hideMark/>
          </w:tcPr>
          <w:p w14:paraId="5608BC7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5.113611</w:t>
            </w:r>
          </w:p>
        </w:tc>
        <w:tc>
          <w:tcPr>
            <w:tcW w:w="0" w:type="auto"/>
            <w:hideMark/>
          </w:tcPr>
          <w:p w14:paraId="2834435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7.787778</w:t>
            </w:r>
          </w:p>
        </w:tc>
      </w:tr>
      <w:tr w:rsidR="001736F9" w:rsidRPr="004304ED" w14:paraId="1E0F62BD" w14:textId="77777777" w:rsidTr="00476C0D">
        <w:trPr>
          <w:trHeight w:val="460"/>
        </w:trPr>
        <w:tc>
          <w:tcPr>
            <w:tcW w:w="0" w:type="auto"/>
            <w:hideMark/>
          </w:tcPr>
          <w:p w14:paraId="60A81B0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12</w:t>
            </w:r>
          </w:p>
        </w:tc>
        <w:tc>
          <w:tcPr>
            <w:tcW w:w="0" w:type="auto"/>
            <w:hideMark/>
          </w:tcPr>
          <w:p w14:paraId="2C20BB6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 xml:space="preserve">Ikot </w:t>
            </w:r>
            <w:proofErr w:type="spellStart"/>
            <w:r w:rsidRPr="004304ED">
              <w:rPr>
                <w:rFonts w:ascii="Times New Roman" w:hAnsi="Times New Roman" w:cs="Times New Roman"/>
              </w:rPr>
              <w:t>Ekpene</w:t>
            </w:r>
            <w:proofErr w:type="spellEnd"/>
          </w:p>
        </w:tc>
        <w:tc>
          <w:tcPr>
            <w:tcW w:w="0" w:type="auto"/>
            <w:hideMark/>
          </w:tcPr>
          <w:p w14:paraId="7EC2F1B3"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17BF6D9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C3</w:t>
            </w:r>
          </w:p>
        </w:tc>
        <w:tc>
          <w:tcPr>
            <w:tcW w:w="0" w:type="auto"/>
            <w:hideMark/>
          </w:tcPr>
          <w:p w14:paraId="25DB322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5.156944</w:t>
            </w:r>
          </w:p>
        </w:tc>
        <w:tc>
          <w:tcPr>
            <w:tcW w:w="0" w:type="auto"/>
            <w:hideMark/>
          </w:tcPr>
          <w:p w14:paraId="65202A9B"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7.744722</w:t>
            </w:r>
          </w:p>
        </w:tc>
      </w:tr>
    </w:tbl>
    <w:p w14:paraId="019EAF13" w14:textId="77777777" w:rsidR="001736F9" w:rsidRPr="004304ED" w:rsidRDefault="001736F9" w:rsidP="00D83410">
      <w:pPr>
        <w:spacing w:after="0" w:line="360" w:lineRule="auto"/>
        <w:ind w:firstLine="720"/>
        <w:rPr>
          <w:rFonts w:ascii="Times New Roman" w:hAnsi="Times New Roman" w:cs="Times New Roman"/>
        </w:rPr>
      </w:pPr>
    </w:p>
    <w:p w14:paraId="5446A10A"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b/>
          <w:bCs/>
        </w:rPr>
        <w:t> </w:t>
      </w:r>
    </w:p>
    <w:p w14:paraId="349CD3A1"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b/>
          <w:bCs/>
        </w:rPr>
        <w:t>Soil/waste sampling design and preparation</w:t>
      </w:r>
    </w:p>
    <w:p w14:paraId="7F6F8D8B" w14:textId="0AB20B4F"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A total of 12 sampling locations were investigated: nine waste-impacted sites (3 × 3) and three corresponding control sites (3 × 1). Within each dumpsite, three random auger points were established to account for spatial variability. Soil samples were collected from three different depths (0-20</w:t>
      </w:r>
      <w:r w:rsidR="0037092D" w:rsidRPr="004304ED">
        <w:rPr>
          <w:rFonts w:ascii="Times New Roman" w:hAnsi="Times New Roman" w:cs="Times New Roman"/>
        </w:rPr>
        <w:t xml:space="preserve"> </w:t>
      </w:r>
      <w:r w:rsidRPr="004304ED">
        <w:rPr>
          <w:rFonts w:ascii="Times New Roman" w:hAnsi="Times New Roman" w:cs="Times New Roman"/>
        </w:rPr>
        <w:t>cm, 20-40</w:t>
      </w:r>
      <w:r w:rsidR="0037092D" w:rsidRPr="004304ED">
        <w:rPr>
          <w:rFonts w:ascii="Times New Roman" w:hAnsi="Times New Roman" w:cs="Times New Roman"/>
        </w:rPr>
        <w:t xml:space="preserve"> </w:t>
      </w:r>
      <w:r w:rsidRPr="004304ED">
        <w:rPr>
          <w:rFonts w:ascii="Times New Roman" w:hAnsi="Times New Roman" w:cs="Times New Roman"/>
        </w:rPr>
        <w:t>cm, 40-60</w:t>
      </w:r>
      <w:r w:rsidR="0037092D" w:rsidRPr="004304ED">
        <w:rPr>
          <w:rFonts w:ascii="Times New Roman" w:hAnsi="Times New Roman" w:cs="Times New Roman"/>
        </w:rPr>
        <w:t xml:space="preserve"> </w:t>
      </w:r>
      <w:r w:rsidRPr="004304ED">
        <w:rPr>
          <w:rFonts w:ascii="Times New Roman" w:hAnsi="Times New Roman" w:cs="Times New Roman"/>
        </w:rPr>
        <w:t xml:space="preserve">cm) after carefully clearing surface debris and waste </w:t>
      </w:r>
      <w:r w:rsidRPr="004304ED">
        <w:rPr>
          <w:rFonts w:ascii="Times New Roman" w:hAnsi="Times New Roman" w:cs="Times New Roman"/>
        </w:rPr>
        <w:lastRenderedPageBreak/>
        <w:t xml:space="preserve">materials. These depths were chosen to </w:t>
      </w:r>
      <w:r w:rsidRPr="00BC510B">
        <w:rPr>
          <w:rFonts w:ascii="Times New Roman" w:hAnsi="Times New Roman" w:cs="Times New Roman"/>
        </w:rPr>
        <w:t xml:space="preserve">represent </w:t>
      </w:r>
      <w:r w:rsidR="0037092D" w:rsidRPr="00BC510B">
        <w:rPr>
          <w:rFonts w:ascii="Times New Roman" w:hAnsi="Times New Roman" w:cs="Times New Roman"/>
        </w:rPr>
        <w:t>different</w:t>
      </w:r>
      <w:r w:rsidRPr="00BC510B">
        <w:rPr>
          <w:rFonts w:ascii="Times New Roman" w:hAnsi="Times New Roman" w:cs="Times New Roman"/>
        </w:rPr>
        <w:t xml:space="preserve"> reactive</w:t>
      </w:r>
      <w:r w:rsidRPr="004304ED">
        <w:rPr>
          <w:rFonts w:ascii="Times New Roman" w:hAnsi="Times New Roman" w:cs="Times New Roman"/>
        </w:rPr>
        <w:t xml:space="preserve"> zones for pollutant accumulation, biological activity, and anthropogenic input.</w:t>
      </w:r>
    </w:p>
    <w:p w14:paraId="75960754"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Representative waste samples were collected from each of the nine dumpsites. For automobile and paint-processing sites, solid residues and sludge-like materials were collected, whereas semi-solid materials were obtained from abattoir sites. Approximately 500 g of each waste sample was collected using sterilized plastic scoops, sealed in polyethylene containers, and transported to the laboratory for analysis. All samples were air-dried at ambient temperature, gently disaggregated, and sieved through a 2 mm mesh to remove large debris. Subsamples were taken for physicochemical and heavy metal analyses (APHA, 2017).</w:t>
      </w:r>
    </w:p>
    <w:p w14:paraId="17A408D8" w14:textId="72787205" w:rsidR="00D83410" w:rsidRPr="004304ED" w:rsidRDefault="00D83410" w:rsidP="00D83410">
      <w:pPr>
        <w:spacing w:after="0" w:line="360" w:lineRule="auto"/>
        <w:ind w:firstLine="720"/>
        <w:rPr>
          <w:rFonts w:ascii="Times New Roman" w:hAnsi="Times New Roman" w:cs="Times New Roman"/>
        </w:rPr>
      </w:pPr>
      <w:r w:rsidRPr="004304ED">
        <w:rPr>
          <w:rFonts w:ascii="Times New Roman" w:hAnsi="Times New Roman" w:cs="Times New Roman"/>
        </w:rPr>
        <w:t>Total concentrations of Pb, Cd, Cr, Ni, and V were determined using aqua regia digestion following Abegunde et al. (2018). One gram of soil was placed in a digestion flask, to whic</w:t>
      </w:r>
      <w:r w:rsidR="00A35048" w:rsidRPr="004304ED">
        <w:rPr>
          <w:rFonts w:ascii="Times New Roman" w:hAnsi="Times New Roman" w:cs="Times New Roman"/>
        </w:rPr>
        <w:t>h 20 mL of aqua regia (HCl: HNO</w:t>
      </w:r>
      <w:r w:rsidR="00A35048" w:rsidRPr="004304ED">
        <w:rPr>
          <w:rFonts w:ascii="Times New Roman" w:hAnsi="Times New Roman" w:cs="Times New Roman"/>
          <w:vertAlign w:val="subscript"/>
        </w:rPr>
        <w:t>3</w:t>
      </w:r>
      <w:r w:rsidRPr="004304ED">
        <w:rPr>
          <w:rFonts w:ascii="Times New Roman" w:hAnsi="Times New Roman" w:cs="Times New Roman"/>
        </w:rPr>
        <w:t xml:space="preserve"> = 3:1) was added. The mixture was heated gradually on a mantle under a fume hood until the volume w</w:t>
      </w:r>
      <w:r w:rsidR="00A35048" w:rsidRPr="004304ED">
        <w:rPr>
          <w:rFonts w:ascii="Times New Roman" w:hAnsi="Times New Roman" w:cs="Times New Roman"/>
        </w:rPr>
        <w:t>as reduced to approximately 5 ml</w:t>
      </w:r>
      <w:r w:rsidRPr="004304ED">
        <w:rPr>
          <w:rFonts w:ascii="Times New Roman" w:hAnsi="Times New Roman" w:cs="Times New Roman"/>
        </w:rPr>
        <w:t>. After cooling, the digest was fi</w:t>
      </w:r>
      <w:r w:rsidR="00A35048" w:rsidRPr="004304ED">
        <w:rPr>
          <w:rFonts w:ascii="Times New Roman" w:hAnsi="Times New Roman" w:cs="Times New Roman"/>
        </w:rPr>
        <w:t>ltered, transferred into a 50 ml</w:t>
      </w:r>
      <w:r w:rsidRPr="004304ED">
        <w:rPr>
          <w:rFonts w:ascii="Times New Roman" w:hAnsi="Times New Roman" w:cs="Times New Roman"/>
        </w:rPr>
        <w:t xml:space="preserve"> volumetric flask, and diluted with deionized water. Metal concentrations were quantified using an Atomic Absorption Spectrophotometer (AAS, Model AA500, PG Instruments Ltd., UK) operated under standard conditions with an air–acetylene flame.</w:t>
      </w:r>
    </w:p>
    <w:p w14:paraId="0AF40C88" w14:textId="5C5E7D6D"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xml:space="preserve">            To determine the concentration of heavy metals in waste materials, the waste samples were digested following the modified </w:t>
      </w:r>
      <w:proofErr w:type="spellStart"/>
      <w:r w:rsidRPr="004304ED">
        <w:rPr>
          <w:rFonts w:ascii="Times New Roman" w:hAnsi="Times New Roman" w:cs="Times New Roman"/>
        </w:rPr>
        <w:t>Novozamsky</w:t>
      </w:r>
      <w:proofErr w:type="spellEnd"/>
      <w:r w:rsidRPr="004304ED">
        <w:rPr>
          <w:rFonts w:ascii="Times New Roman" w:hAnsi="Times New Roman" w:cs="Times New Roman"/>
        </w:rPr>
        <w:t xml:space="preserve"> et al. (1983) method. A 0.2 g su</w:t>
      </w:r>
      <w:r w:rsidR="00A35048" w:rsidRPr="004304ED">
        <w:rPr>
          <w:rFonts w:ascii="Times New Roman" w:hAnsi="Times New Roman" w:cs="Times New Roman"/>
        </w:rPr>
        <w:t>bsample was weighed into a 50 ml</w:t>
      </w:r>
      <w:r w:rsidRPr="004304ED">
        <w:rPr>
          <w:rFonts w:ascii="Times New Roman" w:hAnsi="Times New Roman" w:cs="Times New Roman"/>
        </w:rPr>
        <w:t xml:space="preserve"> </w:t>
      </w:r>
      <w:r w:rsidRPr="00BC510B">
        <w:rPr>
          <w:rFonts w:ascii="Times New Roman" w:hAnsi="Times New Roman" w:cs="Times New Roman"/>
        </w:rPr>
        <w:t xml:space="preserve">conical flask, to which 10 </w:t>
      </w:r>
      <w:r w:rsidR="00A35048" w:rsidRPr="00BC510B">
        <w:rPr>
          <w:rFonts w:ascii="Times New Roman" w:hAnsi="Times New Roman" w:cs="Times New Roman"/>
        </w:rPr>
        <w:t xml:space="preserve">ml of a </w:t>
      </w:r>
      <w:proofErr w:type="spellStart"/>
      <w:r w:rsidR="00265100" w:rsidRPr="00BC510B">
        <w:rPr>
          <w:rFonts w:ascii="Times New Roman" w:hAnsi="Times New Roman" w:cs="Times New Roman"/>
        </w:rPr>
        <w:t>sulphuric</w:t>
      </w:r>
      <w:proofErr w:type="spellEnd"/>
      <w:r w:rsidR="00AE4806" w:rsidRPr="00BC510B">
        <w:rPr>
          <w:rFonts w:ascii="Times New Roman" w:hAnsi="Times New Roman" w:cs="Times New Roman"/>
        </w:rPr>
        <w:t xml:space="preserve">-salicylic </w:t>
      </w:r>
      <w:r w:rsidRPr="00BC510B">
        <w:rPr>
          <w:rFonts w:ascii="Times New Roman" w:hAnsi="Times New Roman" w:cs="Times New Roman"/>
        </w:rPr>
        <w:t>acid</w:t>
      </w:r>
      <w:r w:rsidR="00AE4806" w:rsidRPr="00BC510B">
        <w:rPr>
          <w:rFonts w:ascii="Times New Roman" w:hAnsi="Times New Roman" w:cs="Times New Roman"/>
        </w:rPr>
        <w:t xml:space="preserve"> (H</w:t>
      </w:r>
      <w:r w:rsidR="00AE4806" w:rsidRPr="00BC510B">
        <w:rPr>
          <w:rFonts w:ascii="Times New Roman" w:hAnsi="Times New Roman" w:cs="Times New Roman"/>
          <w:vertAlign w:val="subscript"/>
        </w:rPr>
        <w:t>2</w:t>
      </w:r>
      <w:r w:rsidR="00AE4806" w:rsidRPr="00BC510B">
        <w:rPr>
          <w:rFonts w:ascii="Times New Roman" w:hAnsi="Times New Roman" w:cs="Times New Roman"/>
        </w:rPr>
        <w:t>SO</w:t>
      </w:r>
      <w:r w:rsidR="00AE4806" w:rsidRPr="00BC510B">
        <w:rPr>
          <w:rFonts w:ascii="Times New Roman" w:hAnsi="Times New Roman" w:cs="Times New Roman"/>
          <w:vertAlign w:val="subscript"/>
        </w:rPr>
        <w:t>4</w:t>
      </w:r>
      <w:r w:rsidR="00AE4806" w:rsidRPr="00BC510B">
        <w:rPr>
          <w:rFonts w:ascii="Times New Roman" w:hAnsi="Times New Roman" w:cs="Times New Roman"/>
        </w:rPr>
        <w:t>-</w:t>
      </w:r>
      <w:r w:rsidR="007920FA" w:rsidRPr="00BC510B">
        <w:rPr>
          <w:rFonts w:ascii="Times New Roman" w:hAnsi="Times New Roman" w:cs="Times New Roman"/>
        </w:rPr>
        <w:t xml:space="preserve"> </w:t>
      </w:r>
      <w:r w:rsidR="00AE4806" w:rsidRPr="00BC510B">
        <w:rPr>
          <w:rFonts w:ascii="Times New Roman" w:hAnsi="Times New Roman" w:cs="Times New Roman"/>
        </w:rPr>
        <w:t>C</w:t>
      </w:r>
      <w:r w:rsidR="00AE4806" w:rsidRPr="00BC510B">
        <w:rPr>
          <w:rFonts w:ascii="Times New Roman" w:hAnsi="Times New Roman" w:cs="Times New Roman"/>
          <w:vertAlign w:val="subscript"/>
        </w:rPr>
        <w:t>7</w:t>
      </w:r>
      <w:r w:rsidR="00AE4806" w:rsidRPr="00BC510B">
        <w:rPr>
          <w:rFonts w:ascii="Times New Roman" w:hAnsi="Times New Roman" w:cs="Times New Roman"/>
        </w:rPr>
        <w:t>H</w:t>
      </w:r>
      <w:r w:rsidR="00AE4806" w:rsidRPr="00BC510B">
        <w:rPr>
          <w:rFonts w:ascii="Times New Roman" w:hAnsi="Times New Roman" w:cs="Times New Roman"/>
          <w:vertAlign w:val="subscript"/>
        </w:rPr>
        <w:t>6</w:t>
      </w:r>
      <w:r w:rsidR="00AE4806" w:rsidRPr="00BC510B">
        <w:rPr>
          <w:rFonts w:ascii="Times New Roman" w:hAnsi="Times New Roman" w:cs="Times New Roman"/>
        </w:rPr>
        <w:t>O</w:t>
      </w:r>
      <w:r w:rsidR="00AE4806" w:rsidRPr="00BC510B">
        <w:rPr>
          <w:rFonts w:ascii="Times New Roman" w:hAnsi="Times New Roman" w:cs="Times New Roman"/>
          <w:vertAlign w:val="subscript"/>
        </w:rPr>
        <w:t>3</w:t>
      </w:r>
      <w:r w:rsidR="007920FA" w:rsidRPr="00BC510B">
        <w:rPr>
          <w:rFonts w:ascii="Times New Roman" w:hAnsi="Times New Roman" w:cs="Times New Roman"/>
        </w:rPr>
        <w:t>)</w:t>
      </w:r>
      <w:r w:rsidRPr="004304ED">
        <w:rPr>
          <w:rFonts w:ascii="Times New Roman" w:hAnsi="Times New Roman" w:cs="Times New Roman"/>
        </w:rPr>
        <w:t xml:space="preserve"> mixture was added and allowed to stand overnight (18 hours). The mixture was subsequently heated at 100</w:t>
      </w:r>
      <w:r w:rsidR="00506D30" w:rsidRPr="004304ED">
        <w:rPr>
          <w:rFonts w:ascii="Times New Roman" w:hAnsi="Times New Roman" w:cs="Times New Roman"/>
        </w:rPr>
        <w:t xml:space="preserve"> </w:t>
      </w:r>
      <w:r w:rsidRPr="004304ED">
        <w:rPr>
          <w:rFonts w:ascii="Times New Roman" w:hAnsi="Times New Roman" w:cs="Times New Roman"/>
        </w:rPr>
        <w:t>°C for 2 hour</w:t>
      </w:r>
      <w:r w:rsidR="00506D30" w:rsidRPr="004304ED">
        <w:rPr>
          <w:rFonts w:ascii="Times New Roman" w:hAnsi="Times New Roman" w:cs="Times New Roman"/>
        </w:rPr>
        <w:t>s, cooled, and treated with 5 ml</w:t>
      </w:r>
      <w:r w:rsidRPr="004304ED">
        <w:rPr>
          <w:rFonts w:ascii="Times New Roman" w:hAnsi="Times New Roman" w:cs="Times New Roman"/>
        </w:rPr>
        <w:t xml:space="preserve"> perchloric acid until a clear solution was obtained. The digests were filtered</w:t>
      </w:r>
      <w:r w:rsidR="00506D30" w:rsidRPr="004304ED">
        <w:rPr>
          <w:rFonts w:ascii="Times New Roman" w:hAnsi="Times New Roman" w:cs="Times New Roman"/>
        </w:rPr>
        <w:t>, diluted to 50 ml</w:t>
      </w:r>
      <w:r w:rsidRPr="004304ED">
        <w:rPr>
          <w:rFonts w:ascii="Times New Roman" w:hAnsi="Times New Roman" w:cs="Times New Roman"/>
        </w:rPr>
        <w:t xml:space="preserve"> with deionized water, and analyzed for Pb, Cd, Cr, Ni, and V using the same AAS system under optimized parameters. </w:t>
      </w:r>
    </w:p>
    <w:p w14:paraId="4F916A83" w14:textId="7C1B6955"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For quality assurance and data integrity, all glassware and plastic containers were pre-cleaned by soaking in</w:t>
      </w:r>
      <w:r w:rsidR="00506D30" w:rsidRPr="004304ED">
        <w:rPr>
          <w:rFonts w:ascii="Times New Roman" w:hAnsi="Times New Roman" w:cs="Times New Roman"/>
        </w:rPr>
        <w:t xml:space="preserve"> 10% HNO</w:t>
      </w:r>
      <w:r w:rsidR="00506D30" w:rsidRPr="004304ED">
        <w:rPr>
          <w:rFonts w:ascii="Times New Roman" w:hAnsi="Times New Roman" w:cs="Times New Roman"/>
          <w:vertAlign w:val="subscript"/>
        </w:rPr>
        <w:t>3</w:t>
      </w:r>
      <w:r w:rsidRPr="004304ED">
        <w:rPr>
          <w:rFonts w:ascii="Times New Roman" w:hAnsi="Times New Roman" w:cs="Times New Roman"/>
        </w:rPr>
        <w:t xml:space="preserve"> for 24 hours and rinsed with double-distilled water. Analytical blanks were processed concurrently with every batch of samples. Instrument calibration was conducted using multi-element standard solutions prepared from certified stock standards. The detection limits for</w:t>
      </w:r>
      <w:r w:rsidR="00506D30" w:rsidRPr="004304ED">
        <w:rPr>
          <w:rFonts w:ascii="Times New Roman" w:hAnsi="Times New Roman" w:cs="Times New Roman"/>
        </w:rPr>
        <w:t xml:space="preserve"> analyzed metals were &lt;0.01 mg/l for Cd and Pb, and &lt;0.05 mg/l</w:t>
      </w:r>
      <w:r w:rsidRPr="004304ED">
        <w:rPr>
          <w:rFonts w:ascii="Times New Roman" w:hAnsi="Times New Roman" w:cs="Times New Roman"/>
        </w:rPr>
        <w:t xml:space="preserve"> for Cr, Ni, and V. All analyses were performed in triplicate, and results were expressed as mean values. </w:t>
      </w:r>
      <w:r w:rsidRPr="004304ED">
        <w:rPr>
          <w:rFonts w:ascii="Times New Roman" w:hAnsi="Times New Roman" w:cs="Times New Roman"/>
        </w:rPr>
        <w:lastRenderedPageBreak/>
        <w:t>Precision, expressed as relative standard deviation (RSD), was maintained below 5% for all measurements, ensuring the reliability of the analytical data.</w:t>
      </w:r>
    </w:p>
    <w:p w14:paraId="1232A52A" w14:textId="3B7E6662" w:rsidR="00316D35" w:rsidRPr="004304ED" w:rsidRDefault="00316D35" w:rsidP="008509FA">
      <w:pPr>
        <w:spacing w:after="0" w:line="360" w:lineRule="auto"/>
        <w:rPr>
          <w:rFonts w:ascii="Times New Roman" w:hAnsi="Times New Roman" w:cs="Times New Roman"/>
        </w:rPr>
      </w:pPr>
    </w:p>
    <w:p w14:paraId="79244CFE" w14:textId="7889AA6A"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Estimation of Heavy Metal Release Percentage</w:t>
      </w:r>
    </w:p>
    <w:p w14:paraId="00AA9EEB" w14:textId="77777777" w:rsidR="008509FA" w:rsidRPr="004304ED" w:rsidRDefault="008509FA" w:rsidP="008509FA">
      <w:pPr>
        <w:spacing w:after="0" w:line="360" w:lineRule="auto"/>
        <w:rPr>
          <w:rFonts w:ascii="Times New Roman" w:hAnsi="Times New Roman" w:cs="Times New Roman"/>
        </w:rPr>
      </w:pPr>
      <w:r w:rsidRPr="004304ED">
        <w:rPr>
          <w:rFonts w:ascii="Times New Roman" w:hAnsi="Times New Roman" w:cs="Times New Roman"/>
        </w:rPr>
        <w:t>The percentage of heavy metals released from waste materials into the surrounding soils was estimated using the mass balance approach described by de Vries and Bakker (1996), as expressed by:</w:t>
      </w:r>
    </w:p>
    <w:p w14:paraId="18681491" w14:textId="3F6BFD86" w:rsidR="008509FA" w:rsidRPr="004304ED" w:rsidRDefault="008509FA" w:rsidP="008509FA">
      <w:pPr>
        <w:spacing w:after="0" w:line="360" w:lineRule="auto"/>
        <w:rPr>
          <w:rFonts w:ascii="Times New Roman" w:hAnsi="Times New Roman" w:cs="Times New Roman"/>
        </w:rPr>
      </w:pPr>
      <m:oMath>
        <m:r>
          <m:rPr>
            <m:nor/>
          </m:rPr>
          <w:rPr>
            <w:rFonts w:ascii="Times New Roman" w:hAnsi="Times New Roman" w:cs="Times New Roman"/>
          </w:rPr>
          <m:t>HMR (%)</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S-B</m:t>
            </m:r>
          </m:num>
          <m:den>
            <m:r>
              <w:rPr>
                <w:rFonts w:ascii="Cambria Math" w:hAnsi="Cambria Math" w:cs="Times New Roman"/>
              </w:rPr>
              <m:t>W</m:t>
            </m:r>
          </m:den>
        </m:f>
        <m:r>
          <w:rPr>
            <w:rFonts w:ascii="Cambria Math" w:hAnsi="Cambria Math" w:cs="Times New Roman"/>
          </w:rPr>
          <m:t>×100</m:t>
        </m:r>
      </m:oMath>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Cs/>
        </w:rPr>
        <w:t>(1)</w:t>
      </w:r>
      <w:r w:rsidR="00793C15" w:rsidRPr="004304ED">
        <w:rPr>
          <w:rFonts w:ascii="Times New Roman" w:eastAsiaTheme="minorEastAsia" w:hAnsi="Times New Roman" w:cs="Times New Roman"/>
          <w:i/>
        </w:rPr>
        <w:tab/>
      </w:r>
      <w:r w:rsidR="00793C15" w:rsidRPr="004304ED">
        <w:rPr>
          <w:rFonts w:ascii="Times New Roman" w:eastAsiaTheme="minorEastAsia" w:hAnsi="Times New Roman" w:cs="Times New Roman"/>
          <w:i/>
        </w:rPr>
        <w:tab/>
      </w:r>
      <w:r w:rsidRPr="004304ED">
        <w:rPr>
          <w:rFonts w:ascii="Times New Roman" w:hAnsi="Times New Roman" w:cs="Times New Roman"/>
          <w:i/>
        </w:rPr>
        <w:br/>
      </w:r>
      <w:r w:rsidRPr="004304ED">
        <w:rPr>
          <w:rFonts w:ascii="Times New Roman" w:hAnsi="Times New Roman" w:cs="Times New Roman"/>
        </w:rPr>
        <w:t>where</w:t>
      </w:r>
      <w:r w:rsidR="00316D35" w:rsidRPr="004304ED">
        <w:rPr>
          <w:rFonts w:ascii="Times New Roman" w:hAnsi="Times New Roman" w:cs="Times New Roman"/>
        </w:rPr>
        <w:t xml:space="preserve"> </w:t>
      </w:r>
      <w:r w:rsidRPr="004304ED">
        <w:rPr>
          <w:rFonts w:ascii="Times New Roman" w:hAnsi="Times New Roman" w:cs="Times New Roman"/>
          <w:i/>
          <w:iCs/>
        </w:rPr>
        <w:t>HMR (%)</w:t>
      </w:r>
      <w:r w:rsidRPr="004304ED">
        <w:rPr>
          <w:rFonts w:ascii="Times New Roman" w:hAnsi="Times New Roman" w:cs="Times New Roman"/>
        </w:rPr>
        <w:t xml:space="preserve"> = heavy metal release percentage;</w:t>
      </w:r>
      <w:r w:rsidR="00316D35" w:rsidRPr="004304ED">
        <w:rPr>
          <w:rFonts w:ascii="Times New Roman" w:hAnsi="Times New Roman" w:cs="Times New Roman"/>
        </w:rPr>
        <w:t xml:space="preserve"> </w:t>
      </w:r>
      <w:r w:rsidRPr="004304ED">
        <w:rPr>
          <w:rFonts w:ascii="Times New Roman" w:hAnsi="Times New Roman" w:cs="Times New Roman"/>
          <w:i/>
          <w:iCs/>
        </w:rPr>
        <w:t>S</w:t>
      </w:r>
      <w:r w:rsidRPr="004304ED">
        <w:rPr>
          <w:rFonts w:ascii="Times New Roman" w:hAnsi="Times New Roman" w:cs="Times New Roman"/>
        </w:rPr>
        <w:t xml:space="preserve"> = concentration of the metal in waste-impacted soil (mg/kg);</w:t>
      </w:r>
      <w:r w:rsidR="00316D35" w:rsidRPr="004304ED">
        <w:rPr>
          <w:rFonts w:ascii="Times New Roman" w:hAnsi="Times New Roman" w:cs="Times New Roman"/>
        </w:rPr>
        <w:t xml:space="preserve"> </w:t>
      </w:r>
      <w:r w:rsidRPr="004304ED">
        <w:rPr>
          <w:rFonts w:ascii="Times New Roman" w:hAnsi="Times New Roman" w:cs="Times New Roman"/>
          <w:i/>
          <w:iCs/>
        </w:rPr>
        <w:t>B</w:t>
      </w:r>
      <w:r w:rsidRPr="004304ED">
        <w:rPr>
          <w:rFonts w:ascii="Times New Roman" w:hAnsi="Times New Roman" w:cs="Times New Roman"/>
        </w:rPr>
        <w:t xml:space="preserve"> = concentration in the control soil (mg/kg);</w:t>
      </w:r>
      <w:r w:rsidR="00316D35" w:rsidRPr="004304ED">
        <w:rPr>
          <w:rFonts w:ascii="Times New Roman" w:hAnsi="Times New Roman" w:cs="Times New Roman"/>
        </w:rPr>
        <w:t xml:space="preserve"> </w:t>
      </w:r>
      <w:r w:rsidRPr="004304ED">
        <w:rPr>
          <w:rFonts w:ascii="Times New Roman" w:hAnsi="Times New Roman" w:cs="Times New Roman"/>
          <w:i/>
          <w:iCs/>
        </w:rPr>
        <w:t>W</w:t>
      </w:r>
      <w:r w:rsidRPr="004304ED">
        <w:rPr>
          <w:rFonts w:ascii="Times New Roman" w:hAnsi="Times New Roman" w:cs="Times New Roman"/>
        </w:rPr>
        <w:t xml:space="preserve"> = concentration of the metal in the corresponding waste (mg/kg).</w:t>
      </w:r>
      <w:r w:rsidR="00316D35" w:rsidRPr="004304ED">
        <w:rPr>
          <w:rFonts w:ascii="Times New Roman" w:hAnsi="Times New Roman" w:cs="Times New Roman"/>
        </w:rPr>
        <w:t xml:space="preserve"> </w:t>
      </w:r>
      <w:r w:rsidRPr="004304ED">
        <w:rPr>
          <w:rFonts w:ascii="Times New Roman" w:hAnsi="Times New Roman" w:cs="Times New Roman"/>
        </w:rPr>
        <w:t>This calculation provide</w:t>
      </w:r>
      <w:r w:rsidR="00316D35" w:rsidRPr="004304ED">
        <w:rPr>
          <w:rFonts w:ascii="Times New Roman" w:hAnsi="Times New Roman" w:cs="Times New Roman"/>
        </w:rPr>
        <w:t>d</w:t>
      </w:r>
      <w:r w:rsidRPr="004304ED">
        <w:rPr>
          <w:rFonts w:ascii="Times New Roman" w:hAnsi="Times New Roman" w:cs="Times New Roman"/>
        </w:rPr>
        <w:t xml:space="preserve"> a quantitative index of the transfer potential of each heavy metal from waste to soil.</w:t>
      </w:r>
    </w:p>
    <w:p w14:paraId="6BE9CB2D" w14:textId="5396C396" w:rsidR="008509FA" w:rsidRPr="004304ED" w:rsidRDefault="008509FA" w:rsidP="008509FA">
      <w:pPr>
        <w:spacing w:after="0" w:line="360" w:lineRule="auto"/>
        <w:rPr>
          <w:rFonts w:ascii="Times New Roman" w:hAnsi="Times New Roman" w:cs="Times New Roman"/>
        </w:rPr>
      </w:pPr>
    </w:p>
    <w:p w14:paraId="6F54B1E1" w14:textId="57DF79CE" w:rsidR="00DE07B1" w:rsidRPr="004304ED" w:rsidRDefault="00C420A6" w:rsidP="00DE07B1">
      <w:pPr>
        <w:spacing w:after="0" w:line="360" w:lineRule="auto"/>
        <w:rPr>
          <w:rFonts w:ascii="Times New Roman" w:hAnsi="Times New Roman" w:cs="Times New Roman"/>
          <w:b/>
          <w:bCs/>
        </w:rPr>
      </w:pPr>
      <w:r w:rsidRPr="004304ED">
        <w:rPr>
          <w:rFonts w:ascii="Times New Roman" w:hAnsi="Times New Roman" w:cs="Times New Roman"/>
          <w:b/>
          <w:bCs/>
        </w:rPr>
        <w:t>RESULTS AND DISCUSSION</w:t>
      </w:r>
    </w:p>
    <w:p w14:paraId="0817B754" w14:textId="77777777" w:rsidR="004741B5" w:rsidRPr="004304ED" w:rsidRDefault="004741B5" w:rsidP="004741B5">
      <w:pPr>
        <w:spacing w:after="0" w:line="360" w:lineRule="auto"/>
        <w:rPr>
          <w:rFonts w:ascii="Times New Roman" w:hAnsi="Times New Roman" w:cs="Times New Roman"/>
          <w:b/>
          <w:bCs/>
        </w:rPr>
      </w:pPr>
      <w:r w:rsidRPr="004304ED">
        <w:rPr>
          <w:rFonts w:ascii="Times New Roman" w:hAnsi="Times New Roman" w:cs="Times New Roman"/>
          <w:b/>
          <w:bCs/>
        </w:rPr>
        <w:t>Physicochemical properties of the dumpsite soils</w:t>
      </w:r>
    </w:p>
    <w:p w14:paraId="622EEF85" w14:textId="2CE63DE0" w:rsidR="001736F9" w:rsidRPr="004304ED" w:rsidRDefault="004741B5" w:rsidP="004741B5">
      <w:pPr>
        <w:spacing w:after="0" w:line="360" w:lineRule="auto"/>
        <w:rPr>
          <w:rFonts w:ascii="Times New Roman" w:hAnsi="Times New Roman" w:cs="Times New Roman"/>
        </w:rPr>
      </w:pPr>
      <w:r w:rsidRPr="004304ED">
        <w:rPr>
          <w:rFonts w:ascii="Times New Roman" w:hAnsi="Times New Roman" w:cs="Times New Roman"/>
          <w:b/>
          <w:bCs/>
        </w:rPr>
        <w:t xml:space="preserve"> </w:t>
      </w:r>
      <w:r w:rsidRPr="004304ED">
        <w:rPr>
          <w:rFonts w:ascii="Times New Roman" w:hAnsi="Times New Roman" w:cs="Times New Roman"/>
          <w:b/>
          <w:bCs/>
        </w:rPr>
        <w:tab/>
      </w:r>
      <w:r w:rsidRPr="004304ED">
        <w:rPr>
          <w:rFonts w:ascii="Times New Roman" w:hAnsi="Times New Roman" w:cs="Times New Roman"/>
        </w:rPr>
        <w:t>The physicochemical attributes of the soil samples</w:t>
      </w:r>
      <w:r w:rsidR="004E4235">
        <w:rPr>
          <w:rFonts w:ascii="Times New Roman" w:hAnsi="Times New Roman" w:cs="Times New Roman"/>
        </w:rPr>
        <w:t xml:space="preserve"> (Udo et al 2025a)</w:t>
      </w:r>
      <w:r w:rsidRPr="004304ED">
        <w:rPr>
          <w:rFonts w:ascii="Times New Roman" w:hAnsi="Times New Roman" w:cs="Times New Roman"/>
        </w:rPr>
        <w:t xml:space="preserve"> are summarized in Table 2. </w:t>
      </w:r>
    </w:p>
    <w:p w14:paraId="7914441C" w14:textId="77777777" w:rsidR="001736F9" w:rsidRPr="004304ED" w:rsidRDefault="001736F9" w:rsidP="004741B5">
      <w:pPr>
        <w:spacing w:after="0" w:line="360" w:lineRule="auto"/>
        <w:rPr>
          <w:rFonts w:ascii="Times New Roman" w:hAnsi="Times New Roman" w:cs="Times New Roman"/>
        </w:rPr>
      </w:pPr>
    </w:p>
    <w:p w14:paraId="1A221641" w14:textId="3419D049" w:rsidR="001736F9" w:rsidRPr="004304ED" w:rsidRDefault="001736F9" w:rsidP="00BC510B">
      <w:pPr>
        <w:spacing w:after="0" w:line="360" w:lineRule="auto"/>
        <w:rPr>
          <w:rFonts w:ascii="Times New Roman" w:hAnsi="Times New Roman" w:cs="Times New Roman"/>
        </w:rPr>
      </w:pPr>
      <w:r w:rsidRPr="004304ED">
        <w:rPr>
          <w:rFonts w:ascii="Times New Roman" w:hAnsi="Times New Roman" w:cs="Times New Roman"/>
          <w:b/>
          <w:bCs/>
        </w:rPr>
        <w:t xml:space="preserve">Table 2: </w:t>
      </w:r>
      <w:r w:rsidRPr="004304ED">
        <w:rPr>
          <w:rFonts w:ascii="Times New Roman" w:hAnsi="Times New Roman" w:cs="Times New Roman"/>
        </w:rPr>
        <w:t>Physicochemical properties of the dumpsite soils. Symbols a, b, c and d indicate means which are statistically different and are compared horizontally across the table</w:t>
      </w:r>
      <w:r w:rsidR="00BC510B">
        <w:rPr>
          <w:rFonts w:ascii="Times New Roman" w:hAnsi="Times New Roman" w:cs="Times New Roman"/>
        </w:rPr>
        <w:t xml:space="preserve">. </w:t>
      </w:r>
    </w:p>
    <w:p w14:paraId="46C4E451" w14:textId="28BC7A68" w:rsidR="001736F9" w:rsidRPr="004304ED" w:rsidRDefault="001736F9" w:rsidP="001736F9">
      <w:pPr>
        <w:spacing w:after="0" w:line="360" w:lineRule="auto"/>
        <w:rPr>
          <w:rFonts w:ascii="Times New Roman" w:hAnsi="Times New Roman" w:cs="Times New Roman"/>
          <w:b/>
          <w:bCs/>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915"/>
        <w:gridCol w:w="1369"/>
        <w:gridCol w:w="1827"/>
        <w:gridCol w:w="1369"/>
        <w:gridCol w:w="1207"/>
      </w:tblGrid>
      <w:tr w:rsidR="001736F9" w:rsidRPr="004304ED" w14:paraId="0F02C6EB" w14:textId="77777777" w:rsidTr="001736F9">
        <w:trPr>
          <w:trHeight w:val="19"/>
          <w:jc w:val="center"/>
        </w:trPr>
        <w:tc>
          <w:tcPr>
            <w:tcW w:w="2592" w:type="dxa"/>
            <w:vMerge w:val="restart"/>
            <w:hideMark/>
          </w:tcPr>
          <w:p w14:paraId="0A77CD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Soil property </w:t>
            </w:r>
          </w:p>
        </w:tc>
        <w:tc>
          <w:tcPr>
            <w:tcW w:w="893" w:type="dxa"/>
            <w:vMerge w:val="restart"/>
            <w:hideMark/>
          </w:tcPr>
          <w:p w14:paraId="310B963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Range </w:t>
            </w:r>
          </w:p>
        </w:tc>
        <w:tc>
          <w:tcPr>
            <w:tcW w:w="1337" w:type="dxa"/>
          </w:tcPr>
          <w:p w14:paraId="248F2310" w14:textId="77777777" w:rsidR="001736F9" w:rsidRPr="004304ED" w:rsidRDefault="001736F9" w:rsidP="00476C0D">
            <w:pPr>
              <w:spacing w:after="0" w:line="360" w:lineRule="auto"/>
              <w:rPr>
                <w:rFonts w:ascii="Times New Roman" w:hAnsi="Times New Roman" w:cs="Times New Roman"/>
              </w:rPr>
            </w:pPr>
          </w:p>
        </w:tc>
        <w:tc>
          <w:tcPr>
            <w:tcW w:w="3121" w:type="dxa"/>
            <w:gridSpan w:val="2"/>
            <w:hideMark/>
          </w:tcPr>
          <w:p w14:paraId="2240D7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Dumpsite </w:t>
            </w:r>
          </w:p>
        </w:tc>
        <w:tc>
          <w:tcPr>
            <w:tcW w:w="1178" w:type="dxa"/>
          </w:tcPr>
          <w:p w14:paraId="2C8BECA8" w14:textId="77777777" w:rsidR="001736F9" w:rsidRPr="004304ED" w:rsidRDefault="001736F9" w:rsidP="00476C0D">
            <w:pPr>
              <w:spacing w:after="0" w:line="360" w:lineRule="auto"/>
              <w:rPr>
                <w:rFonts w:ascii="Times New Roman" w:hAnsi="Times New Roman" w:cs="Times New Roman"/>
              </w:rPr>
            </w:pPr>
          </w:p>
        </w:tc>
      </w:tr>
      <w:tr w:rsidR="001736F9" w:rsidRPr="004304ED" w14:paraId="71BC4BEA" w14:textId="77777777" w:rsidTr="001736F9">
        <w:trPr>
          <w:trHeight w:val="19"/>
          <w:jc w:val="center"/>
        </w:trPr>
        <w:tc>
          <w:tcPr>
            <w:tcW w:w="0" w:type="auto"/>
            <w:vMerge/>
            <w:vAlign w:val="center"/>
            <w:hideMark/>
          </w:tcPr>
          <w:p w14:paraId="7895EFB2" w14:textId="77777777" w:rsidR="001736F9" w:rsidRPr="004304ED" w:rsidRDefault="001736F9" w:rsidP="00476C0D">
            <w:pPr>
              <w:spacing w:after="0" w:line="360" w:lineRule="auto"/>
              <w:rPr>
                <w:rFonts w:ascii="Times New Roman" w:hAnsi="Times New Roman" w:cs="Times New Roman"/>
              </w:rPr>
            </w:pPr>
          </w:p>
        </w:tc>
        <w:tc>
          <w:tcPr>
            <w:tcW w:w="0" w:type="auto"/>
            <w:vMerge/>
            <w:vAlign w:val="center"/>
            <w:hideMark/>
          </w:tcPr>
          <w:p w14:paraId="2B198710" w14:textId="77777777" w:rsidR="001736F9" w:rsidRPr="004304ED" w:rsidRDefault="001736F9" w:rsidP="00476C0D">
            <w:pPr>
              <w:spacing w:after="0" w:line="360" w:lineRule="auto"/>
              <w:rPr>
                <w:rFonts w:ascii="Times New Roman" w:hAnsi="Times New Roman" w:cs="Times New Roman"/>
              </w:rPr>
            </w:pPr>
          </w:p>
        </w:tc>
        <w:tc>
          <w:tcPr>
            <w:tcW w:w="1337" w:type="dxa"/>
            <w:hideMark/>
          </w:tcPr>
          <w:p w14:paraId="0D5F2CF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784" w:type="dxa"/>
            <w:hideMark/>
          </w:tcPr>
          <w:p w14:paraId="174D6D8E" w14:textId="77777777" w:rsidR="001736F9" w:rsidRPr="004304ED" w:rsidRDefault="001736F9" w:rsidP="00476C0D">
            <w:pPr>
              <w:spacing w:after="0" w:line="360" w:lineRule="auto"/>
              <w:rPr>
                <w:rFonts w:ascii="Times New Roman" w:hAnsi="Times New Roman" w:cs="Times New Roman"/>
              </w:rPr>
            </w:pP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t>
            </w:r>
          </w:p>
        </w:tc>
        <w:tc>
          <w:tcPr>
            <w:tcW w:w="1337" w:type="dxa"/>
            <w:hideMark/>
          </w:tcPr>
          <w:p w14:paraId="1070A8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178" w:type="dxa"/>
            <w:hideMark/>
          </w:tcPr>
          <w:p w14:paraId="4CF518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Abattoir </w:t>
            </w:r>
          </w:p>
        </w:tc>
      </w:tr>
      <w:tr w:rsidR="001736F9" w:rsidRPr="004304ED" w14:paraId="4964CE60" w14:textId="77777777" w:rsidTr="001736F9">
        <w:trPr>
          <w:trHeight w:val="19"/>
          <w:jc w:val="center"/>
        </w:trPr>
        <w:tc>
          <w:tcPr>
            <w:tcW w:w="2592" w:type="dxa"/>
          </w:tcPr>
          <w:p w14:paraId="5FB936A8" w14:textId="77777777" w:rsidR="001736F9" w:rsidRPr="004304ED" w:rsidRDefault="001736F9" w:rsidP="00476C0D">
            <w:pPr>
              <w:spacing w:after="0" w:line="360" w:lineRule="auto"/>
              <w:rPr>
                <w:rFonts w:ascii="Times New Roman" w:hAnsi="Times New Roman" w:cs="Times New Roman"/>
              </w:rPr>
            </w:pPr>
          </w:p>
          <w:p w14:paraId="5F72C58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Sand (k/kg) </w:t>
            </w:r>
          </w:p>
        </w:tc>
        <w:tc>
          <w:tcPr>
            <w:tcW w:w="893" w:type="dxa"/>
            <w:hideMark/>
          </w:tcPr>
          <w:p w14:paraId="511118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17DDFB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9FE445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719.00 </w:t>
            </w:r>
          </w:p>
          <w:p w14:paraId="6A916E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779.00 </w:t>
            </w:r>
          </w:p>
        </w:tc>
        <w:tc>
          <w:tcPr>
            <w:tcW w:w="1784" w:type="dxa"/>
            <w:hideMark/>
          </w:tcPr>
          <w:p w14:paraId="684E4EA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645.00 </w:t>
            </w:r>
          </w:p>
          <w:p w14:paraId="1F2C955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899.00 </w:t>
            </w:r>
          </w:p>
        </w:tc>
        <w:tc>
          <w:tcPr>
            <w:tcW w:w="1337" w:type="dxa"/>
            <w:hideMark/>
          </w:tcPr>
          <w:p w14:paraId="0C6B07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603.00 </w:t>
            </w:r>
          </w:p>
          <w:p w14:paraId="00FEFC8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875.00 </w:t>
            </w:r>
          </w:p>
        </w:tc>
        <w:tc>
          <w:tcPr>
            <w:tcW w:w="1178" w:type="dxa"/>
            <w:hideMark/>
          </w:tcPr>
          <w:p w14:paraId="512A7CD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693.00 </w:t>
            </w:r>
          </w:p>
          <w:p w14:paraId="66042D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883.00 </w:t>
            </w:r>
          </w:p>
        </w:tc>
      </w:tr>
      <w:tr w:rsidR="001736F9" w:rsidRPr="004304ED" w14:paraId="6F54A57A" w14:textId="77777777" w:rsidTr="001736F9">
        <w:trPr>
          <w:trHeight w:val="19"/>
          <w:jc w:val="center"/>
        </w:trPr>
        <w:tc>
          <w:tcPr>
            <w:tcW w:w="2592" w:type="dxa"/>
          </w:tcPr>
          <w:p w14:paraId="3B4E0AB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FD35F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C0D17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739.00a </w:t>
            </w:r>
          </w:p>
        </w:tc>
        <w:tc>
          <w:tcPr>
            <w:tcW w:w="1784" w:type="dxa"/>
            <w:hideMark/>
          </w:tcPr>
          <w:p w14:paraId="1D420B7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795.66a </w:t>
            </w:r>
          </w:p>
        </w:tc>
        <w:tc>
          <w:tcPr>
            <w:tcW w:w="1337" w:type="dxa"/>
            <w:hideMark/>
          </w:tcPr>
          <w:p w14:paraId="09BF32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795.88a </w:t>
            </w:r>
          </w:p>
        </w:tc>
        <w:tc>
          <w:tcPr>
            <w:tcW w:w="1178" w:type="dxa"/>
            <w:hideMark/>
          </w:tcPr>
          <w:p w14:paraId="0708954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826.33a </w:t>
            </w:r>
          </w:p>
        </w:tc>
      </w:tr>
      <w:tr w:rsidR="001736F9" w:rsidRPr="004304ED" w14:paraId="3D031FE4" w14:textId="77777777" w:rsidTr="001736F9">
        <w:trPr>
          <w:trHeight w:val="19"/>
          <w:jc w:val="center"/>
        </w:trPr>
        <w:tc>
          <w:tcPr>
            <w:tcW w:w="2592" w:type="dxa"/>
          </w:tcPr>
          <w:p w14:paraId="1D5D38DA" w14:textId="77777777" w:rsidR="001736F9" w:rsidRPr="004304ED" w:rsidRDefault="001736F9" w:rsidP="00476C0D">
            <w:pPr>
              <w:spacing w:after="0" w:line="360" w:lineRule="auto"/>
              <w:rPr>
                <w:rFonts w:ascii="Times New Roman" w:hAnsi="Times New Roman" w:cs="Times New Roman"/>
              </w:rPr>
            </w:pPr>
          </w:p>
          <w:p w14:paraId="1C5ABCA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Silt (k/kg) </w:t>
            </w:r>
          </w:p>
        </w:tc>
        <w:tc>
          <w:tcPr>
            <w:tcW w:w="893" w:type="dxa"/>
            <w:hideMark/>
          </w:tcPr>
          <w:p w14:paraId="6004ABC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2E400D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6A463D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30.00 </w:t>
            </w:r>
          </w:p>
          <w:p w14:paraId="23A5F2A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90.00 </w:t>
            </w:r>
          </w:p>
        </w:tc>
        <w:tc>
          <w:tcPr>
            <w:tcW w:w="1784" w:type="dxa"/>
            <w:hideMark/>
          </w:tcPr>
          <w:p w14:paraId="305A4AC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30.00 </w:t>
            </w:r>
          </w:p>
          <w:p w14:paraId="12F2AB6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98.00 </w:t>
            </w:r>
          </w:p>
        </w:tc>
        <w:tc>
          <w:tcPr>
            <w:tcW w:w="1337" w:type="dxa"/>
            <w:hideMark/>
          </w:tcPr>
          <w:p w14:paraId="02A6475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28.00 </w:t>
            </w:r>
          </w:p>
          <w:p w14:paraId="400C966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118.00 </w:t>
            </w:r>
          </w:p>
        </w:tc>
        <w:tc>
          <w:tcPr>
            <w:tcW w:w="1178" w:type="dxa"/>
            <w:hideMark/>
          </w:tcPr>
          <w:p w14:paraId="3DF38C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34.00 </w:t>
            </w:r>
          </w:p>
          <w:p w14:paraId="436962E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114.00 </w:t>
            </w:r>
          </w:p>
        </w:tc>
      </w:tr>
      <w:tr w:rsidR="001736F9" w:rsidRPr="004304ED" w14:paraId="16180C8C" w14:textId="77777777" w:rsidTr="001736F9">
        <w:trPr>
          <w:trHeight w:val="19"/>
          <w:jc w:val="center"/>
        </w:trPr>
        <w:tc>
          <w:tcPr>
            <w:tcW w:w="2592" w:type="dxa"/>
          </w:tcPr>
          <w:p w14:paraId="3BEB329D"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4901812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9C3D5D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63.33a </w:t>
            </w:r>
          </w:p>
        </w:tc>
        <w:tc>
          <w:tcPr>
            <w:tcW w:w="1784" w:type="dxa"/>
            <w:hideMark/>
          </w:tcPr>
          <w:p w14:paraId="48F030F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65.56a </w:t>
            </w:r>
          </w:p>
        </w:tc>
        <w:tc>
          <w:tcPr>
            <w:tcW w:w="1337" w:type="dxa"/>
            <w:hideMark/>
          </w:tcPr>
          <w:p w14:paraId="419337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66.44a </w:t>
            </w:r>
          </w:p>
        </w:tc>
        <w:tc>
          <w:tcPr>
            <w:tcW w:w="1178" w:type="dxa"/>
            <w:hideMark/>
          </w:tcPr>
          <w:p w14:paraId="47C9719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73.00a </w:t>
            </w:r>
          </w:p>
        </w:tc>
      </w:tr>
      <w:tr w:rsidR="001736F9" w:rsidRPr="004304ED" w14:paraId="639519E8" w14:textId="77777777" w:rsidTr="001736F9">
        <w:trPr>
          <w:trHeight w:val="19"/>
          <w:jc w:val="center"/>
        </w:trPr>
        <w:tc>
          <w:tcPr>
            <w:tcW w:w="2592" w:type="dxa"/>
          </w:tcPr>
          <w:p w14:paraId="33A6040B" w14:textId="77777777" w:rsidR="001736F9" w:rsidRPr="004304ED" w:rsidRDefault="001736F9" w:rsidP="00476C0D">
            <w:pPr>
              <w:spacing w:after="0" w:line="360" w:lineRule="auto"/>
              <w:rPr>
                <w:rFonts w:ascii="Times New Roman" w:hAnsi="Times New Roman" w:cs="Times New Roman"/>
              </w:rPr>
            </w:pPr>
          </w:p>
          <w:p w14:paraId="02F5E1C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Clay (k/kg) </w:t>
            </w:r>
          </w:p>
        </w:tc>
        <w:tc>
          <w:tcPr>
            <w:tcW w:w="893" w:type="dxa"/>
            <w:hideMark/>
          </w:tcPr>
          <w:p w14:paraId="2DE3699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Min </w:t>
            </w:r>
          </w:p>
          <w:p w14:paraId="08564E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Max </w:t>
            </w:r>
          </w:p>
        </w:tc>
        <w:tc>
          <w:tcPr>
            <w:tcW w:w="1337" w:type="dxa"/>
            <w:hideMark/>
          </w:tcPr>
          <w:p w14:paraId="7204C4E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131.00 </w:t>
            </w:r>
          </w:p>
          <w:p w14:paraId="3C0332C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251.00 </w:t>
            </w:r>
          </w:p>
        </w:tc>
        <w:tc>
          <w:tcPr>
            <w:tcW w:w="1784" w:type="dxa"/>
            <w:hideMark/>
          </w:tcPr>
          <w:p w14:paraId="61BFDA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71.00 </w:t>
            </w:r>
          </w:p>
          <w:p w14:paraId="1821E10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287.00 </w:t>
            </w:r>
          </w:p>
        </w:tc>
        <w:tc>
          <w:tcPr>
            <w:tcW w:w="1337" w:type="dxa"/>
            <w:hideMark/>
          </w:tcPr>
          <w:p w14:paraId="66C31D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67.00 </w:t>
            </w:r>
          </w:p>
          <w:p w14:paraId="6655E53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323.00 </w:t>
            </w:r>
          </w:p>
        </w:tc>
        <w:tc>
          <w:tcPr>
            <w:tcW w:w="1178" w:type="dxa"/>
            <w:hideMark/>
          </w:tcPr>
          <w:p w14:paraId="08473C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73.00 </w:t>
            </w:r>
          </w:p>
          <w:p w14:paraId="2FE447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267.00 </w:t>
            </w:r>
          </w:p>
        </w:tc>
      </w:tr>
      <w:tr w:rsidR="001736F9" w:rsidRPr="004304ED" w14:paraId="4C28FC4C" w14:textId="77777777" w:rsidTr="001736F9">
        <w:trPr>
          <w:trHeight w:val="19"/>
          <w:jc w:val="center"/>
        </w:trPr>
        <w:tc>
          <w:tcPr>
            <w:tcW w:w="2592" w:type="dxa"/>
          </w:tcPr>
          <w:p w14:paraId="6A0FB60A"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7C798E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3F4134F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187.67a </w:t>
            </w:r>
          </w:p>
        </w:tc>
        <w:tc>
          <w:tcPr>
            <w:tcW w:w="1784" w:type="dxa"/>
            <w:hideMark/>
          </w:tcPr>
          <w:p w14:paraId="43992B1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138.78ab </w:t>
            </w:r>
          </w:p>
        </w:tc>
        <w:tc>
          <w:tcPr>
            <w:tcW w:w="1337" w:type="dxa"/>
            <w:hideMark/>
          </w:tcPr>
          <w:p w14:paraId="6617D3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139.67ab </w:t>
            </w:r>
          </w:p>
        </w:tc>
        <w:tc>
          <w:tcPr>
            <w:tcW w:w="1178" w:type="dxa"/>
            <w:hideMark/>
          </w:tcPr>
          <w:p w14:paraId="3B15BE0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107.89b </w:t>
            </w:r>
          </w:p>
        </w:tc>
      </w:tr>
      <w:tr w:rsidR="001736F9" w:rsidRPr="004304ED" w14:paraId="66E704F4" w14:textId="77777777" w:rsidTr="001736F9">
        <w:trPr>
          <w:trHeight w:val="19"/>
          <w:jc w:val="center"/>
        </w:trPr>
        <w:tc>
          <w:tcPr>
            <w:tcW w:w="2592" w:type="dxa"/>
          </w:tcPr>
          <w:p w14:paraId="5B63C7F3" w14:textId="77777777" w:rsidR="001736F9" w:rsidRPr="004304ED" w:rsidRDefault="001736F9" w:rsidP="00476C0D">
            <w:pPr>
              <w:spacing w:after="0" w:line="360" w:lineRule="auto"/>
              <w:rPr>
                <w:rFonts w:ascii="Times New Roman" w:hAnsi="Times New Roman" w:cs="Times New Roman"/>
              </w:rPr>
            </w:pPr>
          </w:p>
          <w:p w14:paraId="1DFA950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pH (H</w:t>
            </w:r>
            <w:r w:rsidRPr="004304ED">
              <w:rPr>
                <w:rFonts w:ascii="Times New Roman" w:hAnsi="Times New Roman" w:cs="Times New Roman"/>
                <w:vertAlign w:val="subscript"/>
              </w:rPr>
              <w:t>2</w:t>
            </w:r>
            <w:r w:rsidRPr="004304ED">
              <w:rPr>
                <w:rFonts w:ascii="Times New Roman" w:hAnsi="Times New Roman" w:cs="Times New Roman"/>
              </w:rPr>
              <w:t xml:space="preserve">O) </w:t>
            </w:r>
          </w:p>
        </w:tc>
        <w:tc>
          <w:tcPr>
            <w:tcW w:w="893" w:type="dxa"/>
            <w:hideMark/>
          </w:tcPr>
          <w:p w14:paraId="3134595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4054BE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0E28373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4.50 </w:t>
            </w:r>
          </w:p>
          <w:p w14:paraId="37DAAE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4.80 </w:t>
            </w:r>
          </w:p>
        </w:tc>
        <w:tc>
          <w:tcPr>
            <w:tcW w:w="1784" w:type="dxa"/>
            <w:hideMark/>
          </w:tcPr>
          <w:p w14:paraId="5B5F21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6.70 </w:t>
            </w:r>
          </w:p>
          <w:p w14:paraId="6B90AE6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8.20 </w:t>
            </w:r>
          </w:p>
        </w:tc>
        <w:tc>
          <w:tcPr>
            <w:tcW w:w="1337" w:type="dxa"/>
            <w:hideMark/>
          </w:tcPr>
          <w:p w14:paraId="287E89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 </w:t>
            </w:r>
          </w:p>
          <w:p w14:paraId="1979006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8.40 </w:t>
            </w:r>
          </w:p>
        </w:tc>
        <w:tc>
          <w:tcPr>
            <w:tcW w:w="1178" w:type="dxa"/>
            <w:hideMark/>
          </w:tcPr>
          <w:p w14:paraId="5210FFC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5.70 </w:t>
            </w:r>
          </w:p>
          <w:p w14:paraId="7130598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 </w:t>
            </w:r>
          </w:p>
        </w:tc>
      </w:tr>
      <w:tr w:rsidR="001736F9" w:rsidRPr="004304ED" w14:paraId="641DBBAC" w14:textId="77777777" w:rsidTr="001736F9">
        <w:trPr>
          <w:trHeight w:val="19"/>
          <w:jc w:val="center"/>
        </w:trPr>
        <w:tc>
          <w:tcPr>
            <w:tcW w:w="2592" w:type="dxa"/>
          </w:tcPr>
          <w:p w14:paraId="47B5E2FA"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27D15E9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626DBE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4.63d </w:t>
            </w:r>
          </w:p>
        </w:tc>
        <w:tc>
          <w:tcPr>
            <w:tcW w:w="1784" w:type="dxa"/>
            <w:hideMark/>
          </w:tcPr>
          <w:p w14:paraId="3BCE782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7.36b </w:t>
            </w:r>
          </w:p>
        </w:tc>
        <w:tc>
          <w:tcPr>
            <w:tcW w:w="1337" w:type="dxa"/>
            <w:hideMark/>
          </w:tcPr>
          <w:p w14:paraId="7AE4E8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7.99a </w:t>
            </w:r>
          </w:p>
        </w:tc>
        <w:tc>
          <w:tcPr>
            <w:tcW w:w="1178" w:type="dxa"/>
            <w:hideMark/>
          </w:tcPr>
          <w:p w14:paraId="3AAEEF4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6.49c </w:t>
            </w:r>
          </w:p>
        </w:tc>
      </w:tr>
      <w:tr w:rsidR="001736F9" w:rsidRPr="004304ED" w14:paraId="34407FF5" w14:textId="77777777" w:rsidTr="001736F9">
        <w:trPr>
          <w:trHeight w:val="19"/>
          <w:jc w:val="center"/>
        </w:trPr>
        <w:tc>
          <w:tcPr>
            <w:tcW w:w="2592" w:type="dxa"/>
          </w:tcPr>
          <w:p w14:paraId="63B5A99F" w14:textId="77777777" w:rsidR="001736F9" w:rsidRPr="004304ED" w:rsidRDefault="001736F9" w:rsidP="00476C0D">
            <w:pPr>
              <w:spacing w:after="0" w:line="360" w:lineRule="auto"/>
              <w:rPr>
                <w:rFonts w:ascii="Times New Roman" w:hAnsi="Times New Roman" w:cs="Times New Roman"/>
              </w:rPr>
            </w:pPr>
          </w:p>
          <w:p w14:paraId="4B3927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EC (µS/cm) </w:t>
            </w:r>
          </w:p>
        </w:tc>
        <w:tc>
          <w:tcPr>
            <w:tcW w:w="893" w:type="dxa"/>
            <w:hideMark/>
          </w:tcPr>
          <w:p w14:paraId="6AAA8B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2BBCD7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06A000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27.00 </w:t>
            </w:r>
          </w:p>
          <w:p w14:paraId="4352550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99.10 </w:t>
            </w:r>
          </w:p>
        </w:tc>
        <w:tc>
          <w:tcPr>
            <w:tcW w:w="1784" w:type="dxa"/>
            <w:hideMark/>
          </w:tcPr>
          <w:p w14:paraId="4893ED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40.30 </w:t>
            </w:r>
          </w:p>
          <w:p w14:paraId="6E0DA43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337.00 </w:t>
            </w:r>
          </w:p>
        </w:tc>
        <w:tc>
          <w:tcPr>
            <w:tcW w:w="1337" w:type="dxa"/>
            <w:hideMark/>
          </w:tcPr>
          <w:p w14:paraId="1C6202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82.02 </w:t>
            </w:r>
          </w:p>
          <w:p w14:paraId="770CF3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352.32 </w:t>
            </w:r>
          </w:p>
        </w:tc>
        <w:tc>
          <w:tcPr>
            <w:tcW w:w="1178" w:type="dxa"/>
            <w:hideMark/>
          </w:tcPr>
          <w:p w14:paraId="46DBA5C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167.80 </w:t>
            </w:r>
          </w:p>
          <w:p w14:paraId="737395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1259.00 </w:t>
            </w:r>
          </w:p>
        </w:tc>
      </w:tr>
      <w:tr w:rsidR="001736F9" w:rsidRPr="004304ED" w14:paraId="47070355" w14:textId="77777777" w:rsidTr="001736F9">
        <w:trPr>
          <w:trHeight w:val="19"/>
          <w:jc w:val="center"/>
        </w:trPr>
        <w:tc>
          <w:tcPr>
            <w:tcW w:w="2592" w:type="dxa"/>
          </w:tcPr>
          <w:p w14:paraId="2979A9A8"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6E48B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0E8F8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56.73b </w:t>
            </w:r>
          </w:p>
        </w:tc>
        <w:tc>
          <w:tcPr>
            <w:tcW w:w="1784" w:type="dxa"/>
            <w:hideMark/>
          </w:tcPr>
          <w:p w14:paraId="548BE33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146.01b </w:t>
            </w:r>
          </w:p>
        </w:tc>
        <w:tc>
          <w:tcPr>
            <w:tcW w:w="1337" w:type="dxa"/>
            <w:hideMark/>
          </w:tcPr>
          <w:p w14:paraId="15999FD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166.40b </w:t>
            </w:r>
          </w:p>
        </w:tc>
        <w:tc>
          <w:tcPr>
            <w:tcW w:w="1178" w:type="dxa"/>
            <w:hideMark/>
          </w:tcPr>
          <w:p w14:paraId="419688B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536.42a </w:t>
            </w:r>
          </w:p>
        </w:tc>
      </w:tr>
      <w:tr w:rsidR="001736F9" w:rsidRPr="004304ED" w14:paraId="5DE611FB" w14:textId="77777777" w:rsidTr="001736F9">
        <w:trPr>
          <w:trHeight w:val="19"/>
          <w:jc w:val="center"/>
        </w:trPr>
        <w:tc>
          <w:tcPr>
            <w:tcW w:w="2592" w:type="dxa"/>
          </w:tcPr>
          <w:p w14:paraId="7317B894" w14:textId="77777777" w:rsidR="001736F9" w:rsidRPr="004304ED" w:rsidRDefault="001736F9" w:rsidP="00476C0D">
            <w:pPr>
              <w:spacing w:after="0" w:line="360" w:lineRule="auto"/>
              <w:rPr>
                <w:rFonts w:ascii="Times New Roman" w:hAnsi="Times New Roman" w:cs="Times New Roman"/>
              </w:rPr>
            </w:pPr>
          </w:p>
          <w:p w14:paraId="70110AC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OC (g/kg) </w:t>
            </w:r>
          </w:p>
        </w:tc>
        <w:tc>
          <w:tcPr>
            <w:tcW w:w="893" w:type="dxa"/>
            <w:hideMark/>
          </w:tcPr>
          <w:p w14:paraId="58D6C49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423FAD8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1FF170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10.73 </w:t>
            </w:r>
          </w:p>
          <w:p w14:paraId="0C6987E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18.13 </w:t>
            </w:r>
          </w:p>
        </w:tc>
        <w:tc>
          <w:tcPr>
            <w:tcW w:w="1784" w:type="dxa"/>
            <w:hideMark/>
          </w:tcPr>
          <w:p w14:paraId="478E7D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10.15 </w:t>
            </w:r>
          </w:p>
          <w:p w14:paraId="406541A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33.95 </w:t>
            </w:r>
          </w:p>
        </w:tc>
        <w:tc>
          <w:tcPr>
            <w:tcW w:w="1337" w:type="dxa"/>
            <w:hideMark/>
          </w:tcPr>
          <w:p w14:paraId="079370E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2.43 </w:t>
            </w:r>
          </w:p>
          <w:p w14:paraId="3E5EA58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7.35 </w:t>
            </w:r>
          </w:p>
        </w:tc>
        <w:tc>
          <w:tcPr>
            <w:tcW w:w="1178" w:type="dxa"/>
            <w:hideMark/>
          </w:tcPr>
          <w:p w14:paraId="50012FE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26.25 </w:t>
            </w:r>
          </w:p>
          <w:p w14:paraId="589818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46.25 </w:t>
            </w:r>
          </w:p>
        </w:tc>
      </w:tr>
      <w:tr w:rsidR="001736F9" w:rsidRPr="004304ED" w14:paraId="6AFD7ABB" w14:textId="77777777" w:rsidTr="001736F9">
        <w:trPr>
          <w:trHeight w:val="19"/>
          <w:jc w:val="center"/>
        </w:trPr>
        <w:tc>
          <w:tcPr>
            <w:tcW w:w="2592" w:type="dxa"/>
          </w:tcPr>
          <w:p w14:paraId="5E4CAAC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E40003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3854FDB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13.57c </w:t>
            </w:r>
          </w:p>
        </w:tc>
        <w:tc>
          <w:tcPr>
            <w:tcW w:w="1784" w:type="dxa"/>
            <w:hideMark/>
          </w:tcPr>
          <w:p w14:paraId="2F9751F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21.31b </w:t>
            </w:r>
          </w:p>
        </w:tc>
        <w:tc>
          <w:tcPr>
            <w:tcW w:w="1337" w:type="dxa"/>
            <w:hideMark/>
          </w:tcPr>
          <w:p w14:paraId="5B3058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4.98d </w:t>
            </w:r>
          </w:p>
        </w:tc>
        <w:tc>
          <w:tcPr>
            <w:tcW w:w="1178" w:type="dxa"/>
            <w:hideMark/>
          </w:tcPr>
          <w:p w14:paraId="68CBBC2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37.10a </w:t>
            </w:r>
          </w:p>
        </w:tc>
      </w:tr>
      <w:tr w:rsidR="001736F9" w:rsidRPr="004304ED" w14:paraId="53EBE03E" w14:textId="77777777" w:rsidTr="001736F9">
        <w:trPr>
          <w:trHeight w:val="19"/>
          <w:jc w:val="center"/>
        </w:trPr>
        <w:tc>
          <w:tcPr>
            <w:tcW w:w="2592" w:type="dxa"/>
          </w:tcPr>
          <w:p w14:paraId="195A46FB" w14:textId="77777777" w:rsidR="001736F9" w:rsidRPr="004304ED" w:rsidRDefault="001736F9" w:rsidP="00476C0D">
            <w:pPr>
              <w:spacing w:after="0" w:line="360" w:lineRule="auto"/>
              <w:rPr>
                <w:rFonts w:ascii="Times New Roman" w:hAnsi="Times New Roman" w:cs="Times New Roman"/>
              </w:rPr>
            </w:pPr>
          </w:p>
          <w:p w14:paraId="3761C62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OM (g/kg) </w:t>
            </w:r>
          </w:p>
        </w:tc>
        <w:tc>
          <w:tcPr>
            <w:tcW w:w="893" w:type="dxa"/>
            <w:hideMark/>
          </w:tcPr>
          <w:p w14:paraId="3CFB9E2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1BEE61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32451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18.46 </w:t>
            </w:r>
          </w:p>
          <w:p w14:paraId="434B169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31.26 </w:t>
            </w:r>
          </w:p>
        </w:tc>
        <w:tc>
          <w:tcPr>
            <w:tcW w:w="1784" w:type="dxa"/>
            <w:hideMark/>
          </w:tcPr>
          <w:p w14:paraId="32ADB6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17.49 </w:t>
            </w:r>
          </w:p>
          <w:p w14:paraId="4D30063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58.23 </w:t>
            </w:r>
          </w:p>
        </w:tc>
        <w:tc>
          <w:tcPr>
            <w:tcW w:w="1337" w:type="dxa"/>
            <w:hideMark/>
          </w:tcPr>
          <w:p w14:paraId="466A849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4.22 </w:t>
            </w:r>
          </w:p>
          <w:p w14:paraId="7F6D087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12.67 </w:t>
            </w:r>
          </w:p>
        </w:tc>
        <w:tc>
          <w:tcPr>
            <w:tcW w:w="1178" w:type="dxa"/>
            <w:hideMark/>
          </w:tcPr>
          <w:p w14:paraId="14EBA4B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45.26 </w:t>
            </w:r>
          </w:p>
          <w:p w14:paraId="2F1BADE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79.74 </w:t>
            </w:r>
          </w:p>
        </w:tc>
      </w:tr>
      <w:tr w:rsidR="001736F9" w:rsidRPr="004304ED" w14:paraId="4B6C3710" w14:textId="77777777" w:rsidTr="001736F9">
        <w:trPr>
          <w:trHeight w:val="19"/>
          <w:jc w:val="center"/>
        </w:trPr>
        <w:tc>
          <w:tcPr>
            <w:tcW w:w="2592" w:type="dxa"/>
          </w:tcPr>
          <w:p w14:paraId="1B069C7E"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67AE4BD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49F53B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23.37c </w:t>
            </w:r>
          </w:p>
        </w:tc>
        <w:tc>
          <w:tcPr>
            <w:tcW w:w="1784" w:type="dxa"/>
            <w:hideMark/>
          </w:tcPr>
          <w:p w14:paraId="0F5A5AB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36.74b </w:t>
            </w:r>
          </w:p>
        </w:tc>
        <w:tc>
          <w:tcPr>
            <w:tcW w:w="1337" w:type="dxa"/>
            <w:hideMark/>
          </w:tcPr>
          <w:p w14:paraId="1856AE7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8.58d </w:t>
            </w:r>
          </w:p>
        </w:tc>
        <w:tc>
          <w:tcPr>
            <w:tcW w:w="1178" w:type="dxa"/>
            <w:hideMark/>
          </w:tcPr>
          <w:p w14:paraId="506EF2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63.96a </w:t>
            </w:r>
          </w:p>
        </w:tc>
      </w:tr>
      <w:tr w:rsidR="001736F9" w:rsidRPr="004304ED" w14:paraId="6F89574F" w14:textId="77777777" w:rsidTr="001736F9">
        <w:trPr>
          <w:trHeight w:val="19"/>
          <w:jc w:val="center"/>
        </w:trPr>
        <w:tc>
          <w:tcPr>
            <w:tcW w:w="2592" w:type="dxa"/>
          </w:tcPr>
          <w:p w14:paraId="11893D47" w14:textId="77777777" w:rsidR="001736F9" w:rsidRPr="004304ED" w:rsidRDefault="001736F9" w:rsidP="00476C0D">
            <w:pPr>
              <w:spacing w:after="0" w:line="360" w:lineRule="auto"/>
              <w:rPr>
                <w:rFonts w:ascii="Times New Roman" w:hAnsi="Times New Roman" w:cs="Times New Roman"/>
              </w:rPr>
            </w:pPr>
          </w:p>
          <w:p w14:paraId="590085D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TN (k/kg) </w:t>
            </w:r>
          </w:p>
        </w:tc>
        <w:tc>
          <w:tcPr>
            <w:tcW w:w="893" w:type="dxa"/>
            <w:hideMark/>
          </w:tcPr>
          <w:p w14:paraId="041A5F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02C1CFF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6053D3F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0.98 </w:t>
            </w:r>
          </w:p>
          <w:p w14:paraId="0AF70B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3.22 </w:t>
            </w:r>
          </w:p>
        </w:tc>
        <w:tc>
          <w:tcPr>
            <w:tcW w:w="1784" w:type="dxa"/>
            <w:hideMark/>
          </w:tcPr>
          <w:p w14:paraId="427ACEF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7C62A2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3.64 </w:t>
            </w:r>
          </w:p>
        </w:tc>
        <w:tc>
          <w:tcPr>
            <w:tcW w:w="1337" w:type="dxa"/>
            <w:hideMark/>
          </w:tcPr>
          <w:p w14:paraId="6F08F6C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45F143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0.84 </w:t>
            </w:r>
          </w:p>
        </w:tc>
        <w:tc>
          <w:tcPr>
            <w:tcW w:w="1178" w:type="dxa"/>
            <w:hideMark/>
          </w:tcPr>
          <w:p w14:paraId="53AB2FC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0.98 </w:t>
            </w:r>
          </w:p>
          <w:p w14:paraId="6954A6A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21.98 </w:t>
            </w:r>
          </w:p>
        </w:tc>
      </w:tr>
      <w:tr w:rsidR="001736F9" w:rsidRPr="004304ED" w14:paraId="2B50E33F" w14:textId="77777777" w:rsidTr="001736F9">
        <w:trPr>
          <w:trHeight w:val="19"/>
          <w:jc w:val="center"/>
        </w:trPr>
        <w:tc>
          <w:tcPr>
            <w:tcW w:w="2592" w:type="dxa"/>
          </w:tcPr>
          <w:p w14:paraId="02E7765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4B3151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653DAD8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1.77b </w:t>
            </w:r>
          </w:p>
        </w:tc>
        <w:tc>
          <w:tcPr>
            <w:tcW w:w="1784" w:type="dxa"/>
            <w:hideMark/>
          </w:tcPr>
          <w:p w14:paraId="0A3753D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1.31b </w:t>
            </w:r>
          </w:p>
        </w:tc>
        <w:tc>
          <w:tcPr>
            <w:tcW w:w="1337" w:type="dxa"/>
            <w:hideMark/>
          </w:tcPr>
          <w:p w14:paraId="07989CC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0.67b </w:t>
            </w:r>
          </w:p>
        </w:tc>
        <w:tc>
          <w:tcPr>
            <w:tcW w:w="1178" w:type="dxa"/>
            <w:hideMark/>
          </w:tcPr>
          <w:p w14:paraId="04C2415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13.22a </w:t>
            </w:r>
          </w:p>
        </w:tc>
      </w:tr>
      <w:tr w:rsidR="001736F9" w:rsidRPr="004304ED" w14:paraId="32BF91D2" w14:textId="77777777" w:rsidTr="001736F9">
        <w:trPr>
          <w:trHeight w:val="19"/>
          <w:jc w:val="center"/>
        </w:trPr>
        <w:tc>
          <w:tcPr>
            <w:tcW w:w="2592" w:type="dxa"/>
          </w:tcPr>
          <w:p w14:paraId="592AB669" w14:textId="77777777" w:rsidR="001736F9" w:rsidRPr="004304ED" w:rsidRDefault="001736F9" w:rsidP="00476C0D">
            <w:pPr>
              <w:spacing w:after="0" w:line="360" w:lineRule="auto"/>
              <w:rPr>
                <w:rFonts w:ascii="Times New Roman" w:hAnsi="Times New Roman" w:cs="Times New Roman"/>
              </w:rPr>
            </w:pPr>
          </w:p>
          <w:p w14:paraId="56A4C1C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Available P. (mg/kg) </w:t>
            </w:r>
          </w:p>
        </w:tc>
        <w:tc>
          <w:tcPr>
            <w:tcW w:w="893" w:type="dxa"/>
            <w:hideMark/>
          </w:tcPr>
          <w:p w14:paraId="09AA846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6DA7059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B8F44D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16.37 </w:t>
            </w:r>
          </w:p>
          <w:p w14:paraId="02506F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22.28 </w:t>
            </w:r>
          </w:p>
        </w:tc>
        <w:tc>
          <w:tcPr>
            <w:tcW w:w="1784" w:type="dxa"/>
            <w:hideMark/>
          </w:tcPr>
          <w:p w14:paraId="62CBBC1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16.34 </w:t>
            </w:r>
          </w:p>
          <w:p w14:paraId="3CFB784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42.77 </w:t>
            </w:r>
          </w:p>
        </w:tc>
        <w:tc>
          <w:tcPr>
            <w:tcW w:w="1337" w:type="dxa"/>
            <w:hideMark/>
          </w:tcPr>
          <w:p w14:paraId="164215E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24.92 </w:t>
            </w:r>
          </w:p>
          <w:p w14:paraId="0050390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58.39 </w:t>
            </w:r>
          </w:p>
        </w:tc>
        <w:tc>
          <w:tcPr>
            <w:tcW w:w="1178" w:type="dxa"/>
            <w:hideMark/>
          </w:tcPr>
          <w:p w14:paraId="20A7CA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33.62 </w:t>
            </w:r>
          </w:p>
          <w:p w14:paraId="6015789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63.15 </w:t>
            </w:r>
          </w:p>
        </w:tc>
      </w:tr>
      <w:tr w:rsidR="001736F9" w:rsidRPr="004304ED" w14:paraId="0E9512A6" w14:textId="77777777" w:rsidTr="001736F9">
        <w:trPr>
          <w:trHeight w:val="19"/>
          <w:jc w:val="center"/>
        </w:trPr>
        <w:tc>
          <w:tcPr>
            <w:tcW w:w="2592" w:type="dxa"/>
          </w:tcPr>
          <w:p w14:paraId="7A49E6C6"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02730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A83CC6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20.53b </w:t>
            </w:r>
          </w:p>
        </w:tc>
        <w:tc>
          <w:tcPr>
            <w:tcW w:w="1784" w:type="dxa"/>
            <w:hideMark/>
          </w:tcPr>
          <w:p w14:paraId="2D450D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24.58b </w:t>
            </w:r>
          </w:p>
        </w:tc>
        <w:tc>
          <w:tcPr>
            <w:tcW w:w="1337" w:type="dxa"/>
            <w:hideMark/>
          </w:tcPr>
          <w:p w14:paraId="4D18ECF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39.79b </w:t>
            </w:r>
          </w:p>
        </w:tc>
        <w:tc>
          <w:tcPr>
            <w:tcW w:w="1178" w:type="dxa"/>
            <w:hideMark/>
          </w:tcPr>
          <w:p w14:paraId="5048A9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48.30a </w:t>
            </w:r>
          </w:p>
        </w:tc>
      </w:tr>
      <w:tr w:rsidR="001736F9" w:rsidRPr="004304ED" w14:paraId="1931AE1E" w14:textId="77777777" w:rsidTr="001736F9">
        <w:trPr>
          <w:trHeight w:val="19"/>
          <w:jc w:val="center"/>
        </w:trPr>
        <w:tc>
          <w:tcPr>
            <w:tcW w:w="2592" w:type="dxa"/>
            <w:hideMark/>
          </w:tcPr>
          <w:p w14:paraId="07F92BF2"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D179AE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0D9DC43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787E46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337" w:type="dxa"/>
            <w:hideMark/>
          </w:tcPr>
          <w:p w14:paraId="1F75D77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3.60 </w:t>
            </w:r>
          </w:p>
        </w:tc>
        <w:tc>
          <w:tcPr>
            <w:tcW w:w="1178" w:type="dxa"/>
            <w:hideMark/>
          </w:tcPr>
          <w:p w14:paraId="06D7A06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25.20 </w:t>
            </w:r>
          </w:p>
        </w:tc>
      </w:tr>
      <w:tr w:rsidR="001736F9" w:rsidRPr="004304ED" w14:paraId="52BEF227" w14:textId="77777777" w:rsidTr="001736F9">
        <w:trPr>
          <w:trHeight w:val="19"/>
          <w:jc w:val="center"/>
        </w:trPr>
        <w:tc>
          <w:tcPr>
            <w:tcW w:w="2592" w:type="dxa"/>
            <w:hideMark/>
          </w:tcPr>
          <w:p w14:paraId="21F183C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Ca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495A0D3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1EB9C43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3.20 </w:t>
            </w:r>
          </w:p>
        </w:tc>
        <w:tc>
          <w:tcPr>
            <w:tcW w:w="1784" w:type="dxa"/>
            <w:hideMark/>
          </w:tcPr>
          <w:p w14:paraId="57A9EFB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27.00 </w:t>
            </w:r>
          </w:p>
        </w:tc>
        <w:tc>
          <w:tcPr>
            <w:tcW w:w="1337" w:type="dxa"/>
            <w:hideMark/>
          </w:tcPr>
          <w:p w14:paraId="2D5D0E2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11.60 </w:t>
            </w:r>
          </w:p>
        </w:tc>
        <w:tc>
          <w:tcPr>
            <w:tcW w:w="1178" w:type="dxa"/>
            <w:hideMark/>
          </w:tcPr>
          <w:p w14:paraId="65F3BD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40.00 </w:t>
            </w:r>
          </w:p>
        </w:tc>
      </w:tr>
      <w:tr w:rsidR="001736F9" w:rsidRPr="004304ED" w14:paraId="5B761C6E" w14:textId="77777777" w:rsidTr="001736F9">
        <w:trPr>
          <w:trHeight w:val="19"/>
          <w:jc w:val="center"/>
        </w:trPr>
        <w:tc>
          <w:tcPr>
            <w:tcW w:w="2592" w:type="dxa"/>
          </w:tcPr>
          <w:p w14:paraId="025C972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51EF2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F55A18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2.49d </w:t>
            </w:r>
          </w:p>
        </w:tc>
        <w:tc>
          <w:tcPr>
            <w:tcW w:w="1784" w:type="dxa"/>
            <w:hideMark/>
          </w:tcPr>
          <w:p w14:paraId="1323917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20.47b </w:t>
            </w:r>
          </w:p>
        </w:tc>
        <w:tc>
          <w:tcPr>
            <w:tcW w:w="1337" w:type="dxa"/>
            <w:hideMark/>
          </w:tcPr>
          <w:p w14:paraId="569043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7.20c </w:t>
            </w:r>
          </w:p>
        </w:tc>
        <w:tc>
          <w:tcPr>
            <w:tcW w:w="1178" w:type="dxa"/>
            <w:hideMark/>
          </w:tcPr>
          <w:p w14:paraId="77859A1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32.53a </w:t>
            </w:r>
          </w:p>
        </w:tc>
      </w:tr>
      <w:tr w:rsidR="001736F9" w:rsidRPr="004304ED" w14:paraId="07586AD5" w14:textId="77777777" w:rsidTr="001736F9">
        <w:trPr>
          <w:trHeight w:val="19"/>
          <w:jc w:val="center"/>
        </w:trPr>
        <w:tc>
          <w:tcPr>
            <w:tcW w:w="2592" w:type="dxa"/>
          </w:tcPr>
          <w:p w14:paraId="5D2D9654" w14:textId="77777777" w:rsidR="001736F9" w:rsidRPr="004304ED" w:rsidRDefault="001736F9" w:rsidP="00476C0D">
            <w:pPr>
              <w:spacing w:after="0" w:line="360" w:lineRule="auto"/>
              <w:rPr>
                <w:rFonts w:ascii="Times New Roman" w:hAnsi="Times New Roman" w:cs="Times New Roman"/>
              </w:rPr>
            </w:pPr>
          </w:p>
          <w:p w14:paraId="38ED03B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Mg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77B425D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551DC42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1FB45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0.80 </w:t>
            </w:r>
          </w:p>
          <w:p w14:paraId="4F9F07E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22FEC38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5.20 </w:t>
            </w:r>
          </w:p>
          <w:p w14:paraId="229F8B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12.20 </w:t>
            </w:r>
          </w:p>
        </w:tc>
        <w:tc>
          <w:tcPr>
            <w:tcW w:w="1337" w:type="dxa"/>
            <w:hideMark/>
          </w:tcPr>
          <w:p w14:paraId="5DAFD57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2.00 </w:t>
            </w:r>
          </w:p>
          <w:p w14:paraId="3D9D6E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7.60 </w:t>
            </w:r>
          </w:p>
        </w:tc>
        <w:tc>
          <w:tcPr>
            <w:tcW w:w="1178" w:type="dxa"/>
            <w:hideMark/>
          </w:tcPr>
          <w:p w14:paraId="5B9B91A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6.40 </w:t>
            </w:r>
          </w:p>
          <w:p w14:paraId="7A2F65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18.40 </w:t>
            </w:r>
          </w:p>
        </w:tc>
      </w:tr>
      <w:tr w:rsidR="001736F9" w:rsidRPr="004304ED" w14:paraId="1734C119" w14:textId="77777777" w:rsidTr="001736F9">
        <w:trPr>
          <w:trHeight w:val="19"/>
          <w:jc w:val="center"/>
        </w:trPr>
        <w:tc>
          <w:tcPr>
            <w:tcW w:w="2592" w:type="dxa"/>
          </w:tcPr>
          <w:p w14:paraId="66072A4B"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EE72F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45BC260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1.20c </w:t>
            </w:r>
          </w:p>
        </w:tc>
        <w:tc>
          <w:tcPr>
            <w:tcW w:w="1784" w:type="dxa"/>
            <w:hideMark/>
          </w:tcPr>
          <w:p w14:paraId="5E0C716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8.47b </w:t>
            </w:r>
          </w:p>
        </w:tc>
        <w:tc>
          <w:tcPr>
            <w:tcW w:w="1337" w:type="dxa"/>
            <w:hideMark/>
          </w:tcPr>
          <w:p w14:paraId="1E683EF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4.00c </w:t>
            </w:r>
          </w:p>
        </w:tc>
        <w:tc>
          <w:tcPr>
            <w:tcW w:w="1178" w:type="dxa"/>
            <w:hideMark/>
          </w:tcPr>
          <w:p w14:paraId="204521F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12.71a </w:t>
            </w:r>
          </w:p>
        </w:tc>
      </w:tr>
      <w:tr w:rsidR="001736F9" w:rsidRPr="004304ED" w14:paraId="1E8726C3" w14:textId="77777777" w:rsidTr="001736F9">
        <w:trPr>
          <w:trHeight w:val="19"/>
          <w:jc w:val="center"/>
        </w:trPr>
        <w:tc>
          <w:tcPr>
            <w:tcW w:w="2592" w:type="dxa"/>
          </w:tcPr>
          <w:p w14:paraId="5DE090AE" w14:textId="77777777" w:rsidR="001736F9" w:rsidRPr="004304ED" w:rsidRDefault="001736F9" w:rsidP="00476C0D">
            <w:pPr>
              <w:spacing w:after="0" w:line="360" w:lineRule="auto"/>
              <w:rPr>
                <w:rFonts w:ascii="Times New Roman" w:hAnsi="Times New Roman" w:cs="Times New Roman"/>
              </w:rPr>
            </w:pPr>
          </w:p>
          <w:p w14:paraId="0B1B50A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K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31F30B8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540D746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338A9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0.06 </w:t>
            </w:r>
          </w:p>
          <w:p w14:paraId="4FDDCBF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0.15 </w:t>
            </w:r>
          </w:p>
        </w:tc>
        <w:tc>
          <w:tcPr>
            <w:tcW w:w="1784" w:type="dxa"/>
            <w:hideMark/>
          </w:tcPr>
          <w:p w14:paraId="0AE77F8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0.95 </w:t>
            </w:r>
          </w:p>
          <w:p w14:paraId="6E1436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4.69 </w:t>
            </w:r>
          </w:p>
        </w:tc>
        <w:tc>
          <w:tcPr>
            <w:tcW w:w="1337" w:type="dxa"/>
            <w:hideMark/>
          </w:tcPr>
          <w:p w14:paraId="188E2C5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0.33 </w:t>
            </w:r>
          </w:p>
          <w:p w14:paraId="214750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0.90 </w:t>
            </w:r>
          </w:p>
        </w:tc>
        <w:tc>
          <w:tcPr>
            <w:tcW w:w="1178" w:type="dxa"/>
            <w:hideMark/>
          </w:tcPr>
          <w:p w14:paraId="47F2E05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3.16</w:t>
            </w:r>
          </w:p>
          <w:p w14:paraId="4B94978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6.58 </w:t>
            </w:r>
          </w:p>
        </w:tc>
      </w:tr>
      <w:tr w:rsidR="001736F9" w:rsidRPr="004304ED" w14:paraId="58040AC5" w14:textId="77777777" w:rsidTr="001736F9">
        <w:trPr>
          <w:trHeight w:val="19"/>
          <w:jc w:val="center"/>
        </w:trPr>
        <w:tc>
          <w:tcPr>
            <w:tcW w:w="2592" w:type="dxa"/>
          </w:tcPr>
          <w:p w14:paraId="41E6CA3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4DE7EBA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549544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0.10c </w:t>
            </w:r>
          </w:p>
        </w:tc>
        <w:tc>
          <w:tcPr>
            <w:tcW w:w="1784" w:type="dxa"/>
            <w:hideMark/>
          </w:tcPr>
          <w:p w14:paraId="7933922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2.77b </w:t>
            </w:r>
          </w:p>
        </w:tc>
        <w:tc>
          <w:tcPr>
            <w:tcW w:w="1337" w:type="dxa"/>
            <w:hideMark/>
          </w:tcPr>
          <w:p w14:paraId="4A7B5C0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0.58c </w:t>
            </w:r>
          </w:p>
        </w:tc>
        <w:tc>
          <w:tcPr>
            <w:tcW w:w="1178" w:type="dxa"/>
            <w:hideMark/>
          </w:tcPr>
          <w:p w14:paraId="7987563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4.80a </w:t>
            </w:r>
          </w:p>
        </w:tc>
      </w:tr>
      <w:tr w:rsidR="001736F9" w:rsidRPr="004304ED" w14:paraId="2A837329" w14:textId="77777777" w:rsidTr="001736F9">
        <w:trPr>
          <w:trHeight w:val="19"/>
          <w:jc w:val="center"/>
        </w:trPr>
        <w:tc>
          <w:tcPr>
            <w:tcW w:w="2592" w:type="dxa"/>
          </w:tcPr>
          <w:p w14:paraId="2E1E12CA" w14:textId="77777777" w:rsidR="001736F9" w:rsidRPr="004304ED" w:rsidRDefault="001736F9" w:rsidP="00476C0D">
            <w:pPr>
              <w:spacing w:after="0" w:line="360" w:lineRule="auto"/>
              <w:rPr>
                <w:rFonts w:ascii="Times New Roman" w:hAnsi="Times New Roman" w:cs="Times New Roman"/>
              </w:rPr>
            </w:pPr>
          </w:p>
          <w:p w14:paraId="52C3A6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Na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36D5662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Min </w:t>
            </w:r>
          </w:p>
          <w:p w14:paraId="33BD31A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Max </w:t>
            </w:r>
          </w:p>
        </w:tc>
        <w:tc>
          <w:tcPr>
            <w:tcW w:w="1337" w:type="dxa"/>
            <w:hideMark/>
          </w:tcPr>
          <w:p w14:paraId="7C277A3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0.04 </w:t>
            </w:r>
          </w:p>
          <w:p w14:paraId="1188449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0.10 </w:t>
            </w:r>
          </w:p>
        </w:tc>
        <w:tc>
          <w:tcPr>
            <w:tcW w:w="1784" w:type="dxa"/>
            <w:hideMark/>
          </w:tcPr>
          <w:p w14:paraId="33BBCF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0.31 </w:t>
            </w:r>
          </w:p>
          <w:p w14:paraId="470FD8D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2.35 </w:t>
            </w:r>
          </w:p>
        </w:tc>
        <w:tc>
          <w:tcPr>
            <w:tcW w:w="1337" w:type="dxa"/>
            <w:hideMark/>
          </w:tcPr>
          <w:p w14:paraId="45FE7B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0.13 </w:t>
            </w:r>
          </w:p>
          <w:p w14:paraId="4EDCB32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0.64 </w:t>
            </w:r>
          </w:p>
        </w:tc>
        <w:tc>
          <w:tcPr>
            <w:tcW w:w="1178" w:type="dxa"/>
            <w:hideMark/>
          </w:tcPr>
          <w:p w14:paraId="03D1EEA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0.04 </w:t>
            </w:r>
          </w:p>
          <w:p w14:paraId="27BD76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4.61 </w:t>
            </w:r>
          </w:p>
        </w:tc>
      </w:tr>
      <w:tr w:rsidR="001736F9" w:rsidRPr="004304ED" w14:paraId="094D5F75" w14:textId="77777777" w:rsidTr="001736F9">
        <w:trPr>
          <w:trHeight w:val="19"/>
          <w:jc w:val="center"/>
        </w:trPr>
        <w:tc>
          <w:tcPr>
            <w:tcW w:w="2592" w:type="dxa"/>
          </w:tcPr>
          <w:p w14:paraId="0FE5B9D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B16838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9C0D4D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0.07c </w:t>
            </w:r>
          </w:p>
        </w:tc>
        <w:tc>
          <w:tcPr>
            <w:tcW w:w="1784" w:type="dxa"/>
            <w:hideMark/>
          </w:tcPr>
          <w:p w14:paraId="65B328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2.35b </w:t>
            </w:r>
          </w:p>
        </w:tc>
        <w:tc>
          <w:tcPr>
            <w:tcW w:w="1337" w:type="dxa"/>
            <w:hideMark/>
          </w:tcPr>
          <w:p w14:paraId="25195D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0.48c </w:t>
            </w:r>
          </w:p>
        </w:tc>
        <w:tc>
          <w:tcPr>
            <w:tcW w:w="1178" w:type="dxa"/>
            <w:hideMark/>
          </w:tcPr>
          <w:p w14:paraId="591B59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3.06a </w:t>
            </w:r>
          </w:p>
        </w:tc>
      </w:tr>
      <w:tr w:rsidR="001736F9" w:rsidRPr="004304ED" w14:paraId="3BB78C68" w14:textId="77777777" w:rsidTr="001736F9">
        <w:trPr>
          <w:trHeight w:val="19"/>
          <w:jc w:val="center"/>
        </w:trPr>
        <w:tc>
          <w:tcPr>
            <w:tcW w:w="2592" w:type="dxa"/>
          </w:tcPr>
          <w:p w14:paraId="7853B1CA" w14:textId="77777777" w:rsidR="001736F9" w:rsidRPr="004304ED" w:rsidRDefault="001736F9" w:rsidP="00476C0D">
            <w:pPr>
              <w:spacing w:after="0" w:line="360" w:lineRule="auto"/>
              <w:rPr>
                <w:rFonts w:ascii="Times New Roman" w:hAnsi="Times New Roman" w:cs="Times New Roman"/>
              </w:rPr>
            </w:pPr>
          </w:p>
          <w:p w14:paraId="3DD88B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EA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3771025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0573AA9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162F97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0.24 </w:t>
            </w:r>
          </w:p>
          <w:p w14:paraId="0D08B84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2.00 </w:t>
            </w:r>
          </w:p>
        </w:tc>
        <w:tc>
          <w:tcPr>
            <w:tcW w:w="1784" w:type="dxa"/>
            <w:hideMark/>
          </w:tcPr>
          <w:p w14:paraId="229132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0.24 </w:t>
            </w:r>
          </w:p>
          <w:p w14:paraId="3743F05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tc>
        <w:tc>
          <w:tcPr>
            <w:tcW w:w="1337" w:type="dxa"/>
            <w:hideMark/>
          </w:tcPr>
          <w:p w14:paraId="44682C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0.32 </w:t>
            </w:r>
          </w:p>
          <w:p w14:paraId="6B73636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0.48 </w:t>
            </w:r>
          </w:p>
        </w:tc>
        <w:tc>
          <w:tcPr>
            <w:tcW w:w="1178" w:type="dxa"/>
            <w:hideMark/>
          </w:tcPr>
          <w:p w14:paraId="44B97B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1ABC0FD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0.80 </w:t>
            </w:r>
          </w:p>
        </w:tc>
      </w:tr>
      <w:tr w:rsidR="001736F9" w:rsidRPr="004304ED" w14:paraId="59FE3153" w14:textId="77777777" w:rsidTr="001736F9">
        <w:trPr>
          <w:trHeight w:val="19"/>
          <w:jc w:val="center"/>
        </w:trPr>
        <w:tc>
          <w:tcPr>
            <w:tcW w:w="2592" w:type="dxa"/>
          </w:tcPr>
          <w:p w14:paraId="0B925690"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80F918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84FB3C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1.68a </w:t>
            </w:r>
          </w:p>
        </w:tc>
        <w:tc>
          <w:tcPr>
            <w:tcW w:w="1784" w:type="dxa"/>
            <w:hideMark/>
          </w:tcPr>
          <w:p w14:paraId="04AFAB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0.41c </w:t>
            </w:r>
          </w:p>
        </w:tc>
        <w:tc>
          <w:tcPr>
            <w:tcW w:w="1337" w:type="dxa"/>
            <w:hideMark/>
          </w:tcPr>
          <w:p w14:paraId="624BD86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0.42c </w:t>
            </w:r>
          </w:p>
        </w:tc>
        <w:tc>
          <w:tcPr>
            <w:tcW w:w="1178" w:type="dxa"/>
            <w:hideMark/>
          </w:tcPr>
          <w:p w14:paraId="12B8E38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0.68b </w:t>
            </w:r>
          </w:p>
        </w:tc>
      </w:tr>
      <w:tr w:rsidR="001736F9" w:rsidRPr="004304ED" w14:paraId="612CF99D" w14:textId="77777777" w:rsidTr="001736F9">
        <w:trPr>
          <w:trHeight w:val="19"/>
          <w:jc w:val="center"/>
        </w:trPr>
        <w:tc>
          <w:tcPr>
            <w:tcW w:w="2592" w:type="dxa"/>
          </w:tcPr>
          <w:p w14:paraId="07B7113A" w14:textId="77777777" w:rsidR="001736F9" w:rsidRPr="004304ED" w:rsidRDefault="001736F9" w:rsidP="00476C0D">
            <w:pPr>
              <w:spacing w:after="0" w:line="360" w:lineRule="auto"/>
              <w:rPr>
                <w:rFonts w:ascii="Times New Roman" w:hAnsi="Times New Roman" w:cs="Times New Roman"/>
              </w:rPr>
            </w:pPr>
          </w:p>
          <w:p w14:paraId="151C89E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ECEC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02E346B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641CFEF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76D7EA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4.51 </w:t>
            </w:r>
          </w:p>
          <w:p w14:paraId="4EA0BD5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70.23 </w:t>
            </w:r>
          </w:p>
        </w:tc>
        <w:tc>
          <w:tcPr>
            <w:tcW w:w="1784" w:type="dxa"/>
            <w:hideMark/>
          </w:tcPr>
          <w:p w14:paraId="078D537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19.82 </w:t>
            </w:r>
          </w:p>
          <w:p w14:paraId="53C76B9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47.04 </w:t>
            </w:r>
          </w:p>
        </w:tc>
        <w:tc>
          <w:tcPr>
            <w:tcW w:w="1337" w:type="dxa"/>
            <w:hideMark/>
          </w:tcPr>
          <w:p w14:paraId="247799F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6.53 </w:t>
            </w:r>
          </w:p>
          <w:p w14:paraId="1B5B246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21.13 </w:t>
            </w:r>
          </w:p>
        </w:tc>
        <w:tc>
          <w:tcPr>
            <w:tcW w:w="1178" w:type="dxa"/>
            <w:hideMark/>
          </w:tcPr>
          <w:p w14:paraId="128F49D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36.53 </w:t>
            </w:r>
          </w:p>
          <w:p w14:paraId="1E0FDA0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70.23 </w:t>
            </w:r>
          </w:p>
        </w:tc>
      </w:tr>
      <w:tr w:rsidR="001736F9" w:rsidRPr="004304ED" w14:paraId="3324EA4B" w14:textId="77777777" w:rsidTr="001736F9">
        <w:trPr>
          <w:trHeight w:val="19"/>
          <w:jc w:val="center"/>
        </w:trPr>
        <w:tc>
          <w:tcPr>
            <w:tcW w:w="2592" w:type="dxa"/>
          </w:tcPr>
          <w:p w14:paraId="1570F486"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29616F2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9F2070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5.43c </w:t>
            </w:r>
          </w:p>
        </w:tc>
        <w:tc>
          <w:tcPr>
            <w:tcW w:w="1784" w:type="dxa"/>
            <w:hideMark/>
          </w:tcPr>
          <w:p w14:paraId="75048BE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33.30b </w:t>
            </w:r>
          </w:p>
        </w:tc>
        <w:tc>
          <w:tcPr>
            <w:tcW w:w="1337" w:type="dxa"/>
            <w:hideMark/>
          </w:tcPr>
          <w:p w14:paraId="4A78207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12.54c </w:t>
            </w:r>
          </w:p>
        </w:tc>
        <w:tc>
          <w:tcPr>
            <w:tcW w:w="1178" w:type="dxa"/>
            <w:hideMark/>
          </w:tcPr>
          <w:p w14:paraId="7D835A1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53.78a </w:t>
            </w:r>
          </w:p>
        </w:tc>
      </w:tr>
      <w:tr w:rsidR="001736F9" w:rsidRPr="004304ED" w14:paraId="1E706684" w14:textId="77777777" w:rsidTr="001736F9">
        <w:trPr>
          <w:trHeight w:val="19"/>
          <w:jc w:val="center"/>
        </w:trPr>
        <w:tc>
          <w:tcPr>
            <w:tcW w:w="2592" w:type="dxa"/>
            <w:hideMark/>
          </w:tcPr>
          <w:p w14:paraId="2A3D1E7B"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5C7295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448A454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55.60 </w:t>
            </w:r>
          </w:p>
        </w:tc>
        <w:tc>
          <w:tcPr>
            <w:tcW w:w="1784" w:type="dxa"/>
            <w:hideMark/>
          </w:tcPr>
          <w:p w14:paraId="079077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97.17 </w:t>
            </w:r>
          </w:p>
        </w:tc>
        <w:tc>
          <w:tcPr>
            <w:tcW w:w="1337" w:type="dxa"/>
            <w:hideMark/>
          </w:tcPr>
          <w:p w14:paraId="4C4A363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93.69 </w:t>
            </w:r>
          </w:p>
        </w:tc>
        <w:tc>
          <w:tcPr>
            <w:tcW w:w="1178" w:type="dxa"/>
            <w:hideMark/>
          </w:tcPr>
          <w:p w14:paraId="560F27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98.02 </w:t>
            </w:r>
          </w:p>
        </w:tc>
      </w:tr>
      <w:tr w:rsidR="001736F9" w:rsidRPr="004304ED" w14:paraId="18343E4A" w14:textId="77777777" w:rsidTr="001736F9">
        <w:trPr>
          <w:trHeight w:val="19"/>
          <w:jc w:val="center"/>
        </w:trPr>
        <w:tc>
          <w:tcPr>
            <w:tcW w:w="2592" w:type="dxa"/>
            <w:hideMark/>
          </w:tcPr>
          <w:p w14:paraId="5919A8A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BS (%)</w:t>
            </w:r>
          </w:p>
        </w:tc>
        <w:tc>
          <w:tcPr>
            <w:tcW w:w="893" w:type="dxa"/>
            <w:hideMark/>
          </w:tcPr>
          <w:p w14:paraId="4868BCB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51C26A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784" w:type="dxa"/>
            <w:hideMark/>
          </w:tcPr>
          <w:p w14:paraId="54037F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337" w:type="dxa"/>
            <w:hideMark/>
          </w:tcPr>
          <w:p w14:paraId="253794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98.11 </w:t>
            </w:r>
          </w:p>
        </w:tc>
        <w:tc>
          <w:tcPr>
            <w:tcW w:w="1178" w:type="dxa"/>
            <w:hideMark/>
          </w:tcPr>
          <w:p w14:paraId="6046D3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99.09 </w:t>
            </w:r>
          </w:p>
        </w:tc>
      </w:tr>
      <w:tr w:rsidR="001736F9" w:rsidRPr="004304ED" w14:paraId="0AEC7F10" w14:textId="77777777" w:rsidTr="001736F9">
        <w:trPr>
          <w:trHeight w:val="19"/>
          <w:jc w:val="center"/>
        </w:trPr>
        <w:tc>
          <w:tcPr>
            <w:tcW w:w="2592" w:type="dxa"/>
          </w:tcPr>
          <w:p w14:paraId="27466291"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52402BA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02D8148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67.91c </w:t>
            </w:r>
          </w:p>
        </w:tc>
        <w:tc>
          <w:tcPr>
            <w:tcW w:w="1784" w:type="dxa"/>
            <w:hideMark/>
          </w:tcPr>
          <w:p w14:paraId="3698CEA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98.63a </w:t>
            </w:r>
          </w:p>
        </w:tc>
        <w:tc>
          <w:tcPr>
            <w:tcW w:w="1337" w:type="dxa"/>
            <w:hideMark/>
          </w:tcPr>
          <w:p w14:paraId="1F3D5C7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96.21b </w:t>
            </w:r>
          </w:p>
        </w:tc>
        <w:tc>
          <w:tcPr>
            <w:tcW w:w="1178" w:type="dxa"/>
            <w:hideMark/>
          </w:tcPr>
          <w:p w14:paraId="101183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98.69a </w:t>
            </w:r>
          </w:p>
        </w:tc>
      </w:tr>
    </w:tbl>
    <w:p w14:paraId="0565428D" w14:textId="77777777" w:rsidR="00BC510B" w:rsidRDefault="00BC510B" w:rsidP="004741B5">
      <w:pPr>
        <w:spacing w:after="0" w:line="360" w:lineRule="auto"/>
        <w:rPr>
          <w:rFonts w:ascii="Times New Roman" w:hAnsi="Times New Roman" w:cs="Times New Roman"/>
        </w:rPr>
      </w:pPr>
    </w:p>
    <w:p w14:paraId="10E0C4B2" w14:textId="1F5B1C9C" w:rsidR="004741B5" w:rsidRPr="004304ED" w:rsidRDefault="004741B5" w:rsidP="004741B5">
      <w:pPr>
        <w:spacing w:after="0" w:line="360" w:lineRule="auto"/>
        <w:rPr>
          <w:rFonts w:ascii="Times New Roman" w:hAnsi="Times New Roman" w:cs="Times New Roman"/>
        </w:rPr>
      </w:pPr>
      <w:r w:rsidRPr="004304ED">
        <w:rPr>
          <w:rFonts w:ascii="Times New Roman" w:hAnsi="Times New Roman" w:cs="Times New Roman"/>
        </w:rPr>
        <w:t xml:space="preserve">Across all dumpsites, the soils exhibited a dominantly sandy texture with negligible variations (p &gt; 0.05) in sand, silt, and clay proportions, reflecting a common pedogenic origin. This uniformity corresponds to the coastal plain sand formation characteristic of </w:t>
      </w:r>
      <w:proofErr w:type="spellStart"/>
      <w:r w:rsidRPr="004304ED">
        <w:rPr>
          <w:rFonts w:ascii="Times New Roman" w:hAnsi="Times New Roman" w:cs="Times New Roman"/>
        </w:rPr>
        <w:t>Akwa</w:t>
      </w:r>
      <w:proofErr w:type="spellEnd"/>
      <w:r w:rsidRPr="004304ED">
        <w:rPr>
          <w:rFonts w:ascii="Times New Roman" w:hAnsi="Times New Roman" w:cs="Times New Roman"/>
        </w:rPr>
        <w:t xml:space="preserve"> Ibom State (Akpan-</w:t>
      </w:r>
      <w:proofErr w:type="spellStart"/>
      <w:r w:rsidRPr="004304ED">
        <w:rPr>
          <w:rFonts w:ascii="Times New Roman" w:hAnsi="Times New Roman" w:cs="Times New Roman"/>
        </w:rPr>
        <w:t>Idiok</w:t>
      </w:r>
      <w:proofErr w:type="spellEnd"/>
      <w:r w:rsidRPr="004304ED">
        <w:rPr>
          <w:rFonts w:ascii="Times New Roman" w:hAnsi="Times New Roman" w:cs="Times New Roman"/>
        </w:rPr>
        <w:t xml:space="preserve">, 2012; Obi et al., 2020; Udoh and </w:t>
      </w:r>
      <w:proofErr w:type="spellStart"/>
      <w:r w:rsidRPr="004304ED">
        <w:rPr>
          <w:rFonts w:ascii="Times New Roman" w:hAnsi="Times New Roman" w:cs="Times New Roman"/>
        </w:rPr>
        <w:t>Ibia</w:t>
      </w:r>
      <w:proofErr w:type="spellEnd"/>
      <w:r w:rsidRPr="004304ED">
        <w:rPr>
          <w:rFonts w:ascii="Times New Roman" w:hAnsi="Times New Roman" w:cs="Times New Roman"/>
        </w:rPr>
        <w:t>, 2022), which provides a porous matrix with low water-holding and metal-retention capacities.</w:t>
      </w:r>
    </w:p>
    <w:p w14:paraId="19E69677" w14:textId="1494B264"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 xml:space="preserve">Soil pH values varied markedly, ranging from strongly acidic (4.63) in the control to slightly alkaline (7.99) in the paint waste-impacted soil. The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soil exhibited a near-neutral pH (7.37), while abattoir soil remained mildly acidic (6.49). These shifts </w:t>
      </w:r>
      <w:r w:rsidR="00A410AB" w:rsidRPr="004304ED">
        <w:rPr>
          <w:rFonts w:ascii="Times New Roman" w:hAnsi="Times New Roman" w:cs="Times New Roman"/>
        </w:rPr>
        <w:t>highlight</w:t>
      </w:r>
      <w:r w:rsidRPr="004304ED">
        <w:rPr>
          <w:rFonts w:ascii="Times New Roman" w:hAnsi="Times New Roman" w:cs="Times New Roman"/>
        </w:rPr>
        <w:t xml:space="preserve"> the strong influence of waste type on the soil’s acid</w:t>
      </w:r>
      <w:r w:rsidR="00A410AB" w:rsidRPr="004304ED">
        <w:rPr>
          <w:rFonts w:ascii="Times New Roman" w:hAnsi="Times New Roman" w:cs="Times New Roman"/>
        </w:rPr>
        <w:t>-</w:t>
      </w:r>
      <w:r w:rsidRPr="004304ED">
        <w:rPr>
          <w:rFonts w:ascii="Times New Roman" w:hAnsi="Times New Roman" w:cs="Times New Roman"/>
        </w:rPr>
        <w:t xml:space="preserve">base balance. Paint residues, often containing alkaline additives and pigments, elevate pH, whereas organic decomposition in abattoir waste contributes to acidity through organic acid release. Such variations have </w:t>
      </w:r>
      <w:r w:rsidR="00641E3B">
        <w:rPr>
          <w:rFonts w:ascii="Times New Roman" w:hAnsi="Times New Roman" w:cs="Times New Roman"/>
        </w:rPr>
        <w:t>implications for metal mobility --- soil pH can regulate the concentrations of metallic ions by making them more or less active with their associated attendant environmental risks.  S</w:t>
      </w:r>
      <w:r w:rsidRPr="004304ED">
        <w:rPr>
          <w:rFonts w:ascii="Times New Roman" w:hAnsi="Times New Roman" w:cs="Times New Roman"/>
        </w:rPr>
        <w:t xml:space="preserve">lightly alkaline conditions enhance the precipitation of metal hydroxides, while acidic conditions promote solubilization and </w:t>
      </w:r>
      <w:r w:rsidRPr="00BC510B">
        <w:rPr>
          <w:rFonts w:ascii="Times New Roman" w:hAnsi="Times New Roman" w:cs="Times New Roman"/>
        </w:rPr>
        <w:t>bioavailability (</w:t>
      </w:r>
      <w:proofErr w:type="spellStart"/>
      <w:r w:rsidRPr="00BC510B">
        <w:rPr>
          <w:rFonts w:ascii="Times New Roman" w:hAnsi="Times New Roman" w:cs="Times New Roman"/>
        </w:rPr>
        <w:t>Kabata-Pendias</w:t>
      </w:r>
      <w:proofErr w:type="spellEnd"/>
      <w:r w:rsidRPr="00BC510B">
        <w:rPr>
          <w:rFonts w:ascii="Times New Roman" w:hAnsi="Times New Roman" w:cs="Times New Roman"/>
        </w:rPr>
        <w:t xml:space="preserve"> and </w:t>
      </w:r>
      <w:proofErr w:type="spellStart"/>
      <w:r w:rsidRPr="00BC510B">
        <w:rPr>
          <w:rFonts w:ascii="Times New Roman" w:hAnsi="Times New Roman" w:cs="Times New Roman"/>
        </w:rPr>
        <w:t>Pendias</w:t>
      </w:r>
      <w:proofErr w:type="spellEnd"/>
      <w:r w:rsidRPr="00BC510B">
        <w:rPr>
          <w:rFonts w:ascii="Times New Roman" w:hAnsi="Times New Roman" w:cs="Times New Roman"/>
        </w:rPr>
        <w:t>, 2001).</w:t>
      </w:r>
      <w:r w:rsidR="00EA0156">
        <w:rPr>
          <w:rFonts w:ascii="Times New Roman" w:hAnsi="Times New Roman" w:cs="Times New Roman"/>
        </w:rPr>
        <w:t xml:space="preserve"> </w:t>
      </w:r>
    </w:p>
    <w:p w14:paraId="3E2716BE" w14:textId="77777777"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 xml:space="preserve">Organic carbon (OC) content ranged between 4.98 g/kg (paint soil) and 37.10 g/kg (abattoir soil), following the order: abattoir &gt;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&gt; control &gt; paint. The elevated OC in abattoir soils reflects continuous deposition of degradable organic matter, while hydrocarbons and lubricants contributed to the relatively high OC in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soils (</w:t>
      </w:r>
      <w:proofErr w:type="spellStart"/>
      <w:r w:rsidRPr="004304ED">
        <w:rPr>
          <w:rFonts w:ascii="Times New Roman" w:hAnsi="Times New Roman" w:cs="Times New Roman"/>
        </w:rPr>
        <w:t>Johnbosco</w:t>
      </w:r>
      <w:proofErr w:type="spellEnd"/>
      <w:r w:rsidRPr="004304ED">
        <w:rPr>
          <w:rFonts w:ascii="Times New Roman" w:hAnsi="Times New Roman" w:cs="Times New Roman"/>
        </w:rPr>
        <w:t xml:space="preserve"> et al., </w:t>
      </w:r>
      <w:r w:rsidRPr="004304ED">
        <w:rPr>
          <w:rFonts w:ascii="Times New Roman" w:hAnsi="Times New Roman" w:cs="Times New Roman"/>
        </w:rPr>
        <w:lastRenderedPageBreak/>
        <w:t>2020). Conversely, the low OC in paint-contaminated soil indicates minimal organic input and possible oxidative degradation of carbon compounds by paint solvents.</w:t>
      </w:r>
    </w:p>
    <w:p w14:paraId="7CA043BF" w14:textId="77777777"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 xml:space="preserve">Electrical conductivity (EC) varied between 56.73 µS/cm in the control and 536.42 µS/cm in abattoir soil, indicating substantial ionic enrichment. The cation exchange capacity (ECEC) and base saturation (BS) were consistently higher in contaminated soils, particularly at the abattoir site (ECEC = 53.78 </w:t>
      </w:r>
      <w:proofErr w:type="spellStart"/>
      <w:r w:rsidRPr="004304ED">
        <w:rPr>
          <w:rFonts w:ascii="Times New Roman" w:hAnsi="Times New Roman" w:cs="Times New Roman"/>
        </w:rPr>
        <w:t>cmol</w:t>
      </w:r>
      <w:proofErr w:type="spellEnd"/>
      <w:r w:rsidRPr="004304ED">
        <w:rPr>
          <w:rFonts w:ascii="Times New Roman" w:hAnsi="Times New Roman" w:cs="Times New Roman"/>
        </w:rPr>
        <w:t>/kg; BS = 98.69%). These trends suggest enhanced nutrient retention and exchangeable cation accumulation due to anthropogenic influences. Collectively, the physicochemical results confirm that waste inputs substantially alter soil electrochemical equilibrium, influencing nutrient cycling, buffering potential, and contaminant mobility.</w:t>
      </w:r>
    </w:p>
    <w:p w14:paraId="34A70EEB" w14:textId="77777777" w:rsidR="00076E76" w:rsidRPr="004304ED" w:rsidRDefault="00076E76" w:rsidP="00F73406">
      <w:pPr>
        <w:spacing w:after="0" w:line="360" w:lineRule="auto"/>
        <w:rPr>
          <w:rFonts w:ascii="Times New Roman" w:hAnsi="Times New Roman" w:cs="Times New Roman"/>
        </w:rPr>
      </w:pPr>
    </w:p>
    <w:p w14:paraId="7190D414" w14:textId="574C182A" w:rsidR="00F73406" w:rsidRPr="004304ED" w:rsidRDefault="00076E76" w:rsidP="00F73406">
      <w:pPr>
        <w:spacing w:after="0" w:line="360" w:lineRule="auto"/>
        <w:rPr>
          <w:rFonts w:ascii="Times New Roman" w:hAnsi="Times New Roman" w:cs="Times New Roman"/>
          <w:b/>
          <w:bCs/>
        </w:rPr>
      </w:pPr>
      <w:r w:rsidRPr="004304ED">
        <w:rPr>
          <w:rFonts w:ascii="Times New Roman" w:hAnsi="Times New Roman" w:cs="Times New Roman"/>
          <w:b/>
          <w:bCs/>
        </w:rPr>
        <w:t>C</w:t>
      </w:r>
      <w:r w:rsidR="00465DE0" w:rsidRPr="004304ED">
        <w:rPr>
          <w:rFonts w:ascii="Times New Roman" w:hAnsi="Times New Roman" w:cs="Times New Roman"/>
          <w:b/>
          <w:bCs/>
        </w:rPr>
        <w:t>oncentrations</w:t>
      </w:r>
      <w:r w:rsidR="00F73406" w:rsidRPr="004304ED">
        <w:rPr>
          <w:rFonts w:ascii="Times New Roman" w:hAnsi="Times New Roman" w:cs="Times New Roman"/>
          <w:b/>
          <w:bCs/>
        </w:rPr>
        <w:t xml:space="preserve"> of the </w:t>
      </w:r>
      <w:r w:rsidRPr="004304ED">
        <w:rPr>
          <w:rFonts w:ascii="Times New Roman" w:hAnsi="Times New Roman" w:cs="Times New Roman"/>
          <w:b/>
          <w:bCs/>
        </w:rPr>
        <w:t xml:space="preserve">heavy metals extracted with aqua regia </w:t>
      </w:r>
    </w:p>
    <w:p w14:paraId="76D92BA7" w14:textId="77777777" w:rsidR="00F50DCE"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The results of Pb concentrations extracted with Aqua regia are presented in Table 3.</w:t>
      </w:r>
    </w:p>
    <w:p w14:paraId="1A229A0A" w14:textId="77777777" w:rsidR="001736F9" w:rsidRPr="004304ED" w:rsidRDefault="001736F9" w:rsidP="00CB4E01">
      <w:pPr>
        <w:spacing w:after="0" w:line="360" w:lineRule="auto"/>
        <w:ind w:firstLine="720"/>
        <w:rPr>
          <w:rFonts w:ascii="Times New Roman" w:hAnsi="Times New Roman" w:cs="Times New Roman"/>
        </w:rPr>
      </w:pPr>
    </w:p>
    <w:p w14:paraId="7BC4E577" w14:textId="77777777" w:rsidR="001736F9" w:rsidRPr="004304ED" w:rsidRDefault="001736F9" w:rsidP="001736F9">
      <w:pPr>
        <w:spacing w:after="0" w:line="360" w:lineRule="auto"/>
        <w:rPr>
          <w:rFonts w:ascii="Times New Roman" w:hAnsi="Times New Roman" w:cs="Times New Roman"/>
          <w:b/>
          <w:bCs/>
        </w:rPr>
      </w:pPr>
      <w:r w:rsidRPr="004304ED">
        <w:rPr>
          <w:rFonts w:ascii="Times New Roman" w:hAnsi="Times New Roman" w:cs="Times New Roman"/>
          <w:b/>
          <w:bCs/>
        </w:rPr>
        <w:t xml:space="preserve">Table 3: </w:t>
      </w:r>
      <w:r w:rsidRPr="004304ED">
        <w:rPr>
          <w:rFonts w:ascii="Times New Roman" w:hAnsi="Times New Roman" w:cs="Times New Roman"/>
        </w:rPr>
        <w:t>Mean concentrations of heavy metals extracted with aqua regia</w:t>
      </w:r>
      <w:r w:rsidRPr="004304ED">
        <w:rPr>
          <w:rFonts w:ascii="Times New Roman" w:hAnsi="Times New Roman"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24"/>
        <w:gridCol w:w="1596"/>
        <w:gridCol w:w="1596"/>
        <w:gridCol w:w="1596"/>
        <w:gridCol w:w="1596"/>
      </w:tblGrid>
      <w:tr w:rsidR="001736F9" w:rsidRPr="004304ED" w14:paraId="7A4742E9" w14:textId="77777777" w:rsidTr="00476C0D">
        <w:tc>
          <w:tcPr>
            <w:tcW w:w="1668" w:type="dxa"/>
            <w:hideMark/>
          </w:tcPr>
          <w:p w14:paraId="4BA40B0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Dumpsite</w:t>
            </w:r>
          </w:p>
        </w:tc>
        <w:tc>
          <w:tcPr>
            <w:tcW w:w="1524" w:type="dxa"/>
            <w:hideMark/>
          </w:tcPr>
          <w:p w14:paraId="6F46FA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Pb</w:t>
            </w:r>
          </w:p>
        </w:tc>
        <w:tc>
          <w:tcPr>
            <w:tcW w:w="1596" w:type="dxa"/>
            <w:hideMark/>
          </w:tcPr>
          <w:p w14:paraId="10F5C85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Cd </w:t>
            </w:r>
          </w:p>
        </w:tc>
        <w:tc>
          <w:tcPr>
            <w:tcW w:w="1596" w:type="dxa"/>
            <w:hideMark/>
          </w:tcPr>
          <w:p w14:paraId="4014304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Cr </w:t>
            </w:r>
          </w:p>
        </w:tc>
        <w:tc>
          <w:tcPr>
            <w:tcW w:w="1596" w:type="dxa"/>
            <w:hideMark/>
          </w:tcPr>
          <w:p w14:paraId="618D49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Ni </w:t>
            </w:r>
          </w:p>
        </w:tc>
        <w:tc>
          <w:tcPr>
            <w:tcW w:w="1596" w:type="dxa"/>
            <w:hideMark/>
          </w:tcPr>
          <w:p w14:paraId="044C32D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V </w:t>
            </w:r>
          </w:p>
        </w:tc>
      </w:tr>
      <w:tr w:rsidR="001736F9" w:rsidRPr="004304ED" w14:paraId="53987A0E" w14:textId="77777777" w:rsidTr="00476C0D">
        <w:tc>
          <w:tcPr>
            <w:tcW w:w="1668" w:type="dxa"/>
          </w:tcPr>
          <w:p w14:paraId="1ADED890" w14:textId="77777777" w:rsidR="001736F9" w:rsidRPr="004304ED" w:rsidRDefault="001736F9" w:rsidP="00476C0D">
            <w:pPr>
              <w:spacing w:after="0" w:line="360" w:lineRule="auto"/>
              <w:rPr>
                <w:rFonts w:ascii="Times New Roman" w:hAnsi="Times New Roman" w:cs="Times New Roman"/>
              </w:rPr>
            </w:pPr>
          </w:p>
        </w:tc>
        <w:tc>
          <w:tcPr>
            <w:tcW w:w="7908" w:type="dxa"/>
            <w:gridSpan w:val="5"/>
            <w:hideMark/>
          </w:tcPr>
          <w:p w14:paraId="7226BF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08633B68" wp14:editId="4277E3C5">
                      <wp:simplePos x="0" y="0"/>
                      <wp:positionH relativeFrom="column">
                        <wp:posOffset>2631440</wp:posOffset>
                      </wp:positionH>
                      <wp:positionV relativeFrom="paragraph">
                        <wp:posOffset>92075</wp:posOffset>
                      </wp:positionV>
                      <wp:extent cx="1866900" cy="0"/>
                      <wp:effectExtent l="0" t="76200" r="19050" b="114300"/>
                      <wp:wrapNone/>
                      <wp:docPr id="8556575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198B316" id="_x0000_t32" coordsize="21600,21600" o:spt="32" o:oned="t" path="m,l21600,21600e" filled="f">
                      <v:path arrowok="t" fillok="f" o:connecttype="none"/>
                      <o:lock v:ext="edit" shapetype="t"/>
                    </v:shapetype>
                    <v:shape id="Straight Arrow Connector 4" o:spid="_x0000_s1026" type="#_x0000_t32" style="position:absolute;margin-left:207.2pt;margin-top:7.25pt;width:14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">
                      <v:stroke endarrow="open"/>
                      <o:lock v:ext="edit" shapetype="f"/>
                    </v:shape>
                  </w:pict>
                </mc:Fallback>
              </mc:AlternateContent>
            </w:r>
            <w:r w:rsidRPr="004304ED">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3163FE3" wp14:editId="079DA01D">
                      <wp:simplePos x="0" y="0"/>
                      <wp:positionH relativeFrom="column">
                        <wp:posOffset>5715</wp:posOffset>
                      </wp:positionH>
                      <wp:positionV relativeFrom="paragraph">
                        <wp:posOffset>83185</wp:posOffset>
                      </wp:positionV>
                      <wp:extent cx="1933575" cy="0"/>
                      <wp:effectExtent l="38100" t="76200" r="0" b="114300"/>
                      <wp:wrapNone/>
                      <wp:docPr id="16377210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335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367EEFB" id="Straight Arrow Connector 3" o:spid="_x0000_s1026" type="#_x0000_t32" style="position:absolute;margin-left:.45pt;margin-top:6.55pt;width:152.2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">
                      <v:stroke endarrow="open"/>
                      <o:lock v:ext="edit" shapetype="f"/>
                    </v:shape>
                  </w:pict>
                </mc:Fallback>
              </mc:AlternateContent>
            </w:r>
            <w:r w:rsidRPr="004304ED">
              <w:rPr>
                <w:rFonts w:ascii="Times New Roman" w:hAnsi="Times New Roman" w:cs="Times New Roman"/>
              </w:rPr>
              <w:t xml:space="preserve">                                                         mg/kg </w:t>
            </w:r>
          </w:p>
        </w:tc>
      </w:tr>
      <w:tr w:rsidR="001736F9" w:rsidRPr="004304ED" w14:paraId="039F52ED" w14:textId="77777777" w:rsidTr="00476C0D">
        <w:tc>
          <w:tcPr>
            <w:tcW w:w="1668" w:type="dxa"/>
            <w:hideMark/>
          </w:tcPr>
          <w:p w14:paraId="1B8F44A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524" w:type="dxa"/>
            <w:hideMark/>
          </w:tcPr>
          <w:p w14:paraId="62488A4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7.0</w:t>
            </w:r>
          </w:p>
        </w:tc>
        <w:tc>
          <w:tcPr>
            <w:tcW w:w="1596" w:type="dxa"/>
            <w:hideMark/>
          </w:tcPr>
          <w:p w14:paraId="13EDFC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0.6</w:t>
            </w:r>
          </w:p>
        </w:tc>
        <w:tc>
          <w:tcPr>
            <w:tcW w:w="1596" w:type="dxa"/>
            <w:hideMark/>
          </w:tcPr>
          <w:p w14:paraId="2BF87B6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1.0</w:t>
            </w:r>
          </w:p>
        </w:tc>
        <w:tc>
          <w:tcPr>
            <w:tcW w:w="1596" w:type="dxa"/>
            <w:hideMark/>
          </w:tcPr>
          <w:p w14:paraId="76A391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w:t>
            </w:r>
          </w:p>
        </w:tc>
        <w:tc>
          <w:tcPr>
            <w:tcW w:w="1596" w:type="dxa"/>
            <w:hideMark/>
          </w:tcPr>
          <w:p w14:paraId="7C19C4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1.4</w:t>
            </w:r>
          </w:p>
        </w:tc>
      </w:tr>
      <w:tr w:rsidR="001736F9" w:rsidRPr="004304ED" w14:paraId="5D09846A" w14:textId="77777777" w:rsidTr="00476C0D">
        <w:tc>
          <w:tcPr>
            <w:tcW w:w="1668" w:type="dxa"/>
            <w:hideMark/>
          </w:tcPr>
          <w:p w14:paraId="123D03F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Auto mechanic  </w:t>
            </w:r>
          </w:p>
        </w:tc>
        <w:tc>
          <w:tcPr>
            <w:tcW w:w="1524" w:type="dxa"/>
            <w:hideMark/>
          </w:tcPr>
          <w:p w14:paraId="49CE31E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3918.0</w:t>
            </w:r>
          </w:p>
        </w:tc>
        <w:tc>
          <w:tcPr>
            <w:tcW w:w="1596" w:type="dxa"/>
            <w:hideMark/>
          </w:tcPr>
          <w:p w14:paraId="065E8CC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116.5</w:t>
            </w:r>
          </w:p>
        </w:tc>
        <w:tc>
          <w:tcPr>
            <w:tcW w:w="1596" w:type="dxa"/>
            <w:hideMark/>
          </w:tcPr>
          <w:p w14:paraId="744C21F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402.8</w:t>
            </w:r>
          </w:p>
        </w:tc>
        <w:tc>
          <w:tcPr>
            <w:tcW w:w="1596" w:type="dxa"/>
            <w:hideMark/>
          </w:tcPr>
          <w:p w14:paraId="27BFA88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226.1</w:t>
            </w:r>
          </w:p>
        </w:tc>
        <w:tc>
          <w:tcPr>
            <w:tcW w:w="1596" w:type="dxa"/>
            <w:hideMark/>
          </w:tcPr>
          <w:p w14:paraId="7EB0BB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152.7</w:t>
            </w:r>
          </w:p>
        </w:tc>
      </w:tr>
      <w:tr w:rsidR="001736F9" w:rsidRPr="004304ED" w14:paraId="5158765E" w14:textId="77777777" w:rsidTr="00476C0D">
        <w:tc>
          <w:tcPr>
            <w:tcW w:w="1668" w:type="dxa"/>
            <w:hideMark/>
          </w:tcPr>
          <w:p w14:paraId="5129B30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524" w:type="dxa"/>
            <w:hideMark/>
          </w:tcPr>
          <w:p w14:paraId="47C6935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1548.0</w:t>
            </w:r>
          </w:p>
        </w:tc>
        <w:tc>
          <w:tcPr>
            <w:tcW w:w="1596" w:type="dxa"/>
            <w:hideMark/>
          </w:tcPr>
          <w:p w14:paraId="280F9BD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90.1</w:t>
            </w:r>
          </w:p>
        </w:tc>
        <w:tc>
          <w:tcPr>
            <w:tcW w:w="1596" w:type="dxa"/>
            <w:hideMark/>
          </w:tcPr>
          <w:p w14:paraId="79D97C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511.0</w:t>
            </w:r>
          </w:p>
        </w:tc>
        <w:tc>
          <w:tcPr>
            <w:tcW w:w="1596" w:type="dxa"/>
            <w:hideMark/>
          </w:tcPr>
          <w:p w14:paraId="278F5FA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137.6</w:t>
            </w:r>
          </w:p>
        </w:tc>
        <w:tc>
          <w:tcPr>
            <w:tcW w:w="1596" w:type="dxa"/>
            <w:hideMark/>
          </w:tcPr>
          <w:p w14:paraId="4254FC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179.3</w:t>
            </w:r>
          </w:p>
        </w:tc>
      </w:tr>
      <w:tr w:rsidR="001736F9" w:rsidRPr="004304ED" w14:paraId="331F482E" w14:textId="77777777" w:rsidTr="00476C0D">
        <w:tc>
          <w:tcPr>
            <w:tcW w:w="1668" w:type="dxa"/>
            <w:hideMark/>
          </w:tcPr>
          <w:p w14:paraId="49C1D6D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Abattoir  </w:t>
            </w:r>
          </w:p>
        </w:tc>
        <w:tc>
          <w:tcPr>
            <w:tcW w:w="1524" w:type="dxa"/>
            <w:hideMark/>
          </w:tcPr>
          <w:p w14:paraId="2C5B655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54.0</w:t>
            </w:r>
          </w:p>
        </w:tc>
        <w:tc>
          <w:tcPr>
            <w:tcW w:w="1596" w:type="dxa"/>
            <w:hideMark/>
          </w:tcPr>
          <w:p w14:paraId="494AE0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20.7</w:t>
            </w:r>
          </w:p>
        </w:tc>
        <w:tc>
          <w:tcPr>
            <w:tcW w:w="1596" w:type="dxa"/>
            <w:hideMark/>
          </w:tcPr>
          <w:p w14:paraId="5897E17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81.5</w:t>
            </w:r>
          </w:p>
        </w:tc>
        <w:tc>
          <w:tcPr>
            <w:tcW w:w="1596" w:type="dxa"/>
            <w:hideMark/>
          </w:tcPr>
          <w:p w14:paraId="55B18AC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99.2</w:t>
            </w:r>
          </w:p>
        </w:tc>
        <w:tc>
          <w:tcPr>
            <w:tcW w:w="1596" w:type="dxa"/>
            <w:hideMark/>
          </w:tcPr>
          <w:p w14:paraId="17264B3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81.0</w:t>
            </w:r>
          </w:p>
        </w:tc>
      </w:tr>
      <w:tr w:rsidR="001736F9" w:rsidRPr="004304ED" w14:paraId="6E7CAE45" w14:textId="77777777" w:rsidTr="00476C0D">
        <w:tc>
          <w:tcPr>
            <w:tcW w:w="1668" w:type="dxa"/>
            <w:hideMark/>
          </w:tcPr>
          <w:p w14:paraId="5220DB1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LSD (0.05) </w:t>
            </w:r>
          </w:p>
        </w:tc>
        <w:tc>
          <w:tcPr>
            <w:tcW w:w="1524" w:type="dxa"/>
            <w:hideMark/>
          </w:tcPr>
          <w:p w14:paraId="5181B4A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400.0</w:t>
            </w:r>
          </w:p>
        </w:tc>
        <w:tc>
          <w:tcPr>
            <w:tcW w:w="1596" w:type="dxa"/>
            <w:hideMark/>
          </w:tcPr>
          <w:p w14:paraId="77FD614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12.3</w:t>
            </w:r>
          </w:p>
        </w:tc>
        <w:tc>
          <w:tcPr>
            <w:tcW w:w="1596" w:type="dxa"/>
            <w:hideMark/>
          </w:tcPr>
          <w:p w14:paraId="4E8AF5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33.6</w:t>
            </w:r>
          </w:p>
        </w:tc>
        <w:tc>
          <w:tcPr>
            <w:tcW w:w="1596" w:type="dxa"/>
            <w:hideMark/>
          </w:tcPr>
          <w:p w14:paraId="43F28B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38.9</w:t>
            </w:r>
          </w:p>
        </w:tc>
        <w:tc>
          <w:tcPr>
            <w:tcW w:w="1596" w:type="dxa"/>
            <w:hideMark/>
          </w:tcPr>
          <w:p w14:paraId="4ADBD4B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31.9</w:t>
            </w:r>
          </w:p>
        </w:tc>
      </w:tr>
    </w:tbl>
    <w:p w14:paraId="403690F1" w14:textId="77777777" w:rsidR="001736F9" w:rsidRPr="004304ED" w:rsidRDefault="001736F9" w:rsidP="001736F9">
      <w:pPr>
        <w:jc w:val="center"/>
        <w:rPr>
          <w:rFonts w:ascii="Times New Roman" w:hAnsi="Times New Roman" w:cs="Times New Roman"/>
        </w:rPr>
      </w:pPr>
      <w:r w:rsidRPr="004304ED">
        <w:rPr>
          <w:rFonts w:ascii="Times New Roman" w:hAnsi="Times New Roman" w:cs="Times New Roman"/>
          <w:b/>
          <w:bCs/>
        </w:rPr>
        <w:t xml:space="preserve">Key: </w:t>
      </w:r>
      <w:r w:rsidRPr="004304ED">
        <w:rPr>
          <w:rFonts w:ascii="Times New Roman" w:hAnsi="Times New Roman" w:cs="Times New Roman"/>
        </w:rPr>
        <w:t>LSD = Least significance difference</w:t>
      </w:r>
    </w:p>
    <w:p w14:paraId="083A45B6" w14:textId="77777777" w:rsidR="001736F9" w:rsidRPr="004304ED" w:rsidRDefault="001736F9" w:rsidP="00CB4E01">
      <w:pPr>
        <w:spacing w:after="0" w:line="360" w:lineRule="auto"/>
        <w:ind w:firstLine="720"/>
        <w:rPr>
          <w:rFonts w:ascii="Times New Roman" w:hAnsi="Times New Roman" w:cs="Times New Roman"/>
        </w:rPr>
      </w:pPr>
    </w:p>
    <w:p w14:paraId="5B048911" w14:textId="2B8DCD8E" w:rsidR="00CB4E01" w:rsidRPr="00BC510B"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 xml:space="preserve">The mean values obtained were 7.0, 3918.0, 1548.0, and 54.0 mg/kg for Control (C),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 Paints (P), and Abattoir (AB) soils, respectively, with the LSD (0.05) value of 400.0. The table revealed that the values for C and AB were not significantly different from each other and were the lowest, followed by P, with A showing the highest Pb concentration. The sequence for Pb levels was C &lt; AB &lt; P &lt; A. The 7.0 mg/kg recorded for C is likely a natural background level, probably from natural sources. The Pb level in A soil (3918.0 mg/kg) is extremely high compared to the maximum limit of 300 mg/kg set by FAO (2004) for soils in </w:t>
      </w:r>
      <w:r w:rsidRPr="004304ED">
        <w:rPr>
          <w:rFonts w:ascii="Times New Roman" w:hAnsi="Times New Roman" w:cs="Times New Roman"/>
        </w:rPr>
        <w:lastRenderedPageBreak/>
        <w:t xml:space="preserve">residential zones. Past </w:t>
      </w:r>
      <w:r w:rsidRPr="00BC510B">
        <w:rPr>
          <w:rFonts w:ascii="Times New Roman" w:hAnsi="Times New Roman" w:cs="Times New Roman"/>
        </w:rPr>
        <w:t>studies, such as Abegunde et al. (2018), reported an alarmingly high Pb level of 44,433.33 mg/kg in dumpsite soils, while Ebong et al. (2020) recorded 0.55 and 0.75 mg/kg for Pb in the abattoir waste dumpsite in Akwa Ibom</w:t>
      </w:r>
      <w:r w:rsidR="0041660C" w:rsidRPr="00BC510B">
        <w:rPr>
          <w:rFonts w:ascii="Times New Roman" w:hAnsi="Times New Roman" w:cs="Times New Roman"/>
        </w:rPr>
        <w:t xml:space="preserve"> State</w:t>
      </w:r>
      <w:r w:rsidRPr="00BC510B">
        <w:rPr>
          <w:rFonts w:ascii="Times New Roman" w:hAnsi="Times New Roman" w:cs="Times New Roman"/>
        </w:rPr>
        <w:t xml:space="preserve">. The results here are higher than those from previous studies like Okoro et al. (2013); Osu and Okereke (2015); </w:t>
      </w:r>
      <w:proofErr w:type="spellStart"/>
      <w:r w:rsidRPr="00BC510B">
        <w:rPr>
          <w:rFonts w:ascii="Times New Roman" w:hAnsi="Times New Roman" w:cs="Times New Roman"/>
        </w:rPr>
        <w:t>Johnbosco</w:t>
      </w:r>
      <w:proofErr w:type="spellEnd"/>
      <w:r w:rsidRPr="004304ED">
        <w:rPr>
          <w:rFonts w:ascii="Times New Roman" w:hAnsi="Times New Roman" w:cs="Times New Roman"/>
        </w:rPr>
        <w:t xml:space="preserve"> et al. (2020), as those researchers collected soil samples around the dumpsites, not directly underneath the waste piles, which are more impacted </w:t>
      </w:r>
      <w:r w:rsidRPr="00BC510B">
        <w:rPr>
          <w:rFonts w:ascii="Times New Roman" w:hAnsi="Times New Roman" w:cs="Times New Roman"/>
        </w:rPr>
        <w:t xml:space="preserve">by the wastes, as done in this study. Collecting soil samples away from the actual dumping sites may yield results that do not accurately reflect the true impact of the wastes. </w:t>
      </w:r>
    </w:p>
    <w:p w14:paraId="488899DF" w14:textId="4C8D4306" w:rsidR="00CB4E01" w:rsidRPr="00BC510B"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 xml:space="preserve">Mean values of Cd (Table 4) were 0.6, 116.5, 90.1, and 20.7 mg/kg for C, A, P, and AB soils, respectively, with an LSD (0.05) value of 21.3. Concentrations of Cd in all soils studied were significantly different from each other (C &lt; AB &lt; P &lt; A). Abegunde et al. (2018) recorded a Cd value of 3.00 mg/kg from dumpsite soils. The nature of the wastes dumped there was not specified (probably a general waste dumpsite). </w:t>
      </w:r>
      <w:proofErr w:type="spellStart"/>
      <w:r w:rsidRPr="00BC510B">
        <w:rPr>
          <w:rFonts w:ascii="Times New Roman" w:hAnsi="Times New Roman" w:cs="Times New Roman"/>
        </w:rPr>
        <w:t>Száková</w:t>
      </w:r>
      <w:proofErr w:type="spellEnd"/>
      <w:r w:rsidRPr="00BC510B">
        <w:rPr>
          <w:rFonts w:ascii="Times New Roman" w:hAnsi="Times New Roman" w:cs="Times New Roman"/>
        </w:rPr>
        <w:t xml:space="preserve"> et al. (2000) reported a mean Cd level of 80.2 mg/kg. The lowest Cd value, 0.64 mg/kg, was found in the control soil, likely indicating a natural background level from natural sources. This level does not appear to pose an environmental threat, as it is below the 5 mg/kg limit for residential zones set by FAO (2004). High Cd levels within the </w:t>
      </w:r>
      <w:proofErr w:type="spellStart"/>
      <w:r w:rsidRPr="00BC510B">
        <w:rPr>
          <w:rFonts w:ascii="Times New Roman" w:hAnsi="Times New Roman" w:cs="Times New Roman"/>
        </w:rPr>
        <w:t>automechanic</w:t>
      </w:r>
      <w:proofErr w:type="spellEnd"/>
      <w:r w:rsidRPr="00BC510B">
        <w:rPr>
          <w:rFonts w:ascii="Times New Roman" w:hAnsi="Times New Roman" w:cs="Times New Roman"/>
        </w:rPr>
        <w:t xml:space="preserve"> waste sites are likely due to battery wastes (nickel-cadmium batteries), brake pads, and used oils/fluids. In the paint processing dumpsites, Cd originated from paint pigments and coatings, such as cadmium sulfide and cadmium selenide. In the AB soils, elevated Cd levels</w:t>
      </w:r>
      <w:r w:rsidR="00773A00" w:rsidRPr="00BC510B">
        <w:rPr>
          <w:rFonts w:ascii="Times New Roman" w:hAnsi="Times New Roman" w:cs="Times New Roman"/>
        </w:rPr>
        <w:t xml:space="preserve"> may</w:t>
      </w:r>
      <w:r w:rsidRPr="00BC510B">
        <w:rPr>
          <w:rFonts w:ascii="Times New Roman" w:hAnsi="Times New Roman" w:cs="Times New Roman"/>
        </w:rPr>
        <w:t xml:space="preserve"> result</w:t>
      </w:r>
      <w:r w:rsidR="00773A00" w:rsidRPr="00BC510B">
        <w:rPr>
          <w:rFonts w:ascii="Times New Roman" w:hAnsi="Times New Roman" w:cs="Times New Roman"/>
        </w:rPr>
        <w:t xml:space="preserve"> from veterinary medical materials</w:t>
      </w:r>
      <w:r w:rsidRPr="00BC510B">
        <w:rPr>
          <w:rFonts w:ascii="Times New Roman" w:hAnsi="Times New Roman" w:cs="Times New Roman"/>
        </w:rPr>
        <w:t>. Comparative</w:t>
      </w:r>
      <w:r w:rsidRPr="004304ED">
        <w:rPr>
          <w:rFonts w:ascii="Times New Roman" w:hAnsi="Times New Roman" w:cs="Times New Roman"/>
        </w:rPr>
        <w:t xml:space="preserve"> analysis shows Cd </w:t>
      </w:r>
      <w:r w:rsidRPr="00BC510B">
        <w:rPr>
          <w:rFonts w:ascii="Times New Roman" w:hAnsi="Times New Roman" w:cs="Times New Roman"/>
        </w:rPr>
        <w:t xml:space="preserve">levels in A </w:t>
      </w:r>
      <w:proofErr w:type="gramStart"/>
      <w:r w:rsidRPr="00BC510B">
        <w:rPr>
          <w:rFonts w:ascii="Times New Roman" w:hAnsi="Times New Roman" w:cs="Times New Roman"/>
        </w:rPr>
        <w:t>soils</w:t>
      </w:r>
      <w:proofErr w:type="gramEnd"/>
      <w:r w:rsidRPr="00BC510B">
        <w:rPr>
          <w:rFonts w:ascii="Times New Roman" w:hAnsi="Times New Roman" w:cs="Times New Roman"/>
        </w:rPr>
        <w:t xml:space="preserve"> exceed those in P, AB, and C soils by 1.3, 5.5, and 194.0 times, respectively. </w:t>
      </w:r>
    </w:p>
    <w:p w14:paraId="5EE9515D" w14:textId="77777777" w:rsidR="00CB4E01" w:rsidRPr="00BC510B"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 xml:space="preserve">Cr values were 1.0, 402.8, 511.0, and 81.5 mg/kg for C, A, P, and AB soils, respectively, with an LSD (0.05) value of 33.6. The 1.0 mg/kg in C soil was assumed to be from natural sources. The 402.8 mg/kg in A soil likely originated from chrome-plated vehicle parts and waste oils/fluids. The 511.0 mg/kg in P soil resulted from dumping chrome-based paint wastes, such as pigments. Only soils from A and P were contaminated beyond the permissible limit of 300 mg/kg for residential zones set by FAO (2004). </w:t>
      </w:r>
    </w:p>
    <w:p w14:paraId="6EBA2A44" w14:textId="3302C181" w:rsidR="00CB4E01" w:rsidRPr="004304ED"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Mean Ni levels were 4.0, 226.1, 137.6, and 99.2 mg/kg for C, A, P, and AB soils, respectively, with an LSD (0.05) value of 38.9, following the sequence C &lt; AB &lt; P &lt; A. Past studies reported Ni values of 3.75 mg/kg (</w:t>
      </w:r>
      <w:proofErr w:type="spellStart"/>
      <w:r w:rsidRPr="00BC510B">
        <w:rPr>
          <w:rFonts w:ascii="Times New Roman" w:hAnsi="Times New Roman" w:cs="Times New Roman"/>
        </w:rPr>
        <w:t>Ojegu</w:t>
      </w:r>
      <w:proofErr w:type="spellEnd"/>
      <w:r w:rsidRPr="00BC510B">
        <w:rPr>
          <w:rFonts w:ascii="Times New Roman" w:hAnsi="Times New Roman" w:cs="Times New Roman"/>
        </w:rPr>
        <w:t>, 2016) and 0.14 mg/kg (</w:t>
      </w:r>
      <w:proofErr w:type="spellStart"/>
      <w:r w:rsidRPr="00BC510B">
        <w:rPr>
          <w:rFonts w:ascii="Times New Roman" w:hAnsi="Times New Roman" w:cs="Times New Roman"/>
        </w:rPr>
        <w:t>Orodu</w:t>
      </w:r>
      <w:proofErr w:type="spellEnd"/>
      <w:r w:rsidRPr="00BC510B">
        <w:rPr>
          <w:rFonts w:ascii="Times New Roman" w:hAnsi="Times New Roman" w:cs="Times New Roman"/>
        </w:rPr>
        <w:t xml:space="preserve"> and </w:t>
      </w:r>
      <w:proofErr w:type="spellStart"/>
      <w:r w:rsidRPr="00BC510B">
        <w:rPr>
          <w:rFonts w:ascii="Times New Roman" w:hAnsi="Times New Roman" w:cs="Times New Roman"/>
        </w:rPr>
        <w:t>Leizou</w:t>
      </w:r>
      <w:proofErr w:type="spellEnd"/>
      <w:r w:rsidRPr="00BC510B">
        <w:rPr>
          <w:rFonts w:ascii="Times New Roman" w:hAnsi="Times New Roman" w:cs="Times New Roman"/>
        </w:rPr>
        <w:t xml:space="preserve">, </w:t>
      </w:r>
      <w:r w:rsidRPr="00BC510B">
        <w:rPr>
          <w:rFonts w:ascii="Times New Roman" w:hAnsi="Times New Roman" w:cs="Times New Roman"/>
        </w:rPr>
        <w:lastRenderedPageBreak/>
        <w:t>2017). The 4.0 mg/kg Ni found in C soils represents background levels from natural sources. In A soil, Ni (</w:t>
      </w:r>
      <w:r w:rsidR="007A5864" w:rsidRPr="00BC510B">
        <w:rPr>
          <w:rFonts w:ascii="Times New Roman" w:hAnsi="Times New Roman" w:cs="Times New Roman"/>
        </w:rPr>
        <w:t xml:space="preserve">probably </w:t>
      </w:r>
      <w:r w:rsidRPr="00BC510B">
        <w:rPr>
          <w:rFonts w:ascii="Times New Roman" w:hAnsi="Times New Roman" w:cs="Times New Roman"/>
        </w:rPr>
        <w:t>from stainless steel, waste oils, and alloyed vehicle parts) was higher than 150 mg/kg, the limit set</w:t>
      </w:r>
      <w:r w:rsidRPr="004304ED">
        <w:rPr>
          <w:rFonts w:ascii="Times New Roman" w:hAnsi="Times New Roman" w:cs="Times New Roman"/>
        </w:rPr>
        <w:t xml:space="preserve"> by FAO (2004) for residential zones. The Ni levels of 137.6 and 99.2 mg/kg in P and AB soils, respectively, were below this limit. </w:t>
      </w:r>
    </w:p>
    <w:p w14:paraId="57FA5B79" w14:textId="26477582" w:rsidR="00CB4E01"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 xml:space="preserve">Vanadium (V) </w:t>
      </w:r>
      <w:r w:rsidR="007A5864" w:rsidRPr="004304ED">
        <w:rPr>
          <w:rFonts w:ascii="Times New Roman" w:hAnsi="Times New Roman" w:cs="Times New Roman"/>
        </w:rPr>
        <w:t>concentrations were</w:t>
      </w:r>
      <w:r w:rsidRPr="004304ED">
        <w:rPr>
          <w:rFonts w:ascii="Times New Roman" w:hAnsi="Times New Roman" w:cs="Times New Roman"/>
        </w:rPr>
        <w:t xml:space="preserve"> 1.4, 152.7, 179.3, and 81.0 mg/kg for C, A, P, and AB soils, respectively, with an LSD value of 31.0. The Vanadium concentration in C soil was significantly different from the others; however, levels in A and P soils did not differ significantly. The sequence followed was C &lt; AB &lt; A &lt; P. All Vanadium values were below the critical threshold of 300 mg/kg for residential zones set by FAO (2004). </w:t>
      </w:r>
    </w:p>
    <w:p w14:paraId="7B77D412" w14:textId="7929E9C6" w:rsidR="00CB4E01"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Analyzing the trend of heavy metal concentrations (mg/kg) across soil depths (cm), Pb showed no significant difference across the depths. Pb concentrations at 0-20, 20-40, and 40-60 cm depths were 1534, 1419.0, and 1192.0 mg/kg, respectively, with an LSD of 409.0. The contaminant appears to have permeated the profile, raising concerns about groundwater contamination. Vanadium showed a similar pattern to Pb, but Cadmium and Nickel levels varied significantly across the depths. Chromium levels did not significantly differ between 0-20 and 20-40 cm depths, but at 40-60 cm depth, it was significantly higher than at the other depths. </w:t>
      </w:r>
    </w:p>
    <w:p w14:paraId="1567674D" w14:textId="77777777" w:rsidR="00190433" w:rsidRPr="004304ED" w:rsidRDefault="00190433" w:rsidP="00190433">
      <w:pPr>
        <w:spacing w:after="0" w:line="360" w:lineRule="auto"/>
        <w:rPr>
          <w:rFonts w:ascii="Times New Roman" w:hAnsi="Times New Roman" w:cs="Times New Roman"/>
          <w:b/>
          <w:bCs/>
        </w:rPr>
      </w:pPr>
    </w:p>
    <w:p w14:paraId="6DAE634C" w14:textId="7DAA9D74"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concentrations in waste materials and dumpsite soils</w:t>
      </w:r>
    </w:p>
    <w:p w14:paraId="562454E4"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Figures 2–6 illustrate the concentrations of Pb, Cd, Cr, Ni, and V in waste materials and corresponding dumpsite soils associated with abattoir (AB), paint processing (P), and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 activities. In general, all figures demonstrate that metal concentrations are consistently higher in waste materials than in the underlying soils, indicating that the wastes represent the primary contamination sources, while the soils act as secondary sinks through leaching, adsorption, and downward migration processes.</w:t>
      </w:r>
    </w:p>
    <w:p w14:paraId="4AD99973"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Lead (Pb) concentrations (Figure 2) show pronounced enrichment in wastes from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dumpsites, reflecting the extensive use of lead-containing components such as batteries, lubricants, metal scraps, pigments, and additives. Elevated Pb levels in the associated soils, particularly at the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abattoir sites, suggest substantial transfer from wastes into the soil matrix, likely facilitated by acidic leachates and strong Pb affinity for organic matter and fine-grained soil fractions. The persistence of Pb in soils </w:t>
      </w:r>
      <w:r w:rsidRPr="004304ED">
        <w:rPr>
          <w:rFonts w:ascii="Times New Roman" w:hAnsi="Times New Roman" w:cs="Times New Roman"/>
        </w:rPr>
        <w:lastRenderedPageBreak/>
        <w:t>highlights its low mobility once immobilized, posing long-term ecological and human health risks.</w:t>
      </w:r>
    </w:p>
    <w:p w14:paraId="004E6BD6"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68EE5550" wp14:editId="52D7E87A">
            <wp:extent cx="3448050" cy="2057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8B951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2</w:t>
      </w:r>
      <w:r w:rsidRPr="004E4235">
        <w:rPr>
          <w:rFonts w:ascii="Times New Roman" w:hAnsi="Times New Roman" w:cs="Times New Roman"/>
          <w:bCs/>
          <w:sz w:val="22"/>
          <w:szCs w:val="22"/>
        </w:rPr>
        <w:t>: Concentrations of lead in waste materials and dumpsite soils</w:t>
      </w:r>
    </w:p>
    <w:p w14:paraId="14E3242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Keys: AB = abattoir wastes dumpsite, P =paint processing wastes dumpsite, 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w:t>
      </w:r>
    </w:p>
    <w:p w14:paraId="358EC456" w14:textId="77777777" w:rsidR="001736F9" w:rsidRPr="004304ED" w:rsidRDefault="001736F9" w:rsidP="00190433">
      <w:pPr>
        <w:spacing w:after="0" w:line="360" w:lineRule="auto"/>
        <w:ind w:firstLine="720"/>
        <w:rPr>
          <w:rFonts w:ascii="Times New Roman" w:hAnsi="Times New Roman" w:cs="Times New Roman"/>
        </w:rPr>
      </w:pPr>
    </w:p>
    <w:p w14:paraId="18E0BCD4" w14:textId="71C2D955"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Cadmium (Cd) concentrations (Figure 3) exhibit marked variability among dumpsite types, with notably high levels in paint processing </w:t>
      </w:r>
      <w:r w:rsidR="007628AB" w:rsidRPr="004304ED">
        <w:rPr>
          <w:rFonts w:ascii="Times New Roman" w:hAnsi="Times New Roman" w:cs="Times New Roman"/>
        </w:rPr>
        <w:t xml:space="preserve">and </w:t>
      </w:r>
      <w:proofErr w:type="spellStart"/>
      <w:r w:rsidR="007628AB" w:rsidRPr="004304ED">
        <w:rPr>
          <w:rFonts w:ascii="Times New Roman" w:hAnsi="Times New Roman" w:cs="Times New Roman"/>
        </w:rPr>
        <w:t>automechanic</w:t>
      </w:r>
      <w:proofErr w:type="spellEnd"/>
      <w:r w:rsidR="007628AB" w:rsidRPr="004304ED">
        <w:rPr>
          <w:rFonts w:ascii="Times New Roman" w:hAnsi="Times New Roman" w:cs="Times New Roman"/>
        </w:rPr>
        <w:t xml:space="preserve"> </w:t>
      </w:r>
      <w:r w:rsidRPr="004304ED">
        <w:rPr>
          <w:rFonts w:ascii="Times New Roman" w:hAnsi="Times New Roman" w:cs="Times New Roman"/>
        </w:rPr>
        <w:t>wastes. This patte</w:t>
      </w:r>
      <w:r w:rsidR="007628AB" w:rsidRPr="004304ED">
        <w:rPr>
          <w:rFonts w:ascii="Times New Roman" w:hAnsi="Times New Roman" w:cs="Times New Roman"/>
        </w:rPr>
        <w:t xml:space="preserve">rn is </w:t>
      </w:r>
      <w:r w:rsidR="007628AB" w:rsidRPr="00BC510B">
        <w:rPr>
          <w:rFonts w:ascii="Times New Roman" w:hAnsi="Times New Roman" w:cs="Times New Roman"/>
        </w:rPr>
        <w:t xml:space="preserve">consistent with the high levels of Cd in </w:t>
      </w:r>
      <w:proofErr w:type="spellStart"/>
      <w:r w:rsidR="005F237F" w:rsidRPr="00BC510B">
        <w:rPr>
          <w:rFonts w:ascii="Times New Roman" w:hAnsi="Times New Roman" w:cs="Times New Roman"/>
        </w:rPr>
        <w:t>automechanic</w:t>
      </w:r>
      <w:proofErr w:type="spellEnd"/>
      <w:r w:rsidR="005F237F" w:rsidRPr="00BC510B">
        <w:rPr>
          <w:rFonts w:ascii="Times New Roman" w:hAnsi="Times New Roman" w:cs="Times New Roman"/>
        </w:rPr>
        <w:t xml:space="preserve"> waste materials and</w:t>
      </w:r>
      <w:r w:rsidRPr="00BC510B">
        <w:rPr>
          <w:rFonts w:ascii="Times New Roman" w:hAnsi="Times New Roman" w:cs="Times New Roman"/>
        </w:rPr>
        <w:t xml:space="preserve"> Cd</w:t>
      </w:r>
      <w:r w:rsidRPr="004304ED">
        <w:rPr>
          <w:rFonts w:ascii="Times New Roman" w:hAnsi="Times New Roman" w:cs="Times New Roman"/>
        </w:rPr>
        <w:t>-based pigments, stabilizers, and additives in paint formulations. Although Cd concentrations decrease in soils relative to wastes, detectable levels across all dumpsite soils indicate their high mobility and weak sorption capacity, which enables redistribution within the soil profile. This behavior underscores Cd’s potential to migrate beyond surface horizons under favorable geochemical conditions.</w:t>
      </w:r>
    </w:p>
    <w:p w14:paraId="1D86B853"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1F726EFC" wp14:editId="041878DE">
            <wp:extent cx="3454400" cy="22352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5A18B3" w14:textId="77777777" w:rsidR="001736F9" w:rsidRPr="004E4235" w:rsidRDefault="001736F9" w:rsidP="001736F9">
      <w:pPr>
        <w:spacing w:after="0" w:line="240" w:lineRule="auto"/>
        <w:contextualSpacing/>
        <w:rPr>
          <w:rFonts w:ascii="Times New Roman" w:hAnsi="Times New Roman" w:cs="Times New Roman"/>
          <w:bCs/>
          <w:sz w:val="22"/>
          <w:szCs w:val="22"/>
        </w:rPr>
      </w:pPr>
      <w:r w:rsidRPr="004E4235">
        <w:rPr>
          <w:rFonts w:ascii="Times New Roman" w:hAnsi="Times New Roman" w:cs="Times New Roman"/>
          <w:b/>
          <w:sz w:val="22"/>
          <w:szCs w:val="22"/>
        </w:rPr>
        <w:lastRenderedPageBreak/>
        <w:t>Figure 3:</w:t>
      </w:r>
      <w:r w:rsidRPr="004E4235">
        <w:rPr>
          <w:rFonts w:ascii="Times New Roman" w:hAnsi="Times New Roman" w:cs="Times New Roman"/>
          <w:bCs/>
          <w:sz w:val="22"/>
          <w:szCs w:val="22"/>
        </w:rPr>
        <w:t xml:space="preserve"> Concentrations of cadmium in waste materials and dumpsite soils</w:t>
      </w:r>
      <w:r w:rsidRPr="004E4235">
        <w:rPr>
          <w:rFonts w:ascii="Times New Roman" w:hAnsi="Times New Roman" w:cs="Times New Roman"/>
          <w:bCs/>
          <w:sz w:val="22"/>
          <w:szCs w:val="22"/>
        </w:rPr>
        <w:br/>
        <w:t>Keys: AB = abattoir wastes dumpsite, P =paint processing wastes dumpsite, 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w:t>
      </w:r>
    </w:p>
    <w:p w14:paraId="2A1EAA42" w14:textId="77777777" w:rsidR="001736F9" w:rsidRPr="004304ED" w:rsidRDefault="001736F9" w:rsidP="00190433">
      <w:pPr>
        <w:spacing w:after="0" w:line="360" w:lineRule="auto"/>
        <w:ind w:firstLine="720"/>
        <w:rPr>
          <w:rFonts w:ascii="Times New Roman" w:hAnsi="Times New Roman" w:cs="Times New Roman"/>
        </w:rPr>
      </w:pPr>
    </w:p>
    <w:p w14:paraId="00B8C1A6" w14:textId="7DF4A0DD"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Chromium (Cr) </w:t>
      </w:r>
      <w:r w:rsidRPr="00BC510B">
        <w:rPr>
          <w:rFonts w:ascii="Times New Roman" w:hAnsi="Times New Roman" w:cs="Times New Roman"/>
        </w:rPr>
        <w:t xml:space="preserve">concentrations (Figure 4) </w:t>
      </w:r>
      <w:r w:rsidR="00BD2812" w:rsidRPr="00BC510B">
        <w:rPr>
          <w:rFonts w:ascii="Times New Roman" w:hAnsi="Times New Roman" w:cs="Times New Roman"/>
        </w:rPr>
        <w:t>peaked in</w:t>
      </w:r>
      <w:r w:rsidRPr="00BC510B">
        <w:rPr>
          <w:rFonts w:ascii="Times New Roman" w:hAnsi="Times New Roman" w:cs="Times New Roman"/>
        </w:rPr>
        <w:t xml:space="preserve"> paint</w:t>
      </w:r>
      <w:r w:rsidR="00BD2812" w:rsidRPr="00BC510B">
        <w:rPr>
          <w:rFonts w:ascii="Times New Roman" w:hAnsi="Times New Roman" w:cs="Times New Roman"/>
        </w:rPr>
        <w:t xml:space="preserve"> processing wastes;</w:t>
      </w:r>
      <w:r w:rsidRPr="00BC510B">
        <w:rPr>
          <w:rFonts w:ascii="Times New Roman" w:hAnsi="Times New Roman" w:cs="Times New Roman"/>
        </w:rPr>
        <w:t xml:space="preserve"> likely </w:t>
      </w:r>
      <w:r w:rsidR="00B2521D" w:rsidRPr="00BC510B">
        <w:rPr>
          <w:rFonts w:ascii="Times New Roman" w:hAnsi="Times New Roman" w:cs="Times New Roman"/>
        </w:rPr>
        <w:t>this could originate</w:t>
      </w:r>
      <w:r w:rsidRPr="00BC510B">
        <w:rPr>
          <w:rFonts w:ascii="Times New Roman" w:hAnsi="Times New Roman" w:cs="Times New Roman"/>
        </w:rPr>
        <w:t xml:space="preserve"> from metal alloys, corrosion inhibitors, pigments, and industrial residues</w:t>
      </w:r>
      <w:r w:rsidR="00F83260" w:rsidRPr="00BC510B">
        <w:rPr>
          <w:rFonts w:ascii="Times New Roman" w:hAnsi="Times New Roman" w:cs="Times New Roman"/>
        </w:rPr>
        <w:t xml:space="preserve"> (</w:t>
      </w:r>
      <w:proofErr w:type="spellStart"/>
      <w:r w:rsidR="00F83260" w:rsidRPr="00BC510B">
        <w:rPr>
          <w:rFonts w:ascii="Times New Roman" w:hAnsi="Times New Roman" w:cs="Times New Roman"/>
        </w:rPr>
        <w:t>Wuana</w:t>
      </w:r>
      <w:proofErr w:type="spellEnd"/>
      <w:r w:rsidR="00F83260" w:rsidRPr="00BC510B">
        <w:rPr>
          <w:rFonts w:ascii="Times New Roman" w:hAnsi="Times New Roman" w:cs="Times New Roman"/>
        </w:rPr>
        <w:t xml:space="preserve"> and </w:t>
      </w:r>
      <w:proofErr w:type="spellStart"/>
      <w:r w:rsidR="00F83260" w:rsidRPr="00BC510B">
        <w:rPr>
          <w:rFonts w:ascii="Times New Roman" w:hAnsi="Times New Roman" w:cs="Times New Roman"/>
        </w:rPr>
        <w:t>Okieimen</w:t>
      </w:r>
      <w:proofErr w:type="spellEnd"/>
      <w:r w:rsidR="00F83260" w:rsidRPr="00BC510B">
        <w:rPr>
          <w:rFonts w:ascii="Times New Roman" w:hAnsi="Times New Roman" w:cs="Times New Roman"/>
        </w:rPr>
        <w:t xml:space="preserve">, 2011; Igwe and Nwachukwu, 2016; </w:t>
      </w:r>
      <w:proofErr w:type="spellStart"/>
      <w:r w:rsidR="0027646A" w:rsidRPr="00BC510B">
        <w:rPr>
          <w:rFonts w:ascii="Times New Roman" w:hAnsi="Times New Roman" w:cs="Times New Roman"/>
        </w:rPr>
        <w:t>Kaparwan</w:t>
      </w:r>
      <w:proofErr w:type="spellEnd"/>
      <w:r w:rsidR="0027646A" w:rsidRPr="00BC510B">
        <w:rPr>
          <w:rFonts w:ascii="Times New Roman" w:hAnsi="Times New Roman" w:cs="Times New Roman"/>
        </w:rPr>
        <w:t xml:space="preserve"> et al. 2020)</w:t>
      </w:r>
      <w:r w:rsidRPr="00BC510B">
        <w:rPr>
          <w:rFonts w:ascii="Times New Roman" w:hAnsi="Times New Roman" w:cs="Times New Roman"/>
        </w:rPr>
        <w:t>. The</w:t>
      </w:r>
      <w:r w:rsidRPr="004304ED">
        <w:rPr>
          <w:rFonts w:ascii="Times New Roman" w:hAnsi="Times New Roman" w:cs="Times New Roman"/>
        </w:rPr>
        <w:t xml:space="preserve"> observed attenuation from waste to soil indicates some degree of geochemical stabilization; however, the presence of Cr in soils still reflects sustained anthropogenic input.</w:t>
      </w:r>
    </w:p>
    <w:p w14:paraId="75D89074"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4F3CC068" wp14:editId="68AE3D54">
            <wp:extent cx="3441700" cy="2139950"/>
            <wp:effectExtent l="0" t="0" r="63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2AA65C"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4:</w:t>
      </w:r>
      <w:r w:rsidRPr="004E4235">
        <w:rPr>
          <w:rFonts w:ascii="Times New Roman" w:hAnsi="Times New Roman" w:cs="Times New Roman"/>
          <w:bCs/>
          <w:sz w:val="22"/>
          <w:szCs w:val="22"/>
        </w:rPr>
        <w:t xml:space="preserve"> Concentrations of chromium in waste materials and dumpsite soils</w:t>
      </w:r>
      <w:r w:rsidRPr="004E4235">
        <w:rPr>
          <w:rFonts w:ascii="Times New Roman" w:hAnsi="Times New Roman" w:cs="Times New Roman"/>
          <w:bCs/>
          <w:sz w:val="22"/>
          <w:szCs w:val="22"/>
        </w:rPr>
        <w:br/>
        <w:t>Keys: AB = abattoir wastes dumpsite, P =paint processing wastes dumpsite, 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w:t>
      </w:r>
    </w:p>
    <w:p w14:paraId="3F916C68" w14:textId="77777777" w:rsidR="001736F9" w:rsidRPr="004304ED" w:rsidRDefault="001736F9" w:rsidP="00190433">
      <w:pPr>
        <w:spacing w:after="0" w:line="360" w:lineRule="auto"/>
        <w:ind w:firstLine="720"/>
        <w:rPr>
          <w:rFonts w:ascii="Times New Roman" w:hAnsi="Times New Roman" w:cs="Times New Roman"/>
        </w:rPr>
      </w:pPr>
    </w:p>
    <w:p w14:paraId="4AE9AC5C"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Nickel (Ni) concentrations (Figure 5) display relatively high values across all dumpsite wastes, particularly at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sites, consistent with sources such as engine oils, fuel residues, metal scraps, and mechanical wear products. Elevated Ni levels in soils beneath these dumpsites suggest enhanced vertical transfer, reflecting Ni’s moderate mobility under near-neutral to slightly acidic conditions. This trend implies ongoing accumulation in soils with potential for deeper migration over time.</w:t>
      </w:r>
    </w:p>
    <w:p w14:paraId="1980D2AA"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71CB4ABA" wp14:editId="1EFEA334">
            <wp:extent cx="3568700" cy="25400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1E771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5:</w:t>
      </w:r>
      <w:r w:rsidRPr="004E4235">
        <w:rPr>
          <w:rFonts w:ascii="Times New Roman" w:hAnsi="Times New Roman" w:cs="Times New Roman"/>
          <w:bCs/>
          <w:sz w:val="22"/>
          <w:szCs w:val="22"/>
        </w:rPr>
        <w:t xml:space="preserve"> Concentrations of nickel in waste materials and dumpsite soils</w:t>
      </w:r>
      <w:r w:rsidRPr="004E4235">
        <w:rPr>
          <w:rFonts w:ascii="Times New Roman" w:hAnsi="Times New Roman" w:cs="Times New Roman"/>
          <w:bCs/>
          <w:sz w:val="22"/>
          <w:szCs w:val="22"/>
        </w:rPr>
        <w:br/>
        <w:t>Keys: AB = abattoir wastes dumpsite, P =paint processing wastes dumpsite, 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w:t>
      </w:r>
    </w:p>
    <w:p w14:paraId="1C95CFA7" w14:textId="77777777" w:rsidR="004E4235" w:rsidRPr="004304ED" w:rsidRDefault="004E4235" w:rsidP="001736F9">
      <w:pPr>
        <w:spacing w:after="0" w:line="240" w:lineRule="auto"/>
        <w:rPr>
          <w:rFonts w:ascii="Times New Roman" w:hAnsi="Times New Roman" w:cs="Times New Roman"/>
          <w:bCs/>
        </w:rPr>
      </w:pPr>
    </w:p>
    <w:p w14:paraId="1583DD89" w14:textId="7E9601A9" w:rsidR="008F3387"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Vanadium (V) concentrations (Figure 6) are prominently associated with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wastes, attributable to petroleum products, combustion residues, alloys, and pigments. Although soil concentrations are reduced relative to wastes, their persistence indicates gradual inc</w:t>
      </w:r>
      <w:r w:rsidR="00E40B03">
        <w:rPr>
          <w:rFonts w:ascii="Times New Roman" w:hAnsi="Times New Roman" w:cs="Times New Roman"/>
        </w:rPr>
        <w:t xml:space="preserve">orporation into the soil system </w:t>
      </w:r>
      <w:r w:rsidR="008F3387" w:rsidRPr="00E40B03">
        <w:rPr>
          <w:rFonts w:ascii="Times New Roman" w:hAnsi="Times New Roman" w:cs="Times New Roman"/>
        </w:rPr>
        <w:t>especially</w:t>
      </w:r>
      <w:r w:rsidR="008F3387">
        <w:rPr>
          <w:rFonts w:ascii="Times New Roman" w:hAnsi="Times New Roman" w:cs="Times New Roman"/>
        </w:rPr>
        <w:t xml:space="preserve"> </w:t>
      </w:r>
      <w:r w:rsidR="008F3387" w:rsidRPr="004304ED">
        <w:rPr>
          <w:rFonts w:ascii="Times New Roman" w:hAnsi="Times New Roman" w:cs="Times New Roman"/>
        </w:rPr>
        <w:t xml:space="preserve">through adsorption onto Fe-Mn oxides and clay </w:t>
      </w:r>
      <w:r w:rsidR="008F3387" w:rsidRPr="00BC510B">
        <w:rPr>
          <w:rFonts w:ascii="Times New Roman" w:hAnsi="Times New Roman" w:cs="Times New Roman"/>
        </w:rPr>
        <w:t>minerals (Eissa et al., 2017).</w:t>
      </w:r>
    </w:p>
    <w:p w14:paraId="018621F7" w14:textId="7ED697B9"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 The distribution pattern suggests that V mobility is controlled by redox conditions and adsorption processes, particularly onto oxide minerals.</w:t>
      </w:r>
    </w:p>
    <w:p w14:paraId="55C7978F"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6CEE934F" wp14:editId="6F77FA18">
            <wp:extent cx="3651250" cy="2279650"/>
            <wp:effectExtent l="0" t="0" r="635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0E3405" w14:textId="77777777" w:rsidR="001736F9" w:rsidRPr="004304ED" w:rsidRDefault="001736F9" w:rsidP="001736F9">
      <w:pPr>
        <w:spacing w:after="0" w:line="240" w:lineRule="auto"/>
        <w:rPr>
          <w:rFonts w:ascii="Times New Roman" w:hAnsi="Times New Roman" w:cs="Times New Roman"/>
          <w:bCs/>
        </w:rPr>
      </w:pPr>
      <w:r w:rsidRPr="004304ED">
        <w:rPr>
          <w:rFonts w:ascii="Times New Roman" w:hAnsi="Times New Roman" w:cs="Times New Roman"/>
          <w:b/>
        </w:rPr>
        <w:t>Figure 6:</w:t>
      </w:r>
      <w:r w:rsidRPr="004304ED">
        <w:rPr>
          <w:rFonts w:ascii="Times New Roman" w:hAnsi="Times New Roman" w:cs="Times New Roman"/>
          <w:bCs/>
        </w:rPr>
        <w:t xml:space="preserve"> Concentrations of vanadium in waste materials and dumpsite soils</w:t>
      </w:r>
      <w:r w:rsidRPr="004304ED">
        <w:rPr>
          <w:rFonts w:ascii="Times New Roman" w:hAnsi="Times New Roman" w:cs="Times New Roman"/>
          <w:bCs/>
        </w:rPr>
        <w:br/>
        <w:t>Keys: AB = abattoir wastes dumpsite, P =paint processing wastes dumpsite, A =</w:t>
      </w:r>
      <w:proofErr w:type="spellStart"/>
      <w:r w:rsidRPr="004304ED">
        <w:rPr>
          <w:rFonts w:ascii="Times New Roman" w:hAnsi="Times New Roman" w:cs="Times New Roman"/>
          <w:bCs/>
        </w:rPr>
        <w:t>automechanic</w:t>
      </w:r>
      <w:proofErr w:type="spellEnd"/>
      <w:r w:rsidRPr="004304ED">
        <w:rPr>
          <w:rFonts w:ascii="Times New Roman" w:hAnsi="Times New Roman" w:cs="Times New Roman"/>
          <w:bCs/>
        </w:rPr>
        <w:t xml:space="preserve"> wastes dumpsite</w:t>
      </w:r>
    </w:p>
    <w:p w14:paraId="31D34E3C" w14:textId="77777777" w:rsidR="001736F9" w:rsidRPr="004304ED" w:rsidRDefault="001736F9" w:rsidP="00190433">
      <w:pPr>
        <w:spacing w:after="0" w:line="360" w:lineRule="auto"/>
        <w:ind w:firstLine="720"/>
        <w:rPr>
          <w:rFonts w:ascii="Times New Roman" w:hAnsi="Times New Roman" w:cs="Times New Roman"/>
        </w:rPr>
      </w:pPr>
    </w:p>
    <w:p w14:paraId="11D1A5D3"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Overall, Figures 2–6 collectively demonstrate that dumpsite-specific waste composition strongly governs the type and magnitude of heavy metal contamination, while soil concentrations reflect both metal-specific geochemical behavior and site conditions. The consistent enrichment of soils beneath the dumpsites confirms active waste–soil interaction and highlights the environmental significance of uncontrolled waste disposal practices. These findings emphasize the need for targeted remediation and long-term monitoring, especially at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dumpsites where metal loads are most pronounced.</w:t>
      </w:r>
    </w:p>
    <w:p w14:paraId="32D33FC2" w14:textId="77777777" w:rsidR="00190433" w:rsidRPr="004304ED" w:rsidRDefault="00190433" w:rsidP="00190433">
      <w:pPr>
        <w:spacing w:after="0" w:line="360" w:lineRule="auto"/>
        <w:ind w:firstLine="720"/>
        <w:rPr>
          <w:rFonts w:ascii="Times New Roman" w:hAnsi="Times New Roman" w:cs="Times New Roman"/>
          <w:b/>
          <w:bCs/>
        </w:rPr>
      </w:pPr>
      <w:r w:rsidRPr="004304ED">
        <w:rPr>
          <w:rFonts w:ascii="Times New Roman" w:hAnsi="Times New Roman" w:cs="Times New Roman"/>
          <w:b/>
          <w:bCs/>
        </w:rPr>
        <w:t> </w:t>
      </w:r>
    </w:p>
    <w:p w14:paraId="6D41CBFB" w14:textId="77777777"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concentrations in different dumpsite soils</w:t>
      </w:r>
    </w:p>
    <w:p w14:paraId="103B3DDB" w14:textId="24E69BCF"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Figures 7–11 present the concentrations of Pb, Cd, Cr, Ni, and V in soils from abattoir (AB), paint processing (P), and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 dumpsites, compared with control (C) soils. Across all metals, the figures reveal a clear enrichment of heavy metals in dumpsite soils relative to the </w:t>
      </w:r>
      <w:r w:rsidRPr="00BC510B">
        <w:rPr>
          <w:rFonts w:ascii="Times New Roman" w:hAnsi="Times New Roman" w:cs="Times New Roman"/>
        </w:rPr>
        <w:t>control</w:t>
      </w:r>
      <w:r w:rsidR="005E459A" w:rsidRPr="00BC510B">
        <w:rPr>
          <w:rFonts w:ascii="Times New Roman" w:hAnsi="Times New Roman" w:cs="Times New Roman"/>
        </w:rPr>
        <w:t xml:space="preserve"> (Winegardner, 2019)</w:t>
      </w:r>
      <w:r w:rsidRPr="00BC510B">
        <w:rPr>
          <w:rFonts w:ascii="Times New Roman" w:hAnsi="Times New Roman" w:cs="Times New Roman"/>
        </w:rPr>
        <w:t>, confirming</w:t>
      </w:r>
      <w:r w:rsidRPr="004304ED">
        <w:rPr>
          <w:rFonts w:ascii="Times New Roman" w:hAnsi="Times New Roman" w:cs="Times New Roman"/>
        </w:rPr>
        <w:t xml:space="preserve"> the dominant influence of anthropogenic waste inputs on soil geochemistry.</w:t>
      </w:r>
    </w:p>
    <w:p w14:paraId="4BC0B860" w14:textId="77777777"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Lead (Pb) concentrations (Figure 7) are markedly elevated in soils from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dumpsites compared to the control. This enrichment reflects inputs from lead-containing automotive components, lubricants, batteries, pigments, and paint residues. Abattoir soils also exhibit higher Pb levels than the control, suggesting indirect contamination through waste handling materials and atmospheric deposition. The substantial contrast between dumpsite and control soils highlights Pb’s persistence and strong accumulation capacity in contaminated environments.</w:t>
      </w:r>
    </w:p>
    <w:p w14:paraId="1BA58931" w14:textId="77777777" w:rsidR="004E4235" w:rsidRPr="004304ED" w:rsidRDefault="004E4235" w:rsidP="00190433">
      <w:pPr>
        <w:spacing w:after="0" w:line="360" w:lineRule="auto"/>
        <w:ind w:firstLine="720"/>
        <w:rPr>
          <w:rFonts w:ascii="Times New Roman" w:hAnsi="Times New Roman" w:cs="Times New Roman"/>
        </w:rPr>
      </w:pPr>
    </w:p>
    <w:p w14:paraId="7E27734A"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647C283D" wp14:editId="70AB3AC2">
            <wp:extent cx="3449782" cy="2363190"/>
            <wp:effectExtent l="0" t="0" r="1778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7EE787"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7:</w:t>
      </w:r>
      <w:r w:rsidRPr="004E4235">
        <w:rPr>
          <w:rFonts w:ascii="Times New Roman" w:hAnsi="Times New Roman" w:cs="Times New Roman"/>
          <w:bCs/>
          <w:sz w:val="22"/>
          <w:szCs w:val="22"/>
        </w:rPr>
        <w:t xml:space="preserve"> Concentrations of lead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0184F373"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w:t>
      </w:r>
    </w:p>
    <w:p w14:paraId="221AB905" w14:textId="77777777" w:rsidR="00312F12" w:rsidRPr="004304ED" w:rsidRDefault="00312F12" w:rsidP="00190433">
      <w:pPr>
        <w:spacing w:after="0" w:line="360" w:lineRule="auto"/>
        <w:ind w:firstLine="720"/>
        <w:rPr>
          <w:rFonts w:ascii="Times New Roman" w:hAnsi="Times New Roman" w:cs="Times New Roman"/>
        </w:rPr>
      </w:pPr>
    </w:p>
    <w:p w14:paraId="3B6E0F18" w14:textId="7614122E" w:rsidR="00190433" w:rsidRPr="004304ED" w:rsidRDefault="00190433" w:rsidP="00190433">
      <w:pPr>
        <w:spacing w:after="0" w:line="360" w:lineRule="auto"/>
        <w:ind w:firstLine="720"/>
        <w:rPr>
          <w:rFonts w:ascii="Times New Roman" w:hAnsi="Times New Roman" w:cs="Times New Roman"/>
        </w:rPr>
      </w:pPr>
      <w:r w:rsidRPr="00BC510B">
        <w:rPr>
          <w:rFonts w:ascii="Times New Roman" w:hAnsi="Times New Roman" w:cs="Times New Roman"/>
        </w:rPr>
        <w:t>Cadmium (Cd) concentrations (Figure 8) show pronounced enhancement in paint-processing</w:t>
      </w:r>
      <w:r w:rsidR="00886E38" w:rsidRPr="00BC510B">
        <w:rPr>
          <w:rFonts w:ascii="Times New Roman" w:hAnsi="Times New Roman" w:cs="Times New Roman"/>
        </w:rPr>
        <w:t xml:space="preserve"> and </w:t>
      </w:r>
      <w:proofErr w:type="spellStart"/>
      <w:r w:rsidR="00886E38" w:rsidRPr="00BC510B">
        <w:rPr>
          <w:rFonts w:ascii="Times New Roman" w:hAnsi="Times New Roman" w:cs="Times New Roman"/>
        </w:rPr>
        <w:t>automechanic</w:t>
      </w:r>
      <w:proofErr w:type="spellEnd"/>
      <w:r w:rsidR="00886E38" w:rsidRPr="00BC510B">
        <w:rPr>
          <w:rFonts w:ascii="Times New Roman" w:hAnsi="Times New Roman" w:cs="Times New Roman"/>
        </w:rPr>
        <w:t xml:space="preserve"> wastes</w:t>
      </w:r>
      <w:r w:rsidRPr="00BC510B">
        <w:rPr>
          <w:rFonts w:ascii="Times New Roman" w:hAnsi="Times New Roman" w:cs="Times New Roman"/>
        </w:rPr>
        <w:t xml:space="preserve"> dumpsite soils</w:t>
      </w:r>
      <w:r w:rsidR="00886E38" w:rsidRPr="00BC510B">
        <w:rPr>
          <w:rFonts w:ascii="Times New Roman" w:hAnsi="Times New Roman" w:cs="Times New Roman"/>
        </w:rPr>
        <w:t xml:space="preserve"> though higher in </w:t>
      </w:r>
      <w:proofErr w:type="spellStart"/>
      <w:r w:rsidR="00886E38" w:rsidRPr="00BC510B">
        <w:rPr>
          <w:rFonts w:ascii="Times New Roman" w:hAnsi="Times New Roman" w:cs="Times New Roman"/>
        </w:rPr>
        <w:t>automechanic</w:t>
      </w:r>
      <w:proofErr w:type="spellEnd"/>
      <w:r w:rsidR="00886E38" w:rsidRPr="00BC510B">
        <w:rPr>
          <w:rFonts w:ascii="Times New Roman" w:hAnsi="Times New Roman" w:cs="Times New Roman"/>
        </w:rPr>
        <w:t xml:space="preserve"> soils. </w:t>
      </w:r>
      <w:r w:rsidR="001229EB" w:rsidRPr="00BC510B">
        <w:rPr>
          <w:rFonts w:ascii="Times New Roman" w:hAnsi="Times New Roman" w:cs="Times New Roman"/>
        </w:rPr>
        <w:t xml:space="preserve">This could likely </w:t>
      </w:r>
      <w:r w:rsidR="005823B2" w:rsidRPr="00BC510B">
        <w:rPr>
          <w:rFonts w:ascii="Times New Roman" w:hAnsi="Times New Roman" w:cs="Times New Roman"/>
        </w:rPr>
        <w:t xml:space="preserve">be </w:t>
      </w:r>
      <w:r w:rsidR="001229EB" w:rsidRPr="00BC510B">
        <w:rPr>
          <w:rFonts w:ascii="Times New Roman" w:hAnsi="Times New Roman" w:cs="Times New Roman"/>
        </w:rPr>
        <w:t xml:space="preserve">the result of Cd-laden wastes dumped on the dumpsites. </w:t>
      </w:r>
      <w:proofErr w:type="spellStart"/>
      <w:r w:rsidR="00795677" w:rsidRPr="00BC510B">
        <w:rPr>
          <w:rFonts w:ascii="Times New Roman" w:hAnsi="Times New Roman" w:cs="Times New Roman"/>
        </w:rPr>
        <w:t>Automechanic</w:t>
      </w:r>
      <w:proofErr w:type="spellEnd"/>
      <w:r w:rsidR="00795677" w:rsidRPr="00BC510B">
        <w:rPr>
          <w:rFonts w:ascii="Times New Roman" w:hAnsi="Times New Roman" w:cs="Times New Roman"/>
        </w:rPr>
        <w:t xml:space="preserve"> wastes </w:t>
      </w:r>
      <w:r w:rsidR="005823B2" w:rsidRPr="00BC510B">
        <w:rPr>
          <w:rFonts w:ascii="Times New Roman" w:hAnsi="Times New Roman" w:cs="Times New Roman"/>
        </w:rPr>
        <w:t>can probably</w:t>
      </w:r>
      <w:r w:rsidR="00795677" w:rsidRPr="00BC510B">
        <w:rPr>
          <w:rFonts w:ascii="Times New Roman" w:hAnsi="Times New Roman" w:cs="Times New Roman"/>
        </w:rPr>
        <w:t xml:space="preserve"> get Cd enrichment through </w:t>
      </w:r>
      <w:r w:rsidR="00F27BCF" w:rsidRPr="00BC510B">
        <w:rPr>
          <w:rFonts w:ascii="Times New Roman" w:hAnsi="Times New Roman" w:cs="Times New Roman"/>
        </w:rPr>
        <w:t>battery wastes, brake fluid and lining material</w:t>
      </w:r>
      <w:r w:rsidR="0041671A" w:rsidRPr="00BC510B">
        <w:rPr>
          <w:rFonts w:ascii="Times New Roman" w:hAnsi="Times New Roman" w:cs="Times New Roman"/>
        </w:rPr>
        <w:t xml:space="preserve">s </w:t>
      </w:r>
      <w:r w:rsidR="00F27BCF" w:rsidRPr="00BC510B">
        <w:rPr>
          <w:rFonts w:ascii="Times New Roman" w:hAnsi="Times New Roman" w:cs="Times New Roman"/>
        </w:rPr>
        <w:t xml:space="preserve">and coatings for vehicular parts while the </w:t>
      </w:r>
      <w:r w:rsidRPr="00BC510B">
        <w:rPr>
          <w:rFonts w:ascii="Times New Roman" w:hAnsi="Times New Roman" w:cs="Times New Roman"/>
        </w:rPr>
        <w:t>widespread use of Cd-based pigments and stabilizers in paints</w:t>
      </w:r>
      <w:r w:rsidR="00F27BCF" w:rsidRPr="00BC510B">
        <w:rPr>
          <w:rFonts w:ascii="Times New Roman" w:hAnsi="Times New Roman" w:cs="Times New Roman"/>
        </w:rPr>
        <w:t xml:space="preserve"> could cause </w:t>
      </w:r>
      <w:r w:rsidR="005109FA" w:rsidRPr="00BC510B">
        <w:rPr>
          <w:rFonts w:ascii="Times New Roman" w:hAnsi="Times New Roman" w:cs="Times New Roman"/>
        </w:rPr>
        <w:t>elevated Cd in paint waste dumpsites</w:t>
      </w:r>
      <w:r w:rsidR="0041671A" w:rsidRPr="00BC510B">
        <w:rPr>
          <w:rFonts w:ascii="Times New Roman" w:hAnsi="Times New Roman" w:cs="Times New Roman"/>
        </w:rPr>
        <w:t xml:space="preserve"> (WHO, 2011)</w:t>
      </w:r>
      <w:r w:rsidRPr="00BC510B">
        <w:rPr>
          <w:rFonts w:ascii="Times New Roman" w:hAnsi="Times New Roman" w:cs="Times New Roman"/>
        </w:rPr>
        <w:t xml:space="preserve">. </w:t>
      </w:r>
      <w:r w:rsidR="005109FA" w:rsidRPr="00BC510B">
        <w:rPr>
          <w:rFonts w:ascii="Times New Roman" w:hAnsi="Times New Roman" w:cs="Times New Roman"/>
        </w:rPr>
        <w:t>All the waste</w:t>
      </w:r>
      <w:r w:rsidR="005823B2" w:rsidRPr="00BC510B">
        <w:rPr>
          <w:rFonts w:ascii="Times New Roman" w:hAnsi="Times New Roman" w:cs="Times New Roman"/>
        </w:rPr>
        <w:t xml:space="preserve"> impacted soils</w:t>
      </w:r>
      <w:r w:rsidRPr="00BC510B">
        <w:rPr>
          <w:rFonts w:ascii="Times New Roman" w:hAnsi="Times New Roman" w:cs="Times New Roman"/>
        </w:rPr>
        <w:t xml:space="preserve"> display elevated Cd levels relative to the co</w:t>
      </w:r>
      <w:r w:rsidR="00A5206F" w:rsidRPr="00BC510B">
        <w:rPr>
          <w:rFonts w:ascii="Times New Roman" w:hAnsi="Times New Roman" w:cs="Times New Roman"/>
        </w:rPr>
        <w:t>ntrol</w:t>
      </w:r>
      <w:r w:rsidRPr="00BC510B">
        <w:rPr>
          <w:rFonts w:ascii="Times New Roman" w:hAnsi="Times New Roman" w:cs="Times New Roman"/>
        </w:rPr>
        <w:t>. The consistent</w:t>
      </w:r>
      <w:r w:rsidRPr="004304ED">
        <w:rPr>
          <w:rFonts w:ascii="Times New Roman" w:hAnsi="Times New Roman" w:cs="Times New Roman"/>
        </w:rPr>
        <w:t xml:space="preserve"> exceedance of control values across all dumpsite categories indicates Cd’s high mobility and susceptibility to redistribution within the soil system, raising concerns over potential bioavailability and ecological risk.</w:t>
      </w:r>
    </w:p>
    <w:p w14:paraId="02E21BCD"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7D22FFDC" wp14:editId="61EDDF56">
            <wp:extent cx="3538847" cy="2369127"/>
            <wp:effectExtent l="0" t="0" r="508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51430B"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8:</w:t>
      </w:r>
      <w:r w:rsidRPr="004E4235">
        <w:rPr>
          <w:rFonts w:ascii="Times New Roman" w:hAnsi="Times New Roman" w:cs="Times New Roman"/>
          <w:bCs/>
          <w:sz w:val="22"/>
          <w:szCs w:val="22"/>
        </w:rPr>
        <w:t xml:space="preserve"> Concentrations of cadmium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4385BFFC"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 </w:t>
      </w:r>
    </w:p>
    <w:p w14:paraId="2B50FF56" w14:textId="77777777" w:rsidR="00312F12" w:rsidRPr="004304ED" w:rsidRDefault="00312F12" w:rsidP="00190433">
      <w:pPr>
        <w:spacing w:after="0" w:line="360" w:lineRule="auto"/>
        <w:ind w:firstLine="720"/>
        <w:rPr>
          <w:rFonts w:ascii="Times New Roman" w:hAnsi="Times New Roman" w:cs="Times New Roman"/>
        </w:rPr>
      </w:pPr>
    </w:p>
    <w:p w14:paraId="0845EBDB" w14:textId="76AA1F5D"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Chromium (Cr) concentrations (Figure 9) are significantly higher in dumpsite soils than in control soils, with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sites showing the greatest enrichment. </w:t>
      </w:r>
      <w:r w:rsidRPr="00BC510B">
        <w:rPr>
          <w:rFonts w:ascii="Times New Roman" w:hAnsi="Times New Roman" w:cs="Times New Roman"/>
        </w:rPr>
        <w:t xml:space="preserve">This pattern reflects contributions from metal scraps, corrosion products, pigments, and industrial residues. The relatively lower Cr concentration in control soils emphasizes </w:t>
      </w:r>
      <w:r w:rsidR="0002345C" w:rsidRPr="00BC510B">
        <w:rPr>
          <w:rFonts w:ascii="Times New Roman" w:hAnsi="Times New Roman" w:cs="Times New Roman"/>
        </w:rPr>
        <w:t xml:space="preserve">minimal </w:t>
      </w:r>
      <w:r w:rsidRPr="00BC510B">
        <w:rPr>
          <w:rFonts w:ascii="Times New Roman" w:hAnsi="Times New Roman" w:cs="Times New Roman"/>
        </w:rPr>
        <w:t>Cr contamination</w:t>
      </w:r>
      <w:r w:rsidR="0002345C" w:rsidRPr="00BC510B">
        <w:rPr>
          <w:rFonts w:ascii="Times New Roman" w:hAnsi="Times New Roman" w:cs="Times New Roman"/>
        </w:rPr>
        <w:t xml:space="preserve"> </w:t>
      </w:r>
      <w:r w:rsidR="00A5206F" w:rsidRPr="00BC510B">
        <w:rPr>
          <w:rFonts w:ascii="Times New Roman" w:hAnsi="Times New Roman" w:cs="Times New Roman"/>
        </w:rPr>
        <w:t>in the soil</w:t>
      </w:r>
      <w:r w:rsidR="00405140" w:rsidRPr="00BC510B">
        <w:rPr>
          <w:rFonts w:ascii="Times New Roman" w:hAnsi="Times New Roman" w:cs="Times New Roman"/>
        </w:rPr>
        <w:t xml:space="preserve"> (Borgese et al., 2013)</w:t>
      </w:r>
      <w:r w:rsidRPr="00BC510B">
        <w:rPr>
          <w:rFonts w:ascii="Times New Roman" w:hAnsi="Times New Roman" w:cs="Times New Roman"/>
        </w:rPr>
        <w:t xml:space="preserve">, while its persistence in dumpsite soils suggests </w:t>
      </w:r>
      <w:r w:rsidR="00405140" w:rsidRPr="00BC510B">
        <w:rPr>
          <w:rFonts w:ascii="Times New Roman" w:hAnsi="Times New Roman" w:cs="Times New Roman"/>
        </w:rPr>
        <w:t>release of the metals from the wastes to the impacted soils (Winegardner, 2019).</w:t>
      </w:r>
      <w:r w:rsidR="00405140" w:rsidRPr="004304ED">
        <w:rPr>
          <w:rFonts w:ascii="Times New Roman" w:hAnsi="Times New Roman" w:cs="Times New Roman"/>
        </w:rPr>
        <w:t xml:space="preserve"> </w:t>
      </w:r>
    </w:p>
    <w:p w14:paraId="171A78F8" w14:textId="77777777" w:rsidR="004E4235" w:rsidRPr="004304ED" w:rsidRDefault="004E4235" w:rsidP="00190433">
      <w:pPr>
        <w:spacing w:after="0" w:line="360" w:lineRule="auto"/>
        <w:ind w:firstLine="720"/>
        <w:rPr>
          <w:rFonts w:ascii="Times New Roman" w:hAnsi="Times New Roman" w:cs="Times New Roman"/>
        </w:rPr>
      </w:pPr>
    </w:p>
    <w:p w14:paraId="592393CF"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5DC7D37D" wp14:editId="230C08DD">
            <wp:extent cx="3473450" cy="1882140"/>
            <wp:effectExtent l="0" t="0" r="1270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EA5E64"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9</w:t>
      </w:r>
      <w:r w:rsidRPr="004E4235">
        <w:rPr>
          <w:rFonts w:ascii="Times New Roman" w:hAnsi="Times New Roman" w:cs="Times New Roman"/>
          <w:bCs/>
          <w:sz w:val="22"/>
          <w:szCs w:val="22"/>
        </w:rPr>
        <w:t>: Concentrations of chromium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6E340C46"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 </w:t>
      </w:r>
    </w:p>
    <w:p w14:paraId="321BDF75" w14:textId="77777777" w:rsidR="00312F12" w:rsidRPr="004304ED" w:rsidRDefault="00312F12" w:rsidP="00190433">
      <w:pPr>
        <w:spacing w:after="0" w:line="360" w:lineRule="auto"/>
        <w:ind w:firstLine="720"/>
        <w:rPr>
          <w:rFonts w:ascii="Times New Roman" w:hAnsi="Times New Roman" w:cs="Times New Roman"/>
        </w:rPr>
      </w:pPr>
    </w:p>
    <w:p w14:paraId="7D75E5C1" w14:textId="35EF8074"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lastRenderedPageBreak/>
        <w:t xml:space="preserve">Nickel (Ni) concentrations (Figure 10) exhibit widespread enrichment across all dumpsite soils compared to the control.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soils display particularly elevated Ni levels, consistent with sources such as engine oils, fuel residues, alloy wear, and mechanical wastes</w:t>
      </w:r>
      <w:r w:rsidR="00275094">
        <w:rPr>
          <w:rFonts w:ascii="Times New Roman" w:hAnsi="Times New Roman" w:cs="Times New Roman"/>
        </w:rPr>
        <w:t xml:space="preserve"> </w:t>
      </w:r>
      <w:r w:rsidR="00275094" w:rsidRPr="00BC510B">
        <w:rPr>
          <w:rFonts w:ascii="Times New Roman" w:hAnsi="Times New Roman" w:cs="Times New Roman"/>
        </w:rPr>
        <w:t xml:space="preserve">(Knox et al. </w:t>
      </w:r>
      <w:r w:rsidR="00D6031D" w:rsidRPr="00BC510B">
        <w:rPr>
          <w:rFonts w:ascii="Times New Roman" w:hAnsi="Times New Roman" w:cs="Times New Roman"/>
        </w:rPr>
        <w:t xml:space="preserve">1999; </w:t>
      </w:r>
      <w:proofErr w:type="spellStart"/>
      <w:r w:rsidR="00D6031D" w:rsidRPr="00BC510B">
        <w:rPr>
          <w:rFonts w:ascii="Times New Roman" w:hAnsi="Times New Roman" w:cs="Times New Roman"/>
        </w:rPr>
        <w:t>Gushit</w:t>
      </w:r>
      <w:proofErr w:type="spellEnd"/>
      <w:r w:rsidR="00D6031D" w:rsidRPr="00BC510B">
        <w:rPr>
          <w:rFonts w:ascii="Times New Roman" w:hAnsi="Times New Roman" w:cs="Times New Roman"/>
        </w:rPr>
        <w:t xml:space="preserve"> et al. 2019</w:t>
      </w:r>
      <w:r w:rsidRPr="00BC510B">
        <w:rPr>
          <w:rFonts w:ascii="Times New Roman" w:hAnsi="Times New Roman" w:cs="Times New Roman"/>
        </w:rPr>
        <w:t>. The enrichment</w:t>
      </w:r>
      <w:r w:rsidRPr="004304ED">
        <w:rPr>
          <w:rFonts w:ascii="Times New Roman" w:hAnsi="Times New Roman" w:cs="Times New Roman"/>
        </w:rPr>
        <w:t xml:space="preserve"> pattern indicates Ni’s moderate mobility and sustained accumulation in soils subjected to long-term waste disposal activities.</w:t>
      </w:r>
    </w:p>
    <w:p w14:paraId="45B1D121"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03D1BF96" wp14:editId="5B67BA12">
            <wp:extent cx="3639787" cy="2351314"/>
            <wp:effectExtent l="0" t="0" r="1841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B0C39E"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10:</w:t>
      </w:r>
      <w:r w:rsidRPr="004E4235">
        <w:rPr>
          <w:rFonts w:ascii="Times New Roman" w:hAnsi="Times New Roman" w:cs="Times New Roman"/>
          <w:bCs/>
          <w:sz w:val="22"/>
          <w:szCs w:val="22"/>
        </w:rPr>
        <w:t xml:space="preserve"> Concentrations of nickel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054D5C12"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 </w:t>
      </w:r>
    </w:p>
    <w:p w14:paraId="1456E999" w14:textId="77777777" w:rsidR="00312F12" w:rsidRPr="004304ED" w:rsidRDefault="00312F12" w:rsidP="00190433">
      <w:pPr>
        <w:spacing w:after="0" w:line="360" w:lineRule="auto"/>
        <w:ind w:firstLine="720"/>
        <w:rPr>
          <w:rFonts w:ascii="Times New Roman" w:hAnsi="Times New Roman" w:cs="Times New Roman"/>
        </w:rPr>
      </w:pPr>
    </w:p>
    <w:p w14:paraId="2EFC1BF8"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Vanadium (V) concentrations (Figure 11) are consistently higher in dumpsite soils than in the control, with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and paint processing dumpsites showing the most pronounced enrichment. This distribution reflects inputs from petroleum products, combustion residues, pigments, and metal alloys. Although V concentrations are generally lower than those of Pb and Ni, their persistent elevation relative to the control underscores ongoing anthropogenic influence.</w:t>
      </w:r>
    </w:p>
    <w:p w14:paraId="1B19A7EE"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263035B0" wp14:editId="5A9AE035">
            <wp:extent cx="3918857" cy="2196935"/>
            <wp:effectExtent l="0" t="0" r="571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4C05F1"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lastRenderedPageBreak/>
        <w:t>Figure 11:</w:t>
      </w:r>
      <w:r w:rsidRPr="004E4235">
        <w:rPr>
          <w:rFonts w:ascii="Times New Roman" w:hAnsi="Times New Roman" w:cs="Times New Roman"/>
          <w:bCs/>
          <w:sz w:val="22"/>
          <w:szCs w:val="22"/>
        </w:rPr>
        <w:t xml:space="preserve"> Concentrations of vanadium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798CB607"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w:t>
      </w:r>
      <w:proofErr w:type="spellStart"/>
      <w:r w:rsidRPr="004E4235">
        <w:rPr>
          <w:rFonts w:ascii="Times New Roman" w:hAnsi="Times New Roman" w:cs="Times New Roman"/>
          <w:bCs/>
          <w:sz w:val="22"/>
          <w:szCs w:val="22"/>
        </w:rPr>
        <w:t>automechanic</w:t>
      </w:r>
      <w:proofErr w:type="spellEnd"/>
      <w:r w:rsidRPr="004E4235">
        <w:rPr>
          <w:rFonts w:ascii="Times New Roman" w:hAnsi="Times New Roman" w:cs="Times New Roman"/>
          <w:bCs/>
          <w:sz w:val="22"/>
          <w:szCs w:val="22"/>
        </w:rPr>
        <w:t xml:space="preserve"> wastes dumpsite </w:t>
      </w:r>
    </w:p>
    <w:p w14:paraId="43DE4D0B" w14:textId="77777777" w:rsidR="004E4235" w:rsidRPr="004304ED" w:rsidRDefault="004E4235" w:rsidP="00312F12">
      <w:pPr>
        <w:spacing w:after="0" w:line="240" w:lineRule="auto"/>
        <w:rPr>
          <w:rFonts w:ascii="Times New Roman" w:hAnsi="Times New Roman" w:cs="Times New Roman"/>
          <w:bCs/>
        </w:rPr>
      </w:pPr>
    </w:p>
    <w:p w14:paraId="18C9C081" w14:textId="12FF35E1"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Overall, Figures 7–11 demonstrate that all dumpsite soils are significantly impacted by heavy metal </w:t>
      </w:r>
      <w:r w:rsidRPr="00BC510B">
        <w:rPr>
          <w:rFonts w:ascii="Times New Roman" w:hAnsi="Times New Roman" w:cs="Times New Roman"/>
        </w:rPr>
        <w:t>contamination when compared to background conditions</w:t>
      </w:r>
      <w:r w:rsidR="004768E6" w:rsidRPr="00BC510B">
        <w:rPr>
          <w:rFonts w:ascii="Times New Roman" w:hAnsi="Times New Roman" w:cs="Times New Roman"/>
        </w:rPr>
        <w:t xml:space="preserve"> (control soils)</w:t>
      </w:r>
      <w:r w:rsidRPr="00BC510B">
        <w:rPr>
          <w:rFonts w:ascii="Times New Roman" w:hAnsi="Times New Roman" w:cs="Times New Roman"/>
        </w:rPr>
        <w:t>, with</w:t>
      </w:r>
      <w:r w:rsidRPr="004304ED">
        <w:rPr>
          <w:rFonts w:ascii="Times New Roman" w:hAnsi="Times New Roman" w:cs="Times New Roman"/>
        </w:rPr>
        <w:t xml:space="preserve"> contamination intensity varying according to waste type and site-specific activities. The consistent enrichment across multiple metals highlights the cumulative effect of uncontrolled waste disposal and underscores the potential ecological and human health risks, particularly in areas where soils serve as pathways to groundwater, crops, or direct human exposure.</w:t>
      </w:r>
    </w:p>
    <w:p w14:paraId="0EEACC50" w14:textId="77777777" w:rsidR="00190433" w:rsidRPr="004304ED" w:rsidRDefault="00190433" w:rsidP="00190433">
      <w:pPr>
        <w:spacing w:after="0" w:line="360" w:lineRule="auto"/>
        <w:ind w:firstLine="720"/>
        <w:rPr>
          <w:rFonts w:ascii="Times New Roman" w:hAnsi="Times New Roman" w:cs="Times New Roman"/>
          <w:b/>
          <w:bCs/>
        </w:rPr>
      </w:pPr>
      <w:r w:rsidRPr="004304ED">
        <w:rPr>
          <w:rFonts w:ascii="Times New Roman" w:hAnsi="Times New Roman" w:cs="Times New Roman"/>
          <w:b/>
          <w:bCs/>
        </w:rPr>
        <w:t> </w:t>
      </w:r>
    </w:p>
    <w:p w14:paraId="60ACDC6C" w14:textId="77777777"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Release Percentage (HMR)</w:t>
      </w:r>
    </w:p>
    <w:p w14:paraId="62910063" w14:textId="6C2DEE52"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Table 4 presents the depth-wise percentage release of Pb, Cd, Cr, Ni, and V in soils from nine dumpsites (A1–A3, P1–P3, and AB1–AB3). Overall, the results indicate a clear vertical gradient in metal release, with the highest percentages consistently recorded in the topsoil (0–20 cm), followed by a progressive decline at 20–40 cm and 40–60 cm depths across most sites and metals. This pattern reflects the dominant influence of surface waste deposition, leachate generation, and recent anthropogenic inputs, which preferentially enrich the upper soil horizons</w:t>
      </w:r>
      <w:r w:rsidR="0021078D" w:rsidRPr="004304ED">
        <w:rPr>
          <w:rFonts w:ascii="Times New Roman" w:hAnsi="Times New Roman" w:cs="Times New Roman"/>
        </w:rPr>
        <w:t xml:space="preserve"> (Winegardner, 2019)</w:t>
      </w:r>
      <w:r w:rsidRPr="004304ED">
        <w:rPr>
          <w:rFonts w:ascii="Times New Roman" w:hAnsi="Times New Roman" w:cs="Times New Roman"/>
        </w:rPr>
        <w:t>.</w:t>
      </w:r>
    </w:p>
    <w:p w14:paraId="35C4B334" w14:textId="77777777" w:rsidR="00312F12" w:rsidRPr="004304ED" w:rsidRDefault="00312F12" w:rsidP="00312F12">
      <w:pPr>
        <w:rPr>
          <w:rFonts w:ascii="Times New Roman" w:hAnsi="Times New Roman" w:cs="Times New Roman"/>
          <w:b/>
        </w:rPr>
      </w:pPr>
    </w:p>
    <w:p w14:paraId="00F5B63E" w14:textId="5CDD6DA8" w:rsidR="00312F12" w:rsidRPr="004304ED" w:rsidRDefault="00312F12" w:rsidP="00312F12">
      <w:pPr>
        <w:rPr>
          <w:rFonts w:ascii="Times New Roman" w:hAnsi="Times New Roman" w:cs="Times New Roman"/>
        </w:rPr>
      </w:pPr>
      <w:r w:rsidRPr="004304ED">
        <w:rPr>
          <w:rFonts w:ascii="Times New Roman" w:hAnsi="Times New Roman" w:cs="Times New Roman"/>
          <w:b/>
        </w:rPr>
        <w:t>Table 4</w:t>
      </w:r>
      <w:r w:rsidRPr="004304ED">
        <w:rPr>
          <w:rFonts w:ascii="Times New Roman" w:hAnsi="Times New Roman" w:cs="Times New Roman"/>
        </w:rPr>
        <w:t>: Percentages of release of heavy metals into dumpsites soils</w:t>
      </w:r>
      <w:r w:rsidRPr="004304ED">
        <w:rPr>
          <w:rFonts w:ascii="Times New Roman" w:hAnsi="Times New Roman" w:cs="Times New Roman"/>
          <w:b/>
          <w:bCs/>
        </w:rPr>
        <w:t xml:space="preserve"> </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992"/>
        <w:gridCol w:w="993"/>
        <w:gridCol w:w="850"/>
        <w:gridCol w:w="992"/>
        <w:gridCol w:w="1134"/>
      </w:tblGrid>
      <w:tr w:rsidR="00312F12" w:rsidRPr="004304ED" w14:paraId="26E938D9" w14:textId="77777777" w:rsidTr="00476C0D">
        <w:trPr>
          <w:trHeight w:val="298"/>
          <w:jc w:val="center"/>
        </w:trPr>
        <w:tc>
          <w:tcPr>
            <w:tcW w:w="1276" w:type="dxa"/>
          </w:tcPr>
          <w:p w14:paraId="6D5D23D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Dumpsite </w:t>
            </w:r>
          </w:p>
        </w:tc>
        <w:tc>
          <w:tcPr>
            <w:tcW w:w="1276" w:type="dxa"/>
          </w:tcPr>
          <w:p w14:paraId="2935D01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Soil depth</w:t>
            </w:r>
          </w:p>
        </w:tc>
        <w:tc>
          <w:tcPr>
            <w:tcW w:w="4961" w:type="dxa"/>
            <w:gridSpan w:val="5"/>
          </w:tcPr>
          <w:p w14:paraId="107D0303" w14:textId="77777777" w:rsidR="00312F12" w:rsidRPr="004304ED" w:rsidRDefault="00312F12" w:rsidP="00476C0D">
            <w:pPr>
              <w:spacing w:after="0" w:line="240" w:lineRule="auto"/>
              <w:jc w:val="center"/>
              <w:rPr>
                <w:rFonts w:ascii="Times New Roman" w:hAnsi="Times New Roman" w:cs="Times New Roman"/>
                <w:b/>
              </w:rPr>
            </w:pPr>
            <w:r w:rsidRPr="004304ED">
              <w:rPr>
                <w:rFonts w:ascii="Times New Roman" w:hAnsi="Times New Roman" w:cs="Times New Roman"/>
                <w:b/>
              </w:rPr>
              <w:t>Metal release percentages</w:t>
            </w:r>
          </w:p>
        </w:tc>
      </w:tr>
      <w:tr w:rsidR="00312F12" w:rsidRPr="004304ED" w14:paraId="2A39475B" w14:textId="77777777" w:rsidTr="00476C0D">
        <w:trPr>
          <w:trHeight w:val="298"/>
          <w:jc w:val="center"/>
        </w:trPr>
        <w:tc>
          <w:tcPr>
            <w:tcW w:w="1276" w:type="dxa"/>
          </w:tcPr>
          <w:p w14:paraId="5C369D7E"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3644E19C"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0B8FFAA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Pb </w:t>
            </w:r>
          </w:p>
        </w:tc>
        <w:tc>
          <w:tcPr>
            <w:tcW w:w="993" w:type="dxa"/>
          </w:tcPr>
          <w:p w14:paraId="2D8FE8D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Cd </w:t>
            </w:r>
          </w:p>
        </w:tc>
        <w:tc>
          <w:tcPr>
            <w:tcW w:w="850" w:type="dxa"/>
          </w:tcPr>
          <w:p w14:paraId="04E3F924"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Cr </w:t>
            </w:r>
          </w:p>
        </w:tc>
        <w:tc>
          <w:tcPr>
            <w:tcW w:w="992" w:type="dxa"/>
          </w:tcPr>
          <w:p w14:paraId="38D991A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Ni </w:t>
            </w:r>
          </w:p>
        </w:tc>
        <w:tc>
          <w:tcPr>
            <w:tcW w:w="1134" w:type="dxa"/>
          </w:tcPr>
          <w:p w14:paraId="0DB66B2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V </w:t>
            </w:r>
          </w:p>
        </w:tc>
      </w:tr>
      <w:tr w:rsidR="00312F12" w:rsidRPr="004304ED" w14:paraId="3A60C93B" w14:textId="77777777" w:rsidTr="00476C0D">
        <w:trPr>
          <w:trHeight w:val="298"/>
          <w:jc w:val="center"/>
        </w:trPr>
        <w:tc>
          <w:tcPr>
            <w:tcW w:w="1276" w:type="dxa"/>
            <w:hideMark/>
          </w:tcPr>
          <w:p w14:paraId="72732A8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1</w:t>
            </w:r>
          </w:p>
        </w:tc>
        <w:tc>
          <w:tcPr>
            <w:tcW w:w="1276" w:type="dxa"/>
            <w:hideMark/>
          </w:tcPr>
          <w:p w14:paraId="473346E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0 -20</w:t>
            </w:r>
          </w:p>
        </w:tc>
        <w:tc>
          <w:tcPr>
            <w:tcW w:w="992" w:type="dxa"/>
            <w:hideMark/>
          </w:tcPr>
          <w:p w14:paraId="1534A97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48.61</w:t>
            </w:r>
          </w:p>
        </w:tc>
        <w:tc>
          <w:tcPr>
            <w:tcW w:w="993" w:type="dxa"/>
            <w:hideMark/>
          </w:tcPr>
          <w:p w14:paraId="2056435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46.46</w:t>
            </w:r>
          </w:p>
        </w:tc>
        <w:tc>
          <w:tcPr>
            <w:tcW w:w="850" w:type="dxa"/>
            <w:hideMark/>
          </w:tcPr>
          <w:p w14:paraId="2862969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47.05</w:t>
            </w:r>
          </w:p>
        </w:tc>
        <w:tc>
          <w:tcPr>
            <w:tcW w:w="992" w:type="dxa"/>
            <w:hideMark/>
          </w:tcPr>
          <w:p w14:paraId="69389A0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41.97</w:t>
            </w:r>
          </w:p>
        </w:tc>
        <w:tc>
          <w:tcPr>
            <w:tcW w:w="1134" w:type="dxa"/>
            <w:hideMark/>
          </w:tcPr>
          <w:p w14:paraId="3B795F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51.92</w:t>
            </w:r>
          </w:p>
        </w:tc>
      </w:tr>
      <w:tr w:rsidR="00312F12" w:rsidRPr="004304ED" w14:paraId="42C97079" w14:textId="77777777" w:rsidTr="00476C0D">
        <w:trPr>
          <w:trHeight w:val="314"/>
          <w:jc w:val="center"/>
        </w:trPr>
        <w:tc>
          <w:tcPr>
            <w:tcW w:w="1276" w:type="dxa"/>
          </w:tcPr>
          <w:p w14:paraId="2E14ABA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A093F7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7FD49B5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49.16</w:t>
            </w:r>
          </w:p>
        </w:tc>
        <w:tc>
          <w:tcPr>
            <w:tcW w:w="993" w:type="dxa"/>
            <w:hideMark/>
          </w:tcPr>
          <w:p w14:paraId="1A58FE2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28.00</w:t>
            </w:r>
          </w:p>
        </w:tc>
        <w:tc>
          <w:tcPr>
            <w:tcW w:w="850" w:type="dxa"/>
            <w:hideMark/>
          </w:tcPr>
          <w:p w14:paraId="631BD1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39.22</w:t>
            </w:r>
          </w:p>
        </w:tc>
        <w:tc>
          <w:tcPr>
            <w:tcW w:w="992" w:type="dxa"/>
            <w:hideMark/>
          </w:tcPr>
          <w:p w14:paraId="3D44BE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29.02</w:t>
            </w:r>
          </w:p>
        </w:tc>
        <w:tc>
          <w:tcPr>
            <w:tcW w:w="1134" w:type="dxa"/>
            <w:hideMark/>
          </w:tcPr>
          <w:p w14:paraId="1159F2E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33.10</w:t>
            </w:r>
          </w:p>
        </w:tc>
      </w:tr>
      <w:tr w:rsidR="00312F12" w:rsidRPr="004304ED" w14:paraId="52152310" w14:textId="77777777" w:rsidTr="00476C0D">
        <w:trPr>
          <w:trHeight w:val="298"/>
          <w:jc w:val="center"/>
        </w:trPr>
        <w:tc>
          <w:tcPr>
            <w:tcW w:w="1276" w:type="dxa"/>
          </w:tcPr>
          <w:p w14:paraId="44ECADE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46D7FF2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764A0F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37.82</w:t>
            </w:r>
          </w:p>
        </w:tc>
        <w:tc>
          <w:tcPr>
            <w:tcW w:w="993" w:type="dxa"/>
            <w:hideMark/>
          </w:tcPr>
          <w:p w14:paraId="1A80BC4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15.67</w:t>
            </w:r>
          </w:p>
        </w:tc>
        <w:tc>
          <w:tcPr>
            <w:tcW w:w="850" w:type="dxa"/>
            <w:hideMark/>
          </w:tcPr>
          <w:p w14:paraId="57C3329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25.31</w:t>
            </w:r>
          </w:p>
        </w:tc>
        <w:tc>
          <w:tcPr>
            <w:tcW w:w="992" w:type="dxa"/>
            <w:hideMark/>
          </w:tcPr>
          <w:p w14:paraId="7678223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20.05</w:t>
            </w:r>
          </w:p>
        </w:tc>
        <w:tc>
          <w:tcPr>
            <w:tcW w:w="1134" w:type="dxa"/>
            <w:hideMark/>
          </w:tcPr>
          <w:p w14:paraId="79C6937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15.33</w:t>
            </w:r>
          </w:p>
        </w:tc>
      </w:tr>
      <w:tr w:rsidR="00312F12" w:rsidRPr="004304ED" w14:paraId="4B5C10DF" w14:textId="77777777" w:rsidTr="00476C0D">
        <w:trPr>
          <w:trHeight w:val="298"/>
          <w:jc w:val="center"/>
        </w:trPr>
        <w:tc>
          <w:tcPr>
            <w:tcW w:w="1276" w:type="dxa"/>
          </w:tcPr>
          <w:p w14:paraId="0FEEF202"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5CC6FE5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5918DBC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45.20</w:t>
            </w:r>
          </w:p>
        </w:tc>
        <w:tc>
          <w:tcPr>
            <w:tcW w:w="993" w:type="dxa"/>
          </w:tcPr>
          <w:p w14:paraId="29B4184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30.04</w:t>
            </w:r>
          </w:p>
        </w:tc>
        <w:tc>
          <w:tcPr>
            <w:tcW w:w="850" w:type="dxa"/>
          </w:tcPr>
          <w:p w14:paraId="7D14B52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37.19</w:t>
            </w:r>
          </w:p>
        </w:tc>
        <w:tc>
          <w:tcPr>
            <w:tcW w:w="992" w:type="dxa"/>
          </w:tcPr>
          <w:p w14:paraId="1E76BD6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36.35</w:t>
            </w:r>
          </w:p>
        </w:tc>
        <w:tc>
          <w:tcPr>
            <w:tcW w:w="1134" w:type="dxa"/>
          </w:tcPr>
          <w:p w14:paraId="4C4D44F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33.45</w:t>
            </w:r>
          </w:p>
        </w:tc>
      </w:tr>
      <w:tr w:rsidR="00312F12" w:rsidRPr="004304ED" w14:paraId="16607321" w14:textId="77777777" w:rsidTr="00476C0D">
        <w:trPr>
          <w:trHeight w:val="298"/>
          <w:jc w:val="center"/>
        </w:trPr>
        <w:tc>
          <w:tcPr>
            <w:tcW w:w="1276" w:type="dxa"/>
            <w:hideMark/>
          </w:tcPr>
          <w:p w14:paraId="260023F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2</w:t>
            </w:r>
          </w:p>
        </w:tc>
        <w:tc>
          <w:tcPr>
            <w:tcW w:w="1276" w:type="dxa"/>
            <w:hideMark/>
          </w:tcPr>
          <w:p w14:paraId="6E7166B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0F7F6BF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52.79</w:t>
            </w:r>
          </w:p>
        </w:tc>
        <w:tc>
          <w:tcPr>
            <w:tcW w:w="993" w:type="dxa"/>
            <w:hideMark/>
          </w:tcPr>
          <w:p w14:paraId="265D3CE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46.50</w:t>
            </w:r>
          </w:p>
        </w:tc>
        <w:tc>
          <w:tcPr>
            <w:tcW w:w="850" w:type="dxa"/>
            <w:hideMark/>
          </w:tcPr>
          <w:p w14:paraId="61F5DB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40.41</w:t>
            </w:r>
          </w:p>
        </w:tc>
        <w:tc>
          <w:tcPr>
            <w:tcW w:w="992" w:type="dxa"/>
            <w:hideMark/>
          </w:tcPr>
          <w:p w14:paraId="2FE28F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53.37</w:t>
            </w:r>
          </w:p>
        </w:tc>
        <w:tc>
          <w:tcPr>
            <w:tcW w:w="1134" w:type="dxa"/>
            <w:hideMark/>
          </w:tcPr>
          <w:p w14:paraId="21B420F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41.01</w:t>
            </w:r>
          </w:p>
        </w:tc>
      </w:tr>
      <w:tr w:rsidR="00312F12" w:rsidRPr="004304ED" w14:paraId="31F9F430" w14:textId="77777777" w:rsidTr="00476C0D">
        <w:trPr>
          <w:trHeight w:val="298"/>
          <w:jc w:val="center"/>
        </w:trPr>
        <w:tc>
          <w:tcPr>
            <w:tcW w:w="1276" w:type="dxa"/>
          </w:tcPr>
          <w:p w14:paraId="0D2D6799"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21EC0B5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777AAE6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45.99</w:t>
            </w:r>
          </w:p>
        </w:tc>
        <w:tc>
          <w:tcPr>
            <w:tcW w:w="993" w:type="dxa"/>
            <w:hideMark/>
          </w:tcPr>
          <w:p w14:paraId="3881F4B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30.29</w:t>
            </w:r>
          </w:p>
        </w:tc>
        <w:tc>
          <w:tcPr>
            <w:tcW w:w="850" w:type="dxa"/>
            <w:hideMark/>
          </w:tcPr>
          <w:p w14:paraId="6C970DF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36.10</w:t>
            </w:r>
          </w:p>
        </w:tc>
        <w:tc>
          <w:tcPr>
            <w:tcW w:w="992" w:type="dxa"/>
            <w:hideMark/>
          </w:tcPr>
          <w:p w14:paraId="79FEA61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41.97</w:t>
            </w:r>
          </w:p>
        </w:tc>
        <w:tc>
          <w:tcPr>
            <w:tcW w:w="1134" w:type="dxa"/>
            <w:hideMark/>
          </w:tcPr>
          <w:p w14:paraId="3937EFD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28.49</w:t>
            </w:r>
          </w:p>
        </w:tc>
      </w:tr>
      <w:tr w:rsidR="00312F12" w:rsidRPr="004304ED" w14:paraId="47CEBCF7" w14:textId="77777777" w:rsidTr="00476C0D">
        <w:trPr>
          <w:trHeight w:val="314"/>
          <w:jc w:val="center"/>
        </w:trPr>
        <w:tc>
          <w:tcPr>
            <w:tcW w:w="1276" w:type="dxa"/>
          </w:tcPr>
          <w:p w14:paraId="5D19956D"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398655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717AE25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40.91</w:t>
            </w:r>
          </w:p>
        </w:tc>
        <w:tc>
          <w:tcPr>
            <w:tcW w:w="993" w:type="dxa"/>
            <w:hideMark/>
          </w:tcPr>
          <w:p w14:paraId="124A0A0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16.86</w:t>
            </w:r>
          </w:p>
        </w:tc>
        <w:tc>
          <w:tcPr>
            <w:tcW w:w="850" w:type="dxa"/>
            <w:hideMark/>
          </w:tcPr>
          <w:p w14:paraId="3D6FBA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31.44</w:t>
            </w:r>
          </w:p>
        </w:tc>
        <w:tc>
          <w:tcPr>
            <w:tcW w:w="992" w:type="dxa"/>
            <w:hideMark/>
          </w:tcPr>
          <w:p w14:paraId="025012E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24.71</w:t>
            </w:r>
          </w:p>
        </w:tc>
        <w:tc>
          <w:tcPr>
            <w:tcW w:w="1134" w:type="dxa"/>
            <w:hideMark/>
          </w:tcPr>
          <w:p w14:paraId="54F14AC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12.42</w:t>
            </w:r>
          </w:p>
        </w:tc>
      </w:tr>
      <w:tr w:rsidR="00312F12" w:rsidRPr="004304ED" w14:paraId="654D1EB6" w14:textId="77777777" w:rsidTr="00476C0D">
        <w:trPr>
          <w:trHeight w:val="314"/>
          <w:jc w:val="center"/>
        </w:trPr>
        <w:tc>
          <w:tcPr>
            <w:tcW w:w="1276" w:type="dxa"/>
          </w:tcPr>
          <w:p w14:paraId="61342632"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8AA3D8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26075D6E"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46.56</w:t>
            </w:r>
          </w:p>
        </w:tc>
        <w:tc>
          <w:tcPr>
            <w:tcW w:w="993" w:type="dxa"/>
          </w:tcPr>
          <w:p w14:paraId="0398025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31.22</w:t>
            </w:r>
          </w:p>
        </w:tc>
        <w:tc>
          <w:tcPr>
            <w:tcW w:w="850" w:type="dxa"/>
          </w:tcPr>
          <w:p w14:paraId="799E214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35.98</w:t>
            </w:r>
          </w:p>
        </w:tc>
        <w:tc>
          <w:tcPr>
            <w:tcW w:w="992" w:type="dxa"/>
          </w:tcPr>
          <w:p w14:paraId="426FE661"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40.02</w:t>
            </w:r>
          </w:p>
        </w:tc>
        <w:tc>
          <w:tcPr>
            <w:tcW w:w="1134" w:type="dxa"/>
          </w:tcPr>
          <w:p w14:paraId="59E5F0A0"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27.31</w:t>
            </w:r>
          </w:p>
        </w:tc>
      </w:tr>
      <w:tr w:rsidR="00312F12" w:rsidRPr="004304ED" w14:paraId="623E2096" w14:textId="77777777" w:rsidTr="00476C0D">
        <w:trPr>
          <w:trHeight w:val="298"/>
          <w:jc w:val="center"/>
        </w:trPr>
        <w:tc>
          <w:tcPr>
            <w:tcW w:w="1276" w:type="dxa"/>
            <w:hideMark/>
          </w:tcPr>
          <w:p w14:paraId="5AA01E3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3</w:t>
            </w:r>
          </w:p>
        </w:tc>
        <w:tc>
          <w:tcPr>
            <w:tcW w:w="1276" w:type="dxa"/>
            <w:hideMark/>
          </w:tcPr>
          <w:p w14:paraId="4BB4AFC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6DC81FC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48.02</w:t>
            </w:r>
          </w:p>
        </w:tc>
        <w:tc>
          <w:tcPr>
            <w:tcW w:w="993" w:type="dxa"/>
            <w:hideMark/>
          </w:tcPr>
          <w:p w14:paraId="317943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43.14</w:t>
            </w:r>
          </w:p>
        </w:tc>
        <w:tc>
          <w:tcPr>
            <w:tcW w:w="850" w:type="dxa"/>
            <w:hideMark/>
          </w:tcPr>
          <w:p w14:paraId="140F524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47.04</w:t>
            </w:r>
          </w:p>
        </w:tc>
        <w:tc>
          <w:tcPr>
            <w:tcW w:w="992" w:type="dxa"/>
            <w:hideMark/>
          </w:tcPr>
          <w:p w14:paraId="2AD4128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60.10</w:t>
            </w:r>
          </w:p>
        </w:tc>
        <w:tc>
          <w:tcPr>
            <w:tcW w:w="1134" w:type="dxa"/>
            <w:hideMark/>
          </w:tcPr>
          <w:p w14:paraId="24D6DF3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43.00</w:t>
            </w:r>
          </w:p>
        </w:tc>
      </w:tr>
      <w:tr w:rsidR="00312F12" w:rsidRPr="004304ED" w14:paraId="32ADF0EE" w14:textId="77777777" w:rsidTr="00476C0D">
        <w:trPr>
          <w:trHeight w:val="298"/>
          <w:jc w:val="center"/>
        </w:trPr>
        <w:tc>
          <w:tcPr>
            <w:tcW w:w="1276" w:type="dxa"/>
          </w:tcPr>
          <w:p w14:paraId="0475120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A407F5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3761F15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44.48</w:t>
            </w:r>
          </w:p>
        </w:tc>
        <w:tc>
          <w:tcPr>
            <w:tcW w:w="993" w:type="dxa"/>
            <w:hideMark/>
          </w:tcPr>
          <w:p w14:paraId="4373798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25.52</w:t>
            </w:r>
          </w:p>
        </w:tc>
        <w:tc>
          <w:tcPr>
            <w:tcW w:w="850" w:type="dxa"/>
            <w:hideMark/>
          </w:tcPr>
          <w:p w14:paraId="400B213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42.66</w:t>
            </w:r>
          </w:p>
        </w:tc>
        <w:tc>
          <w:tcPr>
            <w:tcW w:w="992" w:type="dxa"/>
            <w:hideMark/>
          </w:tcPr>
          <w:p w14:paraId="060612A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45.54</w:t>
            </w:r>
          </w:p>
        </w:tc>
        <w:tc>
          <w:tcPr>
            <w:tcW w:w="1134" w:type="dxa"/>
            <w:hideMark/>
          </w:tcPr>
          <w:p w14:paraId="320631B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30.26</w:t>
            </w:r>
          </w:p>
        </w:tc>
      </w:tr>
      <w:tr w:rsidR="00312F12" w:rsidRPr="004304ED" w14:paraId="2B64ED29" w14:textId="77777777" w:rsidTr="00476C0D">
        <w:trPr>
          <w:trHeight w:val="298"/>
          <w:jc w:val="center"/>
        </w:trPr>
        <w:tc>
          <w:tcPr>
            <w:tcW w:w="1276" w:type="dxa"/>
          </w:tcPr>
          <w:p w14:paraId="56009DD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0B3667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40 -60</w:t>
            </w:r>
          </w:p>
        </w:tc>
        <w:tc>
          <w:tcPr>
            <w:tcW w:w="992" w:type="dxa"/>
            <w:hideMark/>
          </w:tcPr>
          <w:p w14:paraId="2D6DDF2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40.35</w:t>
            </w:r>
          </w:p>
        </w:tc>
        <w:tc>
          <w:tcPr>
            <w:tcW w:w="993" w:type="dxa"/>
            <w:hideMark/>
          </w:tcPr>
          <w:p w14:paraId="6B15EC5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12.87</w:t>
            </w:r>
          </w:p>
        </w:tc>
        <w:tc>
          <w:tcPr>
            <w:tcW w:w="850" w:type="dxa"/>
            <w:hideMark/>
          </w:tcPr>
          <w:p w14:paraId="4318F9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37.88</w:t>
            </w:r>
          </w:p>
        </w:tc>
        <w:tc>
          <w:tcPr>
            <w:tcW w:w="992" w:type="dxa"/>
            <w:hideMark/>
          </w:tcPr>
          <w:p w14:paraId="30316E4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32.19</w:t>
            </w:r>
          </w:p>
        </w:tc>
        <w:tc>
          <w:tcPr>
            <w:tcW w:w="1134" w:type="dxa"/>
            <w:hideMark/>
          </w:tcPr>
          <w:p w14:paraId="735F55A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15.97</w:t>
            </w:r>
          </w:p>
        </w:tc>
      </w:tr>
      <w:tr w:rsidR="00312F12" w:rsidRPr="004304ED" w14:paraId="2F28E523" w14:textId="77777777" w:rsidTr="00476C0D">
        <w:trPr>
          <w:trHeight w:val="162"/>
          <w:jc w:val="center"/>
        </w:trPr>
        <w:tc>
          <w:tcPr>
            <w:tcW w:w="1276" w:type="dxa"/>
          </w:tcPr>
          <w:p w14:paraId="59EB187B"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B1717A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2FF41E64"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44.28</w:t>
            </w:r>
          </w:p>
        </w:tc>
        <w:tc>
          <w:tcPr>
            <w:tcW w:w="993" w:type="dxa"/>
          </w:tcPr>
          <w:p w14:paraId="433EB44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27.18</w:t>
            </w:r>
          </w:p>
        </w:tc>
        <w:tc>
          <w:tcPr>
            <w:tcW w:w="850" w:type="dxa"/>
          </w:tcPr>
          <w:p w14:paraId="5797BCD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42.53</w:t>
            </w:r>
          </w:p>
        </w:tc>
        <w:tc>
          <w:tcPr>
            <w:tcW w:w="992" w:type="dxa"/>
          </w:tcPr>
          <w:p w14:paraId="73359B1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49.94</w:t>
            </w:r>
          </w:p>
        </w:tc>
        <w:tc>
          <w:tcPr>
            <w:tcW w:w="1134" w:type="dxa"/>
          </w:tcPr>
          <w:p w14:paraId="6A8C9B2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29.74</w:t>
            </w:r>
          </w:p>
        </w:tc>
      </w:tr>
      <w:tr w:rsidR="00312F12" w:rsidRPr="004304ED" w14:paraId="63AE7A17" w14:textId="77777777" w:rsidTr="00476C0D">
        <w:trPr>
          <w:trHeight w:val="125"/>
          <w:jc w:val="center"/>
        </w:trPr>
        <w:tc>
          <w:tcPr>
            <w:tcW w:w="1276" w:type="dxa"/>
          </w:tcPr>
          <w:p w14:paraId="4EEB2B82"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EF0F21E"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6C854535" w14:textId="77777777" w:rsidR="00312F12" w:rsidRPr="004304ED" w:rsidRDefault="00312F12" w:rsidP="00476C0D">
            <w:pPr>
              <w:spacing w:after="0" w:line="240" w:lineRule="auto"/>
              <w:jc w:val="both"/>
              <w:rPr>
                <w:rFonts w:ascii="Times New Roman" w:hAnsi="Times New Roman" w:cs="Times New Roman"/>
                <w:b/>
              </w:rPr>
            </w:pPr>
          </w:p>
        </w:tc>
        <w:tc>
          <w:tcPr>
            <w:tcW w:w="993" w:type="dxa"/>
          </w:tcPr>
          <w:p w14:paraId="4FBCFA10" w14:textId="77777777" w:rsidR="00312F12" w:rsidRPr="004304ED" w:rsidRDefault="00312F12" w:rsidP="00476C0D">
            <w:pPr>
              <w:spacing w:after="0" w:line="240" w:lineRule="auto"/>
              <w:jc w:val="both"/>
              <w:rPr>
                <w:rFonts w:ascii="Times New Roman" w:hAnsi="Times New Roman" w:cs="Times New Roman"/>
                <w:b/>
              </w:rPr>
            </w:pPr>
          </w:p>
        </w:tc>
        <w:tc>
          <w:tcPr>
            <w:tcW w:w="850" w:type="dxa"/>
          </w:tcPr>
          <w:p w14:paraId="1FD222BD"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5B8B67DA" w14:textId="77777777" w:rsidR="00312F12" w:rsidRPr="004304ED" w:rsidRDefault="00312F12" w:rsidP="00476C0D">
            <w:pPr>
              <w:spacing w:after="0" w:line="240" w:lineRule="auto"/>
              <w:jc w:val="both"/>
              <w:rPr>
                <w:rFonts w:ascii="Times New Roman" w:hAnsi="Times New Roman" w:cs="Times New Roman"/>
                <w:b/>
              </w:rPr>
            </w:pPr>
          </w:p>
        </w:tc>
        <w:tc>
          <w:tcPr>
            <w:tcW w:w="1134" w:type="dxa"/>
          </w:tcPr>
          <w:p w14:paraId="0E1C0312" w14:textId="77777777" w:rsidR="00312F12" w:rsidRPr="004304ED" w:rsidRDefault="00312F12" w:rsidP="00476C0D">
            <w:pPr>
              <w:spacing w:after="0" w:line="240" w:lineRule="auto"/>
              <w:jc w:val="both"/>
              <w:rPr>
                <w:rFonts w:ascii="Times New Roman" w:hAnsi="Times New Roman" w:cs="Times New Roman"/>
                <w:b/>
              </w:rPr>
            </w:pPr>
          </w:p>
        </w:tc>
      </w:tr>
      <w:tr w:rsidR="00312F12" w:rsidRPr="004304ED" w14:paraId="1B209959" w14:textId="77777777" w:rsidTr="00476C0D">
        <w:trPr>
          <w:trHeight w:val="314"/>
          <w:jc w:val="center"/>
        </w:trPr>
        <w:tc>
          <w:tcPr>
            <w:tcW w:w="1276" w:type="dxa"/>
            <w:hideMark/>
          </w:tcPr>
          <w:p w14:paraId="378EB92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lastRenderedPageBreak/>
              <w:t>P 1</w:t>
            </w:r>
          </w:p>
        </w:tc>
        <w:tc>
          <w:tcPr>
            <w:tcW w:w="1276" w:type="dxa"/>
            <w:hideMark/>
          </w:tcPr>
          <w:p w14:paraId="7962874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53EC94C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31.21</w:t>
            </w:r>
          </w:p>
        </w:tc>
        <w:tc>
          <w:tcPr>
            <w:tcW w:w="993" w:type="dxa"/>
            <w:hideMark/>
          </w:tcPr>
          <w:p w14:paraId="36142BA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43.08</w:t>
            </w:r>
          </w:p>
        </w:tc>
        <w:tc>
          <w:tcPr>
            <w:tcW w:w="850" w:type="dxa"/>
            <w:hideMark/>
          </w:tcPr>
          <w:p w14:paraId="3EDB50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42.36</w:t>
            </w:r>
          </w:p>
        </w:tc>
        <w:tc>
          <w:tcPr>
            <w:tcW w:w="992" w:type="dxa"/>
            <w:hideMark/>
          </w:tcPr>
          <w:p w14:paraId="7EA1A18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58.79</w:t>
            </w:r>
          </w:p>
        </w:tc>
        <w:tc>
          <w:tcPr>
            <w:tcW w:w="1134" w:type="dxa"/>
            <w:hideMark/>
          </w:tcPr>
          <w:p w14:paraId="19BDA2F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49.50</w:t>
            </w:r>
          </w:p>
        </w:tc>
      </w:tr>
      <w:tr w:rsidR="00312F12" w:rsidRPr="004304ED" w14:paraId="66AF6389" w14:textId="77777777" w:rsidTr="00476C0D">
        <w:trPr>
          <w:trHeight w:val="298"/>
          <w:jc w:val="center"/>
        </w:trPr>
        <w:tc>
          <w:tcPr>
            <w:tcW w:w="1276" w:type="dxa"/>
          </w:tcPr>
          <w:p w14:paraId="4CA79BBC"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550E622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23D91AE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27.45</w:t>
            </w:r>
          </w:p>
        </w:tc>
        <w:tc>
          <w:tcPr>
            <w:tcW w:w="993" w:type="dxa"/>
            <w:hideMark/>
          </w:tcPr>
          <w:p w14:paraId="5AE9355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18.19</w:t>
            </w:r>
          </w:p>
        </w:tc>
        <w:tc>
          <w:tcPr>
            <w:tcW w:w="850" w:type="dxa"/>
            <w:hideMark/>
          </w:tcPr>
          <w:p w14:paraId="3FAFC09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38.19</w:t>
            </w:r>
          </w:p>
        </w:tc>
        <w:tc>
          <w:tcPr>
            <w:tcW w:w="992" w:type="dxa"/>
            <w:hideMark/>
          </w:tcPr>
          <w:p w14:paraId="547B477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39.44</w:t>
            </w:r>
          </w:p>
        </w:tc>
        <w:tc>
          <w:tcPr>
            <w:tcW w:w="1134" w:type="dxa"/>
            <w:hideMark/>
          </w:tcPr>
          <w:p w14:paraId="1871F42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25.64</w:t>
            </w:r>
          </w:p>
        </w:tc>
      </w:tr>
      <w:tr w:rsidR="00312F12" w:rsidRPr="004304ED" w14:paraId="425204E4" w14:textId="77777777" w:rsidTr="00476C0D">
        <w:trPr>
          <w:trHeight w:val="298"/>
          <w:jc w:val="center"/>
        </w:trPr>
        <w:tc>
          <w:tcPr>
            <w:tcW w:w="1276" w:type="dxa"/>
          </w:tcPr>
          <w:p w14:paraId="718A7EE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933084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5D0A98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25.11</w:t>
            </w:r>
          </w:p>
        </w:tc>
        <w:tc>
          <w:tcPr>
            <w:tcW w:w="993" w:type="dxa"/>
            <w:hideMark/>
          </w:tcPr>
          <w:p w14:paraId="1105CE2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9.94</w:t>
            </w:r>
          </w:p>
        </w:tc>
        <w:tc>
          <w:tcPr>
            <w:tcW w:w="850" w:type="dxa"/>
            <w:hideMark/>
          </w:tcPr>
          <w:p w14:paraId="26C1B98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27.31</w:t>
            </w:r>
          </w:p>
        </w:tc>
        <w:tc>
          <w:tcPr>
            <w:tcW w:w="992" w:type="dxa"/>
            <w:hideMark/>
          </w:tcPr>
          <w:p w14:paraId="70F66A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24.99</w:t>
            </w:r>
          </w:p>
        </w:tc>
        <w:tc>
          <w:tcPr>
            <w:tcW w:w="1134" w:type="dxa"/>
            <w:hideMark/>
          </w:tcPr>
          <w:p w14:paraId="386CD5C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14.00</w:t>
            </w:r>
          </w:p>
        </w:tc>
      </w:tr>
      <w:tr w:rsidR="00312F12" w:rsidRPr="004304ED" w14:paraId="15A3D8EB" w14:textId="77777777" w:rsidTr="00476C0D">
        <w:trPr>
          <w:trHeight w:val="298"/>
          <w:jc w:val="center"/>
        </w:trPr>
        <w:tc>
          <w:tcPr>
            <w:tcW w:w="1276" w:type="dxa"/>
          </w:tcPr>
          <w:p w14:paraId="5F92713F"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100F769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C4596F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27.92</w:t>
            </w:r>
          </w:p>
        </w:tc>
        <w:tc>
          <w:tcPr>
            <w:tcW w:w="993" w:type="dxa"/>
          </w:tcPr>
          <w:p w14:paraId="54BD2AD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23.74</w:t>
            </w:r>
          </w:p>
        </w:tc>
        <w:tc>
          <w:tcPr>
            <w:tcW w:w="850" w:type="dxa"/>
          </w:tcPr>
          <w:p w14:paraId="782255C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35.95</w:t>
            </w:r>
          </w:p>
        </w:tc>
        <w:tc>
          <w:tcPr>
            <w:tcW w:w="992" w:type="dxa"/>
          </w:tcPr>
          <w:p w14:paraId="58415F9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41.07</w:t>
            </w:r>
          </w:p>
        </w:tc>
        <w:tc>
          <w:tcPr>
            <w:tcW w:w="1134" w:type="dxa"/>
          </w:tcPr>
          <w:p w14:paraId="5EFC71B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29.71</w:t>
            </w:r>
          </w:p>
        </w:tc>
      </w:tr>
      <w:tr w:rsidR="00312F12" w:rsidRPr="004304ED" w14:paraId="5ADC466A" w14:textId="77777777" w:rsidTr="00476C0D">
        <w:trPr>
          <w:trHeight w:val="314"/>
          <w:jc w:val="center"/>
        </w:trPr>
        <w:tc>
          <w:tcPr>
            <w:tcW w:w="1276" w:type="dxa"/>
            <w:hideMark/>
          </w:tcPr>
          <w:p w14:paraId="49C57BD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P 2</w:t>
            </w:r>
          </w:p>
        </w:tc>
        <w:tc>
          <w:tcPr>
            <w:tcW w:w="1276" w:type="dxa"/>
            <w:hideMark/>
          </w:tcPr>
          <w:p w14:paraId="382E054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588E85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35.12</w:t>
            </w:r>
          </w:p>
        </w:tc>
        <w:tc>
          <w:tcPr>
            <w:tcW w:w="993" w:type="dxa"/>
            <w:hideMark/>
          </w:tcPr>
          <w:p w14:paraId="6EAD558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73.06</w:t>
            </w:r>
          </w:p>
        </w:tc>
        <w:tc>
          <w:tcPr>
            <w:tcW w:w="850" w:type="dxa"/>
            <w:hideMark/>
          </w:tcPr>
          <w:p w14:paraId="0AB84E1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39.51</w:t>
            </w:r>
          </w:p>
        </w:tc>
        <w:tc>
          <w:tcPr>
            <w:tcW w:w="992" w:type="dxa"/>
            <w:hideMark/>
          </w:tcPr>
          <w:p w14:paraId="5B991EB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47.31</w:t>
            </w:r>
          </w:p>
        </w:tc>
        <w:tc>
          <w:tcPr>
            <w:tcW w:w="1134" w:type="dxa"/>
            <w:hideMark/>
          </w:tcPr>
          <w:p w14:paraId="1C3C92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45.17</w:t>
            </w:r>
          </w:p>
        </w:tc>
      </w:tr>
      <w:tr w:rsidR="00312F12" w:rsidRPr="004304ED" w14:paraId="5B3F1F8D" w14:textId="77777777" w:rsidTr="00476C0D">
        <w:trPr>
          <w:trHeight w:val="298"/>
          <w:jc w:val="center"/>
        </w:trPr>
        <w:tc>
          <w:tcPr>
            <w:tcW w:w="1276" w:type="dxa"/>
          </w:tcPr>
          <w:p w14:paraId="4F862793"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8A90EC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38A933C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32.15</w:t>
            </w:r>
          </w:p>
        </w:tc>
        <w:tc>
          <w:tcPr>
            <w:tcW w:w="993" w:type="dxa"/>
            <w:hideMark/>
          </w:tcPr>
          <w:p w14:paraId="4E34FF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36.29</w:t>
            </w:r>
          </w:p>
        </w:tc>
        <w:tc>
          <w:tcPr>
            <w:tcW w:w="850" w:type="dxa"/>
            <w:hideMark/>
          </w:tcPr>
          <w:p w14:paraId="62478FB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35.50</w:t>
            </w:r>
          </w:p>
        </w:tc>
        <w:tc>
          <w:tcPr>
            <w:tcW w:w="992" w:type="dxa"/>
            <w:hideMark/>
          </w:tcPr>
          <w:p w14:paraId="6E60D9D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36.10</w:t>
            </w:r>
          </w:p>
        </w:tc>
        <w:tc>
          <w:tcPr>
            <w:tcW w:w="1134" w:type="dxa"/>
            <w:hideMark/>
          </w:tcPr>
          <w:p w14:paraId="1492B5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39.24</w:t>
            </w:r>
          </w:p>
        </w:tc>
      </w:tr>
      <w:tr w:rsidR="00312F12" w:rsidRPr="004304ED" w14:paraId="006001ED" w14:textId="77777777" w:rsidTr="00476C0D">
        <w:trPr>
          <w:trHeight w:val="298"/>
          <w:jc w:val="center"/>
        </w:trPr>
        <w:tc>
          <w:tcPr>
            <w:tcW w:w="1276" w:type="dxa"/>
          </w:tcPr>
          <w:p w14:paraId="1FAA47E1"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2944C8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E49471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27.74</w:t>
            </w:r>
          </w:p>
        </w:tc>
        <w:tc>
          <w:tcPr>
            <w:tcW w:w="993" w:type="dxa"/>
            <w:hideMark/>
          </w:tcPr>
          <w:p w14:paraId="0C39FC7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22.12</w:t>
            </w:r>
          </w:p>
        </w:tc>
        <w:tc>
          <w:tcPr>
            <w:tcW w:w="850" w:type="dxa"/>
            <w:hideMark/>
          </w:tcPr>
          <w:p w14:paraId="27979F2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33.66</w:t>
            </w:r>
          </w:p>
        </w:tc>
        <w:tc>
          <w:tcPr>
            <w:tcW w:w="992" w:type="dxa"/>
            <w:hideMark/>
          </w:tcPr>
          <w:p w14:paraId="7EC2466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19.73</w:t>
            </w:r>
          </w:p>
        </w:tc>
        <w:tc>
          <w:tcPr>
            <w:tcW w:w="1134" w:type="dxa"/>
            <w:hideMark/>
          </w:tcPr>
          <w:p w14:paraId="7E14D5E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22.42</w:t>
            </w:r>
          </w:p>
        </w:tc>
      </w:tr>
      <w:tr w:rsidR="00312F12" w:rsidRPr="004304ED" w14:paraId="7F3F1D78" w14:textId="77777777" w:rsidTr="00476C0D">
        <w:trPr>
          <w:trHeight w:val="298"/>
          <w:jc w:val="center"/>
        </w:trPr>
        <w:tc>
          <w:tcPr>
            <w:tcW w:w="1276" w:type="dxa"/>
          </w:tcPr>
          <w:p w14:paraId="7E369B50"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0FF15171"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7CE03D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31.67</w:t>
            </w:r>
          </w:p>
        </w:tc>
        <w:tc>
          <w:tcPr>
            <w:tcW w:w="993" w:type="dxa"/>
          </w:tcPr>
          <w:p w14:paraId="757613E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43.82</w:t>
            </w:r>
          </w:p>
        </w:tc>
        <w:tc>
          <w:tcPr>
            <w:tcW w:w="850" w:type="dxa"/>
          </w:tcPr>
          <w:p w14:paraId="4DE5E1E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36.22</w:t>
            </w:r>
          </w:p>
        </w:tc>
        <w:tc>
          <w:tcPr>
            <w:tcW w:w="992" w:type="dxa"/>
          </w:tcPr>
          <w:p w14:paraId="071921A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34.38</w:t>
            </w:r>
          </w:p>
        </w:tc>
        <w:tc>
          <w:tcPr>
            <w:tcW w:w="1134" w:type="dxa"/>
          </w:tcPr>
          <w:p w14:paraId="6A2DEF3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35.61</w:t>
            </w:r>
          </w:p>
        </w:tc>
      </w:tr>
      <w:tr w:rsidR="00312F12" w:rsidRPr="004304ED" w14:paraId="6737FDA3" w14:textId="77777777" w:rsidTr="00476C0D">
        <w:trPr>
          <w:trHeight w:val="298"/>
          <w:jc w:val="center"/>
        </w:trPr>
        <w:tc>
          <w:tcPr>
            <w:tcW w:w="1276" w:type="dxa"/>
            <w:hideMark/>
          </w:tcPr>
          <w:p w14:paraId="335A748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P 3</w:t>
            </w:r>
          </w:p>
        </w:tc>
        <w:tc>
          <w:tcPr>
            <w:tcW w:w="1276" w:type="dxa"/>
            <w:hideMark/>
          </w:tcPr>
          <w:p w14:paraId="303593F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127B6A8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49.12</w:t>
            </w:r>
          </w:p>
        </w:tc>
        <w:tc>
          <w:tcPr>
            <w:tcW w:w="993" w:type="dxa"/>
            <w:hideMark/>
          </w:tcPr>
          <w:p w14:paraId="23B20B5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44.40</w:t>
            </w:r>
          </w:p>
        </w:tc>
        <w:tc>
          <w:tcPr>
            <w:tcW w:w="850" w:type="dxa"/>
            <w:hideMark/>
          </w:tcPr>
          <w:p w14:paraId="006ADE9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46.33</w:t>
            </w:r>
          </w:p>
        </w:tc>
        <w:tc>
          <w:tcPr>
            <w:tcW w:w="992" w:type="dxa"/>
            <w:hideMark/>
          </w:tcPr>
          <w:p w14:paraId="1EE9ADE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61.89</w:t>
            </w:r>
          </w:p>
        </w:tc>
        <w:tc>
          <w:tcPr>
            <w:tcW w:w="1134" w:type="dxa"/>
            <w:hideMark/>
          </w:tcPr>
          <w:p w14:paraId="05C1647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51.14</w:t>
            </w:r>
          </w:p>
        </w:tc>
      </w:tr>
      <w:tr w:rsidR="00312F12" w:rsidRPr="004304ED" w14:paraId="248DB817" w14:textId="77777777" w:rsidTr="00476C0D">
        <w:trPr>
          <w:trHeight w:val="314"/>
          <w:jc w:val="center"/>
        </w:trPr>
        <w:tc>
          <w:tcPr>
            <w:tcW w:w="1276" w:type="dxa"/>
          </w:tcPr>
          <w:p w14:paraId="6A0A3496"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249042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4D63345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46.03</w:t>
            </w:r>
          </w:p>
        </w:tc>
        <w:tc>
          <w:tcPr>
            <w:tcW w:w="993" w:type="dxa"/>
            <w:hideMark/>
          </w:tcPr>
          <w:p w14:paraId="71DADB3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36.74</w:t>
            </w:r>
          </w:p>
        </w:tc>
        <w:tc>
          <w:tcPr>
            <w:tcW w:w="850" w:type="dxa"/>
            <w:hideMark/>
          </w:tcPr>
          <w:p w14:paraId="7417E9D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40.99</w:t>
            </w:r>
          </w:p>
        </w:tc>
        <w:tc>
          <w:tcPr>
            <w:tcW w:w="992" w:type="dxa"/>
            <w:hideMark/>
          </w:tcPr>
          <w:p w14:paraId="54731E3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42.39</w:t>
            </w:r>
          </w:p>
        </w:tc>
        <w:tc>
          <w:tcPr>
            <w:tcW w:w="1134" w:type="dxa"/>
            <w:hideMark/>
          </w:tcPr>
          <w:p w14:paraId="5F5A417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41.88</w:t>
            </w:r>
          </w:p>
        </w:tc>
      </w:tr>
      <w:tr w:rsidR="00312F12" w:rsidRPr="004304ED" w14:paraId="3EB64E37" w14:textId="77777777" w:rsidTr="00476C0D">
        <w:trPr>
          <w:trHeight w:val="298"/>
          <w:jc w:val="center"/>
        </w:trPr>
        <w:tc>
          <w:tcPr>
            <w:tcW w:w="1276" w:type="dxa"/>
          </w:tcPr>
          <w:p w14:paraId="6BDBFFA1"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1EAA2F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517A07A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34.30</w:t>
            </w:r>
          </w:p>
        </w:tc>
        <w:tc>
          <w:tcPr>
            <w:tcW w:w="993" w:type="dxa"/>
            <w:hideMark/>
          </w:tcPr>
          <w:p w14:paraId="5183DD7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17.02</w:t>
            </w:r>
          </w:p>
        </w:tc>
        <w:tc>
          <w:tcPr>
            <w:tcW w:w="850" w:type="dxa"/>
            <w:hideMark/>
          </w:tcPr>
          <w:p w14:paraId="4AD321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32.90</w:t>
            </w:r>
          </w:p>
        </w:tc>
        <w:tc>
          <w:tcPr>
            <w:tcW w:w="992" w:type="dxa"/>
            <w:hideMark/>
          </w:tcPr>
          <w:p w14:paraId="20A9AF4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26.16</w:t>
            </w:r>
          </w:p>
        </w:tc>
        <w:tc>
          <w:tcPr>
            <w:tcW w:w="1134" w:type="dxa"/>
            <w:hideMark/>
          </w:tcPr>
          <w:p w14:paraId="28B4E4B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31.92</w:t>
            </w:r>
          </w:p>
        </w:tc>
      </w:tr>
      <w:tr w:rsidR="00312F12" w:rsidRPr="004304ED" w14:paraId="7DD293B0" w14:textId="77777777" w:rsidTr="00476C0D">
        <w:trPr>
          <w:trHeight w:val="298"/>
          <w:jc w:val="center"/>
        </w:trPr>
        <w:tc>
          <w:tcPr>
            <w:tcW w:w="1276" w:type="dxa"/>
          </w:tcPr>
          <w:p w14:paraId="72E36DBE"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19F6031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0DE166F2"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43.15</w:t>
            </w:r>
          </w:p>
        </w:tc>
        <w:tc>
          <w:tcPr>
            <w:tcW w:w="993" w:type="dxa"/>
          </w:tcPr>
          <w:p w14:paraId="1B37005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32.72</w:t>
            </w:r>
          </w:p>
        </w:tc>
        <w:tc>
          <w:tcPr>
            <w:tcW w:w="850" w:type="dxa"/>
          </w:tcPr>
          <w:p w14:paraId="281607A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40.07</w:t>
            </w:r>
          </w:p>
        </w:tc>
        <w:tc>
          <w:tcPr>
            <w:tcW w:w="992" w:type="dxa"/>
          </w:tcPr>
          <w:p w14:paraId="7030E5B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43.48</w:t>
            </w:r>
          </w:p>
        </w:tc>
        <w:tc>
          <w:tcPr>
            <w:tcW w:w="1134" w:type="dxa"/>
          </w:tcPr>
          <w:p w14:paraId="1EE978F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41.65</w:t>
            </w:r>
          </w:p>
        </w:tc>
      </w:tr>
      <w:tr w:rsidR="00312F12" w:rsidRPr="004304ED" w14:paraId="723CBFF8" w14:textId="77777777" w:rsidTr="00476C0D">
        <w:trPr>
          <w:trHeight w:val="298"/>
          <w:jc w:val="center"/>
        </w:trPr>
        <w:tc>
          <w:tcPr>
            <w:tcW w:w="1276" w:type="dxa"/>
            <w:hideMark/>
          </w:tcPr>
          <w:p w14:paraId="1278BFB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AB1</w:t>
            </w:r>
          </w:p>
        </w:tc>
        <w:tc>
          <w:tcPr>
            <w:tcW w:w="1276" w:type="dxa"/>
            <w:hideMark/>
          </w:tcPr>
          <w:p w14:paraId="3D5FEE8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244F88F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36.82</w:t>
            </w:r>
          </w:p>
        </w:tc>
        <w:tc>
          <w:tcPr>
            <w:tcW w:w="993" w:type="dxa"/>
            <w:hideMark/>
          </w:tcPr>
          <w:p w14:paraId="1A463B3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45.10</w:t>
            </w:r>
          </w:p>
        </w:tc>
        <w:tc>
          <w:tcPr>
            <w:tcW w:w="850" w:type="dxa"/>
            <w:hideMark/>
          </w:tcPr>
          <w:p w14:paraId="135B159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43.40</w:t>
            </w:r>
          </w:p>
        </w:tc>
        <w:tc>
          <w:tcPr>
            <w:tcW w:w="992" w:type="dxa"/>
            <w:hideMark/>
          </w:tcPr>
          <w:p w14:paraId="2856E1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48.40</w:t>
            </w:r>
          </w:p>
        </w:tc>
        <w:tc>
          <w:tcPr>
            <w:tcW w:w="1134" w:type="dxa"/>
            <w:hideMark/>
          </w:tcPr>
          <w:p w14:paraId="28196B7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54.32</w:t>
            </w:r>
          </w:p>
        </w:tc>
      </w:tr>
      <w:tr w:rsidR="00312F12" w:rsidRPr="004304ED" w14:paraId="3BBDA59E" w14:textId="77777777" w:rsidTr="00476C0D">
        <w:trPr>
          <w:trHeight w:val="298"/>
          <w:jc w:val="center"/>
        </w:trPr>
        <w:tc>
          <w:tcPr>
            <w:tcW w:w="1276" w:type="dxa"/>
          </w:tcPr>
          <w:p w14:paraId="1F9D841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8E0DE2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65B8B8F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21.42</w:t>
            </w:r>
          </w:p>
        </w:tc>
        <w:tc>
          <w:tcPr>
            <w:tcW w:w="993" w:type="dxa"/>
            <w:hideMark/>
          </w:tcPr>
          <w:p w14:paraId="7A9DD54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33.94</w:t>
            </w:r>
          </w:p>
        </w:tc>
        <w:tc>
          <w:tcPr>
            <w:tcW w:w="850" w:type="dxa"/>
            <w:hideMark/>
          </w:tcPr>
          <w:p w14:paraId="140C83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28.73</w:t>
            </w:r>
          </w:p>
        </w:tc>
        <w:tc>
          <w:tcPr>
            <w:tcW w:w="992" w:type="dxa"/>
            <w:hideMark/>
          </w:tcPr>
          <w:p w14:paraId="3F0E42C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39.18</w:t>
            </w:r>
          </w:p>
        </w:tc>
        <w:tc>
          <w:tcPr>
            <w:tcW w:w="1134" w:type="dxa"/>
            <w:hideMark/>
          </w:tcPr>
          <w:p w14:paraId="2125A1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36.56</w:t>
            </w:r>
          </w:p>
        </w:tc>
      </w:tr>
      <w:tr w:rsidR="00312F12" w:rsidRPr="004304ED" w14:paraId="2CE5C142" w14:textId="77777777" w:rsidTr="00476C0D">
        <w:trPr>
          <w:trHeight w:val="314"/>
          <w:jc w:val="center"/>
        </w:trPr>
        <w:tc>
          <w:tcPr>
            <w:tcW w:w="1276" w:type="dxa"/>
          </w:tcPr>
          <w:p w14:paraId="75877E4E"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A05635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BC17EF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15.37</w:t>
            </w:r>
          </w:p>
        </w:tc>
        <w:tc>
          <w:tcPr>
            <w:tcW w:w="993" w:type="dxa"/>
            <w:hideMark/>
          </w:tcPr>
          <w:p w14:paraId="79317D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25.99</w:t>
            </w:r>
          </w:p>
        </w:tc>
        <w:tc>
          <w:tcPr>
            <w:tcW w:w="850" w:type="dxa"/>
            <w:hideMark/>
          </w:tcPr>
          <w:p w14:paraId="7A98926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24.98</w:t>
            </w:r>
          </w:p>
        </w:tc>
        <w:tc>
          <w:tcPr>
            <w:tcW w:w="992" w:type="dxa"/>
            <w:hideMark/>
          </w:tcPr>
          <w:p w14:paraId="4A364CE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26.99</w:t>
            </w:r>
          </w:p>
        </w:tc>
        <w:tc>
          <w:tcPr>
            <w:tcW w:w="1134" w:type="dxa"/>
            <w:hideMark/>
          </w:tcPr>
          <w:p w14:paraId="2031ADD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28.34</w:t>
            </w:r>
          </w:p>
        </w:tc>
      </w:tr>
      <w:tr w:rsidR="00312F12" w:rsidRPr="004304ED" w14:paraId="6A80FC53" w14:textId="77777777" w:rsidTr="00476C0D">
        <w:trPr>
          <w:trHeight w:val="314"/>
          <w:jc w:val="center"/>
        </w:trPr>
        <w:tc>
          <w:tcPr>
            <w:tcW w:w="1276" w:type="dxa"/>
          </w:tcPr>
          <w:p w14:paraId="0533B967"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C5C4F4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6C5A2CBC"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24.54</w:t>
            </w:r>
          </w:p>
        </w:tc>
        <w:tc>
          <w:tcPr>
            <w:tcW w:w="993" w:type="dxa"/>
          </w:tcPr>
          <w:p w14:paraId="5A730F3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35.01</w:t>
            </w:r>
          </w:p>
        </w:tc>
        <w:tc>
          <w:tcPr>
            <w:tcW w:w="850" w:type="dxa"/>
          </w:tcPr>
          <w:p w14:paraId="0B1CD3E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32.37</w:t>
            </w:r>
          </w:p>
        </w:tc>
        <w:tc>
          <w:tcPr>
            <w:tcW w:w="992" w:type="dxa"/>
          </w:tcPr>
          <w:p w14:paraId="6BFA33F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38.19</w:t>
            </w:r>
          </w:p>
        </w:tc>
        <w:tc>
          <w:tcPr>
            <w:tcW w:w="1134" w:type="dxa"/>
          </w:tcPr>
          <w:p w14:paraId="78A8458C"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39.71</w:t>
            </w:r>
          </w:p>
        </w:tc>
      </w:tr>
      <w:tr w:rsidR="00312F12" w:rsidRPr="004304ED" w14:paraId="3BCC05DE" w14:textId="77777777" w:rsidTr="00476C0D">
        <w:trPr>
          <w:trHeight w:val="298"/>
          <w:jc w:val="center"/>
        </w:trPr>
        <w:tc>
          <w:tcPr>
            <w:tcW w:w="1276" w:type="dxa"/>
            <w:hideMark/>
          </w:tcPr>
          <w:p w14:paraId="715CEEB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 2</w:t>
            </w:r>
          </w:p>
        </w:tc>
        <w:tc>
          <w:tcPr>
            <w:tcW w:w="1276" w:type="dxa"/>
            <w:hideMark/>
          </w:tcPr>
          <w:p w14:paraId="153ED84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26FB973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74.37</w:t>
            </w:r>
          </w:p>
        </w:tc>
        <w:tc>
          <w:tcPr>
            <w:tcW w:w="993" w:type="dxa"/>
            <w:hideMark/>
          </w:tcPr>
          <w:p w14:paraId="1CE53C7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42.63</w:t>
            </w:r>
          </w:p>
        </w:tc>
        <w:tc>
          <w:tcPr>
            <w:tcW w:w="850" w:type="dxa"/>
            <w:hideMark/>
          </w:tcPr>
          <w:p w14:paraId="214DD4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44.95</w:t>
            </w:r>
          </w:p>
        </w:tc>
        <w:tc>
          <w:tcPr>
            <w:tcW w:w="992" w:type="dxa"/>
            <w:hideMark/>
          </w:tcPr>
          <w:p w14:paraId="41EAD84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40.66</w:t>
            </w:r>
          </w:p>
        </w:tc>
        <w:tc>
          <w:tcPr>
            <w:tcW w:w="1134" w:type="dxa"/>
            <w:hideMark/>
          </w:tcPr>
          <w:p w14:paraId="6978010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44.66</w:t>
            </w:r>
          </w:p>
        </w:tc>
      </w:tr>
      <w:tr w:rsidR="00312F12" w:rsidRPr="004304ED" w14:paraId="0B80DD0B" w14:textId="77777777" w:rsidTr="00476C0D">
        <w:trPr>
          <w:trHeight w:val="298"/>
          <w:jc w:val="center"/>
        </w:trPr>
        <w:tc>
          <w:tcPr>
            <w:tcW w:w="1276" w:type="dxa"/>
          </w:tcPr>
          <w:p w14:paraId="1D09E274"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F41369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23D7E60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89.60</w:t>
            </w:r>
          </w:p>
        </w:tc>
        <w:tc>
          <w:tcPr>
            <w:tcW w:w="993" w:type="dxa"/>
            <w:hideMark/>
          </w:tcPr>
          <w:p w14:paraId="2CA10DC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31.32</w:t>
            </w:r>
          </w:p>
        </w:tc>
        <w:tc>
          <w:tcPr>
            <w:tcW w:w="850" w:type="dxa"/>
            <w:hideMark/>
          </w:tcPr>
          <w:p w14:paraId="3999BC8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33.44</w:t>
            </w:r>
          </w:p>
        </w:tc>
        <w:tc>
          <w:tcPr>
            <w:tcW w:w="992" w:type="dxa"/>
            <w:hideMark/>
          </w:tcPr>
          <w:p w14:paraId="59E2FE0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31.10</w:t>
            </w:r>
          </w:p>
        </w:tc>
        <w:tc>
          <w:tcPr>
            <w:tcW w:w="1134" w:type="dxa"/>
            <w:hideMark/>
          </w:tcPr>
          <w:p w14:paraId="7437609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39.92</w:t>
            </w:r>
          </w:p>
        </w:tc>
      </w:tr>
      <w:tr w:rsidR="00312F12" w:rsidRPr="004304ED" w14:paraId="625EFD41" w14:textId="77777777" w:rsidTr="00476C0D">
        <w:trPr>
          <w:trHeight w:val="305"/>
          <w:jc w:val="center"/>
        </w:trPr>
        <w:tc>
          <w:tcPr>
            <w:tcW w:w="1276" w:type="dxa"/>
          </w:tcPr>
          <w:p w14:paraId="69ACA95D"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FEA41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78E880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50.91</w:t>
            </w:r>
          </w:p>
        </w:tc>
        <w:tc>
          <w:tcPr>
            <w:tcW w:w="993" w:type="dxa"/>
            <w:hideMark/>
          </w:tcPr>
          <w:p w14:paraId="0AA2C29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24.35</w:t>
            </w:r>
          </w:p>
        </w:tc>
        <w:tc>
          <w:tcPr>
            <w:tcW w:w="850" w:type="dxa"/>
            <w:hideMark/>
          </w:tcPr>
          <w:p w14:paraId="211108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22.13</w:t>
            </w:r>
          </w:p>
        </w:tc>
        <w:tc>
          <w:tcPr>
            <w:tcW w:w="992" w:type="dxa"/>
            <w:hideMark/>
          </w:tcPr>
          <w:p w14:paraId="257D466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19.36</w:t>
            </w:r>
          </w:p>
        </w:tc>
        <w:tc>
          <w:tcPr>
            <w:tcW w:w="1134" w:type="dxa"/>
            <w:hideMark/>
          </w:tcPr>
          <w:p w14:paraId="5203444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28.15</w:t>
            </w:r>
          </w:p>
        </w:tc>
      </w:tr>
      <w:tr w:rsidR="00312F12" w:rsidRPr="004304ED" w14:paraId="0EE193CF" w14:textId="77777777" w:rsidTr="00476C0D">
        <w:trPr>
          <w:trHeight w:val="305"/>
          <w:jc w:val="center"/>
        </w:trPr>
        <w:tc>
          <w:tcPr>
            <w:tcW w:w="1276" w:type="dxa"/>
          </w:tcPr>
          <w:p w14:paraId="71269FEB"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71D1FD7E"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1FF6C62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71.63</w:t>
            </w:r>
          </w:p>
        </w:tc>
        <w:tc>
          <w:tcPr>
            <w:tcW w:w="993" w:type="dxa"/>
          </w:tcPr>
          <w:p w14:paraId="591DB2D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32.77</w:t>
            </w:r>
          </w:p>
        </w:tc>
        <w:tc>
          <w:tcPr>
            <w:tcW w:w="850" w:type="dxa"/>
          </w:tcPr>
          <w:p w14:paraId="6362E40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33.51</w:t>
            </w:r>
          </w:p>
        </w:tc>
        <w:tc>
          <w:tcPr>
            <w:tcW w:w="992" w:type="dxa"/>
          </w:tcPr>
          <w:p w14:paraId="63D2DF6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30.37</w:t>
            </w:r>
          </w:p>
        </w:tc>
        <w:tc>
          <w:tcPr>
            <w:tcW w:w="1134" w:type="dxa"/>
          </w:tcPr>
          <w:p w14:paraId="2BD1136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35.58</w:t>
            </w:r>
          </w:p>
        </w:tc>
      </w:tr>
      <w:tr w:rsidR="00312F12" w:rsidRPr="004304ED" w14:paraId="7AA8C6F8" w14:textId="77777777" w:rsidTr="00476C0D">
        <w:trPr>
          <w:trHeight w:val="260"/>
          <w:jc w:val="center"/>
        </w:trPr>
        <w:tc>
          <w:tcPr>
            <w:tcW w:w="1276" w:type="dxa"/>
            <w:hideMark/>
          </w:tcPr>
          <w:p w14:paraId="7EF033A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 3</w:t>
            </w:r>
          </w:p>
        </w:tc>
        <w:tc>
          <w:tcPr>
            <w:tcW w:w="1276" w:type="dxa"/>
            <w:hideMark/>
          </w:tcPr>
          <w:p w14:paraId="5FFB7EF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4E43959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52.01</w:t>
            </w:r>
          </w:p>
        </w:tc>
        <w:tc>
          <w:tcPr>
            <w:tcW w:w="993" w:type="dxa"/>
            <w:hideMark/>
          </w:tcPr>
          <w:p w14:paraId="11CE87F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41.59</w:t>
            </w:r>
          </w:p>
        </w:tc>
        <w:tc>
          <w:tcPr>
            <w:tcW w:w="850" w:type="dxa"/>
            <w:hideMark/>
          </w:tcPr>
          <w:p w14:paraId="3B43CF5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44.40</w:t>
            </w:r>
          </w:p>
        </w:tc>
        <w:tc>
          <w:tcPr>
            <w:tcW w:w="992" w:type="dxa"/>
            <w:hideMark/>
          </w:tcPr>
          <w:p w14:paraId="33766C6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49.58</w:t>
            </w:r>
          </w:p>
        </w:tc>
        <w:tc>
          <w:tcPr>
            <w:tcW w:w="1134" w:type="dxa"/>
            <w:hideMark/>
          </w:tcPr>
          <w:p w14:paraId="6128F0B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40.56</w:t>
            </w:r>
          </w:p>
        </w:tc>
      </w:tr>
      <w:tr w:rsidR="00312F12" w:rsidRPr="004304ED" w14:paraId="7F353FCA" w14:textId="77777777" w:rsidTr="00476C0D">
        <w:trPr>
          <w:trHeight w:val="298"/>
          <w:jc w:val="center"/>
        </w:trPr>
        <w:tc>
          <w:tcPr>
            <w:tcW w:w="1276" w:type="dxa"/>
          </w:tcPr>
          <w:p w14:paraId="37E61467"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0A9741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4FD71A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88.24</w:t>
            </w:r>
          </w:p>
        </w:tc>
        <w:tc>
          <w:tcPr>
            <w:tcW w:w="993" w:type="dxa"/>
            <w:hideMark/>
          </w:tcPr>
          <w:p w14:paraId="0A1134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33.62</w:t>
            </w:r>
          </w:p>
        </w:tc>
        <w:tc>
          <w:tcPr>
            <w:tcW w:w="850" w:type="dxa"/>
            <w:hideMark/>
          </w:tcPr>
          <w:p w14:paraId="511549C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32.91</w:t>
            </w:r>
          </w:p>
        </w:tc>
        <w:tc>
          <w:tcPr>
            <w:tcW w:w="992" w:type="dxa"/>
            <w:hideMark/>
          </w:tcPr>
          <w:p w14:paraId="38BB83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57.76</w:t>
            </w:r>
          </w:p>
        </w:tc>
        <w:tc>
          <w:tcPr>
            <w:tcW w:w="1134" w:type="dxa"/>
            <w:hideMark/>
          </w:tcPr>
          <w:p w14:paraId="0CB4628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32.51</w:t>
            </w:r>
          </w:p>
        </w:tc>
      </w:tr>
      <w:tr w:rsidR="00312F12" w:rsidRPr="004304ED" w14:paraId="1A1D7D8F" w14:textId="77777777" w:rsidTr="00476C0D">
        <w:trPr>
          <w:trHeight w:val="298"/>
          <w:jc w:val="center"/>
        </w:trPr>
        <w:tc>
          <w:tcPr>
            <w:tcW w:w="1276" w:type="dxa"/>
          </w:tcPr>
          <w:p w14:paraId="38DD2BA8"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7E0AED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21A11E2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50.94</w:t>
            </w:r>
          </w:p>
        </w:tc>
        <w:tc>
          <w:tcPr>
            <w:tcW w:w="993" w:type="dxa"/>
            <w:hideMark/>
          </w:tcPr>
          <w:p w14:paraId="3D0F0ED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23.96</w:t>
            </w:r>
          </w:p>
        </w:tc>
        <w:tc>
          <w:tcPr>
            <w:tcW w:w="850" w:type="dxa"/>
            <w:hideMark/>
          </w:tcPr>
          <w:p w14:paraId="05B9494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22.24</w:t>
            </w:r>
          </w:p>
        </w:tc>
        <w:tc>
          <w:tcPr>
            <w:tcW w:w="992" w:type="dxa"/>
            <w:hideMark/>
          </w:tcPr>
          <w:p w14:paraId="303D670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30.36</w:t>
            </w:r>
          </w:p>
        </w:tc>
        <w:tc>
          <w:tcPr>
            <w:tcW w:w="1134" w:type="dxa"/>
            <w:hideMark/>
          </w:tcPr>
          <w:p w14:paraId="3EA6A5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24.45</w:t>
            </w:r>
          </w:p>
        </w:tc>
      </w:tr>
      <w:tr w:rsidR="00312F12" w:rsidRPr="004304ED" w14:paraId="66854C6B" w14:textId="77777777" w:rsidTr="00476C0D">
        <w:trPr>
          <w:trHeight w:val="298"/>
          <w:jc w:val="center"/>
        </w:trPr>
        <w:tc>
          <w:tcPr>
            <w:tcW w:w="1276" w:type="dxa"/>
          </w:tcPr>
          <w:p w14:paraId="7866A878"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1559F56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72893B0"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63.72</w:t>
            </w:r>
          </w:p>
        </w:tc>
        <w:tc>
          <w:tcPr>
            <w:tcW w:w="993" w:type="dxa"/>
          </w:tcPr>
          <w:p w14:paraId="2AB698E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33.06</w:t>
            </w:r>
          </w:p>
        </w:tc>
        <w:tc>
          <w:tcPr>
            <w:tcW w:w="850" w:type="dxa"/>
          </w:tcPr>
          <w:p w14:paraId="3A14F18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33.18</w:t>
            </w:r>
          </w:p>
        </w:tc>
        <w:tc>
          <w:tcPr>
            <w:tcW w:w="992" w:type="dxa"/>
          </w:tcPr>
          <w:p w14:paraId="5083459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45.90</w:t>
            </w:r>
          </w:p>
        </w:tc>
        <w:tc>
          <w:tcPr>
            <w:tcW w:w="1134" w:type="dxa"/>
          </w:tcPr>
          <w:p w14:paraId="5711F232"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32.51</w:t>
            </w:r>
          </w:p>
        </w:tc>
      </w:tr>
    </w:tbl>
    <w:p w14:paraId="22D18010" w14:textId="77777777" w:rsidR="00312F12" w:rsidRPr="004304ED" w:rsidRDefault="00312F12" w:rsidP="00312F12">
      <w:pPr>
        <w:rPr>
          <w:rFonts w:ascii="Times New Roman" w:hAnsi="Times New Roman" w:cs="Times New Roman"/>
        </w:rPr>
      </w:pPr>
    </w:p>
    <w:p w14:paraId="048FD98A" w14:textId="77777777" w:rsidR="00312F12" w:rsidRPr="004304ED" w:rsidRDefault="00312F12" w:rsidP="00190433">
      <w:pPr>
        <w:spacing w:after="0" w:line="360" w:lineRule="auto"/>
        <w:ind w:firstLine="720"/>
        <w:rPr>
          <w:rFonts w:ascii="Times New Roman" w:hAnsi="Times New Roman" w:cs="Times New Roman"/>
        </w:rPr>
      </w:pPr>
    </w:p>
    <w:p w14:paraId="6FC8B80B"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Across all dumpsites, Pb and Ni generally exhibited higher mean release percentages relative to Cd, Cr, and V, suggesting greater mobility or weaker binding of these metals in the dumpsite soils. For instance, mean Pb release ranged from 24.54% (AB1) to 71.63% (AB2), while Ni ranged from 30.37% (AB2) to 49.94% (A3). In contrast, Cd showed more pronounced depth attenuation, with surface values occasionally exceeding 70% (e.g., 73.06% at P2, 0–20 cm) but declining sharply at depth, indicating stronger retention or precipitation under subsurface geochemical conditions.</w:t>
      </w:r>
    </w:p>
    <w:p w14:paraId="02497549"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Among the dumpsite groups, the AB sites displayed the highest Pb release, particularly AB2 and AB3, where exceptionally high Pb percentages were observed at both surface and subsurface layers (up to 89.60% at 20–40 cm in AB2). This suggests intense Pb loading and possible downward migration facilitated by high leachate fluxes, soil permeability, or </w:t>
      </w:r>
      <w:r w:rsidRPr="004304ED">
        <w:rPr>
          <w:rFonts w:ascii="Times New Roman" w:hAnsi="Times New Roman" w:cs="Times New Roman"/>
        </w:rPr>
        <w:lastRenderedPageBreak/>
        <w:t>complexation with organic matter. The A sites (A1–A3) showed comparatively moderate but consistent release patterns, with Ni and Cr displaying relatively elevated mean values, indicating mixed sources and sustained mobility. The P sites (P1–P3) were characterized by notably high Ni release in surface soils (up to 61.89% at P3, 0–20 cm) and variable Cd behavior, pointing to heterogeneous waste composition and localized geochemical controls.</w:t>
      </w:r>
    </w:p>
    <w:p w14:paraId="57252B96" w14:textId="21147D9A"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Depth-wise, the sharp reduction in release percentages at 40–60 cm </w:t>
      </w:r>
      <w:r w:rsidR="00230371">
        <w:rPr>
          <w:rFonts w:ascii="Times New Roman" w:hAnsi="Times New Roman" w:cs="Times New Roman"/>
        </w:rPr>
        <w:t>for most metals, particularly Cr</w:t>
      </w:r>
      <w:r w:rsidRPr="004304ED">
        <w:rPr>
          <w:rFonts w:ascii="Times New Roman" w:hAnsi="Times New Roman" w:cs="Times New Roman"/>
        </w:rPr>
        <w:t xml:space="preserve"> and V, suggests attenuation mechanisms such as adsorption onto clay minerals, co-precipitation with Fe–Mn oxides, and reduced organic matter availability at depth. However, the persistence of relatively high Pb and Ni values in some subsurface layers (e.g., AB2 and AB3) indicates a potential risk of vertical transport, which may pose long-term threats to underlying groundwater systems.</w:t>
      </w:r>
    </w:p>
    <w:p w14:paraId="75B6E3A5" w14:textId="000BE338" w:rsidR="0020481D"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In summary, Table 4 demonstrates that metal release in dumpsite soils is strongly controlled by soil depth, dumpsite characteristics, and metal-specific geochemical behavior. The dominance of high surface release underscores the vulnerability of topsoil to contamination</w:t>
      </w:r>
      <w:r w:rsidR="00876B33" w:rsidRPr="004304ED">
        <w:rPr>
          <w:rFonts w:ascii="Times New Roman" w:hAnsi="Times New Roman" w:cs="Times New Roman"/>
        </w:rPr>
        <w:t xml:space="preserve"> (Winegardner, 2019)</w:t>
      </w:r>
      <w:r w:rsidRPr="004304ED">
        <w:rPr>
          <w:rFonts w:ascii="Times New Roman" w:hAnsi="Times New Roman" w:cs="Times New Roman"/>
        </w:rPr>
        <w:t>, while elevated subsurface values at selected sites highlight the need for site-specific risk assessment and remediation strategies, particularly where groundwater resources are at risk</w:t>
      </w:r>
      <w:r w:rsidR="0020481D" w:rsidRPr="004304ED">
        <w:rPr>
          <w:rFonts w:ascii="Times New Roman" w:hAnsi="Times New Roman" w:cs="Times New Roman"/>
        </w:rPr>
        <w:t>.</w:t>
      </w:r>
    </w:p>
    <w:p w14:paraId="3A47DCB4" w14:textId="77777777" w:rsidR="00312F12" w:rsidRPr="004304ED" w:rsidRDefault="00312F12" w:rsidP="00A501B7">
      <w:pPr>
        <w:spacing w:after="0" w:line="360" w:lineRule="auto"/>
        <w:rPr>
          <w:rFonts w:ascii="Times New Roman" w:hAnsi="Times New Roman" w:cs="Times New Roman"/>
          <w:b/>
          <w:bCs/>
        </w:rPr>
      </w:pPr>
    </w:p>
    <w:p w14:paraId="0022D22E" w14:textId="23882D8A" w:rsidR="00A501B7" w:rsidRPr="004304ED" w:rsidRDefault="00F50DCE" w:rsidP="00A501B7">
      <w:pPr>
        <w:spacing w:after="0" w:line="360" w:lineRule="auto"/>
        <w:rPr>
          <w:rFonts w:ascii="Times New Roman" w:hAnsi="Times New Roman" w:cs="Times New Roman"/>
          <w:b/>
          <w:bCs/>
        </w:rPr>
      </w:pPr>
      <w:r w:rsidRPr="004304ED">
        <w:rPr>
          <w:rFonts w:ascii="Times New Roman" w:hAnsi="Times New Roman" w:cs="Times New Roman"/>
          <w:b/>
          <w:bCs/>
        </w:rPr>
        <w:t xml:space="preserve">CONCLUSION </w:t>
      </w:r>
    </w:p>
    <w:p w14:paraId="5CCBF7E2" w14:textId="77777777" w:rsidR="00736CDA" w:rsidRPr="004304ED" w:rsidRDefault="00736CDA" w:rsidP="00736CDA">
      <w:pPr>
        <w:spacing w:after="0" w:line="360" w:lineRule="auto"/>
        <w:rPr>
          <w:rFonts w:ascii="Times New Roman" w:hAnsi="Times New Roman" w:cs="Times New Roman"/>
        </w:rPr>
      </w:pPr>
      <w:r w:rsidRPr="004304ED">
        <w:rPr>
          <w:rFonts w:ascii="Times New Roman" w:hAnsi="Times New Roman" w:cs="Times New Roman"/>
        </w:rPr>
        <w:t xml:space="preserve">This study examined the physicochemical properties and heavy metal concentrations of soils impacted by waste materials from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workshops, paint-processing sites, and abattoirs within Akwa Ibom State, Nigeria. The strong positive correlations between metal concentrations in waste materials and the corresponding soils indicate that the wastes are the primary sources of contamination. The dominance of Pb, Cd, and Ni in </w:t>
      </w:r>
      <w:proofErr w:type="spellStart"/>
      <w:r w:rsidRPr="004304ED">
        <w:rPr>
          <w:rFonts w:ascii="Times New Roman" w:hAnsi="Times New Roman" w:cs="Times New Roman"/>
        </w:rPr>
        <w:t>automechanic</w:t>
      </w:r>
      <w:proofErr w:type="spellEnd"/>
      <w:r w:rsidRPr="004304ED">
        <w:rPr>
          <w:rFonts w:ascii="Times New Roman" w:hAnsi="Times New Roman" w:cs="Times New Roman"/>
        </w:rPr>
        <w:t xml:space="preserve"> wastes and soils, and Cr and V in paint-processing sites, highlights distinct contamination signatures linked to specific anthropogenic activities. The soils’ sandy texture and moderate organic matter content have likely facilitated downward metal mobility through leaching and infiltration. Consequently, the persistence and mobility of these metals may threaten soil health, groundwater quality, food safety, and the overall integrity of the local terrestrial ecosystem.</w:t>
      </w:r>
    </w:p>
    <w:p w14:paraId="266CB03E" w14:textId="77777777" w:rsidR="00BC510B" w:rsidRDefault="00736CDA" w:rsidP="00BC510B">
      <w:pPr>
        <w:spacing w:after="0" w:line="360" w:lineRule="auto"/>
        <w:rPr>
          <w:rFonts w:ascii="Times New Roman" w:hAnsi="Times New Roman" w:cs="Times New Roman"/>
        </w:rPr>
      </w:pPr>
      <w:r w:rsidRPr="004304ED">
        <w:rPr>
          <w:rFonts w:ascii="Times New Roman" w:hAnsi="Times New Roman" w:cs="Times New Roman"/>
        </w:rPr>
        <w:tab/>
        <w:t xml:space="preserve">The following recommendations should be implemented for sustainable environmental development. First, the practice of open dumping should be discontinued; local and state </w:t>
      </w:r>
      <w:r w:rsidRPr="004304ED">
        <w:rPr>
          <w:rFonts w:ascii="Times New Roman" w:hAnsi="Times New Roman" w:cs="Times New Roman"/>
        </w:rPr>
        <w:lastRenderedPageBreak/>
        <w:t xml:space="preserve">authorities should enforce the development of engineered landfills with impermeable liners and leachate management systems to prevent heavy metal infiltration into soils and groundwater. Secondly, Agencies such as the National Environmental Standards and Regulations Enforcement Agency (NESREA) and local environmental departments should enforce stricter waste management regulations, conduct periodic environmental audits, and impose penalties for non-compliance. </w:t>
      </w:r>
      <w:r w:rsidRPr="00BC510B">
        <w:rPr>
          <w:rFonts w:ascii="Times New Roman" w:hAnsi="Times New Roman" w:cs="Times New Roman"/>
        </w:rPr>
        <w:t xml:space="preserve">Furthermore, waste generated from </w:t>
      </w:r>
      <w:proofErr w:type="spellStart"/>
      <w:r w:rsidRPr="00BC510B">
        <w:rPr>
          <w:rFonts w:ascii="Times New Roman" w:hAnsi="Times New Roman" w:cs="Times New Roman"/>
        </w:rPr>
        <w:t>automechanic</w:t>
      </w:r>
      <w:proofErr w:type="spellEnd"/>
      <w:r w:rsidRPr="00BC510B">
        <w:rPr>
          <w:rFonts w:ascii="Times New Roman" w:hAnsi="Times New Roman" w:cs="Times New Roman"/>
        </w:rPr>
        <w:t xml:space="preserve"> and paint-processing activities should be sorted at source to separate metallic residues, lubricants, and chemical solvents. Recyclable materials should be recovered and processed through licensed recycling facilities to reduce environmental loading. </w:t>
      </w:r>
    </w:p>
    <w:p w14:paraId="295CA4FA" w14:textId="408AB164" w:rsidR="00736CDA" w:rsidRPr="004304ED" w:rsidRDefault="00BC510B" w:rsidP="00BC510B">
      <w:pPr>
        <w:spacing w:after="0" w:line="360" w:lineRule="auto"/>
        <w:ind w:firstLine="720"/>
        <w:rPr>
          <w:rFonts w:ascii="Times New Roman" w:hAnsi="Times New Roman" w:cs="Times New Roman"/>
        </w:rPr>
      </w:pPr>
      <w:r>
        <w:rPr>
          <w:rFonts w:ascii="Times New Roman" w:hAnsi="Times New Roman" w:cs="Times New Roman"/>
        </w:rPr>
        <w:t>In addition, c</w:t>
      </w:r>
      <w:r w:rsidR="00736CDA" w:rsidRPr="004304ED">
        <w:rPr>
          <w:rFonts w:ascii="Times New Roman" w:hAnsi="Times New Roman" w:cs="Times New Roman"/>
        </w:rPr>
        <w:t xml:space="preserve">ontaminated soils should be rehabilitated using phytoremediation, biochar application, or microbial-assisted metal </w:t>
      </w:r>
      <w:proofErr w:type="spellStart"/>
      <w:r w:rsidR="00736CDA" w:rsidRPr="004304ED">
        <w:rPr>
          <w:rFonts w:ascii="Times New Roman" w:hAnsi="Times New Roman" w:cs="Times New Roman"/>
        </w:rPr>
        <w:t>immobilisation</w:t>
      </w:r>
      <w:proofErr w:type="spellEnd"/>
      <w:r w:rsidR="00736CDA" w:rsidRPr="004304ED">
        <w:rPr>
          <w:rFonts w:ascii="Times New Roman" w:hAnsi="Times New Roman" w:cs="Times New Roman"/>
        </w:rPr>
        <w:t xml:space="preserve">, which are sustainable and cost-effective for tropical sandy soils. Metal-accumulating plants such as </w:t>
      </w:r>
      <w:proofErr w:type="spellStart"/>
      <w:r w:rsidR="00736CDA" w:rsidRPr="004304ED">
        <w:rPr>
          <w:rFonts w:ascii="Times New Roman" w:hAnsi="Times New Roman" w:cs="Times New Roman"/>
        </w:rPr>
        <w:t>Vetiveria</w:t>
      </w:r>
      <w:proofErr w:type="spellEnd"/>
      <w:r w:rsidR="00736CDA" w:rsidRPr="004304ED">
        <w:rPr>
          <w:rFonts w:ascii="Times New Roman" w:hAnsi="Times New Roman" w:cs="Times New Roman"/>
        </w:rPr>
        <w:t xml:space="preserve"> </w:t>
      </w:r>
      <w:proofErr w:type="spellStart"/>
      <w:r w:rsidR="00736CDA" w:rsidRPr="004304ED">
        <w:rPr>
          <w:rFonts w:ascii="Times New Roman" w:hAnsi="Times New Roman" w:cs="Times New Roman"/>
        </w:rPr>
        <w:t>zizanioides</w:t>
      </w:r>
      <w:proofErr w:type="spellEnd"/>
      <w:r w:rsidR="00736CDA" w:rsidRPr="004304ED">
        <w:rPr>
          <w:rFonts w:ascii="Times New Roman" w:hAnsi="Times New Roman" w:cs="Times New Roman"/>
        </w:rPr>
        <w:t xml:space="preserve"> and </w:t>
      </w:r>
      <w:proofErr w:type="spellStart"/>
      <w:r w:rsidR="00736CDA" w:rsidRPr="004304ED">
        <w:rPr>
          <w:rFonts w:ascii="Times New Roman" w:hAnsi="Times New Roman" w:cs="Times New Roman"/>
        </w:rPr>
        <w:t>Pennisetum</w:t>
      </w:r>
      <w:proofErr w:type="spellEnd"/>
      <w:r w:rsidR="00736CDA" w:rsidRPr="004304ED">
        <w:rPr>
          <w:rFonts w:ascii="Times New Roman" w:hAnsi="Times New Roman" w:cs="Times New Roman"/>
        </w:rPr>
        <w:t xml:space="preserve"> purpureum can be deployed for effective cleanup. Furthermore, continuous soil and groundwater monitoring programs should be instituted to track temporal changes in metal concentrations, speciation, and bioavailability. Monitoring data will help assess remediation progress and provide early warnings of potential ecological threats. Lastly, targeted environmental education should be </w:t>
      </w:r>
      <w:proofErr w:type="spellStart"/>
      <w:r w:rsidR="00736CDA" w:rsidRPr="004304ED">
        <w:rPr>
          <w:rFonts w:ascii="Times New Roman" w:hAnsi="Times New Roman" w:cs="Times New Roman"/>
        </w:rPr>
        <w:t>organised</w:t>
      </w:r>
      <w:proofErr w:type="spellEnd"/>
      <w:r w:rsidR="00736CDA" w:rsidRPr="004304ED">
        <w:rPr>
          <w:rFonts w:ascii="Times New Roman" w:hAnsi="Times New Roman" w:cs="Times New Roman"/>
        </w:rPr>
        <w:t xml:space="preserve"> for mechanics, painters, abattoir operators, and nearby residents to raise awareness of the health and ecological risks of improper waste disposal. Community participation should be encouraged in waste segregation and recycling initiatives. </w:t>
      </w:r>
    </w:p>
    <w:p w14:paraId="25C8229D" w14:textId="6231D4EC" w:rsidR="009E62C4" w:rsidRPr="004304ED" w:rsidRDefault="00736CDA" w:rsidP="00736CDA">
      <w:pPr>
        <w:spacing w:after="0" w:line="360" w:lineRule="auto"/>
        <w:rPr>
          <w:rFonts w:ascii="Times New Roman" w:hAnsi="Times New Roman" w:cs="Times New Roman"/>
        </w:rPr>
      </w:pPr>
      <w:r w:rsidRPr="004304ED">
        <w:rPr>
          <w:rFonts w:ascii="Times New Roman" w:hAnsi="Times New Roman" w:cs="Times New Roman"/>
        </w:rPr>
        <w:tab/>
        <w:t>In summary, the study demonstrates that anthropogenic waste inputs have significantly deteriorated soil quality in the study area, necessitating immediate remediation and policy-driven waste management reforms. Implementing these recommendations will help safeguard soil health, prevent further contamination, and align local practices with global standards for sustainable environmental management.</w:t>
      </w:r>
    </w:p>
    <w:p w14:paraId="05BF59D1" w14:textId="77777777" w:rsidR="00736CDA" w:rsidRPr="004304ED" w:rsidRDefault="00736CDA" w:rsidP="00736CDA">
      <w:pPr>
        <w:spacing w:after="0" w:line="360" w:lineRule="auto"/>
        <w:rPr>
          <w:rFonts w:ascii="Times New Roman" w:hAnsi="Times New Roman" w:cs="Times New Roman"/>
        </w:rPr>
      </w:pPr>
    </w:p>
    <w:p w14:paraId="0D4B6110" w14:textId="77777777" w:rsidR="009E62C4" w:rsidRPr="004304ED" w:rsidRDefault="009E62C4" w:rsidP="004E4235">
      <w:pPr>
        <w:spacing w:after="0" w:line="240" w:lineRule="auto"/>
        <w:rPr>
          <w:rFonts w:ascii="Times New Roman" w:hAnsi="Times New Roman" w:cs="Times New Roman"/>
          <w:b/>
          <w:bCs/>
        </w:rPr>
      </w:pPr>
      <w:r w:rsidRPr="004304ED">
        <w:rPr>
          <w:rFonts w:ascii="Times New Roman" w:hAnsi="Times New Roman" w:cs="Times New Roman"/>
          <w:b/>
          <w:bCs/>
        </w:rPr>
        <w:t>STATEMENTS AND DECLARATIONS</w:t>
      </w:r>
    </w:p>
    <w:p w14:paraId="1FD76C3F" w14:textId="77777777" w:rsidR="009E62C4" w:rsidRPr="004304ED" w:rsidRDefault="009E62C4" w:rsidP="004E4235">
      <w:pPr>
        <w:spacing w:after="0" w:line="240" w:lineRule="auto"/>
        <w:rPr>
          <w:rFonts w:ascii="Times New Roman" w:hAnsi="Times New Roman" w:cs="Times New Roman"/>
        </w:rPr>
      </w:pPr>
    </w:p>
    <w:p w14:paraId="266060AA"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COMPETING INTERESTS STATEMENTS</w:t>
      </w:r>
    </w:p>
    <w:p w14:paraId="5A6920F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The authors have no competing interests to declare that are relevant to the content of this article.</w:t>
      </w:r>
    </w:p>
    <w:p w14:paraId="0E218676" w14:textId="77777777" w:rsidR="009E62C4" w:rsidRPr="004304ED" w:rsidRDefault="009E62C4" w:rsidP="004E4235">
      <w:pPr>
        <w:spacing w:after="0" w:line="240" w:lineRule="auto"/>
        <w:rPr>
          <w:rFonts w:ascii="Times New Roman" w:hAnsi="Times New Roman" w:cs="Times New Roman"/>
        </w:rPr>
      </w:pPr>
    </w:p>
    <w:p w14:paraId="3730063A"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DATA AVAILABILITY</w:t>
      </w:r>
    </w:p>
    <w:p w14:paraId="486BC319"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 xml:space="preserve"> All relevant data are included in the paper or its Supplementary Information</w:t>
      </w:r>
    </w:p>
    <w:p w14:paraId="522C01F2" w14:textId="77777777" w:rsidR="009E62C4" w:rsidRPr="004304ED" w:rsidRDefault="009E62C4" w:rsidP="004E4235">
      <w:pPr>
        <w:spacing w:after="0" w:line="240" w:lineRule="auto"/>
        <w:rPr>
          <w:rFonts w:ascii="Times New Roman" w:hAnsi="Times New Roman" w:cs="Times New Roman"/>
        </w:rPr>
      </w:pPr>
    </w:p>
    <w:p w14:paraId="7D537BB9"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lastRenderedPageBreak/>
        <w:t>ETHICS, CONSENT TO PARTICIPATE, AND CONSENT TO PUBLISH DECLARATIONS: Not applicable.</w:t>
      </w:r>
    </w:p>
    <w:p w14:paraId="06BE6E1C" w14:textId="77777777" w:rsidR="009E62C4" w:rsidRPr="004304ED" w:rsidRDefault="009E62C4" w:rsidP="004E4235">
      <w:pPr>
        <w:spacing w:after="0" w:line="240" w:lineRule="auto"/>
        <w:rPr>
          <w:rFonts w:ascii="Times New Roman" w:hAnsi="Times New Roman" w:cs="Times New Roman"/>
        </w:rPr>
      </w:pPr>
    </w:p>
    <w:p w14:paraId="5292CC1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 xml:space="preserve">CLINICAL TRIAL NUMBER: </w:t>
      </w:r>
    </w:p>
    <w:p w14:paraId="64AB5BE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Not applicable</w:t>
      </w:r>
    </w:p>
    <w:p w14:paraId="1CF086F4" w14:textId="77777777" w:rsidR="009E62C4" w:rsidRPr="004304ED" w:rsidRDefault="009E62C4" w:rsidP="004E4235">
      <w:pPr>
        <w:spacing w:after="0" w:line="240" w:lineRule="auto"/>
        <w:rPr>
          <w:rFonts w:ascii="Times New Roman" w:hAnsi="Times New Roman" w:cs="Times New Roman"/>
        </w:rPr>
      </w:pPr>
    </w:p>
    <w:p w14:paraId="52E610B2" w14:textId="77777777" w:rsidR="00913B78" w:rsidRPr="004304ED" w:rsidRDefault="00913B78" w:rsidP="009E62C4">
      <w:pPr>
        <w:spacing w:after="0" w:line="240" w:lineRule="auto"/>
        <w:rPr>
          <w:rFonts w:ascii="Times New Roman" w:hAnsi="Times New Roman" w:cs="Times New Roman"/>
        </w:rPr>
      </w:pPr>
      <w:bookmarkStart w:id="0" w:name="_GoBack"/>
      <w:bookmarkEnd w:id="0"/>
    </w:p>
    <w:p w14:paraId="2F624E14" w14:textId="77777777" w:rsidR="00913B78" w:rsidRPr="004304ED" w:rsidRDefault="00913B78" w:rsidP="009E62C4">
      <w:pPr>
        <w:spacing w:after="0" w:line="240" w:lineRule="auto"/>
        <w:rPr>
          <w:rFonts w:ascii="Times New Roman" w:hAnsi="Times New Roman" w:cs="Times New Roman"/>
        </w:rPr>
      </w:pPr>
    </w:p>
    <w:p w14:paraId="097801D1" w14:textId="77777777" w:rsidR="00913B78" w:rsidRPr="004304ED" w:rsidRDefault="00913B78" w:rsidP="009E62C4">
      <w:pPr>
        <w:spacing w:after="0" w:line="240" w:lineRule="auto"/>
        <w:rPr>
          <w:rFonts w:ascii="Times New Roman" w:hAnsi="Times New Roman" w:cs="Times New Roman"/>
        </w:rPr>
      </w:pPr>
    </w:p>
    <w:p w14:paraId="4BD161F6" w14:textId="77777777" w:rsidR="00913B78" w:rsidRPr="004304ED" w:rsidRDefault="00913B78" w:rsidP="009E62C4">
      <w:pPr>
        <w:spacing w:after="0" w:line="240" w:lineRule="auto"/>
        <w:rPr>
          <w:rFonts w:ascii="Times New Roman" w:hAnsi="Times New Roman" w:cs="Times New Roman"/>
        </w:rPr>
      </w:pPr>
    </w:p>
    <w:p w14:paraId="11EC612A" w14:textId="35926249" w:rsidR="009E62C4" w:rsidRPr="004304ED" w:rsidRDefault="009E62C4" w:rsidP="009E62C4">
      <w:pPr>
        <w:spacing w:after="0" w:line="240" w:lineRule="auto"/>
        <w:rPr>
          <w:rFonts w:ascii="Times New Roman" w:hAnsi="Times New Roman" w:cs="Times New Roman"/>
          <w:b/>
          <w:bCs/>
        </w:rPr>
      </w:pPr>
      <w:r w:rsidRPr="004304ED">
        <w:rPr>
          <w:rFonts w:ascii="Times New Roman" w:hAnsi="Times New Roman" w:cs="Times New Roman"/>
          <w:b/>
          <w:bCs/>
        </w:rPr>
        <w:t>REFERENCES</w:t>
      </w:r>
    </w:p>
    <w:p w14:paraId="37B37013" w14:textId="77777777" w:rsidR="009E62C4" w:rsidRPr="00BC510B" w:rsidRDefault="009E62C4" w:rsidP="009E62C4">
      <w:pPr>
        <w:spacing w:after="0" w:line="240" w:lineRule="auto"/>
        <w:rPr>
          <w:rFonts w:ascii="Times New Roman" w:hAnsi="Times New Roman" w:cs="Times New Roman"/>
        </w:rPr>
      </w:pPr>
    </w:p>
    <w:p w14:paraId="68559410" w14:textId="77777777" w:rsidR="00BC510B" w:rsidRPr="00BC510B" w:rsidRDefault="00BC510B" w:rsidP="003D074D">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r w:rsidRPr="00BC510B">
        <w:rPr>
          <w:rFonts w:ascii="Times New Roman" w:eastAsia="Times New Roman" w:hAnsi="Times New Roman" w:cs="Times New Roman"/>
          <w:bCs/>
          <w:iCs/>
          <w:kern w:val="0"/>
          <w14:ligatures w14:val="none"/>
        </w:rPr>
        <w:t xml:space="preserve">Abegunde, S. M., </w:t>
      </w:r>
      <w:proofErr w:type="spellStart"/>
      <w:r w:rsidRPr="00BC510B">
        <w:rPr>
          <w:rFonts w:ascii="Times New Roman" w:eastAsia="Times New Roman" w:hAnsi="Times New Roman" w:cs="Times New Roman"/>
          <w:bCs/>
          <w:iCs/>
          <w:kern w:val="0"/>
          <w14:ligatures w14:val="none"/>
        </w:rPr>
        <w:t>Oyebanji</w:t>
      </w:r>
      <w:proofErr w:type="spellEnd"/>
      <w:r w:rsidRPr="00BC510B">
        <w:rPr>
          <w:rFonts w:ascii="Times New Roman" w:eastAsia="Times New Roman" w:hAnsi="Times New Roman" w:cs="Times New Roman"/>
          <w:bCs/>
          <w:iCs/>
          <w:kern w:val="0"/>
          <w14:ligatures w14:val="none"/>
        </w:rPr>
        <w:t xml:space="preserve">, A. O. and </w:t>
      </w:r>
      <w:proofErr w:type="spellStart"/>
      <w:r w:rsidRPr="00BC510B">
        <w:rPr>
          <w:rFonts w:ascii="Times New Roman" w:eastAsia="Times New Roman" w:hAnsi="Times New Roman" w:cs="Times New Roman"/>
          <w:bCs/>
          <w:iCs/>
          <w:kern w:val="0"/>
          <w14:ligatures w14:val="none"/>
        </w:rPr>
        <w:t>Osibanjo</w:t>
      </w:r>
      <w:proofErr w:type="spellEnd"/>
      <w:r w:rsidRPr="00BC510B">
        <w:rPr>
          <w:rFonts w:ascii="Times New Roman" w:eastAsia="Times New Roman" w:hAnsi="Times New Roman" w:cs="Times New Roman"/>
          <w:bCs/>
          <w:iCs/>
          <w:kern w:val="0"/>
          <w14:ligatures w14:val="none"/>
        </w:rPr>
        <w:t xml:space="preserve">, O. (2018) Evaluation of Digestion Procedures on Heavy Metals in Soil of a Dumpsite in Ibadan, South-western Nigeria. </w:t>
      </w:r>
      <w:r w:rsidRPr="00BC510B">
        <w:rPr>
          <w:rFonts w:ascii="Times New Roman" w:eastAsia="Times New Roman" w:hAnsi="Times New Roman" w:cs="Times New Roman"/>
          <w:bCs/>
          <w:i/>
          <w:iCs/>
          <w:kern w:val="0"/>
          <w14:ligatures w14:val="none"/>
        </w:rPr>
        <w:t>Suan Sunandha Science and Technology Journal</w:t>
      </w:r>
      <w:r w:rsidRPr="00BC510B">
        <w:rPr>
          <w:rFonts w:ascii="Times New Roman" w:eastAsia="Times New Roman" w:hAnsi="Times New Roman" w:cs="Times New Roman"/>
          <w:bCs/>
          <w:iCs/>
          <w:kern w:val="0"/>
          <w14:ligatures w14:val="none"/>
        </w:rPr>
        <w:t>, 5</w:t>
      </w:r>
      <w:r w:rsidRPr="00BC510B">
        <w:rPr>
          <w:rFonts w:ascii="Times New Roman" w:eastAsia="Times New Roman" w:hAnsi="Times New Roman" w:cs="Times New Roman"/>
          <w:kern w:val="0"/>
          <w14:ligatures w14:val="none"/>
        </w:rPr>
        <w:t>(2): 1-5</w:t>
      </w:r>
    </w:p>
    <w:p w14:paraId="74A37405" w14:textId="77777777" w:rsidR="00BC510B" w:rsidRPr="00BC510B" w:rsidRDefault="00BC510B" w:rsidP="003D074D">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p>
    <w:p w14:paraId="361E0826" w14:textId="68A0C31E"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Agbeshie</w:t>
      </w:r>
      <w:proofErr w:type="spellEnd"/>
      <w:r w:rsidRPr="00BC510B">
        <w:rPr>
          <w:rFonts w:ascii="Times New Roman" w:hAnsi="Times New Roman" w:cs="Times New Roman"/>
        </w:rPr>
        <w:t xml:space="preserve">, A.A., Adjei, R., Anokye, J. and </w:t>
      </w:r>
      <w:proofErr w:type="spellStart"/>
      <w:r w:rsidRPr="00BC510B">
        <w:rPr>
          <w:rFonts w:ascii="Times New Roman" w:hAnsi="Times New Roman" w:cs="Times New Roman"/>
        </w:rPr>
        <w:t>Banunle</w:t>
      </w:r>
      <w:proofErr w:type="spellEnd"/>
      <w:r w:rsidRPr="00BC510B">
        <w:rPr>
          <w:rFonts w:ascii="Times New Roman" w:hAnsi="Times New Roman" w:cs="Times New Roman"/>
        </w:rPr>
        <w:t xml:space="preserve">, A., 2020. Municipal waste dumpsite: Impact on soil properties and heavy metal concentrations, Sunyani, Ghana. Scientific African, 8, </w:t>
      </w:r>
      <w:proofErr w:type="gramStart"/>
      <w:r w:rsidRPr="00BC510B">
        <w:rPr>
          <w:rFonts w:ascii="Times New Roman" w:hAnsi="Times New Roman" w:cs="Times New Roman"/>
        </w:rPr>
        <w:t>p.e</w:t>
      </w:r>
      <w:proofErr w:type="gramEnd"/>
      <w:r w:rsidRPr="00BC510B">
        <w:rPr>
          <w:rFonts w:ascii="Times New Roman" w:hAnsi="Times New Roman" w:cs="Times New Roman"/>
        </w:rPr>
        <w:t>00390.</w:t>
      </w:r>
      <w:r w:rsidR="005D2592">
        <w:rPr>
          <w:rFonts w:ascii="Times New Roman" w:hAnsi="Times New Roman" w:cs="Times New Roman"/>
        </w:rPr>
        <w:t xml:space="preserve"> </w:t>
      </w:r>
      <w:hyperlink r:id="rId19" w:history="1">
        <w:r w:rsidR="005D2592" w:rsidRPr="00F530B5">
          <w:rPr>
            <w:rStyle w:val="Hyperlink"/>
            <w:rFonts w:ascii="Times New Roman" w:hAnsi="Times New Roman" w:cs="Times New Roman"/>
          </w:rPr>
          <w:t>https://doi.org/10.1016/j.sciaf.2020.e00390</w:t>
        </w:r>
      </w:hyperlink>
      <w:r w:rsidR="005D2592">
        <w:rPr>
          <w:rFonts w:ascii="Times New Roman" w:hAnsi="Times New Roman" w:cs="Times New Roman"/>
        </w:rPr>
        <w:t xml:space="preserve"> </w:t>
      </w:r>
    </w:p>
    <w:p w14:paraId="2D73FF00" w14:textId="77777777" w:rsidR="00BC510B" w:rsidRPr="00BC510B" w:rsidRDefault="00BC510B" w:rsidP="003D074D">
      <w:pPr>
        <w:spacing w:after="0" w:line="240" w:lineRule="auto"/>
        <w:rPr>
          <w:rFonts w:ascii="Times New Roman" w:hAnsi="Times New Roman" w:cs="Times New Roman"/>
        </w:rPr>
      </w:pPr>
    </w:p>
    <w:p w14:paraId="392B6795"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Ahmed, I., Prasad Rao, T.V.D. and Hussain, M., 2014. Quality Assessment of Soil at municipal solid waste dumpsite and possibilities of reclamation of land. </w:t>
      </w:r>
      <w:r w:rsidRPr="00BC510B">
        <w:rPr>
          <w:rFonts w:ascii="Times New Roman" w:hAnsi="Times New Roman" w:cs="Times New Roman"/>
          <w:i/>
          <w:iCs/>
        </w:rPr>
        <w:t>Int. J. Innovative Sci. Engin. &amp; Tech</w:t>
      </w:r>
      <w:r w:rsidRPr="00BC510B">
        <w:rPr>
          <w:rFonts w:ascii="Times New Roman" w:hAnsi="Times New Roman" w:cs="Times New Roman"/>
        </w:rPr>
        <w:t>, </w:t>
      </w:r>
      <w:r w:rsidRPr="00BC510B">
        <w:rPr>
          <w:rFonts w:ascii="Times New Roman" w:hAnsi="Times New Roman" w:cs="Times New Roman"/>
          <w:i/>
          <w:iCs/>
        </w:rPr>
        <w:t>1</w:t>
      </w:r>
      <w:r w:rsidRPr="00BC510B">
        <w:rPr>
          <w:rFonts w:ascii="Times New Roman" w:hAnsi="Times New Roman" w:cs="Times New Roman"/>
        </w:rPr>
        <w:t>(7), pp.274-294.</w:t>
      </w:r>
    </w:p>
    <w:p w14:paraId="0232241B" w14:textId="77777777" w:rsidR="00BC510B" w:rsidRPr="00BC510B" w:rsidRDefault="00BC510B" w:rsidP="003D074D">
      <w:pPr>
        <w:spacing w:after="0" w:line="240" w:lineRule="auto"/>
        <w:rPr>
          <w:rFonts w:ascii="Times New Roman" w:hAnsi="Times New Roman" w:cs="Times New Roman"/>
        </w:rPr>
      </w:pPr>
    </w:p>
    <w:p w14:paraId="5131876F" w14:textId="7DCD4CC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Akpan-</w:t>
      </w:r>
      <w:proofErr w:type="spellStart"/>
      <w:r w:rsidRPr="00BC510B">
        <w:rPr>
          <w:rFonts w:ascii="Times New Roman" w:hAnsi="Times New Roman" w:cs="Times New Roman"/>
        </w:rPr>
        <w:t>Idiok</w:t>
      </w:r>
      <w:proofErr w:type="spellEnd"/>
      <w:r w:rsidRPr="00BC510B">
        <w:rPr>
          <w:rFonts w:ascii="Times New Roman" w:hAnsi="Times New Roman" w:cs="Times New Roman"/>
        </w:rPr>
        <w:t xml:space="preserve">, A. U. 2012. Physicochemical properties, degradation rate and rate of vulnerability potential of soil formed in coastal plain sands in Southeast Nigeria. </w:t>
      </w:r>
      <w:r w:rsidRPr="00BC510B">
        <w:rPr>
          <w:rFonts w:ascii="Times New Roman" w:hAnsi="Times New Roman" w:cs="Times New Roman"/>
          <w:i/>
          <w:iCs/>
        </w:rPr>
        <w:t>International Journal of Agricultural Research, 7</w:t>
      </w:r>
      <w:r w:rsidRPr="00BC510B">
        <w:rPr>
          <w:rFonts w:ascii="Times New Roman" w:hAnsi="Times New Roman" w:cs="Times New Roman"/>
        </w:rPr>
        <w:t>(7), 358–366.</w:t>
      </w:r>
      <w:r w:rsidR="005D2592">
        <w:rPr>
          <w:rFonts w:ascii="Times New Roman" w:hAnsi="Times New Roman" w:cs="Times New Roman"/>
        </w:rPr>
        <w:t xml:space="preserve"> </w:t>
      </w:r>
      <w:hyperlink r:id="rId20" w:history="1">
        <w:r w:rsidR="005D2592" w:rsidRPr="00F530B5">
          <w:rPr>
            <w:rStyle w:val="Hyperlink"/>
            <w:rFonts w:ascii="Times New Roman" w:hAnsi="Times New Roman" w:cs="Times New Roman"/>
          </w:rPr>
          <w:t>https://doi.org/10.3923/ijar.2012.358.366</w:t>
        </w:r>
      </w:hyperlink>
      <w:r w:rsidR="005D2592">
        <w:rPr>
          <w:rFonts w:ascii="Times New Roman" w:hAnsi="Times New Roman" w:cs="Times New Roman"/>
        </w:rPr>
        <w:t xml:space="preserve"> </w:t>
      </w:r>
    </w:p>
    <w:p w14:paraId="17DF6C06" w14:textId="77777777" w:rsidR="00BC510B" w:rsidRPr="00BC510B" w:rsidRDefault="00BC510B" w:rsidP="003D074D">
      <w:pPr>
        <w:spacing w:after="0" w:line="240" w:lineRule="auto"/>
        <w:rPr>
          <w:rFonts w:ascii="Times New Roman" w:hAnsi="Times New Roman" w:cs="Times New Roman"/>
        </w:rPr>
      </w:pPr>
    </w:p>
    <w:p w14:paraId="11344EF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Alao, J. O. 2024. The factors influencing the landfill leachate plume contaminants in soils, surface and groundwater and associated health risks: A geophysical and geochemical view. </w:t>
      </w:r>
      <w:r w:rsidRPr="00BC510B">
        <w:rPr>
          <w:rFonts w:ascii="Times New Roman" w:hAnsi="Times New Roman" w:cs="Times New Roman"/>
          <w:i/>
          <w:iCs/>
        </w:rPr>
        <w:t>Public Health and Environment, 1</w:t>
      </w:r>
      <w:r w:rsidRPr="00BC510B">
        <w:rPr>
          <w:rFonts w:ascii="Times New Roman" w:hAnsi="Times New Roman" w:cs="Times New Roman"/>
        </w:rPr>
        <w:t xml:space="preserve">(1), 20–43. </w:t>
      </w:r>
      <w:hyperlink r:id="rId21" w:history="1">
        <w:r w:rsidRPr="00BC510B">
          <w:rPr>
            <w:rStyle w:val="Hyperlink"/>
            <w:rFonts w:ascii="Times New Roman" w:hAnsi="Times New Roman" w:cs="Times New Roman"/>
          </w:rPr>
          <w:t>https://doi.org/10.70737/7ejde223</w:t>
        </w:r>
      </w:hyperlink>
    </w:p>
    <w:p w14:paraId="74259206" w14:textId="534ECDA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 </w:t>
      </w:r>
    </w:p>
    <w:p w14:paraId="605FF52D" w14:textId="06E993C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Ali, S.M., Pervaiz, A., Afzal, B., Hamid, N. and Yasmin, A., 2014. Open dumping of municipal solid waste and its hazardous impacts on soil and vegetation diversity at waste dumping sites of Islamabad city. </w:t>
      </w:r>
      <w:r w:rsidRPr="00BC510B">
        <w:rPr>
          <w:rFonts w:ascii="Times New Roman" w:hAnsi="Times New Roman" w:cs="Times New Roman"/>
          <w:i/>
          <w:iCs/>
        </w:rPr>
        <w:t>Journal of King Saud University-Science</w:t>
      </w:r>
      <w:r w:rsidRPr="00BC510B">
        <w:rPr>
          <w:rFonts w:ascii="Times New Roman" w:hAnsi="Times New Roman" w:cs="Times New Roman"/>
        </w:rPr>
        <w:t>, </w:t>
      </w:r>
      <w:r w:rsidRPr="00BC510B">
        <w:rPr>
          <w:rFonts w:ascii="Times New Roman" w:hAnsi="Times New Roman" w:cs="Times New Roman"/>
          <w:i/>
          <w:iCs/>
        </w:rPr>
        <w:t>26</w:t>
      </w:r>
      <w:r w:rsidRPr="00BC510B">
        <w:rPr>
          <w:rFonts w:ascii="Times New Roman" w:hAnsi="Times New Roman" w:cs="Times New Roman"/>
        </w:rPr>
        <w:t>(1), pp.59-65.</w:t>
      </w:r>
      <w:r w:rsidR="005D2592">
        <w:rPr>
          <w:rFonts w:ascii="Times New Roman" w:hAnsi="Times New Roman" w:cs="Times New Roman"/>
        </w:rPr>
        <w:t xml:space="preserve"> </w:t>
      </w:r>
      <w:hyperlink r:id="rId22" w:history="1">
        <w:r w:rsidR="005D2592" w:rsidRPr="00F530B5">
          <w:rPr>
            <w:rStyle w:val="Hyperlink"/>
            <w:rFonts w:ascii="Times New Roman" w:hAnsi="Times New Roman" w:cs="Times New Roman"/>
          </w:rPr>
          <w:t>https://doi.org/10.1016/j.jksus.2013.08.003</w:t>
        </w:r>
      </w:hyperlink>
      <w:r w:rsidR="005D2592">
        <w:rPr>
          <w:rFonts w:ascii="Times New Roman" w:hAnsi="Times New Roman" w:cs="Times New Roman"/>
        </w:rPr>
        <w:t xml:space="preserve"> </w:t>
      </w:r>
      <w:r w:rsidRPr="00BC510B">
        <w:rPr>
          <w:rFonts w:ascii="Times New Roman" w:hAnsi="Times New Roman" w:cs="Times New Roman"/>
        </w:rPr>
        <w:br/>
      </w:r>
    </w:p>
    <w:p w14:paraId="5C4DA91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APHA (2017). Standard Methods for the Examination of Water &amp;Waste Water. </w:t>
      </w:r>
      <w:proofErr w:type="spellStart"/>
      <w:r w:rsidRPr="00BC510B">
        <w:rPr>
          <w:rFonts w:ascii="Times New Roman" w:hAnsi="Times New Roman" w:cs="Times New Roman"/>
        </w:rPr>
        <w:t>AmericanPeople</w:t>
      </w:r>
      <w:proofErr w:type="spellEnd"/>
      <w:r w:rsidRPr="00BC510B">
        <w:rPr>
          <w:rFonts w:ascii="Times New Roman" w:hAnsi="Times New Roman" w:cs="Times New Roman"/>
        </w:rPr>
        <w:t xml:space="preserve"> Health Association, 23rd ed., Washington DC</w:t>
      </w:r>
    </w:p>
    <w:p w14:paraId="16245A28" w14:textId="77777777" w:rsidR="00BC510B" w:rsidRPr="00BC510B" w:rsidRDefault="00BC510B" w:rsidP="003D074D">
      <w:pPr>
        <w:spacing w:after="0" w:line="240" w:lineRule="auto"/>
        <w:rPr>
          <w:rFonts w:ascii="Times New Roman" w:hAnsi="Times New Roman" w:cs="Times New Roman"/>
        </w:rPr>
      </w:pPr>
    </w:p>
    <w:p w14:paraId="2A5BFCB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Azuka, C.V. and </w:t>
      </w:r>
      <w:proofErr w:type="spellStart"/>
      <w:r w:rsidRPr="00BC510B">
        <w:rPr>
          <w:rFonts w:ascii="Times New Roman" w:hAnsi="Times New Roman" w:cs="Times New Roman"/>
        </w:rPr>
        <w:t>Ezeme</w:t>
      </w:r>
      <w:proofErr w:type="spellEnd"/>
      <w:r w:rsidRPr="00BC510B">
        <w:rPr>
          <w:rFonts w:ascii="Times New Roman" w:hAnsi="Times New Roman" w:cs="Times New Roman"/>
        </w:rPr>
        <w:t>, C., 2023. Influence of municipal solid waste dumpsite on soil physicochemical properties and vertical distribution of heavy Metals. Journal of Bioresource Management, 10(3), p.8.</w:t>
      </w:r>
    </w:p>
    <w:p w14:paraId="3B4D2B2E" w14:textId="77777777" w:rsidR="00BC510B" w:rsidRPr="00BC510B" w:rsidRDefault="00BC510B" w:rsidP="003D074D">
      <w:pPr>
        <w:spacing w:after="0" w:line="240" w:lineRule="auto"/>
        <w:rPr>
          <w:rFonts w:ascii="Times New Roman" w:hAnsi="Times New Roman" w:cs="Times New Roman"/>
        </w:rPr>
      </w:pPr>
    </w:p>
    <w:p w14:paraId="25F9F46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Bello, A. L., </w:t>
      </w:r>
      <w:proofErr w:type="spellStart"/>
      <w:r w:rsidRPr="00BC510B">
        <w:rPr>
          <w:rFonts w:ascii="Times New Roman" w:hAnsi="Times New Roman" w:cs="Times New Roman"/>
        </w:rPr>
        <w:t>Adekanye</w:t>
      </w:r>
      <w:proofErr w:type="spellEnd"/>
      <w:r w:rsidRPr="00BC510B">
        <w:rPr>
          <w:rFonts w:ascii="Times New Roman" w:hAnsi="Times New Roman" w:cs="Times New Roman"/>
        </w:rPr>
        <w:t xml:space="preserve">, U. O., </w:t>
      </w:r>
      <w:proofErr w:type="spellStart"/>
      <w:r w:rsidRPr="00BC510B">
        <w:rPr>
          <w:rFonts w:ascii="Times New Roman" w:hAnsi="Times New Roman" w:cs="Times New Roman"/>
        </w:rPr>
        <w:t>Orakpoghenor</w:t>
      </w:r>
      <w:proofErr w:type="spellEnd"/>
      <w:r w:rsidRPr="00BC510B">
        <w:rPr>
          <w:rFonts w:ascii="Times New Roman" w:hAnsi="Times New Roman" w:cs="Times New Roman"/>
        </w:rPr>
        <w:t xml:space="preserve">, O., &amp; Markus, T. P. 2023. Knowledge, attitude and practices of abattoir workers and veterinarians toward meat safety in abattoir or slaughter slabs </w:t>
      </w:r>
      <w:r w:rsidRPr="00BC510B">
        <w:rPr>
          <w:rFonts w:ascii="Times New Roman" w:hAnsi="Times New Roman" w:cs="Times New Roman"/>
        </w:rPr>
        <w:lastRenderedPageBreak/>
        <w:t xml:space="preserve">within </w:t>
      </w:r>
      <w:proofErr w:type="spellStart"/>
      <w:r w:rsidRPr="00BC510B">
        <w:rPr>
          <w:rFonts w:ascii="Times New Roman" w:hAnsi="Times New Roman" w:cs="Times New Roman"/>
        </w:rPr>
        <w:t>Uyo</w:t>
      </w:r>
      <w:proofErr w:type="spellEnd"/>
      <w:r w:rsidRPr="00BC510B">
        <w:rPr>
          <w:rFonts w:ascii="Times New Roman" w:hAnsi="Times New Roman" w:cs="Times New Roman"/>
        </w:rPr>
        <w:t xml:space="preserve"> Metropolis, </w:t>
      </w:r>
      <w:proofErr w:type="spellStart"/>
      <w:r w:rsidRPr="00BC510B">
        <w:rPr>
          <w:rFonts w:ascii="Times New Roman" w:hAnsi="Times New Roman" w:cs="Times New Roman"/>
        </w:rPr>
        <w:t>Akwa</w:t>
      </w:r>
      <w:proofErr w:type="spellEnd"/>
      <w:r w:rsidRPr="00BC510B">
        <w:rPr>
          <w:rFonts w:ascii="Times New Roman" w:hAnsi="Times New Roman" w:cs="Times New Roman"/>
        </w:rPr>
        <w:t xml:space="preserve"> Ibom State, Nigeria. </w:t>
      </w:r>
      <w:r w:rsidRPr="00BC510B">
        <w:rPr>
          <w:rFonts w:ascii="Times New Roman" w:hAnsi="Times New Roman" w:cs="Times New Roman"/>
          <w:i/>
          <w:iCs/>
        </w:rPr>
        <w:t>Journal of Health Science Research, 8</w:t>
      </w:r>
      <w:r w:rsidRPr="00BC510B">
        <w:rPr>
          <w:rFonts w:ascii="Times New Roman" w:hAnsi="Times New Roman" w:cs="Times New Roman"/>
        </w:rPr>
        <w:t xml:space="preserve">, 30–37. </w:t>
      </w:r>
      <w:hyperlink r:id="rId23" w:history="1">
        <w:r w:rsidRPr="00BC510B">
          <w:rPr>
            <w:rStyle w:val="Hyperlink"/>
            <w:rFonts w:ascii="Times New Roman" w:hAnsi="Times New Roman" w:cs="Times New Roman"/>
          </w:rPr>
          <w:t>https://doi.org/10.25259/jhsr_4_2023</w:t>
        </w:r>
      </w:hyperlink>
      <w:r w:rsidRPr="00BC510B">
        <w:rPr>
          <w:rFonts w:ascii="Times New Roman" w:hAnsi="Times New Roman" w:cs="Times New Roman"/>
        </w:rPr>
        <w:t xml:space="preserve"> </w:t>
      </w:r>
    </w:p>
    <w:p w14:paraId="74470F50" w14:textId="77777777" w:rsidR="00BC510B" w:rsidRPr="00BC510B" w:rsidRDefault="00BC510B" w:rsidP="003D074D">
      <w:pPr>
        <w:spacing w:after="0" w:line="240" w:lineRule="auto"/>
        <w:rPr>
          <w:rFonts w:ascii="Times New Roman" w:hAnsi="Times New Roman" w:cs="Times New Roman"/>
        </w:rPr>
      </w:pPr>
    </w:p>
    <w:p w14:paraId="01212487" w14:textId="4536453C"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Bisht, A., Kamboj, V., Kamboj, N., Bharti, M., </w:t>
      </w:r>
      <w:proofErr w:type="spellStart"/>
      <w:r w:rsidRPr="00BC510B">
        <w:rPr>
          <w:rFonts w:ascii="Times New Roman" w:hAnsi="Times New Roman" w:cs="Times New Roman"/>
        </w:rPr>
        <w:t>Bahukahndi</w:t>
      </w:r>
      <w:proofErr w:type="spellEnd"/>
      <w:r w:rsidRPr="00BC510B">
        <w:rPr>
          <w:rFonts w:ascii="Times New Roman" w:hAnsi="Times New Roman" w:cs="Times New Roman"/>
        </w:rPr>
        <w:t>, K.D. and Saini, H., 2024. Impact of solid waste dumping on soil quality and its potential risk on human health and environment. </w:t>
      </w:r>
      <w:r w:rsidRPr="00BC510B">
        <w:rPr>
          <w:rFonts w:ascii="Times New Roman" w:hAnsi="Times New Roman" w:cs="Times New Roman"/>
          <w:i/>
          <w:iCs/>
        </w:rPr>
        <w:t>Environmental Monitoring and Assessment</w:t>
      </w:r>
      <w:r w:rsidRPr="00BC510B">
        <w:rPr>
          <w:rFonts w:ascii="Times New Roman" w:hAnsi="Times New Roman" w:cs="Times New Roman"/>
        </w:rPr>
        <w:t>, </w:t>
      </w:r>
      <w:r w:rsidRPr="00BC510B">
        <w:rPr>
          <w:rFonts w:ascii="Times New Roman" w:hAnsi="Times New Roman" w:cs="Times New Roman"/>
          <w:i/>
          <w:iCs/>
        </w:rPr>
        <w:t>196</w:t>
      </w:r>
      <w:r w:rsidRPr="00BC510B">
        <w:rPr>
          <w:rFonts w:ascii="Times New Roman" w:hAnsi="Times New Roman" w:cs="Times New Roman"/>
        </w:rPr>
        <w:t>(8), p.763.</w:t>
      </w:r>
      <w:r w:rsidR="005D2592">
        <w:rPr>
          <w:rFonts w:ascii="Times New Roman" w:hAnsi="Times New Roman" w:cs="Times New Roman"/>
        </w:rPr>
        <w:t xml:space="preserve"> </w:t>
      </w:r>
      <w:hyperlink r:id="rId24" w:history="1">
        <w:r w:rsidR="005D2592" w:rsidRPr="00F530B5">
          <w:rPr>
            <w:rStyle w:val="Hyperlink"/>
            <w:rFonts w:ascii="Times New Roman" w:hAnsi="Times New Roman" w:cs="Times New Roman"/>
          </w:rPr>
          <w:t>https://doi.org/10.1007/s10661-024-12914-6</w:t>
        </w:r>
      </w:hyperlink>
      <w:r w:rsidR="005D2592">
        <w:rPr>
          <w:rFonts w:ascii="Times New Roman" w:hAnsi="Times New Roman" w:cs="Times New Roman"/>
        </w:rPr>
        <w:t xml:space="preserve"> </w:t>
      </w:r>
    </w:p>
    <w:p w14:paraId="543909E4" w14:textId="77777777" w:rsidR="00BC510B" w:rsidRPr="00BC510B" w:rsidRDefault="00BC510B" w:rsidP="003D074D">
      <w:pPr>
        <w:spacing w:after="0" w:line="240" w:lineRule="auto"/>
        <w:rPr>
          <w:rFonts w:ascii="Times New Roman" w:hAnsi="Times New Roman" w:cs="Times New Roman"/>
        </w:rPr>
      </w:pPr>
    </w:p>
    <w:p w14:paraId="6F83091C" w14:textId="42BA0CB2" w:rsidR="00BC510B" w:rsidRDefault="00BC510B" w:rsidP="003D074D">
      <w:pPr>
        <w:autoSpaceDE w:val="0"/>
        <w:autoSpaceDN w:val="0"/>
        <w:adjustRightInd w:val="0"/>
        <w:spacing w:after="0" w:line="240" w:lineRule="auto"/>
        <w:rPr>
          <w:rFonts w:ascii="Times New Roman" w:hAnsi="Times New Roman" w:cs="Times New Roman"/>
          <w:color w:val="000000"/>
          <w:kern w:val="0"/>
        </w:rPr>
      </w:pPr>
      <w:r w:rsidRPr="00BC510B">
        <w:rPr>
          <w:rFonts w:ascii="Times New Roman" w:hAnsi="Times New Roman" w:cs="Times New Roman"/>
          <w:color w:val="000000"/>
          <w:kern w:val="0"/>
        </w:rPr>
        <w:t xml:space="preserve">Borgese, L., Federici, S., </w:t>
      </w:r>
      <w:proofErr w:type="spellStart"/>
      <w:r w:rsidRPr="00BC510B">
        <w:rPr>
          <w:rFonts w:ascii="Times New Roman" w:hAnsi="Times New Roman" w:cs="Times New Roman"/>
          <w:color w:val="000000"/>
          <w:kern w:val="0"/>
        </w:rPr>
        <w:t>Zacco</w:t>
      </w:r>
      <w:proofErr w:type="spellEnd"/>
      <w:r w:rsidRPr="00BC510B">
        <w:rPr>
          <w:rFonts w:ascii="Times New Roman" w:hAnsi="Times New Roman" w:cs="Times New Roman"/>
          <w:color w:val="000000"/>
          <w:kern w:val="0"/>
        </w:rPr>
        <w:t xml:space="preserve">, A., </w:t>
      </w:r>
      <w:proofErr w:type="spellStart"/>
      <w:r w:rsidRPr="00BC510B">
        <w:rPr>
          <w:rFonts w:ascii="Times New Roman" w:hAnsi="Times New Roman" w:cs="Times New Roman"/>
          <w:color w:val="000000"/>
          <w:kern w:val="0"/>
        </w:rPr>
        <w:t>Gianoncelli</w:t>
      </w:r>
      <w:proofErr w:type="spellEnd"/>
      <w:r w:rsidRPr="00BC510B">
        <w:rPr>
          <w:rFonts w:ascii="Times New Roman" w:hAnsi="Times New Roman" w:cs="Times New Roman"/>
          <w:color w:val="000000"/>
          <w:kern w:val="0"/>
        </w:rPr>
        <w:t xml:space="preserve">, A., Rizzo, L., Smith, D. R., Donna, F., Lucchini, R., </w:t>
      </w:r>
      <w:proofErr w:type="spellStart"/>
      <w:r w:rsidRPr="00BC510B">
        <w:rPr>
          <w:rFonts w:ascii="Times New Roman" w:hAnsi="Times New Roman" w:cs="Times New Roman"/>
          <w:color w:val="000000"/>
          <w:kern w:val="0"/>
        </w:rPr>
        <w:t>Depero</w:t>
      </w:r>
      <w:proofErr w:type="spellEnd"/>
      <w:r w:rsidRPr="00BC510B">
        <w:rPr>
          <w:rFonts w:ascii="Times New Roman" w:hAnsi="Times New Roman" w:cs="Times New Roman"/>
          <w:color w:val="000000"/>
          <w:kern w:val="0"/>
        </w:rPr>
        <w:t xml:space="preserve">, L. E., &amp; Bontempi, E. (2013). Metal fractionation in soils and assessment of environmental contamination in the </w:t>
      </w:r>
      <w:proofErr w:type="spellStart"/>
      <w:r w:rsidRPr="00BC510B">
        <w:rPr>
          <w:rFonts w:ascii="Times New Roman" w:hAnsi="Times New Roman" w:cs="Times New Roman"/>
          <w:color w:val="000000"/>
          <w:kern w:val="0"/>
        </w:rPr>
        <w:t>Vallecamonica</w:t>
      </w:r>
      <w:proofErr w:type="spellEnd"/>
      <w:r w:rsidRPr="00BC510B">
        <w:rPr>
          <w:rFonts w:ascii="Times New Roman" w:hAnsi="Times New Roman" w:cs="Times New Roman"/>
          <w:color w:val="000000"/>
          <w:kern w:val="0"/>
        </w:rPr>
        <w:t xml:space="preserve">, Italy. </w:t>
      </w:r>
      <w:r w:rsidRPr="00BC510B">
        <w:rPr>
          <w:rFonts w:ascii="Times New Roman" w:hAnsi="Times New Roman" w:cs="Times New Roman"/>
          <w:i/>
          <w:iCs/>
          <w:color w:val="000000"/>
          <w:kern w:val="0"/>
        </w:rPr>
        <w:t>Environmental Science and Pollution Research International, 20</w:t>
      </w:r>
      <w:r w:rsidRPr="00BC510B">
        <w:rPr>
          <w:rFonts w:ascii="Times New Roman" w:hAnsi="Times New Roman" w:cs="Times New Roman"/>
          <w:color w:val="000000"/>
          <w:kern w:val="0"/>
        </w:rPr>
        <w:t xml:space="preserve">(7), 5067–5075. </w:t>
      </w:r>
      <w:hyperlink r:id="rId25" w:history="1">
        <w:r w:rsidRPr="00BC510B">
          <w:rPr>
            <w:rStyle w:val="Hyperlink"/>
            <w:rFonts w:ascii="Times New Roman" w:hAnsi="Times New Roman" w:cs="Times New Roman"/>
            <w:kern w:val="0"/>
          </w:rPr>
          <w:t>https://doi.org/10.1007/s11356-013-1473-8</w:t>
        </w:r>
      </w:hyperlink>
      <w:r w:rsidRPr="00BC510B">
        <w:rPr>
          <w:rFonts w:ascii="Times New Roman" w:hAnsi="Times New Roman" w:cs="Times New Roman"/>
          <w:color w:val="000000"/>
          <w:kern w:val="0"/>
        </w:rPr>
        <w:t xml:space="preserve"> </w:t>
      </w:r>
    </w:p>
    <w:p w14:paraId="054AADCF" w14:textId="77777777" w:rsidR="005D2592" w:rsidRPr="00BC510B" w:rsidRDefault="005D2592" w:rsidP="003D074D">
      <w:pPr>
        <w:autoSpaceDE w:val="0"/>
        <w:autoSpaceDN w:val="0"/>
        <w:adjustRightInd w:val="0"/>
        <w:spacing w:after="0" w:line="240" w:lineRule="auto"/>
        <w:rPr>
          <w:rFonts w:ascii="Times New Roman" w:hAnsi="Times New Roman" w:cs="Times New Roman"/>
        </w:rPr>
      </w:pPr>
    </w:p>
    <w:p w14:paraId="11016E9D" w14:textId="34211569" w:rsidR="00BC510B" w:rsidRPr="00BC510B" w:rsidRDefault="00BC510B" w:rsidP="003D074D">
      <w:pPr>
        <w:spacing w:after="0" w:line="240" w:lineRule="auto"/>
        <w:rPr>
          <w:rFonts w:ascii="Times New Roman" w:hAnsi="Times New Roman" w:cs="Times New Roman"/>
        </w:rPr>
      </w:pPr>
      <w:bookmarkStart w:id="1" w:name="_Hlk218777187"/>
      <w:r w:rsidRPr="00BC510B">
        <w:rPr>
          <w:rFonts w:ascii="Times New Roman" w:hAnsi="Times New Roman" w:cs="Times New Roman"/>
        </w:rPr>
        <w:t>Breza-Boruta</w:t>
      </w:r>
      <w:bookmarkEnd w:id="1"/>
      <w:r w:rsidRPr="00BC510B">
        <w:rPr>
          <w:rFonts w:ascii="Times New Roman" w:hAnsi="Times New Roman" w:cs="Times New Roman"/>
        </w:rPr>
        <w:t>, B., Lemanowicz, J. and Bartkowiak, A., 2016. Variation in biological and physicochemical parameters of the soil affected by uncontrolled landfill sites. </w:t>
      </w:r>
      <w:r w:rsidRPr="00BC510B">
        <w:rPr>
          <w:rFonts w:ascii="Times New Roman" w:hAnsi="Times New Roman" w:cs="Times New Roman"/>
          <w:i/>
          <w:iCs/>
        </w:rPr>
        <w:t>Environmental earth sciences</w:t>
      </w:r>
      <w:r w:rsidRPr="00BC510B">
        <w:rPr>
          <w:rFonts w:ascii="Times New Roman" w:hAnsi="Times New Roman" w:cs="Times New Roman"/>
        </w:rPr>
        <w:t>, </w:t>
      </w:r>
      <w:r w:rsidRPr="00BC510B">
        <w:rPr>
          <w:rFonts w:ascii="Times New Roman" w:hAnsi="Times New Roman" w:cs="Times New Roman"/>
          <w:i/>
          <w:iCs/>
        </w:rPr>
        <w:t>75</w:t>
      </w:r>
      <w:r w:rsidRPr="00BC510B">
        <w:rPr>
          <w:rFonts w:ascii="Times New Roman" w:hAnsi="Times New Roman" w:cs="Times New Roman"/>
        </w:rPr>
        <w:t>(3), p.201.</w:t>
      </w:r>
      <w:r w:rsidR="005D2592">
        <w:rPr>
          <w:rFonts w:ascii="Times New Roman" w:hAnsi="Times New Roman" w:cs="Times New Roman"/>
        </w:rPr>
        <w:t xml:space="preserve"> </w:t>
      </w:r>
      <w:hyperlink r:id="rId26" w:history="1">
        <w:r w:rsidR="005D2592" w:rsidRPr="00F530B5">
          <w:rPr>
            <w:rStyle w:val="Hyperlink"/>
            <w:rFonts w:ascii="Times New Roman" w:hAnsi="Times New Roman" w:cs="Times New Roman"/>
          </w:rPr>
          <w:t>https://doi.org/10.1007/s12665-015-4955-9</w:t>
        </w:r>
      </w:hyperlink>
      <w:r w:rsidR="005D2592">
        <w:rPr>
          <w:rFonts w:ascii="Times New Roman" w:hAnsi="Times New Roman" w:cs="Times New Roman"/>
        </w:rPr>
        <w:t xml:space="preserve"> </w:t>
      </w:r>
    </w:p>
    <w:p w14:paraId="0822C9FC" w14:textId="77777777" w:rsidR="00BC510B" w:rsidRPr="00BC510B" w:rsidRDefault="00BC510B" w:rsidP="003D074D">
      <w:pPr>
        <w:spacing w:after="0" w:line="240" w:lineRule="auto"/>
        <w:rPr>
          <w:rFonts w:ascii="Times New Roman" w:hAnsi="Times New Roman" w:cs="Times New Roman"/>
        </w:rPr>
      </w:pPr>
    </w:p>
    <w:p w14:paraId="7EFD2A37"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Chen, P., Xie, Q., Addy, M., Zhou, W., Liu, Y., Wang, Y., Cheng, Y., Li, K., &amp; Ruan, R. 2016. Utilization of municipal solid and liquid wastes for bioenergy and bioproducts production. </w:t>
      </w:r>
      <w:r w:rsidRPr="00BC510B">
        <w:rPr>
          <w:rFonts w:ascii="Times New Roman" w:hAnsi="Times New Roman" w:cs="Times New Roman"/>
          <w:i/>
          <w:iCs/>
        </w:rPr>
        <w:t>Bioresource Technology, 215</w:t>
      </w:r>
      <w:r w:rsidRPr="00BC510B">
        <w:rPr>
          <w:rFonts w:ascii="Times New Roman" w:hAnsi="Times New Roman" w:cs="Times New Roman"/>
        </w:rPr>
        <w:t xml:space="preserve">, 163–172. </w:t>
      </w:r>
      <w:hyperlink r:id="rId27" w:history="1">
        <w:r w:rsidRPr="00BC510B">
          <w:rPr>
            <w:rStyle w:val="Hyperlink"/>
            <w:rFonts w:ascii="Times New Roman" w:hAnsi="Times New Roman" w:cs="Times New Roman"/>
          </w:rPr>
          <w:t>https://doi.org/10.1016/j.biortech.2016.02.094</w:t>
        </w:r>
      </w:hyperlink>
      <w:r w:rsidRPr="00BC510B">
        <w:rPr>
          <w:rFonts w:ascii="Times New Roman" w:hAnsi="Times New Roman" w:cs="Times New Roman"/>
        </w:rPr>
        <w:t xml:space="preserve"> </w:t>
      </w:r>
    </w:p>
    <w:p w14:paraId="59D12621" w14:textId="77777777" w:rsidR="00BC510B" w:rsidRPr="00BC510B" w:rsidRDefault="00BC510B" w:rsidP="003D074D">
      <w:pPr>
        <w:spacing w:after="0" w:line="240" w:lineRule="auto"/>
        <w:rPr>
          <w:rFonts w:ascii="Times New Roman" w:hAnsi="Times New Roman" w:cs="Times New Roman"/>
        </w:rPr>
      </w:pPr>
    </w:p>
    <w:p w14:paraId="51496E20"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de Vries, W., &amp; Bakker, D. J. 1996. </w:t>
      </w:r>
      <w:r w:rsidRPr="00BC510B">
        <w:rPr>
          <w:rFonts w:ascii="Times New Roman" w:hAnsi="Times New Roman" w:cs="Times New Roman"/>
          <w:i/>
          <w:iCs/>
        </w:rPr>
        <w:t>Manual for calculating critical loads of heavy metals for soils and surface waters. Preliminary guidelines for environmental quality criteria, calculation methods and input data</w:t>
      </w:r>
      <w:r w:rsidRPr="00BC510B">
        <w:rPr>
          <w:rFonts w:ascii="Times New Roman" w:hAnsi="Times New Roman" w:cs="Times New Roman"/>
        </w:rPr>
        <w:t>. Wageningen (The Netherlands): DLO Winand Staring Centre. Report 114.</w:t>
      </w:r>
    </w:p>
    <w:p w14:paraId="327418DF" w14:textId="77777777" w:rsidR="00BC510B" w:rsidRPr="00BC510B" w:rsidRDefault="00BC510B" w:rsidP="003D074D">
      <w:pPr>
        <w:spacing w:after="0" w:line="240" w:lineRule="auto"/>
        <w:rPr>
          <w:rFonts w:ascii="Times New Roman" w:hAnsi="Times New Roman" w:cs="Times New Roman"/>
        </w:rPr>
      </w:pPr>
    </w:p>
    <w:p w14:paraId="09129C11" w14:textId="0F9B7B04"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Drall</w:t>
      </w:r>
      <w:proofErr w:type="spellEnd"/>
      <w:r w:rsidRPr="00BC510B">
        <w:rPr>
          <w:rFonts w:ascii="Times New Roman" w:hAnsi="Times New Roman" w:cs="Times New Roman"/>
        </w:rPr>
        <w:t xml:space="preserve">, J.K., </w:t>
      </w:r>
      <w:proofErr w:type="spellStart"/>
      <w:r w:rsidRPr="00BC510B">
        <w:rPr>
          <w:rFonts w:ascii="Times New Roman" w:hAnsi="Times New Roman" w:cs="Times New Roman"/>
        </w:rPr>
        <w:t>Rautela</w:t>
      </w:r>
      <w:proofErr w:type="spellEnd"/>
      <w:r w:rsidRPr="00BC510B">
        <w:rPr>
          <w:rFonts w:ascii="Times New Roman" w:hAnsi="Times New Roman" w:cs="Times New Roman"/>
        </w:rPr>
        <w:t>, R., Jambhulkar, R., Kataria, A.K. and Kumar, S., 2025. Effect of heavy metals contamination due to leachate migration from uncontrolled dumpsites: A comprehensive analysis on soil and groundwater. </w:t>
      </w:r>
      <w:r w:rsidRPr="00BC510B">
        <w:rPr>
          <w:rFonts w:ascii="Times New Roman" w:hAnsi="Times New Roman" w:cs="Times New Roman"/>
          <w:i/>
          <w:iCs/>
        </w:rPr>
        <w:t>Journal of Environmental Management</w:t>
      </w:r>
      <w:r w:rsidRPr="00BC510B">
        <w:rPr>
          <w:rFonts w:ascii="Times New Roman" w:hAnsi="Times New Roman" w:cs="Times New Roman"/>
        </w:rPr>
        <w:t>, </w:t>
      </w:r>
      <w:r w:rsidRPr="00BC510B">
        <w:rPr>
          <w:rFonts w:ascii="Times New Roman" w:hAnsi="Times New Roman" w:cs="Times New Roman"/>
          <w:i/>
          <w:iCs/>
        </w:rPr>
        <w:t>373</w:t>
      </w:r>
      <w:r w:rsidRPr="00BC510B">
        <w:rPr>
          <w:rFonts w:ascii="Times New Roman" w:hAnsi="Times New Roman" w:cs="Times New Roman"/>
        </w:rPr>
        <w:t>, p.123473.</w:t>
      </w:r>
      <w:r w:rsidR="005D2592">
        <w:rPr>
          <w:rFonts w:ascii="Times New Roman" w:hAnsi="Times New Roman" w:cs="Times New Roman"/>
        </w:rPr>
        <w:t xml:space="preserve"> </w:t>
      </w:r>
      <w:hyperlink r:id="rId28" w:history="1">
        <w:r w:rsidR="005D2592" w:rsidRPr="00F530B5">
          <w:rPr>
            <w:rStyle w:val="Hyperlink"/>
            <w:rFonts w:ascii="Times New Roman" w:hAnsi="Times New Roman" w:cs="Times New Roman"/>
          </w:rPr>
          <w:t>https://doi.org/10.1016/j.jenvman.2024.123473</w:t>
        </w:r>
      </w:hyperlink>
      <w:r w:rsidR="005D2592">
        <w:rPr>
          <w:rFonts w:ascii="Times New Roman" w:hAnsi="Times New Roman" w:cs="Times New Roman"/>
        </w:rPr>
        <w:t xml:space="preserve"> </w:t>
      </w:r>
    </w:p>
    <w:p w14:paraId="294A9E9B" w14:textId="77777777" w:rsidR="00BC510B" w:rsidRPr="00BC510B" w:rsidRDefault="00BC510B" w:rsidP="003D074D">
      <w:pPr>
        <w:spacing w:after="0" w:line="240" w:lineRule="auto"/>
        <w:rPr>
          <w:rFonts w:ascii="Times New Roman" w:hAnsi="Times New Roman" w:cs="Times New Roman"/>
        </w:rPr>
      </w:pPr>
    </w:p>
    <w:p w14:paraId="29F9F4DF"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Ebong, G. A., </w:t>
      </w:r>
      <w:proofErr w:type="spellStart"/>
      <w:r w:rsidRPr="00BC510B">
        <w:rPr>
          <w:rFonts w:ascii="Times New Roman" w:hAnsi="Times New Roman" w:cs="Times New Roman"/>
        </w:rPr>
        <w:t>Ettesam</w:t>
      </w:r>
      <w:proofErr w:type="spellEnd"/>
      <w:r w:rsidRPr="00BC510B">
        <w:rPr>
          <w:rFonts w:ascii="Times New Roman" w:hAnsi="Times New Roman" w:cs="Times New Roman"/>
        </w:rPr>
        <w:t xml:space="preserve">, E. S. and Dan, E. U. (2020) Impact of abattoir wastes on trace metal accumulation, speciation, and human health–related problems in soils within Southern Nigeria. Air, Soil and Water Research, 13: 1–14. </w:t>
      </w:r>
      <w:hyperlink r:id="rId29" w:history="1">
        <w:r w:rsidRPr="00BC510B">
          <w:rPr>
            <w:rStyle w:val="Hyperlink"/>
            <w:rFonts w:ascii="Times New Roman" w:hAnsi="Times New Roman" w:cs="Times New Roman"/>
          </w:rPr>
          <w:t>https://doi.org/10.1177/1178622119898430</w:t>
        </w:r>
      </w:hyperlink>
      <w:r w:rsidRPr="00BC510B">
        <w:rPr>
          <w:rFonts w:ascii="Times New Roman" w:hAnsi="Times New Roman" w:cs="Times New Roman"/>
        </w:rPr>
        <w:t xml:space="preserve">  </w:t>
      </w:r>
    </w:p>
    <w:p w14:paraId="5C2759AD" w14:textId="77777777" w:rsidR="00BC510B" w:rsidRPr="00BC510B" w:rsidRDefault="00BC510B" w:rsidP="003D074D">
      <w:pPr>
        <w:spacing w:after="0" w:line="240" w:lineRule="auto"/>
        <w:rPr>
          <w:rFonts w:ascii="Times New Roman" w:hAnsi="Times New Roman" w:cs="Times New Roman"/>
        </w:rPr>
      </w:pPr>
    </w:p>
    <w:p w14:paraId="7D82F403"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Ebong, G. A., </w:t>
      </w:r>
      <w:proofErr w:type="spellStart"/>
      <w:r w:rsidRPr="00BC510B">
        <w:rPr>
          <w:rFonts w:ascii="Times New Roman" w:hAnsi="Times New Roman" w:cs="Times New Roman"/>
        </w:rPr>
        <w:t>Ettesam</w:t>
      </w:r>
      <w:proofErr w:type="spellEnd"/>
      <w:r w:rsidRPr="00BC510B">
        <w:rPr>
          <w:rFonts w:ascii="Times New Roman" w:hAnsi="Times New Roman" w:cs="Times New Roman"/>
        </w:rPr>
        <w:t xml:space="preserve">, E. S., &amp; Dan, E. U. 2020. Impact of abattoir wastes on trace metal accumulation, speciation, and human health–related problems in soils within Southern Nigeria. </w:t>
      </w:r>
      <w:r w:rsidRPr="00BC510B">
        <w:rPr>
          <w:rFonts w:ascii="Times New Roman" w:hAnsi="Times New Roman" w:cs="Times New Roman"/>
          <w:i/>
          <w:iCs/>
        </w:rPr>
        <w:t>Air, Soil and Water Research, 13</w:t>
      </w:r>
      <w:r w:rsidRPr="00BC510B">
        <w:rPr>
          <w:rFonts w:ascii="Times New Roman" w:hAnsi="Times New Roman" w:cs="Times New Roman"/>
        </w:rPr>
        <w:t xml:space="preserve">, 1–14. </w:t>
      </w:r>
      <w:hyperlink r:id="rId30" w:history="1">
        <w:r w:rsidRPr="00BC510B">
          <w:rPr>
            <w:rStyle w:val="Hyperlink"/>
            <w:rFonts w:ascii="Times New Roman" w:hAnsi="Times New Roman" w:cs="Times New Roman"/>
          </w:rPr>
          <w:t>https://doi.org/10.1177/1178622119898430</w:t>
        </w:r>
      </w:hyperlink>
      <w:r w:rsidRPr="00BC510B">
        <w:rPr>
          <w:rFonts w:ascii="Times New Roman" w:hAnsi="Times New Roman" w:cs="Times New Roman"/>
        </w:rPr>
        <w:t xml:space="preserve"> </w:t>
      </w:r>
    </w:p>
    <w:p w14:paraId="4734908C" w14:textId="77777777" w:rsidR="00BC510B" w:rsidRPr="00BC510B" w:rsidRDefault="00BC510B" w:rsidP="003D074D">
      <w:pPr>
        <w:spacing w:after="0" w:line="240" w:lineRule="auto"/>
        <w:rPr>
          <w:rFonts w:ascii="Times New Roman" w:hAnsi="Times New Roman" w:cs="Times New Roman"/>
        </w:rPr>
      </w:pPr>
    </w:p>
    <w:p w14:paraId="5E76BE8C" w14:textId="4FE60AA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bCs/>
        </w:rPr>
        <w:t xml:space="preserve">Eissa, D., Abou-Shady, A., Ismaeil, S. and Nabil </w:t>
      </w:r>
      <w:proofErr w:type="spellStart"/>
      <w:r w:rsidRPr="00BC510B">
        <w:rPr>
          <w:rFonts w:ascii="Times New Roman" w:hAnsi="Times New Roman" w:cs="Times New Roman"/>
          <w:bCs/>
        </w:rPr>
        <w:t>Bahnasawy</w:t>
      </w:r>
      <w:proofErr w:type="spellEnd"/>
      <w:r w:rsidRPr="00BC510B">
        <w:rPr>
          <w:rFonts w:ascii="Times New Roman" w:hAnsi="Times New Roman" w:cs="Times New Roman"/>
          <w:bCs/>
        </w:rPr>
        <w:t xml:space="preserve">, N. (2017). Distribution and Mobility of Vanadium in Cultivated Calcareous Soils and Some Food Chain Crops. </w:t>
      </w:r>
      <w:r w:rsidRPr="00BC510B">
        <w:rPr>
          <w:rFonts w:ascii="Times New Roman" w:hAnsi="Times New Roman" w:cs="Times New Roman"/>
          <w:bCs/>
          <w:i/>
        </w:rPr>
        <w:t>Egyptian Journal of Soil Sci</w:t>
      </w:r>
      <w:r w:rsidRPr="00BC510B">
        <w:rPr>
          <w:rFonts w:ascii="Times New Roman" w:hAnsi="Times New Roman" w:cs="Times New Roman"/>
          <w:bCs/>
        </w:rPr>
        <w:t>ence, 57 (4): 385 – 392</w:t>
      </w:r>
    </w:p>
    <w:p w14:paraId="7C8D89C8" w14:textId="77777777" w:rsidR="00BC510B" w:rsidRPr="00BC510B" w:rsidRDefault="00BC510B" w:rsidP="003D074D">
      <w:pPr>
        <w:spacing w:after="0" w:line="240" w:lineRule="auto"/>
        <w:rPr>
          <w:rFonts w:ascii="Times New Roman" w:hAnsi="Times New Roman" w:cs="Times New Roman"/>
        </w:rPr>
      </w:pPr>
    </w:p>
    <w:p w14:paraId="0C78D6CE" w14:textId="2C05ADF9"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FAO. 2004. Maximum limits for dangerous substances in soil and groundwater. Regulation of the Minister of the Environment No. 12 of 2 April 2004 (</w:t>
      </w:r>
      <w:proofErr w:type="gramStart"/>
      <w:r w:rsidRPr="00BC510B">
        <w:rPr>
          <w:rFonts w:ascii="Times New Roman" w:hAnsi="Times New Roman" w:cs="Times New Roman"/>
        </w:rPr>
        <w:t>RTL[</w:t>
      </w:r>
      <w:proofErr w:type="gramEnd"/>
      <w:r w:rsidRPr="00BC510B">
        <w:rPr>
          <w:rFonts w:ascii="Times New Roman" w:hAnsi="Times New Roman" w:cs="Times New Roman"/>
        </w:rPr>
        <w:t xml:space="preserve">1] 2004, 40, 662). </w:t>
      </w:r>
      <w:hyperlink r:id="rId31" w:history="1">
        <w:r w:rsidRPr="00BC510B">
          <w:rPr>
            <w:rStyle w:val="Hyperlink"/>
            <w:rFonts w:ascii="Times New Roman" w:hAnsi="Times New Roman" w:cs="Times New Roman"/>
          </w:rPr>
          <w:t>https://faolex.fao.org/docs/pdf/est97999E.pdf</w:t>
        </w:r>
      </w:hyperlink>
      <w:r w:rsidRPr="00BC510B">
        <w:rPr>
          <w:rFonts w:ascii="Times New Roman" w:hAnsi="Times New Roman" w:cs="Times New Roman"/>
        </w:rPr>
        <w:t xml:space="preserve">  (Retrieved on 08/01/2026) </w:t>
      </w:r>
    </w:p>
    <w:p w14:paraId="6CE4D338" w14:textId="77777777" w:rsidR="00BC510B" w:rsidRPr="00BC510B" w:rsidRDefault="00BC510B" w:rsidP="003D074D">
      <w:pPr>
        <w:spacing w:after="0" w:line="240" w:lineRule="auto"/>
        <w:rPr>
          <w:rFonts w:ascii="Times New Roman" w:hAnsi="Times New Roman" w:cs="Times New Roman"/>
        </w:rPr>
      </w:pPr>
    </w:p>
    <w:p w14:paraId="12D55D6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FAO. 2018. Food loss and waste and the right to adequate food: Making the connection right to food discussion paper. Food and Agriculture Organization of the United Nations, Rome. Available at: </w:t>
      </w:r>
      <w:hyperlink r:id="rId32" w:history="1">
        <w:r w:rsidRPr="00BC510B">
          <w:rPr>
            <w:rStyle w:val="Hyperlink"/>
            <w:rFonts w:ascii="Times New Roman" w:hAnsi="Times New Roman" w:cs="Times New Roman"/>
          </w:rPr>
          <w:t>www.fao.org/3/ca1397en/CA1397EN.pdf</w:t>
        </w:r>
      </w:hyperlink>
      <w:r w:rsidRPr="00BC510B">
        <w:rPr>
          <w:rFonts w:ascii="Times New Roman" w:hAnsi="Times New Roman" w:cs="Times New Roman"/>
        </w:rPr>
        <w:t xml:space="preserve">  (Retrieved on 08/01/2026) </w:t>
      </w:r>
    </w:p>
    <w:p w14:paraId="0FC44310" w14:textId="77777777" w:rsidR="00BC510B" w:rsidRPr="00BC510B" w:rsidRDefault="00BC510B" w:rsidP="003D074D">
      <w:pPr>
        <w:spacing w:after="0" w:line="240" w:lineRule="auto"/>
        <w:rPr>
          <w:rFonts w:ascii="Times New Roman" w:hAnsi="Times New Roman" w:cs="Times New Roman"/>
        </w:rPr>
      </w:pPr>
    </w:p>
    <w:p w14:paraId="1E6DE81B"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Ferronato</w:t>
      </w:r>
      <w:proofErr w:type="spellEnd"/>
      <w:r w:rsidRPr="00BC510B">
        <w:rPr>
          <w:rFonts w:ascii="Times New Roman" w:hAnsi="Times New Roman" w:cs="Times New Roman"/>
        </w:rPr>
        <w:t xml:space="preserve">, N., </w:t>
      </w:r>
      <w:proofErr w:type="spellStart"/>
      <w:r w:rsidRPr="00BC510B">
        <w:rPr>
          <w:rFonts w:ascii="Times New Roman" w:hAnsi="Times New Roman" w:cs="Times New Roman"/>
        </w:rPr>
        <w:t>Gorritty</w:t>
      </w:r>
      <w:proofErr w:type="spellEnd"/>
      <w:r w:rsidRPr="00BC510B">
        <w:rPr>
          <w:rFonts w:ascii="Times New Roman" w:hAnsi="Times New Roman" w:cs="Times New Roman"/>
        </w:rPr>
        <w:t xml:space="preserve"> Portillo, M. A., Guisbert Lizarazu, E. G., Torretta, V., Bezzi, M., &amp; Ragazzi, M. 2018. The municipal solid waste management of La Paz (Bolivia): Challenges and opportunities for a sustainable development. Waste Management and Research, 36(3), 288–299. </w:t>
      </w:r>
      <w:hyperlink r:id="rId33" w:history="1">
        <w:r w:rsidRPr="00BC510B">
          <w:rPr>
            <w:rStyle w:val="Hyperlink"/>
            <w:rFonts w:ascii="Times New Roman" w:hAnsi="Times New Roman" w:cs="Times New Roman"/>
          </w:rPr>
          <w:t>https://doi.org/10.1177/0734242x18755893</w:t>
        </w:r>
      </w:hyperlink>
      <w:r w:rsidRPr="00BC510B">
        <w:rPr>
          <w:rFonts w:ascii="Times New Roman" w:hAnsi="Times New Roman" w:cs="Times New Roman"/>
        </w:rPr>
        <w:t xml:space="preserve"> </w:t>
      </w:r>
    </w:p>
    <w:p w14:paraId="12B132F8" w14:textId="77777777" w:rsidR="00BC510B" w:rsidRPr="00BC510B" w:rsidRDefault="00BC510B" w:rsidP="003D074D">
      <w:pPr>
        <w:spacing w:after="0" w:line="240" w:lineRule="auto"/>
        <w:rPr>
          <w:rFonts w:ascii="Times New Roman" w:hAnsi="Times New Roman" w:cs="Times New Roman"/>
        </w:rPr>
      </w:pPr>
    </w:p>
    <w:p w14:paraId="796E0E8D" w14:textId="25A1738B" w:rsid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Ghafourian</w:t>
      </w:r>
      <w:proofErr w:type="spellEnd"/>
      <w:r w:rsidRPr="00BC510B">
        <w:rPr>
          <w:rFonts w:ascii="Times New Roman" w:hAnsi="Times New Roman" w:cs="Times New Roman"/>
        </w:rPr>
        <w:t xml:space="preserve">, K., Mohamed, Z., Ismail, S., </w:t>
      </w:r>
      <w:proofErr w:type="spellStart"/>
      <w:r w:rsidRPr="00BC510B">
        <w:rPr>
          <w:rFonts w:ascii="Times New Roman" w:hAnsi="Times New Roman" w:cs="Times New Roman"/>
        </w:rPr>
        <w:t>Malakute</w:t>
      </w:r>
      <w:proofErr w:type="spellEnd"/>
      <w:r w:rsidRPr="00BC510B">
        <w:rPr>
          <w:rFonts w:ascii="Times New Roman" w:hAnsi="Times New Roman" w:cs="Times New Roman"/>
        </w:rPr>
        <w:t xml:space="preserve">, R., &amp; </w:t>
      </w:r>
      <w:proofErr w:type="spellStart"/>
      <w:r w:rsidRPr="00BC510B">
        <w:rPr>
          <w:rFonts w:ascii="Times New Roman" w:hAnsi="Times New Roman" w:cs="Times New Roman"/>
        </w:rPr>
        <w:t>Abolghasemi</w:t>
      </w:r>
      <w:proofErr w:type="spellEnd"/>
      <w:r w:rsidRPr="00BC510B">
        <w:rPr>
          <w:rFonts w:ascii="Times New Roman" w:hAnsi="Times New Roman" w:cs="Times New Roman"/>
        </w:rPr>
        <w:t xml:space="preserve">, M. 2016. Construction and demolition waste management. </w:t>
      </w:r>
      <w:r w:rsidRPr="00BC510B">
        <w:rPr>
          <w:rFonts w:ascii="Times New Roman" w:hAnsi="Times New Roman" w:cs="Times New Roman"/>
          <w:i/>
          <w:iCs/>
        </w:rPr>
        <w:t>Research Journal of Applied Sciences, Engineering and Technology, 13</w:t>
      </w:r>
      <w:r w:rsidRPr="00BC510B">
        <w:rPr>
          <w:rFonts w:ascii="Times New Roman" w:hAnsi="Times New Roman" w:cs="Times New Roman"/>
        </w:rPr>
        <w:t>(9), 741–749.</w:t>
      </w:r>
      <w:r w:rsidR="005D2592" w:rsidRPr="005D2592">
        <w:t xml:space="preserve"> </w:t>
      </w:r>
      <w:hyperlink r:id="rId34" w:history="1">
        <w:r w:rsidR="005D2592" w:rsidRPr="00F530B5">
          <w:rPr>
            <w:rStyle w:val="Hyperlink"/>
            <w:rFonts w:ascii="Times New Roman" w:hAnsi="Times New Roman" w:cs="Times New Roman"/>
          </w:rPr>
          <w:t>https://doi.org/10.19026/rjaset.13.3348</w:t>
        </w:r>
      </w:hyperlink>
      <w:r w:rsidR="005D2592">
        <w:rPr>
          <w:rFonts w:ascii="Times New Roman" w:hAnsi="Times New Roman" w:cs="Times New Roman"/>
        </w:rPr>
        <w:t xml:space="preserve"> </w:t>
      </w:r>
    </w:p>
    <w:p w14:paraId="419F4C9B" w14:textId="77777777" w:rsidR="005D2592" w:rsidRPr="00BC510B" w:rsidRDefault="005D2592" w:rsidP="003D074D">
      <w:pPr>
        <w:spacing w:after="0" w:line="240" w:lineRule="auto"/>
        <w:rPr>
          <w:rFonts w:ascii="Times New Roman" w:hAnsi="Times New Roman" w:cs="Times New Roman"/>
        </w:rPr>
      </w:pPr>
    </w:p>
    <w:p w14:paraId="0E3120A6" w14:textId="7909D700" w:rsidR="00BC510B" w:rsidRPr="00BC510B" w:rsidRDefault="00BC510B" w:rsidP="003D074D">
      <w:pPr>
        <w:spacing w:after="0" w:line="240" w:lineRule="auto"/>
        <w:ind w:left="90" w:right="-15"/>
        <w:rPr>
          <w:rFonts w:ascii="Times New Roman" w:hAnsi="Times New Roman" w:cs="Times New Roman"/>
          <w:bCs/>
        </w:rPr>
      </w:pPr>
      <w:proofErr w:type="spellStart"/>
      <w:r w:rsidRPr="00BC510B">
        <w:rPr>
          <w:rFonts w:ascii="Times New Roman" w:hAnsi="Times New Roman" w:cs="Times New Roman"/>
          <w:bCs/>
        </w:rPr>
        <w:t>Gushit</w:t>
      </w:r>
      <w:proofErr w:type="spellEnd"/>
      <w:r w:rsidRPr="00BC510B">
        <w:rPr>
          <w:rFonts w:ascii="Times New Roman" w:hAnsi="Times New Roman" w:cs="Times New Roman"/>
          <w:bCs/>
        </w:rPr>
        <w:t xml:space="preserve"> J. S., </w:t>
      </w:r>
      <w:proofErr w:type="spellStart"/>
      <w:r w:rsidRPr="00BC510B">
        <w:rPr>
          <w:rFonts w:ascii="Times New Roman" w:hAnsi="Times New Roman" w:cs="Times New Roman"/>
          <w:bCs/>
        </w:rPr>
        <w:t>Omadefu</w:t>
      </w:r>
      <w:proofErr w:type="spellEnd"/>
      <w:r w:rsidRPr="00BC510B">
        <w:rPr>
          <w:rFonts w:ascii="Times New Roman" w:hAnsi="Times New Roman" w:cs="Times New Roman"/>
          <w:bCs/>
        </w:rPr>
        <w:t xml:space="preserve"> K. O., </w:t>
      </w:r>
      <w:proofErr w:type="spellStart"/>
      <w:r w:rsidRPr="00BC510B">
        <w:rPr>
          <w:rFonts w:ascii="Times New Roman" w:hAnsi="Times New Roman" w:cs="Times New Roman"/>
          <w:bCs/>
        </w:rPr>
        <w:t>Egila</w:t>
      </w:r>
      <w:proofErr w:type="spellEnd"/>
      <w:r w:rsidRPr="00BC510B">
        <w:rPr>
          <w:rFonts w:ascii="Times New Roman" w:hAnsi="Times New Roman" w:cs="Times New Roman"/>
          <w:bCs/>
        </w:rPr>
        <w:t xml:space="preserve"> J. N. (2019) Mobility </w:t>
      </w:r>
      <w:proofErr w:type="gramStart"/>
      <w:r w:rsidRPr="00BC510B">
        <w:rPr>
          <w:rFonts w:ascii="Times New Roman" w:hAnsi="Times New Roman" w:cs="Times New Roman"/>
          <w:bCs/>
        </w:rPr>
        <w:t>And</w:t>
      </w:r>
      <w:proofErr w:type="gramEnd"/>
      <w:r w:rsidRPr="00BC510B">
        <w:rPr>
          <w:rFonts w:ascii="Times New Roman" w:hAnsi="Times New Roman" w:cs="Times New Roman"/>
          <w:bCs/>
        </w:rPr>
        <w:t xml:space="preserve"> Bioavailability Of Heavy Metals In Soils Obtained From Open-Air Automobile Repair Shop In Jos North LGA, Plateau State, Nigeria. </w:t>
      </w:r>
      <w:proofErr w:type="spellStart"/>
      <w:r w:rsidRPr="00BC510B">
        <w:rPr>
          <w:rFonts w:ascii="Times New Roman" w:hAnsi="Times New Roman" w:cs="Times New Roman"/>
          <w:bCs/>
          <w:i/>
        </w:rPr>
        <w:t>Ewemen</w:t>
      </w:r>
      <w:proofErr w:type="spellEnd"/>
      <w:r w:rsidRPr="00BC510B">
        <w:rPr>
          <w:rFonts w:ascii="Times New Roman" w:hAnsi="Times New Roman" w:cs="Times New Roman"/>
          <w:bCs/>
          <w:i/>
        </w:rPr>
        <w:t xml:space="preserve"> Journal of Analytical and Environmental Chemistry.</w:t>
      </w:r>
      <w:r w:rsidRPr="00BC510B">
        <w:rPr>
          <w:rFonts w:ascii="Times New Roman" w:hAnsi="Times New Roman" w:cs="Times New Roman"/>
          <w:bCs/>
        </w:rPr>
        <w:t xml:space="preserve"> 5(1):198 – 203.</w:t>
      </w:r>
      <w:r w:rsidR="005D2592">
        <w:rPr>
          <w:rFonts w:ascii="Times New Roman" w:hAnsi="Times New Roman" w:cs="Times New Roman"/>
          <w:bCs/>
        </w:rPr>
        <w:t xml:space="preserve"> </w:t>
      </w:r>
      <w:hyperlink r:id="rId35" w:history="1">
        <w:r w:rsidR="005D2592" w:rsidRPr="00F530B5">
          <w:rPr>
            <w:rStyle w:val="Hyperlink"/>
            <w:rFonts w:ascii="Times New Roman" w:hAnsi="Times New Roman" w:cs="Times New Roman"/>
            <w:bCs/>
          </w:rPr>
          <w:t>https://doi.org/10.15406/japlr.2018.07.00281</w:t>
        </w:r>
      </w:hyperlink>
      <w:r w:rsidR="005D2592">
        <w:rPr>
          <w:rFonts w:ascii="Times New Roman" w:hAnsi="Times New Roman" w:cs="Times New Roman"/>
          <w:bCs/>
        </w:rPr>
        <w:t xml:space="preserve"> </w:t>
      </w:r>
    </w:p>
    <w:p w14:paraId="4F5125E8" w14:textId="77777777" w:rsidR="00BC510B" w:rsidRPr="00BC510B" w:rsidRDefault="00BC510B" w:rsidP="003D074D">
      <w:pPr>
        <w:spacing w:after="0" w:line="240" w:lineRule="auto"/>
        <w:ind w:left="90" w:right="-15"/>
        <w:rPr>
          <w:rFonts w:ascii="Times New Roman" w:hAnsi="Times New Roman" w:cs="Times New Roman"/>
          <w:bCs/>
        </w:rPr>
      </w:pPr>
    </w:p>
    <w:p w14:paraId="0DBE49AA"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He, Z., Shentu, J., Yang, X., </w:t>
      </w:r>
      <w:proofErr w:type="spellStart"/>
      <w:r w:rsidRPr="00BC510B">
        <w:rPr>
          <w:rFonts w:ascii="Times New Roman" w:hAnsi="Times New Roman" w:cs="Times New Roman"/>
        </w:rPr>
        <w:t>Baligar</w:t>
      </w:r>
      <w:proofErr w:type="spellEnd"/>
      <w:r w:rsidRPr="00BC510B">
        <w:rPr>
          <w:rFonts w:ascii="Times New Roman" w:hAnsi="Times New Roman" w:cs="Times New Roman"/>
        </w:rPr>
        <w:t xml:space="preserve">, V. C., Zhang, T., &amp; </w:t>
      </w:r>
      <w:proofErr w:type="spellStart"/>
      <w:r w:rsidRPr="00BC510B">
        <w:rPr>
          <w:rFonts w:ascii="Times New Roman" w:hAnsi="Times New Roman" w:cs="Times New Roman"/>
        </w:rPr>
        <w:t>Stofella</w:t>
      </w:r>
      <w:proofErr w:type="spellEnd"/>
      <w:r w:rsidRPr="00BC510B">
        <w:rPr>
          <w:rFonts w:ascii="Times New Roman" w:hAnsi="Times New Roman" w:cs="Times New Roman"/>
        </w:rPr>
        <w:t xml:space="preserve">, P. J. 2015. Heavy metal contamination of soils: Sources, indicators, and assessment. </w:t>
      </w:r>
      <w:r w:rsidRPr="00BC510B">
        <w:rPr>
          <w:rFonts w:ascii="Times New Roman" w:hAnsi="Times New Roman" w:cs="Times New Roman"/>
          <w:i/>
          <w:iCs/>
        </w:rPr>
        <w:t>Journal of Environmental Indicators, 9</w:t>
      </w:r>
      <w:r w:rsidRPr="00BC510B">
        <w:rPr>
          <w:rFonts w:ascii="Times New Roman" w:hAnsi="Times New Roman" w:cs="Times New Roman"/>
        </w:rPr>
        <w:t>, 17–18.</w:t>
      </w:r>
    </w:p>
    <w:p w14:paraId="5364BD77" w14:textId="77777777" w:rsidR="005D2592" w:rsidRPr="00BC510B" w:rsidRDefault="005D2592" w:rsidP="003D074D">
      <w:pPr>
        <w:spacing w:after="0" w:line="240" w:lineRule="auto"/>
        <w:rPr>
          <w:rFonts w:ascii="Times New Roman" w:hAnsi="Times New Roman" w:cs="Times New Roman"/>
        </w:rPr>
      </w:pPr>
    </w:p>
    <w:p w14:paraId="581CAB90" w14:textId="77777777" w:rsidR="00BC510B" w:rsidRP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Igwe, A. C. and Nwachukwu, O. I. (2016). Soil Health, Our Health: Effect of Paint Effluent Contaminated Soil on the Heavy Metal Content of Okra (Abelmoschus esculentus Moench). </w:t>
      </w:r>
      <w:r w:rsidRPr="00BC510B">
        <w:rPr>
          <w:rFonts w:ascii="Times New Roman" w:hAnsi="Times New Roman" w:cs="Times New Roman"/>
          <w:bCs/>
          <w:i/>
        </w:rPr>
        <w:t>Nigerian Journal of Soil Science</w:t>
      </w:r>
      <w:r w:rsidRPr="00BC510B">
        <w:rPr>
          <w:rFonts w:ascii="Times New Roman" w:hAnsi="Times New Roman" w:cs="Times New Roman"/>
          <w:bCs/>
        </w:rPr>
        <w:t>, 26: 68 -77.</w:t>
      </w:r>
    </w:p>
    <w:p w14:paraId="70CD8FF9" w14:textId="77777777" w:rsidR="00BC510B" w:rsidRPr="00BC510B" w:rsidRDefault="00BC510B" w:rsidP="003D074D">
      <w:pPr>
        <w:spacing w:after="0" w:line="240" w:lineRule="auto"/>
        <w:ind w:right="-15"/>
        <w:rPr>
          <w:rFonts w:ascii="Times New Roman" w:hAnsi="Times New Roman" w:cs="Times New Roman"/>
          <w:bCs/>
        </w:rPr>
      </w:pPr>
    </w:p>
    <w:p w14:paraId="5EEEA4FA" w14:textId="27B49D69"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Ihedioha</w:t>
      </w:r>
      <w:proofErr w:type="spellEnd"/>
      <w:r w:rsidRPr="00BC510B">
        <w:rPr>
          <w:rFonts w:ascii="Times New Roman" w:hAnsi="Times New Roman" w:cs="Times New Roman"/>
        </w:rPr>
        <w:t xml:space="preserve">, J.N., </w:t>
      </w:r>
      <w:proofErr w:type="spellStart"/>
      <w:r w:rsidRPr="00BC510B">
        <w:rPr>
          <w:rFonts w:ascii="Times New Roman" w:hAnsi="Times New Roman" w:cs="Times New Roman"/>
        </w:rPr>
        <w:t>Ukoha</w:t>
      </w:r>
      <w:proofErr w:type="spellEnd"/>
      <w:r w:rsidRPr="00BC510B">
        <w:rPr>
          <w:rFonts w:ascii="Times New Roman" w:hAnsi="Times New Roman" w:cs="Times New Roman"/>
        </w:rPr>
        <w:t xml:space="preserve">, P.O. and </w:t>
      </w:r>
      <w:proofErr w:type="spellStart"/>
      <w:r w:rsidRPr="00BC510B">
        <w:rPr>
          <w:rFonts w:ascii="Times New Roman" w:hAnsi="Times New Roman" w:cs="Times New Roman"/>
        </w:rPr>
        <w:t>Ekere</w:t>
      </w:r>
      <w:proofErr w:type="spellEnd"/>
      <w:r w:rsidRPr="00BC510B">
        <w:rPr>
          <w:rFonts w:ascii="Times New Roman" w:hAnsi="Times New Roman" w:cs="Times New Roman"/>
        </w:rPr>
        <w:t xml:space="preserve">, N.R., 2017. Ecological and human health risk assessment of heavy metal contamination in soil of a municipal solid waste dump in </w:t>
      </w:r>
      <w:proofErr w:type="spellStart"/>
      <w:r w:rsidRPr="00BC510B">
        <w:rPr>
          <w:rFonts w:ascii="Times New Roman" w:hAnsi="Times New Roman" w:cs="Times New Roman"/>
        </w:rPr>
        <w:t>Uyo</w:t>
      </w:r>
      <w:proofErr w:type="spellEnd"/>
      <w:r w:rsidRPr="00BC510B">
        <w:rPr>
          <w:rFonts w:ascii="Times New Roman" w:hAnsi="Times New Roman" w:cs="Times New Roman"/>
        </w:rPr>
        <w:t>, Nigeria. </w:t>
      </w:r>
      <w:r w:rsidRPr="00BC510B">
        <w:rPr>
          <w:rFonts w:ascii="Times New Roman" w:hAnsi="Times New Roman" w:cs="Times New Roman"/>
          <w:i/>
          <w:iCs/>
        </w:rPr>
        <w:t>Environmental geochemistry and health</w:t>
      </w:r>
      <w:r w:rsidRPr="00BC510B">
        <w:rPr>
          <w:rFonts w:ascii="Times New Roman" w:hAnsi="Times New Roman" w:cs="Times New Roman"/>
        </w:rPr>
        <w:t>, </w:t>
      </w:r>
      <w:r w:rsidRPr="00BC510B">
        <w:rPr>
          <w:rFonts w:ascii="Times New Roman" w:hAnsi="Times New Roman" w:cs="Times New Roman"/>
          <w:i/>
          <w:iCs/>
        </w:rPr>
        <w:t>39</w:t>
      </w:r>
      <w:r w:rsidRPr="00BC510B">
        <w:rPr>
          <w:rFonts w:ascii="Times New Roman" w:hAnsi="Times New Roman" w:cs="Times New Roman"/>
        </w:rPr>
        <w:t>(3), pp.497-515.</w:t>
      </w:r>
      <w:r w:rsidR="005D2592">
        <w:rPr>
          <w:rFonts w:ascii="Times New Roman" w:hAnsi="Times New Roman" w:cs="Times New Roman"/>
        </w:rPr>
        <w:t xml:space="preserve"> </w:t>
      </w:r>
      <w:hyperlink r:id="rId36" w:history="1">
        <w:r w:rsidR="005D2592" w:rsidRPr="00F530B5">
          <w:rPr>
            <w:rStyle w:val="Hyperlink"/>
            <w:rFonts w:ascii="Times New Roman" w:hAnsi="Times New Roman" w:cs="Times New Roman"/>
          </w:rPr>
          <w:t>https://doi.org/10.1007/s10653-016-9830-4</w:t>
        </w:r>
      </w:hyperlink>
      <w:r w:rsidR="005D2592">
        <w:rPr>
          <w:rFonts w:ascii="Times New Roman" w:hAnsi="Times New Roman" w:cs="Times New Roman"/>
        </w:rPr>
        <w:t xml:space="preserve"> </w:t>
      </w:r>
    </w:p>
    <w:p w14:paraId="51779AC6" w14:textId="77777777" w:rsidR="00BC510B" w:rsidRPr="00BC510B" w:rsidRDefault="00BC510B" w:rsidP="003D074D">
      <w:pPr>
        <w:spacing w:after="0" w:line="240" w:lineRule="auto"/>
        <w:rPr>
          <w:rFonts w:ascii="Times New Roman" w:hAnsi="Times New Roman" w:cs="Times New Roman"/>
        </w:rPr>
      </w:pPr>
    </w:p>
    <w:p w14:paraId="043BF9B8"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Jilani, S. and Rashid, R., 2020. Municipal solid waste dumping and its impact on soil quality in Karachi. </w:t>
      </w:r>
      <w:r w:rsidRPr="00BC510B">
        <w:rPr>
          <w:rFonts w:ascii="Times New Roman" w:hAnsi="Times New Roman" w:cs="Times New Roman"/>
          <w:i/>
          <w:iCs/>
        </w:rPr>
        <w:t>EQA-International journal of environmental quality</w:t>
      </w:r>
      <w:r w:rsidRPr="00BC510B">
        <w:rPr>
          <w:rFonts w:ascii="Times New Roman" w:hAnsi="Times New Roman" w:cs="Times New Roman"/>
        </w:rPr>
        <w:t>, </w:t>
      </w:r>
      <w:r w:rsidRPr="00BC510B">
        <w:rPr>
          <w:rFonts w:ascii="Times New Roman" w:hAnsi="Times New Roman" w:cs="Times New Roman"/>
          <w:i/>
          <w:iCs/>
        </w:rPr>
        <w:t>36</w:t>
      </w:r>
      <w:r w:rsidRPr="00BC510B">
        <w:rPr>
          <w:rFonts w:ascii="Times New Roman" w:hAnsi="Times New Roman" w:cs="Times New Roman"/>
        </w:rPr>
        <w:t>, pp.9-14.</w:t>
      </w:r>
    </w:p>
    <w:p w14:paraId="53E39BCC" w14:textId="77777777" w:rsidR="00BC510B" w:rsidRPr="00BC510B" w:rsidRDefault="00BC510B" w:rsidP="003D074D">
      <w:pPr>
        <w:spacing w:after="0" w:line="240" w:lineRule="auto"/>
        <w:rPr>
          <w:rFonts w:ascii="Times New Roman" w:hAnsi="Times New Roman" w:cs="Times New Roman"/>
        </w:rPr>
      </w:pPr>
    </w:p>
    <w:p w14:paraId="0BE7B4BB"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Johnbosco</w:t>
      </w:r>
      <w:proofErr w:type="spellEnd"/>
      <w:r w:rsidRPr="00BC510B">
        <w:rPr>
          <w:rFonts w:ascii="Times New Roman" w:hAnsi="Times New Roman" w:cs="Times New Roman"/>
        </w:rPr>
        <w:t xml:space="preserve">, U., Chimezie, A. B., &amp; Njoku, R. E. (2020). Impact of used motor oil on soil qualities of Orji Mechanic Village Owerri, Nigeria. International Journal of Engineering Technology and Management Research, 7(2), 1–12.  </w:t>
      </w:r>
      <w:hyperlink r:id="rId37" w:history="1">
        <w:r w:rsidRPr="00BC510B">
          <w:rPr>
            <w:rStyle w:val="Hyperlink"/>
            <w:rFonts w:ascii="Times New Roman" w:hAnsi="Times New Roman" w:cs="Times New Roman"/>
          </w:rPr>
          <w:t>https://doi.org/10.29121/ijetmr.v7.i2.2020.524</w:t>
        </w:r>
      </w:hyperlink>
      <w:r w:rsidRPr="00BC510B">
        <w:rPr>
          <w:rFonts w:ascii="Times New Roman" w:hAnsi="Times New Roman" w:cs="Times New Roman"/>
        </w:rPr>
        <w:t xml:space="preserve"> </w:t>
      </w:r>
    </w:p>
    <w:p w14:paraId="0380D8AE" w14:textId="77777777" w:rsidR="00BC510B" w:rsidRPr="00BC510B" w:rsidRDefault="00BC510B" w:rsidP="003D074D">
      <w:pPr>
        <w:spacing w:after="0" w:line="240" w:lineRule="auto"/>
        <w:rPr>
          <w:rFonts w:ascii="Times New Roman" w:hAnsi="Times New Roman" w:cs="Times New Roman"/>
        </w:rPr>
      </w:pPr>
    </w:p>
    <w:p w14:paraId="380BC3E1" w14:textId="67A9286C"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Kabata-Pendias</w:t>
      </w:r>
      <w:proofErr w:type="spellEnd"/>
      <w:r w:rsidRPr="00BC510B">
        <w:rPr>
          <w:rFonts w:ascii="Times New Roman" w:hAnsi="Times New Roman" w:cs="Times New Roman"/>
        </w:rPr>
        <w:t xml:space="preserve">, A., &amp; </w:t>
      </w:r>
      <w:proofErr w:type="spellStart"/>
      <w:r w:rsidRPr="00BC510B">
        <w:rPr>
          <w:rFonts w:ascii="Times New Roman" w:hAnsi="Times New Roman" w:cs="Times New Roman"/>
        </w:rPr>
        <w:t>Pendias</w:t>
      </w:r>
      <w:proofErr w:type="spellEnd"/>
      <w:r w:rsidRPr="00BC510B">
        <w:rPr>
          <w:rFonts w:ascii="Times New Roman" w:hAnsi="Times New Roman" w:cs="Times New Roman"/>
        </w:rPr>
        <w:t xml:space="preserve">, H. (2001). </w:t>
      </w:r>
      <w:r w:rsidRPr="00BC510B">
        <w:rPr>
          <w:rFonts w:ascii="Times New Roman" w:hAnsi="Times New Roman" w:cs="Times New Roman"/>
          <w:i/>
          <w:iCs/>
        </w:rPr>
        <w:t xml:space="preserve">Trace elements in soils and plants </w:t>
      </w:r>
      <w:r w:rsidRPr="00BC510B">
        <w:rPr>
          <w:rFonts w:ascii="Times New Roman" w:hAnsi="Times New Roman" w:cs="Times New Roman"/>
        </w:rPr>
        <w:t>(3rd ed.). CRC Press LLC.</w:t>
      </w:r>
      <w:r w:rsidR="005D2592" w:rsidRPr="005D2592">
        <w:t xml:space="preserve"> </w:t>
      </w:r>
      <w:hyperlink r:id="rId38" w:history="1">
        <w:r w:rsidR="005D2592" w:rsidRPr="00F530B5">
          <w:rPr>
            <w:rStyle w:val="Hyperlink"/>
            <w:rFonts w:ascii="Times New Roman" w:hAnsi="Times New Roman" w:cs="Times New Roman"/>
          </w:rPr>
          <w:t>https://doi.org/10.1201/b10158</w:t>
        </w:r>
      </w:hyperlink>
      <w:r w:rsidR="005D2592">
        <w:rPr>
          <w:rFonts w:ascii="Times New Roman" w:hAnsi="Times New Roman" w:cs="Times New Roman"/>
        </w:rPr>
        <w:t xml:space="preserve"> </w:t>
      </w:r>
    </w:p>
    <w:p w14:paraId="395D4569" w14:textId="77777777" w:rsidR="00BC510B" w:rsidRPr="00BC510B" w:rsidRDefault="00BC510B" w:rsidP="003D074D">
      <w:pPr>
        <w:spacing w:after="0" w:line="240" w:lineRule="auto"/>
        <w:rPr>
          <w:rFonts w:ascii="Times New Roman" w:hAnsi="Times New Roman" w:cs="Times New Roman"/>
        </w:rPr>
      </w:pPr>
    </w:p>
    <w:p w14:paraId="3666625C" w14:textId="53591DDC"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Kanmani, S. and </w:t>
      </w:r>
      <w:proofErr w:type="spellStart"/>
      <w:r w:rsidRPr="00BC510B">
        <w:rPr>
          <w:rFonts w:ascii="Times New Roman" w:hAnsi="Times New Roman" w:cs="Times New Roman"/>
        </w:rPr>
        <w:t>Gandhimathi</w:t>
      </w:r>
      <w:proofErr w:type="spellEnd"/>
      <w:r w:rsidRPr="00BC510B">
        <w:rPr>
          <w:rFonts w:ascii="Times New Roman" w:hAnsi="Times New Roman" w:cs="Times New Roman"/>
        </w:rPr>
        <w:t>, R., 2013. Investigation of physicochemical characteristics and heavy metal distribution profile in groundwater system around the open dump site. </w:t>
      </w:r>
      <w:r w:rsidRPr="00BC510B">
        <w:rPr>
          <w:rFonts w:ascii="Times New Roman" w:hAnsi="Times New Roman" w:cs="Times New Roman"/>
          <w:i/>
          <w:iCs/>
        </w:rPr>
        <w:t>Applied Water Science</w:t>
      </w:r>
      <w:r w:rsidRPr="00BC510B">
        <w:rPr>
          <w:rFonts w:ascii="Times New Roman" w:hAnsi="Times New Roman" w:cs="Times New Roman"/>
        </w:rPr>
        <w:t>, </w:t>
      </w:r>
      <w:r w:rsidRPr="00BC510B">
        <w:rPr>
          <w:rFonts w:ascii="Times New Roman" w:hAnsi="Times New Roman" w:cs="Times New Roman"/>
          <w:i/>
          <w:iCs/>
        </w:rPr>
        <w:t>3</w:t>
      </w:r>
      <w:r w:rsidRPr="00BC510B">
        <w:rPr>
          <w:rFonts w:ascii="Times New Roman" w:hAnsi="Times New Roman" w:cs="Times New Roman"/>
        </w:rPr>
        <w:t>(2), pp.387-399.</w:t>
      </w:r>
      <w:r w:rsidR="005D2592" w:rsidRPr="005D2592">
        <w:t xml:space="preserve"> </w:t>
      </w:r>
      <w:hyperlink r:id="rId39" w:history="1">
        <w:r w:rsidR="005D2592" w:rsidRPr="00F530B5">
          <w:rPr>
            <w:rStyle w:val="Hyperlink"/>
            <w:rFonts w:ascii="Times New Roman" w:hAnsi="Times New Roman" w:cs="Times New Roman"/>
          </w:rPr>
          <w:t>https://doi.org/10.1007/s13201-013-0089-y</w:t>
        </w:r>
      </w:hyperlink>
      <w:r w:rsidR="005D2592">
        <w:rPr>
          <w:rFonts w:ascii="Times New Roman" w:hAnsi="Times New Roman" w:cs="Times New Roman"/>
        </w:rPr>
        <w:t xml:space="preserve"> </w:t>
      </w:r>
    </w:p>
    <w:p w14:paraId="41832A63" w14:textId="77777777" w:rsidR="00BC510B" w:rsidRPr="00BC510B" w:rsidRDefault="00BC510B" w:rsidP="003D074D">
      <w:pPr>
        <w:spacing w:after="0" w:line="240" w:lineRule="auto"/>
        <w:rPr>
          <w:rFonts w:ascii="Times New Roman" w:hAnsi="Times New Roman" w:cs="Times New Roman"/>
        </w:rPr>
      </w:pPr>
    </w:p>
    <w:p w14:paraId="10D8322D"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Kaparwan</w:t>
      </w:r>
      <w:proofErr w:type="spellEnd"/>
      <w:r w:rsidRPr="00BC510B">
        <w:rPr>
          <w:rFonts w:ascii="Times New Roman" w:hAnsi="Times New Roman" w:cs="Times New Roman"/>
        </w:rPr>
        <w:t xml:space="preserve">, D., Rana, N. S., &amp; Dhyani, B. P. 2020. Heavy metals toxicity in agricultural soils – Critical review of possible sources, influence on soil health and remedial measures to remove, reduce and stabilize contaminants in soil. </w:t>
      </w:r>
      <w:r w:rsidRPr="00BC510B">
        <w:rPr>
          <w:rFonts w:ascii="Times New Roman" w:hAnsi="Times New Roman" w:cs="Times New Roman"/>
          <w:i/>
          <w:iCs/>
        </w:rPr>
        <w:t>International Journal of Current Microbiology and Applied Sciences, 9</w:t>
      </w:r>
      <w:r w:rsidRPr="00BC510B">
        <w:rPr>
          <w:rFonts w:ascii="Times New Roman" w:hAnsi="Times New Roman" w:cs="Times New Roman"/>
        </w:rPr>
        <w:t xml:space="preserve">(6), 1467–1482. </w:t>
      </w:r>
      <w:hyperlink r:id="rId40" w:history="1">
        <w:r w:rsidRPr="00BC510B">
          <w:rPr>
            <w:rStyle w:val="Hyperlink"/>
            <w:rFonts w:ascii="Times New Roman" w:hAnsi="Times New Roman" w:cs="Times New Roman"/>
          </w:rPr>
          <w:t>https://doi.org/10.20546/ijcmas.2020.906.182</w:t>
        </w:r>
      </w:hyperlink>
      <w:r w:rsidRPr="00BC510B">
        <w:rPr>
          <w:rFonts w:ascii="Times New Roman" w:hAnsi="Times New Roman" w:cs="Times New Roman"/>
        </w:rPr>
        <w:t xml:space="preserve"> </w:t>
      </w:r>
    </w:p>
    <w:p w14:paraId="7DF57CE0" w14:textId="77777777" w:rsidR="00BC510B" w:rsidRPr="00BC510B" w:rsidRDefault="00BC510B" w:rsidP="003D074D">
      <w:pPr>
        <w:spacing w:after="0" w:line="240" w:lineRule="auto"/>
        <w:rPr>
          <w:rFonts w:ascii="Times New Roman" w:hAnsi="Times New Roman" w:cs="Times New Roman"/>
        </w:rPr>
      </w:pPr>
    </w:p>
    <w:p w14:paraId="419FE17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Kebede, A.A., Olani, D.D., Edesa, T.G. and </w:t>
      </w:r>
      <w:proofErr w:type="spellStart"/>
      <w:r w:rsidRPr="00BC510B">
        <w:rPr>
          <w:rFonts w:ascii="Times New Roman" w:hAnsi="Times New Roman" w:cs="Times New Roman"/>
        </w:rPr>
        <w:t>Damtew</w:t>
      </w:r>
      <w:proofErr w:type="spellEnd"/>
      <w:r w:rsidRPr="00BC510B">
        <w:rPr>
          <w:rFonts w:ascii="Times New Roman" w:hAnsi="Times New Roman" w:cs="Times New Roman"/>
        </w:rPr>
        <w:t xml:space="preserve">, Y.T., 2016. Heavy metal content and </w:t>
      </w:r>
      <w:proofErr w:type="spellStart"/>
      <w:r w:rsidRPr="00BC510B">
        <w:rPr>
          <w:rFonts w:ascii="Times New Roman" w:hAnsi="Times New Roman" w:cs="Times New Roman"/>
        </w:rPr>
        <w:t>physico</w:t>
      </w:r>
      <w:proofErr w:type="spellEnd"/>
      <w:r w:rsidRPr="00BC510B">
        <w:rPr>
          <w:rFonts w:ascii="Times New Roman" w:hAnsi="Times New Roman" w:cs="Times New Roman"/>
        </w:rPr>
        <w:t>-chemical properties of soil around solid waste disposal sites. American Journal of scientific and Industrial research, 7(5), pp.129-139.</w:t>
      </w:r>
    </w:p>
    <w:p w14:paraId="3A1FF1E5" w14:textId="77777777" w:rsidR="00BC510B" w:rsidRPr="00BC510B" w:rsidRDefault="00BC510B" w:rsidP="003D074D">
      <w:pPr>
        <w:spacing w:after="0" w:line="240" w:lineRule="auto"/>
        <w:rPr>
          <w:rFonts w:ascii="Times New Roman" w:hAnsi="Times New Roman" w:cs="Times New Roman"/>
        </w:rPr>
      </w:pPr>
    </w:p>
    <w:p w14:paraId="545D67E6" w14:textId="5A33EDB6"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Knox, A. S., Gamerdinger, A. P., Adriano, D. C., Kolka, R. K., Kaplan, D. I. (1999). Sources and Practices Contributing to Soil Contamination In: D. C. Adriano, J. M. </w:t>
      </w:r>
      <w:proofErr w:type="spellStart"/>
      <w:r w:rsidRPr="00BC510B">
        <w:rPr>
          <w:rFonts w:ascii="Times New Roman" w:hAnsi="Times New Roman" w:cs="Times New Roman"/>
        </w:rPr>
        <w:t>Bollag</w:t>
      </w:r>
      <w:proofErr w:type="spellEnd"/>
      <w:r w:rsidRPr="00BC510B">
        <w:rPr>
          <w:rFonts w:ascii="Times New Roman" w:hAnsi="Times New Roman" w:cs="Times New Roman"/>
        </w:rPr>
        <w:t xml:space="preserve">, W. T. Frankenberger (Jr) and R. C. Sims. Remediation of Contaminated Soil. No </w:t>
      </w:r>
      <w:proofErr w:type="gramStart"/>
      <w:r w:rsidRPr="00BC510B">
        <w:rPr>
          <w:rFonts w:ascii="Times New Roman" w:hAnsi="Times New Roman" w:cs="Times New Roman"/>
        </w:rPr>
        <w:t>37,Agronomy</w:t>
      </w:r>
      <w:proofErr w:type="gramEnd"/>
      <w:r w:rsidRPr="00BC510B">
        <w:rPr>
          <w:rFonts w:ascii="Times New Roman" w:hAnsi="Times New Roman" w:cs="Times New Roman"/>
        </w:rPr>
        <w:t>. American Society of Agronomy.</w:t>
      </w:r>
      <w:r w:rsidR="005D2592">
        <w:rPr>
          <w:rFonts w:ascii="Times New Roman" w:hAnsi="Times New Roman" w:cs="Times New Roman"/>
        </w:rPr>
        <w:t xml:space="preserve"> </w:t>
      </w:r>
      <w:hyperlink r:id="rId41" w:history="1">
        <w:r w:rsidR="005D2592" w:rsidRPr="00F530B5">
          <w:rPr>
            <w:rStyle w:val="Hyperlink"/>
            <w:rFonts w:ascii="Times New Roman" w:hAnsi="Times New Roman" w:cs="Times New Roman"/>
          </w:rPr>
          <w:t>https://doi.org/10.2134/agronmonogr37.c4</w:t>
        </w:r>
      </w:hyperlink>
      <w:r w:rsidR="005D2592">
        <w:rPr>
          <w:rFonts w:ascii="Times New Roman" w:hAnsi="Times New Roman" w:cs="Times New Roman"/>
        </w:rPr>
        <w:t xml:space="preserve"> </w:t>
      </w:r>
    </w:p>
    <w:p w14:paraId="6680FC4E" w14:textId="77777777" w:rsidR="00BC510B" w:rsidRPr="00BC510B" w:rsidRDefault="00BC510B" w:rsidP="003D074D">
      <w:pPr>
        <w:pStyle w:val="Default"/>
        <w:ind w:left="142" w:right="-15" w:hanging="52"/>
        <w:jc w:val="both"/>
        <w:rPr>
          <w:rFonts w:ascii="Times New Roman" w:hAnsi="Times New Roman" w:cs="Times New Roman"/>
          <w:color w:val="auto"/>
        </w:rPr>
      </w:pPr>
    </w:p>
    <w:p w14:paraId="1E67C4CA" w14:textId="647C0DA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Kulkarni, B.N. and </w:t>
      </w:r>
      <w:proofErr w:type="spellStart"/>
      <w:r w:rsidRPr="00BC510B">
        <w:rPr>
          <w:rFonts w:ascii="Times New Roman" w:hAnsi="Times New Roman" w:cs="Times New Roman"/>
        </w:rPr>
        <w:t>Anantharama</w:t>
      </w:r>
      <w:proofErr w:type="spellEnd"/>
      <w:r w:rsidRPr="00BC510B">
        <w:rPr>
          <w:rFonts w:ascii="Times New Roman" w:hAnsi="Times New Roman" w:cs="Times New Roman"/>
        </w:rPr>
        <w:t>, V., 2024. Comparative analysis of soil contamination caused by existing municipal solid waste management facilities. </w:t>
      </w:r>
      <w:r w:rsidRPr="00BC510B">
        <w:rPr>
          <w:rFonts w:ascii="Times New Roman" w:hAnsi="Times New Roman" w:cs="Times New Roman"/>
          <w:i/>
          <w:iCs/>
        </w:rPr>
        <w:t>Environmental Nanotechnology, Monitoring &amp; Management</w:t>
      </w:r>
      <w:r w:rsidRPr="00BC510B">
        <w:rPr>
          <w:rFonts w:ascii="Times New Roman" w:hAnsi="Times New Roman" w:cs="Times New Roman"/>
        </w:rPr>
        <w:t>, </w:t>
      </w:r>
      <w:r w:rsidRPr="00BC510B">
        <w:rPr>
          <w:rFonts w:ascii="Times New Roman" w:hAnsi="Times New Roman" w:cs="Times New Roman"/>
          <w:i/>
          <w:iCs/>
        </w:rPr>
        <w:t>22</w:t>
      </w:r>
      <w:r w:rsidRPr="00BC510B">
        <w:rPr>
          <w:rFonts w:ascii="Times New Roman" w:hAnsi="Times New Roman" w:cs="Times New Roman"/>
        </w:rPr>
        <w:t>, p.100979.</w:t>
      </w:r>
      <w:r w:rsidR="005D2592">
        <w:rPr>
          <w:rFonts w:ascii="Times New Roman" w:hAnsi="Times New Roman" w:cs="Times New Roman"/>
        </w:rPr>
        <w:t xml:space="preserve"> </w:t>
      </w:r>
      <w:hyperlink r:id="rId42" w:history="1">
        <w:r w:rsidR="005D2592" w:rsidRPr="00F530B5">
          <w:rPr>
            <w:rStyle w:val="Hyperlink"/>
            <w:rFonts w:ascii="Times New Roman" w:hAnsi="Times New Roman" w:cs="Times New Roman"/>
          </w:rPr>
          <w:t>https://doi.org/10.1016/j.enmm.2024.100979</w:t>
        </w:r>
      </w:hyperlink>
      <w:r w:rsidR="005D2592">
        <w:rPr>
          <w:rFonts w:ascii="Times New Roman" w:hAnsi="Times New Roman" w:cs="Times New Roman"/>
        </w:rPr>
        <w:t xml:space="preserve"> </w:t>
      </w:r>
    </w:p>
    <w:p w14:paraId="400B693A" w14:textId="77777777" w:rsidR="00BC510B" w:rsidRPr="00BC510B" w:rsidRDefault="00BC510B" w:rsidP="003D074D">
      <w:pPr>
        <w:spacing w:after="0" w:line="240" w:lineRule="auto"/>
        <w:rPr>
          <w:rFonts w:ascii="Times New Roman" w:hAnsi="Times New Roman" w:cs="Times New Roman"/>
        </w:rPr>
      </w:pPr>
    </w:p>
    <w:p w14:paraId="0DF531E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Maas, S., </w:t>
      </w:r>
      <w:proofErr w:type="spellStart"/>
      <w:r w:rsidRPr="00BC510B">
        <w:rPr>
          <w:rFonts w:ascii="Times New Roman" w:hAnsi="Times New Roman" w:cs="Times New Roman"/>
        </w:rPr>
        <w:t>Scheifler</w:t>
      </w:r>
      <w:proofErr w:type="spellEnd"/>
      <w:r w:rsidRPr="00BC510B">
        <w:rPr>
          <w:rFonts w:ascii="Times New Roman" w:hAnsi="Times New Roman" w:cs="Times New Roman"/>
        </w:rPr>
        <w:t xml:space="preserve">, R., </w:t>
      </w:r>
      <w:proofErr w:type="spellStart"/>
      <w:r w:rsidRPr="00BC510B">
        <w:rPr>
          <w:rFonts w:ascii="Times New Roman" w:hAnsi="Times New Roman" w:cs="Times New Roman"/>
        </w:rPr>
        <w:t>Benslama</w:t>
      </w:r>
      <w:proofErr w:type="spellEnd"/>
      <w:r w:rsidRPr="00BC510B">
        <w:rPr>
          <w:rFonts w:ascii="Times New Roman" w:hAnsi="Times New Roman" w:cs="Times New Roman"/>
        </w:rPr>
        <w:t xml:space="preserve">, M., Crini, N., Lucot, E., Brahmia, Z., </w:t>
      </w:r>
      <w:proofErr w:type="spellStart"/>
      <w:r w:rsidRPr="00BC510B">
        <w:rPr>
          <w:rFonts w:ascii="Times New Roman" w:hAnsi="Times New Roman" w:cs="Times New Roman"/>
        </w:rPr>
        <w:t>Benyacoub</w:t>
      </w:r>
      <w:proofErr w:type="spellEnd"/>
      <w:r w:rsidRPr="00BC510B">
        <w:rPr>
          <w:rFonts w:ascii="Times New Roman" w:hAnsi="Times New Roman" w:cs="Times New Roman"/>
        </w:rPr>
        <w:t xml:space="preserve">, S., &amp; Giraudoux, P. 2010. Spatial distribution of heavy metal concentrations in urban, suburban and agricultural soils in a Mediterranean city of Algeria. </w:t>
      </w:r>
      <w:r w:rsidRPr="00BC510B">
        <w:rPr>
          <w:rFonts w:ascii="Times New Roman" w:hAnsi="Times New Roman" w:cs="Times New Roman"/>
          <w:i/>
          <w:iCs/>
        </w:rPr>
        <w:t>Environmental Pollution, 158</w:t>
      </w:r>
      <w:r w:rsidRPr="00BC510B">
        <w:rPr>
          <w:rFonts w:ascii="Times New Roman" w:hAnsi="Times New Roman" w:cs="Times New Roman"/>
        </w:rPr>
        <w:t xml:space="preserve">, 2294–2301. </w:t>
      </w:r>
      <w:hyperlink r:id="rId43" w:history="1">
        <w:r w:rsidRPr="00BC510B">
          <w:rPr>
            <w:rStyle w:val="Hyperlink"/>
            <w:rFonts w:ascii="Times New Roman" w:hAnsi="Times New Roman" w:cs="Times New Roman"/>
          </w:rPr>
          <w:t>https://doi.org/10.1016/j.envpol.2010.02.001</w:t>
        </w:r>
      </w:hyperlink>
      <w:r w:rsidRPr="00BC510B">
        <w:rPr>
          <w:rFonts w:ascii="Times New Roman" w:hAnsi="Times New Roman" w:cs="Times New Roman"/>
        </w:rPr>
        <w:t xml:space="preserve"> </w:t>
      </w:r>
    </w:p>
    <w:p w14:paraId="1931DDB3" w14:textId="77777777" w:rsidR="00BC510B" w:rsidRPr="00BC510B" w:rsidRDefault="00BC510B" w:rsidP="003D074D">
      <w:pPr>
        <w:spacing w:after="0" w:line="240" w:lineRule="auto"/>
        <w:rPr>
          <w:rFonts w:ascii="Times New Roman" w:hAnsi="Times New Roman" w:cs="Times New Roman"/>
        </w:rPr>
      </w:pPr>
    </w:p>
    <w:p w14:paraId="12875CEF" w14:textId="100F8AE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Mekonnen, B., </w:t>
      </w:r>
      <w:proofErr w:type="spellStart"/>
      <w:r w:rsidRPr="00BC510B">
        <w:rPr>
          <w:rFonts w:ascii="Times New Roman" w:hAnsi="Times New Roman" w:cs="Times New Roman"/>
        </w:rPr>
        <w:t>Haddis</w:t>
      </w:r>
      <w:proofErr w:type="spellEnd"/>
      <w:r w:rsidRPr="00BC510B">
        <w:rPr>
          <w:rFonts w:ascii="Times New Roman" w:hAnsi="Times New Roman" w:cs="Times New Roman"/>
        </w:rPr>
        <w:t>, A. and Zeine, W., 2020. Assessment of the effect of solid waste dump site on surrounding soil and river water quality in Tepi town, Southwest Ethiopia. Journal of environmental and public health, 2020(1), p.5157046.</w:t>
      </w:r>
      <w:r w:rsidR="005D2592">
        <w:rPr>
          <w:rFonts w:ascii="Times New Roman" w:hAnsi="Times New Roman" w:cs="Times New Roman"/>
        </w:rPr>
        <w:t xml:space="preserve"> </w:t>
      </w:r>
      <w:hyperlink r:id="rId44" w:history="1">
        <w:r w:rsidR="005D2592" w:rsidRPr="00F530B5">
          <w:rPr>
            <w:rStyle w:val="Hyperlink"/>
            <w:rFonts w:ascii="Times New Roman" w:hAnsi="Times New Roman" w:cs="Times New Roman"/>
          </w:rPr>
          <w:t>https://doi.org/10.1155/2020/5157046</w:t>
        </w:r>
      </w:hyperlink>
      <w:r w:rsidR="005D2592">
        <w:rPr>
          <w:rFonts w:ascii="Times New Roman" w:hAnsi="Times New Roman" w:cs="Times New Roman"/>
        </w:rPr>
        <w:t xml:space="preserve"> </w:t>
      </w:r>
    </w:p>
    <w:p w14:paraId="798F674C" w14:textId="77777777" w:rsidR="00BC510B" w:rsidRPr="00BC510B" w:rsidRDefault="00BC510B" w:rsidP="003D074D">
      <w:pPr>
        <w:spacing w:after="0" w:line="240" w:lineRule="auto"/>
        <w:rPr>
          <w:rFonts w:ascii="Times New Roman" w:hAnsi="Times New Roman" w:cs="Times New Roman"/>
        </w:rPr>
      </w:pPr>
    </w:p>
    <w:p w14:paraId="6E04E848" w14:textId="7B69AF49"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Mouhoun-Chouaki</w:t>
      </w:r>
      <w:proofErr w:type="spellEnd"/>
      <w:r w:rsidRPr="00BC510B">
        <w:rPr>
          <w:rFonts w:ascii="Times New Roman" w:hAnsi="Times New Roman" w:cs="Times New Roman"/>
        </w:rPr>
        <w:t xml:space="preserve">, S., </w:t>
      </w:r>
      <w:proofErr w:type="spellStart"/>
      <w:r w:rsidRPr="00BC510B">
        <w:rPr>
          <w:rFonts w:ascii="Times New Roman" w:hAnsi="Times New Roman" w:cs="Times New Roman"/>
        </w:rPr>
        <w:t>Derridj</w:t>
      </w:r>
      <w:proofErr w:type="spellEnd"/>
      <w:r w:rsidRPr="00BC510B">
        <w:rPr>
          <w:rFonts w:ascii="Times New Roman" w:hAnsi="Times New Roman" w:cs="Times New Roman"/>
        </w:rPr>
        <w:t xml:space="preserve">, A., </w:t>
      </w:r>
      <w:proofErr w:type="spellStart"/>
      <w:r w:rsidRPr="00BC510B">
        <w:rPr>
          <w:rFonts w:ascii="Times New Roman" w:hAnsi="Times New Roman" w:cs="Times New Roman"/>
        </w:rPr>
        <w:t>Tazdaït</w:t>
      </w:r>
      <w:proofErr w:type="spellEnd"/>
      <w:r w:rsidRPr="00BC510B">
        <w:rPr>
          <w:rFonts w:ascii="Times New Roman" w:hAnsi="Times New Roman" w:cs="Times New Roman"/>
        </w:rPr>
        <w:t>, D. and Salah-</w:t>
      </w:r>
      <w:proofErr w:type="spellStart"/>
      <w:r w:rsidRPr="00BC510B">
        <w:rPr>
          <w:rFonts w:ascii="Times New Roman" w:hAnsi="Times New Roman" w:cs="Times New Roman"/>
        </w:rPr>
        <w:t>Tazdaït</w:t>
      </w:r>
      <w:proofErr w:type="spellEnd"/>
      <w:r w:rsidRPr="00BC510B">
        <w:rPr>
          <w:rFonts w:ascii="Times New Roman" w:hAnsi="Times New Roman" w:cs="Times New Roman"/>
        </w:rPr>
        <w:t>, R., 2019. A study of the impact of municipal solid waste on some soil physicochemical properties: The case of the landfill of Ain‐El‐Hammam municipality, Algeria. </w:t>
      </w:r>
      <w:r w:rsidRPr="00BC510B">
        <w:rPr>
          <w:rFonts w:ascii="Times New Roman" w:hAnsi="Times New Roman" w:cs="Times New Roman"/>
          <w:i/>
          <w:iCs/>
        </w:rPr>
        <w:t>Applied and Environmental Soil Science</w:t>
      </w:r>
      <w:r w:rsidRPr="00BC510B">
        <w:rPr>
          <w:rFonts w:ascii="Times New Roman" w:hAnsi="Times New Roman" w:cs="Times New Roman"/>
        </w:rPr>
        <w:t>, </w:t>
      </w:r>
      <w:r w:rsidRPr="00BC510B">
        <w:rPr>
          <w:rFonts w:ascii="Times New Roman" w:hAnsi="Times New Roman" w:cs="Times New Roman"/>
          <w:i/>
          <w:iCs/>
        </w:rPr>
        <w:t>2019</w:t>
      </w:r>
      <w:r w:rsidRPr="00BC510B">
        <w:rPr>
          <w:rFonts w:ascii="Times New Roman" w:hAnsi="Times New Roman" w:cs="Times New Roman"/>
        </w:rPr>
        <w:t>(1), p.3560456.</w:t>
      </w:r>
      <w:r w:rsidR="005D2592" w:rsidRPr="005D2592">
        <w:t xml:space="preserve"> </w:t>
      </w:r>
      <w:hyperlink r:id="rId45" w:history="1">
        <w:r w:rsidR="005D2592" w:rsidRPr="00F530B5">
          <w:rPr>
            <w:rStyle w:val="Hyperlink"/>
            <w:rFonts w:ascii="Times New Roman" w:hAnsi="Times New Roman" w:cs="Times New Roman"/>
          </w:rPr>
          <w:t>https://doi.org/10.1155/2019/3560456</w:t>
        </w:r>
      </w:hyperlink>
      <w:r w:rsidR="005D2592">
        <w:rPr>
          <w:rFonts w:ascii="Times New Roman" w:hAnsi="Times New Roman" w:cs="Times New Roman"/>
        </w:rPr>
        <w:t xml:space="preserve"> </w:t>
      </w:r>
    </w:p>
    <w:p w14:paraId="5E023B6F" w14:textId="77777777" w:rsidR="00BC510B" w:rsidRPr="00BC510B" w:rsidRDefault="00BC510B" w:rsidP="003D074D">
      <w:pPr>
        <w:spacing w:after="0" w:line="240" w:lineRule="auto"/>
        <w:rPr>
          <w:rFonts w:ascii="Times New Roman" w:hAnsi="Times New Roman" w:cs="Times New Roman"/>
        </w:rPr>
      </w:pPr>
    </w:p>
    <w:p w14:paraId="4D4FF97B"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Novozamsky, I., </w:t>
      </w:r>
      <w:proofErr w:type="spellStart"/>
      <w:r w:rsidRPr="00BC510B">
        <w:rPr>
          <w:rFonts w:ascii="Times New Roman" w:hAnsi="Times New Roman" w:cs="Times New Roman"/>
        </w:rPr>
        <w:t>Houba</w:t>
      </w:r>
      <w:proofErr w:type="spellEnd"/>
      <w:r w:rsidRPr="00BC510B">
        <w:rPr>
          <w:rFonts w:ascii="Times New Roman" w:hAnsi="Times New Roman" w:cs="Times New Roman"/>
        </w:rPr>
        <w:t xml:space="preserve">, V. J. G., Van Eck, R., &amp; Van Vark, W. 1983. A novel digestion technique for multi-element plant analyses. </w:t>
      </w:r>
      <w:r w:rsidRPr="00BC510B">
        <w:rPr>
          <w:rFonts w:ascii="Times New Roman" w:hAnsi="Times New Roman" w:cs="Times New Roman"/>
          <w:i/>
          <w:iCs/>
        </w:rPr>
        <w:t>Communications in Soil Science and Plant Analysis, 14</w:t>
      </w:r>
      <w:r w:rsidRPr="00BC510B">
        <w:rPr>
          <w:rFonts w:ascii="Times New Roman" w:hAnsi="Times New Roman" w:cs="Times New Roman"/>
        </w:rPr>
        <w:t xml:space="preserve">, 239–248. </w:t>
      </w:r>
      <w:hyperlink r:id="rId46" w:history="1">
        <w:r w:rsidRPr="00BC510B">
          <w:rPr>
            <w:rStyle w:val="Hyperlink"/>
            <w:rFonts w:ascii="Times New Roman" w:hAnsi="Times New Roman" w:cs="Times New Roman"/>
          </w:rPr>
          <w:t>https://doi.org/10.1080/00103628309367359</w:t>
        </w:r>
      </w:hyperlink>
      <w:r w:rsidRPr="00BC510B">
        <w:rPr>
          <w:rFonts w:ascii="Times New Roman" w:hAnsi="Times New Roman" w:cs="Times New Roman"/>
        </w:rPr>
        <w:t xml:space="preserve"> </w:t>
      </w:r>
    </w:p>
    <w:p w14:paraId="6B453EF3" w14:textId="77777777" w:rsidR="00BC510B" w:rsidRPr="00BC510B" w:rsidRDefault="00BC510B" w:rsidP="003D074D">
      <w:pPr>
        <w:spacing w:after="0" w:line="240" w:lineRule="auto"/>
        <w:rPr>
          <w:rFonts w:ascii="Times New Roman" w:hAnsi="Times New Roman" w:cs="Times New Roman"/>
        </w:rPr>
      </w:pPr>
    </w:p>
    <w:p w14:paraId="1022D01C" w14:textId="728EF092"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Nta</w:t>
      </w:r>
      <w:proofErr w:type="spellEnd"/>
      <w:r w:rsidRPr="00BC510B">
        <w:rPr>
          <w:rFonts w:ascii="Times New Roman" w:hAnsi="Times New Roman" w:cs="Times New Roman"/>
        </w:rPr>
        <w:t xml:space="preserve">, S.A., </w:t>
      </w:r>
      <w:proofErr w:type="spellStart"/>
      <w:r w:rsidRPr="00BC510B">
        <w:rPr>
          <w:rFonts w:ascii="Times New Roman" w:hAnsi="Times New Roman" w:cs="Times New Roman"/>
        </w:rPr>
        <w:t>Ayotamuno</w:t>
      </w:r>
      <w:proofErr w:type="spellEnd"/>
      <w:r w:rsidRPr="00BC510B">
        <w:rPr>
          <w:rFonts w:ascii="Times New Roman" w:hAnsi="Times New Roman" w:cs="Times New Roman"/>
        </w:rPr>
        <w:t xml:space="preserve">, M.J., Igoni, A.H. and </w:t>
      </w:r>
      <w:proofErr w:type="spellStart"/>
      <w:r w:rsidRPr="00BC510B">
        <w:rPr>
          <w:rFonts w:ascii="Times New Roman" w:hAnsi="Times New Roman" w:cs="Times New Roman"/>
        </w:rPr>
        <w:t>Okparanma</w:t>
      </w:r>
      <w:proofErr w:type="spellEnd"/>
      <w:r w:rsidRPr="00BC510B">
        <w:rPr>
          <w:rFonts w:ascii="Times New Roman" w:hAnsi="Times New Roman" w:cs="Times New Roman"/>
        </w:rPr>
        <w:t>, R.H., 2020. Soil quality as affected by municipal solid waste dumping. Asian Soil Research Journal, 3(2), pp.1-11.</w:t>
      </w:r>
      <w:r w:rsidR="005D2592">
        <w:rPr>
          <w:rFonts w:ascii="Times New Roman" w:hAnsi="Times New Roman" w:cs="Times New Roman"/>
        </w:rPr>
        <w:t xml:space="preserve"> </w:t>
      </w:r>
      <w:hyperlink r:id="rId47" w:history="1">
        <w:r w:rsidR="005D2592" w:rsidRPr="00F530B5">
          <w:rPr>
            <w:rStyle w:val="Hyperlink"/>
            <w:rFonts w:ascii="Times New Roman" w:hAnsi="Times New Roman" w:cs="Times New Roman"/>
          </w:rPr>
          <w:t>https://doi.org/10.9734/asrj/2020/v3i230067</w:t>
        </w:r>
      </w:hyperlink>
      <w:r w:rsidR="005D2592">
        <w:rPr>
          <w:rFonts w:ascii="Times New Roman" w:hAnsi="Times New Roman" w:cs="Times New Roman"/>
        </w:rPr>
        <w:t xml:space="preserve"> </w:t>
      </w:r>
    </w:p>
    <w:p w14:paraId="5EB27D2B" w14:textId="77777777" w:rsidR="00BC510B" w:rsidRPr="00BC510B" w:rsidRDefault="00BC510B" w:rsidP="003D074D">
      <w:pPr>
        <w:spacing w:after="0" w:line="240" w:lineRule="auto"/>
        <w:rPr>
          <w:rFonts w:ascii="Times New Roman" w:hAnsi="Times New Roman" w:cs="Times New Roman"/>
        </w:rPr>
      </w:pPr>
    </w:p>
    <w:p w14:paraId="22966F48" w14:textId="1B67AD5A"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Nwaogu</w:t>
      </w:r>
      <w:proofErr w:type="spellEnd"/>
      <w:r w:rsidRPr="00BC510B">
        <w:rPr>
          <w:rFonts w:ascii="Times New Roman" w:hAnsi="Times New Roman" w:cs="Times New Roman"/>
        </w:rPr>
        <w:t xml:space="preserve">, C., </w:t>
      </w:r>
      <w:proofErr w:type="spellStart"/>
      <w:r w:rsidRPr="00BC510B">
        <w:rPr>
          <w:rFonts w:ascii="Times New Roman" w:hAnsi="Times New Roman" w:cs="Times New Roman"/>
        </w:rPr>
        <w:t>Ogbuagu</w:t>
      </w:r>
      <w:proofErr w:type="spellEnd"/>
      <w:r w:rsidRPr="00BC510B">
        <w:rPr>
          <w:rFonts w:ascii="Times New Roman" w:hAnsi="Times New Roman" w:cs="Times New Roman"/>
        </w:rPr>
        <w:t xml:space="preserve">, H.D., </w:t>
      </w:r>
      <w:proofErr w:type="spellStart"/>
      <w:r w:rsidRPr="00BC510B">
        <w:rPr>
          <w:rFonts w:ascii="Times New Roman" w:hAnsi="Times New Roman" w:cs="Times New Roman"/>
        </w:rPr>
        <w:t>Abrakasa</w:t>
      </w:r>
      <w:proofErr w:type="spellEnd"/>
      <w:r w:rsidRPr="00BC510B">
        <w:rPr>
          <w:rFonts w:ascii="Times New Roman" w:hAnsi="Times New Roman" w:cs="Times New Roman"/>
        </w:rPr>
        <w:t xml:space="preserve">, S., </w:t>
      </w:r>
      <w:proofErr w:type="spellStart"/>
      <w:r w:rsidRPr="00BC510B">
        <w:rPr>
          <w:rFonts w:ascii="Times New Roman" w:hAnsi="Times New Roman" w:cs="Times New Roman"/>
        </w:rPr>
        <w:t>Olawoyin</w:t>
      </w:r>
      <w:proofErr w:type="spellEnd"/>
      <w:r w:rsidRPr="00BC510B">
        <w:rPr>
          <w:rFonts w:ascii="Times New Roman" w:hAnsi="Times New Roman" w:cs="Times New Roman"/>
        </w:rPr>
        <w:t xml:space="preserve">, M.A. and </w:t>
      </w:r>
      <w:proofErr w:type="spellStart"/>
      <w:r w:rsidRPr="00BC510B">
        <w:rPr>
          <w:rFonts w:ascii="Times New Roman" w:hAnsi="Times New Roman" w:cs="Times New Roman"/>
        </w:rPr>
        <w:t>Pavlů</w:t>
      </w:r>
      <w:proofErr w:type="spellEnd"/>
      <w:r w:rsidRPr="00BC510B">
        <w:rPr>
          <w:rFonts w:ascii="Times New Roman" w:hAnsi="Times New Roman" w:cs="Times New Roman"/>
        </w:rPr>
        <w:t>, V., 2017. Assessment of the impacts of municipal solid waste dumps on soils and plants. </w:t>
      </w:r>
      <w:r w:rsidRPr="00BC510B">
        <w:rPr>
          <w:rFonts w:ascii="Times New Roman" w:hAnsi="Times New Roman" w:cs="Times New Roman"/>
          <w:i/>
          <w:iCs/>
        </w:rPr>
        <w:t>Chemistry and ecology</w:t>
      </w:r>
      <w:r w:rsidRPr="00BC510B">
        <w:rPr>
          <w:rFonts w:ascii="Times New Roman" w:hAnsi="Times New Roman" w:cs="Times New Roman"/>
        </w:rPr>
        <w:t>, </w:t>
      </w:r>
      <w:r w:rsidRPr="00BC510B">
        <w:rPr>
          <w:rFonts w:ascii="Times New Roman" w:hAnsi="Times New Roman" w:cs="Times New Roman"/>
          <w:i/>
          <w:iCs/>
        </w:rPr>
        <w:t>33</w:t>
      </w:r>
      <w:r w:rsidRPr="00BC510B">
        <w:rPr>
          <w:rFonts w:ascii="Times New Roman" w:hAnsi="Times New Roman" w:cs="Times New Roman"/>
        </w:rPr>
        <w:t>(7), pp.589-606.</w:t>
      </w:r>
      <w:r w:rsidR="001C7FAA" w:rsidRPr="001C7FAA">
        <w:t xml:space="preserve"> </w:t>
      </w:r>
      <w:hyperlink r:id="rId48" w:history="1">
        <w:r w:rsidR="001C7FAA" w:rsidRPr="00F530B5">
          <w:rPr>
            <w:rStyle w:val="Hyperlink"/>
            <w:rFonts w:ascii="Times New Roman" w:hAnsi="Times New Roman" w:cs="Times New Roman"/>
          </w:rPr>
          <w:t>https://doi.org/10.1080/02757540.2017.1337101</w:t>
        </w:r>
      </w:hyperlink>
      <w:r w:rsidR="001C7FAA">
        <w:rPr>
          <w:rFonts w:ascii="Times New Roman" w:hAnsi="Times New Roman" w:cs="Times New Roman"/>
        </w:rPr>
        <w:t xml:space="preserve"> </w:t>
      </w:r>
    </w:p>
    <w:p w14:paraId="40F6A86D" w14:textId="77777777" w:rsidR="00BC510B" w:rsidRPr="00BC510B" w:rsidRDefault="00BC510B" w:rsidP="003D074D">
      <w:pPr>
        <w:spacing w:after="0" w:line="240" w:lineRule="auto"/>
        <w:rPr>
          <w:rFonts w:ascii="Times New Roman" w:hAnsi="Times New Roman" w:cs="Times New Roman"/>
        </w:rPr>
      </w:pPr>
    </w:p>
    <w:p w14:paraId="0037DDF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lastRenderedPageBreak/>
        <w:t xml:space="preserve">Obi, J. C., </w:t>
      </w:r>
      <w:proofErr w:type="spellStart"/>
      <w:r w:rsidRPr="00BC510B">
        <w:rPr>
          <w:rFonts w:ascii="Times New Roman" w:hAnsi="Times New Roman" w:cs="Times New Roman"/>
        </w:rPr>
        <w:t>Ibia</w:t>
      </w:r>
      <w:proofErr w:type="spellEnd"/>
      <w:r w:rsidRPr="00BC510B">
        <w:rPr>
          <w:rFonts w:ascii="Times New Roman" w:hAnsi="Times New Roman" w:cs="Times New Roman"/>
        </w:rPr>
        <w:t xml:space="preserve">, T. O., &amp; </w:t>
      </w:r>
      <w:proofErr w:type="spellStart"/>
      <w:r w:rsidRPr="00BC510B">
        <w:rPr>
          <w:rFonts w:ascii="Times New Roman" w:hAnsi="Times New Roman" w:cs="Times New Roman"/>
        </w:rPr>
        <w:t>Ikott</w:t>
      </w:r>
      <w:proofErr w:type="spellEnd"/>
      <w:r w:rsidRPr="00BC510B">
        <w:rPr>
          <w:rFonts w:ascii="Times New Roman" w:hAnsi="Times New Roman" w:cs="Times New Roman"/>
        </w:rPr>
        <w:t xml:space="preserve">, I. E. 2020. Effects of land use on forms of phosphorus in coastal plain sands of Nigeria. </w:t>
      </w:r>
      <w:r w:rsidRPr="00BC510B">
        <w:rPr>
          <w:rFonts w:ascii="Times New Roman" w:hAnsi="Times New Roman" w:cs="Times New Roman"/>
          <w:i/>
          <w:iCs/>
        </w:rPr>
        <w:t>Nigerian Journal of Soil Science, 30</w:t>
      </w:r>
      <w:r w:rsidRPr="00BC510B">
        <w:rPr>
          <w:rFonts w:ascii="Times New Roman" w:hAnsi="Times New Roman" w:cs="Times New Roman"/>
        </w:rPr>
        <w:t>(3), 31–41.</w:t>
      </w:r>
    </w:p>
    <w:p w14:paraId="51060166" w14:textId="77777777" w:rsidR="00BC510B" w:rsidRPr="00BC510B" w:rsidRDefault="00BC510B" w:rsidP="003D074D">
      <w:pPr>
        <w:spacing w:after="0" w:line="240" w:lineRule="auto"/>
        <w:rPr>
          <w:rFonts w:ascii="Times New Roman" w:hAnsi="Times New Roman" w:cs="Times New Roman"/>
        </w:rPr>
      </w:pPr>
    </w:p>
    <w:p w14:paraId="7A4B5180" w14:textId="72F1F499"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Obianefo</w:t>
      </w:r>
      <w:proofErr w:type="spellEnd"/>
      <w:r w:rsidRPr="00BC510B">
        <w:rPr>
          <w:rFonts w:ascii="Times New Roman" w:hAnsi="Times New Roman" w:cs="Times New Roman"/>
        </w:rPr>
        <w:t xml:space="preserve">, F.U., </w:t>
      </w:r>
      <w:proofErr w:type="spellStart"/>
      <w:r w:rsidRPr="00BC510B">
        <w:rPr>
          <w:rFonts w:ascii="Times New Roman" w:hAnsi="Times New Roman" w:cs="Times New Roman"/>
        </w:rPr>
        <w:t>Agbagwa</w:t>
      </w:r>
      <w:proofErr w:type="spellEnd"/>
      <w:r w:rsidRPr="00BC510B">
        <w:rPr>
          <w:rFonts w:ascii="Times New Roman" w:hAnsi="Times New Roman" w:cs="Times New Roman"/>
        </w:rPr>
        <w:t>, I.O. and Tanee, F.B.G., 2017. Physicochemical characteristics of soil from selected solid waste dump sites in Port Harcourt, Rivers State, Nigeria. </w:t>
      </w:r>
      <w:r w:rsidRPr="00BC510B">
        <w:rPr>
          <w:rFonts w:ascii="Times New Roman" w:hAnsi="Times New Roman" w:cs="Times New Roman"/>
          <w:i/>
          <w:iCs/>
        </w:rPr>
        <w:t>Journal of Applied Sciences and Environmental Management</w:t>
      </w:r>
      <w:r w:rsidRPr="00BC510B">
        <w:rPr>
          <w:rFonts w:ascii="Times New Roman" w:hAnsi="Times New Roman" w:cs="Times New Roman"/>
        </w:rPr>
        <w:t>, </w:t>
      </w:r>
      <w:r w:rsidRPr="00BC510B">
        <w:rPr>
          <w:rFonts w:ascii="Times New Roman" w:hAnsi="Times New Roman" w:cs="Times New Roman"/>
          <w:i/>
          <w:iCs/>
        </w:rPr>
        <w:t>21</w:t>
      </w:r>
      <w:r w:rsidRPr="00BC510B">
        <w:rPr>
          <w:rFonts w:ascii="Times New Roman" w:hAnsi="Times New Roman" w:cs="Times New Roman"/>
        </w:rPr>
        <w:t>(6), pp.1153-1156.</w:t>
      </w:r>
      <w:r w:rsidR="001C7FAA" w:rsidRPr="001C7FAA">
        <w:t xml:space="preserve"> </w:t>
      </w:r>
      <w:hyperlink r:id="rId49" w:history="1">
        <w:r w:rsidR="001C7FAA" w:rsidRPr="00F530B5">
          <w:rPr>
            <w:rStyle w:val="Hyperlink"/>
            <w:rFonts w:ascii="Times New Roman" w:hAnsi="Times New Roman" w:cs="Times New Roman"/>
          </w:rPr>
          <w:t>https://doi.org/10.4314/jasem.v21i6.27</w:t>
        </w:r>
      </w:hyperlink>
      <w:r w:rsidR="001C7FAA">
        <w:rPr>
          <w:rFonts w:ascii="Times New Roman" w:hAnsi="Times New Roman" w:cs="Times New Roman"/>
        </w:rPr>
        <w:t xml:space="preserve"> </w:t>
      </w:r>
    </w:p>
    <w:p w14:paraId="3D5ED9C0" w14:textId="77777777" w:rsidR="00BC510B" w:rsidRPr="00BC510B" w:rsidRDefault="00BC510B" w:rsidP="003D074D">
      <w:pPr>
        <w:spacing w:after="0" w:line="240" w:lineRule="auto"/>
        <w:rPr>
          <w:rFonts w:ascii="Times New Roman" w:hAnsi="Times New Roman" w:cs="Times New Roman"/>
        </w:rPr>
      </w:pPr>
    </w:p>
    <w:p w14:paraId="3682969C" w14:textId="036EC891" w:rsid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Ogundiran</w:t>
      </w:r>
      <w:proofErr w:type="spellEnd"/>
      <w:r w:rsidRPr="00BC510B">
        <w:rPr>
          <w:rFonts w:ascii="Times New Roman" w:hAnsi="Times New Roman" w:cs="Times New Roman"/>
        </w:rPr>
        <w:t>, O.O. and Afolabi, T.A., 2008. Assessment of the physicochemical parameters and heavy metals toxicity of leachates from municipal solid waste open dumpsite. </w:t>
      </w:r>
      <w:r w:rsidRPr="00BC510B">
        <w:rPr>
          <w:rFonts w:ascii="Times New Roman" w:hAnsi="Times New Roman" w:cs="Times New Roman"/>
          <w:i/>
          <w:iCs/>
        </w:rPr>
        <w:t>International Journal of Environmental Science &amp; Technology</w:t>
      </w:r>
      <w:r w:rsidRPr="00BC510B">
        <w:rPr>
          <w:rFonts w:ascii="Times New Roman" w:hAnsi="Times New Roman" w:cs="Times New Roman"/>
        </w:rPr>
        <w:t>, </w:t>
      </w:r>
      <w:r w:rsidRPr="00BC510B">
        <w:rPr>
          <w:rFonts w:ascii="Times New Roman" w:hAnsi="Times New Roman" w:cs="Times New Roman"/>
          <w:i/>
          <w:iCs/>
        </w:rPr>
        <w:t>5</w:t>
      </w:r>
      <w:r w:rsidRPr="00BC510B">
        <w:rPr>
          <w:rFonts w:ascii="Times New Roman" w:hAnsi="Times New Roman" w:cs="Times New Roman"/>
        </w:rPr>
        <w:t>(2), pp.243-250.</w:t>
      </w:r>
      <w:r w:rsidR="001C7FAA">
        <w:rPr>
          <w:rFonts w:ascii="Times New Roman" w:hAnsi="Times New Roman" w:cs="Times New Roman"/>
        </w:rPr>
        <w:t xml:space="preserve"> </w:t>
      </w:r>
      <w:hyperlink r:id="rId50" w:history="1">
        <w:r w:rsidR="001C7FAA" w:rsidRPr="00F530B5">
          <w:rPr>
            <w:rStyle w:val="Hyperlink"/>
            <w:rFonts w:ascii="Times New Roman" w:hAnsi="Times New Roman" w:cs="Times New Roman"/>
          </w:rPr>
          <w:t>https://doi.org/10.1007/bf03326018</w:t>
        </w:r>
      </w:hyperlink>
      <w:r w:rsidR="001C7FAA">
        <w:rPr>
          <w:rFonts w:ascii="Times New Roman" w:hAnsi="Times New Roman" w:cs="Times New Roman"/>
        </w:rPr>
        <w:t xml:space="preserve"> </w:t>
      </w:r>
    </w:p>
    <w:p w14:paraId="0191A0C6" w14:textId="77777777" w:rsidR="003D074D" w:rsidRPr="00BC510B" w:rsidRDefault="003D074D" w:rsidP="003D074D">
      <w:pPr>
        <w:spacing w:after="0" w:line="240" w:lineRule="auto"/>
        <w:rPr>
          <w:rFonts w:ascii="Times New Roman" w:hAnsi="Times New Roman" w:cs="Times New Roman"/>
        </w:rPr>
      </w:pPr>
    </w:p>
    <w:p w14:paraId="4AD8B151" w14:textId="77777777" w:rsidR="00BC510B" w:rsidRPr="00BC510B" w:rsidRDefault="00BC510B" w:rsidP="003D074D">
      <w:pPr>
        <w:spacing w:after="0" w:line="240" w:lineRule="auto"/>
        <w:ind w:left="90" w:right="-15"/>
        <w:rPr>
          <w:rFonts w:ascii="Times New Roman" w:hAnsi="Times New Roman" w:cs="Times New Roman"/>
          <w:bCs/>
        </w:rPr>
      </w:pPr>
      <w:proofErr w:type="spellStart"/>
      <w:r w:rsidRPr="00BC510B">
        <w:rPr>
          <w:rFonts w:ascii="Times New Roman" w:hAnsi="Times New Roman" w:cs="Times New Roman"/>
          <w:bCs/>
        </w:rPr>
        <w:t>Ojegu</w:t>
      </w:r>
      <w:proofErr w:type="spellEnd"/>
      <w:r w:rsidRPr="00BC510B">
        <w:rPr>
          <w:rFonts w:ascii="Times New Roman" w:hAnsi="Times New Roman" w:cs="Times New Roman"/>
          <w:bCs/>
        </w:rPr>
        <w:t xml:space="preserve">, J. (2016). Concentrations of Selected Heavy Metals in Soils Around Refuse Dumpsites in Some Towns in Delta State. MSc Thesis Dissertation, Delta State University, </w:t>
      </w:r>
      <w:proofErr w:type="spellStart"/>
      <w:r w:rsidRPr="00BC510B">
        <w:rPr>
          <w:rFonts w:ascii="Times New Roman" w:hAnsi="Times New Roman" w:cs="Times New Roman"/>
          <w:bCs/>
        </w:rPr>
        <w:t>Abraka</w:t>
      </w:r>
      <w:proofErr w:type="spellEnd"/>
      <w:r w:rsidRPr="00BC510B">
        <w:rPr>
          <w:rFonts w:ascii="Times New Roman" w:hAnsi="Times New Roman" w:cs="Times New Roman"/>
          <w:bCs/>
        </w:rPr>
        <w:t xml:space="preserve">. Nigeria.  </w:t>
      </w:r>
    </w:p>
    <w:p w14:paraId="0DEDDAD4" w14:textId="77777777" w:rsidR="00BC510B" w:rsidRPr="00BC510B" w:rsidRDefault="00BC510B" w:rsidP="003D074D">
      <w:pPr>
        <w:spacing w:after="0" w:line="240" w:lineRule="auto"/>
        <w:ind w:left="90" w:right="-15"/>
        <w:rPr>
          <w:rFonts w:ascii="Times New Roman" w:hAnsi="Times New Roman" w:cs="Times New Roman"/>
          <w:bCs/>
        </w:rPr>
      </w:pPr>
    </w:p>
    <w:p w14:paraId="761757AD"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Oketola</w:t>
      </w:r>
      <w:proofErr w:type="spellEnd"/>
      <w:r w:rsidRPr="00BC510B">
        <w:rPr>
          <w:rFonts w:ascii="Times New Roman" w:hAnsi="Times New Roman" w:cs="Times New Roman"/>
        </w:rPr>
        <w:t xml:space="preserve">, A.A. and </w:t>
      </w:r>
      <w:proofErr w:type="spellStart"/>
      <w:r w:rsidRPr="00BC510B">
        <w:rPr>
          <w:rFonts w:ascii="Times New Roman" w:hAnsi="Times New Roman" w:cs="Times New Roman"/>
        </w:rPr>
        <w:t>Akpotu</w:t>
      </w:r>
      <w:proofErr w:type="spellEnd"/>
      <w:r w:rsidRPr="00BC510B">
        <w:rPr>
          <w:rFonts w:ascii="Times New Roman" w:hAnsi="Times New Roman" w:cs="Times New Roman"/>
        </w:rPr>
        <w:t>, S.O., 2015. Assessment of solid waste and dumpsite leachate and topsoil. </w:t>
      </w:r>
      <w:r w:rsidRPr="00BC510B">
        <w:rPr>
          <w:rFonts w:ascii="Times New Roman" w:hAnsi="Times New Roman" w:cs="Times New Roman"/>
          <w:i/>
          <w:iCs/>
        </w:rPr>
        <w:t>Chemistry and ecology</w:t>
      </w:r>
      <w:r w:rsidRPr="00BC510B">
        <w:rPr>
          <w:rFonts w:ascii="Times New Roman" w:hAnsi="Times New Roman" w:cs="Times New Roman"/>
        </w:rPr>
        <w:t>, </w:t>
      </w:r>
      <w:r w:rsidRPr="00BC510B">
        <w:rPr>
          <w:rFonts w:ascii="Times New Roman" w:hAnsi="Times New Roman" w:cs="Times New Roman"/>
          <w:i/>
          <w:iCs/>
        </w:rPr>
        <w:t>31</w:t>
      </w:r>
      <w:r w:rsidRPr="00BC510B">
        <w:rPr>
          <w:rFonts w:ascii="Times New Roman" w:hAnsi="Times New Roman" w:cs="Times New Roman"/>
        </w:rPr>
        <w:t>(2), pp.134-146.</w:t>
      </w:r>
    </w:p>
    <w:p w14:paraId="788B6D39" w14:textId="77777777" w:rsidR="00BC510B" w:rsidRPr="00BC510B" w:rsidRDefault="00BC510B" w:rsidP="003D074D">
      <w:pPr>
        <w:tabs>
          <w:tab w:val="left" w:pos="2430"/>
        </w:tabs>
        <w:spacing w:after="0" w:line="240" w:lineRule="auto"/>
        <w:ind w:right="-15"/>
        <w:rPr>
          <w:rFonts w:ascii="Times New Roman" w:hAnsi="Times New Roman" w:cs="Times New Roman"/>
          <w:bCs/>
        </w:rPr>
      </w:pPr>
      <w:proofErr w:type="gramStart"/>
      <w:r w:rsidRPr="00BC510B">
        <w:rPr>
          <w:rFonts w:ascii="Times New Roman" w:hAnsi="Times New Roman" w:cs="Times New Roman"/>
          <w:bCs/>
        </w:rPr>
        <w:t>Okoro ,</w:t>
      </w:r>
      <w:proofErr w:type="gramEnd"/>
      <w:r w:rsidRPr="00BC510B">
        <w:rPr>
          <w:rFonts w:ascii="Times New Roman" w:hAnsi="Times New Roman" w:cs="Times New Roman"/>
          <w:bCs/>
        </w:rPr>
        <w:t xml:space="preserve"> A. C., Chukwuma, G. </w:t>
      </w:r>
      <w:proofErr w:type="spellStart"/>
      <w:r w:rsidRPr="00BC510B">
        <w:rPr>
          <w:rFonts w:ascii="Times New Roman" w:hAnsi="Times New Roman" w:cs="Times New Roman"/>
          <w:bCs/>
        </w:rPr>
        <w:t>O.,Chukwuma</w:t>
      </w:r>
      <w:proofErr w:type="spellEnd"/>
      <w:r w:rsidRPr="00BC510B">
        <w:rPr>
          <w:rFonts w:ascii="Times New Roman" w:hAnsi="Times New Roman" w:cs="Times New Roman"/>
          <w:bCs/>
        </w:rPr>
        <w:t xml:space="preserve">, E. C., Nwachukwu , P. C and Ezeh, K. A. (2013). Investigating the Effects of Selected Heavy Metals on Topsoil at the Vicinities of two Automobile Mechanic Villages, Owerri Municipal, Nigeria.  </w:t>
      </w:r>
      <w:r w:rsidRPr="00BC510B">
        <w:rPr>
          <w:rFonts w:ascii="Times New Roman" w:hAnsi="Times New Roman" w:cs="Times New Roman"/>
          <w:bCs/>
          <w:i/>
        </w:rPr>
        <w:t>The International Journal of Engineering and Science</w:t>
      </w:r>
      <w:r w:rsidRPr="00BC510B">
        <w:rPr>
          <w:rFonts w:ascii="Times New Roman" w:hAnsi="Times New Roman" w:cs="Times New Roman"/>
          <w:bCs/>
        </w:rPr>
        <w:t xml:space="preserve">, 2(11): 19-26. </w:t>
      </w:r>
    </w:p>
    <w:p w14:paraId="6653401D" w14:textId="77777777" w:rsidR="00BC510B" w:rsidRPr="00BC510B" w:rsidRDefault="00BC510B" w:rsidP="003D074D">
      <w:pPr>
        <w:tabs>
          <w:tab w:val="left" w:pos="2430"/>
        </w:tabs>
        <w:spacing w:after="0" w:line="240" w:lineRule="auto"/>
        <w:ind w:right="-15"/>
        <w:rPr>
          <w:rFonts w:ascii="Times New Roman" w:hAnsi="Times New Roman" w:cs="Times New Roman"/>
          <w:bCs/>
        </w:rPr>
      </w:pPr>
    </w:p>
    <w:p w14:paraId="17EA1AC5"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Olagunju, E., Badmus, O., Ogunlana, F. and Babalola, M., 2018. Environmental impact assessment of waste dumpsite using integrated geochemical and </w:t>
      </w:r>
      <w:proofErr w:type="spellStart"/>
      <w:r w:rsidRPr="00BC510B">
        <w:rPr>
          <w:rFonts w:ascii="Times New Roman" w:hAnsi="Times New Roman" w:cs="Times New Roman"/>
        </w:rPr>
        <w:t>physico</w:t>
      </w:r>
      <w:proofErr w:type="spellEnd"/>
      <w:r w:rsidRPr="00BC510B">
        <w:rPr>
          <w:rFonts w:ascii="Times New Roman" w:hAnsi="Times New Roman" w:cs="Times New Roman"/>
        </w:rPr>
        <w:t xml:space="preserve">-chemical approach: A case study of </w:t>
      </w:r>
      <w:proofErr w:type="spellStart"/>
      <w:r w:rsidRPr="00BC510B">
        <w:rPr>
          <w:rFonts w:ascii="Times New Roman" w:hAnsi="Times New Roman" w:cs="Times New Roman"/>
        </w:rPr>
        <w:t>Ilokun</w:t>
      </w:r>
      <w:proofErr w:type="spellEnd"/>
      <w:r w:rsidRPr="00BC510B">
        <w:rPr>
          <w:rFonts w:ascii="Times New Roman" w:hAnsi="Times New Roman" w:cs="Times New Roman"/>
        </w:rPr>
        <w:t xml:space="preserve"> waste dumpsite, Ado-Ekiti, Southern Nigeria. </w:t>
      </w:r>
      <w:r w:rsidRPr="00BC510B">
        <w:rPr>
          <w:rFonts w:ascii="Times New Roman" w:hAnsi="Times New Roman" w:cs="Times New Roman"/>
          <w:i/>
          <w:iCs/>
        </w:rPr>
        <w:t>Civil Engineering Research Journal</w:t>
      </w:r>
      <w:r w:rsidRPr="00BC510B">
        <w:rPr>
          <w:rFonts w:ascii="Times New Roman" w:hAnsi="Times New Roman" w:cs="Times New Roman"/>
        </w:rPr>
        <w:t>, </w:t>
      </w:r>
      <w:r w:rsidRPr="00BC510B">
        <w:rPr>
          <w:rFonts w:ascii="Times New Roman" w:hAnsi="Times New Roman" w:cs="Times New Roman"/>
          <w:i/>
          <w:iCs/>
        </w:rPr>
        <w:t>4</w:t>
      </w:r>
      <w:r w:rsidRPr="00BC510B">
        <w:rPr>
          <w:rFonts w:ascii="Times New Roman" w:hAnsi="Times New Roman" w:cs="Times New Roman"/>
        </w:rPr>
        <w:t>(2), p.555631.</w:t>
      </w:r>
    </w:p>
    <w:p w14:paraId="458CC10B" w14:textId="77777777" w:rsidR="00BC510B" w:rsidRPr="00BC510B" w:rsidRDefault="00BC510B" w:rsidP="003D074D">
      <w:pPr>
        <w:spacing w:after="0" w:line="240" w:lineRule="auto"/>
        <w:rPr>
          <w:rFonts w:ascii="Times New Roman" w:hAnsi="Times New Roman" w:cs="Times New Roman"/>
        </w:rPr>
      </w:pPr>
    </w:p>
    <w:p w14:paraId="0B11C32C"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Omeiza</w:t>
      </w:r>
      <w:proofErr w:type="spellEnd"/>
      <w:r w:rsidRPr="00BC510B">
        <w:rPr>
          <w:rFonts w:ascii="Times New Roman" w:hAnsi="Times New Roman" w:cs="Times New Roman"/>
        </w:rPr>
        <w:t xml:space="preserve">, A. J., Lawal, H. A., &amp; Nur, M. 2023. Investigation of groundwater vulnerability to open dumpsites and its potential risk using electrical resistivity and water analysis. </w:t>
      </w:r>
      <w:proofErr w:type="spellStart"/>
      <w:r w:rsidRPr="00BC510B">
        <w:rPr>
          <w:rFonts w:ascii="Times New Roman" w:hAnsi="Times New Roman" w:cs="Times New Roman"/>
          <w:i/>
          <w:iCs/>
        </w:rPr>
        <w:t>Heliyon</w:t>
      </w:r>
      <w:proofErr w:type="spellEnd"/>
      <w:r w:rsidRPr="00BC510B">
        <w:rPr>
          <w:rFonts w:ascii="Times New Roman" w:hAnsi="Times New Roman" w:cs="Times New Roman"/>
          <w:i/>
          <w:iCs/>
        </w:rPr>
        <w:t>, 8</w:t>
      </w:r>
      <w:r w:rsidRPr="00BC510B">
        <w:rPr>
          <w:rFonts w:ascii="Times New Roman" w:hAnsi="Times New Roman" w:cs="Times New Roman"/>
        </w:rPr>
        <w:t xml:space="preserve">, e09855. </w:t>
      </w:r>
      <w:hyperlink r:id="rId51" w:history="1">
        <w:r w:rsidRPr="00BC510B">
          <w:rPr>
            <w:rStyle w:val="Hyperlink"/>
            <w:rFonts w:ascii="Times New Roman" w:hAnsi="Times New Roman" w:cs="Times New Roman"/>
          </w:rPr>
          <w:t>https://doi.org/10.1016/j.heliyon.2023.e13265</w:t>
        </w:r>
      </w:hyperlink>
      <w:r w:rsidRPr="00BC510B">
        <w:rPr>
          <w:rFonts w:ascii="Times New Roman" w:hAnsi="Times New Roman" w:cs="Times New Roman"/>
        </w:rPr>
        <w:t xml:space="preserve">  </w:t>
      </w:r>
    </w:p>
    <w:p w14:paraId="775CF42E" w14:textId="77777777" w:rsidR="00BC510B" w:rsidRPr="00BC510B" w:rsidRDefault="00BC510B" w:rsidP="003D074D">
      <w:pPr>
        <w:spacing w:after="0" w:line="240" w:lineRule="auto"/>
        <w:rPr>
          <w:rFonts w:ascii="Times New Roman" w:hAnsi="Times New Roman" w:cs="Times New Roman"/>
        </w:rPr>
      </w:pPr>
    </w:p>
    <w:p w14:paraId="43792D06"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Omeiza</w:t>
      </w:r>
      <w:proofErr w:type="spellEnd"/>
      <w:r w:rsidRPr="00BC510B">
        <w:rPr>
          <w:rFonts w:ascii="Times New Roman" w:hAnsi="Times New Roman" w:cs="Times New Roman"/>
        </w:rPr>
        <w:t xml:space="preserve">, J. A., Abdulwahab, O. O., Nur, M. S., et al. 2022. Effect of an active open dumpsite on the earth’s subsurface and groundwater resource. </w:t>
      </w:r>
      <w:r w:rsidRPr="00BC510B">
        <w:rPr>
          <w:rFonts w:ascii="Times New Roman" w:hAnsi="Times New Roman" w:cs="Times New Roman"/>
          <w:i/>
          <w:iCs/>
        </w:rPr>
        <w:t>Asian Journal of Physical and Chemical Sciences, 10</w:t>
      </w:r>
      <w:r w:rsidRPr="00BC510B">
        <w:rPr>
          <w:rFonts w:ascii="Times New Roman" w:hAnsi="Times New Roman" w:cs="Times New Roman"/>
        </w:rPr>
        <w:t xml:space="preserve">(2), 15–24. </w:t>
      </w:r>
      <w:hyperlink r:id="rId52" w:history="1">
        <w:r w:rsidRPr="00BC510B">
          <w:rPr>
            <w:rStyle w:val="Hyperlink"/>
            <w:rFonts w:ascii="Times New Roman" w:hAnsi="Times New Roman" w:cs="Times New Roman"/>
          </w:rPr>
          <w:t>https://doi.org/10.9734/ajopacs/2022/v10i230152</w:t>
        </w:r>
      </w:hyperlink>
      <w:r w:rsidRPr="00BC510B">
        <w:rPr>
          <w:rFonts w:ascii="Times New Roman" w:hAnsi="Times New Roman" w:cs="Times New Roman"/>
        </w:rPr>
        <w:t xml:space="preserve">   </w:t>
      </w:r>
    </w:p>
    <w:p w14:paraId="6A226CC0" w14:textId="77777777" w:rsidR="00BC510B" w:rsidRPr="00BC510B" w:rsidRDefault="00BC510B" w:rsidP="003D074D">
      <w:pPr>
        <w:spacing w:after="0" w:line="240" w:lineRule="auto"/>
        <w:rPr>
          <w:rFonts w:ascii="Times New Roman" w:hAnsi="Times New Roman" w:cs="Times New Roman"/>
        </w:rPr>
      </w:pPr>
    </w:p>
    <w:p w14:paraId="1AC1284F"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Opara, M. N., Ukpong, U. M., &amp; Okoli, I. C. 2005. Quantitative analysis of abattoir slaughtering of animals in Akwa Ibom State, Nigeria. </w:t>
      </w:r>
      <w:r w:rsidRPr="00BC510B">
        <w:rPr>
          <w:rFonts w:ascii="Times New Roman" w:hAnsi="Times New Roman" w:cs="Times New Roman"/>
          <w:i/>
          <w:iCs/>
        </w:rPr>
        <w:t>Journal of Agriculture and Social Research, 5</w:t>
      </w:r>
      <w:r w:rsidRPr="00BC510B">
        <w:rPr>
          <w:rFonts w:ascii="Times New Roman" w:hAnsi="Times New Roman" w:cs="Times New Roman"/>
        </w:rPr>
        <w:t xml:space="preserve">(1), 34–40. </w:t>
      </w:r>
      <w:hyperlink r:id="rId53" w:history="1">
        <w:r w:rsidRPr="00BC510B">
          <w:rPr>
            <w:rStyle w:val="Hyperlink"/>
            <w:rFonts w:ascii="Times New Roman" w:hAnsi="Times New Roman" w:cs="Times New Roman"/>
          </w:rPr>
          <w:t>https://doi.org/10.4314/jasr.v5i1.2837</w:t>
        </w:r>
      </w:hyperlink>
      <w:r w:rsidRPr="00BC510B">
        <w:rPr>
          <w:rFonts w:ascii="Times New Roman" w:hAnsi="Times New Roman" w:cs="Times New Roman"/>
        </w:rPr>
        <w:t xml:space="preserve"> </w:t>
      </w:r>
    </w:p>
    <w:p w14:paraId="5ECD4D20" w14:textId="77777777" w:rsidR="001C7FAA" w:rsidRPr="00BC510B" w:rsidRDefault="001C7FAA" w:rsidP="003D074D">
      <w:pPr>
        <w:spacing w:after="0" w:line="240" w:lineRule="auto"/>
        <w:rPr>
          <w:rFonts w:ascii="Times New Roman" w:hAnsi="Times New Roman" w:cs="Times New Roman"/>
        </w:rPr>
      </w:pPr>
    </w:p>
    <w:p w14:paraId="7F340C1A" w14:textId="77777777" w:rsidR="00BC510B" w:rsidRPr="00BC510B" w:rsidRDefault="00BC510B" w:rsidP="003D074D">
      <w:pPr>
        <w:pStyle w:val="Default"/>
        <w:ind w:right="-15"/>
        <w:jc w:val="both"/>
        <w:rPr>
          <w:rFonts w:ascii="Times New Roman" w:hAnsi="Times New Roman" w:cs="Times New Roman"/>
          <w:bCs/>
          <w:color w:val="auto"/>
        </w:rPr>
      </w:pPr>
      <w:proofErr w:type="spellStart"/>
      <w:r w:rsidRPr="00BC510B">
        <w:rPr>
          <w:rFonts w:ascii="Times New Roman" w:hAnsi="Times New Roman" w:cs="Times New Roman"/>
          <w:bCs/>
          <w:color w:val="auto"/>
        </w:rPr>
        <w:t>Orodu</w:t>
      </w:r>
      <w:proofErr w:type="spellEnd"/>
      <w:r w:rsidRPr="00BC510B">
        <w:rPr>
          <w:rFonts w:ascii="Times New Roman" w:hAnsi="Times New Roman" w:cs="Times New Roman"/>
          <w:bCs/>
          <w:color w:val="auto"/>
        </w:rPr>
        <w:t xml:space="preserve">, V.E. and </w:t>
      </w:r>
      <w:proofErr w:type="spellStart"/>
      <w:r w:rsidRPr="00BC510B">
        <w:rPr>
          <w:rFonts w:ascii="Times New Roman" w:hAnsi="Times New Roman" w:cs="Times New Roman"/>
          <w:bCs/>
          <w:color w:val="auto"/>
        </w:rPr>
        <w:t>Leizou</w:t>
      </w:r>
      <w:proofErr w:type="spellEnd"/>
      <w:r w:rsidRPr="00BC510B">
        <w:rPr>
          <w:rFonts w:ascii="Times New Roman" w:hAnsi="Times New Roman" w:cs="Times New Roman"/>
          <w:bCs/>
          <w:color w:val="auto"/>
        </w:rPr>
        <w:t xml:space="preserve">, K. E. (2017). Determination of Heavy Metals (Cd and Ni) in Soils of Auto Mechanic Village, Suburb of the Yenagoa City, Bayelsa State, Nigeria. </w:t>
      </w:r>
      <w:r w:rsidRPr="00BC510B">
        <w:rPr>
          <w:rFonts w:ascii="Times New Roman" w:hAnsi="Times New Roman" w:cs="Times New Roman"/>
          <w:bCs/>
          <w:i/>
          <w:color w:val="auto"/>
        </w:rPr>
        <w:t xml:space="preserve">International Journal of Science and Technology, </w:t>
      </w:r>
      <w:r w:rsidRPr="00BC510B">
        <w:rPr>
          <w:rFonts w:ascii="Times New Roman" w:hAnsi="Times New Roman" w:cs="Times New Roman"/>
          <w:bCs/>
          <w:color w:val="auto"/>
        </w:rPr>
        <w:t>6 (8): 875-880.</w:t>
      </w:r>
    </w:p>
    <w:p w14:paraId="152FE64E" w14:textId="77777777" w:rsidR="00BC510B" w:rsidRPr="00BC510B" w:rsidRDefault="00BC510B" w:rsidP="003D074D">
      <w:pPr>
        <w:pStyle w:val="Default"/>
        <w:ind w:right="-15"/>
        <w:jc w:val="both"/>
        <w:rPr>
          <w:rFonts w:ascii="Times New Roman" w:hAnsi="Times New Roman" w:cs="Times New Roman"/>
          <w:bCs/>
          <w:color w:val="auto"/>
        </w:rPr>
      </w:pPr>
    </w:p>
    <w:p w14:paraId="0AC14480" w14:textId="50699A79"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Osim, S.E., Etukudo, M.M., Eze, U.P., Udo, J.I. and </w:t>
      </w:r>
      <w:proofErr w:type="spellStart"/>
      <w:r w:rsidRPr="00BC510B">
        <w:rPr>
          <w:rFonts w:ascii="Times New Roman" w:hAnsi="Times New Roman" w:cs="Times New Roman"/>
        </w:rPr>
        <w:t>Akwe</w:t>
      </w:r>
      <w:proofErr w:type="spellEnd"/>
      <w:r w:rsidRPr="00BC510B">
        <w:rPr>
          <w:rFonts w:ascii="Times New Roman" w:hAnsi="Times New Roman" w:cs="Times New Roman"/>
        </w:rPr>
        <w:t xml:space="preserve">, L.S., 2020. Characterization of physical and chemical properties of soil from three municipal solid waste dumpsites in Bayelsa </w:t>
      </w:r>
      <w:r w:rsidRPr="00BC510B">
        <w:rPr>
          <w:rFonts w:ascii="Times New Roman" w:hAnsi="Times New Roman" w:cs="Times New Roman"/>
        </w:rPr>
        <w:lastRenderedPageBreak/>
        <w:t>State, Nigeria. </w:t>
      </w:r>
      <w:r w:rsidRPr="00BC510B">
        <w:rPr>
          <w:rFonts w:ascii="Times New Roman" w:hAnsi="Times New Roman" w:cs="Times New Roman"/>
          <w:i/>
          <w:iCs/>
        </w:rPr>
        <w:t>International Journal of Scientific and Research Publications</w:t>
      </w:r>
      <w:r w:rsidRPr="00BC510B">
        <w:rPr>
          <w:rFonts w:ascii="Times New Roman" w:hAnsi="Times New Roman" w:cs="Times New Roman"/>
        </w:rPr>
        <w:t>, </w:t>
      </w:r>
      <w:r w:rsidRPr="00BC510B">
        <w:rPr>
          <w:rFonts w:ascii="Times New Roman" w:hAnsi="Times New Roman" w:cs="Times New Roman"/>
          <w:i/>
          <w:iCs/>
        </w:rPr>
        <w:t>10</w:t>
      </w:r>
      <w:r w:rsidRPr="00BC510B">
        <w:rPr>
          <w:rFonts w:ascii="Times New Roman" w:hAnsi="Times New Roman" w:cs="Times New Roman"/>
        </w:rPr>
        <w:t>(10), pp.401-404.</w:t>
      </w:r>
      <w:r w:rsidR="001C7FAA">
        <w:rPr>
          <w:rFonts w:ascii="Times New Roman" w:hAnsi="Times New Roman" w:cs="Times New Roman"/>
        </w:rPr>
        <w:t xml:space="preserve"> </w:t>
      </w:r>
      <w:hyperlink r:id="rId54" w:history="1">
        <w:r w:rsidR="001C7FAA" w:rsidRPr="00F530B5">
          <w:rPr>
            <w:rStyle w:val="Hyperlink"/>
            <w:rFonts w:ascii="Times New Roman" w:hAnsi="Times New Roman" w:cs="Times New Roman"/>
          </w:rPr>
          <w:t>https://doi.org/10.29322/ijsrp.10.10.2020.p10655</w:t>
        </w:r>
      </w:hyperlink>
      <w:r w:rsidR="001C7FAA">
        <w:rPr>
          <w:rFonts w:ascii="Times New Roman" w:hAnsi="Times New Roman" w:cs="Times New Roman"/>
        </w:rPr>
        <w:t xml:space="preserve"> </w:t>
      </w:r>
    </w:p>
    <w:p w14:paraId="512F4A81" w14:textId="77777777" w:rsidR="003D074D" w:rsidRPr="00BC510B" w:rsidRDefault="003D074D" w:rsidP="003D074D">
      <w:pPr>
        <w:spacing w:after="0" w:line="240" w:lineRule="auto"/>
        <w:rPr>
          <w:rFonts w:ascii="Times New Roman" w:hAnsi="Times New Roman" w:cs="Times New Roman"/>
        </w:rPr>
      </w:pPr>
    </w:p>
    <w:p w14:paraId="336D8A23" w14:textId="77777777" w:rsid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Osu, C. I. and Okereke, V. C. (2015).  Heavy metal Accumulation from Abattoir Wastes on Soils and Some Edible Vegetables in Selected Areas in Umuahia Metropolis. </w:t>
      </w:r>
      <w:r w:rsidRPr="00BC510B">
        <w:rPr>
          <w:rFonts w:ascii="Times New Roman" w:hAnsi="Times New Roman" w:cs="Times New Roman"/>
          <w:bCs/>
          <w:i/>
        </w:rPr>
        <w:t xml:space="preserve">International Journal of Current Microbiology and Applied Sciences, </w:t>
      </w:r>
      <w:r w:rsidRPr="00BC510B">
        <w:rPr>
          <w:rFonts w:ascii="Times New Roman" w:hAnsi="Times New Roman" w:cs="Times New Roman"/>
          <w:bCs/>
        </w:rPr>
        <w:t>4(6): 1127-1132</w:t>
      </w:r>
    </w:p>
    <w:p w14:paraId="1B6DDDA5" w14:textId="77777777" w:rsidR="003D074D" w:rsidRPr="00BC510B" w:rsidRDefault="003D074D" w:rsidP="003D074D">
      <w:pPr>
        <w:spacing w:after="0" w:line="240" w:lineRule="auto"/>
        <w:ind w:right="-15"/>
        <w:rPr>
          <w:rFonts w:ascii="Times New Roman" w:hAnsi="Times New Roman" w:cs="Times New Roman"/>
          <w:bCs/>
        </w:rPr>
      </w:pPr>
    </w:p>
    <w:p w14:paraId="0C593DEE" w14:textId="44342DC8"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Prechthai</w:t>
      </w:r>
      <w:proofErr w:type="spellEnd"/>
      <w:r w:rsidRPr="00BC510B">
        <w:rPr>
          <w:rFonts w:ascii="Times New Roman" w:hAnsi="Times New Roman" w:cs="Times New Roman"/>
        </w:rPr>
        <w:t xml:space="preserve">, T., </w:t>
      </w:r>
      <w:proofErr w:type="spellStart"/>
      <w:r w:rsidRPr="00BC510B">
        <w:rPr>
          <w:rFonts w:ascii="Times New Roman" w:hAnsi="Times New Roman" w:cs="Times New Roman"/>
        </w:rPr>
        <w:t>Parkpian</w:t>
      </w:r>
      <w:proofErr w:type="spellEnd"/>
      <w:r w:rsidRPr="00BC510B">
        <w:rPr>
          <w:rFonts w:ascii="Times New Roman" w:hAnsi="Times New Roman" w:cs="Times New Roman"/>
        </w:rPr>
        <w:t>, P. and Visvanathan, C., 2008. Assessment of heavy metal contamination and its mobilization from municipal solid waste open dumping site. </w:t>
      </w:r>
      <w:r w:rsidRPr="00BC510B">
        <w:rPr>
          <w:rFonts w:ascii="Times New Roman" w:hAnsi="Times New Roman" w:cs="Times New Roman"/>
          <w:i/>
          <w:iCs/>
        </w:rPr>
        <w:t>Journal of Hazardous Materials</w:t>
      </w:r>
      <w:r w:rsidRPr="00BC510B">
        <w:rPr>
          <w:rFonts w:ascii="Times New Roman" w:hAnsi="Times New Roman" w:cs="Times New Roman"/>
        </w:rPr>
        <w:t>, </w:t>
      </w:r>
      <w:r w:rsidRPr="00BC510B">
        <w:rPr>
          <w:rFonts w:ascii="Times New Roman" w:hAnsi="Times New Roman" w:cs="Times New Roman"/>
          <w:i/>
          <w:iCs/>
        </w:rPr>
        <w:t>156</w:t>
      </w:r>
      <w:r w:rsidRPr="00BC510B">
        <w:rPr>
          <w:rFonts w:ascii="Times New Roman" w:hAnsi="Times New Roman" w:cs="Times New Roman"/>
        </w:rPr>
        <w:t>(1-3), pp.86-94.</w:t>
      </w:r>
      <w:r w:rsidR="001C7FAA">
        <w:rPr>
          <w:rFonts w:ascii="Times New Roman" w:hAnsi="Times New Roman" w:cs="Times New Roman"/>
        </w:rPr>
        <w:t xml:space="preserve"> </w:t>
      </w:r>
      <w:hyperlink r:id="rId55" w:history="1">
        <w:r w:rsidR="001C7FAA" w:rsidRPr="00F530B5">
          <w:rPr>
            <w:rStyle w:val="Hyperlink"/>
            <w:rFonts w:ascii="Times New Roman" w:hAnsi="Times New Roman" w:cs="Times New Roman"/>
          </w:rPr>
          <w:t>https://doi.org/10.1016/j.jhazmat.2007.11.119</w:t>
        </w:r>
      </w:hyperlink>
      <w:r w:rsidR="001C7FAA">
        <w:rPr>
          <w:rFonts w:ascii="Times New Roman" w:hAnsi="Times New Roman" w:cs="Times New Roman"/>
        </w:rPr>
        <w:t xml:space="preserve"> </w:t>
      </w:r>
    </w:p>
    <w:p w14:paraId="3DA26494" w14:textId="77777777" w:rsidR="00BC510B" w:rsidRPr="00BC510B" w:rsidRDefault="00BC510B" w:rsidP="003D074D">
      <w:pPr>
        <w:spacing w:after="0" w:line="240" w:lineRule="auto"/>
        <w:rPr>
          <w:rFonts w:ascii="Times New Roman" w:hAnsi="Times New Roman" w:cs="Times New Roman"/>
        </w:rPr>
      </w:pPr>
    </w:p>
    <w:p w14:paraId="56A98570" w14:textId="520892D4"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Sanga, V.F., Fabian, C. and </w:t>
      </w:r>
      <w:proofErr w:type="spellStart"/>
      <w:r w:rsidRPr="00BC510B">
        <w:rPr>
          <w:rFonts w:ascii="Times New Roman" w:hAnsi="Times New Roman" w:cs="Times New Roman"/>
        </w:rPr>
        <w:t>Kimbokota</w:t>
      </w:r>
      <w:proofErr w:type="spellEnd"/>
      <w:r w:rsidRPr="00BC510B">
        <w:rPr>
          <w:rFonts w:ascii="Times New Roman" w:hAnsi="Times New Roman" w:cs="Times New Roman"/>
        </w:rPr>
        <w:t>, F., 2023. Heavy metal pollution in leachates and its impacts on the quality of groundwater resources around Iringa municipal solid waste dumpsite. </w:t>
      </w:r>
      <w:r w:rsidRPr="00BC510B">
        <w:rPr>
          <w:rFonts w:ascii="Times New Roman" w:hAnsi="Times New Roman" w:cs="Times New Roman"/>
          <w:i/>
          <w:iCs/>
        </w:rPr>
        <w:t>Environmental Science and Pollution Research</w:t>
      </w:r>
      <w:r w:rsidRPr="00BC510B">
        <w:rPr>
          <w:rFonts w:ascii="Times New Roman" w:hAnsi="Times New Roman" w:cs="Times New Roman"/>
        </w:rPr>
        <w:t>, </w:t>
      </w:r>
      <w:r w:rsidRPr="00BC510B">
        <w:rPr>
          <w:rFonts w:ascii="Times New Roman" w:hAnsi="Times New Roman" w:cs="Times New Roman"/>
          <w:i/>
          <w:iCs/>
        </w:rPr>
        <w:t>30</w:t>
      </w:r>
      <w:r w:rsidRPr="00BC510B">
        <w:rPr>
          <w:rFonts w:ascii="Times New Roman" w:hAnsi="Times New Roman" w:cs="Times New Roman"/>
        </w:rPr>
        <w:t>(3), pp.8110-8122.</w:t>
      </w:r>
      <w:r w:rsidR="001C7FAA" w:rsidRPr="001C7FAA">
        <w:t xml:space="preserve"> </w:t>
      </w:r>
      <w:hyperlink r:id="rId56" w:history="1">
        <w:r w:rsidR="001C7FAA" w:rsidRPr="00F530B5">
          <w:rPr>
            <w:rStyle w:val="Hyperlink"/>
            <w:rFonts w:ascii="Times New Roman" w:hAnsi="Times New Roman" w:cs="Times New Roman"/>
          </w:rPr>
          <w:t>https://doi.org/10.1007/s11356-022-22760-z</w:t>
        </w:r>
      </w:hyperlink>
      <w:r w:rsidR="001C7FAA">
        <w:rPr>
          <w:rFonts w:ascii="Times New Roman" w:hAnsi="Times New Roman" w:cs="Times New Roman"/>
        </w:rPr>
        <w:t xml:space="preserve"> </w:t>
      </w:r>
    </w:p>
    <w:p w14:paraId="7B232B94" w14:textId="77777777" w:rsidR="00BC510B" w:rsidRPr="00BC510B" w:rsidRDefault="00BC510B" w:rsidP="003D074D">
      <w:pPr>
        <w:spacing w:after="0" w:line="240" w:lineRule="auto"/>
        <w:rPr>
          <w:rFonts w:ascii="Times New Roman" w:hAnsi="Times New Roman" w:cs="Times New Roman"/>
        </w:rPr>
      </w:pPr>
    </w:p>
    <w:p w14:paraId="4070F972" w14:textId="7244CDBF"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Sarma Bora, M., Devi, U., Bharadwaj, N., Sharma, P., Kalita, S., Baruah, S., Das, A.K. and Sarma, K.P., 2023. Pollution and health risk assessment of toxic metals in solid waste dumping site soil and its impact on groundwater: a case study. </w:t>
      </w:r>
      <w:r w:rsidRPr="00BC510B">
        <w:rPr>
          <w:rFonts w:ascii="Times New Roman" w:hAnsi="Times New Roman" w:cs="Times New Roman"/>
          <w:i/>
          <w:iCs/>
        </w:rPr>
        <w:t>International Journal of Environmental Analytical Chemistry</w:t>
      </w:r>
      <w:r w:rsidRPr="00BC510B">
        <w:rPr>
          <w:rFonts w:ascii="Times New Roman" w:hAnsi="Times New Roman" w:cs="Times New Roman"/>
        </w:rPr>
        <w:t>, </w:t>
      </w:r>
      <w:r w:rsidRPr="00BC510B">
        <w:rPr>
          <w:rFonts w:ascii="Times New Roman" w:hAnsi="Times New Roman" w:cs="Times New Roman"/>
          <w:i/>
          <w:iCs/>
        </w:rPr>
        <w:t>103</w:t>
      </w:r>
      <w:r w:rsidRPr="00BC510B">
        <w:rPr>
          <w:rFonts w:ascii="Times New Roman" w:hAnsi="Times New Roman" w:cs="Times New Roman"/>
        </w:rPr>
        <w:t>(3), pp.612-632.</w:t>
      </w:r>
      <w:r w:rsidR="001C7FAA">
        <w:rPr>
          <w:rFonts w:ascii="Times New Roman" w:hAnsi="Times New Roman" w:cs="Times New Roman"/>
        </w:rPr>
        <w:t xml:space="preserve"> </w:t>
      </w:r>
      <w:hyperlink r:id="rId57" w:history="1">
        <w:r w:rsidR="001C7FAA" w:rsidRPr="00F530B5">
          <w:rPr>
            <w:rStyle w:val="Hyperlink"/>
            <w:rFonts w:ascii="Times New Roman" w:hAnsi="Times New Roman" w:cs="Times New Roman"/>
          </w:rPr>
          <w:t>https://doi.org/10.1080/03067319.2020.1862813</w:t>
        </w:r>
      </w:hyperlink>
      <w:r w:rsidR="001C7FAA">
        <w:rPr>
          <w:rFonts w:ascii="Times New Roman" w:hAnsi="Times New Roman" w:cs="Times New Roman"/>
        </w:rPr>
        <w:t xml:space="preserve"> </w:t>
      </w:r>
    </w:p>
    <w:p w14:paraId="625E6787" w14:textId="77777777" w:rsidR="001C7FAA" w:rsidRPr="00BC510B" w:rsidRDefault="001C7FAA" w:rsidP="003D074D">
      <w:pPr>
        <w:spacing w:after="0" w:line="240" w:lineRule="auto"/>
        <w:rPr>
          <w:rFonts w:ascii="Times New Roman" w:hAnsi="Times New Roman" w:cs="Times New Roman"/>
        </w:rPr>
      </w:pPr>
    </w:p>
    <w:p w14:paraId="491E697F" w14:textId="717AABA6"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Sharma, A., Gupta, A.K. and Ganguly, R., 2018. Impact of open dumping of municipal solid waste on soil properties in mountainous region. </w:t>
      </w:r>
      <w:r w:rsidRPr="00BC510B">
        <w:rPr>
          <w:rFonts w:ascii="Times New Roman" w:hAnsi="Times New Roman" w:cs="Times New Roman"/>
          <w:i/>
          <w:iCs/>
        </w:rPr>
        <w:t>Journal of Rock Mechanics and Geotechnical Engineering</w:t>
      </w:r>
      <w:r w:rsidRPr="00BC510B">
        <w:rPr>
          <w:rFonts w:ascii="Times New Roman" w:hAnsi="Times New Roman" w:cs="Times New Roman"/>
        </w:rPr>
        <w:t>, </w:t>
      </w:r>
      <w:r w:rsidRPr="00BC510B">
        <w:rPr>
          <w:rFonts w:ascii="Times New Roman" w:hAnsi="Times New Roman" w:cs="Times New Roman"/>
          <w:i/>
          <w:iCs/>
        </w:rPr>
        <w:t>10</w:t>
      </w:r>
      <w:r w:rsidRPr="00BC510B">
        <w:rPr>
          <w:rFonts w:ascii="Times New Roman" w:hAnsi="Times New Roman" w:cs="Times New Roman"/>
        </w:rPr>
        <w:t>(4), pp.725-739.</w:t>
      </w:r>
      <w:r w:rsidR="001C7FAA">
        <w:rPr>
          <w:rFonts w:ascii="Times New Roman" w:hAnsi="Times New Roman" w:cs="Times New Roman"/>
        </w:rPr>
        <w:t xml:space="preserve"> </w:t>
      </w:r>
      <w:hyperlink r:id="rId58" w:history="1">
        <w:r w:rsidR="001C7FAA" w:rsidRPr="00F530B5">
          <w:rPr>
            <w:rStyle w:val="Hyperlink"/>
            <w:rFonts w:ascii="Times New Roman" w:hAnsi="Times New Roman" w:cs="Times New Roman"/>
          </w:rPr>
          <w:t>https://doi.org/10.1016/j.jrmge.2017.12.009</w:t>
        </w:r>
      </w:hyperlink>
      <w:r w:rsidR="001C7FAA">
        <w:rPr>
          <w:rFonts w:ascii="Times New Roman" w:hAnsi="Times New Roman" w:cs="Times New Roman"/>
        </w:rPr>
        <w:t xml:space="preserve"> </w:t>
      </w:r>
    </w:p>
    <w:p w14:paraId="512482A3" w14:textId="77777777" w:rsidR="00BC510B" w:rsidRPr="00BC510B" w:rsidRDefault="00BC510B" w:rsidP="003D074D">
      <w:pPr>
        <w:spacing w:after="0" w:line="240" w:lineRule="auto"/>
        <w:rPr>
          <w:rFonts w:ascii="Times New Roman" w:hAnsi="Times New Roman" w:cs="Times New Roman"/>
        </w:rPr>
      </w:pPr>
    </w:p>
    <w:p w14:paraId="234A15C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Sharma, K. D., &amp; Jain, S. 2020. Municipal solid waste generation, composition, and management: The global scenario. </w:t>
      </w:r>
      <w:r w:rsidRPr="00BC510B">
        <w:rPr>
          <w:rFonts w:ascii="Times New Roman" w:hAnsi="Times New Roman" w:cs="Times New Roman"/>
          <w:i/>
          <w:iCs/>
        </w:rPr>
        <w:t>Social Responsibility Journal, 16</w:t>
      </w:r>
      <w:r w:rsidRPr="00BC510B">
        <w:rPr>
          <w:rFonts w:ascii="Times New Roman" w:hAnsi="Times New Roman" w:cs="Times New Roman"/>
        </w:rPr>
        <w:t xml:space="preserve">(6), 917–948.  </w:t>
      </w:r>
      <w:hyperlink r:id="rId59" w:history="1">
        <w:r w:rsidRPr="00BC510B">
          <w:rPr>
            <w:rStyle w:val="Hyperlink"/>
            <w:rFonts w:ascii="Times New Roman" w:hAnsi="Times New Roman" w:cs="Times New Roman"/>
          </w:rPr>
          <w:t>https://doi.org/10.1108/srj-06-2019-0210</w:t>
        </w:r>
      </w:hyperlink>
    </w:p>
    <w:p w14:paraId="2EC21A3C" w14:textId="5AD11CC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 </w:t>
      </w:r>
    </w:p>
    <w:p w14:paraId="67753541" w14:textId="4AA494D3"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Soubra, G., Massoud, M.A., Alameddine, I., Al Hindi, M. and </w:t>
      </w:r>
      <w:proofErr w:type="spellStart"/>
      <w:r w:rsidRPr="00BC510B">
        <w:rPr>
          <w:rFonts w:ascii="Times New Roman" w:hAnsi="Times New Roman" w:cs="Times New Roman"/>
        </w:rPr>
        <w:t>Sukhn</w:t>
      </w:r>
      <w:proofErr w:type="spellEnd"/>
      <w:r w:rsidRPr="00BC510B">
        <w:rPr>
          <w:rFonts w:ascii="Times New Roman" w:hAnsi="Times New Roman" w:cs="Times New Roman"/>
        </w:rPr>
        <w:t>, C., 2021. Assessing the environmental risk and pollution status of soil and water resources in the vicinity of municipal solid waste dumpsites. </w:t>
      </w:r>
      <w:r w:rsidRPr="00BC510B">
        <w:rPr>
          <w:rFonts w:ascii="Times New Roman" w:hAnsi="Times New Roman" w:cs="Times New Roman"/>
          <w:i/>
          <w:iCs/>
        </w:rPr>
        <w:t>Environmental Monitoring and Assessment</w:t>
      </w:r>
      <w:r w:rsidRPr="00BC510B">
        <w:rPr>
          <w:rFonts w:ascii="Times New Roman" w:hAnsi="Times New Roman" w:cs="Times New Roman"/>
        </w:rPr>
        <w:t>, </w:t>
      </w:r>
      <w:r w:rsidRPr="00BC510B">
        <w:rPr>
          <w:rFonts w:ascii="Times New Roman" w:hAnsi="Times New Roman" w:cs="Times New Roman"/>
          <w:i/>
          <w:iCs/>
        </w:rPr>
        <w:t>193</w:t>
      </w:r>
      <w:r w:rsidRPr="00BC510B">
        <w:rPr>
          <w:rFonts w:ascii="Times New Roman" w:hAnsi="Times New Roman" w:cs="Times New Roman"/>
        </w:rPr>
        <w:t>(12), p.857.</w:t>
      </w:r>
      <w:r w:rsidR="001C7FAA">
        <w:rPr>
          <w:rFonts w:ascii="Times New Roman" w:hAnsi="Times New Roman" w:cs="Times New Roman"/>
        </w:rPr>
        <w:t xml:space="preserve"> </w:t>
      </w:r>
      <w:hyperlink r:id="rId60" w:history="1">
        <w:r w:rsidR="001C7FAA" w:rsidRPr="00F530B5">
          <w:rPr>
            <w:rStyle w:val="Hyperlink"/>
            <w:rFonts w:ascii="Times New Roman" w:hAnsi="Times New Roman" w:cs="Times New Roman"/>
          </w:rPr>
          <w:t>https://doi.org/10.1007/s10661-021-09640-8</w:t>
        </w:r>
      </w:hyperlink>
      <w:r w:rsidR="001C7FAA">
        <w:rPr>
          <w:rFonts w:ascii="Times New Roman" w:hAnsi="Times New Roman" w:cs="Times New Roman"/>
        </w:rPr>
        <w:t xml:space="preserve"> </w:t>
      </w:r>
    </w:p>
    <w:p w14:paraId="045B9211" w14:textId="77777777" w:rsidR="001C7FAA" w:rsidRPr="00BC510B" w:rsidRDefault="001C7FAA" w:rsidP="003D074D">
      <w:pPr>
        <w:spacing w:after="0" w:line="240" w:lineRule="auto"/>
        <w:rPr>
          <w:rFonts w:ascii="Times New Roman" w:hAnsi="Times New Roman" w:cs="Times New Roman"/>
        </w:rPr>
      </w:pPr>
    </w:p>
    <w:p w14:paraId="1688E711" w14:textId="77777777" w:rsidR="00BC510B" w:rsidRPr="00BC510B" w:rsidRDefault="00BC510B" w:rsidP="003D074D">
      <w:pPr>
        <w:pStyle w:val="Default"/>
        <w:ind w:right="-15"/>
        <w:jc w:val="both"/>
        <w:rPr>
          <w:rFonts w:ascii="Times New Roman" w:hAnsi="Times New Roman" w:cs="Times New Roman"/>
          <w:color w:val="auto"/>
        </w:rPr>
      </w:pPr>
      <w:proofErr w:type="spellStart"/>
      <w:r w:rsidRPr="00BC510B">
        <w:rPr>
          <w:rFonts w:ascii="Times New Roman" w:hAnsi="Times New Roman" w:cs="Times New Roman"/>
          <w:color w:val="auto"/>
        </w:rPr>
        <w:t>Száková</w:t>
      </w:r>
      <w:proofErr w:type="spellEnd"/>
      <w:r w:rsidRPr="00BC510B">
        <w:rPr>
          <w:rFonts w:ascii="Times New Roman" w:hAnsi="Times New Roman" w:cs="Times New Roman"/>
          <w:color w:val="auto"/>
        </w:rPr>
        <w:t xml:space="preserve">, J., </w:t>
      </w:r>
      <w:proofErr w:type="spellStart"/>
      <w:r w:rsidRPr="00BC510B">
        <w:rPr>
          <w:rFonts w:ascii="Times New Roman" w:hAnsi="Times New Roman" w:cs="Times New Roman"/>
          <w:color w:val="auto"/>
        </w:rPr>
        <w:t>Tlustos</w:t>
      </w:r>
      <w:proofErr w:type="spellEnd"/>
      <w:r w:rsidRPr="00BC510B">
        <w:rPr>
          <w:rFonts w:ascii="Times New Roman" w:hAnsi="Times New Roman" w:cs="Times New Roman"/>
          <w:color w:val="auto"/>
        </w:rPr>
        <w:t xml:space="preserve">, P., </w:t>
      </w:r>
      <w:proofErr w:type="spellStart"/>
      <w:r w:rsidRPr="00BC510B">
        <w:rPr>
          <w:rFonts w:ascii="Times New Roman" w:hAnsi="Times New Roman" w:cs="Times New Roman"/>
          <w:color w:val="auto"/>
        </w:rPr>
        <w:t>Balík</w:t>
      </w:r>
      <w:proofErr w:type="spellEnd"/>
      <w:r w:rsidRPr="00BC510B">
        <w:rPr>
          <w:rFonts w:ascii="Times New Roman" w:hAnsi="Times New Roman" w:cs="Times New Roman"/>
          <w:color w:val="auto"/>
        </w:rPr>
        <w:t xml:space="preserve">, P., Pavlíková, D. and </w:t>
      </w:r>
      <w:proofErr w:type="spellStart"/>
      <w:r w:rsidRPr="00BC510B">
        <w:rPr>
          <w:rFonts w:ascii="Times New Roman" w:hAnsi="Times New Roman" w:cs="Times New Roman"/>
          <w:color w:val="auto"/>
        </w:rPr>
        <w:t>Balíková</w:t>
      </w:r>
      <w:proofErr w:type="spellEnd"/>
      <w:r w:rsidRPr="00BC510B">
        <w:rPr>
          <w:rFonts w:ascii="Times New Roman" w:hAnsi="Times New Roman" w:cs="Times New Roman"/>
          <w:color w:val="auto"/>
        </w:rPr>
        <w:t xml:space="preserve">, M. (2000).  </w:t>
      </w:r>
      <w:proofErr w:type="spellStart"/>
      <w:r w:rsidRPr="00BC510B">
        <w:rPr>
          <w:rFonts w:ascii="Times New Roman" w:hAnsi="Times New Roman" w:cs="Times New Roman"/>
          <w:i/>
          <w:iCs/>
          <w:color w:val="auto"/>
        </w:rPr>
        <w:t>Analusis</w:t>
      </w:r>
      <w:proofErr w:type="spellEnd"/>
      <w:r w:rsidRPr="00BC510B">
        <w:rPr>
          <w:rFonts w:ascii="Times New Roman" w:hAnsi="Times New Roman" w:cs="Times New Roman"/>
          <w:color w:val="auto"/>
        </w:rPr>
        <w:t xml:space="preserve">, </w:t>
      </w:r>
      <w:r w:rsidRPr="00BC510B">
        <w:rPr>
          <w:rFonts w:ascii="Times New Roman" w:hAnsi="Times New Roman" w:cs="Times New Roman"/>
          <w:i/>
          <w:iCs/>
          <w:color w:val="auto"/>
        </w:rPr>
        <w:t>28</w:t>
      </w:r>
      <w:r w:rsidRPr="00BC510B">
        <w:rPr>
          <w:rFonts w:ascii="Times New Roman" w:hAnsi="Times New Roman" w:cs="Times New Roman"/>
          <w:color w:val="auto"/>
        </w:rPr>
        <w:t>: 808-812.</w:t>
      </w:r>
    </w:p>
    <w:p w14:paraId="00E1DEE4" w14:textId="77777777" w:rsidR="00BC510B" w:rsidRPr="00BC510B" w:rsidRDefault="00BC510B" w:rsidP="003D074D">
      <w:pPr>
        <w:pStyle w:val="Default"/>
        <w:ind w:right="-15"/>
        <w:jc w:val="both"/>
        <w:rPr>
          <w:rFonts w:ascii="Times New Roman" w:hAnsi="Times New Roman" w:cs="Times New Roman"/>
          <w:color w:val="auto"/>
        </w:rPr>
      </w:pPr>
    </w:p>
    <w:p w14:paraId="1D15329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 U., </w:t>
      </w:r>
      <w:proofErr w:type="spellStart"/>
      <w:r w:rsidRPr="00BC510B">
        <w:rPr>
          <w:rFonts w:ascii="Times New Roman" w:hAnsi="Times New Roman" w:cs="Times New Roman"/>
        </w:rPr>
        <w:t>Ibia</w:t>
      </w:r>
      <w:proofErr w:type="spellEnd"/>
      <w:r w:rsidRPr="00BC510B">
        <w:rPr>
          <w:rFonts w:ascii="Times New Roman" w:hAnsi="Times New Roman" w:cs="Times New Roman"/>
        </w:rPr>
        <w:t xml:space="preserve">, T. O., &amp; Akpan, U. S., 2025a. Analysis and characteristics of soils underlying open dumpsites in Akwa Ibom State, Nigeria: Their agricultural and environmental implications. Asian Soil Research Journal, 9(3), 90–106. </w:t>
      </w:r>
      <w:hyperlink r:id="rId61" w:history="1">
        <w:r w:rsidRPr="00BC510B">
          <w:rPr>
            <w:rStyle w:val="Hyperlink"/>
            <w:rFonts w:ascii="Times New Roman" w:hAnsi="Times New Roman" w:cs="Times New Roman"/>
          </w:rPr>
          <w:t>https://doi.org/10.9734/asrj/2025/v9i3193</w:t>
        </w:r>
      </w:hyperlink>
      <w:r w:rsidRPr="00BC510B">
        <w:rPr>
          <w:rFonts w:ascii="Times New Roman" w:hAnsi="Times New Roman" w:cs="Times New Roman"/>
        </w:rPr>
        <w:t xml:space="preserve"> </w:t>
      </w:r>
    </w:p>
    <w:p w14:paraId="251F4FA8" w14:textId="77777777" w:rsidR="00BC510B" w:rsidRPr="00BC510B" w:rsidRDefault="00BC510B" w:rsidP="003D074D">
      <w:pPr>
        <w:spacing w:after="0" w:line="240" w:lineRule="auto"/>
        <w:rPr>
          <w:rFonts w:ascii="Times New Roman" w:hAnsi="Times New Roman" w:cs="Times New Roman"/>
        </w:rPr>
      </w:pPr>
    </w:p>
    <w:p w14:paraId="5142CCA1"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 U., </w:t>
      </w:r>
      <w:proofErr w:type="spellStart"/>
      <w:r w:rsidRPr="00BC510B">
        <w:rPr>
          <w:rFonts w:ascii="Times New Roman" w:hAnsi="Times New Roman" w:cs="Times New Roman"/>
        </w:rPr>
        <w:t>Ibia</w:t>
      </w:r>
      <w:proofErr w:type="spellEnd"/>
      <w:r w:rsidRPr="00BC510B">
        <w:rPr>
          <w:rFonts w:ascii="Times New Roman" w:hAnsi="Times New Roman" w:cs="Times New Roman"/>
        </w:rPr>
        <w:t xml:space="preserve">, T. O., &amp; Udoh, B. T. 2009a. Evaluation of inland depression and floodplain (wetland) soils for rice and maize cultivation in a humid tropical climate of South-eastern Nigeria. </w:t>
      </w:r>
      <w:r w:rsidRPr="00BC510B">
        <w:rPr>
          <w:rFonts w:ascii="Times New Roman" w:hAnsi="Times New Roman" w:cs="Times New Roman"/>
          <w:i/>
          <w:iCs/>
        </w:rPr>
        <w:t>International Journal of Agriculture, 1</w:t>
      </w:r>
      <w:r w:rsidRPr="00BC510B">
        <w:rPr>
          <w:rFonts w:ascii="Times New Roman" w:hAnsi="Times New Roman" w:cs="Times New Roman"/>
        </w:rPr>
        <w:t xml:space="preserve">(2), 13–22. </w:t>
      </w:r>
    </w:p>
    <w:p w14:paraId="6C8B2FD4" w14:textId="77777777" w:rsidR="00BC510B" w:rsidRPr="00BC510B" w:rsidRDefault="00BC510B" w:rsidP="003D074D">
      <w:pPr>
        <w:spacing w:after="0" w:line="240" w:lineRule="auto"/>
        <w:rPr>
          <w:rFonts w:ascii="Times New Roman" w:hAnsi="Times New Roman" w:cs="Times New Roman"/>
        </w:rPr>
      </w:pPr>
    </w:p>
    <w:p w14:paraId="0AB12D6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lastRenderedPageBreak/>
        <w:t xml:space="preserve">Udo, B. U., Utip, K. E., Inyang, M. T., &amp; </w:t>
      </w:r>
      <w:proofErr w:type="spellStart"/>
      <w:r w:rsidRPr="00BC510B">
        <w:rPr>
          <w:rFonts w:ascii="Times New Roman" w:hAnsi="Times New Roman" w:cs="Times New Roman"/>
        </w:rPr>
        <w:t>Idungafa</w:t>
      </w:r>
      <w:proofErr w:type="spellEnd"/>
      <w:r w:rsidRPr="00BC510B">
        <w:rPr>
          <w:rFonts w:ascii="Times New Roman" w:hAnsi="Times New Roman" w:cs="Times New Roman"/>
        </w:rPr>
        <w:t xml:space="preserve">, M. A. 2009b. Fertility assessment of some inland depression and floodplain (wetland) soils in Akwa Ibom State. </w:t>
      </w:r>
      <w:r w:rsidRPr="00BC510B">
        <w:rPr>
          <w:rFonts w:ascii="Times New Roman" w:hAnsi="Times New Roman" w:cs="Times New Roman"/>
          <w:i/>
          <w:iCs/>
        </w:rPr>
        <w:t>Agro-Science, 8</w:t>
      </w:r>
      <w:r w:rsidRPr="00BC510B">
        <w:rPr>
          <w:rFonts w:ascii="Times New Roman" w:hAnsi="Times New Roman" w:cs="Times New Roman"/>
        </w:rPr>
        <w:t xml:space="preserve">(1), 14–19. </w:t>
      </w:r>
      <w:hyperlink r:id="rId62" w:history="1">
        <w:r w:rsidRPr="00BC510B">
          <w:rPr>
            <w:rStyle w:val="Hyperlink"/>
            <w:rFonts w:ascii="Times New Roman" w:hAnsi="Times New Roman" w:cs="Times New Roman"/>
          </w:rPr>
          <w:t>https://doi.org/10.4314/as.v8i1.44108</w:t>
        </w:r>
      </w:hyperlink>
    </w:p>
    <w:p w14:paraId="108C3732" w14:textId="77777777" w:rsidR="00BC510B" w:rsidRPr="00BC510B" w:rsidRDefault="00BC510B" w:rsidP="003D074D">
      <w:pPr>
        <w:spacing w:after="0" w:line="240" w:lineRule="auto"/>
        <w:rPr>
          <w:rFonts w:ascii="Times New Roman" w:hAnsi="Times New Roman" w:cs="Times New Roman"/>
        </w:rPr>
      </w:pPr>
    </w:p>
    <w:p w14:paraId="4A27BE5B"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B.U., </w:t>
      </w:r>
      <w:proofErr w:type="spellStart"/>
      <w:r w:rsidRPr="00BC510B">
        <w:rPr>
          <w:rFonts w:ascii="Times New Roman" w:hAnsi="Times New Roman" w:cs="Times New Roman"/>
        </w:rPr>
        <w:t>Ibia</w:t>
      </w:r>
      <w:proofErr w:type="spellEnd"/>
      <w:r w:rsidRPr="00BC510B">
        <w:rPr>
          <w:rFonts w:ascii="Times New Roman" w:hAnsi="Times New Roman" w:cs="Times New Roman"/>
        </w:rPr>
        <w:t xml:space="preserve">, T.O., Akpan, U.S., and </w:t>
      </w:r>
      <w:proofErr w:type="spellStart"/>
      <w:r w:rsidRPr="00BC510B">
        <w:rPr>
          <w:rFonts w:ascii="Times New Roman" w:hAnsi="Times New Roman" w:cs="Times New Roman"/>
        </w:rPr>
        <w:t>Udosen</w:t>
      </w:r>
      <w:proofErr w:type="spellEnd"/>
      <w:r w:rsidRPr="00BC510B">
        <w:rPr>
          <w:rFonts w:ascii="Times New Roman" w:hAnsi="Times New Roman" w:cs="Times New Roman"/>
        </w:rPr>
        <w:t xml:space="preserve">, N I. 2025b. Waste fingerprints in soils: a study of the influence of wastes on the concentrations of selected heavy metals in soils underlying open dumpsites. Asian Soil Research Journal 9 (3):200-217. </w:t>
      </w:r>
      <w:hyperlink r:id="rId63" w:history="1">
        <w:r w:rsidRPr="00BC510B">
          <w:rPr>
            <w:rStyle w:val="Hyperlink"/>
            <w:rFonts w:ascii="Times New Roman" w:hAnsi="Times New Roman" w:cs="Times New Roman"/>
          </w:rPr>
          <w:t>https://doi.org/10.9734/asrj/2025/v9i3201</w:t>
        </w:r>
      </w:hyperlink>
      <w:r w:rsidRPr="00BC510B">
        <w:rPr>
          <w:rFonts w:ascii="Times New Roman" w:hAnsi="Times New Roman" w:cs="Times New Roman"/>
        </w:rPr>
        <w:t xml:space="preserve">  </w:t>
      </w:r>
    </w:p>
    <w:p w14:paraId="34B6FBCE" w14:textId="77777777" w:rsidR="00BC510B" w:rsidRPr="00BC510B" w:rsidRDefault="00BC510B" w:rsidP="003D074D">
      <w:pPr>
        <w:spacing w:after="0" w:line="240" w:lineRule="auto"/>
        <w:rPr>
          <w:rFonts w:ascii="Times New Roman" w:hAnsi="Times New Roman" w:cs="Times New Roman"/>
        </w:rPr>
      </w:pPr>
    </w:p>
    <w:p w14:paraId="71BE7F26"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Udoh, B. T., &amp; </w:t>
      </w:r>
      <w:proofErr w:type="spellStart"/>
      <w:r w:rsidRPr="00BC510B">
        <w:rPr>
          <w:rFonts w:ascii="Times New Roman" w:hAnsi="Times New Roman" w:cs="Times New Roman"/>
        </w:rPr>
        <w:t>Ibia</w:t>
      </w:r>
      <w:proofErr w:type="spellEnd"/>
      <w:r w:rsidRPr="00BC510B">
        <w:rPr>
          <w:rFonts w:ascii="Times New Roman" w:hAnsi="Times New Roman" w:cs="Times New Roman"/>
        </w:rPr>
        <w:t xml:space="preserve">, T. O. (2022). Fertility capability classification for agricultural land use planning in the beach sand area of Akwa Ibom State, Nigeria. </w:t>
      </w:r>
      <w:r w:rsidRPr="00BC510B">
        <w:rPr>
          <w:rFonts w:ascii="Times New Roman" w:hAnsi="Times New Roman" w:cs="Times New Roman"/>
          <w:i/>
          <w:iCs/>
        </w:rPr>
        <w:t>Agro-Science, 21</w:t>
      </w:r>
      <w:r w:rsidRPr="00BC510B">
        <w:rPr>
          <w:rFonts w:ascii="Times New Roman" w:hAnsi="Times New Roman" w:cs="Times New Roman"/>
        </w:rPr>
        <w:t xml:space="preserve">(2), 74–78. </w:t>
      </w:r>
      <w:hyperlink r:id="rId64" w:history="1">
        <w:r w:rsidRPr="00BC510B">
          <w:rPr>
            <w:rStyle w:val="Hyperlink"/>
            <w:rFonts w:ascii="Times New Roman" w:hAnsi="Times New Roman" w:cs="Times New Roman"/>
          </w:rPr>
          <w:t>https://doi.org/10.4314/as.v21i2.8</w:t>
        </w:r>
      </w:hyperlink>
      <w:r w:rsidRPr="00BC510B">
        <w:rPr>
          <w:rFonts w:ascii="Times New Roman" w:hAnsi="Times New Roman" w:cs="Times New Roman"/>
        </w:rPr>
        <w:t xml:space="preserve"> </w:t>
      </w:r>
    </w:p>
    <w:p w14:paraId="4697CA68" w14:textId="77777777" w:rsidR="001C7FAA" w:rsidRPr="00BC510B" w:rsidRDefault="001C7FAA" w:rsidP="003D074D">
      <w:pPr>
        <w:spacing w:after="0" w:line="240" w:lineRule="auto"/>
        <w:rPr>
          <w:rFonts w:ascii="Times New Roman" w:hAnsi="Times New Roman" w:cs="Times New Roman"/>
        </w:rPr>
      </w:pPr>
    </w:p>
    <w:p w14:paraId="3420C9B2" w14:textId="254619DB" w:rsidR="00BC510B" w:rsidRP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Winegardner, D. L. (2019). An Introduction of Soils for Environmental Professionals. CRC Press. </w:t>
      </w:r>
      <w:hyperlink r:id="rId65" w:history="1">
        <w:r w:rsidR="001C7FAA" w:rsidRPr="00F530B5">
          <w:rPr>
            <w:rStyle w:val="Hyperlink"/>
            <w:rFonts w:ascii="Times New Roman" w:hAnsi="Times New Roman" w:cs="Times New Roman"/>
            <w:bCs/>
          </w:rPr>
          <w:t>https://doi.org/10.1201/9781315137322</w:t>
        </w:r>
      </w:hyperlink>
      <w:r w:rsidR="001C7FAA">
        <w:rPr>
          <w:rFonts w:ascii="Times New Roman" w:hAnsi="Times New Roman" w:cs="Times New Roman"/>
          <w:bCs/>
        </w:rPr>
        <w:t xml:space="preserve"> </w:t>
      </w:r>
    </w:p>
    <w:p w14:paraId="34597B61" w14:textId="77777777" w:rsidR="00BC510B" w:rsidRDefault="00BC510B" w:rsidP="003D074D">
      <w:pPr>
        <w:spacing w:after="0" w:line="240" w:lineRule="auto"/>
        <w:rPr>
          <w:rFonts w:ascii="Times New Roman" w:hAnsi="Times New Roman" w:cs="Times New Roman"/>
        </w:rPr>
      </w:pPr>
    </w:p>
    <w:p w14:paraId="68E672ED" w14:textId="22DCE80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World Health Organization (WHO). 2011. </w:t>
      </w:r>
      <w:r w:rsidRPr="00BC510B">
        <w:rPr>
          <w:rFonts w:ascii="Times New Roman" w:hAnsi="Times New Roman" w:cs="Times New Roman"/>
          <w:i/>
          <w:iCs/>
        </w:rPr>
        <w:t xml:space="preserve">Children's health and the environment: WHO training package for the health sector </w:t>
      </w:r>
      <w:r w:rsidRPr="00BC510B">
        <w:rPr>
          <w:rFonts w:ascii="Times New Roman" w:hAnsi="Times New Roman" w:cs="Times New Roman"/>
        </w:rPr>
        <w:t xml:space="preserve">(WHO/HSE/PHE/EPE/11.01.07). </w:t>
      </w:r>
      <w:hyperlink r:id="rId66" w:history="1">
        <w:r w:rsidR="001C7FAA" w:rsidRPr="00F530B5">
          <w:rPr>
            <w:rStyle w:val="Hyperlink"/>
            <w:rFonts w:ascii="Times New Roman" w:hAnsi="Times New Roman" w:cs="Times New Roman"/>
          </w:rPr>
          <w:t>www.who.int/ceh</w:t>
        </w:r>
      </w:hyperlink>
      <w:r w:rsidR="001C7FAA">
        <w:rPr>
          <w:rFonts w:ascii="Times New Roman" w:hAnsi="Times New Roman" w:cs="Times New Roman"/>
        </w:rPr>
        <w:t xml:space="preserve"> </w:t>
      </w:r>
      <w:r w:rsidRPr="00BC510B">
        <w:rPr>
          <w:rFonts w:ascii="Times New Roman" w:hAnsi="Times New Roman" w:cs="Times New Roman"/>
        </w:rPr>
        <w:t xml:space="preserve"> (Retrieved on 08/01/2026).</w:t>
      </w:r>
    </w:p>
    <w:p w14:paraId="23CC8AD0" w14:textId="77777777" w:rsidR="00BC510B" w:rsidRPr="00BC510B" w:rsidRDefault="00BC510B" w:rsidP="003D074D">
      <w:pPr>
        <w:spacing w:after="0" w:line="240" w:lineRule="auto"/>
        <w:rPr>
          <w:rFonts w:ascii="Times New Roman" w:hAnsi="Times New Roman" w:cs="Times New Roman"/>
        </w:rPr>
      </w:pPr>
    </w:p>
    <w:p w14:paraId="6BD3CFF4" w14:textId="77777777" w:rsidR="00BC510B" w:rsidRPr="00BC510B" w:rsidRDefault="00BC510B" w:rsidP="003D074D">
      <w:pPr>
        <w:spacing w:after="0" w:line="240" w:lineRule="auto"/>
        <w:rPr>
          <w:rFonts w:ascii="Times New Roman" w:hAnsi="Times New Roman" w:cs="Times New Roman"/>
        </w:rPr>
      </w:pPr>
      <w:proofErr w:type="spellStart"/>
      <w:r w:rsidRPr="00BC510B">
        <w:rPr>
          <w:rFonts w:ascii="Times New Roman" w:hAnsi="Times New Roman" w:cs="Times New Roman"/>
        </w:rPr>
        <w:t>Wuana</w:t>
      </w:r>
      <w:proofErr w:type="spellEnd"/>
      <w:r w:rsidRPr="00BC510B">
        <w:rPr>
          <w:rFonts w:ascii="Times New Roman" w:hAnsi="Times New Roman" w:cs="Times New Roman"/>
        </w:rPr>
        <w:t xml:space="preserve">, R. A., &amp; </w:t>
      </w:r>
      <w:proofErr w:type="spellStart"/>
      <w:r w:rsidRPr="00BC510B">
        <w:rPr>
          <w:rFonts w:ascii="Times New Roman" w:hAnsi="Times New Roman" w:cs="Times New Roman"/>
        </w:rPr>
        <w:t>Okiemen</w:t>
      </w:r>
      <w:proofErr w:type="spellEnd"/>
      <w:r w:rsidRPr="00BC510B">
        <w:rPr>
          <w:rFonts w:ascii="Times New Roman" w:hAnsi="Times New Roman" w:cs="Times New Roman"/>
        </w:rPr>
        <w:t xml:space="preserve">, F. E. 2011. Heavy metals in contaminated soils: A review of sources, chemistry, risks and best available strategies for remediation. </w:t>
      </w:r>
      <w:r w:rsidRPr="00BC510B">
        <w:rPr>
          <w:rFonts w:ascii="Times New Roman" w:hAnsi="Times New Roman" w:cs="Times New Roman"/>
          <w:i/>
          <w:iCs/>
        </w:rPr>
        <w:t>Ecology, 2011</w:t>
      </w:r>
      <w:r w:rsidRPr="00BC510B">
        <w:rPr>
          <w:rFonts w:ascii="Times New Roman" w:hAnsi="Times New Roman" w:cs="Times New Roman"/>
        </w:rPr>
        <w:t xml:space="preserve">, Article ID 402647, 1– 20. </w:t>
      </w:r>
      <w:hyperlink r:id="rId67" w:history="1">
        <w:r w:rsidRPr="00BC510B">
          <w:rPr>
            <w:rStyle w:val="Hyperlink"/>
            <w:rFonts w:ascii="Times New Roman" w:hAnsi="Times New Roman" w:cs="Times New Roman"/>
          </w:rPr>
          <w:t>https://doi.org/10.5402/2011/402647</w:t>
        </w:r>
      </w:hyperlink>
      <w:r w:rsidRPr="00BC510B">
        <w:rPr>
          <w:rFonts w:ascii="Times New Roman" w:hAnsi="Times New Roman" w:cs="Times New Roman"/>
        </w:rPr>
        <w:t xml:space="preserve"> </w:t>
      </w:r>
    </w:p>
    <w:p w14:paraId="3FED054C" w14:textId="77777777" w:rsidR="00BC510B" w:rsidRPr="00BC510B" w:rsidRDefault="00BC510B" w:rsidP="003D074D">
      <w:pPr>
        <w:spacing w:after="0" w:line="240" w:lineRule="auto"/>
        <w:rPr>
          <w:rFonts w:ascii="Times New Roman" w:hAnsi="Times New Roman" w:cs="Times New Roman"/>
        </w:rPr>
      </w:pPr>
    </w:p>
    <w:p w14:paraId="37DDA606"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Zhao, X., Jiang, G., Wu, L., &amp; Wang, L. 2016. Economic analysis of waste-to-energy industry in China. </w:t>
      </w:r>
      <w:r w:rsidRPr="00BC510B">
        <w:rPr>
          <w:rFonts w:ascii="Times New Roman" w:hAnsi="Times New Roman" w:cs="Times New Roman"/>
          <w:i/>
          <w:iCs/>
        </w:rPr>
        <w:t>Waste Management, 48</w:t>
      </w:r>
      <w:r w:rsidRPr="00BC510B">
        <w:rPr>
          <w:rFonts w:ascii="Times New Roman" w:hAnsi="Times New Roman" w:cs="Times New Roman"/>
        </w:rPr>
        <w:t xml:space="preserve">, 604–618. </w:t>
      </w:r>
      <w:hyperlink r:id="rId68" w:history="1">
        <w:r w:rsidRPr="00BC510B">
          <w:rPr>
            <w:rStyle w:val="Hyperlink"/>
            <w:rFonts w:ascii="Times New Roman" w:hAnsi="Times New Roman" w:cs="Times New Roman"/>
          </w:rPr>
          <w:t>https://doi.org/10.1016/j.wasman.2015.10.014</w:t>
        </w:r>
      </w:hyperlink>
      <w:r w:rsidRPr="00BC510B">
        <w:rPr>
          <w:rFonts w:ascii="Times New Roman" w:hAnsi="Times New Roman" w:cs="Times New Roman"/>
        </w:rPr>
        <w:t xml:space="preserve"> </w:t>
      </w:r>
    </w:p>
    <w:p w14:paraId="41315E32" w14:textId="77777777" w:rsidR="004304ED" w:rsidRPr="00BC510B" w:rsidRDefault="004304ED" w:rsidP="001238B4">
      <w:pPr>
        <w:spacing w:before="240" w:after="0" w:line="240" w:lineRule="auto"/>
        <w:ind w:left="142" w:right="-15" w:hanging="52"/>
        <w:rPr>
          <w:rFonts w:ascii="Times New Roman" w:hAnsi="Times New Roman" w:cs="Times New Roman"/>
        </w:rPr>
      </w:pPr>
    </w:p>
    <w:p w14:paraId="35D81D44" w14:textId="77777777" w:rsidR="00D71333" w:rsidRPr="00BC510B" w:rsidRDefault="00D71333" w:rsidP="001238B4">
      <w:pPr>
        <w:spacing w:before="240" w:after="0" w:line="240" w:lineRule="auto"/>
        <w:ind w:left="142" w:right="-15" w:hanging="52"/>
        <w:rPr>
          <w:rFonts w:ascii="Times New Roman" w:hAnsi="Times New Roman" w:cs="Times New Roman"/>
        </w:rPr>
      </w:pPr>
    </w:p>
    <w:sectPr w:rsidR="00D71333" w:rsidRPr="00BC510B" w:rsidSect="00EB5769">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389BA" w14:textId="77777777" w:rsidR="008F691E" w:rsidRDefault="008F691E" w:rsidP="000F3D52">
      <w:pPr>
        <w:spacing w:after="0" w:line="240" w:lineRule="auto"/>
      </w:pPr>
      <w:r>
        <w:separator/>
      </w:r>
    </w:p>
  </w:endnote>
  <w:endnote w:type="continuationSeparator" w:id="0">
    <w:p w14:paraId="3139349C" w14:textId="77777777" w:rsidR="008F691E" w:rsidRDefault="008F691E" w:rsidP="000F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B77A" w14:textId="77777777" w:rsidR="00EB5769" w:rsidRDefault="00EB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42787"/>
      <w:docPartObj>
        <w:docPartGallery w:val="Page Numbers (Bottom of Page)"/>
        <w:docPartUnique/>
      </w:docPartObj>
    </w:sdtPr>
    <w:sdtEndPr>
      <w:rPr>
        <w:noProof/>
      </w:rPr>
    </w:sdtEndPr>
    <w:sdtContent>
      <w:p w14:paraId="25458E7A" w14:textId="403371F8" w:rsidR="004914DF" w:rsidRDefault="004914DF">
        <w:pPr>
          <w:pStyle w:val="Footer"/>
          <w:jc w:val="center"/>
        </w:pPr>
        <w:r>
          <w:fldChar w:fldCharType="begin"/>
        </w:r>
        <w:r>
          <w:instrText xml:space="preserve"> PAGE   \* MERGEFORMAT </w:instrText>
        </w:r>
        <w:r>
          <w:fldChar w:fldCharType="separate"/>
        </w:r>
        <w:r w:rsidR="00296CC4">
          <w:rPr>
            <w:noProof/>
          </w:rPr>
          <w:t>16</w:t>
        </w:r>
        <w:r>
          <w:rPr>
            <w:noProof/>
          </w:rPr>
          <w:fldChar w:fldCharType="end"/>
        </w:r>
      </w:p>
    </w:sdtContent>
  </w:sdt>
  <w:p w14:paraId="4A2525B6" w14:textId="77777777" w:rsidR="004914DF" w:rsidRDefault="00491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3754" w14:textId="77777777" w:rsidR="00EB5769" w:rsidRDefault="00EB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4486" w14:textId="77777777" w:rsidR="008F691E" w:rsidRDefault="008F691E" w:rsidP="000F3D52">
      <w:pPr>
        <w:spacing w:after="0" w:line="240" w:lineRule="auto"/>
      </w:pPr>
      <w:r>
        <w:separator/>
      </w:r>
    </w:p>
  </w:footnote>
  <w:footnote w:type="continuationSeparator" w:id="0">
    <w:p w14:paraId="7021675D" w14:textId="77777777" w:rsidR="008F691E" w:rsidRDefault="008F691E" w:rsidP="000F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8DCE" w14:textId="014A6352" w:rsidR="00EB5769" w:rsidRDefault="00EB5769">
    <w:pPr>
      <w:pStyle w:val="Header"/>
    </w:pPr>
    <w:r>
      <w:rPr>
        <w:noProof/>
      </w:rPr>
      <w:pict w14:anchorId="2C56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E2CD" w14:textId="44877EDB" w:rsidR="00EB5769" w:rsidRDefault="00EB5769">
    <w:pPr>
      <w:pStyle w:val="Header"/>
    </w:pPr>
    <w:r>
      <w:rPr>
        <w:noProof/>
      </w:rPr>
      <w:pict w14:anchorId="52488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B315" w14:textId="43B0D72F" w:rsidR="00EB5769" w:rsidRDefault="00EB5769">
    <w:pPr>
      <w:pStyle w:val="Header"/>
    </w:pPr>
    <w:r>
      <w:rPr>
        <w:noProof/>
      </w:rPr>
      <w:pict w14:anchorId="1AE44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603E5"/>
    <w:multiLevelType w:val="multilevel"/>
    <w:tmpl w:val="3964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10"/>
    <w:rsid w:val="00015E8E"/>
    <w:rsid w:val="0002345C"/>
    <w:rsid w:val="00025FC9"/>
    <w:rsid w:val="00076E76"/>
    <w:rsid w:val="000C1852"/>
    <w:rsid w:val="000C280B"/>
    <w:rsid w:val="000C4975"/>
    <w:rsid w:val="000F1CC8"/>
    <w:rsid w:val="000F3D52"/>
    <w:rsid w:val="001203B4"/>
    <w:rsid w:val="001229EB"/>
    <w:rsid w:val="001238B4"/>
    <w:rsid w:val="0012512D"/>
    <w:rsid w:val="0016119D"/>
    <w:rsid w:val="00161D0E"/>
    <w:rsid w:val="001622BB"/>
    <w:rsid w:val="00172C6D"/>
    <w:rsid w:val="001736F9"/>
    <w:rsid w:val="0017406F"/>
    <w:rsid w:val="00190433"/>
    <w:rsid w:val="001A4832"/>
    <w:rsid w:val="001B161F"/>
    <w:rsid w:val="001B3FEE"/>
    <w:rsid w:val="001C7FAA"/>
    <w:rsid w:val="001D2509"/>
    <w:rsid w:val="001F4CF5"/>
    <w:rsid w:val="001F7FC2"/>
    <w:rsid w:val="0020481D"/>
    <w:rsid w:val="0021078D"/>
    <w:rsid w:val="00230371"/>
    <w:rsid w:val="00246C49"/>
    <w:rsid w:val="00263D3B"/>
    <w:rsid w:val="00265100"/>
    <w:rsid w:val="00275094"/>
    <w:rsid w:val="0027646A"/>
    <w:rsid w:val="00280C1C"/>
    <w:rsid w:val="00296CC4"/>
    <w:rsid w:val="002978D3"/>
    <w:rsid w:val="002A2F02"/>
    <w:rsid w:val="002A4452"/>
    <w:rsid w:val="002C5136"/>
    <w:rsid w:val="00312F12"/>
    <w:rsid w:val="00316D35"/>
    <w:rsid w:val="00342C7E"/>
    <w:rsid w:val="0037092D"/>
    <w:rsid w:val="003B4F65"/>
    <w:rsid w:val="003C0622"/>
    <w:rsid w:val="003D074D"/>
    <w:rsid w:val="003D34AF"/>
    <w:rsid w:val="003D3B25"/>
    <w:rsid w:val="003E72AF"/>
    <w:rsid w:val="00405140"/>
    <w:rsid w:val="0041660C"/>
    <w:rsid w:val="0041671A"/>
    <w:rsid w:val="004304ED"/>
    <w:rsid w:val="0044625B"/>
    <w:rsid w:val="00447CF5"/>
    <w:rsid w:val="00465DE0"/>
    <w:rsid w:val="004741B5"/>
    <w:rsid w:val="004768E6"/>
    <w:rsid w:val="00476C0D"/>
    <w:rsid w:val="00476F95"/>
    <w:rsid w:val="004778D6"/>
    <w:rsid w:val="00490CC9"/>
    <w:rsid w:val="004914DF"/>
    <w:rsid w:val="00494805"/>
    <w:rsid w:val="004A0D72"/>
    <w:rsid w:val="004A107E"/>
    <w:rsid w:val="004A2DB1"/>
    <w:rsid w:val="004E4235"/>
    <w:rsid w:val="004E5C6E"/>
    <w:rsid w:val="004F57D8"/>
    <w:rsid w:val="00506D30"/>
    <w:rsid w:val="005109FA"/>
    <w:rsid w:val="005252D1"/>
    <w:rsid w:val="005256ED"/>
    <w:rsid w:val="0053104E"/>
    <w:rsid w:val="005823B2"/>
    <w:rsid w:val="005A0F73"/>
    <w:rsid w:val="005A4D62"/>
    <w:rsid w:val="005B08F3"/>
    <w:rsid w:val="005D2592"/>
    <w:rsid w:val="005E459A"/>
    <w:rsid w:val="005F237F"/>
    <w:rsid w:val="006247B1"/>
    <w:rsid w:val="00641E3B"/>
    <w:rsid w:val="00665D79"/>
    <w:rsid w:val="00680F3E"/>
    <w:rsid w:val="006815E2"/>
    <w:rsid w:val="00693737"/>
    <w:rsid w:val="006B53F1"/>
    <w:rsid w:val="006C7E7F"/>
    <w:rsid w:val="00707530"/>
    <w:rsid w:val="00736CDA"/>
    <w:rsid w:val="007628AB"/>
    <w:rsid w:val="00772E63"/>
    <w:rsid w:val="00773A00"/>
    <w:rsid w:val="007755C2"/>
    <w:rsid w:val="007920FA"/>
    <w:rsid w:val="00793C15"/>
    <w:rsid w:val="00795677"/>
    <w:rsid w:val="007A1F8F"/>
    <w:rsid w:val="007A5864"/>
    <w:rsid w:val="007B4AC6"/>
    <w:rsid w:val="007E569A"/>
    <w:rsid w:val="007F099D"/>
    <w:rsid w:val="007F2E6C"/>
    <w:rsid w:val="007F7448"/>
    <w:rsid w:val="00810FCF"/>
    <w:rsid w:val="008509FA"/>
    <w:rsid w:val="00865357"/>
    <w:rsid w:val="00876397"/>
    <w:rsid w:val="00876B33"/>
    <w:rsid w:val="008830F9"/>
    <w:rsid w:val="00886E38"/>
    <w:rsid w:val="00891574"/>
    <w:rsid w:val="00894E5A"/>
    <w:rsid w:val="008C62F1"/>
    <w:rsid w:val="008D73AA"/>
    <w:rsid w:val="008F3387"/>
    <w:rsid w:val="008F691E"/>
    <w:rsid w:val="00910485"/>
    <w:rsid w:val="00913B78"/>
    <w:rsid w:val="00915CED"/>
    <w:rsid w:val="009245C9"/>
    <w:rsid w:val="00925110"/>
    <w:rsid w:val="00957892"/>
    <w:rsid w:val="009A11EF"/>
    <w:rsid w:val="009E62C4"/>
    <w:rsid w:val="009F5E80"/>
    <w:rsid w:val="00A32D5B"/>
    <w:rsid w:val="00A34616"/>
    <w:rsid w:val="00A35048"/>
    <w:rsid w:val="00A410AB"/>
    <w:rsid w:val="00A501B7"/>
    <w:rsid w:val="00A5206F"/>
    <w:rsid w:val="00A81BB4"/>
    <w:rsid w:val="00AE1655"/>
    <w:rsid w:val="00AE4806"/>
    <w:rsid w:val="00B103C6"/>
    <w:rsid w:val="00B2521D"/>
    <w:rsid w:val="00BC510B"/>
    <w:rsid w:val="00BD2812"/>
    <w:rsid w:val="00BD3614"/>
    <w:rsid w:val="00C10807"/>
    <w:rsid w:val="00C16B99"/>
    <w:rsid w:val="00C32304"/>
    <w:rsid w:val="00C420A6"/>
    <w:rsid w:val="00C753C4"/>
    <w:rsid w:val="00CB1795"/>
    <w:rsid w:val="00CB4E01"/>
    <w:rsid w:val="00CC2B94"/>
    <w:rsid w:val="00CC2D16"/>
    <w:rsid w:val="00CD0F9F"/>
    <w:rsid w:val="00CD498B"/>
    <w:rsid w:val="00D01F40"/>
    <w:rsid w:val="00D35480"/>
    <w:rsid w:val="00D45D1F"/>
    <w:rsid w:val="00D45E54"/>
    <w:rsid w:val="00D461CE"/>
    <w:rsid w:val="00D6031D"/>
    <w:rsid w:val="00D61824"/>
    <w:rsid w:val="00D71333"/>
    <w:rsid w:val="00D75168"/>
    <w:rsid w:val="00D77F5F"/>
    <w:rsid w:val="00D83410"/>
    <w:rsid w:val="00D95923"/>
    <w:rsid w:val="00DB6891"/>
    <w:rsid w:val="00DC4719"/>
    <w:rsid w:val="00DE07B1"/>
    <w:rsid w:val="00DE7CFA"/>
    <w:rsid w:val="00E10C2E"/>
    <w:rsid w:val="00E40B03"/>
    <w:rsid w:val="00E845CB"/>
    <w:rsid w:val="00EA0156"/>
    <w:rsid w:val="00EB5769"/>
    <w:rsid w:val="00EC7BE9"/>
    <w:rsid w:val="00EC7CEC"/>
    <w:rsid w:val="00EF589B"/>
    <w:rsid w:val="00F11CFA"/>
    <w:rsid w:val="00F27BCF"/>
    <w:rsid w:val="00F45FF7"/>
    <w:rsid w:val="00F50DCE"/>
    <w:rsid w:val="00F73406"/>
    <w:rsid w:val="00F83260"/>
    <w:rsid w:val="00FF21F7"/>
    <w:rsid w:val="00FF4681"/>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35405"/>
  <w15:docId w15:val="{16EF3430-63E3-4187-83F2-1A56FA02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110"/>
    <w:rPr>
      <w:rFonts w:eastAsiaTheme="majorEastAsia" w:cstheme="majorBidi"/>
      <w:color w:val="272727" w:themeColor="text1" w:themeTint="D8"/>
    </w:rPr>
  </w:style>
  <w:style w:type="paragraph" w:styleId="Title">
    <w:name w:val="Title"/>
    <w:basedOn w:val="Normal"/>
    <w:next w:val="Normal"/>
    <w:link w:val="TitleChar"/>
    <w:uiPriority w:val="10"/>
    <w:qFormat/>
    <w:rsid w:val="00925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110"/>
    <w:pPr>
      <w:spacing w:before="160"/>
      <w:jc w:val="center"/>
    </w:pPr>
    <w:rPr>
      <w:i/>
      <w:iCs/>
      <w:color w:val="404040" w:themeColor="text1" w:themeTint="BF"/>
    </w:rPr>
  </w:style>
  <w:style w:type="character" w:customStyle="1" w:styleId="QuoteChar">
    <w:name w:val="Quote Char"/>
    <w:basedOn w:val="DefaultParagraphFont"/>
    <w:link w:val="Quote"/>
    <w:uiPriority w:val="29"/>
    <w:rsid w:val="00925110"/>
    <w:rPr>
      <w:i/>
      <w:iCs/>
      <w:color w:val="404040" w:themeColor="text1" w:themeTint="BF"/>
    </w:rPr>
  </w:style>
  <w:style w:type="paragraph" w:styleId="ListParagraph">
    <w:name w:val="List Paragraph"/>
    <w:basedOn w:val="Normal"/>
    <w:uiPriority w:val="34"/>
    <w:qFormat/>
    <w:rsid w:val="00925110"/>
    <w:pPr>
      <w:ind w:left="720"/>
      <w:contextualSpacing/>
    </w:pPr>
  </w:style>
  <w:style w:type="character" w:styleId="IntenseEmphasis">
    <w:name w:val="Intense Emphasis"/>
    <w:basedOn w:val="DefaultParagraphFont"/>
    <w:uiPriority w:val="21"/>
    <w:qFormat/>
    <w:rsid w:val="00925110"/>
    <w:rPr>
      <w:i/>
      <w:iCs/>
      <w:color w:val="2F5496" w:themeColor="accent1" w:themeShade="BF"/>
    </w:rPr>
  </w:style>
  <w:style w:type="paragraph" w:styleId="IntenseQuote">
    <w:name w:val="Intense Quote"/>
    <w:basedOn w:val="Normal"/>
    <w:next w:val="Normal"/>
    <w:link w:val="IntenseQuoteChar"/>
    <w:uiPriority w:val="30"/>
    <w:qFormat/>
    <w:rsid w:val="00925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110"/>
    <w:rPr>
      <w:i/>
      <w:iCs/>
      <w:color w:val="2F5496" w:themeColor="accent1" w:themeShade="BF"/>
    </w:rPr>
  </w:style>
  <w:style w:type="character" w:styleId="IntenseReference">
    <w:name w:val="Intense Reference"/>
    <w:basedOn w:val="DefaultParagraphFont"/>
    <w:uiPriority w:val="32"/>
    <w:qFormat/>
    <w:rsid w:val="00925110"/>
    <w:rPr>
      <w:b/>
      <w:bCs/>
      <w:smallCaps/>
      <w:color w:val="2F5496" w:themeColor="accent1" w:themeShade="BF"/>
      <w:spacing w:val="5"/>
    </w:rPr>
  </w:style>
  <w:style w:type="paragraph" w:styleId="Header">
    <w:name w:val="header"/>
    <w:basedOn w:val="Normal"/>
    <w:link w:val="HeaderChar"/>
    <w:uiPriority w:val="99"/>
    <w:unhideWhenUsed/>
    <w:rsid w:val="000F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52"/>
  </w:style>
  <w:style w:type="paragraph" w:styleId="Footer">
    <w:name w:val="footer"/>
    <w:basedOn w:val="Normal"/>
    <w:link w:val="FooterChar"/>
    <w:uiPriority w:val="99"/>
    <w:unhideWhenUsed/>
    <w:rsid w:val="000F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52"/>
  </w:style>
  <w:style w:type="table" w:styleId="TableGrid">
    <w:name w:val="Table Grid"/>
    <w:basedOn w:val="TableNormal"/>
    <w:uiPriority w:val="39"/>
    <w:rsid w:val="00A5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1B3FEE"/>
    <w:rPr>
      <w:color w:val="0563C1" w:themeColor="hyperlink"/>
      <w:u w:val="single"/>
    </w:rPr>
  </w:style>
  <w:style w:type="character" w:styleId="LineNumber">
    <w:name w:val="line number"/>
    <w:basedOn w:val="DefaultParagraphFont"/>
    <w:uiPriority w:val="99"/>
    <w:semiHidden/>
    <w:unhideWhenUsed/>
    <w:rsid w:val="0020481D"/>
  </w:style>
  <w:style w:type="table" w:customStyle="1" w:styleId="TableGridLight1">
    <w:name w:val="Table Grid Light1"/>
    <w:basedOn w:val="TableNormal"/>
    <w:uiPriority w:val="40"/>
    <w:rsid w:val="00F50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F95"/>
    <w:rPr>
      <w:rFonts w:ascii="Tahoma" w:hAnsi="Tahoma" w:cs="Tahoma"/>
      <w:sz w:val="16"/>
      <w:szCs w:val="16"/>
    </w:rPr>
  </w:style>
  <w:style w:type="paragraph" w:customStyle="1" w:styleId="Default">
    <w:name w:val="Default"/>
    <w:rsid w:val="007755C2"/>
    <w:pPr>
      <w:autoSpaceDE w:val="0"/>
      <w:autoSpaceDN w:val="0"/>
      <w:adjustRightInd w:val="0"/>
      <w:spacing w:after="0" w:line="240" w:lineRule="auto"/>
    </w:pPr>
    <w:rPr>
      <w:rFonts w:ascii="Palatino Linotype" w:eastAsia="Times New Roman" w:hAnsi="Palatino Linotype" w:cs="Palatino Linotype"/>
      <w:color w:val="000000"/>
      <w:kern w:val="0"/>
      <w14:ligatures w14:val="none"/>
    </w:rPr>
  </w:style>
  <w:style w:type="character" w:styleId="UnresolvedMention">
    <w:name w:val="Unresolved Mention"/>
    <w:basedOn w:val="DefaultParagraphFont"/>
    <w:uiPriority w:val="99"/>
    <w:semiHidden/>
    <w:unhideWhenUsed/>
    <w:rsid w:val="00BC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2665-015-4955-9" TargetMode="External"/><Relationship Id="rId21" Type="http://schemas.openxmlformats.org/officeDocument/2006/relationships/hyperlink" Target="https://doi.org/10.70737/7ejde223" TargetMode="External"/><Relationship Id="rId42" Type="http://schemas.openxmlformats.org/officeDocument/2006/relationships/hyperlink" Target="https://doi.org/10.1016/j.enmm.2024.100979" TargetMode="External"/><Relationship Id="rId47" Type="http://schemas.openxmlformats.org/officeDocument/2006/relationships/hyperlink" Target="https://doi.org/10.9734/asrj/2020/v3i230067" TargetMode="External"/><Relationship Id="rId63" Type="http://schemas.openxmlformats.org/officeDocument/2006/relationships/hyperlink" Target="https://doi.org/10.9734/asrj/2025/v9i3201" TargetMode="External"/><Relationship Id="rId68" Type="http://schemas.openxmlformats.org/officeDocument/2006/relationships/hyperlink" Target="https://doi.org/10.1016/j.wasman.2015.10.014" TargetMode="Externa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s://doi.org/10.1177/1178622119898430" TargetMode="External"/><Relationship Id="rId11" Type="http://schemas.openxmlformats.org/officeDocument/2006/relationships/chart" Target="charts/chart3.xml"/><Relationship Id="rId24" Type="http://schemas.openxmlformats.org/officeDocument/2006/relationships/hyperlink" Target="https://doi.org/10.1007/s10661-024-12914-6" TargetMode="External"/><Relationship Id="rId32" Type="http://schemas.openxmlformats.org/officeDocument/2006/relationships/hyperlink" Target="http://www.fao.org/3/ca1397en/CA1397EN.pdf" TargetMode="External"/><Relationship Id="rId37" Type="http://schemas.openxmlformats.org/officeDocument/2006/relationships/hyperlink" Target="https://doi.org/10.29121/ijetmr.v7.i2.2020.524" TargetMode="External"/><Relationship Id="rId40" Type="http://schemas.openxmlformats.org/officeDocument/2006/relationships/hyperlink" Target="https://doi.org/10.20546/ijcmas.2020.906.182" TargetMode="External"/><Relationship Id="rId45" Type="http://schemas.openxmlformats.org/officeDocument/2006/relationships/hyperlink" Target="https://doi.org/10.1155/2019/3560456" TargetMode="External"/><Relationship Id="rId53" Type="http://schemas.openxmlformats.org/officeDocument/2006/relationships/hyperlink" Target="https://doi.org/10.4314/jasr.v5i1.2837" TargetMode="External"/><Relationship Id="rId58" Type="http://schemas.openxmlformats.org/officeDocument/2006/relationships/hyperlink" Target="https://doi.org/10.1016/j.jrmge.2017.12.009" TargetMode="External"/><Relationship Id="rId66" Type="http://schemas.openxmlformats.org/officeDocument/2006/relationships/hyperlink" Target="http://www.who.int/ceh"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9734/asrj/2025/v9i3193" TargetMode="External"/><Relationship Id="rId19" Type="http://schemas.openxmlformats.org/officeDocument/2006/relationships/hyperlink" Target="https://doi.org/10.1016/j.sciaf.2020.e00390" TargetMode="External"/><Relationship Id="rId14" Type="http://schemas.openxmlformats.org/officeDocument/2006/relationships/chart" Target="charts/chart6.xml"/><Relationship Id="rId22" Type="http://schemas.openxmlformats.org/officeDocument/2006/relationships/hyperlink" Target="https://doi.org/10.1016/j.jksus.2013.08.003" TargetMode="External"/><Relationship Id="rId27" Type="http://schemas.openxmlformats.org/officeDocument/2006/relationships/hyperlink" Target="https://doi.org/10.1016/j.biortech.2016.02.094" TargetMode="External"/><Relationship Id="rId30" Type="http://schemas.openxmlformats.org/officeDocument/2006/relationships/hyperlink" Target="https://doi.org/10.1177/1178622119898430" TargetMode="External"/><Relationship Id="rId35" Type="http://schemas.openxmlformats.org/officeDocument/2006/relationships/hyperlink" Target="https://doi.org/10.15406/japlr.2018.07.00281" TargetMode="External"/><Relationship Id="rId43" Type="http://schemas.openxmlformats.org/officeDocument/2006/relationships/hyperlink" Target="https://doi.org/10.1016/j.envpol.2010.02.001" TargetMode="External"/><Relationship Id="rId48" Type="http://schemas.openxmlformats.org/officeDocument/2006/relationships/hyperlink" Target="https://doi.org/10.1080/02757540.2017.1337101" TargetMode="External"/><Relationship Id="rId56" Type="http://schemas.openxmlformats.org/officeDocument/2006/relationships/hyperlink" Target="https://doi.org/10.1007/s11356-022-22760-z" TargetMode="External"/><Relationship Id="rId64" Type="http://schemas.openxmlformats.org/officeDocument/2006/relationships/hyperlink" Target="https://doi.org/10.4314/as.v21i2.8"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doi.org/10.1016/j.heliyon.2023.e13265"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1007/s11356-013-1473-8" TargetMode="External"/><Relationship Id="rId33" Type="http://schemas.openxmlformats.org/officeDocument/2006/relationships/hyperlink" Target="https://doi.org/10.1177/0734242x18755893" TargetMode="External"/><Relationship Id="rId38" Type="http://schemas.openxmlformats.org/officeDocument/2006/relationships/hyperlink" Target="https://doi.org/10.1201/b10158" TargetMode="External"/><Relationship Id="rId46" Type="http://schemas.openxmlformats.org/officeDocument/2006/relationships/hyperlink" Target="https://doi.org/10.1080/00103628309367359" TargetMode="External"/><Relationship Id="rId59" Type="http://schemas.openxmlformats.org/officeDocument/2006/relationships/hyperlink" Target="https://doi.org/10.1108/srj-06-2019-0210" TargetMode="External"/><Relationship Id="rId67" Type="http://schemas.openxmlformats.org/officeDocument/2006/relationships/hyperlink" Target="https://doi.org/10.5402/2011/402647" TargetMode="External"/><Relationship Id="rId20" Type="http://schemas.openxmlformats.org/officeDocument/2006/relationships/hyperlink" Target="https://doi.org/10.3923/ijar.2012.358.366" TargetMode="External"/><Relationship Id="rId41" Type="http://schemas.openxmlformats.org/officeDocument/2006/relationships/hyperlink" Target="https://doi.org/10.2134/agronmonogr37.c4" TargetMode="External"/><Relationship Id="rId54" Type="http://schemas.openxmlformats.org/officeDocument/2006/relationships/hyperlink" Target="https://doi.org/10.29322/ijsrp.10.10.2020.p10655" TargetMode="External"/><Relationship Id="rId62" Type="http://schemas.openxmlformats.org/officeDocument/2006/relationships/hyperlink" Target="https://doi.org/10.4314/as.v8i1.4410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25259/jhsr_4_2023" TargetMode="External"/><Relationship Id="rId28" Type="http://schemas.openxmlformats.org/officeDocument/2006/relationships/hyperlink" Target="https://doi.org/10.1016/j.jenvman.2024.123473" TargetMode="External"/><Relationship Id="rId36" Type="http://schemas.openxmlformats.org/officeDocument/2006/relationships/hyperlink" Target="https://doi.org/10.1007/s10653-016-9830-4" TargetMode="External"/><Relationship Id="rId49" Type="http://schemas.openxmlformats.org/officeDocument/2006/relationships/hyperlink" Target="https://doi.org/10.4314/jasem.v21i6.27" TargetMode="External"/><Relationship Id="rId57" Type="http://schemas.openxmlformats.org/officeDocument/2006/relationships/hyperlink" Target="https://doi.org/10.1080/03067319.2020.1862813" TargetMode="External"/><Relationship Id="rId10" Type="http://schemas.openxmlformats.org/officeDocument/2006/relationships/chart" Target="charts/chart2.xml"/><Relationship Id="rId31" Type="http://schemas.openxmlformats.org/officeDocument/2006/relationships/hyperlink" Target="https://faolex.fao.org/docs/pdf/est97999E.pdf" TargetMode="External"/><Relationship Id="rId44" Type="http://schemas.openxmlformats.org/officeDocument/2006/relationships/hyperlink" Target="https://doi.org/10.1155/2020/5157046" TargetMode="External"/><Relationship Id="rId52" Type="http://schemas.openxmlformats.org/officeDocument/2006/relationships/hyperlink" Target="https://doi.org/10.9734/ajopacs/2022/v10i230152" TargetMode="External"/><Relationship Id="rId60" Type="http://schemas.openxmlformats.org/officeDocument/2006/relationships/hyperlink" Target="https://doi.org/10.1007/s10661-021-09640-8" TargetMode="External"/><Relationship Id="rId65" Type="http://schemas.openxmlformats.org/officeDocument/2006/relationships/hyperlink" Target="https://doi.org/10.1201/9781315137322"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hyperlink" Target="https://doi.org/10.1007/s13201-013-0089-y" TargetMode="External"/><Relationship Id="rId34" Type="http://schemas.openxmlformats.org/officeDocument/2006/relationships/hyperlink" Target="https://doi.org/10.19026/rjaset.13.3348" TargetMode="External"/><Relationship Id="rId50" Type="http://schemas.openxmlformats.org/officeDocument/2006/relationships/hyperlink" Target="https://doi.org/10.1007/bf03326018" TargetMode="External"/><Relationship Id="rId55" Type="http://schemas.openxmlformats.org/officeDocument/2006/relationships/hyperlink" Target="https://doi.org/10.1016/j.jhazmat.2007.11.119"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Sheet1!$B$3</c:f>
              <c:strCache>
                <c:ptCount val="1"/>
                <c:pt idx="0">
                  <c:v>Soil</c:v>
                </c:pt>
              </c:strCache>
            </c:strRef>
          </c:tx>
          <c:cat>
            <c:strRef>
              <c:f>Sheet1!$C$2:$E$2</c:f>
              <c:strCache>
                <c:ptCount val="3"/>
                <c:pt idx="0">
                  <c:v>AB</c:v>
                </c:pt>
                <c:pt idx="1">
                  <c:v>P</c:v>
                </c:pt>
                <c:pt idx="2">
                  <c:v>A</c:v>
                </c:pt>
              </c:strCache>
            </c:strRef>
          </c:cat>
          <c:val>
            <c:numRef>
              <c:f>Sheet1!$C$3:$E$3</c:f>
              <c:numCache>
                <c:formatCode>General</c:formatCode>
                <c:ptCount val="3"/>
                <c:pt idx="0">
                  <c:v>54</c:v>
                </c:pt>
                <c:pt idx="1">
                  <c:v>1548</c:v>
                </c:pt>
                <c:pt idx="2">
                  <c:v>3918</c:v>
                </c:pt>
              </c:numCache>
            </c:numRef>
          </c:val>
          <c:smooth val="0"/>
          <c:extLst>
            <c:ext xmlns:c16="http://schemas.microsoft.com/office/drawing/2014/chart" uri="{C3380CC4-5D6E-409C-BE32-E72D297353CC}">
              <c16:uniqueId val="{00000000-0B26-4FB6-A318-64AB779C79FF}"/>
            </c:ext>
          </c:extLst>
        </c:ser>
        <c:ser>
          <c:idx val="1"/>
          <c:order val="1"/>
          <c:tx>
            <c:strRef>
              <c:f>Sheet1!$B$4</c:f>
              <c:strCache>
                <c:ptCount val="1"/>
                <c:pt idx="0">
                  <c:v>Wastes</c:v>
                </c:pt>
              </c:strCache>
            </c:strRef>
          </c:tx>
          <c:cat>
            <c:strRef>
              <c:f>Sheet1!$C$2:$E$2</c:f>
              <c:strCache>
                <c:ptCount val="3"/>
                <c:pt idx="0">
                  <c:v>AB</c:v>
                </c:pt>
                <c:pt idx="1">
                  <c:v>P</c:v>
                </c:pt>
                <c:pt idx="2">
                  <c:v>A</c:v>
                </c:pt>
              </c:strCache>
            </c:strRef>
          </c:cat>
          <c:val>
            <c:numRef>
              <c:f>Sheet1!$C$4:$E$4</c:f>
              <c:numCache>
                <c:formatCode>General</c:formatCode>
                <c:ptCount val="3"/>
                <c:pt idx="0">
                  <c:v>166</c:v>
                </c:pt>
                <c:pt idx="1">
                  <c:v>4359</c:v>
                </c:pt>
                <c:pt idx="2">
                  <c:v>8621.1</c:v>
                </c:pt>
              </c:numCache>
            </c:numRef>
          </c:val>
          <c:smooth val="0"/>
          <c:extLst>
            <c:ext xmlns:c16="http://schemas.microsoft.com/office/drawing/2014/chart" uri="{C3380CC4-5D6E-409C-BE32-E72D297353CC}">
              <c16:uniqueId val="{00000001-0B26-4FB6-A318-64AB779C79FF}"/>
            </c:ext>
          </c:extLst>
        </c:ser>
        <c:dLbls>
          <c:showLegendKey val="0"/>
          <c:showVal val="0"/>
          <c:showCatName val="0"/>
          <c:showSerName val="0"/>
          <c:showPercent val="0"/>
          <c:showBubbleSize val="0"/>
        </c:dLbls>
        <c:marker val="1"/>
        <c:smooth val="0"/>
        <c:axId val="226655232"/>
        <c:axId val="162932224"/>
      </c:lineChart>
      <c:catAx>
        <c:axId val="226655232"/>
        <c:scaling>
          <c:orientation val="minMax"/>
        </c:scaling>
        <c:delete val="0"/>
        <c:axPos val="b"/>
        <c:title>
          <c:tx>
            <c:rich>
              <a:bodyPr/>
              <a:lstStyle/>
              <a:p>
                <a:pPr>
                  <a:defRPr/>
                </a:pPr>
                <a:r>
                  <a:rPr lang="en-US"/>
                  <a:t>Different </a:t>
                </a:r>
                <a:r>
                  <a:rPr lang="en-US" baseline="0"/>
                  <a:t>dumpsite soils </a:t>
                </a:r>
                <a:endParaRPr lang="en-US"/>
              </a:p>
            </c:rich>
          </c:tx>
          <c:overlay val="0"/>
        </c:title>
        <c:numFmt formatCode="General" sourceLinked="0"/>
        <c:majorTickMark val="none"/>
        <c:minorTickMark val="none"/>
        <c:tickLblPos val="nextTo"/>
        <c:crossAx val="162932224"/>
        <c:crosses val="autoZero"/>
        <c:auto val="1"/>
        <c:lblAlgn val="ctr"/>
        <c:lblOffset val="100"/>
        <c:noMultiLvlLbl val="0"/>
      </c:catAx>
      <c:valAx>
        <c:axId val="162932224"/>
        <c:scaling>
          <c:orientation val="minMax"/>
        </c:scaling>
        <c:delete val="0"/>
        <c:axPos val="l"/>
        <c:title>
          <c:tx>
            <c:rich>
              <a:bodyPr/>
              <a:lstStyle/>
              <a:p>
                <a:pPr>
                  <a:defRPr/>
                </a:pPr>
                <a:r>
                  <a:rPr lang="en-US"/>
                  <a:t>Concentrations</a:t>
                </a:r>
                <a:r>
                  <a:rPr lang="en-US" baseline="0"/>
                  <a:t> of lead (mg/kg)</a:t>
                </a:r>
                <a:endParaRPr lang="en-US"/>
              </a:p>
            </c:rich>
          </c:tx>
          <c:overlay val="0"/>
        </c:title>
        <c:numFmt formatCode="General" sourceLinked="1"/>
        <c:majorTickMark val="out"/>
        <c:minorTickMark val="none"/>
        <c:tickLblPos val="nextTo"/>
        <c:crossAx val="22665523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Sheet10!$A$1:$D$1</c:f>
              <c:strCache>
                <c:ptCount val="4"/>
                <c:pt idx="0">
                  <c:v>C</c:v>
                </c:pt>
                <c:pt idx="1">
                  <c:v>AB</c:v>
                </c:pt>
                <c:pt idx="2">
                  <c:v>P</c:v>
                </c:pt>
                <c:pt idx="3">
                  <c:v>A</c:v>
                </c:pt>
              </c:strCache>
            </c:strRef>
          </c:cat>
          <c:val>
            <c:numRef>
              <c:f>Sheet10!$A$2:$D$2</c:f>
              <c:numCache>
                <c:formatCode>General</c:formatCode>
                <c:ptCount val="4"/>
                <c:pt idx="0">
                  <c:v>1.4</c:v>
                </c:pt>
                <c:pt idx="1">
                  <c:v>81</c:v>
                </c:pt>
                <c:pt idx="2">
                  <c:v>179.3</c:v>
                </c:pt>
                <c:pt idx="3">
                  <c:v>152.69999999999999</c:v>
                </c:pt>
              </c:numCache>
            </c:numRef>
          </c:val>
          <c:extLst>
            <c:ext xmlns:c16="http://schemas.microsoft.com/office/drawing/2014/chart" uri="{C3380CC4-5D6E-409C-BE32-E72D297353CC}">
              <c16:uniqueId val="{00000000-568A-42D4-B2E9-A55E8F5D5325}"/>
            </c:ext>
          </c:extLst>
        </c:ser>
        <c:dLbls>
          <c:showLegendKey val="0"/>
          <c:showVal val="0"/>
          <c:showCatName val="0"/>
          <c:showSerName val="0"/>
          <c:showPercent val="0"/>
          <c:showBubbleSize val="0"/>
        </c:dLbls>
        <c:gapWidth val="300"/>
        <c:axId val="197038464"/>
        <c:axId val="197040384"/>
      </c:barChart>
      <c:catAx>
        <c:axId val="197038464"/>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97040384"/>
        <c:crosses val="autoZero"/>
        <c:auto val="1"/>
        <c:lblAlgn val="ctr"/>
        <c:lblOffset val="100"/>
        <c:noMultiLvlLbl val="0"/>
      </c:catAx>
      <c:valAx>
        <c:axId val="197040384"/>
        <c:scaling>
          <c:orientation val="minMax"/>
        </c:scaling>
        <c:delete val="0"/>
        <c:axPos val="l"/>
        <c:title>
          <c:tx>
            <c:rich>
              <a:bodyPr/>
              <a:lstStyle/>
              <a:p>
                <a:pPr>
                  <a:defRPr/>
                </a:pPr>
                <a:r>
                  <a:rPr lang="en-US"/>
                  <a:t>Concentration</a:t>
                </a:r>
                <a:r>
                  <a:rPr lang="en-US" baseline="0"/>
                  <a:t> of vanadium (mg/kg)</a:t>
                </a:r>
                <a:endParaRPr lang="en-US"/>
              </a:p>
            </c:rich>
          </c:tx>
          <c:overlay val="0"/>
        </c:title>
        <c:numFmt formatCode="General" sourceLinked="1"/>
        <c:majorTickMark val="out"/>
        <c:minorTickMark val="none"/>
        <c:tickLblPos val="nextTo"/>
        <c:crossAx val="19703846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Sheet2!$B$2</c:f>
              <c:strCache>
                <c:ptCount val="1"/>
                <c:pt idx="0">
                  <c:v>Soil</c:v>
                </c:pt>
              </c:strCache>
            </c:strRef>
          </c:tx>
          <c:cat>
            <c:strRef>
              <c:f>Sheet2!$C$1:$E$1</c:f>
              <c:strCache>
                <c:ptCount val="3"/>
                <c:pt idx="0">
                  <c:v>AB</c:v>
                </c:pt>
                <c:pt idx="1">
                  <c:v>P</c:v>
                </c:pt>
                <c:pt idx="2">
                  <c:v>A</c:v>
                </c:pt>
              </c:strCache>
            </c:strRef>
          </c:cat>
          <c:val>
            <c:numRef>
              <c:f>Sheet2!$C$2:$E$2</c:f>
              <c:numCache>
                <c:formatCode>General</c:formatCode>
                <c:ptCount val="3"/>
                <c:pt idx="0">
                  <c:v>20.7</c:v>
                </c:pt>
                <c:pt idx="1">
                  <c:v>90.1</c:v>
                </c:pt>
                <c:pt idx="2">
                  <c:v>116.5</c:v>
                </c:pt>
              </c:numCache>
            </c:numRef>
          </c:val>
          <c:smooth val="0"/>
          <c:extLst>
            <c:ext xmlns:c16="http://schemas.microsoft.com/office/drawing/2014/chart" uri="{C3380CC4-5D6E-409C-BE32-E72D297353CC}">
              <c16:uniqueId val="{00000000-3269-457B-83DF-AC977953DF8B}"/>
            </c:ext>
          </c:extLst>
        </c:ser>
        <c:ser>
          <c:idx val="1"/>
          <c:order val="1"/>
          <c:tx>
            <c:strRef>
              <c:f>Sheet2!$B$3</c:f>
              <c:strCache>
                <c:ptCount val="1"/>
                <c:pt idx="0">
                  <c:v>Wastes</c:v>
                </c:pt>
              </c:strCache>
            </c:strRef>
          </c:tx>
          <c:cat>
            <c:strRef>
              <c:f>Sheet2!$C$1:$E$1</c:f>
              <c:strCache>
                <c:ptCount val="3"/>
                <c:pt idx="0">
                  <c:v>AB</c:v>
                </c:pt>
                <c:pt idx="1">
                  <c:v>P</c:v>
                </c:pt>
                <c:pt idx="2">
                  <c:v>A</c:v>
                </c:pt>
              </c:strCache>
            </c:strRef>
          </c:cat>
          <c:val>
            <c:numRef>
              <c:f>Sheet2!$C$3:$E$3</c:f>
              <c:numCache>
                <c:formatCode>General</c:formatCode>
                <c:ptCount val="3"/>
                <c:pt idx="0">
                  <c:v>60.2</c:v>
                </c:pt>
                <c:pt idx="1">
                  <c:v>270</c:v>
                </c:pt>
                <c:pt idx="2">
                  <c:v>393.2</c:v>
                </c:pt>
              </c:numCache>
            </c:numRef>
          </c:val>
          <c:smooth val="0"/>
          <c:extLst>
            <c:ext xmlns:c16="http://schemas.microsoft.com/office/drawing/2014/chart" uri="{C3380CC4-5D6E-409C-BE32-E72D297353CC}">
              <c16:uniqueId val="{00000001-3269-457B-83DF-AC977953DF8B}"/>
            </c:ext>
          </c:extLst>
        </c:ser>
        <c:dLbls>
          <c:showLegendKey val="0"/>
          <c:showVal val="0"/>
          <c:showCatName val="0"/>
          <c:showSerName val="0"/>
          <c:showPercent val="0"/>
          <c:showBubbleSize val="0"/>
        </c:dLbls>
        <c:marker val="1"/>
        <c:smooth val="0"/>
        <c:axId val="164539392"/>
        <c:axId val="172307584"/>
      </c:lineChart>
      <c:catAx>
        <c:axId val="164539392"/>
        <c:scaling>
          <c:orientation val="minMax"/>
        </c:scaling>
        <c:delete val="0"/>
        <c:axPos val="b"/>
        <c:title>
          <c:tx>
            <c:rich>
              <a:bodyPr/>
              <a:lstStyle/>
              <a:p>
                <a:pPr>
                  <a:defRPr/>
                </a:pPr>
                <a:r>
                  <a:rPr lang="en-US"/>
                  <a:t>Different</a:t>
                </a:r>
                <a:r>
                  <a:rPr lang="en-US" baseline="0"/>
                  <a:t> dumpsite soils </a:t>
                </a:r>
                <a:endParaRPr lang="en-US"/>
              </a:p>
            </c:rich>
          </c:tx>
          <c:overlay val="0"/>
        </c:title>
        <c:numFmt formatCode="General" sourceLinked="0"/>
        <c:majorTickMark val="none"/>
        <c:minorTickMark val="none"/>
        <c:tickLblPos val="nextTo"/>
        <c:crossAx val="172307584"/>
        <c:crosses val="autoZero"/>
        <c:auto val="1"/>
        <c:lblAlgn val="ctr"/>
        <c:lblOffset val="100"/>
        <c:noMultiLvlLbl val="0"/>
      </c:catAx>
      <c:valAx>
        <c:axId val="172307584"/>
        <c:scaling>
          <c:orientation val="minMax"/>
        </c:scaling>
        <c:delete val="0"/>
        <c:axPos val="l"/>
        <c:title>
          <c:tx>
            <c:rich>
              <a:bodyPr/>
              <a:lstStyle/>
              <a:p>
                <a:pPr>
                  <a:defRPr/>
                </a:pPr>
                <a:r>
                  <a:rPr lang="en-US"/>
                  <a:t>Concentration</a:t>
                </a:r>
                <a:r>
                  <a:rPr lang="en-US" baseline="0"/>
                  <a:t> of cadmium (mg/kg)</a:t>
                </a:r>
                <a:endParaRPr lang="en-US"/>
              </a:p>
            </c:rich>
          </c:tx>
          <c:overlay val="0"/>
        </c:title>
        <c:numFmt formatCode="General" sourceLinked="1"/>
        <c:majorTickMark val="out"/>
        <c:minorTickMark val="none"/>
        <c:tickLblPos val="nextTo"/>
        <c:crossAx val="1645393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Sheet3!$A$2</c:f>
              <c:strCache>
                <c:ptCount val="1"/>
                <c:pt idx="0">
                  <c:v>Soil</c:v>
                </c:pt>
              </c:strCache>
            </c:strRef>
          </c:tx>
          <c:cat>
            <c:strRef>
              <c:f>Sheet3!$B$1:$D$1</c:f>
              <c:strCache>
                <c:ptCount val="3"/>
                <c:pt idx="0">
                  <c:v>AB</c:v>
                </c:pt>
                <c:pt idx="1">
                  <c:v>P</c:v>
                </c:pt>
                <c:pt idx="2">
                  <c:v>A</c:v>
                </c:pt>
              </c:strCache>
            </c:strRef>
          </c:cat>
          <c:val>
            <c:numRef>
              <c:f>Sheet3!$B$2:$D$2</c:f>
              <c:numCache>
                <c:formatCode>General</c:formatCode>
                <c:ptCount val="3"/>
                <c:pt idx="0">
                  <c:v>81.5</c:v>
                </c:pt>
                <c:pt idx="1">
                  <c:v>511</c:v>
                </c:pt>
                <c:pt idx="2">
                  <c:v>402.8</c:v>
                </c:pt>
              </c:numCache>
            </c:numRef>
          </c:val>
          <c:smooth val="0"/>
          <c:extLst>
            <c:ext xmlns:c16="http://schemas.microsoft.com/office/drawing/2014/chart" uri="{C3380CC4-5D6E-409C-BE32-E72D297353CC}">
              <c16:uniqueId val="{00000000-E353-44B8-B6CD-DD092B1877CA}"/>
            </c:ext>
          </c:extLst>
        </c:ser>
        <c:ser>
          <c:idx val="1"/>
          <c:order val="1"/>
          <c:tx>
            <c:strRef>
              <c:f>Sheet3!$A$3</c:f>
              <c:strCache>
                <c:ptCount val="1"/>
                <c:pt idx="0">
                  <c:v>Wastes</c:v>
                </c:pt>
              </c:strCache>
            </c:strRef>
          </c:tx>
          <c:cat>
            <c:strRef>
              <c:f>Sheet3!$B$1:$D$1</c:f>
              <c:strCache>
                <c:ptCount val="3"/>
                <c:pt idx="0">
                  <c:v>AB</c:v>
                </c:pt>
                <c:pt idx="1">
                  <c:v>P</c:v>
                </c:pt>
                <c:pt idx="2">
                  <c:v>A</c:v>
                </c:pt>
              </c:strCache>
            </c:strRef>
          </c:cat>
          <c:val>
            <c:numRef>
              <c:f>Sheet3!$B$3:$D$3</c:f>
              <c:numCache>
                <c:formatCode>General</c:formatCode>
                <c:ptCount val="3"/>
                <c:pt idx="0">
                  <c:v>243</c:v>
                </c:pt>
                <c:pt idx="1">
                  <c:v>1413.1</c:v>
                </c:pt>
                <c:pt idx="2">
                  <c:v>1051</c:v>
                </c:pt>
              </c:numCache>
            </c:numRef>
          </c:val>
          <c:smooth val="0"/>
          <c:extLst>
            <c:ext xmlns:c16="http://schemas.microsoft.com/office/drawing/2014/chart" uri="{C3380CC4-5D6E-409C-BE32-E72D297353CC}">
              <c16:uniqueId val="{00000001-E353-44B8-B6CD-DD092B1877CA}"/>
            </c:ext>
          </c:extLst>
        </c:ser>
        <c:dLbls>
          <c:showLegendKey val="0"/>
          <c:showVal val="0"/>
          <c:showCatName val="0"/>
          <c:showSerName val="0"/>
          <c:showPercent val="0"/>
          <c:showBubbleSize val="0"/>
        </c:dLbls>
        <c:marker val="1"/>
        <c:smooth val="0"/>
        <c:axId val="172358272"/>
        <c:axId val="172397312"/>
      </c:lineChart>
      <c:catAx>
        <c:axId val="172358272"/>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72397312"/>
        <c:crosses val="autoZero"/>
        <c:auto val="1"/>
        <c:lblAlgn val="ctr"/>
        <c:lblOffset val="100"/>
        <c:noMultiLvlLbl val="0"/>
      </c:catAx>
      <c:valAx>
        <c:axId val="172397312"/>
        <c:scaling>
          <c:orientation val="minMax"/>
        </c:scaling>
        <c:delete val="0"/>
        <c:axPos val="l"/>
        <c:title>
          <c:tx>
            <c:rich>
              <a:bodyPr/>
              <a:lstStyle/>
              <a:p>
                <a:pPr>
                  <a:defRPr/>
                </a:pPr>
                <a:r>
                  <a:rPr lang="en-US"/>
                  <a:t>Concentration</a:t>
                </a:r>
                <a:r>
                  <a:rPr lang="en-US" baseline="0"/>
                  <a:t> of chromium (mg/kg)</a:t>
                </a:r>
                <a:endParaRPr lang="en-US"/>
              </a:p>
            </c:rich>
          </c:tx>
          <c:overlay val="0"/>
        </c:title>
        <c:numFmt formatCode="General" sourceLinked="1"/>
        <c:majorTickMark val="out"/>
        <c:minorTickMark val="none"/>
        <c:tickLblPos val="nextTo"/>
        <c:crossAx val="1723582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Sheet4!$A$2</c:f>
              <c:strCache>
                <c:ptCount val="1"/>
                <c:pt idx="0">
                  <c:v>Soil</c:v>
                </c:pt>
              </c:strCache>
            </c:strRef>
          </c:tx>
          <c:cat>
            <c:strRef>
              <c:f>Sheet4!$B$1:$D$1</c:f>
              <c:strCache>
                <c:ptCount val="3"/>
                <c:pt idx="0">
                  <c:v>AB</c:v>
                </c:pt>
                <c:pt idx="1">
                  <c:v>P</c:v>
                </c:pt>
                <c:pt idx="2">
                  <c:v>A</c:v>
                </c:pt>
              </c:strCache>
            </c:strRef>
          </c:cat>
          <c:val>
            <c:numRef>
              <c:f>Sheet4!$B$2:$D$2</c:f>
              <c:numCache>
                <c:formatCode>General</c:formatCode>
                <c:ptCount val="3"/>
                <c:pt idx="0">
                  <c:v>99.2</c:v>
                </c:pt>
                <c:pt idx="1">
                  <c:v>137.6</c:v>
                </c:pt>
                <c:pt idx="2">
                  <c:v>226.1</c:v>
                </c:pt>
              </c:numCache>
            </c:numRef>
          </c:val>
          <c:smooth val="0"/>
          <c:extLst>
            <c:ext xmlns:c16="http://schemas.microsoft.com/office/drawing/2014/chart" uri="{C3380CC4-5D6E-409C-BE32-E72D297353CC}">
              <c16:uniqueId val="{00000000-A7EE-49FC-AC4C-3D46BD53A9E5}"/>
            </c:ext>
          </c:extLst>
        </c:ser>
        <c:ser>
          <c:idx val="1"/>
          <c:order val="1"/>
          <c:tx>
            <c:strRef>
              <c:f>Sheet4!$A$3</c:f>
              <c:strCache>
                <c:ptCount val="1"/>
                <c:pt idx="0">
                  <c:v>Wastes</c:v>
                </c:pt>
              </c:strCache>
            </c:strRef>
          </c:tx>
          <c:cat>
            <c:strRef>
              <c:f>Sheet4!$B$1:$D$1</c:f>
              <c:strCache>
                <c:ptCount val="3"/>
                <c:pt idx="0">
                  <c:v>AB</c:v>
                </c:pt>
                <c:pt idx="1">
                  <c:v>P</c:v>
                </c:pt>
                <c:pt idx="2">
                  <c:v>A</c:v>
                </c:pt>
              </c:strCache>
            </c:strRef>
          </c:cat>
          <c:val>
            <c:numRef>
              <c:f>Sheet4!$B$3:$D$3</c:f>
              <c:numCache>
                <c:formatCode>General</c:formatCode>
                <c:ptCount val="3"/>
                <c:pt idx="0">
                  <c:v>262</c:v>
                </c:pt>
                <c:pt idx="1">
                  <c:v>345</c:v>
                </c:pt>
                <c:pt idx="2">
                  <c:v>563</c:v>
                </c:pt>
              </c:numCache>
            </c:numRef>
          </c:val>
          <c:smooth val="0"/>
          <c:extLst>
            <c:ext xmlns:c16="http://schemas.microsoft.com/office/drawing/2014/chart" uri="{C3380CC4-5D6E-409C-BE32-E72D297353CC}">
              <c16:uniqueId val="{00000001-A7EE-49FC-AC4C-3D46BD53A9E5}"/>
            </c:ext>
          </c:extLst>
        </c:ser>
        <c:dLbls>
          <c:showLegendKey val="0"/>
          <c:showVal val="0"/>
          <c:showCatName val="0"/>
          <c:showSerName val="0"/>
          <c:showPercent val="0"/>
          <c:showBubbleSize val="0"/>
        </c:dLbls>
        <c:marker val="1"/>
        <c:smooth val="0"/>
        <c:axId val="173553920"/>
        <c:axId val="173568384"/>
      </c:lineChart>
      <c:catAx>
        <c:axId val="173553920"/>
        <c:scaling>
          <c:orientation val="minMax"/>
        </c:scaling>
        <c:delete val="0"/>
        <c:axPos val="b"/>
        <c:title>
          <c:tx>
            <c:rich>
              <a:bodyPr/>
              <a:lstStyle/>
              <a:p>
                <a:pPr>
                  <a:defRPr/>
                </a:pPr>
                <a:r>
                  <a:rPr lang="en-US"/>
                  <a:t>Different dumpsite soils</a:t>
                </a:r>
              </a:p>
            </c:rich>
          </c:tx>
          <c:overlay val="0"/>
        </c:title>
        <c:numFmt formatCode="General" sourceLinked="0"/>
        <c:majorTickMark val="none"/>
        <c:minorTickMark val="none"/>
        <c:tickLblPos val="nextTo"/>
        <c:crossAx val="173568384"/>
        <c:crosses val="autoZero"/>
        <c:auto val="1"/>
        <c:lblAlgn val="ctr"/>
        <c:lblOffset val="100"/>
        <c:noMultiLvlLbl val="0"/>
      </c:catAx>
      <c:valAx>
        <c:axId val="173568384"/>
        <c:scaling>
          <c:orientation val="minMax"/>
        </c:scaling>
        <c:delete val="0"/>
        <c:axPos val="l"/>
        <c:title>
          <c:tx>
            <c:rich>
              <a:bodyPr/>
              <a:lstStyle/>
              <a:p>
                <a:pPr>
                  <a:defRPr/>
                </a:pPr>
                <a:r>
                  <a:rPr lang="en-US"/>
                  <a:t>Concentrations</a:t>
                </a:r>
                <a:r>
                  <a:rPr lang="en-US" baseline="0"/>
                  <a:t> of nickel (mg/kg)</a:t>
                </a:r>
                <a:endParaRPr lang="en-US"/>
              </a:p>
            </c:rich>
          </c:tx>
          <c:overlay val="0"/>
        </c:title>
        <c:numFmt formatCode="General" sourceLinked="1"/>
        <c:majorTickMark val="out"/>
        <c:minorTickMark val="none"/>
        <c:tickLblPos val="nextTo"/>
        <c:crossAx val="173553920"/>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Sheet5!$A$2</c:f>
              <c:strCache>
                <c:ptCount val="1"/>
                <c:pt idx="0">
                  <c:v>Soil</c:v>
                </c:pt>
              </c:strCache>
            </c:strRef>
          </c:tx>
          <c:cat>
            <c:strRef>
              <c:f>Sheet5!$B$1:$D$1</c:f>
              <c:strCache>
                <c:ptCount val="3"/>
                <c:pt idx="0">
                  <c:v>AB</c:v>
                </c:pt>
                <c:pt idx="1">
                  <c:v>P</c:v>
                </c:pt>
                <c:pt idx="2">
                  <c:v>A</c:v>
                </c:pt>
              </c:strCache>
            </c:strRef>
          </c:cat>
          <c:val>
            <c:numRef>
              <c:f>Sheet5!$B$2:$D$2</c:f>
              <c:numCache>
                <c:formatCode>General</c:formatCode>
                <c:ptCount val="3"/>
                <c:pt idx="0">
                  <c:v>81</c:v>
                </c:pt>
                <c:pt idx="1">
                  <c:v>179.3</c:v>
                </c:pt>
                <c:pt idx="2">
                  <c:v>152.69999999999999</c:v>
                </c:pt>
              </c:numCache>
            </c:numRef>
          </c:val>
          <c:smooth val="0"/>
          <c:extLst>
            <c:ext xmlns:c16="http://schemas.microsoft.com/office/drawing/2014/chart" uri="{C3380CC4-5D6E-409C-BE32-E72D297353CC}">
              <c16:uniqueId val="{00000000-E69A-4813-8A8F-EF26C5200C77}"/>
            </c:ext>
          </c:extLst>
        </c:ser>
        <c:ser>
          <c:idx val="1"/>
          <c:order val="1"/>
          <c:tx>
            <c:strRef>
              <c:f>Sheet5!$A$3</c:f>
              <c:strCache>
                <c:ptCount val="1"/>
                <c:pt idx="0">
                  <c:v>Wastes</c:v>
                </c:pt>
              </c:strCache>
            </c:strRef>
          </c:tx>
          <c:cat>
            <c:strRef>
              <c:f>Sheet5!$B$1:$D$1</c:f>
              <c:strCache>
                <c:ptCount val="3"/>
                <c:pt idx="0">
                  <c:v>AB</c:v>
                </c:pt>
                <c:pt idx="1">
                  <c:v>P</c:v>
                </c:pt>
                <c:pt idx="2">
                  <c:v>A</c:v>
                </c:pt>
              </c:strCache>
            </c:strRef>
          </c:cat>
          <c:val>
            <c:numRef>
              <c:f>Sheet5!$B$3:$D$3</c:f>
              <c:numCache>
                <c:formatCode>General</c:formatCode>
                <c:ptCount val="3"/>
                <c:pt idx="0">
                  <c:v>226</c:v>
                </c:pt>
                <c:pt idx="1">
                  <c:v>487</c:v>
                </c:pt>
                <c:pt idx="2">
                  <c:v>507</c:v>
                </c:pt>
              </c:numCache>
            </c:numRef>
          </c:val>
          <c:smooth val="0"/>
          <c:extLst>
            <c:ext xmlns:c16="http://schemas.microsoft.com/office/drawing/2014/chart" uri="{C3380CC4-5D6E-409C-BE32-E72D297353CC}">
              <c16:uniqueId val="{00000001-E69A-4813-8A8F-EF26C5200C77}"/>
            </c:ext>
          </c:extLst>
        </c:ser>
        <c:dLbls>
          <c:showLegendKey val="0"/>
          <c:showVal val="0"/>
          <c:showCatName val="0"/>
          <c:showSerName val="0"/>
          <c:showPercent val="0"/>
          <c:showBubbleSize val="0"/>
        </c:dLbls>
        <c:marker val="1"/>
        <c:smooth val="0"/>
        <c:axId val="173578112"/>
        <c:axId val="173596672"/>
      </c:lineChart>
      <c:catAx>
        <c:axId val="173578112"/>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73596672"/>
        <c:crosses val="autoZero"/>
        <c:auto val="1"/>
        <c:lblAlgn val="ctr"/>
        <c:lblOffset val="100"/>
        <c:noMultiLvlLbl val="0"/>
      </c:catAx>
      <c:valAx>
        <c:axId val="173596672"/>
        <c:scaling>
          <c:orientation val="minMax"/>
        </c:scaling>
        <c:delete val="0"/>
        <c:axPos val="l"/>
        <c:title>
          <c:tx>
            <c:rich>
              <a:bodyPr/>
              <a:lstStyle/>
              <a:p>
                <a:pPr>
                  <a:defRPr/>
                </a:pPr>
                <a:r>
                  <a:rPr lang="en-US"/>
                  <a:t>Concentration</a:t>
                </a:r>
                <a:r>
                  <a:rPr lang="en-US" baseline="0"/>
                  <a:t> of vanadium (mg/kg)</a:t>
                </a:r>
                <a:endParaRPr lang="en-US"/>
              </a:p>
            </c:rich>
          </c:tx>
          <c:overlay val="0"/>
        </c:title>
        <c:numFmt formatCode="General" sourceLinked="1"/>
        <c:majorTickMark val="out"/>
        <c:minorTickMark val="none"/>
        <c:tickLblPos val="nextTo"/>
        <c:crossAx val="1735781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Sheet6!$B$1:$E$1</c:f>
              <c:strCache>
                <c:ptCount val="4"/>
                <c:pt idx="0">
                  <c:v>C</c:v>
                </c:pt>
                <c:pt idx="1">
                  <c:v>AB</c:v>
                </c:pt>
                <c:pt idx="2">
                  <c:v>P</c:v>
                </c:pt>
                <c:pt idx="3">
                  <c:v>A</c:v>
                </c:pt>
              </c:strCache>
            </c:strRef>
          </c:cat>
          <c:val>
            <c:numRef>
              <c:f>Sheet6!$B$2:$E$2</c:f>
              <c:numCache>
                <c:formatCode>General</c:formatCode>
                <c:ptCount val="4"/>
                <c:pt idx="0">
                  <c:v>7</c:v>
                </c:pt>
                <c:pt idx="1">
                  <c:v>54</c:v>
                </c:pt>
                <c:pt idx="2">
                  <c:v>1548</c:v>
                </c:pt>
                <c:pt idx="3">
                  <c:v>3918</c:v>
                </c:pt>
              </c:numCache>
            </c:numRef>
          </c:val>
          <c:extLst>
            <c:ext xmlns:c16="http://schemas.microsoft.com/office/drawing/2014/chart" uri="{C3380CC4-5D6E-409C-BE32-E72D297353CC}">
              <c16:uniqueId val="{00000000-A1C4-4120-836D-EB6443E81393}"/>
            </c:ext>
          </c:extLst>
        </c:ser>
        <c:dLbls>
          <c:showLegendKey val="0"/>
          <c:showVal val="0"/>
          <c:showCatName val="0"/>
          <c:showSerName val="0"/>
          <c:showPercent val="0"/>
          <c:showBubbleSize val="0"/>
        </c:dLbls>
        <c:gapWidth val="300"/>
        <c:axId val="182714752"/>
        <c:axId val="182716672"/>
      </c:barChart>
      <c:catAx>
        <c:axId val="182714752"/>
        <c:scaling>
          <c:orientation val="minMax"/>
        </c:scaling>
        <c:delete val="0"/>
        <c:axPos val="b"/>
        <c:title>
          <c:tx>
            <c:rich>
              <a:bodyPr/>
              <a:lstStyle/>
              <a:p>
                <a:pPr>
                  <a:defRPr/>
                </a:pPr>
                <a:r>
                  <a:rPr lang="en-US"/>
                  <a:t>Different dumpsite</a:t>
                </a:r>
                <a:r>
                  <a:rPr lang="en-US" baseline="0"/>
                  <a:t> soils</a:t>
                </a:r>
                <a:endParaRPr lang="en-US"/>
              </a:p>
            </c:rich>
          </c:tx>
          <c:overlay val="0"/>
        </c:title>
        <c:numFmt formatCode="General" sourceLinked="0"/>
        <c:majorTickMark val="none"/>
        <c:minorTickMark val="none"/>
        <c:tickLblPos val="nextTo"/>
        <c:crossAx val="182716672"/>
        <c:crosses val="autoZero"/>
        <c:auto val="1"/>
        <c:lblAlgn val="ctr"/>
        <c:lblOffset val="100"/>
        <c:noMultiLvlLbl val="0"/>
      </c:catAx>
      <c:valAx>
        <c:axId val="182716672"/>
        <c:scaling>
          <c:orientation val="minMax"/>
        </c:scaling>
        <c:delete val="0"/>
        <c:axPos val="l"/>
        <c:title>
          <c:tx>
            <c:rich>
              <a:bodyPr/>
              <a:lstStyle/>
              <a:p>
                <a:pPr>
                  <a:defRPr/>
                </a:pPr>
                <a:r>
                  <a:rPr lang="en-US"/>
                  <a:t>Concentration</a:t>
                </a:r>
                <a:r>
                  <a:rPr lang="en-US" baseline="0"/>
                  <a:t> of lead (mg/kg)</a:t>
                </a:r>
                <a:endParaRPr lang="en-US"/>
              </a:p>
            </c:rich>
          </c:tx>
          <c:overlay val="0"/>
        </c:title>
        <c:numFmt formatCode="General" sourceLinked="1"/>
        <c:majorTickMark val="out"/>
        <c:minorTickMark val="none"/>
        <c:tickLblPos val="nextTo"/>
        <c:crossAx val="18271475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Sheet7!$A$1:$D$1</c:f>
              <c:strCache>
                <c:ptCount val="4"/>
                <c:pt idx="0">
                  <c:v>C</c:v>
                </c:pt>
                <c:pt idx="1">
                  <c:v>AB</c:v>
                </c:pt>
                <c:pt idx="2">
                  <c:v>P</c:v>
                </c:pt>
                <c:pt idx="3">
                  <c:v>A</c:v>
                </c:pt>
              </c:strCache>
            </c:strRef>
          </c:cat>
          <c:val>
            <c:numRef>
              <c:f>Sheet7!$A$2:$D$2</c:f>
              <c:numCache>
                <c:formatCode>General</c:formatCode>
                <c:ptCount val="4"/>
                <c:pt idx="0">
                  <c:v>0.6</c:v>
                </c:pt>
                <c:pt idx="1">
                  <c:v>20.7</c:v>
                </c:pt>
                <c:pt idx="2">
                  <c:v>90.1</c:v>
                </c:pt>
                <c:pt idx="3">
                  <c:v>116.5</c:v>
                </c:pt>
              </c:numCache>
            </c:numRef>
          </c:val>
          <c:extLst>
            <c:ext xmlns:c16="http://schemas.microsoft.com/office/drawing/2014/chart" uri="{C3380CC4-5D6E-409C-BE32-E72D297353CC}">
              <c16:uniqueId val="{00000000-7942-4F32-9DDD-436E99AE073B}"/>
            </c:ext>
          </c:extLst>
        </c:ser>
        <c:dLbls>
          <c:showLegendKey val="0"/>
          <c:showVal val="0"/>
          <c:showCatName val="0"/>
          <c:showSerName val="0"/>
          <c:showPercent val="0"/>
          <c:showBubbleSize val="0"/>
        </c:dLbls>
        <c:gapWidth val="300"/>
        <c:axId val="187640064"/>
        <c:axId val="187650432"/>
      </c:barChart>
      <c:catAx>
        <c:axId val="187640064"/>
        <c:scaling>
          <c:orientation val="minMax"/>
        </c:scaling>
        <c:delete val="0"/>
        <c:axPos val="b"/>
        <c:title>
          <c:tx>
            <c:rich>
              <a:bodyPr/>
              <a:lstStyle/>
              <a:p>
                <a:pPr>
                  <a:defRPr/>
                </a:pPr>
                <a:r>
                  <a:rPr lang="en-US"/>
                  <a:t>Different dumpsite soils</a:t>
                </a:r>
              </a:p>
            </c:rich>
          </c:tx>
          <c:layout>
            <c:manualLayout>
              <c:xMode val="edge"/>
              <c:yMode val="edge"/>
              <c:x val="0.4321959755030621"/>
              <c:y val="0.87868037328667248"/>
            </c:manualLayout>
          </c:layout>
          <c:overlay val="0"/>
        </c:title>
        <c:numFmt formatCode="General" sourceLinked="0"/>
        <c:majorTickMark val="none"/>
        <c:minorTickMark val="none"/>
        <c:tickLblPos val="nextTo"/>
        <c:crossAx val="187650432"/>
        <c:crosses val="autoZero"/>
        <c:auto val="1"/>
        <c:lblAlgn val="ctr"/>
        <c:lblOffset val="100"/>
        <c:noMultiLvlLbl val="0"/>
      </c:catAx>
      <c:valAx>
        <c:axId val="187650432"/>
        <c:scaling>
          <c:orientation val="minMax"/>
        </c:scaling>
        <c:delete val="0"/>
        <c:axPos val="l"/>
        <c:title>
          <c:tx>
            <c:rich>
              <a:bodyPr/>
              <a:lstStyle/>
              <a:p>
                <a:pPr>
                  <a:defRPr/>
                </a:pPr>
                <a:r>
                  <a:rPr lang="en-US"/>
                  <a:t>Concentration</a:t>
                </a:r>
                <a:r>
                  <a:rPr lang="en-US" baseline="0"/>
                  <a:t> of cadmium (mg/kg)</a:t>
                </a:r>
                <a:endParaRPr lang="en-US"/>
              </a:p>
            </c:rich>
          </c:tx>
          <c:overlay val="0"/>
        </c:title>
        <c:numFmt formatCode="General" sourceLinked="1"/>
        <c:majorTickMark val="out"/>
        <c:minorTickMark val="none"/>
        <c:tickLblPos val="nextTo"/>
        <c:crossAx val="187640064"/>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Sheet8!$A$1:$D$1</c:f>
              <c:strCache>
                <c:ptCount val="4"/>
                <c:pt idx="0">
                  <c:v>C</c:v>
                </c:pt>
                <c:pt idx="1">
                  <c:v>AB</c:v>
                </c:pt>
                <c:pt idx="2">
                  <c:v>P</c:v>
                </c:pt>
                <c:pt idx="3">
                  <c:v>A</c:v>
                </c:pt>
              </c:strCache>
            </c:strRef>
          </c:cat>
          <c:val>
            <c:numRef>
              <c:f>Sheet8!$A$2:$D$2</c:f>
              <c:numCache>
                <c:formatCode>General</c:formatCode>
                <c:ptCount val="4"/>
                <c:pt idx="0">
                  <c:v>1</c:v>
                </c:pt>
                <c:pt idx="1">
                  <c:v>81.5</c:v>
                </c:pt>
                <c:pt idx="2">
                  <c:v>511</c:v>
                </c:pt>
                <c:pt idx="3">
                  <c:v>402.8</c:v>
                </c:pt>
              </c:numCache>
            </c:numRef>
          </c:val>
          <c:extLst>
            <c:ext xmlns:c16="http://schemas.microsoft.com/office/drawing/2014/chart" uri="{C3380CC4-5D6E-409C-BE32-E72D297353CC}">
              <c16:uniqueId val="{00000000-EF0F-4411-88BB-B1D63C17D469}"/>
            </c:ext>
          </c:extLst>
        </c:ser>
        <c:dLbls>
          <c:showLegendKey val="0"/>
          <c:showVal val="0"/>
          <c:showCatName val="0"/>
          <c:showSerName val="0"/>
          <c:showPercent val="0"/>
          <c:showBubbleSize val="0"/>
        </c:dLbls>
        <c:gapWidth val="300"/>
        <c:axId val="196956544"/>
        <c:axId val="196958464"/>
      </c:barChart>
      <c:catAx>
        <c:axId val="196956544"/>
        <c:scaling>
          <c:orientation val="minMax"/>
        </c:scaling>
        <c:delete val="0"/>
        <c:axPos val="b"/>
        <c:title>
          <c:tx>
            <c:rich>
              <a:bodyPr/>
              <a:lstStyle/>
              <a:p>
                <a:pPr>
                  <a:defRPr/>
                </a:pPr>
                <a:r>
                  <a:rPr lang="en-US"/>
                  <a:t>Different dumpsite soils</a:t>
                </a:r>
              </a:p>
            </c:rich>
          </c:tx>
          <c:overlay val="0"/>
        </c:title>
        <c:numFmt formatCode="General" sourceLinked="0"/>
        <c:majorTickMark val="none"/>
        <c:minorTickMark val="none"/>
        <c:tickLblPos val="nextTo"/>
        <c:crossAx val="196958464"/>
        <c:crosses val="autoZero"/>
        <c:auto val="1"/>
        <c:lblAlgn val="ctr"/>
        <c:lblOffset val="100"/>
        <c:noMultiLvlLbl val="0"/>
      </c:catAx>
      <c:valAx>
        <c:axId val="196958464"/>
        <c:scaling>
          <c:orientation val="minMax"/>
        </c:scaling>
        <c:delete val="0"/>
        <c:axPos val="l"/>
        <c:title>
          <c:tx>
            <c:rich>
              <a:bodyPr/>
              <a:lstStyle/>
              <a:p>
                <a:pPr>
                  <a:defRPr/>
                </a:pPr>
                <a:r>
                  <a:rPr lang="en-US"/>
                  <a:t>Concentration of chromium (mg/kg)</a:t>
                </a:r>
              </a:p>
            </c:rich>
          </c:tx>
          <c:overlay val="0"/>
        </c:title>
        <c:numFmt formatCode="General" sourceLinked="1"/>
        <c:majorTickMark val="out"/>
        <c:minorTickMark val="none"/>
        <c:tickLblPos val="nextTo"/>
        <c:crossAx val="19695654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Sheet9!$A$1:$D$1</c:f>
              <c:strCache>
                <c:ptCount val="4"/>
                <c:pt idx="0">
                  <c:v>C</c:v>
                </c:pt>
                <c:pt idx="1">
                  <c:v>AB</c:v>
                </c:pt>
                <c:pt idx="2">
                  <c:v>P</c:v>
                </c:pt>
                <c:pt idx="3">
                  <c:v>A</c:v>
                </c:pt>
              </c:strCache>
            </c:strRef>
          </c:cat>
          <c:val>
            <c:numRef>
              <c:f>Sheet9!$A$2:$D$2</c:f>
              <c:numCache>
                <c:formatCode>General</c:formatCode>
                <c:ptCount val="4"/>
                <c:pt idx="0">
                  <c:v>4</c:v>
                </c:pt>
                <c:pt idx="1">
                  <c:v>99.2</c:v>
                </c:pt>
                <c:pt idx="2">
                  <c:v>137.6</c:v>
                </c:pt>
                <c:pt idx="3">
                  <c:v>226.1</c:v>
                </c:pt>
              </c:numCache>
            </c:numRef>
          </c:val>
          <c:extLst>
            <c:ext xmlns:c16="http://schemas.microsoft.com/office/drawing/2014/chart" uri="{C3380CC4-5D6E-409C-BE32-E72D297353CC}">
              <c16:uniqueId val="{00000000-D554-460A-8BDA-3094164F4D3D}"/>
            </c:ext>
          </c:extLst>
        </c:ser>
        <c:dLbls>
          <c:showLegendKey val="0"/>
          <c:showVal val="0"/>
          <c:showCatName val="0"/>
          <c:showSerName val="0"/>
          <c:showPercent val="0"/>
          <c:showBubbleSize val="0"/>
        </c:dLbls>
        <c:gapWidth val="300"/>
        <c:axId val="196991232"/>
        <c:axId val="196993408"/>
      </c:barChart>
      <c:catAx>
        <c:axId val="196991232"/>
        <c:scaling>
          <c:orientation val="minMax"/>
        </c:scaling>
        <c:delete val="0"/>
        <c:axPos val="b"/>
        <c:title>
          <c:tx>
            <c:rich>
              <a:bodyPr/>
              <a:lstStyle/>
              <a:p>
                <a:pPr>
                  <a:defRPr/>
                </a:pPr>
                <a:r>
                  <a:rPr lang="en-US"/>
                  <a:t>Different dumpsite</a:t>
                </a:r>
                <a:r>
                  <a:rPr lang="en-US" baseline="0"/>
                  <a:t> soils</a:t>
                </a:r>
                <a:endParaRPr lang="en-US"/>
              </a:p>
            </c:rich>
          </c:tx>
          <c:overlay val="0"/>
        </c:title>
        <c:numFmt formatCode="General" sourceLinked="0"/>
        <c:majorTickMark val="none"/>
        <c:minorTickMark val="none"/>
        <c:tickLblPos val="nextTo"/>
        <c:crossAx val="196993408"/>
        <c:crosses val="autoZero"/>
        <c:auto val="1"/>
        <c:lblAlgn val="ctr"/>
        <c:lblOffset val="100"/>
        <c:noMultiLvlLbl val="0"/>
      </c:catAx>
      <c:valAx>
        <c:axId val="196993408"/>
        <c:scaling>
          <c:orientation val="minMax"/>
        </c:scaling>
        <c:delete val="0"/>
        <c:axPos val="l"/>
        <c:title>
          <c:tx>
            <c:rich>
              <a:bodyPr/>
              <a:lstStyle/>
              <a:p>
                <a:pPr>
                  <a:defRPr/>
                </a:pPr>
                <a:r>
                  <a:rPr lang="en-US"/>
                  <a:t>Concentration</a:t>
                </a:r>
                <a:r>
                  <a:rPr lang="en-US" baseline="0"/>
                  <a:t> of nickel (mg/kg)</a:t>
                </a:r>
                <a:endParaRPr lang="en-US"/>
              </a:p>
            </c:rich>
          </c:tx>
          <c:overlay val="0"/>
        </c:title>
        <c:numFmt formatCode="General" sourceLinked="1"/>
        <c:majorTickMark val="out"/>
        <c:minorTickMark val="none"/>
        <c:tickLblPos val="nextTo"/>
        <c:crossAx val="196991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B874-872B-4556-AE59-77AA89BA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32</Pages>
  <Words>9614</Words>
  <Characters>54804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cp:revision>
  <dcterms:created xsi:type="dcterms:W3CDTF">2025-10-20T08:42:00Z</dcterms:created>
  <dcterms:modified xsi:type="dcterms:W3CDTF">2026-01-24T11:08:00Z</dcterms:modified>
</cp:coreProperties>
</file>