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B513" w14:textId="597CCCD8" w:rsidR="00DC226B" w:rsidRPr="007F6CB3" w:rsidRDefault="00DC226B" w:rsidP="00DC226B">
      <w:pPr>
        <w:jc w:val="center"/>
        <w:rPr>
          <w:rFonts w:ascii="Times New Roman" w:hAnsi="Times New Roman" w:cs="Times New Roman"/>
          <w:b/>
          <w:bCs/>
          <w:sz w:val="24"/>
          <w:szCs w:val="24"/>
        </w:rPr>
      </w:pPr>
      <w:r w:rsidRPr="007F6CB3">
        <w:rPr>
          <w:rFonts w:ascii="Times New Roman" w:hAnsi="Times New Roman" w:cs="Times New Roman"/>
          <w:b/>
          <w:bCs/>
          <w:sz w:val="24"/>
          <w:szCs w:val="24"/>
        </w:rPr>
        <w:t>ETHNO-BOTANICAL STUDIES OF SWEET POTATO (</w:t>
      </w:r>
      <w:proofErr w:type="spellStart"/>
      <w:r w:rsidRPr="007F6CB3">
        <w:rPr>
          <w:rFonts w:ascii="Times New Roman" w:hAnsi="Times New Roman" w:cs="Times New Roman"/>
          <w:b/>
          <w:bCs/>
          <w:i/>
          <w:iCs/>
          <w:sz w:val="24"/>
          <w:szCs w:val="24"/>
        </w:rPr>
        <w:t>Ipomea</w:t>
      </w:r>
      <w:proofErr w:type="spellEnd"/>
      <w:r w:rsidRPr="007F6CB3">
        <w:rPr>
          <w:rFonts w:ascii="Times New Roman" w:hAnsi="Times New Roman" w:cs="Times New Roman"/>
          <w:b/>
          <w:bCs/>
          <w:sz w:val="24"/>
          <w:szCs w:val="24"/>
        </w:rPr>
        <w:t xml:space="preserve"> </w:t>
      </w:r>
      <w:r w:rsidRPr="007F6CB3">
        <w:rPr>
          <w:rFonts w:ascii="Times New Roman" w:hAnsi="Times New Roman" w:cs="Times New Roman"/>
          <w:b/>
          <w:bCs/>
          <w:i/>
          <w:iCs/>
          <w:sz w:val="24"/>
          <w:szCs w:val="24"/>
        </w:rPr>
        <w:t>batatas</w:t>
      </w:r>
      <w:r w:rsidRPr="007F6CB3">
        <w:rPr>
          <w:rFonts w:ascii="Times New Roman" w:hAnsi="Times New Roman" w:cs="Times New Roman"/>
          <w:b/>
          <w:bCs/>
          <w:sz w:val="24"/>
          <w:szCs w:val="24"/>
        </w:rPr>
        <w:t xml:space="preserve"> (L.) Lam.) IN ANAMBRA STATE</w:t>
      </w:r>
      <w:r w:rsidR="00D341F6" w:rsidRPr="007F6CB3">
        <w:rPr>
          <w:rFonts w:ascii="Times New Roman" w:hAnsi="Times New Roman" w:cs="Times New Roman"/>
          <w:b/>
          <w:bCs/>
          <w:sz w:val="24"/>
          <w:szCs w:val="24"/>
        </w:rPr>
        <w:t>, NIGERIA: CULTURAL USES, TRADITIONAL STORAGE SYSTEMS AND INDIGENOUS CONSERVATION KNOWLEDGE.</w:t>
      </w:r>
    </w:p>
    <w:p w14:paraId="2B3B7A48" w14:textId="77777777" w:rsidR="00DC226B" w:rsidRPr="007F6CB3" w:rsidRDefault="00DC226B" w:rsidP="00DC226B">
      <w:pPr>
        <w:spacing w:line="480" w:lineRule="auto"/>
        <w:jc w:val="center"/>
        <w:rPr>
          <w:rFonts w:ascii="Times New Roman" w:hAnsi="Times New Roman" w:cs="Times New Roman"/>
          <w:b/>
          <w:bCs/>
          <w:sz w:val="24"/>
          <w:szCs w:val="24"/>
        </w:rPr>
      </w:pPr>
    </w:p>
    <w:p w14:paraId="7DAF810C" w14:textId="77777777" w:rsidR="007F6CB3" w:rsidRDefault="007F6CB3" w:rsidP="00B013F0">
      <w:pPr>
        <w:rPr>
          <w:rFonts w:ascii="Times New Roman" w:hAnsi="Times New Roman" w:cs="Times New Roman"/>
          <w:b/>
          <w:bCs/>
          <w:sz w:val="24"/>
          <w:szCs w:val="24"/>
        </w:rPr>
      </w:pPr>
      <w:bookmarkStart w:id="0" w:name="_Hlk221323213"/>
      <w:bookmarkStart w:id="1" w:name="_GoBack"/>
      <w:bookmarkEnd w:id="1"/>
    </w:p>
    <w:p w14:paraId="20191EFA" w14:textId="77777777" w:rsidR="007F6CB3" w:rsidRDefault="007F6CB3" w:rsidP="00B013F0">
      <w:pPr>
        <w:rPr>
          <w:rFonts w:ascii="Times New Roman" w:hAnsi="Times New Roman" w:cs="Times New Roman"/>
          <w:b/>
          <w:bCs/>
          <w:sz w:val="24"/>
          <w:szCs w:val="24"/>
        </w:rPr>
      </w:pPr>
    </w:p>
    <w:p w14:paraId="13853615" w14:textId="77777777" w:rsidR="007F6CB3" w:rsidRDefault="007F6CB3" w:rsidP="00B013F0">
      <w:pPr>
        <w:rPr>
          <w:rFonts w:ascii="Times New Roman" w:hAnsi="Times New Roman" w:cs="Times New Roman"/>
          <w:b/>
          <w:bCs/>
          <w:sz w:val="24"/>
          <w:szCs w:val="24"/>
        </w:rPr>
      </w:pPr>
    </w:p>
    <w:p w14:paraId="3F3C26F7" w14:textId="77777777" w:rsidR="007F6CB3" w:rsidRDefault="007F6CB3" w:rsidP="00B013F0">
      <w:pPr>
        <w:rPr>
          <w:rFonts w:ascii="Times New Roman" w:hAnsi="Times New Roman" w:cs="Times New Roman"/>
          <w:b/>
          <w:bCs/>
          <w:sz w:val="24"/>
          <w:szCs w:val="24"/>
        </w:rPr>
      </w:pPr>
    </w:p>
    <w:p w14:paraId="3C003E99" w14:textId="78786EB6"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Abstract</w:t>
      </w:r>
    </w:p>
    <w:p w14:paraId="706E58E2" w14:textId="77777777" w:rsidR="00B013F0" w:rsidRPr="007F6CB3" w:rsidRDefault="00B013F0" w:rsidP="00B013F0">
      <w:pPr>
        <w:rPr>
          <w:rFonts w:ascii="Times New Roman" w:hAnsi="Times New Roman" w:cs="Times New Roman"/>
          <w:sz w:val="24"/>
          <w:szCs w:val="24"/>
        </w:rPr>
      </w:pPr>
    </w:p>
    <w:p w14:paraId="5454C61E"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This study investigated the ethno-botanical knowledge, cultural significance, cultivation practices, post-harvest handling systems, conservation strategies, and awareness of biological control options for 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batatas (L.) Lam.) in Anambra State, Nigeria. A multistage sampling approach was adopted, and 600 structured questionnaires were distributed across the three senatorial zones—Anambra State (Anambra North, Anambra Central, and Anambra South)—with 348 valid responses retrieved (60%). Data were complemented with interviews, public meetings, field observations, and herbarium documentation.</w:t>
      </w:r>
    </w:p>
    <w:p w14:paraId="0D73ED9B"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Findings revealed that sweet potato production is predominantly smallholder and subsistence-oriented, with over 77% of farmers cultivating less than three acres. Traditional mound (51.7%) and ridge (34.5%) planting methods were widely practiced, alongside mixed use of organic manure (39.9%) and chemical fertilizers (43.4%). Manual harvesting (58.1%) and storage in sacks or barns (63.4% combined) were common, contributing to significant post-harvest losses. Storage was identified as the most critical stage for rot incidence (44.3%), with humidity (31.9%) and insect infestation (28.4%) being major preservation challenges.</w:t>
      </w:r>
    </w:p>
    <w:p w14:paraId="48273EE1"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 xml:space="preserve">Ethno-botanical analysis showed that sweet potato plays a central role in household food security (89.7%) and holds cultural relevance in ceremonies, festivals, and traditional medicine. Economically, 35.6% of respondents rely on sweet potato as a primary income source, though most derive less than 50% of their income from it. Despite low 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(29.3%) and Lactobacillus species (27.6%), farmers demonstrated strong willingness (48.3%) to adopt biological control technologies if proven effective and accessible.</w:t>
      </w:r>
    </w:p>
    <w:p w14:paraId="43A57768"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 xml:space="preserve">The study highlights the intersection of indigenous knowledge, cultural practices, and post-harvest challenges, underscoring the potential of integrating traditional systems with environmentally sustainable </w:t>
      </w:r>
      <w:proofErr w:type="spellStart"/>
      <w:r w:rsidRPr="007F6CB3">
        <w:rPr>
          <w:rFonts w:ascii="Times New Roman" w:hAnsi="Times New Roman" w:cs="Times New Roman"/>
          <w:sz w:val="24"/>
          <w:szCs w:val="24"/>
        </w:rPr>
        <w:t>biofungicide</w:t>
      </w:r>
      <w:proofErr w:type="spellEnd"/>
      <w:r w:rsidRPr="007F6CB3">
        <w:rPr>
          <w:rFonts w:ascii="Times New Roman" w:hAnsi="Times New Roman" w:cs="Times New Roman"/>
          <w:sz w:val="24"/>
          <w:szCs w:val="24"/>
        </w:rPr>
        <w:t xml:space="preserve"> technologies to reduce losses, improve income, and strengthen food security in southeastern Nigeria.</w:t>
      </w:r>
    </w:p>
    <w:p w14:paraId="333BB002" w14:textId="77777777" w:rsidR="00DF4474" w:rsidRDefault="00DF4474" w:rsidP="00B013F0">
      <w:pPr>
        <w:rPr>
          <w:rFonts w:ascii="Times New Roman" w:hAnsi="Times New Roman" w:cs="Times New Roman"/>
          <w:sz w:val="24"/>
          <w:szCs w:val="24"/>
        </w:rPr>
      </w:pPr>
    </w:p>
    <w:p w14:paraId="7AE7E68A" w14:textId="1C73ABB4" w:rsidR="00DF4474" w:rsidRDefault="00DF4474" w:rsidP="00B013F0">
      <w:pPr>
        <w:rPr>
          <w:rFonts w:ascii="Times New Roman" w:hAnsi="Times New Roman" w:cs="Times New Roman"/>
          <w:sz w:val="24"/>
          <w:szCs w:val="24"/>
        </w:rPr>
      </w:pPr>
      <w:r>
        <w:rPr>
          <w:rFonts w:ascii="Times New Roman" w:hAnsi="Times New Roman" w:cs="Times New Roman"/>
          <w:sz w:val="24"/>
          <w:szCs w:val="24"/>
        </w:rPr>
        <w:t xml:space="preserve">KEY WORDS: Sweet potato; </w:t>
      </w:r>
      <w:r w:rsidRPr="00DF4474">
        <w:rPr>
          <w:rFonts w:ascii="Times New Roman" w:hAnsi="Times New Roman" w:cs="Times New Roman"/>
          <w:i/>
          <w:iCs/>
          <w:sz w:val="24"/>
          <w:szCs w:val="24"/>
        </w:rPr>
        <w:t>Ipomoea</w:t>
      </w:r>
      <w:r>
        <w:rPr>
          <w:rFonts w:ascii="Times New Roman" w:hAnsi="Times New Roman" w:cs="Times New Roman"/>
          <w:sz w:val="24"/>
          <w:szCs w:val="24"/>
        </w:rPr>
        <w:t xml:space="preserve"> </w:t>
      </w:r>
      <w:r w:rsidRPr="00DF4474">
        <w:rPr>
          <w:rFonts w:ascii="Times New Roman" w:hAnsi="Times New Roman" w:cs="Times New Roman"/>
          <w:i/>
          <w:iCs/>
          <w:sz w:val="24"/>
          <w:szCs w:val="24"/>
        </w:rPr>
        <w:t>batatas</w:t>
      </w:r>
      <w:r>
        <w:rPr>
          <w:rFonts w:ascii="Times New Roman" w:hAnsi="Times New Roman" w:cs="Times New Roman"/>
          <w:sz w:val="24"/>
          <w:szCs w:val="24"/>
        </w:rPr>
        <w:t>; ethnobotany; indigenous knowledge; traditional storage systems; post-harvest management; agrobiodiversity conservation; food security.</w:t>
      </w:r>
    </w:p>
    <w:p w14:paraId="41A1A84E" w14:textId="77777777" w:rsidR="00DF4474" w:rsidRDefault="00DF4474" w:rsidP="00B013F0">
      <w:pPr>
        <w:rPr>
          <w:rFonts w:ascii="Times New Roman" w:hAnsi="Times New Roman" w:cs="Times New Roman"/>
          <w:sz w:val="24"/>
          <w:szCs w:val="24"/>
        </w:rPr>
      </w:pPr>
    </w:p>
    <w:p w14:paraId="3DE2AC92" w14:textId="2D84258F" w:rsidR="00B013F0" w:rsidRPr="007F6CB3" w:rsidRDefault="00DF4474" w:rsidP="00B013F0">
      <w:pPr>
        <w:rPr>
          <w:rFonts w:ascii="Times New Roman" w:hAnsi="Times New Roman" w:cs="Times New Roman"/>
          <w:sz w:val="24"/>
          <w:szCs w:val="24"/>
        </w:rPr>
      </w:pPr>
      <w:r>
        <w:rPr>
          <w:rFonts w:ascii="Times New Roman" w:hAnsi="Times New Roman" w:cs="Times New Roman"/>
          <w:sz w:val="24"/>
          <w:szCs w:val="24"/>
        </w:rPr>
        <w:t xml:space="preserve"> </w:t>
      </w:r>
    </w:p>
    <w:p w14:paraId="4E404057" w14:textId="280D81B3" w:rsidR="00B013F0" w:rsidRPr="007F6CB3" w:rsidRDefault="007F6CB3"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INTRODUCTION</w:t>
      </w:r>
    </w:p>
    <w:p w14:paraId="1F74CD0B"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batatas</w:t>
      </w:r>
      <w:r w:rsidRPr="007F6CB3">
        <w:rPr>
          <w:rFonts w:ascii="Times New Roman" w:hAnsi="Times New Roman" w:cs="Times New Roman"/>
          <w:sz w:val="24"/>
          <w:szCs w:val="24"/>
        </w:rPr>
        <w:t xml:space="preserve"> (L.) Lam.), a member of the family Convolvulaceae, is one of the most widely cultivated root crops in tropical and subtropical regions of the world (</w:t>
      </w:r>
      <w:proofErr w:type="spellStart"/>
      <w:r w:rsidRPr="007F6CB3">
        <w:rPr>
          <w:rFonts w:ascii="Times New Roman" w:hAnsi="Times New Roman" w:cs="Times New Roman"/>
          <w:sz w:val="24"/>
          <w:szCs w:val="24"/>
        </w:rPr>
        <w:t>Woolfe</w:t>
      </w:r>
      <w:proofErr w:type="spellEnd"/>
      <w:r w:rsidRPr="007F6CB3">
        <w:rPr>
          <w:rFonts w:ascii="Times New Roman" w:hAnsi="Times New Roman" w:cs="Times New Roman"/>
          <w:sz w:val="24"/>
          <w:szCs w:val="24"/>
        </w:rPr>
        <w:t xml:space="preserve">, 1992; FAO, 2022). Originating from Central America, the crop has spread extensively across Africa, Asia, and Latin America, where it serves as a staple food and an important source of livelihood </w:t>
      </w:r>
      <w:r w:rsidRPr="007F6CB3">
        <w:rPr>
          <w:rFonts w:ascii="Times New Roman" w:hAnsi="Times New Roman" w:cs="Times New Roman"/>
          <w:sz w:val="24"/>
          <w:szCs w:val="24"/>
        </w:rPr>
        <w:lastRenderedPageBreak/>
        <w:t xml:space="preserve">for millions of smallholder farmers (FAO, 2022;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&amp;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xml:space="preserve">, 2009). In Nigeria, sweet potato ranks among the major root and tuber crops contributing significantly to household food security, rural income generation, and nutritional well-being (National Root Crops Research Institute [NRCRI], 2020). The plant exhibits remarkable varietal diversity, with differences in flesh </w:t>
      </w:r>
      <w:proofErr w:type="spellStart"/>
      <w:r w:rsidRPr="007F6CB3">
        <w:rPr>
          <w:rFonts w:ascii="Times New Roman" w:hAnsi="Times New Roman" w:cs="Times New Roman"/>
          <w:sz w:val="24"/>
          <w:szCs w:val="24"/>
        </w:rPr>
        <w:t>colour</w:t>
      </w:r>
      <w:proofErr w:type="spellEnd"/>
      <w:r w:rsidRPr="007F6CB3">
        <w:rPr>
          <w:rFonts w:ascii="Times New Roman" w:hAnsi="Times New Roman" w:cs="Times New Roman"/>
          <w:sz w:val="24"/>
          <w:szCs w:val="24"/>
        </w:rPr>
        <w:t xml:space="preserve">—white, cream, yellow, orange, purple, and pink—and skin pigmentation, reflecting both genetic variation and farmer selection across </w:t>
      </w:r>
      <w:proofErr w:type="spellStart"/>
      <w:r w:rsidRPr="007F6CB3">
        <w:rPr>
          <w:rFonts w:ascii="Times New Roman" w:hAnsi="Times New Roman" w:cs="Times New Roman"/>
          <w:sz w:val="24"/>
          <w:szCs w:val="24"/>
        </w:rPr>
        <w:t>agro</w:t>
      </w:r>
      <w:proofErr w:type="spellEnd"/>
      <w:r w:rsidRPr="007F6CB3">
        <w:rPr>
          <w:rFonts w:ascii="Times New Roman" w:hAnsi="Times New Roman" w:cs="Times New Roman"/>
          <w:sz w:val="24"/>
          <w:szCs w:val="24"/>
        </w:rPr>
        <w:t>-ecological zones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&amp;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2009).</w:t>
      </w:r>
    </w:p>
    <w:p w14:paraId="5EEAF370" w14:textId="77777777" w:rsidR="007F6CB3" w:rsidRPr="007F6CB3" w:rsidRDefault="007F6CB3" w:rsidP="007F6CB3">
      <w:pPr>
        <w:rPr>
          <w:rFonts w:ascii="Times New Roman" w:hAnsi="Times New Roman" w:cs="Times New Roman"/>
          <w:sz w:val="24"/>
          <w:szCs w:val="24"/>
        </w:rPr>
      </w:pPr>
    </w:p>
    <w:p w14:paraId="768A04B9"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In southeastern Nigeria, particularly in Anambra State, sweet potato—locally known in Igbo as </w:t>
      </w:r>
      <w:proofErr w:type="spellStart"/>
      <w:r w:rsidRPr="007F6CB3">
        <w:rPr>
          <w:rFonts w:ascii="Times New Roman" w:hAnsi="Times New Roman" w:cs="Times New Roman"/>
          <w:sz w:val="24"/>
          <w:szCs w:val="24"/>
        </w:rPr>
        <w:t>ndụku</w:t>
      </w:r>
      <w:proofErr w:type="spellEnd"/>
      <w:r w:rsidRPr="007F6CB3">
        <w:rPr>
          <w:rFonts w:ascii="Times New Roman" w:hAnsi="Times New Roman" w:cs="Times New Roman"/>
          <w:sz w:val="24"/>
          <w:szCs w:val="24"/>
        </w:rPr>
        <w:t xml:space="preserve"> or sometimes referred to as ji </w:t>
      </w:r>
      <w:proofErr w:type="spellStart"/>
      <w:r w:rsidRPr="007F6CB3">
        <w:rPr>
          <w:rFonts w:ascii="Times New Roman" w:hAnsi="Times New Roman" w:cs="Times New Roman"/>
          <w:sz w:val="24"/>
          <w:szCs w:val="24"/>
        </w:rPr>
        <w:t>bekee</w:t>
      </w:r>
      <w:proofErr w:type="spellEnd"/>
      <w:r w:rsidRPr="007F6CB3">
        <w:rPr>
          <w:rFonts w:ascii="Times New Roman" w:hAnsi="Times New Roman" w:cs="Times New Roman"/>
          <w:sz w:val="24"/>
          <w:szCs w:val="24"/>
        </w:rPr>
        <w:t>—occupies a distinctive place within indigenous food systems (</w:t>
      </w:r>
      <w:proofErr w:type="spellStart"/>
      <w:r w:rsidRPr="007F6CB3">
        <w:rPr>
          <w:rFonts w:ascii="Times New Roman" w:hAnsi="Times New Roman" w:cs="Times New Roman"/>
          <w:sz w:val="24"/>
          <w:szCs w:val="24"/>
        </w:rPr>
        <w:t>Okigbo</w:t>
      </w:r>
      <w:proofErr w:type="spellEnd"/>
      <w:r w:rsidRPr="007F6CB3">
        <w:rPr>
          <w:rFonts w:ascii="Times New Roman" w:hAnsi="Times New Roman" w:cs="Times New Roman"/>
          <w:sz w:val="24"/>
          <w:szCs w:val="24"/>
        </w:rPr>
        <w:t>, 1980). Beyond its role as a carbohydrate-rich staple, the crop is embedded in local culinary traditions, seasonal farming cycles, and household coping strategies during periods of food scarcity (Nwosu &amp; Okoye, 2017). The storage roots are consumed boiled, roasted, fried, or processed into flour and other value-added products, while the tender leaves are used as vegetables and the vines occasionally serve as livestock feed (</w:t>
      </w:r>
      <w:proofErr w:type="spellStart"/>
      <w:r w:rsidRPr="007F6CB3">
        <w:rPr>
          <w:rFonts w:ascii="Times New Roman" w:hAnsi="Times New Roman" w:cs="Times New Roman"/>
          <w:sz w:val="24"/>
          <w:szCs w:val="24"/>
        </w:rPr>
        <w:t>Woolfe</w:t>
      </w:r>
      <w:proofErr w:type="spellEnd"/>
      <w:r w:rsidRPr="007F6CB3">
        <w:rPr>
          <w:rFonts w:ascii="Times New Roman" w:hAnsi="Times New Roman" w:cs="Times New Roman"/>
          <w:sz w:val="24"/>
          <w:szCs w:val="24"/>
        </w:rPr>
        <w:t>, 1992). Such multifunctional utilization underscores the crop’s cultural and socioeconomic relevance within rural communities.</w:t>
      </w:r>
    </w:p>
    <w:p w14:paraId="27E422C5" w14:textId="77777777" w:rsidR="007F6CB3" w:rsidRPr="007F6CB3" w:rsidRDefault="007F6CB3" w:rsidP="007F6CB3">
      <w:pPr>
        <w:rPr>
          <w:rFonts w:ascii="Times New Roman" w:hAnsi="Times New Roman" w:cs="Times New Roman"/>
          <w:sz w:val="24"/>
          <w:szCs w:val="24"/>
        </w:rPr>
      </w:pPr>
    </w:p>
    <w:p w14:paraId="7616B941"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Ethnobotany, which examines the dynamic relationships between people and plants, provides a critical framework for understanding how local knowledge systems shape the cultivation, utilization, and conservation of sweet potato (Martin, 1995). Indigenous farmers in Anambra State possess accumulated experiential knowledge concerning varietal selection, soil preferences, planting calendars, intercropping systems, harvesting techniques, and post-harvest handling practices (Altieri, 2004). This knowledge, transmitted orally across generations, contributes to the maintenance of agrobiodiversity and enhances resilience in the face of climatic variability, declining soil fertility, and land-use pressures (Altieri, 2004; Toledo &amp;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2008). However, modernization, urbanization, and the increasing adoption of improved varieties have begun to erode traditional knowledge systems, creating an urgent need for systematic documentation (Toledo &amp;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2008).</w:t>
      </w:r>
    </w:p>
    <w:p w14:paraId="60CDDCB6" w14:textId="77777777" w:rsidR="007F6CB3" w:rsidRPr="007F6CB3" w:rsidRDefault="007F6CB3" w:rsidP="007F6CB3">
      <w:pPr>
        <w:rPr>
          <w:rFonts w:ascii="Times New Roman" w:hAnsi="Times New Roman" w:cs="Times New Roman"/>
          <w:sz w:val="24"/>
          <w:szCs w:val="24"/>
        </w:rPr>
      </w:pPr>
    </w:p>
    <w:p w14:paraId="549913BF"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Post-harvest management constitutes an especially significant component of indigenous knowledge surrounding sweet potato. The crop is highly perishable due to its high moisture content and susceptibility to physiological deterioration and microbial spoilage (Ray &amp; Ravi, 2005). In rural communities, traditional storage methods—such as in-ground storage, heap storage under shade, use of ventilated barns, or storage in woven baskets and earthen structures—have evolved as adaptive strategies to extend shelf life and reduce losses (FAO, 2011). These practices are often shaped by local ecological conditions, resource availability, and socio-cultural norms. Understanding these traditional storage systems from an ethnobotanical perspective offers valuable insights into locally grounded approaches to food preservation and loss reduction (Kader, 2005).</w:t>
      </w:r>
    </w:p>
    <w:p w14:paraId="0F977A3B" w14:textId="77777777" w:rsidR="007F6CB3" w:rsidRPr="007F6CB3" w:rsidRDefault="007F6CB3" w:rsidP="007F6CB3">
      <w:pPr>
        <w:rPr>
          <w:rFonts w:ascii="Times New Roman" w:hAnsi="Times New Roman" w:cs="Times New Roman"/>
          <w:sz w:val="24"/>
          <w:szCs w:val="24"/>
        </w:rPr>
      </w:pPr>
    </w:p>
    <w:p w14:paraId="4138D5DE"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Despite the importance of sweet potato in Anambra State, ethnobotanical studies focusing specifically on its cultural uses, traditional storage systems, and indigenous conservation practices remain limited. Existing research has largely emphasized agronomic performance, nutritional composition, or post-harvest pathology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&amp;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xml:space="preserve">, 2009), with insufficient attention to the sociocultural dimensions that sustain its cultivation and utilization. </w:t>
      </w:r>
      <w:r w:rsidRPr="007F6CB3">
        <w:rPr>
          <w:rFonts w:ascii="Times New Roman" w:hAnsi="Times New Roman" w:cs="Times New Roman"/>
          <w:sz w:val="24"/>
          <w:szCs w:val="24"/>
        </w:rPr>
        <w:lastRenderedPageBreak/>
        <w:t>The absence of comprehensive documentation across the three senatorial zones of the state represents a significant knowledge gap, particularly at a time when biocultural diversity is increasingly threatened (Toledo &amp;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2008).</w:t>
      </w:r>
    </w:p>
    <w:p w14:paraId="3C717479" w14:textId="77777777" w:rsidR="007F6CB3" w:rsidRPr="007F6CB3" w:rsidRDefault="007F6CB3" w:rsidP="007F6CB3">
      <w:pPr>
        <w:rPr>
          <w:rFonts w:ascii="Times New Roman" w:hAnsi="Times New Roman" w:cs="Times New Roman"/>
          <w:sz w:val="24"/>
          <w:szCs w:val="24"/>
        </w:rPr>
      </w:pPr>
    </w:p>
    <w:p w14:paraId="678E2317"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Documenting indigenous knowledge related to Ipomoea batatas is therefore both scientifically and socially imperative. Such documentation not only preserves valuable cultural heritage but also contributes to sustainable agricultural development by highlighting community-based conservation strategies and adaptive management practices (Altieri, 2004). Moreover, understanding how knowledge is distributed across gender, age groups, and occupational categories can inform policies aimed at strengthening knowledge transmission and promoting inclusive food system resilience (FAO, 2022).</w:t>
      </w:r>
    </w:p>
    <w:p w14:paraId="52E52117" w14:textId="77777777" w:rsidR="007F6CB3" w:rsidRPr="007F6CB3" w:rsidRDefault="007F6CB3" w:rsidP="007F6CB3">
      <w:pPr>
        <w:rPr>
          <w:rFonts w:ascii="Times New Roman" w:hAnsi="Times New Roman" w:cs="Times New Roman"/>
          <w:sz w:val="24"/>
          <w:szCs w:val="24"/>
        </w:rPr>
      </w:pPr>
    </w:p>
    <w:p w14:paraId="3B33533C"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This study, therefore, investigates the ethnobotanical significance of Ipomoea batatas in Anambra State, with emphasis on its cultural uses, traditional storage systems, and indigenous conservation knowledge. By integrating qualitative and quantitative ethnobotanical approaches (Martin, 1995), the research seeks to provide a comprehensive account of the crop’s role within local communities and to contribute to broader discussions on indigenous food systems, agrobiodiversity conservation, and sustainable rural livelihoods.</w:t>
      </w:r>
    </w:p>
    <w:p w14:paraId="3B0D0382" w14:textId="77777777" w:rsidR="007F6CB3" w:rsidRPr="007F6CB3" w:rsidRDefault="007F6CB3" w:rsidP="007F6CB3">
      <w:pPr>
        <w:rPr>
          <w:rFonts w:ascii="Times New Roman" w:hAnsi="Times New Roman" w:cs="Times New Roman"/>
          <w:sz w:val="24"/>
          <w:szCs w:val="24"/>
        </w:rPr>
      </w:pPr>
    </w:p>
    <w:p w14:paraId="054A6315" w14:textId="77777777" w:rsidR="007F6CB3" w:rsidRPr="007F6CB3" w:rsidRDefault="007F6CB3" w:rsidP="00E16114">
      <w:pPr>
        <w:spacing w:line="480" w:lineRule="auto"/>
        <w:jc w:val="both"/>
        <w:rPr>
          <w:rFonts w:ascii="Times New Roman" w:hAnsi="Times New Roman" w:cs="Times New Roman"/>
          <w:b/>
          <w:sz w:val="24"/>
          <w:szCs w:val="24"/>
        </w:rPr>
      </w:pPr>
    </w:p>
    <w:p w14:paraId="6E9CF668" w14:textId="77777777" w:rsidR="00B013F0" w:rsidRPr="007F6CB3" w:rsidRDefault="00B013F0"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METHODOLOGY</w:t>
      </w:r>
    </w:p>
    <w:p w14:paraId="2A50FFDB" w14:textId="0542CC1C" w:rsidR="00E16114" w:rsidRPr="007F6CB3" w:rsidRDefault="00E16114"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 xml:space="preserve"> Ethno-Botanical Study of Sweet Potato (</w:t>
      </w:r>
      <w:proofErr w:type="spellStart"/>
      <w:r w:rsidRPr="007F6CB3">
        <w:rPr>
          <w:rFonts w:ascii="Times New Roman" w:hAnsi="Times New Roman" w:cs="Times New Roman"/>
          <w:b/>
          <w:i/>
          <w:iCs/>
          <w:sz w:val="24"/>
          <w:szCs w:val="24"/>
        </w:rPr>
        <w:t>Ipomea</w:t>
      </w:r>
      <w:proofErr w:type="spellEnd"/>
      <w:r w:rsidRPr="007F6CB3">
        <w:rPr>
          <w:rFonts w:ascii="Times New Roman" w:hAnsi="Times New Roman" w:cs="Times New Roman"/>
          <w:b/>
          <w:sz w:val="24"/>
          <w:szCs w:val="24"/>
        </w:rPr>
        <w:t xml:space="preserve"> </w:t>
      </w:r>
      <w:r w:rsidRPr="007F6CB3">
        <w:rPr>
          <w:rFonts w:ascii="Times New Roman" w:hAnsi="Times New Roman" w:cs="Times New Roman"/>
          <w:b/>
          <w:i/>
          <w:iCs/>
          <w:sz w:val="24"/>
          <w:szCs w:val="24"/>
        </w:rPr>
        <w:t>batatas</w:t>
      </w:r>
      <w:r w:rsidRPr="007F6CB3">
        <w:rPr>
          <w:rFonts w:ascii="Times New Roman" w:hAnsi="Times New Roman" w:cs="Times New Roman"/>
          <w:b/>
          <w:sz w:val="24"/>
          <w:szCs w:val="24"/>
        </w:rPr>
        <w:t xml:space="preserve"> (L.) Lam.)</w:t>
      </w:r>
    </w:p>
    <w:bookmarkEnd w:id="0"/>
    <w:p w14:paraId="00744C28"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The methods adopted in this present study were that of </w:t>
      </w:r>
      <w:proofErr w:type="spellStart"/>
      <w:r w:rsidRPr="007F6CB3">
        <w:rPr>
          <w:rFonts w:ascii="Times New Roman" w:hAnsi="Times New Roman" w:cs="Times New Roman"/>
          <w:bCs/>
          <w:sz w:val="24"/>
          <w:szCs w:val="24"/>
        </w:rPr>
        <w:t>Okigbo</w:t>
      </w:r>
      <w:proofErr w:type="spellEnd"/>
      <w:r w:rsidRPr="007F6CB3">
        <w:rPr>
          <w:rFonts w:ascii="Times New Roman" w:hAnsi="Times New Roman" w:cs="Times New Roman"/>
          <w:bCs/>
          <w:sz w:val="24"/>
          <w:szCs w:val="24"/>
        </w:rPr>
        <w:t xml:space="preserve"> and </w:t>
      </w:r>
      <w:proofErr w:type="spellStart"/>
      <w:r w:rsidRPr="007F6CB3">
        <w:rPr>
          <w:rFonts w:ascii="Times New Roman" w:hAnsi="Times New Roman" w:cs="Times New Roman"/>
          <w:bCs/>
          <w:sz w:val="24"/>
          <w:szCs w:val="24"/>
        </w:rPr>
        <w:t>Nwatu</w:t>
      </w:r>
      <w:proofErr w:type="spellEnd"/>
      <w:r w:rsidRPr="007F6CB3">
        <w:rPr>
          <w:rFonts w:ascii="Times New Roman" w:hAnsi="Times New Roman" w:cs="Times New Roman"/>
          <w:bCs/>
          <w:sz w:val="24"/>
          <w:szCs w:val="24"/>
        </w:rPr>
        <w:t xml:space="preserve"> (2015);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w:t>
      </w:r>
      <w:proofErr w:type="spellStart"/>
      <w:r w:rsidRPr="007F6CB3">
        <w:rPr>
          <w:rFonts w:ascii="Times New Roman" w:hAnsi="Times New Roman" w:cs="Times New Roman"/>
          <w:bCs/>
          <w:sz w:val="24"/>
          <w:szCs w:val="24"/>
        </w:rPr>
        <w:t>Ema</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xml:space="preserve">. (2023). This consisted of the use of a well-structured, pre-tested questionnaire on sweet potato- its functions, importance, cultural value, cultivation as well as post-harvest handling was designed and administered randomly to respondents within the study area so as to obtain vital information in the field. The method of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was used in the field work in order to process interviews, public meetings, local informants, review of secondary and grey literatures and keen observations. The survey on Ethnobotanical study was conducted between September, 2025 to December, 2025 in three senatorial zones of Anambra State, Nigeria. The zones are Anambra North, Anambra Central and Anambra South Senatorial Zones, with each consisting of seven Local Government Areas.</w:t>
      </w:r>
    </w:p>
    <w:p w14:paraId="089A401D"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lastRenderedPageBreak/>
        <w:t>The questionnaire was made up of five sections, namely: The first section was made up of basic information about the respondents , while the second to the fifth sections focused more on the cultivation and post-harvest handling practices, conservation of sweet potato, socio-cultural importance of sweet potato, as well as income generation or status of farmers to get to know the major practices that may likely predispose potato in the study areas to rot and fungal attacks in storage.</w:t>
      </w:r>
    </w:p>
    <w:p w14:paraId="209A3C64"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study adopted a multistage sampling procedure, i.e. in the first stage; stakeholders were targeted, purposely chosen and interviewed from farms and potato loading and offloading points in the study areas. The second stage involved more about the review of grey literatures and comparisons with results from the fieldwork (</w:t>
      </w:r>
      <w:proofErr w:type="spellStart"/>
      <w:r w:rsidRPr="007F6CB3">
        <w:rPr>
          <w:rFonts w:ascii="Times New Roman" w:hAnsi="Times New Roman" w:cs="Times New Roman"/>
          <w:bCs/>
          <w:sz w:val="24"/>
          <w:szCs w:val="24"/>
        </w:rPr>
        <w:t>Ema</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2023).</w:t>
      </w:r>
    </w:p>
    <w:p w14:paraId="580B973A"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interviews were divided into two demographic categories (60 years and above and below 60 years) to understand generational differences and associated perceptions related to the topic of study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A public meeting was organized at the point of potato loading and offloading. According to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these informal potato stations signify a wider representation of potato farmers and distribution of stakeholders from all demographic categories. These stakeholders were interviewed to discern their level of perception of potato farming and livelihood practices. A single interview lasted on average between forty-five minutes to one hour using audio tape. Four local informants were used to facilitate community entry, interaction with interviewees, clarification of issues and interpretation of local dialects.</w:t>
      </w:r>
    </w:p>
    <w:p w14:paraId="4FB5702D"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Field notes were recorded, categorized and thematized. The questionnaires were sorted accordingly and data collected were used for analysis. The plant material that was collected during the field study were pressed, preserved and dried following the standard method of preparation of herbarium (Nilofer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xml:space="preserve">., 2017). The herbarium specimen was deposited with the taxonomist and </w:t>
      </w:r>
      <w:r w:rsidRPr="007F6CB3">
        <w:rPr>
          <w:rFonts w:ascii="Times New Roman" w:hAnsi="Times New Roman" w:cs="Times New Roman"/>
          <w:bCs/>
          <w:sz w:val="24"/>
          <w:szCs w:val="24"/>
        </w:rPr>
        <w:lastRenderedPageBreak/>
        <w:t xml:space="preserve">curator, Dr. </w:t>
      </w:r>
      <w:proofErr w:type="spellStart"/>
      <w:r w:rsidRPr="007F6CB3">
        <w:rPr>
          <w:rFonts w:ascii="Times New Roman" w:hAnsi="Times New Roman" w:cs="Times New Roman"/>
          <w:bCs/>
          <w:sz w:val="24"/>
          <w:szCs w:val="24"/>
        </w:rPr>
        <w:t>Chisom</w:t>
      </w:r>
      <w:proofErr w:type="spellEnd"/>
      <w:r w:rsidRPr="007F6CB3">
        <w:rPr>
          <w:rFonts w:ascii="Times New Roman" w:hAnsi="Times New Roman" w:cs="Times New Roman"/>
          <w:bCs/>
          <w:sz w:val="24"/>
          <w:szCs w:val="24"/>
        </w:rPr>
        <w:t xml:space="preserve"> </w:t>
      </w:r>
      <w:proofErr w:type="spellStart"/>
      <w:r w:rsidRPr="007F6CB3">
        <w:rPr>
          <w:rFonts w:ascii="Times New Roman" w:hAnsi="Times New Roman" w:cs="Times New Roman"/>
          <w:bCs/>
          <w:sz w:val="24"/>
          <w:szCs w:val="24"/>
        </w:rPr>
        <w:t>Iroka</w:t>
      </w:r>
      <w:proofErr w:type="spellEnd"/>
      <w:r w:rsidRPr="007F6CB3">
        <w:rPr>
          <w:rFonts w:ascii="Times New Roman" w:hAnsi="Times New Roman" w:cs="Times New Roman"/>
          <w:bCs/>
          <w:sz w:val="24"/>
          <w:szCs w:val="24"/>
        </w:rPr>
        <w:t xml:space="preserve"> of Botany Department, Nnamdi Azikiwe University, </w:t>
      </w:r>
      <w:proofErr w:type="spellStart"/>
      <w:r w:rsidRPr="007F6CB3">
        <w:rPr>
          <w:rFonts w:ascii="Times New Roman" w:hAnsi="Times New Roman" w:cs="Times New Roman"/>
          <w:bCs/>
          <w:sz w:val="24"/>
          <w:szCs w:val="24"/>
        </w:rPr>
        <w:t>Awka</w:t>
      </w:r>
      <w:proofErr w:type="spellEnd"/>
      <w:r w:rsidRPr="007F6CB3">
        <w:rPr>
          <w:rFonts w:ascii="Times New Roman" w:hAnsi="Times New Roman" w:cs="Times New Roman"/>
          <w:bCs/>
          <w:sz w:val="24"/>
          <w:szCs w:val="24"/>
        </w:rPr>
        <w:t xml:space="preserve">, Anambra State, Nigeria, and a voucher number was assigned. </w:t>
      </w:r>
    </w:p>
    <w:p w14:paraId="7E9D3B98" w14:textId="77777777" w:rsidR="00E16114" w:rsidRPr="007F6CB3" w:rsidRDefault="00E16114" w:rsidP="00E16114">
      <w:pPr>
        <w:spacing w:line="480" w:lineRule="auto"/>
        <w:jc w:val="both"/>
        <w:rPr>
          <w:rFonts w:ascii="Times New Roman" w:hAnsi="Times New Roman" w:cs="Times New Roman"/>
          <w:b/>
          <w:sz w:val="24"/>
          <w:szCs w:val="24"/>
        </w:rPr>
      </w:pPr>
      <w:bookmarkStart w:id="2" w:name="_Hlk221323245"/>
      <w:r w:rsidRPr="007F6CB3">
        <w:rPr>
          <w:rFonts w:ascii="Times New Roman" w:hAnsi="Times New Roman" w:cs="Times New Roman"/>
          <w:b/>
          <w:sz w:val="24"/>
          <w:szCs w:val="24"/>
        </w:rPr>
        <w:t>3.2.2. Sampling Frame</w:t>
      </w:r>
    </w:p>
    <w:bookmarkEnd w:id="2"/>
    <w:p w14:paraId="710440D5"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     The respondents to the questionnaires were the Igbo-speaking ethnic group of the three Senatorial Zones of Anambra State of Nigeria. The choice of selecting these areas is because they are predominantly found in Igbo land. All the people in these Senatorial Zones, speak the same language, Igbo with slight variations in their pronunciations and intonations.</w:t>
      </w:r>
    </w:p>
    <w:p w14:paraId="4B382D14" w14:textId="77777777" w:rsidR="00E16114" w:rsidRPr="007F6CB3" w:rsidRDefault="00E16114" w:rsidP="00E16114">
      <w:pPr>
        <w:spacing w:line="480" w:lineRule="auto"/>
        <w:jc w:val="both"/>
        <w:rPr>
          <w:rFonts w:ascii="Times New Roman" w:hAnsi="Times New Roman" w:cs="Times New Roman"/>
          <w:b/>
          <w:sz w:val="24"/>
          <w:szCs w:val="24"/>
        </w:rPr>
      </w:pPr>
      <w:bookmarkStart w:id="3" w:name="_Hlk221323265"/>
      <w:r w:rsidRPr="007F6CB3">
        <w:rPr>
          <w:rFonts w:ascii="Times New Roman" w:hAnsi="Times New Roman" w:cs="Times New Roman"/>
          <w:b/>
          <w:sz w:val="24"/>
          <w:szCs w:val="24"/>
        </w:rPr>
        <w:t>3.2.3 Sample Size/Sample Procedure: Administration of questionnaire</w:t>
      </w:r>
    </w:p>
    <w:bookmarkEnd w:id="3"/>
    <w:p w14:paraId="4526424A"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A well-structured pre-test questionnaire was designed to assist in obtaining crucial information from respondents in the study area (Appendix 1). Six hundred (600) questionnaires were produced and distributed randomly to each of the three Senatorial Zones in Anambra State.</w:t>
      </w:r>
    </w:p>
    <w:p w14:paraId="67C9EB8B"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questionnaire that was used to get vital information from the respondents were constructed as follows:</w:t>
      </w:r>
    </w:p>
    <w:p w14:paraId="485E2B75"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Personal data/ details such as age, sex, educational qualification, occupation, etc.</w:t>
      </w:r>
    </w:p>
    <w:p w14:paraId="5FB5F9EC"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Indigenous cultivation practices of sweet potato.</w:t>
      </w:r>
    </w:p>
    <w:p w14:paraId="6341CB71"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Post-harvest handling of sweet potato.</w:t>
      </w:r>
    </w:p>
    <w:p w14:paraId="6E269FCA"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Conservation of sweet potato.</w:t>
      </w:r>
    </w:p>
    <w:p w14:paraId="5ACCFE3E"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Ethno-Botanical and Socio-cultural importance of sweet potato.</w:t>
      </w:r>
    </w:p>
    <w:p w14:paraId="05428617"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Income generation and Socio-economic status of sweet potato.</w:t>
      </w:r>
    </w:p>
    <w:p w14:paraId="641ED39B"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Knowledge and perception of bio-fungicides and </w:t>
      </w:r>
      <w:r w:rsidRPr="007F6CB3">
        <w:rPr>
          <w:rFonts w:ascii="Times New Roman" w:hAnsi="Times New Roman" w:cs="Times New Roman"/>
          <w:bCs/>
          <w:i/>
          <w:iCs/>
          <w:sz w:val="24"/>
          <w:szCs w:val="24"/>
        </w:rPr>
        <w:t>Lactobacillus</w:t>
      </w:r>
      <w:r w:rsidRPr="007F6CB3">
        <w:rPr>
          <w:rFonts w:ascii="Times New Roman" w:hAnsi="Times New Roman" w:cs="Times New Roman"/>
          <w:bCs/>
          <w:sz w:val="24"/>
          <w:szCs w:val="24"/>
        </w:rPr>
        <w:t xml:space="preserve"> species.</w:t>
      </w:r>
    </w:p>
    <w:p w14:paraId="2CAA4DBD" w14:textId="0703DC75" w:rsidR="00E16114" w:rsidRPr="007F6CB3" w:rsidRDefault="00E16114" w:rsidP="00E16114">
      <w:pPr>
        <w:pStyle w:val="ListParagraph"/>
        <w:spacing w:line="480" w:lineRule="auto"/>
        <w:ind w:left="780"/>
        <w:jc w:val="both"/>
        <w:rPr>
          <w:rFonts w:ascii="Times New Roman" w:hAnsi="Times New Roman" w:cs="Times New Roman"/>
          <w:b/>
          <w:sz w:val="24"/>
          <w:szCs w:val="24"/>
        </w:rPr>
      </w:pPr>
      <w:r w:rsidRPr="007F6CB3">
        <w:rPr>
          <w:rFonts w:ascii="Times New Roman" w:hAnsi="Times New Roman" w:cs="Times New Roman"/>
          <w:b/>
          <w:sz w:val="24"/>
          <w:szCs w:val="24"/>
        </w:rPr>
        <w:t>Study Area</w:t>
      </w:r>
    </w:p>
    <w:p w14:paraId="1C7505A8" w14:textId="77777777" w:rsidR="00E16114" w:rsidRPr="007F6CB3" w:rsidRDefault="00E16114" w:rsidP="00E16114">
      <w:pPr>
        <w:pStyle w:val="ListParagraph"/>
        <w:spacing w:line="480" w:lineRule="auto"/>
        <w:ind w:left="780"/>
        <w:jc w:val="both"/>
        <w:rPr>
          <w:rFonts w:ascii="Times New Roman" w:hAnsi="Times New Roman" w:cs="Times New Roman"/>
          <w:sz w:val="24"/>
          <w:szCs w:val="24"/>
        </w:rPr>
      </w:pPr>
      <w:r w:rsidRPr="007F6CB3">
        <w:rPr>
          <w:rFonts w:ascii="Times New Roman" w:hAnsi="Times New Roman" w:cs="Times New Roman"/>
          <w:sz w:val="24"/>
          <w:szCs w:val="24"/>
        </w:rPr>
        <w:t>This study was conducted in Anambra State, South-Eastern Nigeria. Geographically, South-Eastern Nigeria extends from latitudes 4</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40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to 7</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20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North and 6</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00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to 8</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20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w:t>
      </w:r>
      <w:r w:rsidRPr="007F6CB3">
        <w:rPr>
          <w:rFonts w:ascii="Times New Roman" w:hAnsi="Times New Roman" w:cs="Times New Roman"/>
          <w:sz w:val="24"/>
          <w:szCs w:val="24"/>
        </w:rPr>
        <w:lastRenderedPageBreak/>
        <w:t>East longitude. The culture area occupies about 50,000 km</w:t>
      </w:r>
      <w:r w:rsidRPr="007F6CB3">
        <w:rPr>
          <w:rFonts w:ascii="Times New Roman" w:hAnsi="Times New Roman" w:cs="Times New Roman"/>
          <w:sz w:val="24"/>
          <w:szCs w:val="24"/>
          <w:vertAlign w:val="superscript"/>
        </w:rPr>
        <w:t>2</w:t>
      </w:r>
      <w:r w:rsidRPr="007F6CB3">
        <w:rPr>
          <w:rFonts w:ascii="Times New Roman" w:hAnsi="Times New Roman" w:cs="Times New Roman"/>
          <w:sz w:val="24"/>
          <w:szCs w:val="24"/>
        </w:rPr>
        <w:t xml:space="preserve"> of Nigeria’s total area of 923, 768km</w:t>
      </w:r>
      <w:r w:rsidRPr="007F6CB3">
        <w:rPr>
          <w:rFonts w:ascii="Times New Roman" w:hAnsi="Times New Roman" w:cs="Times New Roman"/>
          <w:sz w:val="24"/>
          <w:szCs w:val="24"/>
          <w:vertAlign w:val="superscript"/>
        </w:rPr>
        <w:t>2</w:t>
      </w:r>
      <w:r w:rsidRPr="007F6CB3">
        <w:rPr>
          <w:rFonts w:ascii="Times New Roman" w:hAnsi="Times New Roman" w:cs="Times New Roman"/>
          <w:sz w:val="24"/>
          <w:szCs w:val="24"/>
        </w:rPr>
        <w:t>. A 2006 Census population estimate by the National Population Commission (NPC) reported that the South-Eastern Nigeria has a population of 30 million people (NPC, 2006). The crops commonly grown in this region include but not limited to sweet potato, cassava, cocoyam, and various vegetables and fruits.  The natural vegetation in many parts of South-Eastern states is mainly grassland and woodland as well as tropical rainforest (Wikipedia, 2022). Also, the annual rainfall is between 1400mm in the north to 2500mm in the south with soil pH in some parts ranging from 3.5 to 6.4 (</w:t>
      </w:r>
      <w:proofErr w:type="spellStart"/>
      <w:r w:rsidRPr="007F6CB3">
        <w:rPr>
          <w:rFonts w:ascii="Times New Roman" w:hAnsi="Times New Roman" w:cs="Times New Roman"/>
          <w:sz w:val="24"/>
          <w:szCs w:val="24"/>
        </w:rPr>
        <w:t>Igwilo</w:t>
      </w:r>
      <w:proofErr w:type="spellEnd"/>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et al</w:t>
      </w:r>
      <w:r w:rsidRPr="007F6CB3">
        <w:rPr>
          <w:rFonts w:ascii="Times New Roman" w:hAnsi="Times New Roman" w:cs="Times New Roman"/>
          <w:sz w:val="24"/>
          <w:szCs w:val="24"/>
        </w:rPr>
        <w:t>., 2006).</w:t>
      </w:r>
      <w:r w:rsidRPr="007F6CB3">
        <w:rPr>
          <w:rFonts w:ascii="Times New Roman" w:hAnsi="Times New Roman" w:cs="Times New Roman"/>
          <w:noProof/>
          <w:sz w:val="24"/>
          <w:szCs w:val="24"/>
        </w:rPr>
        <w:t xml:space="preserve"> </w:t>
      </w:r>
      <w:r w:rsidRPr="007F6CB3">
        <w:rPr>
          <w:rFonts w:ascii="Times New Roman" w:hAnsi="Times New Roman" w:cs="Times New Roman"/>
          <w:noProof/>
          <w:sz w:val="24"/>
          <w:szCs w:val="24"/>
        </w:rPr>
        <w:drawing>
          <wp:inline distT="0" distB="0" distL="0" distR="0" wp14:anchorId="6D08E05F" wp14:editId="08949945">
            <wp:extent cx="4953000" cy="4229100"/>
            <wp:effectExtent l="0" t="0" r="0" b="0"/>
            <wp:docPr id="91940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09372"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0" cy="4229100"/>
                    </a:xfrm>
                    <a:prstGeom prst="rect">
                      <a:avLst/>
                    </a:prstGeom>
                    <a:noFill/>
                    <a:ln>
                      <a:noFill/>
                    </a:ln>
                  </pic:spPr>
                </pic:pic>
              </a:graphicData>
            </a:graphic>
          </wp:inline>
        </w:drawing>
      </w:r>
    </w:p>
    <w:p w14:paraId="5066C822" w14:textId="77777777" w:rsidR="00E16114" w:rsidRPr="007F6CB3" w:rsidRDefault="00E16114" w:rsidP="00E16114">
      <w:pPr>
        <w:pStyle w:val="ListParagraph"/>
        <w:spacing w:line="480" w:lineRule="auto"/>
        <w:ind w:left="780"/>
        <w:jc w:val="both"/>
        <w:rPr>
          <w:rFonts w:ascii="Times New Roman" w:hAnsi="Times New Roman" w:cs="Times New Roman"/>
          <w:b/>
          <w:sz w:val="24"/>
          <w:szCs w:val="24"/>
        </w:rPr>
      </w:pPr>
      <w:r w:rsidRPr="007F6CB3">
        <w:rPr>
          <w:rFonts w:ascii="Times New Roman" w:hAnsi="Times New Roman" w:cs="Times New Roman"/>
          <w:b/>
          <w:sz w:val="24"/>
          <w:szCs w:val="24"/>
        </w:rPr>
        <w:t>Fig. 1: Map of Anambra State, Nigeria showing 21 Local Government Areas</w:t>
      </w:r>
    </w:p>
    <w:p w14:paraId="1218B2D8" w14:textId="77777777" w:rsidR="00E16114" w:rsidRPr="007F6CB3" w:rsidRDefault="00E16114" w:rsidP="00E16114">
      <w:pPr>
        <w:pStyle w:val="ListParagraph"/>
        <w:spacing w:line="480" w:lineRule="auto"/>
        <w:ind w:left="780"/>
        <w:jc w:val="both"/>
        <w:rPr>
          <w:rFonts w:ascii="Times New Roman" w:hAnsi="Times New Roman" w:cs="Times New Roman"/>
          <w:bCs/>
          <w:sz w:val="24"/>
          <w:szCs w:val="24"/>
        </w:rPr>
      </w:pPr>
      <w:r w:rsidRPr="007F6CB3">
        <w:rPr>
          <w:rFonts w:ascii="Times New Roman" w:hAnsi="Times New Roman" w:cs="Times New Roman"/>
          <w:bCs/>
          <w:sz w:val="24"/>
          <w:szCs w:val="24"/>
        </w:rPr>
        <w:t>Source: (</w:t>
      </w:r>
      <w:proofErr w:type="spellStart"/>
      <w:r w:rsidRPr="007F6CB3">
        <w:rPr>
          <w:rFonts w:ascii="Times New Roman" w:hAnsi="Times New Roman" w:cs="Times New Roman"/>
          <w:bCs/>
          <w:sz w:val="24"/>
          <w:szCs w:val="24"/>
        </w:rPr>
        <w:t>Ezenwaji</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2014).</w:t>
      </w:r>
    </w:p>
    <w:p w14:paraId="5891D0EC" w14:textId="77777777" w:rsidR="00E16114" w:rsidRDefault="00E16114" w:rsidP="00E16114">
      <w:pPr>
        <w:pStyle w:val="ListParagraph"/>
        <w:spacing w:line="480" w:lineRule="auto"/>
        <w:ind w:left="780"/>
        <w:jc w:val="both"/>
        <w:rPr>
          <w:rFonts w:ascii="Times New Roman" w:hAnsi="Times New Roman" w:cs="Times New Roman"/>
          <w:b/>
          <w:sz w:val="24"/>
          <w:szCs w:val="24"/>
        </w:rPr>
      </w:pPr>
    </w:p>
    <w:p w14:paraId="4C900B4D" w14:textId="77777777" w:rsidR="00F85B9F" w:rsidRDefault="00F85B9F" w:rsidP="00E16114">
      <w:pPr>
        <w:pStyle w:val="ListParagraph"/>
        <w:spacing w:line="480" w:lineRule="auto"/>
        <w:ind w:left="780"/>
        <w:jc w:val="both"/>
        <w:rPr>
          <w:rFonts w:ascii="Times New Roman" w:hAnsi="Times New Roman" w:cs="Times New Roman"/>
          <w:b/>
          <w:sz w:val="24"/>
          <w:szCs w:val="24"/>
        </w:rPr>
      </w:pPr>
    </w:p>
    <w:p w14:paraId="3F2A921E" w14:textId="77777777" w:rsidR="00F85B9F" w:rsidRDefault="00F85B9F" w:rsidP="00E16114">
      <w:pPr>
        <w:pStyle w:val="ListParagraph"/>
        <w:spacing w:line="480" w:lineRule="auto"/>
        <w:ind w:left="780"/>
        <w:jc w:val="both"/>
        <w:rPr>
          <w:rFonts w:ascii="Times New Roman" w:hAnsi="Times New Roman" w:cs="Times New Roman"/>
          <w:b/>
          <w:sz w:val="24"/>
          <w:szCs w:val="24"/>
        </w:rPr>
      </w:pPr>
    </w:p>
    <w:p w14:paraId="78A593DA" w14:textId="67CEFBCD" w:rsidR="00F85B9F" w:rsidRPr="007F6CB3" w:rsidRDefault="00F85B9F" w:rsidP="00E16114">
      <w:pPr>
        <w:pStyle w:val="ListParagraph"/>
        <w:spacing w:line="480" w:lineRule="auto"/>
        <w:ind w:left="780"/>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3A2D1ADE" w14:textId="77A3A224"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ETHNO-BOTANICAL STUDY</w:t>
      </w:r>
    </w:p>
    <w:p w14:paraId="6F6C907C" w14:textId="77777777" w:rsidR="00E16114" w:rsidRPr="007F6CB3" w:rsidRDefault="00E16114" w:rsidP="00E16114">
      <w:pPr>
        <w:jc w:val="both"/>
        <w:rPr>
          <w:rFonts w:ascii="Times New Roman" w:hAnsi="Times New Roman" w:cs="Times New Roman"/>
          <w:b/>
          <w:bCs/>
          <w:sz w:val="24"/>
          <w:szCs w:val="24"/>
        </w:rPr>
      </w:pPr>
    </w:p>
    <w:p w14:paraId="32EFDD15"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SECTION A: PERSONAL DATA</w:t>
      </w:r>
    </w:p>
    <w:p w14:paraId="3701482B" w14:textId="77777777" w:rsidR="00E16114" w:rsidRPr="007F6CB3" w:rsidRDefault="00E16114" w:rsidP="00E16114">
      <w:pPr>
        <w:jc w:val="both"/>
        <w:rPr>
          <w:rFonts w:ascii="Times New Roman" w:hAnsi="Times New Roman" w:cs="Times New Roman"/>
          <w:b/>
          <w:bCs/>
          <w:sz w:val="24"/>
          <w:szCs w:val="24"/>
        </w:rPr>
      </w:pPr>
    </w:p>
    <w:p w14:paraId="473A75C8" w14:textId="77777777" w:rsidR="00E16114" w:rsidRPr="007F6CB3" w:rsidRDefault="00E16114" w:rsidP="00E16114">
      <w:pPr>
        <w:jc w:val="both"/>
        <w:rPr>
          <w:rFonts w:ascii="Times New Roman" w:hAnsi="Times New Roman" w:cs="Times New Roman"/>
          <w:b/>
          <w:bCs/>
          <w:sz w:val="24"/>
          <w:szCs w:val="24"/>
        </w:rPr>
      </w:pPr>
      <w:bookmarkStart w:id="4" w:name="_Hlk221324801"/>
      <w:r w:rsidRPr="007F6CB3">
        <w:rPr>
          <w:rFonts w:ascii="Times New Roman" w:hAnsi="Times New Roman" w:cs="Times New Roman"/>
          <w:b/>
          <w:bCs/>
          <w:sz w:val="24"/>
          <w:szCs w:val="24"/>
        </w:rPr>
        <w:t>4.1.1. Frequency Distribution of Respondents in the Study Area</w:t>
      </w:r>
    </w:p>
    <w:p w14:paraId="28C56388" w14:textId="77777777" w:rsidR="00E16114" w:rsidRPr="007F6CB3" w:rsidRDefault="00E16114" w:rsidP="00E16114">
      <w:pPr>
        <w:jc w:val="both"/>
        <w:rPr>
          <w:rFonts w:ascii="Times New Roman" w:hAnsi="Times New Roman" w:cs="Times New Roman"/>
          <w:b/>
          <w:bCs/>
          <w:sz w:val="24"/>
          <w:szCs w:val="24"/>
        </w:rPr>
      </w:pPr>
    </w:p>
    <w:bookmarkEnd w:id="4"/>
    <w:p w14:paraId="3788252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Three (3) Senatorial Zones of Anambra State Nigeria namely; Anambra North, Anambra Central and Anambra South were surveyed in this study in which three hundred and forty-eight (348) respondents were interviewed out of the six hundred (600) questionnaires administered to the respondents in the field. The highest number of questionnaires, one hundred and nineteen (119) was retrieved from Anambra North followed by Anambra South with one hundred and fifteen (115) retrieved questionnaires. The least number of questionnaires, one hundred and fourteen (114) questionnaires were retrieved from Anambra Central, making a total of 60% questionnaires retrieved in this study (Table 1).</w:t>
      </w:r>
    </w:p>
    <w:p w14:paraId="7D056330" w14:textId="77777777" w:rsidR="00E16114" w:rsidRPr="007F6CB3" w:rsidRDefault="00E16114" w:rsidP="00E16114">
      <w:pPr>
        <w:jc w:val="both"/>
        <w:rPr>
          <w:rFonts w:ascii="Times New Roman" w:hAnsi="Times New Roman" w:cs="Times New Roman"/>
          <w:sz w:val="24"/>
          <w:szCs w:val="24"/>
        </w:rPr>
      </w:pPr>
    </w:p>
    <w:p w14:paraId="52BB2079" w14:textId="77777777" w:rsidR="00E16114" w:rsidRPr="007F6CB3" w:rsidRDefault="00E16114" w:rsidP="00E16114">
      <w:pPr>
        <w:jc w:val="both"/>
        <w:rPr>
          <w:rFonts w:ascii="Times New Roman" w:hAnsi="Times New Roman" w:cs="Times New Roman"/>
          <w:sz w:val="24"/>
          <w:szCs w:val="24"/>
        </w:rPr>
      </w:pPr>
    </w:p>
    <w:p w14:paraId="6FD99B7E" w14:textId="108C2C81" w:rsidR="00E16114" w:rsidRPr="007F6CB3" w:rsidRDefault="00E16114" w:rsidP="00E16114">
      <w:pPr>
        <w:jc w:val="both"/>
        <w:rPr>
          <w:rFonts w:ascii="Times New Roman" w:hAnsi="Times New Roman" w:cs="Times New Roman"/>
          <w:sz w:val="24"/>
          <w:szCs w:val="24"/>
        </w:rPr>
      </w:pPr>
      <w:bookmarkStart w:id="5" w:name="_Hlk221324860"/>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1</w:t>
      </w:r>
      <w:r w:rsidRPr="007F6CB3">
        <w:rPr>
          <w:rFonts w:ascii="Times New Roman" w:hAnsi="Times New Roman" w:cs="Times New Roman"/>
          <w:sz w:val="24"/>
          <w:szCs w:val="24"/>
        </w:rPr>
        <w:t>: Frequency of Retrieved Questionnaires across Senatorial Zones</w:t>
      </w:r>
    </w:p>
    <w:tbl>
      <w:tblPr>
        <w:tblW w:w="848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8"/>
      </w:tblGrid>
      <w:tr w:rsidR="00E16114" w:rsidRPr="007F6CB3" w14:paraId="731D2583" w14:textId="77777777" w:rsidTr="0026594F">
        <w:trPr>
          <w:trHeight w:val="249"/>
        </w:trPr>
        <w:tc>
          <w:tcPr>
            <w:tcW w:w="8488" w:type="dxa"/>
            <w:tcBorders>
              <w:left w:val="nil"/>
              <w:right w:val="nil"/>
            </w:tcBorders>
          </w:tcPr>
          <w:bookmarkEnd w:id="5"/>
          <w:p w14:paraId="0A2F334D"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Senatorial     Frequency      Percentage   Cumulative         </w:t>
            </w:r>
            <w:proofErr w:type="spellStart"/>
            <w:r w:rsidRPr="007F6CB3">
              <w:rPr>
                <w:rFonts w:ascii="Times New Roman" w:hAnsi="Times New Roman" w:cs="Times New Roman"/>
                <w:b/>
                <w:bCs/>
                <w:sz w:val="24"/>
                <w:szCs w:val="24"/>
              </w:rPr>
              <w:t>Cumulative</w:t>
            </w:r>
            <w:proofErr w:type="spellEnd"/>
          </w:p>
          <w:p w14:paraId="4FCFD4A2"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                                                           Frequency           Percentage</w:t>
            </w:r>
          </w:p>
        </w:tc>
      </w:tr>
    </w:tbl>
    <w:p w14:paraId="40350A8D"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119                  20.45</w:t>
      </w:r>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235                        40.38</w:t>
      </w:r>
      <w:r w:rsidRPr="00C77BA2">
        <w:rPr>
          <w:rFonts w:ascii="Times New Roman" w:hAnsi="Times New Roman" w:cs="Times New Roman"/>
          <w:b/>
          <w:bCs/>
          <w:sz w:val="24"/>
          <w:szCs w:val="24"/>
          <w:lang w:val="es-US"/>
        </w:rPr>
        <w:t xml:space="preserve">              </w:t>
      </w:r>
    </w:p>
    <w:p w14:paraId="4DE295B8" w14:textId="77777777" w:rsidR="00E16114" w:rsidRPr="00C77BA2" w:rsidRDefault="00E16114" w:rsidP="00E16114">
      <w:pPr>
        <w:jc w:val="both"/>
        <w:rPr>
          <w:rFonts w:ascii="Times New Roman" w:hAnsi="Times New Roman" w:cs="Times New Roman"/>
          <w:b/>
          <w:bCs/>
          <w:sz w:val="24"/>
          <w:szCs w:val="24"/>
          <w:lang w:val="es-US"/>
        </w:rPr>
      </w:pPr>
      <w:r w:rsidRPr="00C77BA2">
        <w:rPr>
          <w:rFonts w:ascii="Times New Roman" w:hAnsi="Times New Roman" w:cs="Times New Roman"/>
          <w:b/>
          <w:bCs/>
          <w:sz w:val="24"/>
          <w:szCs w:val="24"/>
          <w:lang w:val="es-US"/>
        </w:rPr>
        <w:t>North</w:t>
      </w:r>
    </w:p>
    <w:p w14:paraId="08968D29" w14:textId="77777777" w:rsidR="00E16114" w:rsidRPr="00C77BA2" w:rsidRDefault="00E16114" w:rsidP="00E16114">
      <w:pPr>
        <w:jc w:val="both"/>
        <w:rPr>
          <w:rFonts w:ascii="Times New Roman" w:hAnsi="Times New Roman" w:cs="Times New Roman"/>
          <w:b/>
          <w:bCs/>
          <w:sz w:val="24"/>
          <w:szCs w:val="24"/>
          <w:lang w:val="es-US"/>
        </w:rPr>
      </w:pPr>
    </w:p>
    <w:p w14:paraId="12B22528"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114                  19.59             582                        100.00</w:t>
      </w:r>
    </w:p>
    <w:p w14:paraId="5748190A" w14:textId="77777777" w:rsidR="00E16114" w:rsidRPr="00C77BA2" w:rsidRDefault="00E16114" w:rsidP="00E16114">
      <w:pPr>
        <w:jc w:val="both"/>
        <w:rPr>
          <w:rFonts w:ascii="Times New Roman" w:hAnsi="Times New Roman" w:cs="Times New Roman"/>
          <w:b/>
          <w:bCs/>
          <w:sz w:val="24"/>
          <w:szCs w:val="24"/>
          <w:lang w:val="es-US"/>
        </w:rPr>
      </w:pPr>
      <w:r w:rsidRPr="00C77BA2">
        <w:rPr>
          <w:rFonts w:ascii="Times New Roman" w:hAnsi="Times New Roman" w:cs="Times New Roman"/>
          <w:b/>
          <w:bCs/>
          <w:sz w:val="24"/>
          <w:szCs w:val="24"/>
          <w:lang w:val="es-US"/>
        </w:rPr>
        <w:t>Central</w:t>
      </w:r>
    </w:p>
    <w:p w14:paraId="03F5869A" w14:textId="77777777" w:rsidR="00E16114" w:rsidRPr="00C77BA2" w:rsidRDefault="00E16114" w:rsidP="00E16114">
      <w:pPr>
        <w:jc w:val="both"/>
        <w:rPr>
          <w:rFonts w:ascii="Times New Roman" w:hAnsi="Times New Roman" w:cs="Times New Roman"/>
          <w:b/>
          <w:bCs/>
          <w:sz w:val="24"/>
          <w:szCs w:val="24"/>
          <w:lang w:val="es-US"/>
        </w:rPr>
      </w:pPr>
    </w:p>
    <w:p w14:paraId="7D397FFC"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115                      19.76                 350                             60.14</w:t>
      </w:r>
      <w:r w:rsidRPr="00C77BA2">
        <w:rPr>
          <w:rFonts w:ascii="Times New Roman" w:hAnsi="Times New Roman" w:cs="Times New Roman"/>
          <w:b/>
          <w:bCs/>
          <w:sz w:val="24"/>
          <w:szCs w:val="24"/>
          <w:lang w:val="es-US"/>
        </w:rPr>
        <w:t xml:space="preserve">        </w:t>
      </w:r>
    </w:p>
    <w:p w14:paraId="21EFCFAC"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South</w:t>
      </w:r>
    </w:p>
    <w:p w14:paraId="07FECD55" w14:textId="77777777" w:rsidR="00E16114" w:rsidRPr="007F6CB3" w:rsidRDefault="00E16114" w:rsidP="00E16114">
      <w:pPr>
        <w:jc w:val="both"/>
        <w:rPr>
          <w:rFonts w:ascii="Times New Roman" w:hAnsi="Times New Roman" w:cs="Times New Roman"/>
          <w:b/>
          <w:bCs/>
          <w:sz w:val="24"/>
          <w:szCs w:val="24"/>
        </w:rPr>
      </w:pPr>
    </w:p>
    <w:tbl>
      <w:tblPr>
        <w:tblW w:w="8654" w:type="dxa"/>
        <w:tblInd w:w="150" w:type="dxa"/>
        <w:tblBorders>
          <w:top w:val="single" w:sz="4" w:space="0" w:color="auto"/>
        </w:tblBorders>
        <w:tblLook w:val="0000" w:firstRow="0" w:lastRow="0" w:firstColumn="0" w:lastColumn="0" w:noHBand="0" w:noVBand="0"/>
      </w:tblPr>
      <w:tblGrid>
        <w:gridCol w:w="8654"/>
      </w:tblGrid>
      <w:tr w:rsidR="00E16114" w:rsidRPr="007F6CB3" w14:paraId="12D8A8CB" w14:textId="77777777" w:rsidTr="0026594F">
        <w:trPr>
          <w:trHeight w:val="100"/>
        </w:trPr>
        <w:tc>
          <w:tcPr>
            <w:tcW w:w="8654" w:type="dxa"/>
          </w:tcPr>
          <w:p w14:paraId="5517F32B" w14:textId="77777777" w:rsidR="00E16114" w:rsidRPr="007F6CB3" w:rsidRDefault="00E16114" w:rsidP="0026594F">
            <w:pPr>
              <w:jc w:val="both"/>
              <w:rPr>
                <w:rFonts w:ascii="Times New Roman" w:hAnsi="Times New Roman" w:cs="Times New Roman"/>
                <w:b/>
                <w:bCs/>
                <w:sz w:val="24"/>
                <w:szCs w:val="24"/>
              </w:rPr>
            </w:pPr>
          </w:p>
        </w:tc>
      </w:tr>
    </w:tbl>
    <w:p w14:paraId="1CD02401" w14:textId="77777777" w:rsidR="00E16114" w:rsidRPr="007F6CB3" w:rsidRDefault="00E16114" w:rsidP="00E16114">
      <w:pPr>
        <w:jc w:val="both"/>
        <w:rPr>
          <w:rFonts w:ascii="Times New Roman" w:hAnsi="Times New Roman" w:cs="Times New Roman"/>
          <w:sz w:val="24"/>
          <w:szCs w:val="24"/>
        </w:rPr>
      </w:pPr>
    </w:p>
    <w:p w14:paraId="7801ECF0" w14:textId="77777777" w:rsidR="00E16114" w:rsidRPr="007F6CB3" w:rsidRDefault="00E16114" w:rsidP="00E16114">
      <w:pPr>
        <w:jc w:val="both"/>
        <w:rPr>
          <w:rFonts w:ascii="Times New Roman" w:hAnsi="Times New Roman" w:cs="Times New Roman"/>
          <w:sz w:val="24"/>
          <w:szCs w:val="24"/>
        </w:rPr>
      </w:pPr>
    </w:p>
    <w:p w14:paraId="7CEBA453" w14:textId="77777777" w:rsidR="00E16114" w:rsidRPr="007F6CB3" w:rsidRDefault="00E16114" w:rsidP="00E16114">
      <w:pPr>
        <w:jc w:val="both"/>
        <w:rPr>
          <w:rFonts w:ascii="Times New Roman" w:hAnsi="Times New Roman" w:cs="Times New Roman"/>
          <w:sz w:val="24"/>
          <w:szCs w:val="24"/>
        </w:rPr>
      </w:pPr>
    </w:p>
    <w:p w14:paraId="770C0F24" w14:textId="77777777" w:rsidR="00E16114" w:rsidRPr="007F6CB3" w:rsidRDefault="00E16114" w:rsidP="00E16114">
      <w:pPr>
        <w:jc w:val="both"/>
        <w:rPr>
          <w:rFonts w:ascii="Times New Roman" w:hAnsi="Times New Roman" w:cs="Times New Roman"/>
          <w:sz w:val="24"/>
          <w:szCs w:val="24"/>
        </w:rPr>
      </w:pPr>
    </w:p>
    <w:p w14:paraId="24ADD62F" w14:textId="77777777" w:rsidR="00E16114" w:rsidRPr="007F6CB3" w:rsidRDefault="00E16114" w:rsidP="00E16114">
      <w:pPr>
        <w:jc w:val="both"/>
        <w:rPr>
          <w:rFonts w:ascii="Times New Roman" w:hAnsi="Times New Roman" w:cs="Times New Roman"/>
          <w:b/>
          <w:bCs/>
          <w:sz w:val="24"/>
          <w:szCs w:val="24"/>
        </w:rPr>
      </w:pPr>
      <w:bookmarkStart w:id="6" w:name="_Hlk221324922"/>
      <w:r w:rsidRPr="007F6CB3">
        <w:rPr>
          <w:rFonts w:ascii="Times New Roman" w:hAnsi="Times New Roman" w:cs="Times New Roman"/>
          <w:b/>
          <w:bCs/>
          <w:sz w:val="24"/>
          <w:szCs w:val="24"/>
        </w:rPr>
        <w:t>4.1.2. Sex Distribution of Respondents</w:t>
      </w:r>
    </w:p>
    <w:p w14:paraId="3BFE9786" w14:textId="77777777" w:rsidR="00E16114" w:rsidRPr="007F6CB3" w:rsidRDefault="00E16114" w:rsidP="00E16114">
      <w:pPr>
        <w:jc w:val="both"/>
        <w:rPr>
          <w:rFonts w:ascii="Times New Roman" w:hAnsi="Times New Roman" w:cs="Times New Roman"/>
          <w:sz w:val="24"/>
          <w:szCs w:val="24"/>
        </w:rPr>
      </w:pPr>
    </w:p>
    <w:bookmarkEnd w:id="6"/>
    <w:p w14:paraId="3107D05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A total of forty-four (44) females and seventy-five (75) male respondents were interviewed in Anambra North Senatorial Zone. A total of thirty-three (33) female respondents and eighty-one (81) male respondents were interviewed in Anambra Central Senatorial Zone. In Anambra South Senatorial Zone, a total of thirty-eight (38) females and seventy-seven (77) male respondents were </w:t>
      </w:r>
      <w:r w:rsidRPr="007F6CB3">
        <w:rPr>
          <w:rFonts w:ascii="Times New Roman" w:hAnsi="Times New Roman" w:cs="Times New Roman"/>
          <w:sz w:val="24"/>
          <w:szCs w:val="24"/>
        </w:rPr>
        <w:lastRenderedPageBreak/>
        <w:t>randomly sampled. This makes a total number of a hundred and fifteen (115) female respondents and two hundred thirty-three (233) male respondents interviewed in this survey (Table 2).</w:t>
      </w:r>
    </w:p>
    <w:p w14:paraId="13D05939" w14:textId="77777777" w:rsidR="00E16114" w:rsidRPr="007F6CB3" w:rsidRDefault="00E16114" w:rsidP="00E16114">
      <w:pPr>
        <w:jc w:val="both"/>
        <w:rPr>
          <w:rFonts w:ascii="Times New Roman" w:hAnsi="Times New Roman" w:cs="Times New Roman"/>
          <w:sz w:val="24"/>
          <w:szCs w:val="24"/>
        </w:rPr>
      </w:pPr>
    </w:p>
    <w:p w14:paraId="3AFB9B5A" w14:textId="77777777" w:rsidR="00E16114" w:rsidRPr="007F6CB3" w:rsidRDefault="00E16114" w:rsidP="00E16114">
      <w:pPr>
        <w:jc w:val="both"/>
        <w:rPr>
          <w:rFonts w:ascii="Times New Roman" w:hAnsi="Times New Roman" w:cs="Times New Roman"/>
          <w:sz w:val="24"/>
          <w:szCs w:val="24"/>
        </w:rPr>
      </w:pPr>
    </w:p>
    <w:p w14:paraId="618395A6" w14:textId="061B27E9" w:rsidR="00E16114" w:rsidRPr="007F6CB3" w:rsidRDefault="00E16114" w:rsidP="00E16114">
      <w:pPr>
        <w:jc w:val="both"/>
        <w:rPr>
          <w:rFonts w:ascii="Times New Roman" w:hAnsi="Times New Roman" w:cs="Times New Roman"/>
          <w:b/>
          <w:bCs/>
          <w:sz w:val="24"/>
          <w:szCs w:val="24"/>
        </w:rPr>
      </w:pPr>
      <w:bookmarkStart w:id="7" w:name="_Hlk221324964"/>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2</w:t>
      </w:r>
      <w:r w:rsidRPr="007F6CB3">
        <w:rPr>
          <w:rFonts w:ascii="Times New Roman" w:hAnsi="Times New Roman" w:cs="Times New Roman"/>
          <w:b/>
          <w:bCs/>
          <w:sz w:val="24"/>
          <w:szCs w:val="24"/>
        </w:rPr>
        <w:t>: Sex Distribution of Respondents in the Study Area</w:t>
      </w:r>
    </w:p>
    <w:tbl>
      <w:tblPr>
        <w:tblW w:w="855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7"/>
      </w:tblGrid>
      <w:tr w:rsidR="00E16114" w:rsidRPr="007F6CB3" w14:paraId="37CB144A" w14:textId="77777777" w:rsidTr="0026594F">
        <w:trPr>
          <w:trHeight w:val="595"/>
        </w:trPr>
        <w:tc>
          <w:tcPr>
            <w:tcW w:w="8557" w:type="dxa"/>
            <w:tcBorders>
              <w:left w:val="nil"/>
              <w:right w:val="nil"/>
            </w:tcBorders>
          </w:tcPr>
          <w:bookmarkEnd w:id="7"/>
          <w:p w14:paraId="1010E5DD"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Sex                           Frequency       Percentage</w:t>
            </w:r>
          </w:p>
          <w:p w14:paraId="734EF99E"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Zones                                                                      </w:t>
            </w:r>
          </w:p>
        </w:tc>
      </w:tr>
    </w:tbl>
    <w:p w14:paraId="04D6385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North                 </w:t>
      </w:r>
      <w:r w:rsidRPr="007F6CB3">
        <w:rPr>
          <w:rFonts w:ascii="Times New Roman" w:hAnsi="Times New Roman" w:cs="Times New Roman"/>
          <w:sz w:val="24"/>
          <w:szCs w:val="24"/>
        </w:rPr>
        <w:t>Male                               75                         63.03</w:t>
      </w:r>
    </w:p>
    <w:p w14:paraId="293B68A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44                        36.97</w:t>
      </w:r>
    </w:p>
    <w:p w14:paraId="672B61E1"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Total                               119                       100.00</w:t>
      </w:r>
    </w:p>
    <w:p w14:paraId="0656D4F3" w14:textId="77777777" w:rsidR="00E16114" w:rsidRPr="007F6CB3" w:rsidRDefault="00E16114" w:rsidP="00E16114">
      <w:pPr>
        <w:jc w:val="both"/>
        <w:rPr>
          <w:rFonts w:ascii="Times New Roman" w:hAnsi="Times New Roman" w:cs="Times New Roman"/>
          <w:sz w:val="24"/>
          <w:szCs w:val="24"/>
        </w:rPr>
      </w:pPr>
    </w:p>
    <w:p w14:paraId="4C342A7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Central               </w:t>
      </w:r>
      <w:r w:rsidRPr="007F6CB3">
        <w:rPr>
          <w:rFonts w:ascii="Times New Roman" w:hAnsi="Times New Roman" w:cs="Times New Roman"/>
          <w:sz w:val="24"/>
          <w:szCs w:val="24"/>
        </w:rPr>
        <w:t>Male                                81                        71.05</w:t>
      </w:r>
    </w:p>
    <w:p w14:paraId="084D2BC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33                        28.95                    </w:t>
      </w:r>
    </w:p>
    <w:p w14:paraId="139585B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Total                               114                      100.00</w:t>
      </w:r>
    </w:p>
    <w:p w14:paraId="6A3803E3" w14:textId="77777777" w:rsidR="00E16114" w:rsidRPr="007F6CB3" w:rsidRDefault="00E16114" w:rsidP="00E16114">
      <w:pPr>
        <w:jc w:val="both"/>
        <w:rPr>
          <w:rFonts w:ascii="Times New Roman" w:hAnsi="Times New Roman" w:cs="Times New Roman"/>
          <w:sz w:val="24"/>
          <w:szCs w:val="24"/>
        </w:rPr>
      </w:pPr>
    </w:p>
    <w:p w14:paraId="01FA1B1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South                   </w:t>
      </w:r>
      <w:r w:rsidRPr="007F6CB3">
        <w:rPr>
          <w:rFonts w:ascii="Times New Roman" w:hAnsi="Times New Roman" w:cs="Times New Roman"/>
          <w:sz w:val="24"/>
          <w:szCs w:val="24"/>
        </w:rPr>
        <w:t>Male                                77                       66.96</w:t>
      </w:r>
    </w:p>
    <w:p w14:paraId="72ED41D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38                       33.04</w:t>
      </w:r>
    </w:p>
    <w:p w14:paraId="13033604"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sz w:val="24"/>
          <w:szCs w:val="24"/>
        </w:rPr>
        <w:t xml:space="preserve">                                              Total                                115                     100.00</w:t>
      </w:r>
    </w:p>
    <w:p w14:paraId="7D3BF351" w14:textId="77777777" w:rsidR="00E16114" w:rsidRPr="007F6CB3" w:rsidRDefault="00E16114" w:rsidP="00E16114">
      <w:pPr>
        <w:jc w:val="both"/>
        <w:rPr>
          <w:rFonts w:ascii="Times New Roman" w:hAnsi="Times New Roman" w:cs="Times New Roman"/>
          <w:b/>
          <w:bCs/>
          <w:sz w:val="24"/>
          <w:szCs w:val="24"/>
        </w:rPr>
      </w:pPr>
    </w:p>
    <w:tbl>
      <w:tblPr>
        <w:tblW w:w="8709" w:type="dxa"/>
        <w:tblInd w:w="53" w:type="dxa"/>
        <w:tblBorders>
          <w:top w:val="single" w:sz="4" w:space="0" w:color="auto"/>
        </w:tblBorders>
        <w:tblLook w:val="0000" w:firstRow="0" w:lastRow="0" w:firstColumn="0" w:lastColumn="0" w:noHBand="0" w:noVBand="0"/>
      </w:tblPr>
      <w:tblGrid>
        <w:gridCol w:w="8709"/>
      </w:tblGrid>
      <w:tr w:rsidR="00E16114" w:rsidRPr="007F6CB3" w14:paraId="12B20BA6" w14:textId="77777777" w:rsidTr="0026594F">
        <w:trPr>
          <w:trHeight w:val="96"/>
        </w:trPr>
        <w:tc>
          <w:tcPr>
            <w:tcW w:w="8709" w:type="dxa"/>
          </w:tcPr>
          <w:p w14:paraId="7FF26FA5" w14:textId="77777777" w:rsidR="00E16114" w:rsidRPr="007F6CB3" w:rsidRDefault="00E16114" w:rsidP="0026594F">
            <w:pPr>
              <w:jc w:val="both"/>
              <w:rPr>
                <w:rFonts w:ascii="Times New Roman" w:hAnsi="Times New Roman" w:cs="Times New Roman"/>
                <w:b/>
                <w:bCs/>
                <w:sz w:val="24"/>
                <w:szCs w:val="24"/>
              </w:rPr>
            </w:pPr>
          </w:p>
        </w:tc>
      </w:tr>
    </w:tbl>
    <w:p w14:paraId="537598C6" w14:textId="77777777" w:rsidR="00E16114" w:rsidRPr="007F6CB3" w:rsidRDefault="00E16114" w:rsidP="00E16114">
      <w:pPr>
        <w:jc w:val="both"/>
        <w:rPr>
          <w:rFonts w:ascii="Times New Roman" w:hAnsi="Times New Roman" w:cs="Times New Roman"/>
          <w:b/>
          <w:bCs/>
          <w:sz w:val="24"/>
          <w:szCs w:val="24"/>
        </w:rPr>
      </w:pPr>
    </w:p>
    <w:p w14:paraId="6172C9FB" w14:textId="77777777" w:rsidR="00E16114" w:rsidRPr="007F6CB3" w:rsidRDefault="00E16114" w:rsidP="00E16114">
      <w:pPr>
        <w:jc w:val="both"/>
        <w:rPr>
          <w:rFonts w:ascii="Times New Roman" w:hAnsi="Times New Roman" w:cs="Times New Roman"/>
          <w:b/>
          <w:bCs/>
          <w:sz w:val="24"/>
          <w:szCs w:val="24"/>
        </w:rPr>
      </w:pPr>
    </w:p>
    <w:p w14:paraId="0BBB8B29" w14:textId="77777777" w:rsidR="00E16114" w:rsidRPr="007F6CB3" w:rsidRDefault="00E16114" w:rsidP="00E16114">
      <w:pPr>
        <w:jc w:val="both"/>
        <w:rPr>
          <w:rFonts w:ascii="Times New Roman" w:hAnsi="Times New Roman" w:cs="Times New Roman"/>
          <w:b/>
          <w:bCs/>
          <w:sz w:val="24"/>
          <w:szCs w:val="24"/>
        </w:rPr>
      </w:pPr>
      <w:bookmarkStart w:id="8" w:name="_Hlk221325025"/>
      <w:r w:rsidRPr="007F6CB3">
        <w:rPr>
          <w:rFonts w:ascii="Times New Roman" w:hAnsi="Times New Roman" w:cs="Times New Roman"/>
          <w:b/>
          <w:bCs/>
          <w:sz w:val="24"/>
          <w:szCs w:val="24"/>
        </w:rPr>
        <w:t>4.1.3. Language spoken by the Respondents</w:t>
      </w:r>
    </w:p>
    <w:bookmarkEnd w:id="8"/>
    <w:p w14:paraId="34D669BB" w14:textId="77777777" w:rsidR="00E16114" w:rsidRPr="007F6CB3" w:rsidRDefault="00E16114" w:rsidP="00E16114">
      <w:pPr>
        <w:jc w:val="both"/>
        <w:rPr>
          <w:rFonts w:ascii="Times New Roman" w:hAnsi="Times New Roman" w:cs="Times New Roman"/>
          <w:b/>
          <w:bCs/>
          <w:sz w:val="24"/>
          <w:szCs w:val="24"/>
        </w:rPr>
      </w:pPr>
    </w:p>
    <w:p w14:paraId="20A2E98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All the respondents within the study areas in this survey fluently spoke and understood Igbo language with slight differences in the pronunciations and intonations.</w:t>
      </w:r>
    </w:p>
    <w:p w14:paraId="24E4A0AE" w14:textId="77777777" w:rsidR="00E16114" w:rsidRPr="007F6CB3" w:rsidRDefault="00E16114" w:rsidP="00E16114">
      <w:pPr>
        <w:jc w:val="both"/>
        <w:rPr>
          <w:rFonts w:ascii="Times New Roman" w:hAnsi="Times New Roman" w:cs="Times New Roman"/>
          <w:sz w:val="24"/>
          <w:szCs w:val="24"/>
        </w:rPr>
      </w:pPr>
    </w:p>
    <w:p w14:paraId="71F4EA21" w14:textId="77777777" w:rsidR="00E16114" w:rsidRPr="007F6CB3" w:rsidRDefault="00E16114" w:rsidP="00E16114">
      <w:pPr>
        <w:jc w:val="both"/>
        <w:rPr>
          <w:rFonts w:ascii="Times New Roman" w:hAnsi="Times New Roman" w:cs="Times New Roman"/>
          <w:sz w:val="24"/>
          <w:szCs w:val="24"/>
        </w:rPr>
      </w:pPr>
    </w:p>
    <w:p w14:paraId="5BC6F9A9" w14:textId="77777777" w:rsidR="00E16114" w:rsidRPr="007F6CB3" w:rsidRDefault="00E16114" w:rsidP="00E16114">
      <w:pPr>
        <w:jc w:val="both"/>
        <w:rPr>
          <w:rFonts w:ascii="Times New Roman" w:hAnsi="Times New Roman" w:cs="Times New Roman"/>
          <w:b/>
          <w:bCs/>
          <w:sz w:val="24"/>
          <w:szCs w:val="24"/>
        </w:rPr>
      </w:pPr>
      <w:bookmarkStart w:id="9" w:name="_Hlk221325039"/>
      <w:r w:rsidRPr="007F6CB3">
        <w:rPr>
          <w:rFonts w:ascii="Times New Roman" w:hAnsi="Times New Roman" w:cs="Times New Roman"/>
          <w:b/>
          <w:bCs/>
          <w:sz w:val="24"/>
          <w:szCs w:val="24"/>
        </w:rPr>
        <w:t>4.1.4. Age Range and Distribution of the Respondents</w:t>
      </w:r>
    </w:p>
    <w:bookmarkEnd w:id="9"/>
    <w:p w14:paraId="7B64A407" w14:textId="77777777" w:rsidR="00E16114" w:rsidRPr="007F6CB3" w:rsidRDefault="00E16114" w:rsidP="00E16114">
      <w:pPr>
        <w:jc w:val="both"/>
        <w:rPr>
          <w:rFonts w:ascii="Times New Roman" w:hAnsi="Times New Roman" w:cs="Times New Roman"/>
          <w:b/>
          <w:bCs/>
          <w:sz w:val="24"/>
          <w:szCs w:val="24"/>
        </w:rPr>
      </w:pPr>
    </w:p>
    <w:p w14:paraId="5EF5A65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The highest age bracket of respondents who have indigenous knowledge of 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batatas</w:t>
      </w:r>
      <w:r w:rsidRPr="007F6CB3">
        <w:rPr>
          <w:rFonts w:ascii="Times New Roman" w:hAnsi="Times New Roman" w:cs="Times New Roman"/>
          <w:sz w:val="24"/>
          <w:szCs w:val="24"/>
        </w:rPr>
        <w:t xml:space="preserve"> L.) Lam.) was obtained from Anambra North Senatorial Zone, within the age range of 41-50 years old having a total of 56.30% respondents while the least occurred in Anambra South within the age range of 51-60 years old having a total of 3.48% (Table 3). It was clearly observed that in Anambra South Senatorial Zone, the age range of 60 years old and above (≥ 60) have no respondents (Table 3).</w:t>
      </w:r>
    </w:p>
    <w:p w14:paraId="10FC2783" w14:textId="77777777" w:rsidR="00E16114" w:rsidRPr="007F6CB3" w:rsidRDefault="00E16114" w:rsidP="00E16114">
      <w:pPr>
        <w:jc w:val="both"/>
        <w:rPr>
          <w:rFonts w:ascii="Times New Roman" w:hAnsi="Times New Roman" w:cs="Times New Roman"/>
          <w:sz w:val="24"/>
          <w:szCs w:val="24"/>
        </w:rPr>
      </w:pPr>
    </w:p>
    <w:p w14:paraId="34848B61" w14:textId="77777777" w:rsidR="00E16114" w:rsidRPr="007F6CB3" w:rsidRDefault="00E16114" w:rsidP="00E16114">
      <w:pPr>
        <w:jc w:val="both"/>
        <w:rPr>
          <w:rFonts w:ascii="Times New Roman" w:hAnsi="Times New Roman" w:cs="Times New Roman"/>
          <w:sz w:val="24"/>
          <w:szCs w:val="24"/>
        </w:rPr>
      </w:pPr>
    </w:p>
    <w:p w14:paraId="5BE3EA51" w14:textId="77777777" w:rsidR="00E16114" w:rsidRPr="007F6CB3" w:rsidRDefault="00E16114" w:rsidP="00E16114">
      <w:pPr>
        <w:jc w:val="both"/>
        <w:rPr>
          <w:rFonts w:ascii="Times New Roman" w:hAnsi="Times New Roman" w:cs="Times New Roman"/>
          <w:sz w:val="24"/>
          <w:szCs w:val="24"/>
        </w:rPr>
      </w:pPr>
    </w:p>
    <w:p w14:paraId="51A11CB6" w14:textId="77777777" w:rsidR="00E16114" w:rsidRPr="007F6CB3" w:rsidRDefault="00E16114" w:rsidP="00E16114">
      <w:pPr>
        <w:jc w:val="both"/>
        <w:rPr>
          <w:rFonts w:ascii="Times New Roman" w:hAnsi="Times New Roman" w:cs="Times New Roman"/>
          <w:sz w:val="24"/>
          <w:szCs w:val="24"/>
        </w:rPr>
      </w:pPr>
    </w:p>
    <w:p w14:paraId="2CD7528D" w14:textId="77777777" w:rsidR="00E16114" w:rsidRPr="007F6CB3" w:rsidRDefault="00E16114" w:rsidP="00E16114">
      <w:pPr>
        <w:jc w:val="both"/>
        <w:rPr>
          <w:rFonts w:ascii="Times New Roman" w:hAnsi="Times New Roman" w:cs="Times New Roman"/>
          <w:sz w:val="24"/>
          <w:szCs w:val="24"/>
        </w:rPr>
      </w:pPr>
    </w:p>
    <w:p w14:paraId="5B86BC4B" w14:textId="77777777" w:rsidR="00E16114" w:rsidRPr="007F6CB3" w:rsidRDefault="00E16114" w:rsidP="00E16114">
      <w:pPr>
        <w:jc w:val="both"/>
        <w:rPr>
          <w:rFonts w:ascii="Times New Roman" w:hAnsi="Times New Roman" w:cs="Times New Roman"/>
          <w:sz w:val="24"/>
          <w:szCs w:val="24"/>
        </w:rPr>
      </w:pPr>
    </w:p>
    <w:p w14:paraId="5AF2779D" w14:textId="77777777" w:rsidR="00E16114" w:rsidRPr="007F6CB3" w:rsidRDefault="00E16114" w:rsidP="00E16114">
      <w:pPr>
        <w:jc w:val="both"/>
        <w:rPr>
          <w:rFonts w:ascii="Times New Roman" w:hAnsi="Times New Roman" w:cs="Times New Roman"/>
          <w:sz w:val="24"/>
          <w:szCs w:val="24"/>
        </w:rPr>
      </w:pPr>
    </w:p>
    <w:p w14:paraId="22E3B13B" w14:textId="77777777" w:rsidR="00E16114" w:rsidRPr="007F6CB3" w:rsidRDefault="00E16114" w:rsidP="00E16114">
      <w:pPr>
        <w:jc w:val="both"/>
        <w:rPr>
          <w:rFonts w:ascii="Times New Roman" w:hAnsi="Times New Roman" w:cs="Times New Roman"/>
          <w:sz w:val="24"/>
          <w:szCs w:val="24"/>
        </w:rPr>
      </w:pPr>
    </w:p>
    <w:p w14:paraId="1412ED31" w14:textId="77777777" w:rsidR="00E16114" w:rsidRPr="007F6CB3" w:rsidRDefault="00E16114" w:rsidP="00E16114">
      <w:pPr>
        <w:jc w:val="both"/>
        <w:rPr>
          <w:rFonts w:ascii="Times New Roman" w:hAnsi="Times New Roman" w:cs="Times New Roman"/>
          <w:sz w:val="24"/>
          <w:szCs w:val="24"/>
        </w:rPr>
      </w:pPr>
    </w:p>
    <w:p w14:paraId="35223297" w14:textId="77777777" w:rsidR="00E16114" w:rsidRPr="007F6CB3" w:rsidRDefault="00E16114" w:rsidP="00E16114">
      <w:pPr>
        <w:jc w:val="both"/>
        <w:rPr>
          <w:rFonts w:ascii="Times New Roman" w:hAnsi="Times New Roman" w:cs="Times New Roman"/>
          <w:sz w:val="24"/>
          <w:szCs w:val="24"/>
        </w:rPr>
      </w:pPr>
    </w:p>
    <w:p w14:paraId="7BFB90C3" w14:textId="7C2B04B9" w:rsidR="00E16114" w:rsidRPr="007F6CB3" w:rsidRDefault="00E16114" w:rsidP="00E16114">
      <w:pPr>
        <w:jc w:val="both"/>
        <w:rPr>
          <w:rFonts w:ascii="Times New Roman" w:hAnsi="Times New Roman" w:cs="Times New Roman"/>
          <w:sz w:val="24"/>
          <w:szCs w:val="24"/>
        </w:rPr>
      </w:pPr>
      <w:bookmarkStart w:id="10" w:name="_Hlk221325076"/>
      <w:r w:rsidRPr="007F6CB3">
        <w:rPr>
          <w:rFonts w:ascii="Times New Roman" w:hAnsi="Times New Roman" w:cs="Times New Roman"/>
          <w:sz w:val="24"/>
          <w:szCs w:val="24"/>
        </w:rPr>
        <w:lastRenderedPageBreak/>
        <w:t xml:space="preserve">Table </w:t>
      </w:r>
      <w:r w:rsidR="007C1DB2">
        <w:rPr>
          <w:rFonts w:ascii="Times New Roman" w:hAnsi="Times New Roman" w:cs="Times New Roman"/>
          <w:sz w:val="24"/>
          <w:szCs w:val="24"/>
        </w:rPr>
        <w:t>3</w:t>
      </w:r>
      <w:r w:rsidRPr="007F6CB3">
        <w:rPr>
          <w:rFonts w:ascii="Times New Roman" w:hAnsi="Times New Roman" w:cs="Times New Roman"/>
          <w:sz w:val="24"/>
          <w:szCs w:val="24"/>
        </w:rPr>
        <w:t>: Age Range and Distribution of Respondents</w:t>
      </w:r>
    </w:p>
    <w:p w14:paraId="7CED74BC" w14:textId="77777777" w:rsidR="00E16114" w:rsidRPr="007F6CB3" w:rsidRDefault="00E16114" w:rsidP="00E16114">
      <w:pPr>
        <w:jc w:val="both"/>
        <w:rPr>
          <w:rFonts w:ascii="Times New Roman" w:hAnsi="Times New Roman" w:cs="Times New Roman"/>
          <w:sz w:val="24"/>
          <w:szCs w:val="24"/>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6"/>
      </w:tblGrid>
      <w:tr w:rsidR="00E16114" w:rsidRPr="007F6CB3" w14:paraId="49470A92" w14:textId="77777777" w:rsidTr="0026594F">
        <w:trPr>
          <w:trHeight w:val="1060"/>
        </w:trPr>
        <w:tc>
          <w:tcPr>
            <w:tcW w:w="8266" w:type="dxa"/>
            <w:tcBorders>
              <w:left w:val="nil"/>
              <w:bottom w:val="single" w:sz="4" w:space="0" w:color="auto"/>
              <w:right w:val="nil"/>
            </w:tcBorders>
          </w:tcPr>
          <w:bookmarkEnd w:id="10"/>
          <w:p w14:paraId="3CA43FB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Senatorial                       Age Range of Respondents (%)</w:t>
            </w:r>
          </w:p>
          <w:p w14:paraId="042D2D3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Zones                             </w:t>
            </w:r>
          </w:p>
          <w:p w14:paraId="542C79B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                                        21-30      31-40      41-50      51-60      ≥60</w:t>
            </w:r>
          </w:p>
        </w:tc>
      </w:tr>
    </w:tbl>
    <w:p w14:paraId="456D64BF" w14:textId="77777777" w:rsidR="00E16114" w:rsidRPr="007F6CB3" w:rsidRDefault="00E16114" w:rsidP="00E16114">
      <w:pPr>
        <w:jc w:val="both"/>
        <w:rPr>
          <w:rFonts w:ascii="Times New Roman" w:hAnsi="Times New Roman" w:cs="Times New Roman"/>
          <w:sz w:val="24"/>
          <w:szCs w:val="24"/>
        </w:rPr>
      </w:pPr>
    </w:p>
    <w:p w14:paraId="10BEC7D6"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North                15.13      4.20        56.30      18.49       5.88</w:t>
      </w:r>
    </w:p>
    <w:p w14:paraId="0205050F" w14:textId="77777777" w:rsidR="00E16114" w:rsidRPr="007F6CB3" w:rsidRDefault="00E16114" w:rsidP="00E16114">
      <w:pPr>
        <w:jc w:val="both"/>
        <w:rPr>
          <w:rFonts w:ascii="Times New Roman" w:hAnsi="Times New Roman" w:cs="Times New Roman"/>
          <w:sz w:val="24"/>
          <w:szCs w:val="24"/>
        </w:rPr>
      </w:pPr>
    </w:p>
    <w:p w14:paraId="159FB94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Central              28.95      19.30       29.82     12.28       9.65</w:t>
      </w:r>
    </w:p>
    <w:p w14:paraId="2B93FF23" w14:textId="77777777" w:rsidR="00E16114" w:rsidRPr="007F6CB3" w:rsidRDefault="00E16114" w:rsidP="00E16114">
      <w:pPr>
        <w:jc w:val="both"/>
        <w:rPr>
          <w:rFonts w:ascii="Times New Roman" w:hAnsi="Times New Roman" w:cs="Times New Roman"/>
          <w:sz w:val="24"/>
          <w:szCs w:val="24"/>
        </w:rPr>
      </w:pPr>
    </w:p>
    <w:p w14:paraId="67AFB57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South                 27.83      44.34       24.35      3.48        0.00</w:t>
      </w:r>
    </w:p>
    <w:p w14:paraId="5AD232BB" w14:textId="77777777" w:rsidR="00E16114" w:rsidRPr="007F6CB3" w:rsidRDefault="00E16114" w:rsidP="00E16114">
      <w:pPr>
        <w:jc w:val="both"/>
        <w:rPr>
          <w:rFonts w:ascii="Times New Roman" w:hAnsi="Times New Roman" w:cs="Times New Roman"/>
          <w:b/>
          <w:bCs/>
          <w:sz w:val="24"/>
          <w:szCs w:val="24"/>
        </w:rPr>
      </w:pPr>
    </w:p>
    <w:tbl>
      <w:tblPr>
        <w:tblW w:w="0" w:type="auto"/>
        <w:tblInd w:w="108" w:type="dxa"/>
        <w:tblBorders>
          <w:top w:val="single" w:sz="4" w:space="0" w:color="auto"/>
        </w:tblBorders>
        <w:tblLook w:val="0000" w:firstRow="0" w:lastRow="0" w:firstColumn="0" w:lastColumn="0" w:noHBand="0" w:noVBand="0"/>
      </w:tblPr>
      <w:tblGrid>
        <w:gridCol w:w="8391"/>
      </w:tblGrid>
      <w:tr w:rsidR="00E16114" w:rsidRPr="007F6CB3" w14:paraId="5A0774F3" w14:textId="77777777" w:rsidTr="0026594F">
        <w:trPr>
          <w:trHeight w:val="100"/>
        </w:trPr>
        <w:tc>
          <w:tcPr>
            <w:tcW w:w="8391" w:type="dxa"/>
          </w:tcPr>
          <w:p w14:paraId="4CF12439" w14:textId="77777777" w:rsidR="00E16114" w:rsidRPr="007F6CB3" w:rsidRDefault="00E16114" w:rsidP="0026594F">
            <w:pPr>
              <w:jc w:val="both"/>
              <w:rPr>
                <w:rFonts w:ascii="Times New Roman" w:hAnsi="Times New Roman" w:cs="Times New Roman"/>
                <w:b/>
                <w:bCs/>
                <w:sz w:val="24"/>
                <w:szCs w:val="24"/>
              </w:rPr>
            </w:pPr>
          </w:p>
        </w:tc>
      </w:tr>
    </w:tbl>
    <w:p w14:paraId="6B1E6ABD" w14:textId="77777777" w:rsidR="00E16114" w:rsidRPr="007F6CB3" w:rsidRDefault="00E16114" w:rsidP="00E16114">
      <w:pPr>
        <w:jc w:val="both"/>
        <w:rPr>
          <w:rFonts w:ascii="Times New Roman" w:hAnsi="Times New Roman" w:cs="Times New Roman"/>
          <w:b/>
          <w:bCs/>
          <w:sz w:val="24"/>
          <w:szCs w:val="24"/>
        </w:rPr>
      </w:pPr>
    </w:p>
    <w:p w14:paraId="08F1B40C" w14:textId="77777777" w:rsidR="00E16114" w:rsidRPr="007F6CB3" w:rsidRDefault="00E16114" w:rsidP="00E16114">
      <w:pPr>
        <w:jc w:val="both"/>
        <w:rPr>
          <w:rFonts w:ascii="Times New Roman" w:hAnsi="Times New Roman" w:cs="Times New Roman"/>
          <w:b/>
          <w:bCs/>
          <w:sz w:val="24"/>
          <w:szCs w:val="24"/>
        </w:rPr>
      </w:pPr>
    </w:p>
    <w:p w14:paraId="3B94ECAD" w14:textId="77777777" w:rsidR="00E16114" w:rsidRPr="007F6CB3" w:rsidRDefault="00E16114" w:rsidP="00E16114">
      <w:pPr>
        <w:jc w:val="both"/>
        <w:rPr>
          <w:rFonts w:ascii="Times New Roman" w:hAnsi="Times New Roman" w:cs="Times New Roman"/>
          <w:b/>
          <w:bCs/>
          <w:sz w:val="24"/>
          <w:szCs w:val="24"/>
        </w:rPr>
      </w:pPr>
      <w:bookmarkStart w:id="11" w:name="_Hlk221325111"/>
      <w:r w:rsidRPr="007F6CB3">
        <w:rPr>
          <w:rFonts w:ascii="Times New Roman" w:hAnsi="Times New Roman" w:cs="Times New Roman"/>
          <w:b/>
          <w:bCs/>
          <w:sz w:val="24"/>
          <w:szCs w:val="24"/>
        </w:rPr>
        <w:t>4.1.5. Educational Qualification of the Respondents</w:t>
      </w:r>
    </w:p>
    <w:bookmarkEnd w:id="11"/>
    <w:p w14:paraId="5B488B27" w14:textId="77777777" w:rsidR="00E16114" w:rsidRPr="007F6CB3" w:rsidRDefault="00E16114" w:rsidP="00E16114">
      <w:pPr>
        <w:jc w:val="both"/>
        <w:rPr>
          <w:rFonts w:ascii="Times New Roman" w:hAnsi="Times New Roman" w:cs="Times New Roman"/>
          <w:b/>
          <w:bCs/>
          <w:sz w:val="24"/>
          <w:szCs w:val="24"/>
        </w:rPr>
      </w:pPr>
    </w:p>
    <w:p w14:paraId="090F3D0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Respondents who have the indigenous knowledge of sweet potato in their communities had varying educational qualifications ranging from First School Leaving Certificate (FSLC), West African Senior Secondary Certificate Examination (WASSCE) or the General Certificate Examination (GCE), higher institution of learning or no educational qualification. In Anambra South, 73 respondents (63.48%) had no formal type of education. In Anambra North, 52 respondents (43.70%) had First School Leaving Certificate (FSLC). The least number of educational qualifications was obtained in Anambra Central and Anambra South with only 14 respondents (12.28% and 12.17%) having higher institution education qualification (Table 4) </w:t>
      </w:r>
    </w:p>
    <w:p w14:paraId="28A3D6B5" w14:textId="77777777" w:rsidR="00E16114" w:rsidRPr="007F6CB3" w:rsidRDefault="00E16114" w:rsidP="00E16114">
      <w:pPr>
        <w:jc w:val="both"/>
        <w:rPr>
          <w:rFonts w:ascii="Times New Roman" w:hAnsi="Times New Roman" w:cs="Times New Roman"/>
          <w:sz w:val="24"/>
          <w:szCs w:val="24"/>
        </w:rPr>
      </w:pPr>
    </w:p>
    <w:p w14:paraId="3070AFF4" w14:textId="41C7137E" w:rsidR="00E16114" w:rsidRPr="007F6CB3" w:rsidRDefault="00E16114" w:rsidP="00E16114">
      <w:pPr>
        <w:jc w:val="both"/>
        <w:rPr>
          <w:rFonts w:ascii="Times New Roman" w:hAnsi="Times New Roman" w:cs="Times New Roman"/>
          <w:sz w:val="24"/>
          <w:szCs w:val="24"/>
        </w:rPr>
      </w:pPr>
      <w:bookmarkStart w:id="12" w:name="_Hlk221325145"/>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4</w:t>
      </w:r>
      <w:r w:rsidRPr="007F6CB3">
        <w:rPr>
          <w:rFonts w:ascii="Times New Roman" w:hAnsi="Times New Roman" w:cs="Times New Roman"/>
          <w:sz w:val="24"/>
          <w:szCs w:val="24"/>
        </w:rPr>
        <w:t>: Educational Qualification of Respondents</w:t>
      </w:r>
    </w:p>
    <w:p w14:paraId="6E1AE114"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t>
      </w:r>
    </w:p>
    <w:tbl>
      <w:tblPr>
        <w:tblW w:w="851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5"/>
      </w:tblGrid>
      <w:tr w:rsidR="00E16114" w:rsidRPr="007F6CB3" w14:paraId="61256A06" w14:textId="77777777" w:rsidTr="0026594F">
        <w:trPr>
          <w:trHeight w:val="789"/>
        </w:trPr>
        <w:tc>
          <w:tcPr>
            <w:tcW w:w="8515" w:type="dxa"/>
            <w:tcBorders>
              <w:left w:val="nil"/>
              <w:right w:val="nil"/>
            </w:tcBorders>
          </w:tcPr>
          <w:bookmarkEnd w:id="12"/>
          <w:p w14:paraId="1839BA5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Educational Qualification       Frequency        Percentage (%)</w:t>
            </w:r>
          </w:p>
          <w:p w14:paraId="79AF9CF5"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w:t>
            </w:r>
          </w:p>
        </w:tc>
      </w:tr>
    </w:tbl>
    <w:p w14:paraId="73614E4E"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North          FSLC                                         52                      43.70</w:t>
      </w:r>
    </w:p>
    <w:p w14:paraId="7705F64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WASSCE/GCE                          7                       5.88</w:t>
      </w:r>
    </w:p>
    <w:p w14:paraId="3AC5EA05"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18                     15.13</w:t>
      </w:r>
    </w:p>
    <w:p w14:paraId="55AF8EC4"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None                                          42                      35.29</w:t>
      </w:r>
    </w:p>
    <w:p w14:paraId="4B04E3F2" w14:textId="77777777" w:rsidR="00E16114" w:rsidRPr="007F6CB3" w:rsidRDefault="00E16114" w:rsidP="00E16114">
      <w:pPr>
        <w:jc w:val="both"/>
        <w:rPr>
          <w:rFonts w:ascii="Times New Roman" w:hAnsi="Times New Roman" w:cs="Times New Roman"/>
          <w:b/>
          <w:bCs/>
          <w:sz w:val="24"/>
          <w:szCs w:val="24"/>
        </w:rPr>
      </w:pPr>
    </w:p>
    <w:p w14:paraId="15A9A69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Central         FSLC                                         10                      8.77</w:t>
      </w:r>
    </w:p>
    <w:p w14:paraId="2868A30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WASSCE/GCE                          45                      39.47</w:t>
      </w:r>
    </w:p>
    <w:p w14:paraId="5142476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14                      12.28</w:t>
      </w:r>
    </w:p>
    <w:p w14:paraId="76B97BA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None                                          45                      39.47</w:t>
      </w:r>
    </w:p>
    <w:p w14:paraId="44C8A116" w14:textId="77777777" w:rsidR="00E16114" w:rsidRPr="007F6CB3" w:rsidRDefault="00E16114" w:rsidP="00E16114">
      <w:pPr>
        <w:jc w:val="both"/>
        <w:rPr>
          <w:rFonts w:ascii="Times New Roman" w:hAnsi="Times New Roman" w:cs="Times New Roman"/>
          <w:sz w:val="24"/>
          <w:szCs w:val="24"/>
        </w:rPr>
      </w:pPr>
    </w:p>
    <w:p w14:paraId="5FD89B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South             FSLC                                         10                      8.70</w:t>
      </w:r>
    </w:p>
    <w:p w14:paraId="13D1E3B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WASSCE/GCE                          18                     15.65</w:t>
      </w:r>
    </w:p>
    <w:p w14:paraId="761A1DD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14                     12.17</w:t>
      </w:r>
    </w:p>
    <w:p w14:paraId="62F71DE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None                                          73                     63.48</w:t>
      </w:r>
    </w:p>
    <w:p w14:paraId="3D427F95" w14:textId="77777777" w:rsidR="00E16114" w:rsidRPr="007F6CB3" w:rsidRDefault="00E16114" w:rsidP="00E16114">
      <w:pPr>
        <w:jc w:val="both"/>
        <w:rPr>
          <w:rFonts w:ascii="Times New Roman" w:hAnsi="Times New Roman" w:cs="Times New Roman"/>
          <w:sz w:val="24"/>
          <w:szCs w:val="24"/>
        </w:rPr>
      </w:pPr>
    </w:p>
    <w:tbl>
      <w:tblPr>
        <w:tblW w:w="8723" w:type="dxa"/>
        <w:tblInd w:w="136" w:type="dxa"/>
        <w:tblBorders>
          <w:top w:val="single" w:sz="4" w:space="0" w:color="auto"/>
        </w:tblBorders>
        <w:tblLook w:val="0000" w:firstRow="0" w:lastRow="0" w:firstColumn="0" w:lastColumn="0" w:noHBand="0" w:noVBand="0"/>
      </w:tblPr>
      <w:tblGrid>
        <w:gridCol w:w="8723"/>
      </w:tblGrid>
      <w:tr w:rsidR="00E16114" w:rsidRPr="007F6CB3" w14:paraId="1F8C43B1" w14:textId="77777777" w:rsidTr="0026594F">
        <w:trPr>
          <w:trHeight w:val="100"/>
        </w:trPr>
        <w:tc>
          <w:tcPr>
            <w:tcW w:w="8723" w:type="dxa"/>
          </w:tcPr>
          <w:p w14:paraId="3B25431B" w14:textId="77777777" w:rsidR="00E16114" w:rsidRPr="007F6CB3" w:rsidRDefault="00E16114" w:rsidP="0026594F">
            <w:pPr>
              <w:jc w:val="both"/>
              <w:rPr>
                <w:rFonts w:ascii="Times New Roman" w:hAnsi="Times New Roman" w:cs="Times New Roman"/>
                <w:sz w:val="24"/>
                <w:szCs w:val="24"/>
              </w:rPr>
            </w:pPr>
          </w:p>
        </w:tc>
      </w:tr>
    </w:tbl>
    <w:p w14:paraId="630DB1D1" w14:textId="77777777" w:rsidR="00E16114" w:rsidRPr="007F6CB3" w:rsidRDefault="00E16114" w:rsidP="00E16114">
      <w:pPr>
        <w:jc w:val="both"/>
        <w:rPr>
          <w:rFonts w:ascii="Times New Roman" w:hAnsi="Times New Roman" w:cs="Times New Roman"/>
          <w:b/>
          <w:bCs/>
          <w:sz w:val="24"/>
          <w:szCs w:val="24"/>
        </w:rPr>
      </w:pPr>
      <w:bookmarkStart w:id="13" w:name="_Hlk221325187"/>
      <w:r w:rsidRPr="007F6CB3">
        <w:rPr>
          <w:rFonts w:ascii="Times New Roman" w:hAnsi="Times New Roman" w:cs="Times New Roman"/>
          <w:b/>
          <w:bCs/>
          <w:sz w:val="24"/>
          <w:szCs w:val="24"/>
        </w:rPr>
        <w:t>4.1.6. Occupation of the Respondents</w:t>
      </w:r>
    </w:p>
    <w:p w14:paraId="1F6B9AEF" w14:textId="77777777" w:rsidR="00E16114" w:rsidRPr="007F6CB3" w:rsidRDefault="00E16114" w:rsidP="00E16114">
      <w:pPr>
        <w:jc w:val="both"/>
        <w:rPr>
          <w:rFonts w:ascii="Times New Roman" w:hAnsi="Times New Roman" w:cs="Times New Roman"/>
          <w:b/>
          <w:bCs/>
          <w:sz w:val="24"/>
          <w:szCs w:val="24"/>
        </w:rPr>
      </w:pPr>
    </w:p>
    <w:bookmarkEnd w:id="13"/>
    <w:p w14:paraId="7E238DE6"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Most of the respondents that were interviewed were farmers, with some engaged with other paid jobs, some were students and some self-employed. In Anambra North Senatorial Zone, one hundred and one (101) respondents representing 84.87% were farmers while eighteen (18) respondents representing 15.13% were students. None of the respondents were engaged in paid employment or self-employment. In Anambra Central Senatorial Zone, eighty-three (83) respondents representing 72.81% were farmers, twenty (20) respondents representing 17.54% were students and eleven (11) respondents representing 9.65% had paid employment. No respondent was self-employed. In Anambra South Senatorial Zone, six (6) representing 5.22% of the respondents were engaged in paid employment, five (5) respondents representing 4.35% were engaged in self-employment, seven (7) respondents representing 6.09% of the respondents were students and ninety-seven (97) respondents representing 84.35% were farmers (Table 5). </w:t>
      </w:r>
    </w:p>
    <w:p w14:paraId="3507B0E8" w14:textId="77777777" w:rsidR="00E16114" w:rsidRPr="007F6CB3" w:rsidRDefault="00E16114" w:rsidP="00E16114">
      <w:pPr>
        <w:jc w:val="both"/>
        <w:rPr>
          <w:rFonts w:ascii="Times New Roman" w:hAnsi="Times New Roman" w:cs="Times New Roman"/>
          <w:sz w:val="24"/>
          <w:szCs w:val="24"/>
        </w:rPr>
      </w:pPr>
    </w:p>
    <w:p w14:paraId="031A93F8" w14:textId="77158EF4" w:rsidR="00E16114" w:rsidRPr="007F6CB3" w:rsidRDefault="00E16114" w:rsidP="00E16114">
      <w:pPr>
        <w:jc w:val="both"/>
        <w:rPr>
          <w:rFonts w:ascii="Times New Roman" w:hAnsi="Times New Roman" w:cs="Times New Roman"/>
          <w:sz w:val="24"/>
          <w:szCs w:val="24"/>
        </w:rPr>
      </w:pPr>
      <w:bookmarkStart w:id="14" w:name="_Hlk221325217"/>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5</w:t>
      </w:r>
      <w:r w:rsidRPr="007F6CB3">
        <w:rPr>
          <w:rFonts w:ascii="Times New Roman" w:hAnsi="Times New Roman" w:cs="Times New Roman"/>
          <w:sz w:val="24"/>
          <w:szCs w:val="24"/>
        </w:rPr>
        <w:t>: Occupation of the Respondents</w:t>
      </w:r>
    </w:p>
    <w:p w14:paraId="2DAB42D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t>
      </w:r>
    </w:p>
    <w:tbl>
      <w:tblPr>
        <w:tblW w:w="851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5"/>
      </w:tblGrid>
      <w:tr w:rsidR="00E16114" w:rsidRPr="007F6CB3" w14:paraId="1C04E616" w14:textId="77777777" w:rsidTr="0026594F">
        <w:trPr>
          <w:trHeight w:val="789"/>
        </w:trPr>
        <w:tc>
          <w:tcPr>
            <w:tcW w:w="8515" w:type="dxa"/>
            <w:tcBorders>
              <w:left w:val="nil"/>
              <w:right w:val="nil"/>
            </w:tcBorders>
          </w:tcPr>
          <w:bookmarkEnd w:id="14"/>
          <w:p w14:paraId="1E3049B1"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Occupation                               Frequency        Percentage (%)</w:t>
            </w:r>
          </w:p>
          <w:p w14:paraId="3D87C10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w:t>
            </w:r>
          </w:p>
        </w:tc>
      </w:tr>
    </w:tbl>
    <w:p w14:paraId="02FBAAD8"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North          Paid employment                      0                         0.00</w:t>
      </w:r>
    </w:p>
    <w:p w14:paraId="0BD5D39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Self-employment                       0                         0.00</w:t>
      </w:r>
    </w:p>
    <w:p w14:paraId="25225D3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101                     84.87</w:t>
      </w:r>
    </w:p>
    <w:p w14:paraId="325FA56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Student                                      18                      15.13</w:t>
      </w:r>
    </w:p>
    <w:p w14:paraId="1A59FAA3" w14:textId="77777777" w:rsidR="00E16114" w:rsidRPr="007F6CB3" w:rsidRDefault="00E16114" w:rsidP="00E16114">
      <w:pPr>
        <w:jc w:val="both"/>
        <w:rPr>
          <w:rFonts w:ascii="Times New Roman" w:hAnsi="Times New Roman" w:cs="Times New Roman"/>
          <w:b/>
          <w:bCs/>
          <w:sz w:val="24"/>
          <w:szCs w:val="24"/>
        </w:rPr>
      </w:pPr>
    </w:p>
    <w:p w14:paraId="08F10B9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Central        Paid employment                       11                      9.65</w:t>
      </w:r>
    </w:p>
    <w:p w14:paraId="225706F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Self-employment                        0                       0.00</w:t>
      </w:r>
    </w:p>
    <w:p w14:paraId="7FB34F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83                     72.81</w:t>
      </w:r>
    </w:p>
    <w:p w14:paraId="1CFD6C7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 xml:space="preserve">    Student                                       20                     17.54</w:t>
      </w:r>
    </w:p>
    <w:p w14:paraId="41376281" w14:textId="77777777" w:rsidR="00E16114" w:rsidRPr="007F6CB3" w:rsidRDefault="00E16114" w:rsidP="00E16114">
      <w:pPr>
        <w:jc w:val="both"/>
        <w:rPr>
          <w:rFonts w:ascii="Times New Roman" w:hAnsi="Times New Roman" w:cs="Times New Roman"/>
          <w:sz w:val="24"/>
          <w:szCs w:val="24"/>
        </w:rPr>
      </w:pPr>
    </w:p>
    <w:p w14:paraId="04CAD51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Anambra South           Paid employment                        6                       5.22                    </w:t>
      </w:r>
    </w:p>
    <w:p w14:paraId="745CBDB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Self-employment                        5                       4.35</w:t>
      </w:r>
    </w:p>
    <w:p w14:paraId="24E7462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97                     84.35</w:t>
      </w:r>
    </w:p>
    <w:p w14:paraId="577B78B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Student                                        7                       6.09</w:t>
      </w:r>
    </w:p>
    <w:p w14:paraId="36D32547" w14:textId="77777777" w:rsidR="00E16114" w:rsidRPr="007F6CB3" w:rsidRDefault="00E16114" w:rsidP="00E16114">
      <w:pPr>
        <w:jc w:val="both"/>
        <w:rPr>
          <w:rFonts w:ascii="Times New Roman" w:hAnsi="Times New Roman" w:cs="Times New Roman"/>
          <w:sz w:val="24"/>
          <w:szCs w:val="24"/>
        </w:rPr>
      </w:pPr>
    </w:p>
    <w:tbl>
      <w:tblPr>
        <w:tblW w:w="8723" w:type="dxa"/>
        <w:tblInd w:w="136" w:type="dxa"/>
        <w:tblBorders>
          <w:top w:val="single" w:sz="4" w:space="0" w:color="auto"/>
        </w:tblBorders>
        <w:tblLook w:val="0000" w:firstRow="0" w:lastRow="0" w:firstColumn="0" w:lastColumn="0" w:noHBand="0" w:noVBand="0"/>
      </w:tblPr>
      <w:tblGrid>
        <w:gridCol w:w="8723"/>
      </w:tblGrid>
      <w:tr w:rsidR="00E16114" w:rsidRPr="007F6CB3" w14:paraId="772F5BB6" w14:textId="77777777" w:rsidTr="0026594F">
        <w:trPr>
          <w:trHeight w:val="100"/>
        </w:trPr>
        <w:tc>
          <w:tcPr>
            <w:tcW w:w="8723" w:type="dxa"/>
          </w:tcPr>
          <w:p w14:paraId="5D49E6FD" w14:textId="77777777" w:rsidR="00E16114" w:rsidRPr="007F6CB3" w:rsidRDefault="00E16114" w:rsidP="0026594F">
            <w:pPr>
              <w:jc w:val="both"/>
              <w:rPr>
                <w:rFonts w:ascii="Times New Roman" w:hAnsi="Times New Roman" w:cs="Times New Roman"/>
                <w:sz w:val="24"/>
                <w:szCs w:val="24"/>
              </w:rPr>
            </w:pPr>
          </w:p>
        </w:tc>
      </w:tr>
    </w:tbl>
    <w:p w14:paraId="6EDE5338" w14:textId="77777777" w:rsidR="00E16114" w:rsidRPr="007F6CB3" w:rsidRDefault="00E16114" w:rsidP="00E16114">
      <w:pPr>
        <w:jc w:val="both"/>
        <w:rPr>
          <w:rFonts w:ascii="Times New Roman" w:hAnsi="Times New Roman" w:cs="Times New Roman"/>
          <w:sz w:val="24"/>
          <w:szCs w:val="24"/>
        </w:rPr>
      </w:pPr>
    </w:p>
    <w:p w14:paraId="622B8028" w14:textId="77777777" w:rsidR="00E16114" w:rsidRPr="007F6CB3" w:rsidRDefault="00E16114" w:rsidP="00E16114">
      <w:pPr>
        <w:jc w:val="both"/>
        <w:rPr>
          <w:rFonts w:ascii="Times New Roman" w:hAnsi="Times New Roman" w:cs="Times New Roman"/>
          <w:b/>
          <w:bCs/>
          <w:sz w:val="24"/>
          <w:szCs w:val="24"/>
          <w:lang w:val="en-GB"/>
        </w:rPr>
      </w:pPr>
      <w:bookmarkStart w:id="15" w:name="_Hlk221325251"/>
      <w:r w:rsidRPr="007F6CB3">
        <w:rPr>
          <w:rFonts w:ascii="Times New Roman" w:hAnsi="Times New Roman" w:cs="Times New Roman"/>
          <w:sz w:val="24"/>
          <w:szCs w:val="24"/>
          <w:lang w:val="en-GB"/>
        </w:rPr>
        <w:t xml:space="preserve">4.1.7. </w:t>
      </w:r>
      <w:r w:rsidRPr="007F6CB3">
        <w:rPr>
          <w:rFonts w:ascii="Times New Roman" w:hAnsi="Times New Roman" w:cs="Times New Roman"/>
          <w:b/>
          <w:bCs/>
          <w:sz w:val="24"/>
          <w:szCs w:val="24"/>
          <w:lang w:val="en-GB"/>
        </w:rPr>
        <w:t>Sweet Potato Cultivation Practices</w:t>
      </w:r>
    </w:p>
    <w:p w14:paraId="39E05F44" w14:textId="77777777" w:rsidR="00E16114" w:rsidRPr="007F6CB3" w:rsidRDefault="00E16114" w:rsidP="00E16114">
      <w:pPr>
        <w:jc w:val="both"/>
        <w:rPr>
          <w:rFonts w:ascii="Times New Roman" w:hAnsi="Times New Roman" w:cs="Times New Roman"/>
          <w:b/>
          <w:bCs/>
          <w:sz w:val="24"/>
          <w:szCs w:val="24"/>
          <w:lang w:val="en-GB"/>
        </w:rPr>
      </w:pPr>
    </w:p>
    <w:bookmarkEnd w:id="15"/>
    <w:p w14:paraId="6FB37A48"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Responses on sweet potato cultivation practices revealed information on commonly cultivated varieties, land size under cultivation, planting methods, farming inputs, and challenges faced during production.</w:t>
      </w:r>
    </w:p>
    <w:p w14:paraId="53672067"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The findings showed that respondents employed different agronomic practices depending on location, access to resources, and farming experience. Major challenges identified included pest infestation, diseases, poor soil fertility, and limited access to inputs.</w:t>
      </w:r>
    </w:p>
    <w:p w14:paraId="36530030"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lastRenderedPageBreak/>
        <w:t>The results presented in Table 6 indicate that smallholder farming dominates sweet potato cultivation across the three senatorial zones of Anambra State. Over 77% of respondents cultivated sweet potato on less than 3 acres, confirming that production is largely subsistence-oriented with limited mechanization.</w:t>
      </w:r>
    </w:p>
    <w:p w14:paraId="293AF314"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Mound planting emerged as the most commonly adopted planting method (51.7%), followed by ridge planting (34.5%). This reflects traditional agronomic practices widely used in </w:t>
      </w:r>
      <w:proofErr w:type="spellStart"/>
      <w:r w:rsidRPr="007F6CB3">
        <w:rPr>
          <w:rFonts w:ascii="Times New Roman" w:hAnsi="Times New Roman" w:cs="Times New Roman"/>
          <w:sz w:val="24"/>
          <w:szCs w:val="24"/>
          <w:lang w:val="en-GB"/>
        </w:rPr>
        <w:t>southeastern</w:t>
      </w:r>
      <w:proofErr w:type="spellEnd"/>
      <w:r w:rsidRPr="007F6CB3">
        <w:rPr>
          <w:rFonts w:ascii="Times New Roman" w:hAnsi="Times New Roman" w:cs="Times New Roman"/>
          <w:sz w:val="24"/>
          <w:szCs w:val="24"/>
          <w:lang w:val="en-GB"/>
        </w:rPr>
        <w:t xml:space="preserve"> Nigeria due to their suitability for root and tuber crops and ease of water drainage.</w:t>
      </w:r>
    </w:p>
    <w:p w14:paraId="558BFE3C"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In terms of farming inputs, chemical fertilizers (43.4%) and organic manure (39.9%) were widely used, indicating a mixed-input system. However, the continued use of no inputs by some farmers suggests constraints such as cost and access.</w:t>
      </w:r>
    </w:p>
    <w:p w14:paraId="76A537EF"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Major cultivation challenges reported included pests, diseases, and soil fertility issues, highlighting persistent biotic and abiotic constraints to sweet potato productivity in the study area.</w:t>
      </w:r>
    </w:p>
    <w:p w14:paraId="3B5FBA7E" w14:textId="77777777" w:rsidR="00E16114" w:rsidRPr="007F6CB3" w:rsidRDefault="00E16114" w:rsidP="00E16114">
      <w:pPr>
        <w:jc w:val="both"/>
        <w:rPr>
          <w:rFonts w:ascii="Times New Roman" w:hAnsi="Times New Roman" w:cs="Times New Roman"/>
          <w:sz w:val="24"/>
          <w:szCs w:val="24"/>
          <w:lang w:val="en-GB"/>
        </w:rPr>
      </w:pPr>
    </w:p>
    <w:p w14:paraId="6282588D" w14:textId="329626B3" w:rsidR="00E16114" w:rsidRPr="007F6CB3" w:rsidRDefault="00E16114" w:rsidP="00E16114">
      <w:pPr>
        <w:jc w:val="both"/>
        <w:rPr>
          <w:rFonts w:ascii="Times New Roman" w:hAnsi="Times New Roman" w:cs="Times New Roman"/>
          <w:b/>
          <w:bCs/>
          <w:sz w:val="24"/>
          <w:szCs w:val="24"/>
        </w:rPr>
      </w:pPr>
      <w:bookmarkStart w:id="16" w:name="_Hlk221325289"/>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w:t>
      </w:r>
      <w:r w:rsidRPr="007F6CB3">
        <w:rPr>
          <w:rFonts w:ascii="Times New Roman" w:hAnsi="Times New Roman" w:cs="Times New Roman"/>
          <w:b/>
          <w:bCs/>
          <w:sz w:val="24"/>
          <w:szCs w:val="24"/>
        </w:rPr>
        <w:t>: Cultivation Practices</w:t>
      </w:r>
    </w:p>
    <w:bookmarkEnd w:id="16"/>
    <w:p w14:paraId="3D8BFED3" w14:textId="77777777" w:rsidR="00E16114" w:rsidRPr="007F6CB3" w:rsidRDefault="00E16114" w:rsidP="00E16114">
      <w:pPr>
        <w:jc w:val="both"/>
        <w:rPr>
          <w:rFonts w:ascii="Times New Roman" w:hAnsi="Times New Roman" w:cs="Times New Roman"/>
          <w:b/>
          <w:bCs/>
          <w:sz w:val="24"/>
          <w:szCs w:val="24"/>
        </w:rPr>
      </w:pPr>
    </w:p>
    <w:tbl>
      <w:tblPr>
        <w:tblW w:w="9760" w:type="dxa"/>
        <w:tblInd w:w="108" w:type="dxa"/>
        <w:tblLook w:val="04A0" w:firstRow="1" w:lastRow="0" w:firstColumn="1" w:lastColumn="0" w:noHBand="0" w:noVBand="1"/>
      </w:tblPr>
      <w:tblGrid>
        <w:gridCol w:w="1660"/>
        <w:gridCol w:w="1900"/>
        <w:gridCol w:w="1740"/>
        <w:gridCol w:w="1760"/>
        <w:gridCol w:w="1740"/>
        <w:gridCol w:w="960"/>
      </w:tblGrid>
      <w:tr w:rsidR="00E16114" w:rsidRPr="007F6CB3" w14:paraId="370A1AA5" w14:textId="77777777" w:rsidTr="0026594F">
        <w:trPr>
          <w:trHeight w:val="300"/>
        </w:trPr>
        <w:tc>
          <w:tcPr>
            <w:tcW w:w="1660" w:type="dxa"/>
            <w:tcBorders>
              <w:top w:val="nil"/>
              <w:left w:val="nil"/>
              <w:bottom w:val="nil"/>
              <w:right w:val="nil"/>
            </w:tcBorders>
            <w:noWrap/>
            <w:vAlign w:val="bottom"/>
            <w:hideMark/>
          </w:tcPr>
          <w:p w14:paraId="3EBBCA2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Variable</w:t>
            </w:r>
          </w:p>
        </w:tc>
        <w:tc>
          <w:tcPr>
            <w:tcW w:w="1900" w:type="dxa"/>
            <w:tcBorders>
              <w:top w:val="nil"/>
              <w:left w:val="nil"/>
              <w:bottom w:val="nil"/>
              <w:right w:val="nil"/>
            </w:tcBorders>
            <w:noWrap/>
            <w:vAlign w:val="bottom"/>
            <w:hideMark/>
          </w:tcPr>
          <w:p w14:paraId="4548254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Category</w:t>
            </w:r>
          </w:p>
        </w:tc>
        <w:tc>
          <w:tcPr>
            <w:tcW w:w="1740" w:type="dxa"/>
            <w:tcBorders>
              <w:top w:val="nil"/>
              <w:left w:val="nil"/>
              <w:bottom w:val="nil"/>
              <w:right w:val="nil"/>
            </w:tcBorders>
            <w:noWrap/>
            <w:vAlign w:val="bottom"/>
            <w:hideMark/>
          </w:tcPr>
          <w:p w14:paraId="7BCAAAB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North</w:t>
            </w:r>
          </w:p>
        </w:tc>
        <w:tc>
          <w:tcPr>
            <w:tcW w:w="1760" w:type="dxa"/>
            <w:tcBorders>
              <w:top w:val="nil"/>
              <w:left w:val="nil"/>
              <w:bottom w:val="nil"/>
              <w:right w:val="nil"/>
            </w:tcBorders>
            <w:noWrap/>
            <w:vAlign w:val="bottom"/>
            <w:hideMark/>
          </w:tcPr>
          <w:p w14:paraId="290543B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South</w:t>
            </w:r>
          </w:p>
        </w:tc>
        <w:tc>
          <w:tcPr>
            <w:tcW w:w="1740" w:type="dxa"/>
            <w:tcBorders>
              <w:top w:val="nil"/>
              <w:left w:val="nil"/>
              <w:bottom w:val="nil"/>
              <w:right w:val="nil"/>
            </w:tcBorders>
            <w:noWrap/>
            <w:vAlign w:val="bottom"/>
            <w:hideMark/>
          </w:tcPr>
          <w:p w14:paraId="4A02C3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Central</w:t>
            </w:r>
          </w:p>
        </w:tc>
        <w:tc>
          <w:tcPr>
            <w:tcW w:w="960" w:type="dxa"/>
            <w:tcBorders>
              <w:top w:val="nil"/>
              <w:left w:val="nil"/>
              <w:bottom w:val="nil"/>
              <w:right w:val="nil"/>
            </w:tcBorders>
            <w:noWrap/>
            <w:vAlign w:val="bottom"/>
            <w:hideMark/>
          </w:tcPr>
          <w:p w14:paraId="67049D0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Total</w:t>
            </w:r>
          </w:p>
        </w:tc>
      </w:tr>
      <w:tr w:rsidR="00E16114" w:rsidRPr="007F6CB3" w14:paraId="151AED53" w14:textId="77777777" w:rsidTr="0026594F">
        <w:trPr>
          <w:trHeight w:val="300"/>
        </w:trPr>
        <w:tc>
          <w:tcPr>
            <w:tcW w:w="1660" w:type="dxa"/>
            <w:tcBorders>
              <w:top w:val="nil"/>
              <w:left w:val="nil"/>
              <w:bottom w:val="nil"/>
              <w:right w:val="nil"/>
            </w:tcBorders>
            <w:noWrap/>
            <w:vAlign w:val="bottom"/>
            <w:hideMark/>
          </w:tcPr>
          <w:p w14:paraId="19AD0FC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1F41EA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&lt;1 acre</w:t>
            </w:r>
          </w:p>
        </w:tc>
        <w:tc>
          <w:tcPr>
            <w:tcW w:w="1740" w:type="dxa"/>
            <w:tcBorders>
              <w:top w:val="nil"/>
              <w:left w:val="nil"/>
              <w:bottom w:val="nil"/>
              <w:right w:val="nil"/>
            </w:tcBorders>
            <w:noWrap/>
            <w:vAlign w:val="bottom"/>
            <w:hideMark/>
          </w:tcPr>
          <w:p w14:paraId="3EBFC25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42</w:t>
            </w:r>
          </w:p>
        </w:tc>
        <w:tc>
          <w:tcPr>
            <w:tcW w:w="1760" w:type="dxa"/>
            <w:tcBorders>
              <w:top w:val="nil"/>
              <w:left w:val="nil"/>
              <w:bottom w:val="nil"/>
              <w:right w:val="nil"/>
            </w:tcBorders>
            <w:noWrap/>
            <w:vAlign w:val="bottom"/>
            <w:hideMark/>
          </w:tcPr>
          <w:p w14:paraId="5D90437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39</w:t>
            </w:r>
          </w:p>
        </w:tc>
        <w:tc>
          <w:tcPr>
            <w:tcW w:w="1740" w:type="dxa"/>
            <w:tcBorders>
              <w:top w:val="nil"/>
              <w:left w:val="nil"/>
              <w:bottom w:val="nil"/>
              <w:right w:val="nil"/>
            </w:tcBorders>
            <w:noWrap/>
            <w:vAlign w:val="bottom"/>
            <w:hideMark/>
          </w:tcPr>
          <w:p w14:paraId="0279630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41</w:t>
            </w:r>
          </w:p>
        </w:tc>
        <w:tc>
          <w:tcPr>
            <w:tcW w:w="960" w:type="dxa"/>
            <w:tcBorders>
              <w:top w:val="nil"/>
              <w:left w:val="nil"/>
              <w:bottom w:val="nil"/>
              <w:right w:val="nil"/>
            </w:tcBorders>
            <w:noWrap/>
            <w:vAlign w:val="bottom"/>
            <w:hideMark/>
          </w:tcPr>
          <w:p w14:paraId="05D9F1B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122</w:t>
            </w:r>
          </w:p>
        </w:tc>
      </w:tr>
      <w:tr w:rsidR="00E16114" w:rsidRPr="007F6CB3" w14:paraId="55D56987" w14:textId="77777777" w:rsidTr="0026594F">
        <w:trPr>
          <w:trHeight w:val="300"/>
        </w:trPr>
        <w:tc>
          <w:tcPr>
            <w:tcW w:w="1660" w:type="dxa"/>
            <w:tcBorders>
              <w:top w:val="nil"/>
              <w:left w:val="nil"/>
              <w:bottom w:val="nil"/>
              <w:right w:val="nil"/>
            </w:tcBorders>
            <w:noWrap/>
            <w:vAlign w:val="bottom"/>
            <w:hideMark/>
          </w:tcPr>
          <w:p w14:paraId="450F4C9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76F9A6A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 acres</w:t>
            </w:r>
          </w:p>
        </w:tc>
        <w:tc>
          <w:tcPr>
            <w:tcW w:w="1740" w:type="dxa"/>
            <w:tcBorders>
              <w:top w:val="nil"/>
              <w:left w:val="nil"/>
              <w:bottom w:val="nil"/>
              <w:right w:val="nil"/>
            </w:tcBorders>
            <w:noWrap/>
            <w:vAlign w:val="bottom"/>
            <w:hideMark/>
          </w:tcPr>
          <w:p w14:paraId="627AADB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51</w:t>
            </w:r>
          </w:p>
        </w:tc>
        <w:tc>
          <w:tcPr>
            <w:tcW w:w="1760" w:type="dxa"/>
            <w:tcBorders>
              <w:top w:val="nil"/>
              <w:left w:val="nil"/>
              <w:bottom w:val="nil"/>
              <w:right w:val="nil"/>
            </w:tcBorders>
            <w:noWrap/>
            <w:vAlign w:val="bottom"/>
            <w:hideMark/>
          </w:tcPr>
          <w:p w14:paraId="1766C1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49</w:t>
            </w:r>
          </w:p>
        </w:tc>
        <w:tc>
          <w:tcPr>
            <w:tcW w:w="1740" w:type="dxa"/>
            <w:tcBorders>
              <w:top w:val="nil"/>
              <w:left w:val="nil"/>
              <w:bottom w:val="nil"/>
              <w:right w:val="nil"/>
            </w:tcBorders>
            <w:noWrap/>
            <w:vAlign w:val="bottom"/>
            <w:hideMark/>
          </w:tcPr>
          <w:p w14:paraId="5C0F00E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960" w:type="dxa"/>
            <w:tcBorders>
              <w:top w:val="nil"/>
              <w:left w:val="nil"/>
              <w:bottom w:val="nil"/>
              <w:right w:val="nil"/>
            </w:tcBorders>
            <w:noWrap/>
            <w:vAlign w:val="bottom"/>
            <w:hideMark/>
          </w:tcPr>
          <w:p w14:paraId="46A2279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146</w:t>
            </w:r>
          </w:p>
        </w:tc>
      </w:tr>
      <w:tr w:rsidR="00E16114" w:rsidRPr="007F6CB3" w14:paraId="253BCC47" w14:textId="77777777" w:rsidTr="0026594F">
        <w:trPr>
          <w:trHeight w:val="300"/>
        </w:trPr>
        <w:tc>
          <w:tcPr>
            <w:tcW w:w="1660" w:type="dxa"/>
            <w:tcBorders>
              <w:top w:val="nil"/>
              <w:left w:val="nil"/>
              <w:bottom w:val="nil"/>
              <w:right w:val="nil"/>
            </w:tcBorders>
            <w:noWrap/>
            <w:vAlign w:val="bottom"/>
            <w:hideMark/>
          </w:tcPr>
          <w:p w14:paraId="773E372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28D7E96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 acres</w:t>
            </w:r>
          </w:p>
        </w:tc>
        <w:tc>
          <w:tcPr>
            <w:tcW w:w="1740" w:type="dxa"/>
            <w:tcBorders>
              <w:top w:val="nil"/>
              <w:left w:val="nil"/>
              <w:bottom w:val="nil"/>
              <w:right w:val="nil"/>
            </w:tcBorders>
            <w:noWrap/>
            <w:vAlign w:val="bottom"/>
            <w:hideMark/>
          </w:tcPr>
          <w:p w14:paraId="7E22F56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w:t>
            </w:r>
          </w:p>
        </w:tc>
        <w:tc>
          <w:tcPr>
            <w:tcW w:w="1760" w:type="dxa"/>
            <w:tcBorders>
              <w:top w:val="nil"/>
              <w:left w:val="nil"/>
              <w:bottom w:val="nil"/>
              <w:right w:val="nil"/>
            </w:tcBorders>
            <w:noWrap/>
            <w:vAlign w:val="bottom"/>
            <w:hideMark/>
          </w:tcPr>
          <w:p w14:paraId="1E2D65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1740" w:type="dxa"/>
            <w:tcBorders>
              <w:top w:val="nil"/>
              <w:left w:val="nil"/>
              <w:bottom w:val="nil"/>
              <w:right w:val="nil"/>
            </w:tcBorders>
            <w:noWrap/>
            <w:vAlign w:val="bottom"/>
            <w:hideMark/>
          </w:tcPr>
          <w:p w14:paraId="4E9A08D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960" w:type="dxa"/>
            <w:tcBorders>
              <w:top w:val="nil"/>
              <w:left w:val="nil"/>
              <w:bottom w:val="nil"/>
              <w:right w:val="nil"/>
            </w:tcBorders>
            <w:noWrap/>
            <w:vAlign w:val="bottom"/>
            <w:hideMark/>
          </w:tcPr>
          <w:p w14:paraId="06527AC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57</w:t>
            </w:r>
          </w:p>
        </w:tc>
      </w:tr>
      <w:tr w:rsidR="00E16114" w:rsidRPr="007F6CB3" w14:paraId="35D27B51" w14:textId="77777777" w:rsidTr="0026594F">
        <w:trPr>
          <w:trHeight w:val="300"/>
        </w:trPr>
        <w:tc>
          <w:tcPr>
            <w:tcW w:w="1660" w:type="dxa"/>
            <w:tcBorders>
              <w:top w:val="nil"/>
              <w:left w:val="nil"/>
              <w:bottom w:val="nil"/>
              <w:right w:val="nil"/>
            </w:tcBorders>
            <w:noWrap/>
            <w:vAlign w:val="bottom"/>
            <w:hideMark/>
          </w:tcPr>
          <w:p w14:paraId="02187FF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00F0B9E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&gt;6 acres</w:t>
            </w:r>
          </w:p>
        </w:tc>
        <w:tc>
          <w:tcPr>
            <w:tcW w:w="1740" w:type="dxa"/>
            <w:tcBorders>
              <w:top w:val="nil"/>
              <w:left w:val="nil"/>
              <w:bottom w:val="nil"/>
              <w:right w:val="nil"/>
            </w:tcBorders>
            <w:noWrap/>
            <w:vAlign w:val="bottom"/>
            <w:hideMark/>
          </w:tcPr>
          <w:p w14:paraId="2E17E69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w:t>
            </w:r>
          </w:p>
        </w:tc>
        <w:tc>
          <w:tcPr>
            <w:tcW w:w="1760" w:type="dxa"/>
            <w:tcBorders>
              <w:top w:val="nil"/>
              <w:left w:val="nil"/>
              <w:bottom w:val="nil"/>
              <w:right w:val="nil"/>
            </w:tcBorders>
            <w:noWrap/>
            <w:vAlign w:val="bottom"/>
            <w:hideMark/>
          </w:tcPr>
          <w:p w14:paraId="65F56D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w:t>
            </w:r>
          </w:p>
        </w:tc>
        <w:tc>
          <w:tcPr>
            <w:tcW w:w="1740" w:type="dxa"/>
            <w:tcBorders>
              <w:top w:val="nil"/>
              <w:left w:val="nil"/>
              <w:bottom w:val="nil"/>
              <w:right w:val="nil"/>
            </w:tcBorders>
            <w:noWrap/>
            <w:vAlign w:val="bottom"/>
            <w:hideMark/>
          </w:tcPr>
          <w:p w14:paraId="136B992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7</w:t>
            </w:r>
          </w:p>
        </w:tc>
        <w:tc>
          <w:tcPr>
            <w:tcW w:w="960" w:type="dxa"/>
            <w:tcBorders>
              <w:top w:val="nil"/>
              <w:left w:val="nil"/>
              <w:bottom w:val="nil"/>
              <w:right w:val="nil"/>
            </w:tcBorders>
            <w:noWrap/>
            <w:vAlign w:val="bottom"/>
            <w:hideMark/>
          </w:tcPr>
          <w:p w14:paraId="21E052B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23</w:t>
            </w:r>
          </w:p>
        </w:tc>
      </w:tr>
      <w:tr w:rsidR="00E16114" w:rsidRPr="007F6CB3" w14:paraId="15AB2811" w14:textId="77777777" w:rsidTr="0026594F">
        <w:trPr>
          <w:trHeight w:val="300"/>
        </w:trPr>
        <w:tc>
          <w:tcPr>
            <w:tcW w:w="1660" w:type="dxa"/>
            <w:tcBorders>
              <w:top w:val="nil"/>
              <w:left w:val="nil"/>
              <w:bottom w:val="nil"/>
              <w:right w:val="nil"/>
            </w:tcBorders>
            <w:noWrap/>
            <w:vAlign w:val="bottom"/>
            <w:hideMark/>
          </w:tcPr>
          <w:p w14:paraId="66D1B2C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15C4932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Mound</w:t>
            </w:r>
          </w:p>
        </w:tc>
        <w:tc>
          <w:tcPr>
            <w:tcW w:w="1740" w:type="dxa"/>
            <w:tcBorders>
              <w:top w:val="nil"/>
              <w:left w:val="nil"/>
              <w:bottom w:val="nil"/>
              <w:right w:val="nil"/>
            </w:tcBorders>
            <w:noWrap/>
            <w:vAlign w:val="bottom"/>
            <w:hideMark/>
          </w:tcPr>
          <w:p w14:paraId="314CFEC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63</w:t>
            </w:r>
          </w:p>
        </w:tc>
        <w:tc>
          <w:tcPr>
            <w:tcW w:w="1760" w:type="dxa"/>
            <w:tcBorders>
              <w:top w:val="nil"/>
              <w:left w:val="nil"/>
              <w:bottom w:val="nil"/>
              <w:right w:val="nil"/>
            </w:tcBorders>
            <w:noWrap/>
            <w:vAlign w:val="bottom"/>
            <w:hideMark/>
          </w:tcPr>
          <w:p w14:paraId="71D5FA9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59</w:t>
            </w:r>
          </w:p>
        </w:tc>
        <w:tc>
          <w:tcPr>
            <w:tcW w:w="1740" w:type="dxa"/>
            <w:tcBorders>
              <w:top w:val="nil"/>
              <w:left w:val="nil"/>
              <w:bottom w:val="nil"/>
              <w:right w:val="nil"/>
            </w:tcBorders>
            <w:noWrap/>
            <w:vAlign w:val="bottom"/>
            <w:hideMark/>
          </w:tcPr>
          <w:p w14:paraId="38FA7F5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58</w:t>
            </w:r>
          </w:p>
        </w:tc>
        <w:tc>
          <w:tcPr>
            <w:tcW w:w="960" w:type="dxa"/>
            <w:tcBorders>
              <w:top w:val="nil"/>
              <w:left w:val="nil"/>
              <w:bottom w:val="nil"/>
              <w:right w:val="nil"/>
            </w:tcBorders>
            <w:noWrap/>
            <w:vAlign w:val="bottom"/>
            <w:hideMark/>
          </w:tcPr>
          <w:p w14:paraId="7CF31CF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180</w:t>
            </w:r>
          </w:p>
        </w:tc>
      </w:tr>
      <w:tr w:rsidR="00E16114" w:rsidRPr="007F6CB3" w14:paraId="634DC098" w14:textId="77777777" w:rsidTr="0026594F">
        <w:trPr>
          <w:trHeight w:val="300"/>
        </w:trPr>
        <w:tc>
          <w:tcPr>
            <w:tcW w:w="1660" w:type="dxa"/>
            <w:tcBorders>
              <w:top w:val="nil"/>
              <w:left w:val="nil"/>
              <w:bottom w:val="nil"/>
              <w:right w:val="nil"/>
            </w:tcBorders>
            <w:noWrap/>
            <w:vAlign w:val="bottom"/>
            <w:hideMark/>
          </w:tcPr>
          <w:p w14:paraId="622CE33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6F15F3B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Ridge</w:t>
            </w:r>
          </w:p>
        </w:tc>
        <w:tc>
          <w:tcPr>
            <w:tcW w:w="1740" w:type="dxa"/>
            <w:tcBorders>
              <w:top w:val="nil"/>
              <w:left w:val="nil"/>
              <w:bottom w:val="nil"/>
              <w:right w:val="nil"/>
            </w:tcBorders>
            <w:noWrap/>
            <w:vAlign w:val="bottom"/>
            <w:hideMark/>
          </w:tcPr>
          <w:p w14:paraId="3834D1C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41</w:t>
            </w:r>
          </w:p>
        </w:tc>
        <w:tc>
          <w:tcPr>
            <w:tcW w:w="1760" w:type="dxa"/>
            <w:tcBorders>
              <w:top w:val="nil"/>
              <w:left w:val="nil"/>
              <w:bottom w:val="nil"/>
              <w:right w:val="nil"/>
            </w:tcBorders>
            <w:noWrap/>
            <w:vAlign w:val="bottom"/>
            <w:hideMark/>
          </w:tcPr>
          <w:p w14:paraId="5D5FE48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39</w:t>
            </w:r>
          </w:p>
        </w:tc>
        <w:tc>
          <w:tcPr>
            <w:tcW w:w="1740" w:type="dxa"/>
            <w:tcBorders>
              <w:top w:val="nil"/>
              <w:left w:val="nil"/>
              <w:bottom w:val="nil"/>
              <w:right w:val="nil"/>
            </w:tcBorders>
            <w:noWrap/>
            <w:vAlign w:val="bottom"/>
            <w:hideMark/>
          </w:tcPr>
          <w:p w14:paraId="42CFF6B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40</w:t>
            </w:r>
          </w:p>
        </w:tc>
        <w:tc>
          <w:tcPr>
            <w:tcW w:w="960" w:type="dxa"/>
            <w:tcBorders>
              <w:top w:val="nil"/>
              <w:left w:val="nil"/>
              <w:bottom w:val="nil"/>
              <w:right w:val="nil"/>
            </w:tcBorders>
            <w:noWrap/>
            <w:vAlign w:val="bottom"/>
            <w:hideMark/>
          </w:tcPr>
          <w:p w14:paraId="3F38061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120</w:t>
            </w:r>
          </w:p>
        </w:tc>
      </w:tr>
      <w:tr w:rsidR="00E16114" w:rsidRPr="007F6CB3" w14:paraId="0B6976FC" w14:textId="77777777" w:rsidTr="0026594F">
        <w:trPr>
          <w:trHeight w:val="300"/>
        </w:trPr>
        <w:tc>
          <w:tcPr>
            <w:tcW w:w="1660" w:type="dxa"/>
            <w:tcBorders>
              <w:top w:val="nil"/>
              <w:left w:val="nil"/>
              <w:bottom w:val="nil"/>
              <w:right w:val="nil"/>
            </w:tcBorders>
            <w:noWrap/>
            <w:vAlign w:val="bottom"/>
            <w:hideMark/>
          </w:tcPr>
          <w:p w14:paraId="38E2822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64A8D4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Flatbed</w:t>
            </w:r>
          </w:p>
        </w:tc>
        <w:tc>
          <w:tcPr>
            <w:tcW w:w="1740" w:type="dxa"/>
            <w:tcBorders>
              <w:top w:val="nil"/>
              <w:left w:val="nil"/>
              <w:bottom w:val="nil"/>
              <w:right w:val="nil"/>
            </w:tcBorders>
            <w:noWrap/>
            <w:vAlign w:val="bottom"/>
            <w:hideMark/>
          </w:tcPr>
          <w:p w14:paraId="3BFEA85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11</w:t>
            </w:r>
          </w:p>
        </w:tc>
        <w:tc>
          <w:tcPr>
            <w:tcW w:w="1760" w:type="dxa"/>
            <w:tcBorders>
              <w:top w:val="nil"/>
              <w:left w:val="nil"/>
              <w:bottom w:val="nil"/>
              <w:right w:val="nil"/>
            </w:tcBorders>
            <w:noWrap/>
            <w:vAlign w:val="bottom"/>
            <w:hideMark/>
          </w:tcPr>
          <w:p w14:paraId="338C528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740" w:type="dxa"/>
            <w:tcBorders>
              <w:top w:val="nil"/>
              <w:left w:val="nil"/>
              <w:bottom w:val="nil"/>
              <w:right w:val="nil"/>
            </w:tcBorders>
            <w:noWrap/>
            <w:vAlign w:val="bottom"/>
            <w:hideMark/>
          </w:tcPr>
          <w:p w14:paraId="29466E0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960" w:type="dxa"/>
            <w:tcBorders>
              <w:top w:val="nil"/>
              <w:left w:val="nil"/>
              <w:bottom w:val="nil"/>
              <w:right w:val="nil"/>
            </w:tcBorders>
            <w:noWrap/>
            <w:vAlign w:val="bottom"/>
            <w:hideMark/>
          </w:tcPr>
          <w:p w14:paraId="0DF8588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36</w:t>
            </w:r>
          </w:p>
        </w:tc>
      </w:tr>
      <w:tr w:rsidR="00E16114" w:rsidRPr="007F6CB3" w14:paraId="063C7510" w14:textId="77777777" w:rsidTr="0026594F">
        <w:trPr>
          <w:trHeight w:val="300"/>
        </w:trPr>
        <w:tc>
          <w:tcPr>
            <w:tcW w:w="1660" w:type="dxa"/>
            <w:tcBorders>
              <w:top w:val="nil"/>
              <w:left w:val="nil"/>
              <w:bottom w:val="nil"/>
              <w:right w:val="nil"/>
            </w:tcBorders>
            <w:noWrap/>
            <w:vAlign w:val="bottom"/>
            <w:hideMark/>
          </w:tcPr>
          <w:p w14:paraId="680654A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55EA397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Others</w:t>
            </w:r>
          </w:p>
        </w:tc>
        <w:tc>
          <w:tcPr>
            <w:tcW w:w="1740" w:type="dxa"/>
            <w:tcBorders>
              <w:top w:val="nil"/>
              <w:left w:val="nil"/>
              <w:bottom w:val="nil"/>
              <w:right w:val="nil"/>
            </w:tcBorders>
            <w:noWrap/>
            <w:vAlign w:val="bottom"/>
            <w:hideMark/>
          </w:tcPr>
          <w:p w14:paraId="15ACAB2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1760" w:type="dxa"/>
            <w:tcBorders>
              <w:top w:val="nil"/>
              <w:left w:val="nil"/>
              <w:bottom w:val="nil"/>
              <w:right w:val="nil"/>
            </w:tcBorders>
            <w:noWrap/>
            <w:vAlign w:val="bottom"/>
            <w:hideMark/>
          </w:tcPr>
          <w:p w14:paraId="1C2E03B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1740" w:type="dxa"/>
            <w:tcBorders>
              <w:top w:val="nil"/>
              <w:left w:val="nil"/>
              <w:bottom w:val="nil"/>
              <w:right w:val="nil"/>
            </w:tcBorders>
            <w:noWrap/>
            <w:vAlign w:val="bottom"/>
            <w:hideMark/>
          </w:tcPr>
          <w:p w14:paraId="2C50EDC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960" w:type="dxa"/>
            <w:tcBorders>
              <w:top w:val="nil"/>
              <w:left w:val="nil"/>
              <w:bottom w:val="nil"/>
              <w:right w:val="nil"/>
            </w:tcBorders>
            <w:noWrap/>
            <w:vAlign w:val="bottom"/>
            <w:hideMark/>
          </w:tcPr>
          <w:p w14:paraId="37BDC50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r>
      <w:tr w:rsidR="00E16114" w:rsidRPr="007F6CB3" w14:paraId="39EC8F1A" w14:textId="77777777" w:rsidTr="0026594F">
        <w:trPr>
          <w:trHeight w:val="300"/>
        </w:trPr>
        <w:tc>
          <w:tcPr>
            <w:tcW w:w="1660" w:type="dxa"/>
            <w:tcBorders>
              <w:top w:val="nil"/>
              <w:left w:val="nil"/>
              <w:bottom w:val="nil"/>
              <w:right w:val="nil"/>
            </w:tcBorders>
            <w:noWrap/>
            <w:vAlign w:val="bottom"/>
            <w:hideMark/>
          </w:tcPr>
          <w:p w14:paraId="5863A04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0108D0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Organic manure</w:t>
            </w:r>
          </w:p>
        </w:tc>
        <w:tc>
          <w:tcPr>
            <w:tcW w:w="1740" w:type="dxa"/>
            <w:tcBorders>
              <w:top w:val="nil"/>
              <w:left w:val="nil"/>
              <w:bottom w:val="nil"/>
              <w:right w:val="nil"/>
            </w:tcBorders>
            <w:noWrap/>
            <w:vAlign w:val="bottom"/>
            <w:hideMark/>
          </w:tcPr>
          <w:p w14:paraId="4A286A3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48</w:t>
            </w:r>
          </w:p>
        </w:tc>
        <w:tc>
          <w:tcPr>
            <w:tcW w:w="1760" w:type="dxa"/>
            <w:tcBorders>
              <w:top w:val="nil"/>
              <w:left w:val="nil"/>
              <w:bottom w:val="nil"/>
              <w:right w:val="nil"/>
            </w:tcBorders>
            <w:noWrap/>
            <w:vAlign w:val="bottom"/>
            <w:hideMark/>
          </w:tcPr>
          <w:p w14:paraId="0B801F4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1740" w:type="dxa"/>
            <w:tcBorders>
              <w:top w:val="nil"/>
              <w:left w:val="nil"/>
              <w:bottom w:val="nil"/>
              <w:right w:val="nil"/>
            </w:tcBorders>
            <w:noWrap/>
            <w:vAlign w:val="bottom"/>
            <w:hideMark/>
          </w:tcPr>
          <w:p w14:paraId="4D3C641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45</w:t>
            </w:r>
          </w:p>
        </w:tc>
        <w:tc>
          <w:tcPr>
            <w:tcW w:w="960" w:type="dxa"/>
            <w:tcBorders>
              <w:top w:val="nil"/>
              <w:left w:val="nil"/>
              <w:bottom w:val="nil"/>
              <w:right w:val="nil"/>
            </w:tcBorders>
            <w:noWrap/>
            <w:vAlign w:val="bottom"/>
            <w:hideMark/>
          </w:tcPr>
          <w:p w14:paraId="20D8D83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139</w:t>
            </w:r>
          </w:p>
        </w:tc>
      </w:tr>
      <w:tr w:rsidR="00E16114" w:rsidRPr="007F6CB3" w14:paraId="4C460484" w14:textId="77777777" w:rsidTr="0026594F">
        <w:trPr>
          <w:trHeight w:val="300"/>
        </w:trPr>
        <w:tc>
          <w:tcPr>
            <w:tcW w:w="1660" w:type="dxa"/>
            <w:tcBorders>
              <w:top w:val="nil"/>
              <w:left w:val="nil"/>
              <w:bottom w:val="nil"/>
              <w:right w:val="nil"/>
            </w:tcBorders>
            <w:noWrap/>
            <w:vAlign w:val="bottom"/>
            <w:hideMark/>
          </w:tcPr>
          <w:p w14:paraId="433AA45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3BBFC43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Chemical fertilizer</w:t>
            </w:r>
          </w:p>
        </w:tc>
        <w:tc>
          <w:tcPr>
            <w:tcW w:w="1740" w:type="dxa"/>
            <w:tcBorders>
              <w:top w:val="nil"/>
              <w:left w:val="nil"/>
              <w:bottom w:val="nil"/>
              <w:right w:val="nil"/>
            </w:tcBorders>
            <w:noWrap/>
            <w:vAlign w:val="bottom"/>
            <w:hideMark/>
          </w:tcPr>
          <w:p w14:paraId="46D87D8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52</w:t>
            </w:r>
          </w:p>
        </w:tc>
        <w:tc>
          <w:tcPr>
            <w:tcW w:w="1760" w:type="dxa"/>
            <w:tcBorders>
              <w:top w:val="nil"/>
              <w:left w:val="nil"/>
              <w:bottom w:val="nil"/>
              <w:right w:val="nil"/>
            </w:tcBorders>
            <w:noWrap/>
            <w:vAlign w:val="bottom"/>
            <w:hideMark/>
          </w:tcPr>
          <w:p w14:paraId="7A54794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49</w:t>
            </w:r>
          </w:p>
        </w:tc>
        <w:tc>
          <w:tcPr>
            <w:tcW w:w="1740" w:type="dxa"/>
            <w:tcBorders>
              <w:top w:val="nil"/>
              <w:left w:val="nil"/>
              <w:bottom w:val="nil"/>
              <w:right w:val="nil"/>
            </w:tcBorders>
            <w:noWrap/>
            <w:vAlign w:val="bottom"/>
            <w:hideMark/>
          </w:tcPr>
          <w:p w14:paraId="15BEC0A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50</w:t>
            </w:r>
          </w:p>
        </w:tc>
        <w:tc>
          <w:tcPr>
            <w:tcW w:w="960" w:type="dxa"/>
            <w:tcBorders>
              <w:top w:val="nil"/>
              <w:left w:val="nil"/>
              <w:bottom w:val="nil"/>
              <w:right w:val="nil"/>
            </w:tcBorders>
            <w:noWrap/>
            <w:vAlign w:val="bottom"/>
            <w:hideMark/>
          </w:tcPr>
          <w:p w14:paraId="51F2021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151</w:t>
            </w:r>
          </w:p>
        </w:tc>
      </w:tr>
      <w:tr w:rsidR="00E16114" w:rsidRPr="007F6CB3" w14:paraId="4A1C02E6" w14:textId="77777777" w:rsidTr="0026594F">
        <w:trPr>
          <w:trHeight w:val="300"/>
        </w:trPr>
        <w:tc>
          <w:tcPr>
            <w:tcW w:w="1660" w:type="dxa"/>
            <w:tcBorders>
              <w:top w:val="nil"/>
              <w:left w:val="nil"/>
              <w:bottom w:val="nil"/>
              <w:right w:val="nil"/>
            </w:tcBorders>
            <w:noWrap/>
            <w:vAlign w:val="bottom"/>
            <w:hideMark/>
          </w:tcPr>
          <w:p w14:paraId="35281A9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5E90D62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None</w:t>
            </w:r>
          </w:p>
        </w:tc>
        <w:tc>
          <w:tcPr>
            <w:tcW w:w="1740" w:type="dxa"/>
            <w:tcBorders>
              <w:top w:val="nil"/>
              <w:left w:val="nil"/>
              <w:bottom w:val="nil"/>
              <w:right w:val="nil"/>
            </w:tcBorders>
            <w:noWrap/>
            <w:vAlign w:val="bottom"/>
            <w:hideMark/>
          </w:tcPr>
          <w:p w14:paraId="7574014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760" w:type="dxa"/>
            <w:tcBorders>
              <w:top w:val="nil"/>
              <w:left w:val="nil"/>
              <w:bottom w:val="nil"/>
              <w:right w:val="nil"/>
            </w:tcBorders>
            <w:noWrap/>
            <w:vAlign w:val="bottom"/>
            <w:hideMark/>
          </w:tcPr>
          <w:p w14:paraId="7E614D8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w:t>
            </w:r>
          </w:p>
        </w:tc>
        <w:tc>
          <w:tcPr>
            <w:tcW w:w="1740" w:type="dxa"/>
            <w:tcBorders>
              <w:top w:val="nil"/>
              <w:left w:val="nil"/>
              <w:bottom w:val="nil"/>
              <w:right w:val="nil"/>
            </w:tcBorders>
            <w:noWrap/>
            <w:vAlign w:val="bottom"/>
            <w:hideMark/>
          </w:tcPr>
          <w:p w14:paraId="75E89E0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960" w:type="dxa"/>
            <w:tcBorders>
              <w:top w:val="nil"/>
              <w:left w:val="nil"/>
              <w:bottom w:val="nil"/>
              <w:right w:val="nil"/>
            </w:tcBorders>
            <w:noWrap/>
            <w:vAlign w:val="bottom"/>
            <w:hideMark/>
          </w:tcPr>
          <w:p w14:paraId="7803F00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40</w:t>
            </w:r>
          </w:p>
        </w:tc>
      </w:tr>
      <w:tr w:rsidR="00E16114" w:rsidRPr="007F6CB3" w14:paraId="3B4F6198" w14:textId="77777777" w:rsidTr="0026594F">
        <w:trPr>
          <w:trHeight w:val="300"/>
        </w:trPr>
        <w:tc>
          <w:tcPr>
            <w:tcW w:w="1660" w:type="dxa"/>
            <w:tcBorders>
              <w:top w:val="nil"/>
              <w:left w:val="nil"/>
              <w:bottom w:val="nil"/>
              <w:right w:val="nil"/>
            </w:tcBorders>
            <w:noWrap/>
            <w:vAlign w:val="bottom"/>
            <w:hideMark/>
          </w:tcPr>
          <w:p w14:paraId="2FA820F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6005CE1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Others</w:t>
            </w:r>
          </w:p>
        </w:tc>
        <w:tc>
          <w:tcPr>
            <w:tcW w:w="1740" w:type="dxa"/>
            <w:tcBorders>
              <w:top w:val="nil"/>
              <w:left w:val="nil"/>
              <w:bottom w:val="nil"/>
              <w:right w:val="nil"/>
            </w:tcBorders>
            <w:noWrap/>
            <w:vAlign w:val="bottom"/>
            <w:hideMark/>
          </w:tcPr>
          <w:p w14:paraId="59C130A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1760" w:type="dxa"/>
            <w:tcBorders>
              <w:top w:val="nil"/>
              <w:left w:val="nil"/>
              <w:bottom w:val="nil"/>
              <w:right w:val="nil"/>
            </w:tcBorders>
            <w:noWrap/>
            <w:vAlign w:val="bottom"/>
            <w:hideMark/>
          </w:tcPr>
          <w:p w14:paraId="637596F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1740" w:type="dxa"/>
            <w:tcBorders>
              <w:top w:val="nil"/>
              <w:left w:val="nil"/>
              <w:bottom w:val="nil"/>
              <w:right w:val="nil"/>
            </w:tcBorders>
            <w:noWrap/>
            <w:vAlign w:val="bottom"/>
            <w:hideMark/>
          </w:tcPr>
          <w:p w14:paraId="312D896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960" w:type="dxa"/>
            <w:tcBorders>
              <w:top w:val="nil"/>
              <w:left w:val="nil"/>
              <w:bottom w:val="nil"/>
              <w:right w:val="nil"/>
            </w:tcBorders>
            <w:noWrap/>
            <w:vAlign w:val="bottom"/>
            <w:hideMark/>
          </w:tcPr>
          <w:p w14:paraId="3AFDF29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w:t>
            </w:r>
          </w:p>
        </w:tc>
      </w:tr>
    </w:tbl>
    <w:p w14:paraId="6F5FD18B" w14:textId="77777777" w:rsidR="00E16114" w:rsidRPr="007F6CB3" w:rsidRDefault="00E16114" w:rsidP="00E16114">
      <w:pPr>
        <w:jc w:val="both"/>
        <w:rPr>
          <w:rFonts w:ascii="Times New Roman" w:hAnsi="Times New Roman" w:cs="Times New Roman"/>
          <w:b/>
          <w:bCs/>
          <w:sz w:val="24"/>
          <w:szCs w:val="24"/>
        </w:rPr>
      </w:pPr>
    </w:p>
    <w:p w14:paraId="49F6ACB8" w14:textId="77777777" w:rsidR="00E16114" w:rsidRPr="007F6CB3" w:rsidRDefault="00E16114" w:rsidP="00E16114">
      <w:pPr>
        <w:jc w:val="both"/>
        <w:rPr>
          <w:rFonts w:ascii="Times New Roman" w:hAnsi="Times New Roman" w:cs="Times New Roman"/>
          <w:sz w:val="24"/>
          <w:szCs w:val="24"/>
        </w:rPr>
      </w:pPr>
    </w:p>
    <w:tbl>
      <w:tblPr>
        <w:tblW w:w="10166" w:type="dxa"/>
        <w:tblCellSpacing w:w="15" w:type="dxa"/>
        <w:tblCellMar>
          <w:top w:w="15" w:type="dxa"/>
          <w:left w:w="15" w:type="dxa"/>
          <w:bottom w:w="15" w:type="dxa"/>
          <w:right w:w="15" w:type="dxa"/>
        </w:tblCellMar>
        <w:tblLook w:val="04A0" w:firstRow="1" w:lastRow="0" w:firstColumn="1" w:lastColumn="0" w:noHBand="0" w:noVBand="1"/>
      </w:tblPr>
      <w:tblGrid>
        <w:gridCol w:w="7361"/>
        <w:gridCol w:w="1372"/>
        <w:gridCol w:w="1433"/>
      </w:tblGrid>
      <w:tr w:rsidR="00C77BA2" w:rsidRPr="007F6CB3" w14:paraId="7E81453A" w14:textId="77777777" w:rsidTr="0026594F">
        <w:trPr>
          <w:trHeight w:val="359"/>
          <w:tblHeader/>
          <w:tblCellSpacing w:w="15" w:type="dxa"/>
        </w:trPr>
        <w:tc>
          <w:tcPr>
            <w:tcW w:w="0" w:type="auto"/>
            <w:vAlign w:val="center"/>
            <w:hideMark/>
          </w:tcPr>
          <w:p w14:paraId="174CE5FD" w14:textId="0D7140DB" w:rsidR="00E16114" w:rsidRPr="007F6CB3" w:rsidRDefault="00E16114" w:rsidP="0026594F">
            <w:pPr>
              <w:jc w:val="both"/>
              <w:rPr>
                <w:rFonts w:ascii="Times New Roman" w:hAnsi="Times New Roman" w:cs="Times New Roman"/>
                <w:b/>
                <w:bCs/>
                <w:sz w:val="24"/>
                <w:szCs w:val="24"/>
              </w:rPr>
            </w:pPr>
            <w:bookmarkStart w:id="17" w:name="_Hlk221325334"/>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6a</w:t>
            </w:r>
            <w:r w:rsidRPr="007F6CB3">
              <w:rPr>
                <w:rFonts w:ascii="Times New Roman" w:hAnsi="Times New Roman" w:cs="Times New Roman"/>
                <w:b/>
                <w:bCs/>
                <w:sz w:val="24"/>
                <w:szCs w:val="24"/>
              </w:rPr>
              <w:t>.</w:t>
            </w:r>
            <w:r w:rsidR="00C77BA2">
              <w:rPr>
                <w:rFonts w:ascii="Times New Roman" w:hAnsi="Times New Roman" w:cs="Times New Roman"/>
                <w:b/>
                <w:bCs/>
                <w:sz w:val="24"/>
                <w:szCs w:val="24"/>
              </w:rPr>
              <w:t xml:space="preserve"> Frequency and percentage according to Land size</w:t>
            </w:r>
          </w:p>
          <w:p w14:paraId="7C1FD7E6" w14:textId="4CD1CE2D"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Land size</w:t>
            </w:r>
          </w:p>
        </w:tc>
        <w:tc>
          <w:tcPr>
            <w:tcW w:w="0" w:type="auto"/>
            <w:vAlign w:val="center"/>
            <w:hideMark/>
          </w:tcPr>
          <w:p w14:paraId="6CAA8D3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65F837CB"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bookmarkEnd w:id="17"/>
      <w:tr w:rsidR="00C77BA2" w:rsidRPr="007F6CB3" w14:paraId="718A8C09" w14:textId="77777777" w:rsidTr="0026594F">
        <w:trPr>
          <w:trHeight w:val="377"/>
          <w:tblCellSpacing w:w="15" w:type="dxa"/>
        </w:trPr>
        <w:tc>
          <w:tcPr>
            <w:tcW w:w="0" w:type="auto"/>
            <w:vAlign w:val="center"/>
            <w:hideMark/>
          </w:tcPr>
          <w:p w14:paraId="4049C4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&lt; 1 acre</w:t>
            </w:r>
          </w:p>
        </w:tc>
        <w:tc>
          <w:tcPr>
            <w:tcW w:w="0" w:type="auto"/>
            <w:vAlign w:val="center"/>
            <w:hideMark/>
          </w:tcPr>
          <w:p w14:paraId="68F6A5D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122</w:t>
            </w:r>
          </w:p>
        </w:tc>
        <w:tc>
          <w:tcPr>
            <w:tcW w:w="0" w:type="auto"/>
            <w:vAlign w:val="center"/>
            <w:hideMark/>
          </w:tcPr>
          <w:p w14:paraId="59461B1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35.1%</w:t>
            </w:r>
          </w:p>
        </w:tc>
      </w:tr>
      <w:tr w:rsidR="00C77BA2" w:rsidRPr="007F6CB3" w14:paraId="107B7A2D" w14:textId="77777777" w:rsidTr="0026594F">
        <w:trPr>
          <w:trHeight w:val="359"/>
          <w:tblCellSpacing w:w="15" w:type="dxa"/>
        </w:trPr>
        <w:tc>
          <w:tcPr>
            <w:tcW w:w="0" w:type="auto"/>
            <w:vAlign w:val="center"/>
            <w:hideMark/>
          </w:tcPr>
          <w:p w14:paraId="6B2B1C1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 acres</w:t>
            </w:r>
          </w:p>
        </w:tc>
        <w:tc>
          <w:tcPr>
            <w:tcW w:w="0" w:type="auto"/>
            <w:vAlign w:val="center"/>
            <w:hideMark/>
          </w:tcPr>
          <w:p w14:paraId="6FE0C07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vAlign w:val="center"/>
            <w:hideMark/>
          </w:tcPr>
          <w:p w14:paraId="1C44A50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42.0%</w:t>
            </w:r>
          </w:p>
        </w:tc>
      </w:tr>
      <w:tr w:rsidR="00C77BA2" w:rsidRPr="007F6CB3" w14:paraId="00C3E4A0" w14:textId="77777777" w:rsidTr="0026594F">
        <w:trPr>
          <w:trHeight w:val="359"/>
          <w:tblCellSpacing w:w="15" w:type="dxa"/>
        </w:trPr>
        <w:tc>
          <w:tcPr>
            <w:tcW w:w="0" w:type="auto"/>
            <w:vAlign w:val="center"/>
            <w:hideMark/>
          </w:tcPr>
          <w:p w14:paraId="6C0ABD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4–6 acres</w:t>
            </w:r>
          </w:p>
        </w:tc>
        <w:tc>
          <w:tcPr>
            <w:tcW w:w="0" w:type="auto"/>
            <w:vAlign w:val="center"/>
            <w:hideMark/>
          </w:tcPr>
          <w:p w14:paraId="730772D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57</w:t>
            </w:r>
          </w:p>
        </w:tc>
        <w:tc>
          <w:tcPr>
            <w:tcW w:w="0" w:type="auto"/>
            <w:vAlign w:val="center"/>
            <w:hideMark/>
          </w:tcPr>
          <w:p w14:paraId="7FCD445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16.4%</w:t>
            </w:r>
          </w:p>
        </w:tc>
      </w:tr>
      <w:tr w:rsidR="00C77BA2" w:rsidRPr="007F6CB3" w14:paraId="795B531E" w14:textId="77777777" w:rsidTr="0026594F">
        <w:trPr>
          <w:trHeight w:val="359"/>
          <w:tblCellSpacing w:w="15" w:type="dxa"/>
        </w:trPr>
        <w:tc>
          <w:tcPr>
            <w:tcW w:w="0" w:type="auto"/>
            <w:vAlign w:val="center"/>
            <w:hideMark/>
          </w:tcPr>
          <w:p w14:paraId="76267CF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&gt; 6 acres</w:t>
            </w:r>
          </w:p>
        </w:tc>
        <w:tc>
          <w:tcPr>
            <w:tcW w:w="0" w:type="auto"/>
            <w:vAlign w:val="center"/>
            <w:hideMark/>
          </w:tcPr>
          <w:p w14:paraId="3D948A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23</w:t>
            </w:r>
          </w:p>
        </w:tc>
        <w:tc>
          <w:tcPr>
            <w:tcW w:w="0" w:type="auto"/>
            <w:vAlign w:val="center"/>
            <w:hideMark/>
          </w:tcPr>
          <w:p w14:paraId="0697671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6.6%</w:t>
            </w:r>
          </w:p>
        </w:tc>
      </w:tr>
      <w:tr w:rsidR="00C77BA2" w:rsidRPr="007F6CB3" w14:paraId="32161D4A" w14:textId="77777777" w:rsidTr="0026594F">
        <w:trPr>
          <w:trHeight w:val="377"/>
          <w:tblCellSpacing w:w="15" w:type="dxa"/>
        </w:trPr>
        <w:tc>
          <w:tcPr>
            <w:tcW w:w="0" w:type="auto"/>
            <w:vAlign w:val="center"/>
            <w:hideMark/>
          </w:tcPr>
          <w:p w14:paraId="3F909D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29FF13A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39A2B56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156E76CD" w14:textId="77777777" w:rsidR="00E16114" w:rsidRPr="007F6CB3" w:rsidRDefault="00E16114" w:rsidP="00E16114">
      <w:pPr>
        <w:jc w:val="both"/>
        <w:rPr>
          <w:rFonts w:ascii="Times New Roman" w:hAnsi="Times New Roman" w:cs="Times New Roman"/>
          <w:sz w:val="24"/>
          <w:szCs w:val="24"/>
        </w:rPr>
      </w:pPr>
    </w:p>
    <w:tbl>
      <w:tblPr>
        <w:tblW w:w="8176" w:type="dxa"/>
        <w:tblCellSpacing w:w="15" w:type="dxa"/>
        <w:tblCellMar>
          <w:top w:w="15" w:type="dxa"/>
          <w:left w:w="15" w:type="dxa"/>
          <w:bottom w:w="15" w:type="dxa"/>
          <w:right w:w="15" w:type="dxa"/>
        </w:tblCellMar>
        <w:tblLook w:val="04A0" w:firstRow="1" w:lastRow="0" w:firstColumn="1" w:lastColumn="0" w:noHBand="0" w:noVBand="1"/>
      </w:tblPr>
      <w:tblGrid>
        <w:gridCol w:w="5814"/>
        <w:gridCol w:w="1154"/>
        <w:gridCol w:w="1208"/>
      </w:tblGrid>
      <w:tr w:rsidR="00E16114" w:rsidRPr="007F6CB3" w14:paraId="0986065B" w14:textId="77777777" w:rsidTr="0026594F">
        <w:trPr>
          <w:trHeight w:val="815"/>
          <w:tblHeader/>
          <w:tblCellSpacing w:w="15" w:type="dxa"/>
        </w:trPr>
        <w:tc>
          <w:tcPr>
            <w:tcW w:w="0" w:type="auto"/>
            <w:vAlign w:val="center"/>
            <w:hideMark/>
          </w:tcPr>
          <w:p w14:paraId="49D064EC" w14:textId="77777777" w:rsidR="00E16114" w:rsidRPr="007F6CB3" w:rsidRDefault="00E16114" w:rsidP="0026594F">
            <w:pPr>
              <w:jc w:val="both"/>
              <w:rPr>
                <w:rFonts w:ascii="Times New Roman" w:hAnsi="Times New Roman" w:cs="Times New Roman"/>
                <w:b/>
                <w:bCs/>
                <w:sz w:val="24"/>
                <w:szCs w:val="24"/>
              </w:rPr>
            </w:pPr>
          </w:p>
          <w:p w14:paraId="5ABC9264" w14:textId="77777777" w:rsidR="00E16114" w:rsidRPr="007F6CB3" w:rsidRDefault="00E16114" w:rsidP="0026594F">
            <w:pPr>
              <w:jc w:val="both"/>
              <w:rPr>
                <w:rFonts w:ascii="Times New Roman" w:hAnsi="Times New Roman" w:cs="Times New Roman"/>
                <w:b/>
                <w:bCs/>
                <w:sz w:val="24"/>
                <w:szCs w:val="24"/>
              </w:rPr>
            </w:pPr>
          </w:p>
          <w:p w14:paraId="0F48EC4F" w14:textId="77777777" w:rsidR="00E16114" w:rsidRPr="007F6CB3" w:rsidRDefault="00E16114" w:rsidP="0026594F">
            <w:pPr>
              <w:jc w:val="both"/>
              <w:rPr>
                <w:rFonts w:ascii="Times New Roman" w:hAnsi="Times New Roman" w:cs="Times New Roman"/>
                <w:b/>
                <w:bCs/>
                <w:sz w:val="24"/>
                <w:szCs w:val="24"/>
              </w:rPr>
            </w:pPr>
          </w:p>
          <w:p w14:paraId="7B9E4E57" w14:textId="279ED7A5"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6b</w:t>
            </w:r>
            <w:r w:rsidRPr="007F6CB3">
              <w:rPr>
                <w:rFonts w:ascii="Times New Roman" w:hAnsi="Times New Roman" w:cs="Times New Roman"/>
                <w:b/>
                <w:bCs/>
                <w:sz w:val="24"/>
                <w:szCs w:val="24"/>
              </w:rPr>
              <w:t xml:space="preserve">. </w:t>
            </w:r>
            <w:r w:rsidR="00C77BA2">
              <w:rPr>
                <w:rFonts w:ascii="Times New Roman" w:hAnsi="Times New Roman" w:cs="Times New Roman"/>
                <w:b/>
                <w:bCs/>
                <w:sz w:val="24"/>
                <w:szCs w:val="24"/>
              </w:rPr>
              <w:t xml:space="preserve">Frequency and percentage according to </w:t>
            </w:r>
            <w:r w:rsidR="00C77BA2" w:rsidRPr="007F6CB3">
              <w:rPr>
                <w:rFonts w:ascii="Times New Roman" w:hAnsi="Times New Roman" w:cs="Times New Roman"/>
                <w:b/>
                <w:bCs/>
                <w:sz w:val="24"/>
                <w:szCs w:val="24"/>
              </w:rPr>
              <w:t>Planting method</w:t>
            </w:r>
          </w:p>
          <w:p w14:paraId="03304FED" w14:textId="77777777" w:rsidR="00E16114" w:rsidRPr="007F6CB3" w:rsidRDefault="00E16114" w:rsidP="0026594F">
            <w:pPr>
              <w:jc w:val="both"/>
              <w:rPr>
                <w:rFonts w:ascii="Times New Roman" w:hAnsi="Times New Roman" w:cs="Times New Roman"/>
                <w:b/>
                <w:bCs/>
                <w:sz w:val="24"/>
                <w:szCs w:val="24"/>
              </w:rPr>
            </w:pPr>
          </w:p>
          <w:p w14:paraId="6F76F55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Planting method</w:t>
            </w:r>
          </w:p>
        </w:tc>
        <w:tc>
          <w:tcPr>
            <w:tcW w:w="0" w:type="auto"/>
            <w:vAlign w:val="center"/>
            <w:hideMark/>
          </w:tcPr>
          <w:p w14:paraId="41AFC874" w14:textId="77777777" w:rsidR="00E16114" w:rsidRPr="007F6CB3" w:rsidRDefault="00E16114" w:rsidP="0026594F">
            <w:pPr>
              <w:jc w:val="both"/>
              <w:rPr>
                <w:rFonts w:ascii="Times New Roman" w:hAnsi="Times New Roman" w:cs="Times New Roman"/>
                <w:b/>
                <w:bCs/>
                <w:sz w:val="24"/>
                <w:szCs w:val="24"/>
              </w:rPr>
            </w:pPr>
          </w:p>
          <w:p w14:paraId="0FA9E8A1" w14:textId="77777777" w:rsidR="00E16114" w:rsidRPr="007F6CB3" w:rsidRDefault="00E16114" w:rsidP="0026594F">
            <w:pPr>
              <w:jc w:val="both"/>
              <w:rPr>
                <w:rFonts w:ascii="Times New Roman" w:hAnsi="Times New Roman" w:cs="Times New Roman"/>
                <w:b/>
                <w:bCs/>
                <w:sz w:val="24"/>
                <w:szCs w:val="24"/>
              </w:rPr>
            </w:pPr>
          </w:p>
          <w:p w14:paraId="044E1DD7" w14:textId="77777777" w:rsidR="00E16114" w:rsidRPr="007F6CB3" w:rsidRDefault="00E16114" w:rsidP="0026594F">
            <w:pPr>
              <w:jc w:val="both"/>
              <w:rPr>
                <w:rFonts w:ascii="Times New Roman" w:hAnsi="Times New Roman" w:cs="Times New Roman"/>
                <w:b/>
                <w:bCs/>
                <w:sz w:val="24"/>
                <w:szCs w:val="24"/>
              </w:rPr>
            </w:pPr>
          </w:p>
          <w:p w14:paraId="43DB812B" w14:textId="77777777" w:rsidR="00E16114" w:rsidRPr="007F6CB3" w:rsidRDefault="00E16114" w:rsidP="0026594F">
            <w:pPr>
              <w:jc w:val="both"/>
              <w:rPr>
                <w:rFonts w:ascii="Times New Roman" w:hAnsi="Times New Roman" w:cs="Times New Roman"/>
                <w:b/>
                <w:bCs/>
                <w:sz w:val="24"/>
                <w:szCs w:val="24"/>
              </w:rPr>
            </w:pPr>
          </w:p>
          <w:p w14:paraId="56F73413" w14:textId="77777777" w:rsidR="00E16114" w:rsidRPr="007F6CB3" w:rsidRDefault="00E16114" w:rsidP="0026594F">
            <w:pPr>
              <w:jc w:val="both"/>
              <w:rPr>
                <w:rFonts w:ascii="Times New Roman" w:hAnsi="Times New Roman" w:cs="Times New Roman"/>
                <w:b/>
                <w:bCs/>
                <w:sz w:val="24"/>
                <w:szCs w:val="24"/>
              </w:rPr>
            </w:pPr>
          </w:p>
          <w:p w14:paraId="6495947E"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596E8C93" w14:textId="77777777" w:rsidR="00E16114" w:rsidRPr="007F6CB3" w:rsidRDefault="00E16114" w:rsidP="0026594F">
            <w:pPr>
              <w:jc w:val="both"/>
              <w:rPr>
                <w:rFonts w:ascii="Times New Roman" w:hAnsi="Times New Roman" w:cs="Times New Roman"/>
                <w:b/>
                <w:bCs/>
                <w:sz w:val="24"/>
                <w:szCs w:val="24"/>
              </w:rPr>
            </w:pPr>
          </w:p>
          <w:p w14:paraId="0113C556" w14:textId="77777777" w:rsidR="00E16114" w:rsidRPr="007F6CB3" w:rsidRDefault="00E16114" w:rsidP="0026594F">
            <w:pPr>
              <w:jc w:val="both"/>
              <w:rPr>
                <w:rFonts w:ascii="Times New Roman" w:hAnsi="Times New Roman" w:cs="Times New Roman"/>
                <w:b/>
                <w:bCs/>
                <w:sz w:val="24"/>
                <w:szCs w:val="24"/>
              </w:rPr>
            </w:pPr>
          </w:p>
          <w:p w14:paraId="6E86373A" w14:textId="77777777" w:rsidR="00E16114" w:rsidRPr="007F6CB3" w:rsidRDefault="00E16114" w:rsidP="0026594F">
            <w:pPr>
              <w:jc w:val="both"/>
              <w:rPr>
                <w:rFonts w:ascii="Times New Roman" w:hAnsi="Times New Roman" w:cs="Times New Roman"/>
                <w:b/>
                <w:bCs/>
                <w:sz w:val="24"/>
                <w:szCs w:val="24"/>
              </w:rPr>
            </w:pPr>
          </w:p>
          <w:p w14:paraId="2E0194BF" w14:textId="77777777" w:rsidR="00E16114" w:rsidRPr="007F6CB3" w:rsidRDefault="00E16114" w:rsidP="0026594F">
            <w:pPr>
              <w:jc w:val="both"/>
              <w:rPr>
                <w:rFonts w:ascii="Times New Roman" w:hAnsi="Times New Roman" w:cs="Times New Roman"/>
                <w:b/>
                <w:bCs/>
                <w:sz w:val="24"/>
                <w:szCs w:val="24"/>
              </w:rPr>
            </w:pPr>
          </w:p>
          <w:p w14:paraId="0DB43F54" w14:textId="77777777" w:rsidR="00E16114" w:rsidRPr="007F6CB3" w:rsidRDefault="00E16114" w:rsidP="0026594F">
            <w:pPr>
              <w:jc w:val="both"/>
              <w:rPr>
                <w:rFonts w:ascii="Times New Roman" w:hAnsi="Times New Roman" w:cs="Times New Roman"/>
                <w:b/>
                <w:bCs/>
                <w:sz w:val="24"/>
                <w:szCs w:val="24"/>
              </w:rPr>
            </w:pPr>
          </w:p>
          <w:p w14:paraId="56EE281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tr w:rsidR="00E16114" w:rsidRPr="007F6CB3" w14:paraId="7196071A" w14:textId="77777777" w:rsidTr="0026594F">
        <w:trPr>
          <w:trHeight w:val="271"/>
          <w:tblCellSpacing w:w="15" w:type="dxa"/>
        </w:trPr>
        <w:tc>
          <w:tcPr>
            <w:tcW w:w="0" w:type="auto"/>
            <w:vAlign w:val="center"/>
            <w:hideMark/>
          </w:tcPr>
          <w:p w14:paraId="75AE836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Mound</w:t>
            </w:r>
          </w:p>
        </w:tc>
        <w:tc>
          <w:tcPr>
            <w:tcW w:w="0" w:type="auto"/>
            <w:vAlign w:val="center"/>
            <w:hideMark/>
          </w:tcPr>
          <w:p w14:paraId="42F42F6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180</w:t>
            </w:r>
          </w:p>
        </w:tc>
        <w:tc>
          <w:tcPr>
            <w:tcW w:w="0" w:type="auto"/>
            <w:vAlign w:val="center"/>
            <w:hideMark/>
          </w:tcPr>
          <w:p w14:paraId="2CCA8D2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51.7%</w:t>
            </w:r>
          </w:p>
        </w:tc>
      </w:tr>
      <w:tr w:rsidR="00E16114" w:rsidRPr="007F6CB3" w14:paraId="6268DE98" w14:textId="77777777" w:rsidTr="0026594F">
        <w:trPr>
          <w:trHeight w:val="271"/>
          <w:tblCellSpacing w:w="15" w:type="dxa"/>
        </w:trPr>
        <w:tc>
          <w:tcPr>
            <w:tcW w:w="0" w:type="auto"/>
            <w:vAlign w:val="center"/>
            <w:hideMark/>
          </w:tcPr>
          <w:p w14:paraId="239B6CE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Ridge</w:t>
            </w:r>
          </w:p>
        </w:tc>
        <w:tc>
          <w:tcPr>
            <w:tcW w:w="0" w:type="auto"/>
            <w:vAlign w:val="center"/>
            <w:hideMark/>
          </w:tcPr>
          <w:p w14:paraId="1CADA88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120</w:t>
            </w:r>
          </w:p>
        </w:tc>
        <w:tc>
          <w:tcPr>
            <w:tcW w:w="0" w:type="auto"/>
            <w:vAlign w:val="center"/>
            <w:hideMark/>
          </w:tcPr>
          <w:p w14:paraId="4D26BE8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34.5%</w:t>
            </w:r>
          </w:p>
        </w:tc>
      </w:tr>
      <w:tr w:rsidR="00E16114" w:rsidRPr="007F6CB3" w14:paraId="787B7EE4" w14:textId="77777777" w:rsidTr="0026594F">
        <w:trPr>
          <w:trHeight w:val="285"/>
          <w:tblCellSpacing w:w="15" w:type="dxa"/>
        </w:trPr>
        <w:tc>
          <w:tcPr>
            <w:tcW w:w="0" w:type="auto"/>
            <w:vAlign w:val="center"/>
            <w:hideMark/>
          </w:tcPr>
          <w:p w14:paraId="6C304FF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Flatbed</w:t>
            </w:r>
          </w:p>
        </w:tc>
        <w:tc>
          <w:tcPr>
            <w:tcW w:w="0" w:type="auto"/>
            <w:vAlign w:val="center"/>
            <w:hideMark/>
          </w:tcPr>
          <w:p w14:paraId="1478ECB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36</w:t>
            </w:r>
          </w:p>
        </w:tc>
        <w:tc>
          <w:tcPr>
            <w:tcW w:w="0" w:type="auto"/>
            <w:vAlign w:val="center"/>
            <w:hideMark/>
          </w:tcPr>
          <w:p w14:paraId="7E1EA3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10.3%</w:t>
            </w:r>
          </w:p>
        </w:tc>
      </w:tr>
      <w:tr w:rsidR="00E16114" w:rsidRPr="007F6CB3" w14:paraId="2949B149" w14:textId="77777777" w:rsidTr="0026594F">
        <w:trPr>
          <w:trHeight w:val="271"/>
          <w:tblCellSpacing w:w="15" w:type="dxa"/>
        </w:trPr>
        <w:tc>
          <w:tcPr>
            <w:tcW w:w="0" w:type="auto"/>
            <w:vAlign w:val="center"/>
            <w:hideMark/>
          </w:tcPr>
          <w:p w14:paraId="34BFE1B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vAlign w:val="center"/>
            <w:hideMark/>
          </w:tcPr>
          <w:p w14:paraId="40442C0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w:t>
            </w:r>
          </w:p>
        </w:tc>
        <w:tc>
          <w:tcPr>
            <w:tcW w:w="0" w:type="auto"/>
            <w:vAlign w:val="center"/>
            <w:hideMark/>
          </w:tcPr>
          <w:p w14:paraId="125A325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w:t>
            </w:r>
          </w:p>
        </w:tc>
      </w:tr>
      <w:tr w:rsidR="00E16114" w:rsidRPr="007F6CB3" w14:paraId="5FA75EE7" w14:textId="77777777" w:rsidTr="0026594F">
        <w:trPr>
          <w:trHeight w:val="271"/>
          <w:tblCellSpacing w:w="15" w:type="dxa"/>
        </w:trPr>
        <w:tc>
          <w:tcPr>
            <w:tcW w:w="0" w:type="auto"/>
            <w:vAlign w:val="center"/>
            <w:hideMark/>
          </w:tcPr>
          <w:p w14:paraId="0B22FF2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8A37F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136D356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32F0A89F" w14:textId="77777777" w:rsidR="00E16114" w:rsidRPr="007F6CB3" w:rsidRDefault="00E16114" w:rsidP="00E16114">
      <w:pPr>
        <w:jc w:val="both"/>
        <w:rPr>
          <w:rFonts w:ascii="Times New Roman" w:hAnsi="Times New Roman" w:cs="Times New Roman"/>
          <w:sz w:val="24"/>
          <w:szCs w:val="24"/>
        </w:rPr>
      </w:pPr>
    </w:p>
    <w:tbl>
      <w:tblPr>
        <w:tblW w:w="9491" w:type="dxa"/>
        <w:tblCellSpacing w:w="15" w:type="dxa"/>
        <w:tblCellMar>
          <w:top w:w="15" w:type="dxa"/>
          <w:left w:w="15" w:type="dxa"/>
          <w:bottom w:w="15" w:type="dxa"/>
          <w:right w:w="15" w:type="dxa"/>
        </w:tblCellMar>
        <w:tblLook w:val="04A0" w:firstRow="1" w:lastRow="0" w:firstColumn="1" w:lastColumn="0" w:noHBand="0" w:noVBand="1"/>
      </w:tblPr>
      <w:tblGrid>
        <w:gridCol w:w="7031"/>
        <w:gridCol w:w="1202"/>
        <w:gridCol w:w="1258"/>
      </w:tblGrid>
      <w:tr w:rsidR="00E16114" w:rsidRPr="007F6CB3" w14:paraId="42893E5F" w14:textId="77777777" w:rsidTr="0026594F">
        <w:trPr>
          <w:trHeight w:val="339"/>
          <w:tblHeader/>
          <w:tblCellSpacing w:w="15" w:type="dxa"/>
        </w:trPr>
        <w:tc>
          <w:tcPr>
            <w:tcW w:w="0" w:type="auto"/>
            <w:vAlign w:val="center"/>
            <w:hideMark/>
          </w:tcPr>
          <w:p w14:paraId="5581BA65" w14:textId="0314DA4F"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6c</w:t>
            </w:r>
            <w:r w:rsidRPr="007F6CB3">
              <w:rPr>
                <w:rFonts w:ascii="Times New Roman" w:hAnsi="Times New Roman" w:cs="Times New Roman"/>
                <w:b/>
                <w:bCs/>
                <w:sz w:val="24"/>
                <w:szCs w:val="24"/>
              </w:rPr>
              <w:t xml:space="preserve">. </w:t>
            </w:r>
            <w:r w:rsidR="00C77BA2">
              <w:rPr>
                <w:rFonts w:ascii="Times New Roman" w:hAnsi="Times New Roman" w:cs="Times New Roman"/>
                <w:b/>
                <w:bCs/>
                <w:sz w:val="24"/>
                <w:szCs w:val="24"/>
              </w:rPr>
              <w:t xml:space="preserve"> Frequency and percentage according to </w:t>
            </w:r>
            <w:r w:rsidR="00C77BA2" w:rsidRPr="007F6CB3">
              <w:rPr>
                <w:rFonts w:ascii="Times New Roman" w:hAnsi="Times New Roman" w:cs="Times New Roman"/>
                <w:b/>
                <w:bCs/>
                <w:sz w:val="24"/>
                <w:szCs w:val="24"/>
              </w:rPr>
              <w:t>Farming input</w:t>
            </w:r>
          </w:p>
          <w:p w14:paraId="6CD89E5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Farming input</w:t>
            </w:r>
          </w:p>
        </w:tc>
        <w:tc>
          <w:tcPr>
            <w:tcW w:w="0" w:type="auto"/>
            <w:vAlign w:val="center"/>
            <w:hideMark/>
          </w:tcPr>
          <w:p w14:paraId="4D3F4DCA" w14:textId="77777777" w:rsidR="00E16114" w:rsidRPr="007F6CB3" w:rsidRDefault="00E16114" w:rsidP="0026594F">
            <w:pPr>
              <w:jc w:val="both"/>
              <w:rPr>
                <w:rFonts w:ascii="Times New Roman" w:hAnsi="Times New Roman" w:cs="Times New Roman"/>
                <w:b/>
                <w:bCs/>
                <w:sz w:val="24"/>
                <w:szCs w:val="24"/>
              </w:rPr>
            </w:pPr>
          </w:p>
          <w:p w14:paraId="109824A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37C33EE9" w14:textId="77777777" w:rsidR="00E16114" w:rsidRPr="007F6CB3" w:rsidRDefault="00E16114" w:rsidP="0026594F">
            <w:pPr>
              <w:jc w:val="both"/>
              <w:rPr>
                <w:rFonts w:ascii="Times New Roman" w:hAnsi="Times New Roman" w:cs="Times New Roman"/>
                <w:b/>
                <w:bCs/>
                <w:sz w:val="24"/>
                <w:szCs w:val="24"/>
              </w:rPr>
            </w:pPr>
          </w:p>
          <w:p w14:paraId="5851507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tr w:rsidR="00E16114" w:rsidRPr="007F6CB3" w14:paraId="0F8DE252" w14:textId="77777777" w:rsidTr="0026594F">
        <w:trPr>
          <w:trHeight w:val="356"/>
          <w:tblCellSpacing w:w="15" w:type="dxa"/>
        </w:trPr>
        <w:tc>
          <w:tcPr>
            <w:tcW w:w="0" w:type="auto"/>
            <w:vAlign w:val="center"/>
            <w:hideMark/>
          </w:tcPr>
          <w:p w14:paraId="262AAB7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Chemical fertilizer</w:t>
            </w:r>
          </w:p>
        </w:tc>
        <w:tc>
          <w:tcPr>
            <w:tcW w:w="0" w:type="auto"/>
            <w:vAlign w:val="center"/>
            <w:hideMark/>
          </w:tcPr>
          <w:p w14:paraId="4E01A03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151</w:t>
            </w:r>
          </w:p>
        </w:tc>
        <w:tc>
          <w:tcPr>
            <w:tcW w:w="0" w:type="auto"/>
            <w:vAlign w:val="center"/>
            <w:hideMark/>
          </w:tcPr>
          <w:p w14:paraId="2F6D4F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43.4%</w:t>
            </w:r>
          </w:p>
        </w:tc>
      </w:tr>
      <w:tr w:rsidR="00E16114" w:rsidRPr="007F6CB3" w14:paraId="730D3941" w14:textId="77777777" w:rsidTr="0026594F">
        <w:trPr>
          <w:trHeight w:val="339"/>
          <w:tblCellSpacing w:w="15" w:type="dxa"/>
        </w:trPr>
        <w:tc>
          <w:tcPr>
            <w:tcW w:w="0" w:type="auto"/>
            <w:vAlign w:val="center"/>
            <w:hideMark/>
          </w:tcPr>
          <w:p w14:paraId="51301A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Organic manure</w:t>
            </w:r>
          </w:p>
        </w:tc>
        <w:tc>
          <w:tcPr>
            <w:tcW w:w="0" w:type="auto"/>
            <w:vAlign w:val="center"/>
            <w:hideMark/>
          </w:tcPr>
          <w:p w14:paraId="3D7D976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139</w:t>
            </w:r>
          </w:p>
        </w:tc>
        <w:tc>
          <w:tcPr>
            <w:tcW w:w="0" w:type="auto"/>
            <w:vAlign w:val="center"/>
            <w:hideMark/>
          </w:tcPr>
          <w:p w14:paraId="16270C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39.9%</w:t>
            </w:r>
          </w:p>
        </w:tc>
      </w:tr>
      <w:tr w:rsidR="00E16114" w:rsidRPr="007F6CB3" w14:paraId="4B278E56" w14:textId="77777777" w:rsidTr="0026594F">
        <w:trPr>
          <w:trHeight w:val="339"/>
          <w:tblCellSpacing w:w="15" w:type="dxa"/>
        </w:trPr>
        <w:tc>
          <w:tcPr>
            <w:tcW w:w="0" w:type="auto"/>
            <w:vAlign w:val="center"/>
            <w:hideMark/>
          </w:tcPr>
          <w:p w14:paraId="5D5A5C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None</w:t>
            </w:r>
          </w:p>
        </w:tc>
        <w:tc>
          <w:tcPr>
            <w:tcW w:w="0" w:type="auto"/>
            <w:vAlign w:val="center"/>
            <w:hideMark/>
          </w:tcPr>
          <w:p w14:paraId="6E8F74B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40</w:t>
            </w:r>
          </w:p>
        </w:tc>
        <w:tc>
          <w:tcPr>
            <w:tcW w:w="0" w:type="auto"/>
            <w:vAlign w:val="center"/>
            <w:hideMark/>
          </w:tcPr>
          <w:p w14:paraId="107DF4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11.5%</w:t>
            </w:r>
          </w:p>
        </w:tc>
      </w:tr>
      <w:tr w:rsidR="00E16114" w:rsidRPr="007F6CB3" w14:paraId="3BE0D8EE" w14:textId="77777777" w:rsidTr="0026594F">
        <w:trPr>
          <w:trHeight w:val="339"/>
          <w:tblCellSpacing w:w="15" w:type="dxa"/>
        </w:trPr>
        <w:tc>
          <w:tcPr>
            <w:tcW w:w="0" w:type="auto"/>
            <w:vAlign w:val="center"/>
            <w:hideMark/>
          </w:tcPr>
          <w:p w14:paraId="478C611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vAlign w:val="center"/>
            <w:hideMark/>
          </w:tcPr>
          <w:p w14:paraId="6F75A6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0F72A2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5.2%</w:t>
            </w:r>
          </w:p>
        </w:tc>
      </w:tr>
      <w:tr w:rsidR="00E16114" w:rsidRPr="007F6CB3" w14:paraId="4209C9C0" w14:textId="77777777" w:rsidTr="0026594F">
        <w:trPr>
          <w:trHeight w:val="356"/>
          <w:tblCellSpacing w:w="15" w:type="dxa"/>
        </w:trPr>
        <w:tc>
          <w:tcPr>
            <w:tcW w:w="0" w:type="auto"/>
            <w:vAlign w:val="center"/>
            <w:hideMark/>
          </w:tcPr>
          <w:p w14:paraId="3BEEE7D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7412A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7A19922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0C8D98E7" w14:textId="77777777" w:rsidR="00E16114" w:rsidRPr="007F6CB3" w:rsidRDefault="00E16114" w:rsidP="00E16114">
      <w:pPr>
        <w:jc w:val="both"/>
        <w:rPr>
          <w:rFonts w:ascii="Times New Roman" w:hAnsi="Times New Roman" w:cs="Times New Roman"/>
          <w:sz w:val="24"/>
          <w:szCs w:val="24"/>
        </w:rPr>
      </w:pPr>
    </w:p>
    <w:p w14:paraId="2F2F9AB4" w14:textId="77777777" w:rsidR="00E16114" w:rsidRPr="007F6CB3" w:rsidRDefault="00E16114" w:rsidP="00E16114">
      <w:pPr>
        <w:jc w:val="both"/>
        <w:rPr>
          <w:rFonts w:ascii="Times New Roman" w:hAnsi="Times New Roman" w:cs="Times New Roman"/>
          <w:sz w:val="24"/>
          <w:szCs w:val="24"/>
        </w:rPr>
      </w:pPr>
    </w:p>
    <w:p w14:paraId="504EBB7D" w14:textId="77777777" w:rsidR="00E16114" w:rsidRPr="007F6CB3" w:rsidRDefault="00E16114" w:rsidP="00E16114">
      <w:pPr>
        <w:jc w:val="both"/>
        <w:rPr>
          <w:rFonts w:ascii="Times New Roman" w:hAnsi="Times New Roman" w:cs="Times New Roman"/>
          <w:sz w:val="24"/>
          <w:szCs w:val="24"/>
        </w:rPr>
      </w:pPr>
    </w:p>
    <w:p w14:paraId="777B8AEA" w14:textId="77777777" w:rsidR="00E16114" w:rsidRPr="007F6CB3" w:rsidRDefault="00E16114" w:rsidP="00E16114">
      <w:pPr>
        <w:jc w:val="both"/>
        <w:rPr>
          <w:rFonts w:ascii="Times New Roman" w:hAnsi="Times New Roman" w:cs="Times New Roman"/>
          <w:sz w:val="24"/>
          <w:szCs w:val="24"/>
        </w:rPr>
      </w:pPr>
    </w:p>
    <w:p w14:paraId="598D3169" w14:textId="77777777" w:rsidR="00E16114" w:rsidRPr="007F6CB3" w:rsidRDefault="00E16114" w:rsidP="00E16114">
      <w:pPr>
        <w:jc w:val="both"/>
        <w:rPr>
          <w:rFonts w:ascii="Times New Roman" w:hAnsi="Times New Roman" w:cs="Times New Roman"/>
          <w:b/>
          <w:bCs/>
          <w:sz w:val="24"/>
          <w:szCs w:val="24"/>
          <w:lang w:val="en"/>
        </w:rPr>
      </w:pPr>
      <w:bookmarkStart w:id="18" w:name="_Hlk221325762"/>
      <w:r w:rsidRPr="007F6CB3">
        <w:rPr>
          <w:rFonts w:ascii="Times New Roman" w:hAnsi="Times New Roman" w:cs="Times New Roman"/>
          <w:sz w:val="24"/>
          <w:szCs w:val="24"/>
        </w:rPr>
        <w:t xml:space="preserve">4.1.8. </w:t>
      </w:r>
      <w:r w:rsidRPr="007F6CB3">
        <w:rPr>
          <w:rFonts w:ascii="Times New Roman" w:hAnsi="Times New Roman" w:cs="Times New Roman"/>
          <w:b/>
          <w:bCs/>
          <w:sz w:val="24"/>
          <w:szCs w:val="24"/>
          <w:lang w:val="en"/>
        </w:rPr>
        <w:t>Post-Harvest Handling of Sweet Potato</w:t>
      </w:r>
    </w:p>
    <w:p w14:paraId="18AD7378" w14:textId="77777777" w:rsidR="00E16114" w:rsidRPr="007F6CB3" w:rsidRDefault="00E16114" w:rsidP="00E16114">
      <w:pPr>
        <w:jc w:val="both"/>
        <w:rPr>
          <w:rFonts w:ascii="Times New Roman" w:hAnsi="Times New Roman" w:cs="Times New Roman"/>
          <w:b/>
          <w:bCs/>
          <w:sz w:val="24"/>
          <w:szCs w:val="24"/>
          <w:lang w:val="en"/>
        </w:rPr>
      </w:pPr>
    </w:p>
    <w:bookmarkEnd w:id="18"/>
    <w:p w14:paraId="513392C4"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Analysis of post-harvest handling practices indicated that respondents adopted various methods of harvesting, handling, storage, and transportation of sweet potato tubers. The occurrence of post-harvest rot was reported at different stages, particularly during storage and marketing.</w:t>
      </w:r>
    </w:p>
    <w:p w14:paraId="429250AE"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Common symptoms of post-harvest rot observed included soft rot, mould growth, colour change, and foul odour, suggesting the prevalence of microbial spoilage.</w:t>
      </w:r>
    </w:p>
    <w:p w14:paraId="022DF722"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Table 7 shows that manual harvesting (58.9%) remains the predominant method across all zones, which may increase mechanical injury to tubers and predispose them to post-harvest rot.</w:t>
      </w:r>
    </w:p>
    <w:p w14:paraId="386E979D"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Storage practices varied, with sacks/bags (39.7%) being the most common method, followed by barn storage (24.1%). These traditional storage methods offer limited protection against microbial deterioration.</w:t>
      </w:r>
    </w:p>
    <w:p w14:paraId="05BB27BA"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The storage stage recorded the highest incidence of rot (44.3%), followed by market handling (25.0%). This suggests that inadequate storage conditions significantly contribute to post-harvest losses.</w:t>
      </w:r>
    </w:p>
    <w:p w14:paraId="77EFABD6"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These findings underscore the vulnerability of sweet potato to post-harvest deterioration, particularly under poor handling and storage conditions that </w:t>
      </w:r>
      <w:proofErr w:type="spellStart"/>
      <w:r w:rsidRPr="007F6CB3">
        <w:rPr>
          <w:rFonts w:ascii="Times New Roman" w:hAnsi="Times New Roman" w:cs="Times New Roman"/>
          <w:sz w:val="24"/>
          <w:szCs w:val="24"/>
          <w:lang w:val="en-GB"/>
        </w:rPr>
        <w:t>favor</w:t>
      </w:r>
      <w:proofErr w:type="spellEnd"/>
      <w:r w:rsidRPr="007F6CB3">
        <w:rPr>
          <w:rFonts w:ascii="Times New Roman" w:hAnsi="Times New Roman" w:cs="Times New Roman"/>
          <w:sz w:val="24"/>
          <w:szCs w:val="24"/>
          <w:lang w:val="en-GB"/>
        </w:rPr>
        <w:t xml:space="preserve"> microbial growth.</w:t>
      </w:r>
    </w:p>
    <w:p w14:paraId="40A02375" w14:textId="77777777" w:rsidR="00E16114" w:rsidRPr="007F6CB3" w:rsidRDefault="00E16114" w:rsidP="00E16114">
      <w:pPr>
        <w:jc w:val="both"/>
        <w:rPr>
          <w:rFonts w:ascii="Times New Roman" w:hAnsi="Times New Roman" w:cs="Times New Roman"/>
          <w:sz w:val="24"/>
          <w:szCs w:val="24"/>
          <w:lang w:val="en-GB"/>
        </w:rPr>
      </w:pPr>
    </w:p>
    <w:p w14:paraId="5A7D1CF0" w14:textId="77777777" w:rsidR="00E16114" w:rsidRPr="007F6CB3" w:rsidRDefault="00E16114" w:rsidP="00E16114">
      <w:pPr>
        <w:jc w:val="both"/>
        <w:rPr>
          <w:rFonts w:ascii="Times New Roman" w:hAnsi="Times New Roman" w:cs="Times New Roman"/>
          <w:sz w:val="24"/>
          <w:szCs w:val="24"/>
          <w:lang w:val="en-GB"/>
        </w:rPr>
      </w:pPr>
    </w:p>
    <w:p w14:paraId="0CCC1070" w14:textId="77777777" w:rsidR="00E16114" w:rsidRPr="007F6CB3" w:rsidRDefault="00E16114" w:rsidP="00E16114">
      <w:pPr>
        <w:jc w:val="both"/>
        <w:rPr>
          <w:rFonts w:ascii="Times New Roman" w:hAnsi="Times New Roman" w:cs="Times New Roman"/>
          <w:sz w:val="24"/>
          <w:szCs w:val="24"/>
          <w:lang w:val="en-GB"/>
        </w:rPr>
      </w:pPr>
    </w:p>
    <w:p w14:paraId="0B9F45B9" w14:textId="40A49AF4" w:rsidR="00E16114" w:rsidRPr="007F6CB3" w:rsidRDefault="00E16114" w:rsidP="00E16114">
      <w:pPr>
        <w:jc w:val="both"/>
        <w:rPr>
          <w:rFonts w:ascii="Times New Roman" w:hAnsi="Times New Roman" w:cs="Times New Roman"/>
          <w:b/>
          <w:bCs/>
          <w:sz w:val="24"/>
          <w:szCs w:val="24"/>
          <w:lang w:val="en"/>
        </w:rPr>
      </w:pPr>
      <w:bookmarkStart w:id="19" w:name="_Hlk221325785"/>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w:t>
      </w:r>
      <w:r w:rsidRPr="007F6CB3">
        <w:rPr>
          <w:rFonts w:ascii="Times New Roman" w:hAnsi="Times New Roman" w:cs="Times New Roman"/>
          <w:sz w:val="24"/>
          <w:szCs w:val="24"/>
          <w:lang w:val="en-GB"/>
        </w:rPr>
        <w:t xml:space="preserve">: </w:t>
      </w:r>
      <w:bookmarkStart w:id="20" w:name="_Hlk220485238"/>
      <w:r w:rsidRPr="007F6CB3">
        <w:rPr>
          <w:rFonts w:ascii="Times New Roman" w:hAnsi="Times New Roman" w:cs="Times New Roman"/>
          <w:b/>
          <w:bCs/>
          <w:sz w:val="24"/>
          <w:szCs w:val="24"/>
          <w:lang w:val="en"/>
        </w:rPr>
        <w:t>Post-Harvest Handling of Sweet Potato</w:t>
      </w:r>
      <w:bookmarkEnd w:id="20"/>
    </w:p>
    <w:p w14:paraId="7842840C" w14:textId="77777777" w:rsidR="00E16114" w:rsidRPr="007F6CB3" w:rsidRDefault="00E16114" w:rsidP="00E16114">
      <w:pPr>
        <w:jc w:val="both"/>
        <w:rPr>
          <w:rFonts w:ascii="Times New Roman" w:hAnsi="Times New Roman" w:cs="Times New Roman"/>
          <w:sz w:val="24"/>
          <w:szCs w:val="24"/>
          <w:lang w:val="en-GB"/>
        </w:rPr>
      </w:pPr>
    </w:p>
    <w:tbl>
      <w:tblPr>
        <w:tblW w:w="9040" w:type="dxa"/>
        <w:tblInd w:w="108" w:type="dxa"/>
        <w:tblLook w:val="04A0" w:firstRow="1" w:lastRow="0" w:firstColumn="1" w:lastColumn="0" w:noHBand="0" w:noVBand="1"/>
      </w:tblPr>
      <w:tblGrid>
        <w:gridCol w:w="1720"/>
        <w:gridCol w:w="1780"/>
        <w:gridCol w:w="1480"/>
        <w:gridCol w:w="1460"/>
        <w:gridCol w:w="1640"/>
        <w:gridCol w:w="960"/>
      </w:tblGrid>
      <w:tr w:rsidR="00E16114" w:rsidRPr="007F6CB3" w14:paraId="4F482B35" w14:textId="77777777" w:rsidTr="0026594F">
        <w:trPr>
          <w:trHeight w:val="300"/>
        </w:trPr>
        <w:tc>
          <w:tcPr>
            <w:tcW w:w="1720" w:type="dxa"/>
            <w:tcBorders>
              <w:top w:val="nil"/>
              <w:left w:val="nil"/>
              <w:bottom w:val="nil"/>
              <w:right w:val="nil"/>
            </w:tcBorders>
            <w:noWrap/>
            <w:vAlign w:val="bottom"/>
            <w:hideMark/>
          </w:tcPr>
          <w:bookmarkEnd w:id="19"/>
          <w:p w14:paraId="2AD0C94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Variable</w:t>
            </w:r>
          </w:p>
        </w:tc>
        <w:tc>
          <w:tcPr>
            <w:tcW w:w="1780" w:type="dxa"/>
            <w:tcBorders>
              <w:top w:val="nil"/>
              <w:left w:val="nil"/>
              <w:bottom w:val="nil"/>
              <w:right w:val="nil"/>
            </w:tcBorders>
            <w:noWrap/>
            <w:vAlign w:val="bottom"/>
            <w:hideMark/>
          </w:tcPr>
          <w:p w14:paraId="26C5970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Category</w:t>
            </w:r>
          </w:p>
        </w:tc>
        <w:tc>
          <w:tcPr>
            <w:tcW w:w="1480" w:type="dxa"/>
            <w:tcBorders>
              <w:top w:val="nil"/>
              <w:left w:val="nil"/>
              <w:bottom w:val="nil"/>
              <w:right w:val="nil"/>
            </w:tcBorders>
            <w:noWrap/>
            <w:vAlign w:val="bottom"/>
            <w:hideMark/>
          </w:tcPr>
          <w:p w14:paraId="0540E9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North</w:t>
            </w:r>
          </w:p>
        </w:tc>
        <w:tc>
          <w:tcPr>
            <w:tcW w:w="1460" w:type="dxa"/>
            <w:tcBorders>
              <w:top w:val="nil"/>
              <w:left w:val="nil"/>
              <w:bottom w:val="nil"/>
              <w:right w:val="nil"/>
            </w:tcBorders>
            <w:noWrap/>
            <w:vAlign w:val="bottom"/>
            <w:hideMark/>
          </w:tcPr>
          <w:p w14:paraId="263C3FD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South</w:t>
            </w:r>
          </w:p>
        </w:tc>
        <w:tc>
          <w:tcPr>
            <w:tcW w:w="1640" w:type="dxa"/>
            <w:tcBorders>
              <w:top w:val="nil"/>
              <w:left w:val="nil"/>
              <w:bottom w:val="nil"/>
              <w:right w:val="nil"/>
            </w:tcBorders>
            <w:noWrap/>
            <w:vAlign w:val="bottom"/>
            <w:hideMark/>
          </w:tcPr>
          <w:p w14:paraId="70695B4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Central</w:t>
            </w:r>
          </w:p>
        </w:tc>
        <w:tc>
          <w:tcPr>
            <w:tcW w:w="960" w:type="dxa"/>
            <w:tcBorders>
              <w:top w:val="nil"/>
              <w:left w:val="nil"/>
              <w:bottom w:val="nil"/>
              <w:right w:val="nil"/>
            </w:tcBorders>
            <w:noWrap/>
            <w:vAlign w:val="bottom"/>
            <w:hideMark/>
          </w:tcPr>
          <w:p w14:paraId="14DF22D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Total</w:t>
            </w:r>
          </w:p>
        </w:tc>
      </w:tr>
      <w:tr w:rsidR="00E16114" w:rsidRPr="007F6CB3" w14:paraId="1A4918B3" w14:textId="77777777" w:rsidTr="0026594F">
        <w:trPr>
          <w:trHeight w:val="300"/>
        </w:trPr>
        <w:tc>
          <w:tcPr>
            <w:tcW w:w="1720" w:type="dxa"/>
            <w:tcBorders>
              <w:top w:val="nil"/>
              <w:left w:val="nil"/>
              <w:bottom w:val="nil"/>
              <w:right w:val="nil"/>
            </w:tcBorders>
            <w:noWrap/>
            <w:vAlign w:val="bottom"/>
            <w:hideMark/>
          </w:tcPr>
          <w:p w14:paraId="1EAE645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234B965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By hand</w:t>
            </w:r>
          </w:p>
        </w:tc>
        <w:tc>
          <w:tcPr>
            <w:tcW w:w="1480" w:type="dxa"/>
            <w:tcBorders>
              <w:top w:val="nil"/>
              <w:left w:val="nil"/>
              <w:bottom w:val="nil"/>
              <w:right w:val="nil"/>
            </w:tcBorders>
            <w:noWrap/>
            <w:vAlign w:val="bottom"/>
            <w:hideMark/>
          </w:tcPr>
          <w:p w14:paraId="25D3B82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71</w:t>
            </w:r>
          </w:p>
        </w:tc>
        <w:tc>
          <w:tcPr>
            <w:tcW w:w="1460" w:type="dxa"/>
            <w:tcBorders>
              <w:top w:val="nil"/>
              <w:left w:val="nil"/>
              <w:bottom w:val="nil"/>
              <w:right w:val="nil"/>
            </w:tcBorders>
            <w:noWrap/>
            <w:vAlign w:val="bottom"/>
            <w:hideMark/>
          </w:tcPr>
          <w:p w14:paraId="464BEE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68</w:t>
            </w:r>
          </w:p>
        </w:tc>
        <w:tc>
          <w:tcPr>
            <w:tcW w:w="1640" w:type="dxa"/>
            <w:tcBorders>
              <w:top w:val="nil"/>
              <w:left w:val="nil"/>
              <w:bottom w:val="nil"/>
              <w:right w:val="nil"/>
            </w:tcBorders>
            <w:noWrap/>
            <w:vAlign w:val="bottom"/>
            <w:hideMark/>
          </w:tcPr>
          <w:p w14:paraId="6A07CCE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66</w:t>
            </w:r>
          </w:p>
        </w:tc>
        <w:tc>
          <w:tcPr>
            <w:tcW w:w="960" w:type="dxa"/>
            <w:tcBorders>
              <w:top w:val="nil"/>
              <w:left w:val="nil"/>
              <w:bottom w:val="nil"/>
              <w:right w:val="nil"/>
            </w:tcBorders>
            <w:noWrap/>
            <w:vAlign w:val="bottom"/>
            <w:hideMark/>
          </w:tcPr>
          <w:p w14:paraId="484BAD6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205</w:t>
            </w:r>
          </w:p>
        </w:tc>
      </w:tr>
      <w:tr w:rsidR="00E16114" w:rsidRPr="007F6CB3" w14:paraId="4C6DF1EE" w14:textId="77777777" w:rsidTr="0026594F">
        <w:trPr>
          <w:trHeight w:val="300"/>
        </w:trPr>
        <w:tc>
          <w:tcPr>
            <w:tcW w:w="1720" w:type="dxa"/>
            <w:tcBorders>
              <w:top w:val="nil"/>
              <w:left w:val="nil"/>
              <w:bottom w:val="nil"/>
              <w:right w:val="nil"/>
            </w:tcBorders>
            <w:noWrap/>
            <w:vAlign w:val="bottom"/>
            <w:hideMark/>
          </w:tcPr>
          <w:p w14:paraId="0145464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59A69F1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With tools</w:t>
            </w:r>
          </w:p>
        </w:tc>
        <w:tc>
          <w:tcPr>
            <w:tcW w:w="1480" w:type="dxa"/>
            <w:tcBorders>
              <w:top w:val="nil"/>
              <w:left w:val="nil"/>
              <w:bottom w:val="nil"/>
              <w:right w:val="nil"/>
            </w:tcBorders>
            <w:noWrap/>
            <w:vAlign w:val="bottom"/>
            <w:hideMark/>
          </w:tcPr>
          <w:p w14:paraId="6831E1C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34</w:t>
            </w:r>
          </w:p>
        </w:tc>
        <w:tc>
          <w:tcPr>
            <w:tcW w:w="1460" w:type="dxa"/>
            <w:tcBorders>
              <w:top w:val="nil"/>
              <w:left w:val="nil"/>
              <w:bottom w:val="nil"/>
              <w:right w:val="nil"/>
            </w:tcBorders>
            <w:noWrap/>
            <w:vAlign w:val="bottom"/>
            <w:hideMark/>
          </w:tcPr>
          <w:p w14:paraId="5CAFDCA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32</w:t>
            </w:r>
          </w:p>
        </w:tc>
        <w:tc>
          <w:tcPr>
            <w:tcW w:w="1640" w:type="dxa"/>
            <w:tcBorders>
              <w:top w:val="nil"/>
              <w:left w:val="nil"/>
              <w:bottom w:val="nil"/>
              <w:right w:val="nil"/>
            </w:tcBorders>
            <w:noWrap/>
            <w:vAlign w:val="bottom"/>
            <w:hideMark/>
          </w:tcPr>
          <w:p w14:paraId="61B1879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33</w:t>
            </w:r>
          </w:p>
        </w:tc>
        <w:tc>
          <w:tcPr>
            <w:tcW w:w="960" w:type="dxa"/>
            <w:tcBorders>
              <w:top w:val="nil"/>
              <w:left w:val="nil"/>
              <w:bottom w:val="nil"/>
              <w:right w:val="nil"/>
            </w:tcBorders>
            <w:noWrap/>
            <w:vAlign w:val="bottom"/>
            <w:hideMark/>
          </w:tcPr>
          <w:p w14:paraId="72AC05F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99</w:t>
            </w:r>
          </w:p>
        </w:tc>
      </w:tr>
      <w:tr w:rsidR="00E16114" w:rsidRPr="007F6CB3" w14:paraId="31044F90" w14:textId="77777777" w:rsidTr="0026594F">
        <w:trPr>
          <w:trHeight w:val="300"/>
        </w:trPr>
        <w:tc>
          <w:tcPr>
            <w:tcW w:w="1720" w:type="dxa"/>
            <w:tcBorders>
              <w:top w:val="nil"/>
              <w:left w:val="nil"/>
              <w:bottom w:val="nil"/>
              <w:right w:val="nil"/>
            </w:tcBorders>
            <w:noWrap/>
            <w:vAlign w:val="bottom"/>
            <w:hideMark/>
          </w:tcPr>
          <w:p w14:paraId="30E7149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2C0E02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 xml:space="preserve">Hired </w:t>
            </w:r>
            <w:proofErr w:type="spellStart"/>
            <w:r w:rsidRPr="007F6CB3">
              <w:rPr>
                <w:rFonts w:ascii="Times New Roman" w:eastAsia="Times New Roman" w:hAnsi="Times New Roman" w:cs="Times New Roman"/>
                <w:color w:val="000000"/>
                <w:sz w:val="24"/>
                <w:szCs w:val="24"/>
                <w:lang w:eastAsia="en-US"/>
              </w:rPr>
              <w:t>labour</w:t>
            </w:r>
            <w:proofErr w:type="spellEnd"/>
          </w:p>
        </w:tc>
        <w:tc>
          <w:tcPr>
            <w:tcW w:w="1480" w:type="dxa"/>
            <w:tcBorders>
              <w:top w:val="nil"/>
              <w:left w:val="nil"/>
              <w:bottom w:val="nil"/>
              <w:right w:val="nil"/>
            </w:tcBorders>
            <w:noWrap/>
            <w:vAlign w:val="bottom"/>
            <w:hideMark/>
          </w:tcPr>
          <w:p w14:paraId="30942E8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w:t>
            </w:r>
          </w:p>
        </w:tc>
        <w:tc>
          <w:tcPr>
            <w:tcW w:w="1460" w:type="dxa"/>
            <w:tcBorders>
              <w:top w:val="nil"/>
              <w:left w:val="nil"/>
              <w:bottom w:val="nil"/>
              <w:right w:val="nil"/>
            </w:tcBorders>
            <w:noWrap/>
            <w:vAlign w:val="bottom"/>
            <w:hideMark/>
          </w:tcPr>
          <w:p w14:paraId="3FC9830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1640" w:type="dxa"/>
            <w:tcBorders>
              <w:top w:val="nil"/>
              <w:left w:val="nil"/>
              <w:bottom w:val="nil"/>
              <w:right w:val="nil"/>
            </w:tcBorders>
            <w:noWrap/>
            <w:vAlign w:val="bottom"/>
            <w:hideMark/>
          </w:tcPr>
          <w:p w14:paraId="30B46DC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960" w:type="dxa"/>
            <w:tcBorders>
              <w:top w:val="nil"/>
              <w:left w:val="nil"/>
              <w:bottom w:val="nil"/>
              <w:right w:val="nil"/>
            </w:tcBorders>
            <w:noWrap/>
            <w:vAlign w:val="bottom"/>
            <w:hideMark/>
          </w:tcPr>
          <w:p w14:paraId="14E5052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44</w:t>
            </w:r>
          </w:p>
        </w:tc>
      </w:tr>
      <w:tr w:rsidR="00E16114" w:rsidRPr="007F6CB3" w14:paraId="3CD19AB8" w14:textId="77777777" w:rsidTr="0026594F">
        <w:trPr>
          <w:trHeight w:val="300"/>
        </w:trPr>
        <w:tc>
          <w:tcPr>
            <w:tcW w:w="1720" w:type="dxa"/>
            <w:tcBorders>
              <w:top w:val="nil"/>
              <w:left w:val="nil"/>
              <w:bottom w:val="nil"/>
              <w:right w:val="nil"/>
            </w:tcBorders>
            <w:noWrap/>
            <w:vAlign w:val="bottom"/>
            <w:hideMark/>
          </w:tcPr>
          <w:p w14:paraId="0D6D145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2CB21C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Sacks/Bags</w:t>
            </w:r>
          </w:p>
        </w:tc>
        <w:tc>
          <w:tcPr>
            <w:tcW w:w="1480" w:type="dxa"/>
            <w:tcBorders>
              <w:top w:val="nil"/>
              <w:left w:val="nil"/>
              <w:bottom w:val="nil"/>
              <w:right w:val="nil"/>
            </w:tcBorders>
            <w:noWrap/>
            <w:vAlign w:val="bottom"/>
            <w:hideMark/>
          </w:tcPr>
          <w:p w14:paraId="480DA43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47</w:t>
            </w:r>
          </w:p>
        </w:tc>
        <w:tc>
          <w:tcPr>
            <w:tcW w:w="1460" w:type="dxa"/>
            <w:tcBorders>
              <w:top w:val="nil"/>
              <w:left w:val="nil"/>
              <w:bottom w:val="nil"/>
              <w:right w:val="nil"/>
            </w:tcBorders>
            <w:noWrap/>
            <w:vAlign w:val="bottom"/>
            <w:hideMark/>
          </w:tcPr>
          <w:p w14:paraId="4E60C6B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45</w:t>
            </w:r>
          </w:p>
        </w:tc>
        <w:tc>
          <w:tcPr>
            <w:tcW w:w="1640" w:type="dxa"/>
            <w:tcBorders>
              <w:top w:val="nil"/>
              <w:left w:val="nil"/>
              <w:bottom w:val="nil"/>
              <w:right w:val="nil"/>
            </w:tcBorders>
            <w:noWrap/>
            <w:vAlign w:val="bottom"/>
            <w:hideMark/>
          </w:tcPr>
          <w:p w14:paraId="71B3347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960" w:type="dxa"/>
            <w:tcBorders>
              <w:top w:val="nil"/>
              <w:left w:val="nil"/>
              <w:bottom w:val="nil"/>
              <w:right w:val="nil"/>
            </w:tcBorders>
            <w:noWrap/>
            <w:vAlign w:val="bottom"/>
            <w:hideMark/>
          </w:tcPr>
          <w:p w14:paraId="02EF991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138</w:t>
            </w:r>
          </w:p>
        </w:tc>
      </w:tr>
      <w:tr w:rsidR="00E16114" w:rsidRPr="007F6CB3" w14:paraId="35CFCE64" w14:textId="77777777" w:rsidTr="0026594F">
        <w:trPr>
          <w:trHeight w:val="300"/>
        </w:trPr>
        <w:tc>
          <w:tcPr>
            <w:tcW w:w="1720" w:type="dxa"/>
            <w:tcBorders>
              <w:top w:val="nil"/>
              <w:left w:val="nil"/>
              <w:bottom w:val="nil"/>
              <w:right w:val="nil"/>
            </w:tcBorders>
            <w:noWrap/>
            <w:vAlign w:val="bottom"/>
            <w:hideMark/>
          </w:tcPr>
          <w:p w14:paraId="50294CA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5B6D876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Barn storage</w:t>
            </w:r>
          </w:p>
        </w:tc>
        <w:tc>
          <w:tcPr>
            <w:tcW w:w="1480" w:type="dxa"/>
            <w:tcBorders>
              <w:top w:val="nil"/>
              <w:left w:val="nil"/>
              <w:bottom w:val="nil"/>
              <w:right w:val="nil"/>
            </w:tcBorders>
            <w:noWrap/>
            <w:vAlign w:val="bottom"/>
            <w:hideMark/>
          </w:tcPr>
          <w:p w14:paraId="13F0DFE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c>
          <w:tcPr>
            <w:tcW w:w="1460" w:type="dxa"/>
            <w:tcBorders>
              <w:top w:val="nil"/>
              <w:left w:val="nil"/>
              <w:bottom w:val="nil"/>
              <w:right w:val="nil"/>
            </w:tcBorders>
            <w:noWrap/>
            <w:vAlign w:val="bottom"/>
            <w:hideMark/>
          </w:tcPr>
          <w:p w14:paraId="1ACB489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28</w:t>
            </w:r>
          </w:p>
        </w:tc>
        <w:tc>
          <w:tcPr>
            <w:tcW w:w="1640" w:type="dxa"/>
            <w:tcBorders>
              <w:top w:val="nil"/>
              <w:left w:val="nil"/>
              <w:bottom w:val="nil"/>
              <w:right w:val="nil"/>
            </w:tcBorders>
            <w:noWrap/>
            <w:vAlign w:val="bottom"/>
            <w:hideMark/>
          </w:tcPr>
          <w:p w14:paraId="03AC72E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27</w:t>
            </w:r>
          </w:p>
        </w:tc>
        <w:tc>
          <w:tcPr>
            <w:tcW w:w="960" w:type="dxa"/>
            <w:tcBorders>
              <w:top w:val="nil"/>
              <w:left w:val="nil"/>
              <w:bottom w:val="nil"/>
              <w:right w:val="nil"/>
            </w:tcBorders>
            <w:noWrap/>
            <w:vAlign w:val="bottom"/>
            <w:hideMark/>
          </w:tcPr>
          <w:p w14:paraId="09C06AD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84</w:t>
            </w:r>
          </w:p>
        </w:tc>
      </w:tr>
      <w:tr w:rsidR="00E16114" w:rsidRPr="007F6CB3" w14:paraId="3AA3C4F3" w14:textId="77777777" w:rsidTr="0026594F">
        <w:trPr>
          <w:trHeight w:val="300"/>
        </w:trPr>
        <w:tc>
          <w:tcPr>
            <w:tcW w:w="1720" w:type="dxa"/>
            <w:tcBorders>
              <w:top w:val="nil"/>
              <w:left w:val="nil"/>
              <w:bottom w:val="nil"/>
              <w:right w:val="nil"/>
            </w:tcBorders>
            <w:noWrap/>
            <w:vAlign w:val="bottom"/>
            <w:hideMark/>
          </w:tcPr>
          <w:p w14:paraId="002D97B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7022029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Heap storage</w:t>
            </w:r>
          </w:p>
        </w:tc>
        <w:tc>
          <w:tcPr>
            <w:tcW w:w="1480" w:type="dxa"/>
            <w:tcBorders>
              <w:top w:val="nil"/>
              <w:left w:val="nil"/>
              <w:bottom w:val="nil"/>
              <w:right w:val="nil"/>
            </w:tcBorders>
            <w:noWrap/>
            <w:vAlign w:val="bottom"/>
            <w:hideMark/>
          </w:tcPr>
          <w:p w14:paraId="63CA8D7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21</w:t>
            </w:r>
          </w:p>
        </w:tc>
        <w:tc>
          <w:tcPr>
            <w:tcW w:w="1460" w:type="dxa"/>
            <w:tcBorders>
              <w:top w:val="nil"/>
              <w:left w:val="nil"/>
              <w:bottom w:val="nil"/>
              <w:right w:val="nil"/>
            </w:tcBorders>
            <w:noWrap/>
            <w:vAlign w:val="bottom"/>
            <w:hideMark/>
          </w:tcPr>
          <w:p w14:paraId="6CA2B77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1640" w:type="dxa"/>
            <w:tcBorders>
              <w:top w:val="nil"/>
              <w:left w:val="nil"/>
              <w:bottom w:val="nil"/>
              <w:right w:val="nil"/>
            </w:tcBorders>
            <w:noWrap/>
            <w:vAlign w:val="bottom"/>
            <w:hideMark/>
          </w:tcPr>
          <w:p w14:paraId="3965663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960" w:type="dxa"/>
            <w:tcBorders>
              <w:top w:val="nil"/>
              <w:left w:val="nil"/>
              <w:bottom w:val="nil"/>
              <w:right w:val="nil"/>
            </w:tcBorders>
            <w:noWrap/>
            <w:vAlign w:val="bottom"/>
            <w:hideMark/>
          </w:tcPr>
          <w:p w14:paraId="020FFE8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60</w:t>
            </w:r>
          </w:p>
        </w:tc>
      </w:tr>
      <w:tr w:rsidR="00E16114" w:rsidRPr="007F6CB3" w14:paraId="282B9980" w14:textId="77777777" w:rsidTr="0026594F">
        <w:trPr>
          <w:trHeight w:val="300"/>
        </w:trPr>
        <w:tc>
          <w:tcPr>
            <w:tcW w:w="1720" w:type="dxa"/>
            <w:tcBorders>
              <w:top w:val="nil"/>
              <w:left w:val="nil"/>
              <w:bottom w:val="nil"/>
              <w:right w:val="nil"/>
            </w:tcBorders>
            <w:noWrap/>
            <w:vAlign w:val="bottom"/>
            <w:hideMark/>
          </w:tcPr>
          <w:p w14:paraId="37C7848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7C352A1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Underground pit</w:t>
            </w:r>
          </w:p>
        </w:tc>
        <w:tc>
          <w:tcPr>
            <w:tcW w:w="1480" w:type="dxa"/>
            <w:tcBorders>
              <w:top w:val="nil"/>
              <w:left w:val="nil"/>
              <w:bottom w:val="nil"/>
              <w:right w:val="nil"/>
            </w:tcBorders>
            <w:noWrap/>
            <w:vAlign w:val="bottom"/>
            <w:hideMark/>
          </w:tcPr>
          <w:p w14:paraId="1E9D249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1460" w:type="dxa"/>
            <w:tcBorders>
              <w:top w:val="nil"/>
              <w:left w:val="nil"/>
              <w:bottom w:val="nil"/>
              <w:right w:val="nil"/>
            </w:tcBorders>
            <w:noWrap/>
            <w:vAlign w:val="bottom"/>
            <w:hideMark/>
          </w:tcPr>
          <w:p w14:paraId="0D91026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640" w:type="dxa"/>
            <w:tcBorders>
              <w:top w:val="nil"/>
              <w:left w:val="nil"/>
              <w:bottom w:val="nil"/>
              <w:right w:val="nil"/>
            </w:tcBorders>
            <w:noWrap/>
            <w:vAlign w:val="bottom"/>
            <w:hideMark/>
          </w:tcPr>
          <w:p w14:paraId="0F17067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960" w:type="dxa"/>
            <w:tcBorders>
              <w:top w:val="nil"/>
              <w:left w:val="nil"/>
              <w:bottom w:val="nil"/>
              <w:right w:val="nil"/>
            </w:tcBorders>
            <w:noWrap/>
            <w:vAlign w:val="bottom"/>
            <w:hideMark/>
          </w:tcPr>
          <w:p w14:paraId="015EAD5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37</w:t>
            </w:r>
          </w:p>
        </w:tc>
      </w:tr>
      <w:tr w:rsidR="00E16114" w:rsidRPr="007F6CB3" w14:paraId="1A329549" w14:textId="77777777" w:rsidTr="0026594F">
        <w:trPr>
          <w:trHeight w:val="300"/>
        </w:trPr>
        <w:tc>
          <w:tcPr>
            <w:tcW w:w="1720" w:type="dxa"/>
            <w:tcBorders>
              <w:top w:val="nil"/>
              <w:left w:val="nil"/>
              <w:bottom w:val="nil"/>
              <w:right w:val="nil"/>
            </w:tcBorders>
            <w:noWrap/>
            <w:vAlign w:val="bottom"/>
            <w:hideMark/>
          </w:tcPr>
          <w:p w14:paraId="2BAC894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151A927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Open display</w:t>
            </w:r>
          </w:p>
        </w:tc>
        <w:tc>
          <w:tcPr>
            <w:tcW w:w="1480" w:type="dxa"/>
            <w:tcBorders>
              <w:top w:val="nil"/>
              <w:left w:val="nil"/>
              <w:bottom w:val="nil"/>
              <w:right w:val="nil"/>
            </w:tcBorders>
            <w:noWrap/>
            <w:vAlign w:val="bottom"/>
            <w:hideMark/>
          </w:tcPr>
          <w:p w14:paraId="3770B2A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10</w:t>
            </w:r>
          </w:p>
        </w:tc>
        <w:tc>
          <w:tcPr>
            <w:tcW w:w="1460" w:type="dxa"/>
            <w:tcBorders>
              <w:top w:val="nil"/>
              <w:left w:val="nil"/>
              <w:bottom w:val="nil"/>
              <w:right w:val="nil"/>
            </w:tcBorders>
            <w:noWrap/>
            <w:vAlign w:val="bottom"/>
            <w:hideMark/>
          </w:tcPr>
          <w:p w14:paraId="7981CE2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9</w:t>
            </w:r>
          </w:p>
        </w:tc>
        <w:tc>
          <w:tcPr>
            <w:tcW w:w="1640" w:type="dxa"/>
            <w:tcBorders>
              <w:top w:val="nil"/>
              <w:left w:val="nil"/>
              <w:bottom w:val="nil"/>
              <w:right w:val="nil"/>
            </w:tcBorders>
            <w:noWrap/>
            <w:vAlign w:val="bottom"/>
            <w:hideMark/>
          </w:tcPr>
          <w:p w14:paraId="03CF63E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10</w:t>
            </w:r>
          </w:p>
        </w:tc>
        <w:tc>
          <w:tcPr>
            <w:tcW w:w="960" w:type="dxa"/>
            <w:tcBorders>
              <w:top w:val="nil"/>
              <w:left w:val="nil"/>
              <w:bottom w:val="nil"/>
              <w:right w:val="nil"/>
            </w:tcBorders>
            <w:noWrap/>
            <w:vAlign w:val="bottom"/>
            <w:hideMark/>
          </w:tcPr>
          <w:p w14:paraId="46392A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r>
      <w:tr w:rsidR="00E16114" w:rsidRPr="007F6CB3" w14:paraId="43FD0094" w14:textId="77777777" w:rsidTr="0026594F">
        <w:trPr>
          <w:trHeight w:val="300"/>
        </w:trPr>
        <w:tc>
          <w:tcPr>
            <w:tcW w:w="1720" w:type="dxa"/>
            <w:tcBorders>
              <w:top w:val="nil"/>
              <w:left w:val="nil"/>
              <w:bottom w:val="nil"/>
              <w:right w:val="nil"/>
            </w:tcBorders>
            <w:noWrap/>
            <w:vAlign w:val="bottom"/>
            <w:hideMark/>
          </w:tcPr>
          <w:p w14:paraId="2195CA8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0A87F2B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w:t>
            </w:r>
          </w:p>
        </w:tc>
        <w:tc>
          <w:tcPr>
            <w:tcW w:w="1480" w:type="dxa"/>
            <w:tcBorders>
              <w:top w:val="nil"/>
              <w:left w:val="nil"/>
              <w:bottom w:val="nil"/>
              <w:right w:val="nil"/>
            </w:tcBorders>
            <w:noWrap/>
            <w:vAlign w:val="bottom"/>
            <w:hideMark/>
          </w:tcPr>
          <w:p w14:paraId="1C78180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53</w:t>
            </w:r>
          </w:p>
        </w:tc>
        <w:tc>
          <w:tcPr>
            <w:tcW w:w="1460" w:type="dxa"/>
            <w:tcBorders>
              <w:top w:val="nil"/>
              <w:left w:val="nil"/>
              <w:bottom w:val="nil"/>
              <w:right w:val="nil"/>
            </w:tcBorders>
            <w:noWrap/>
            <w:vAlign w:val="bottom"/>
            <w:hideMark/>
          </w:tcPr>
          <w:p w14:paraId="463D7B9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51</w:t>
            </w:r>
          </w:p>
        </w:tc>
        <w:tc>
          <w:tcPr>
            <w:tcW w:w="1640" w:type="dxa"/>
            <w:tcBorders>
              <w:top w:val="nil"/>
              <w:left w:val="nil"/>
              <w:bottom w:val="nil"/>
              <w:right w:val="nil"/>
            </w:tcBorders>
            <w:noWrap/>
            <w:vAlign w:val="bottom"/>
            <w:hideMark/>
          </w:tcPr>
          <w:p w14:paraId="3FBAFD3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50</w:t>
            </w:r>
          </w:p>
        </w:tc>
        <w:tc>
          <w:tcPr>
            <w:tcW w:w="960" w:type="dxa"/>
            <w:tcBorders>
              <w:top w:val="nil"/>
              <w:left w:val="nil"/>
              <w:bottom w:val="nil"/>
              <w:right w:val="nil"/>
            </w:tcBorders>
            <w:noWrap/>
            <w:vAlign w:val="bottom"/>
            <w:hideMark/>
          </w:tcPr>
          <w:p w14:paraId="038FF02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154</w:t>
            </w:r>
          </w:p>
        </w:tc>
      </w:tr>
      <w:tr w:rsidR="00E16114" w:rsidRPr="007F6CB3" w14:paraId="6B68EE32" w14:textId="77777777" w:rsidTr="0026594F">
        <w:trPr>
          <w:trHeight w:val="300"/>
        </w:trPr>
        <w:tc>
          <w:tcPr>
            <w:tcW w:w="1720" w:type="dxa"/>
            <w:tcBorders>
              <w:top w:val="nil"/>
              <w:left w:val="nil"/>
              <w:bottom w:val="nil"/>
              <w:right w:val="nil"/>
            </w:tcBorders>
            <w:noWrap/>
            <w:vAlign w:val="bottom"/>
            <w:hideMark/>
          </w:tcPr>
          <w:p w14:paraId="5C0C03A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53F43DD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Market</w:t>
            </w:r>
          </w:p>
        </w:tc>
        <w:tc>
          <w:tcPr>
            <w:tcW w:w="1480" w:type="dxa"/>
            <w:tcBorders>
              <w:top w:val="nil"/>
              <w:left w:val="nil"/>
              <w:bottom w:val="nil"/>
              <w:right w:val="nil"/>
            </w:tcBorders>
            <w:noWrap/>
            <w:vAlign w:val="bottom"/>
            <w:hideMark/>
          </w:tcPr>
          <w:p w14:paraId="5BF5085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c>
          <w:tcPr>
            <w:tcW w:w="1460" w:type="dxa"/>
            <w:tcBorders>
              <w:top w:val="nil"/>
              <w:left w:val="nil"/>
              <w:bottom w:val="nil"/>
              <w:right w:val="nil"/>
            </w:tcBorders>
            <w:noWrap/>
            <w:vAlign w:val="bottom"/>
            <w:hideMark/>
          </w:tcPr>
          <w:p w14:paraId="624EDEE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28</w:t>
            </w:r>
          </w:p>
        </w:tc>
        <w:tc>
          <w:tcPr>
            <w:tcW w:w="1640" w:type="dxa"/>
            <w:tcBorders>
              <w:top w:val="nil"/>
              <w:left w:val="nil"/>
              <w:bottom w:val="nil"/>
              <w:right w:val="nil"/>
            </w:tcBorders>
            <w:noWrap/>
            <w:vAlign w:val="bottom"/>
            <w:hideMark/>
          </w:tcPr>
          <w:p w14:paraId="06C94AB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30</w:t>
            </w:r>
          </w:p>
        </w:tc>
        <w:tc>
          <w:tcPr>
            <w:tcW w:w="960" w:type="dxa"/>
            <w:tcBorders>
              <w:top w:val="nil"/>
              <w:left w:val="nil"/>
              <w:bottom w:val="nil"/>
              <w:right w:val="nil"/>
            </w:tcBorders>
            <w:noWrap/>
            <w:vAlign w:val="bottom"/>
            <w:hideMark/>
          </w:tcPr>
          <w:p w14:paraId="7342F9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87</w:t>
            </w:r>
          </w:p>
        </w:tc>
      </w:tr>
      <w:tr w:rsidR="00E16114" w:rsidRPr="007F6CB3" w14:paraId="7E114813" w14:textId="77777777" w:rsidTr="0026594F">
        <w:trPr>
          <w:trHeight w:val="300"/>
        </w:trPr>
        <w:tc>
          <w:tcPr>
            <w:tcW w:w="1720" w:type="dxa"/>
            <w:tcBorders>
              <w:top w:val="nil"/>
              <w:left w:val="nil"/>
              <w:bottom w:val="nil"/>
              <w:right w:val="nil"/>
            </w:tcBorders>
            <w:noWrap/>
            <w:vAlign w:val="bottom"/>
            <w:hideMark/>
          </w:tcPr>
          <w:p w14:paraId="3386D53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56ADC1B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Transport</w:t>
            </w:r>
          </w:p>
        </w:tc>
        <w:tc>
          <w:tcPr>
            <w:tcW w:w="1480" w:type="dxa"/>
            <w:tcBorders>
              <w:top w:val="nil"/>
              <w:left w:val="nil"/>
              <w:bottom w:val="nil"/>
              <w:right w:val="nil"/>
            </w:tcBorders>
            <w:noWrap/>
            <w:vAlign w:val="bottom"/>
            <w:hideMark/>
          </w:tcPr>
          <w:p w14:paraId="62EC9E0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21</w:t>
            </w:r>
          </w:p>
        </w:tc>
        <w:tc>
          <w:tcPr>
            <w:tcW w:w="1460" w:type="dxa"/>
            <w:tcBorders>
              <w:top w:val="nil"/>
              <w:left w:val="nil"/>
              <w:bottom w:val="nil"/>
              <w:right w:val="nil"/>
            </w:tcBorders>
            <w:noWrap/>
            <w:vAlign w:val="bottom"/>
            <w:hideMark/>
          </w:tcPr>
          <w:p w14:paraId="2A7786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1640" w:type="dxa"/>
            <w:tcBorders>
              <w:top w:val="nil"/>
              <w:left w:val="nil"/>
              <w:bottom w:val="nil"/>
              <w:right w:val="nil"/>
            </w:tcBorders>
            <w:noWrap/>
            <w:vAlign w:val="bottom"/>
            <w:hideMark/>
          </w:tcPr>
          <w:p w14:paraId="4681F82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960" w:type="dxa"/>
            <w:tcBorders>
              <w:top w:val="nil"/>
              <w:left w:val="nil"/>
              <w:bottom w:val="nil"/>
              <w:right w:val="nil"/>
            </w:tcBorders>
            <w:noWrap/>
            <w:vAlign w:val="bottom"/>
            <w:hideMark/>
          </w:tcPr>
          <w:p w14:paraId="0319565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60</w:t>
            </w:r>
          </w:p>
        </w:tc>
      </w:tr>
      <w:tr w:rsidR="00E16114" w:rsidRPr="007F6CB3" w14:paraId="08D213C8" w14:textId="77777777" w:rsidTr="0026594F">
        <w:trPr>
          <w:trHeight w:val="300"/>
        </w:trPr>
        <w:tc>
          <w:tcPr>
            <w:tcW w:w="1720" w:type="dxa"/>
            <w:tcBorders>
              <w:top w:val="nil"/>
              <w:left w:val="nil"/>
              <w:bottom w:val="nil"/>
              <w:right w:val="nil"/>
            </w:tcBorders>
            <w:noWrap/>
            <w:vAlign w:val="bottom"/>
            <w:hideMark/>
          </w:tcPr>
          <w:p w14:paraId="7806FB4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3EE21B9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w:t>
            </w:r>
          </w:p>
        </w:tc>
        <w:tc>
          <w:tcPr>
            <w:tcW w:w="1480" w:type="dxa"/>
            <w:tcBorders>
              <w:top w:val="nil"/>
              <w:left w:val="nil"/>
              <w:bottom w:val="nil"/>
              <w:right w:val="nil"/>
            </w:tcBorders>
            <w:noWrap/>
            <w:vAlign w:val="bottom"/>
            <w:hideMark/>
          </w:tcPr>
          <w:p w14:paraId="03488E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16</w:t>
            </w:r>
          </w:p>
        </w:tc>
        <w:tc>
          <w:tcPr>
            <w:tcW w:w="1460" w:type="dxa"/>
            <w:tcBorders>
              <w:top w:val="nil"/>
              <w:left w:val="nil"/>
              <w:bottom w:val="nil"/>
              <w:right w:val="nil"/>
            </w:tcBorders>
            <w:noWrap/>
            <w:vAlign w:val="bottom"/>
            <w:hideMark/>
          </w:tcPr>
          <w:p w14:paraId="11A1C59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16</w:t>
            </w:r>
          </w:p>
        </w:tc>
        <w:tc>
          <w:tcPr>
            <w:tcW w:w="1640" w:type="dxa"/>
            <w:tcBorders>
              <w:top w:val="nil"/>
              <w:left w:val="nil"/>
              <w:bottom w:val="nil"/>
              <w:right w:val="nil"/>
            </w:tcBorders>
            <w:noWrap/>
            <w:vAlign w:val="bottom"/>
            <w:hideMark/>
          </w:tcPr>
          <w:p w14:paraId="06270C1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960" w:type="dxa"/>
            <w:tcBorders>
              <w:top w:val="nil"/>
              <w:left w:val="nil"/>
              <w:bottom w:val="nil"/>
              <w:right w:val="nil"/>
            </w:tcBorders>
            <w:noWrap/>
            <w:vAlign w:val="bottom"/>
            <w:hideMark/>
          </w:tcPr>
          <w:p w14:paraId="230819C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47</w:t>
            </w:r>
          </w:p>
        </w:tc>
      </w:tr>
    </w:tbl>
    <w:p w14:paraId="7E4D9860" w14:textId="77777777" w:rsidR="00E16114" w:rsidRPr="007F6CB3" w:rsidRDefault="00E16114" w:rsidP="00E16114">
      <w:pPr>
        <w:jc w:val="both"/>
        <w:rPr>
          <w:rFonts w:ascii="Times New Roman" w:hAnsi="Times New Roman" w:cs="Times New Roman"/>
          <w:sz w:val="24"/>
          <w:szCs w:val="24"/>
          <w:lang w:val="en-GB"/>
        </w:rPr>
      </w:pPr>
    </w:p>
    <w:p w14:paraId="01DB87FA" w14:textId="079D134C" w:rsidR="00E16114" w:rsidRPr="007F6CB3" w:rsidRDefault="00E16114" w:rsidP="00E16114">
      <w:pPr>
        <w:jc w:val="both"/>
        <w:rPr>
          <w:rFonts w:ascii="Times New Roman" w:hAnsi="Times New Roman" w:cs="Times New Roman"/>
          <w:b/>
          <w:bCs/>
          <w:sz w:val="24"/>
          <w:szCs w:val="24"/>
          <w:lang w:val="en"/>
        </w:rPr>
      </w:pPr>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7a</w:t>
      </w:r>
      <w:r w:rsidRPr="007F6CB3">
        <w:rPr>
          <w:rFonts w:ascii="Times New Roman" w:hAnsi="Times New Roman" w:cs="Times New Roman"/>
          <w:sz w:val="24"/>
          <w:szCs w:val="24"/>
          <w:lang w:val="en-GB"/>
        </w:rPr>
        <w:t xml:space="preserve">. </w:t>
      </w:r>
      <w:r w:rsidR="00C77BA2" w:rsidRPr="00C77BA2">
        <w:rPr>
          <w:rFonts w:ascii="Times New Roman" w:hAnsi="Times New Roman" w:cs="Times New Roman"/>
          <w:b/>
          <w:bCs/>
          <w:sz w:val="24"/>
          <w:szCs w:val="24"/>
          <w:lang w:val="en-GB"/>
        </w:rPr>
        <w:t>Percentage according to the</w:t>
      </w:r>
      <w:r w:rsidR="00C77BA2">
        <w:rPr>
          <w:rFonts w:ascii="Times New Roman" w:hAnsi="Times New Roman" w:cs="Times New Roman"/>
          <w:sz w:val="24"/>
          <w:szCs w:val="24"/>
          <w:lang w:val="en-GB"/>
        </w:rPr>
        <w:t xml:space="preserve"> </w:t>
      </w:r>
      <w:r w:rsidR="00C77BA2" w:rsidRPr="007F6CB3">
        <w:rPr>
          <w:rFonts w:ascii="Times New Roman" w:hAnsi="Times New Roman" w:cs="Times New Roman"/>
          <w:b/>
          <w:bCs/>
          <w:sz w:val="24"/>
          <w:szCs w:val="24"/>
        </w:rPr>
        <w:t>Harvest method</w:t>
      </w:r>
    </w:p>
    <w:tbl>
      <w:tblPr>
        <w:tblW w:w="8785" w:type="dxa"/>
        <w:tblCellSpacing w:w="15" w:type="dxa"/>
        <w:tblCellMar>
          <w:top w:w="15" w:type="dxa"/>
          <w:left w:w="15" w:type="dxa"/>
          <w:bottom w:w="15" w:type="dxa"/>
          <w:right w:w="15" w:type="dxa"/>
        </w:tblCellMar>
        <w:tblLook w:val="04A0" w:firstRow="1" w:lastRow="0" w:firstColumn="1" w:lastColumn="0" w:noHBand="0" w:noVBand="1"/>
      </w:tblPr>
      <w:tblGrid>
        <w:gridCol w:w="3793"/>
        <w:gridCol w:w="1320"/>
        <w:gridCol w:w="3672"/>
      </w:tblGrid>
      <w:tr w:rsidR="00E16114" w:rsidRPr="007F6CB3" w14:paraId="35BEE73B" w14:textId="77777777" w:rsidTr="0026594F">
        <w:trPr>
          <w:trHeight w:val="304"/>
          <w:tblHeader/>
          <w:tblCellSpacing w:w="15" w:type="dxa"/>
        </w:trPr>
        <w:tc>
          <w:tcPr>
            <w:tcW w:w="0" w:type="auto"/>
            <w:vAlign w:val="center"/>
            <w:hideMark/>
          </w:tcPr>
          <w:p w14:paraId="5DFC20E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Harvest method</w:t>
            </w:r>
          </w:p>
        </w:tc>
        <w:tc>
          <w:tcPr>
            <w:tcW w:w="0" w:type="auto"/>
            <w:vAlign w:val="center"/>
            <w:hideMark/>
          </w:tcPr>
          <w:p w14:paraId="2C87997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69171649"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481061B4" w14:textId="77777777" w:rsidTr="0026594F">
        <w:trPr>
          <w:trHeight w:val="319"/>
          <w:tblCellSpacing w:w="15" w:type="dxa"/>
        </w:trPr>
        <w:tc>
          <w:tcPr>
            <w:tcW w:w="0" w:type="auto"/>
            <w:vAlign w:val="center"/>
            <w:hideMark/>
          </w:tcPr>
          <w:p w14:paraId="77B98D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By hand</w:t>
            </w:r>
          </w:p>
        </w:tc>
        <w:tc>
          <w:tcPr>
            <w:tcW w:w="0" w:type="auto"/>
            <w:vAlign w:val="center"/>
            <w:hideMark/>
          </w:tcPr>
          <w:p w14:paraId="248234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205</w:t>
            </w:r>
          </w:p>
        </w:tc>
        <w:tc>
          <w:tcPr>
            <w:tcW w:w="0" w:type="auto"/>
            <w:vAlign w:val="center"/>
            <w:hideMark/>
          </w:tcPr>
          <w:p w14:paraId="3214190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58.1%</w:t>
            </w:r>
          </w:p>
        </w:tc>
      </w:tr>
      <w:tr w:rsidR="00E16114" w:rsidRPr="007F6CB3" w14:paraId="7DF87DF8" w14:textId="77777777" w:rsidTr="0026594F">
        <w:trPr>
          <w:trHeight w:val="304"/>
          <w:tblCellSpacing w:w="15" w:type="dxa"/>
        </w:trPr>
        <w:tc>
          <w:tcPr>
            <w:tcW w:w="0" w:type="auto"/>
            <w:vAlign w:val="center"/>
            <w:hideMark/>
          </w:tcPr>
          <w:p w14:paraId="3781198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With tools</w:t>
            </w:r>
          </w:p>
        </w:tc>
        <w:tc>
          <w:tcPr>
            <w:tcW w:w="0" w:type="auto"/>
            <w:vAlign w:val="center"/>
            <w:hideMark/>
          </w:tcPr>
          <w:p w14:paraId="6EBCE91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99</w:t>
            </w:r>
          </w:p>
        </w:tc>
        <w:tc>
          <w:tcPr>
            <w:tcW w:w="0" w:type="auto"/>
            <w:vAlign w:val="center"/>
            <w:hideMark/>
          </w:tcPr>
          <w:p w14:paraId="604624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28.1%</w:t>
            </w:r>
          </w:p>
        </w:tc>
      </w:tr>
      <w:tr w:rsidR="00E16114" w:rsidRPr="007F6CB3" w14:paraId="2E415115" w14:textId="77777777" w:rsidTr="0026594F">
        <w:trPr>
          <w:trHeight w:val="304"/>
          <w:tblCellSpacing w:w="15" w:type="dxa"/>
        </w:trPr>
        <w:tc>
          <w:tcPr>
            <w:tcW w:w="0" w:type="auto"/>
            <w:vAlign w:val="center"/>
            <w:hideMark/>
          </w:tcPr>
          <w:p w14:paraId="41057D7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Hired </w:t>
            </w:r>
            <w:proofErr w:type="spellStart"/>
            <w:r w:rsidRPr="007F6CB3">
              <w:rPr>
                <w:rFonts w:ascii="Times New Roman" w:hAnsi="Times New Roman" w:cs="Times New Roman"/>
                <w:sz w:val="24"/>
                <w:szCs w:val="24"/>
              </w:rPr>
              <w:t>labour</w:t>
            </w:r>
            <w:proofErr w:type="spellEnd"/>
          </w:p>
        </w:tc>
        <w:tc>
          <w:tcPr>
            <w:tcW w:w="0" w:type="auto"/>
            <w:vAlign w:val="center"/>
            <w:hideMark/>
          </w:tcPr>
          <w:p w14:paraId="0AAC21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44</w:t>
            </w:r>
          </w:p>
        </w:tc>
        <w:tc>
          <w:tcPr>
            <w:tcW w:w="0" w:type="auto"/>
            <w:vAlign w:val="center"/>
            <w:hideMark/>
          </w:tcPr>
          <w:p w14:paraId="089DF1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12.5%</w:t>
            </w:r>
          </w:p>
        </w:tc>
      </w:tr>
      <w:tr w:rsidR="00E16114" w:rsidRPr="007F6CB3" w14:paraId="67082604" w14:textId="77777777" w:rsidTr="0026594F">
        <w:trPr>
          <w:trHeight w:val="304"/>
          <w:tblCellSpacing w:w="15" w:type="dxa"/>
        </w:trPr>
        <w:tc>
          <w:tcPr>
            <w:tcW w:w="0" w:type="auto"/>
            <w:vAlign w:val="center"/>
            <w:hideMark/>
          </w:tcPr>
          <w:p w14:paraId="1AD0535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451B149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348</w:t>
            </w:r>
          </w:p>
        </w:tc>
        <w:tc>
          <w:tcPr>
            <w:tcW w:w="0" w:type="auto"/>
            <w:vAlign w:val="center"/>
            <w:hideMark/>
          </w:tcPr>
          <w:p w14:paraId="3AF1BD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100%</w:t>
            </w:r>
          </w:p>
        </w:tc>
      </w:tr>
    </w:tbl>
    <w:p w14:paraId="3EA7500E" w14:textId="77777777" w:rsidR="00E16114" w:rsidRPr="007F6CB3" w:rsidRDefault="00E16114" w:rsidP="00E16114">
      <w:pPr>
        <w:jc w:val="both"/>
        <w:rPr>
          <w:rFonts w:ascii="Times New Roman" w:hAnsi="Times New Roman" w:cs="Times New Roman"/>
          <w:b/>
          <w:bCs/>
          <w:sz w:val="24"/>
          <w:szCs w:val="24"/>
          <w:lang w:val="en"/>
        </w:rPr>
      </w:pPr>
    </w:p>
    <w:p w14:paraId="33B6F271" w14:textId="5F3A9A48" w:rsidR="00E16114" w:rsidRPr="00C77BA2" w:rsidRDefault="00E16114" w:rsidP="00E16114">
      <w:pPr>
        <w:jc w:val="both"/>
      </w:pPr>
      <w:r w:rsidRPr="007F6CB3">
        <w:rPr>
          <w:rFonts w:ascii="Times New Roman" w:hAnsi="Times New Roman" w:cs="Times New Roman"/>
          <w:b/>
          <w:bCs/>
          <w:sz w:val="24"/>
          <w:szCs w:val="24"/>
          <w:lang w:val="en"/>
        </w:rPr>
        <w:t xml:space="preserve">Table </w:t>
      </w:r>
      <w:r w:rsidR="007C1DB2">
        <w:rPr>
          <w:rFonts w:ascii="Times New Roman" w:hAnsi="Times New Roman" w:cs="Times New Roman"/>
          <w:b/>
          <w:bCs/>
          <w:sz w:val="24"/>
          <w:szCs w:val="24"/>
          <w:lang w:val="en"/>
        </w:rPr>
        <w:t>7b</w:t>
      </w:r>
      <w:r w:rsidR="00C77BA2">
        <w:t xml:space="preserve"> </w:t>
      </w:r>
      <w:r w:rsidR="00C77BA2" w:rsidRPr="00C77BA2">
        <w:rPr>
          <w:rFonts w:ascii="Times New Roman" w:hAnsi="Times New Roman" w:cs="Times New Roman"/>
          <w:b/>
          <w:bCs/>
          <w:sz w:val="24"/>
          <w:szCs w:val="24"/>
          <w:lang w:val="en-GB"/>
        </w:rPr>
        <w:t xml:space="preserve">Percentage according to </w:t>
      </w:r>
      <w:r w:rsidR="00C77BA2" w:rsidRPr="007F6CB3">
        <w:rPr>
          <w:rFonts w:ascii="Times New Roman" w:hAnsi="Times New Roman" w:cs="Times New Roman"/>
          <w:b/>
          <w:bCs/>
          <w:sz w:val="24"/>
          <w:szCs w:val="24"/>
        </w:rPr>
        <w:t>Storage method</w:t>
      </w:r>
    </w:p>
    <w:tbl>
      <w:tblPr>
        <w:tblW w:w="9078" w:type="dxa"/>
        <w:tblCellSpacing w:w="15" w:type="dxa"/>
        <w:tblCellMar>
          <w:top w:w="15" w:type="dxa"/>
          <w:left w:w="15" w:type="dxa"/>
          <w:bottom w:w="15" w:type="dxa"/>
          <w:right w:w="15" w:type="dxa"/>
        </w:tblCellMar>
        <w:tblLook w:val="04A0" w:firstRow="1" w:lastRow="0" w:firstColumn="1" w:lastColumn="0" w:noHBand="0" w:noVBand="1"/>
      </w:tblPr>
      <w:tblGrid>
        <w:gridCol w:w="3884"/>
        <w:gridCol w:w="1373"/>
        <w:gridCol w:w="3821"/>
      </w:tblGrid>
      <w:tr w:rsidR="00E16114" w:rsidRPr="007F6CB3" w14:paraId="54D1F802" w14:textId="77777777" w:rsidTr="0026594F">
        <w:trPr>
          <w:trHeight w:val="270"/>
          <w:tblHeader/>
          <w:tblCellSpacing w:w="15" w:type="dxa"/>
        </w:trPr>
        <w:tc>
          <w:tcPr>
            <w:tcW w:w="0" w:type="auto"/>
            <w:vAlign w:val="center"/>
            <w:hideMark/>
          </w:tcPr>
          <w:p w14:paraId="0C7FAC3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Storage method</w:t>
            </w:r>
          </w:p>
        </w:tc>
        <w:tc>
          <w:tcPr>
            <w:tcW w:w="0" w:type="auto"/>
            <w:vAlign w:val="center"/>
            <w:hideMark/>
          </w:tcPr>
          <w:p w14:paraId="18FED20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02CB85A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649C1462" w14:textId="77777777" w:rsidTr="0026594F">
        <w:trPr>
          <w:trHeight w:val="284"/>
          <w:tblCellSpacing w:w="15" w:type="dxa"/>
        </w:trPr>
        <w:tc>
          <w:tcPr>
            <w:tcW w:w="0" w:type="auto"/>
            <w:vAlign w:val="center"/>
            <w:hideMark/>
          </w:tcPr>
          <w:p w14:paraId="1624370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Sacks/Bags</w:t>
            </w:r>
          </w:p>
        </w:tc>
        <w:tc>
          <w:tcPr>
            <w:tcW w:w="0" w:type="auto"/>
            <w:vAlign w:val="center"/>
            <w:hideMark/>
          </w:tcPr>
          <w:p w14:paraId="065ED66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vAlign w:val="center"/>
            <w:hideMark/>
          </w:tcPr>
          <w:p w14:paraId="7F546B0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39.4%</w:t>
            </w:r>
          </w:p>
        </w:tc>
      </w:tr>
      <w:tr w:rsidR="00E16114" w:rsidRPr="007F6CB3" w14:paraId="5F03E4E4" w14:textId="77777777" w:rsidTr="0026594F">
        <w:trPr>
          <w:trHeight w:val="270"/>
          <w:tblCellSpacing w:w="15" w:type="dxa"/>
        </w:trPr>
        <w:tc>
          <w:tcPr>
            <w:tcW w:w="0" w:type="auto"/>
            <w:vAlign w:val="center"/>
            <w:hideMark/>
          </w:tcPr>
          <w:p w14:paraId="52C6F03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Barn storage</w:t>
            </w:r>
          </w:p>
        </w:tc>
        <w:tc>
          <w:tcPr>
            <w:tcW w:w="0" w:type="auto"/>
            <w:vAlign w:val="center"/>
            <w:hideMark/>
          </w:tcPr>
          <w:p w14:paraId="34F9FDB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84</w:t>
            </w:r>
          </w:p>
        </w:tc>
        <w:tc>
          <w:tcPr>
            <w:tcW w:w="0" w:type="auto"/>
            <w:vAlign w:val="center"/>
            <w:hideMark/>
          </w:tcPr>
          <w:p w14:paraId="758734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24.0%</w:t>
            </w:r>
          </w:p>
        </w:tc>
      </w:tr>
      <w:tr w:rsidR="00E16114" w:rsidRPr="007F6CB3" w14:paraId="5B8E52FE" w14:textId="77777777" w:rsidTr="0026594F">
        <w:trPr>
          <w:trHeight w:val="270"/>
          <w:tblCellSpacing w:w="15" w:type="dxa"/>
        </w:trPr>
        <w:tc>
          <w:tcPr>
            <w:tcW w:w="0" w:type="auto"/>
            <w:vAlign w:val="center"/>
            <w:hideMark/>
          </w:tcPr>
          <w:p w14:paraId="3370DA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Heap storage</w:t>
            </w:r>
          </w:p>
        </w:tc>
        <w:tc>
          <w:tcPr>
            <w:tcW w:w="0" w:type="auto"/>
            <w:vAlign w:val="center"/>
            <w:hideMark/>
          </w:tcPr>
          <w:p w14:paraId="0B6E673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w:t>
            </w:r>
          </w:p>
        </w:tc>
        <w:tc>
          <w:tcPr>
            <w:tcW w:w="0" w:type="auto"/>
            <w:vAlign w:val="center"/>
            <w:hideMark/>
          </w:tcPr>
          <w:p w14:paraId="257A2F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17.1%</w:t>
            </w:r>
          </w:p>
        </w:tc>
      </w:tr>
      <w:tr w:rsidR="00E16114" w:rsidRPr="007F6CB3" w14:paraId="7ACDFAA2" w14:textId="77777777" w:rsidTr="0026594F">
        <w:trPr>
          <w:trHeight w:val="270"/>
          <w:tblCellSpacing w:w="15" w:type="dxa"/>
        </w:trPr>
        <w:tc>
          <w:tcPr>
            <w:tcW w:w="0" w:type="auto"/>
            <w:vAlign w:val="center"/>
            <w:hideMark/>
          </w:tcPr>
          <w:p w14:paraId="7E12D2A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Underground pit</w:t>
            </w:r>
          </w:p>
        </w:tc>
        <w:tc>
          <w:tcPr>
            <w:tcW w:w="0" w:type="auto"/>
            <w:vAlign w:val="center"/>
            <w:hideMark/>
          </w:tcPr>
          <w:p w14:paraId="3329597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37</w:t>
            </w:r>
          </w:p>
        </w:tc>
        <w:tc>
          <w:tcPr>
            <w:tcW w:w="0" w:type="auto"/>
            <w:vAlign w:val="center"/>
            <w:hideMark/>
          </w:tcPr>
          <w:p w14:paraId="5459242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10.5%</w:t>
            </w:r>
          </w:p>
        </w:tc>
      </w:tr>
      <w:tr w:rsidR="00E16114" w:rsidRPr="007F6CB3" w14:paraId="4A9C6F1E" w14:textId="77777777" w:rsidTr="0026594F">
        <w:trPr>
          <w:trHeight w:val="284"/>
          <w:tblCellSpacing w:w="15" w:type="dxa"/>
        </w:trPr>
        <w:tc>
          <w:tcPr>
            <w:tcW w:w="0" w:type="auto"/>
            <w:vAlign w:val="center"/>
            <w:hideMark/>
          </w:tcPr>
          <w:p w14:paraId="4B1517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Open display</w:t>
            </w:r>
          </w:p>
        </w:tc>
        <w:tc>
          <w:tcPr>
            <w:tcW w:w="0" w:type="auto"/>
            <w:vAlign w:val="center"/>
            <w:hideMark/>
          </w:tcPr>
          <w:p w14:paraId="033B422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w:t>
            </w:r>
          </w:p>
        </w:tc>
        <w:tc>
          <w:tcPr>
            <w:tcW w:w="0" w:type="auto"/>
            <w:vAlign w:val="center"/>
            <w:hideMark/>
          </w:tcPr>
          <w:p w14:paraId="1365FCB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8.3%</w:t>
            </w:r>
          </w:p>
        </w:tc>
      </w:tr>
      <w:tr w:rsidR="00E16114" w:rsidRPr="007F6CB3" w14:paraId="72E55357" w14:textId="77777777" w:rsidTr="0026594F">
        <w:trPr>
          <w:trHeight w:val="270"/>
          <w:tblCellSpacing w:w="15" w:type="dxa"/>
        </w:trPr>
        <w:tc>
          <w:tcPr>
            <w:tcW w:w="0" w:type="auto"/>
            <w:vAlign w:val="center"/>
            <w:hideMark/>
          </w:tcPr>
          <w:p w14:paraId="6E5FA7B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66B10A5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348</w:t>
            </w:r>
          </w:p>
        </w:tc>
        <w:tc>
          <w:tcPr>
            <w:tcW w:w="0" w:type="auto"/>
            <w:vAlign w:val="center"/>
            <w:hideMark/>
          </w:tcPr>
          <w:p w14:paraId="30E5972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100%</w:t>
            </w:r>
          </w:p>
        </w:tc>
      </w:tr>
    </w:tbl>
    <w:p w14:paraId="62BB2112" w14:textId="77777777" w:rsidR="00E16114" w:rsidRPr="007F6CB3" w:rsidRDefault="00E16114" w:rsidP="00E16114">
      <w:pPr>
        <w:jc w:val="both"/>
        <w:rPr>
          <w:rFonts w:ascii="Times New Roman" w:hAnsi="Times New Roman" w:cs="Times New Roman"/>
          <w:b/>
          <w:bCs/>
          <w:sz w:val="24"/>
          <w:szCs w:val="24"/>
          <w:lang w:val="en"/>
        </w:rPr>
      </w:pPr>
    </w:p>
    <w:p w14:paraId="3FF0A21B" w14:textId="51DF06F3"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7c</w:t>
      </w:r>
      <w:r w:rsidRPr="007F6CB3">
        <w:rPr>
          <w:rFonts w:ascii="Times New Roman" w:hAnsi="Times New Roman" w:cs="Times New Roman"/>
          <w:sz w:val="24"/>
          <w:szCs w:val="24"/>
          <w:lang w:val="en-GB"/>
        </w:rPr>
        <w:t xml:space="preserve">. </w:t>
      </w:r>
      <w:r w:rsidR="00C77BA2" w:rsidRPr="00C77BA2">
        <w:rPr>
          <w:rFonts w:ascii="Times New Roman" w:hAnsi="Times New Roman" w:cs="Times New Roman"/>
          <w:b/>
          <w:bCs/>
          <w:sz w:val="24"/>
          <w:szCs w:val="24"/>
          <w:lang w:val="en-GB"/>
        </w:rPr>
        <w:t xml:space="preserve">Percentage according to </w:t>
      </w:r>
      <w:r w:rsidR="00C77BA2" w:rsidRPr="007F6CB3">
        <w:rPr>
          <w:rFonts w:ascii="Times New Roman" w:hAnsi="Times New Roman" w:cs="Times New Roman"/>
          <w:b/>
          <w:bCs/>
          <w:sz w:val="24"/>
          <w:szCs w:val="24"/>
        </w:rPr>
        <w:t>Rot stage</w:t>
      </w:r>
    </w:p>
    <w:tbl>
      <w:tblPr>
        <w:tblW w:w="8291" w:type="dxa"/>
        <w:tblCellSpacing w:w="15" w:type="dxa"/>
        <w:tblCellMar>
          <w:top w:w="15" w:type="dxa"/>
          <w:left w:w="15" w:type="dxa"/>
          <w:bottom w:w="15" w:type="dxa"/>
          <w:right w:w="15" w:type="dxa"/>
        </w:tblCellMar>
        <w:tblLook w:val="04A0" w:firstRow="1" w:lastRow="0" w:firstColumn="1" w:lastColumn="0" w:noHBand="0" w:noVBand="1"/>
      </w:tblPr>
      <w:tblGrid>
        <w:gridCol w:w="2570"/>
        <w:gridCol w:w="1511"/>
        <w:gridCol w:w="4210"/>
      </w:tblGrid>
      <w:tr w:rsidR="00E16114" w:rsidRPr="007F6CB3" w14:paraId="1AF01DA9" w14:textId="77777777" w:rsidTr="0026594F">
        <w:trPr>
          <w:trHeight w:val="316"/>
          <w:tblHeader/>
          <w:tblCellSpacing w:w="15" w:type="dxa"/>
        </w:trPr>
        <w:tc>
          <w:tcPr>
            <w:tcW w:w="0" w:type="auto"/>
            <w:vAlign w:val="center"/>
            <w:hideMark/>
          </w:tcPr>
          <w:p w14:paraId="0D87B53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Rot stage</w:t>
            </w:r>
          </w:p>
        </w:tc>
        <w:tc>
          <w:tcPr>
            <w:tcW w:w="0" w:type="auto"/>
            <w:vAlign w:val="center"/>
            <w:hideMark/>
          </w:tcPr>
          <w:p w14:paraId="2A4086F4"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08861569"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01B43BB7" w14:textId="77777777" w:rsidTr="0026594F">
        <w:trPr>
          <w:trHeight w:val="332"/>
          <w:tblCellSpacing w:w="15" w:type="dxa"/>
        </w:trPr>
        <w:tc>
          <w:tcPr>
            <w:tcW w:w="0" w:type="auto"/>
            <w:vAlign w:val="center"/>
            <w:hideMark/>
          </w:tcPr>
          <w:p w14:paraId="08AE9EE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Storage</w:t>
            </w:r>
          </w:p>
        </w:tc>
        <w:tc>
          <w:tcPr>
            <w:tcW w:w="0" w:type="auto"/>
            <w:vAlign w:val="center"/>
            <w:hideMark/>
          </w:tcPr>
          <w:p w14:paraId="2E13F5B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154</w:t>
            </w:r>
          </w:p>
        </w:tc>
        <w:tc>
          <w:tcPr>
            <w:tcW w:w="0" w:type="auto"/>
            <w:vAlign w:val="center"/>
            <w:hideMark/>
          </w:tcPr>
          <w:p w14:paraId="4EC549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44.3%</w:t>
            </w:r>
          </w:p>
        </w:tc>
      </w:tr>
      <w:tr w:rsidR="00E16114" w:rsidRPr="007F6CB3" w14:paraId="07E9098B" w14:textId="77777777" w:rsidTr="0026594F">
        <w:trPr>
          <w:trHeight w:val="316"/>
          <w:tblCellSpacing w:w="15" w:type="dxa"/>
        </w:trPr>
        <w:tc>
          <w:tcPr>
            <w:tcW w:w="0" w:type="auto"/>
            <w:vAlign w:val="center"/>
            <w:hideMark/>
          </w:tcPr>
          <w:p w14:paraId="7A6395E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Market</w:t>
            </w:r>
          </w:p>
        </w:tc>
        <w:tc>
          <w:tcPr>
            <w:tcW w:w="0" w:type="auto"/>
            <w:vAlign w:val="center"/>
            <w:hideMark/>
          </w:tcPr>
          <w:p w14:paraId="597B72A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87</w:t>
            </w:r>
          </w:p>
        </w:tc>
        <w:tc>
          <w:tcPr>
            <w:tcW w:w="0" w:type="auto"/>
            <w:vAlign w:val="center"/>
            <w:hideMark/>
          </w:tcPr>
          <w:p w14:paraId="6FEA3B1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25.0%</w:t>
            </w:r>
          </w:p>
        </w:tc>
      </w:tr>
      <w:tr w:rsidR="00E16114" w:rsidRPr="007F6CB3" w14:paraId="6C0C90A1" w14:textId="77777777" w:rsidTr="0026594F">
        <w:trPr>
          <w:trHeight w:val="316"/>
          <w:tblCellSpacing w:w="15" w:type="dxa"/>
        </w:trPr>
        <w:tc>
          <w:tcPr>
            <w:tcW w:w="0" w:type="auto"/>
            <w:vAlign w:val="center"/>
            <w:hideMark/>
          </w:tcPr>
          <w:p w14:paraId="121FD17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Transport</w:t>
            </w:r>
          </w:p>
        </w:tc>
        <w:tc>
          <w:tcPr>
            <w:tcW w:w="0" w:type="auto"/>
            <w:vAlign w:val="center"/>
            <w:hideMark/>
          </w:tcPr>
          <w:p w14:paraId="69B3B6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w:t>
            </w:r>
          </w:p>
        </w:tc>
        <w:tc>
          <w:tcPr>
            <w:tcW w:w="0" w:type="auto"/>
            <w:vAlign w:val="center"/>
            <w:hideMark/>
          </w:tcPr>
          <w:p w14:paraId="2E6822D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17.2%</w:t>
            </w:r>
          </w:p>
        </w:tc>
      </w:tr>
      <w:tr w:rsidR="00E16114" w:rsidRPr="007F6CB3" w14:paraId="0A3FC61D" w14:textId="77777777" w:rsidTr="0026594F">
        <w:trPr>
          <w:trHeight w:val="316"/>
          <w:tblCellSpacing w:w="15" w:type="dxa"/>
        </w:trPr>
        <w:tc>
          <w:tcPr>
            <w:tcW w:w="0" w:type="auto"/>
            <w:vAlign w:val="center"/>
            <w:hideMark/>
          </w:tcPr>
          <w:p w14:paraId="39154F2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Harvest</w:t>
            </w:r>
          </w:p>
        </w:tc>
        <w:tc>
          <w:tcPr>
            <w:tcW w:w="0" w:type="auto"/>
            <w:vAlign w:val="center"/>
            <w:hideMark/>
          </w:tcPr>
          <w:p w14:paraId="018941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47</w:t>
            </w:r>
          </w:p>
        </w:tc>
        <w:tc>
          <w:tcPr>
            <w:tcW w:w="0" w:type="auto"/>
            <w:vAlign w:val="center"/>
            <w:hideMark/>
          </w:tcPr>
          <w:p w14:paraId="09B545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13.5%</w:t>
            </w:r>
          </w:p>
        </w:tc>
      </w:tr>
      <w:tr w:rsidR="00E16114" w:rsidRPr="007F6CB3" w14:paraId="31E2B497" w14:textId="77777777" w:rsidTr="0026594F">
        <w:trPr>
          <w:trHeight w:val="332"/>
          <w:tblCellSpacing w:w="15" w:type="dxa"/>
        </w:trPr>
        <w:tc>
          <w:tcPr>
            <w:tcW w:w="0" w:type="auto"/>
            <w:vAlign w:val="center"/>
            <w:hideMark/>
          </w:tcPr>
          <w:p w14:paraId="4B9FFC9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3AA424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348</w:t>
            </w:r>
          </w:p>
        </w:tc>
        <w:tc>
          <w:tcPr>
            <w:tcW w:w="0" w:type="auto"/>
            <w:vAlign w:val="center"/>
            <w:hideMark/>
          </w:tcPr>
          <w:p w14:paraId="45BE55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100%</w:t>
            </w:r>
          </w:p>
        </w:tc>
      </w:tr>
    </w:tbl>
    <w:p w14:paraId="6136DB52" w14:textId="77777777" w:rsidR="00E16114" w:rsidRPr="007F6CB3" w:rsidRDefault="00E16114" w:rsidP="00E16114">
      <w:pPr>
        <w:jc w:val="both"/>
        <w:rPr>
          <w:rFonts w:ascii="Times New Roman" w:hAnsi="Times New Roman" w:cs="Times New Roman"/>
          <w:sz w:val="24"/>
          <w:szCs w:val="24"/>
          <w:lang w:val="en-GB"/>
        </w:rPr>
      </w:pPr>
    </w:p>
    <w:p w14:paraId="1088CA29" w14:textId="77777777" w:rsidR="00E16114" w:rsidRPr="007F6CB3" w:rsidRDefault="00E16114" w:rsidP="00E16114">
      <w:pPr>
        <w:jc w:val="both"/>
        <w:rPr>
          <w:rFonts w:ascii="Times New Roman" w:hAnsi="Times New Roman" w:cs="Times New Roman"/>
          <w:b/>
          <w:bCs/>
          <w:sz w:val="24"/>
          <w:szCs w:val="24"/>
        </w:rPr>
      </w:pPr>
      <w:bookmarkStart w:id="21" w:name="_Hlk221326138"/>
      <w:r w:rsidRPr="007F6CB3">
        <w:rPr>
          <w:rFonts w:ascii="Times New Roman" w:hAnsi="Times New Roman" w:cs="Times New Roman"/>
          <w:sz w:val="24"/>
          <w:szCs w:val="24"/>
        </w:rPr>
        <w:t xml:space="preserve">4.1.9. </w:t>
      </w:r>
      <w:r w:rsidRPr="007F6CB3">
        <w:rPr>
          <w:rFonts w:ascii="Times New Roman" w:hAnsi="Times New Roman" w:cs="Times New Roman"/>
          <w:b/>
          <w:bCs/>
          <w:sz w:val="24"/>
          <w:szCs w:val="24"/>
        </w:rPr>
        <w:t>Conservation of Sweet Potato</w:t>
      </w:r>
    </w:p>
    <w:p w14:paraId="6AC0338D" w14:textId="77777777" w:rsidR="00E16114" w:rsidRPr="007F6CB3" w:rsidRDefault="00E16114" w:rsidP="00E16114">
      <w:pPr>
        <w:jc w:val="both"/>
        <w:rPr>
          <w:rFonts w:ascii="Times New Roman" w:hAnsi="Times New Roman" w:cs="Times New Roman"/>
          <w:b/>
          <w:bCs/>
          <w:sz w:val="24"/>
          <w:szCs w:val="24"/>
        </w:rPr>
      </w:pPr>
    </w:p>
    <w:bookmarkEnd w:id="21"/>
    <w:p w14:paraId="6A868BF3"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Results on conservation practices showed that some respondents employed traditional methods to preserve sweet potato and planting materials, while others lacked effective preservation techniques. Factors affecting preservation included humidity, insect attack, poor storage facilities, and inadequate technical knowledge.</w:t>
      </w:r>
    </w:p>
    <w:p w14:paraId="46B3E06A"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Results from Table 8 indicate that over half of the respondents (56.3%) employed traditional preservation methods, while 65.0% retained planting materials (vines) for subsequent planting seasons.</w:t>
      </w:r>
    </w:p>
    <w:p w14:paraId="7DB51500"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The major factors affecting preservation were humidity (31.9%) and insect attack (28.4%), followed by poor storage facilities (24.1%). These factors create </w:t>
      </w:r>
      <w:proofErr w:type="spellStart"/>
      <w:r w:rsidRPr="007F6CB3">
        <w:rPr>
          <w:rFonts w:ascii="Times New Roman" w:hAnsi="Times New Roman" w:cs="Times New Roman"/>
          <w:sz w:val="24"/>
          <w:szCs w:val="24"/>
          <w:lang w:val="en-GB"/>
        </w:rPr>
        <w:t>favorable</w:t>
      </w:r>
      <w:proofErr w:type="spellEnd"/>
      <w:r w:rsidRPr="007F6CB3">
        <w:rPr>
          <w:rFonts w:ascii="Times New Roman" w:hAnsi="Times New Roman" w:cs="Times New Roman"/>
          <w:sz w:val="24"/>
          <w:szCs w:val="24"/>
          <w:lang w:val="en-GB"/>
        </w:rPr>
        <w:t xml:space="preserve"> conditions for fungal and bacterial spoilage, emphasizing the need for improved storage and preservation technologies.</w:t>
      </w:r>
    </w:p>
    <w:p w14:paraId="26F3A0AE" w14:textId="77777777" w:rsidR="00E16114" w:rsidRPr="007F6CB3" w:rsidRDefault="00E16114" w:rsidP="00E16114">
      <w:pPr>
        <w:jc w:val="both"/>
        <w:rPr>
          <w:rFonts w:ascii="Times New Roman" w:hAnsi="Times New Roman" w:cs="Times New Roman"/>
          <w:sz w:val="24"/>
          <w:szCs w:val="24"/>
        </w:rPr>
      </w:pPr>
    </w:p>
    <w:p w14:paraId="6B67FA77" w14:textId="77777777" w:rsidR="00E16114" w:rsidRPr="007F6CB3" w:rsidRDefault="00E16114" w:rsidP="00E16114">
      <w:pPr>
        <w:jc w:val="both"/>
        <w:rPr>
          <w:rFonts w:ascii="Times New Roman" w:hAnsi="Times New Roman" w:cs="Times New Roman"/>
          <w:sz w:val="24"/>
          <w:szCs w:val="24"/>
        </w:rPr>
      </w:pPr>
    </w:p>
    <w:p w14:paraId="0F009D78" w14:textId="77777777" w:rsidR="00E16114" w:rsidRPr="007F6CB3" w:rsidRDefault="00E16114" w:rsidP="00E16114">
      <w:pPr>
        <w:jc w:val="both"/>
        <w:rPr>
          <w:rFonts w:ascii="Times New Roman" w:hAnsi="Times New Roman" w:cs="Times New Roman"/>
          <w:sz w:val="24"/>
          <w:szCs w:val="24"/>
        </w:rPr>
      </w:pPr>
    </w:p>
    <w:p w14:paraId="25A5D059" w14:textId="226503B7" w:rsidR="00E16114" w:rsidRPr="007F6CB3" w:rsidRDefault="00E16114" w:rsidP="00E16114">
      <w:pPr>
        <w:jc w:val="both"/>
        <w:rPr>
          <w:rFonts w:ascii="Times New Roman" w:hAnsi="Times New Roman" w:cs="Times New Roman"/>
          <w:sz w:val="24"/>
          <w:szCs w:val="24"/>
        </w:rPr>
      </w:pPr>
      <w:bookmarkStart w:id="22" w:name="_Hlk221326199"/>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8</w:t>
      </w:r>
      <w:r w:rsidRPr="007F6CB3">
        <w:rPr>
          <w:rFonts w:ascii="Times New Roman" w:hAnsi="Times New Roman" w:cs="Times New Roman"/>
          <w:sz w:val="24"/>
          <w:szCs w:val="24"/>
        </w:rPr>
        <w:t xml:space="preserve">: </w:t>
      </w:r>
      <w:r w:rsidRPr="007F6CB3">
        <w:rPr>
          <w:rFonts w:ascii="Times New Roman" w:hAnsi="Times New Roman" w:cs="Times New Roman"/>
          <w:b/>
          <w:bCs/>
          <w:sz w:val="24"/>
          <w:szCs w:val="24"/>
        </w:rPr>
        <w:t>Conservation of Sweet Potato</w:t>
      </w:r>
      <w:bookmarkEnd w:id="2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1655"/>
        <w:gridCol w:w="1502"/>
        <w:gridCol w:w="1494"/>
        <w:gridCol w:w="1620"/>
        <w:gridCol w:w="1060"/>
      </w:tblGrid>
      <w:tr w:rsidR="00E16114" w:rsidRPr="007F6CB3" w14:paraId="7F2CAFF7" w14:textId="77777777" w:rsidTr="0026594F">
        <w:trPr>
          <w:tblHeader/>
          <w:tblCellSpacing w:w="15" w:type="dxa"/>
        </w:trPr>
        <w:tc>
          <w:tcPr>
            <w:tcW w:w="0" w:type="auto"/>
            <w:vAlign w:val="center"/>
            <w:hideMark/>
          </w:tcPr>
          <w:p w14:paraId="6536B24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Variable</w:t>
            </w:r>
          </w:p>
        </w:tc>
        <w:tc>
          <w:tcPr>
            <w:tcW w:w="0" w:type="auto"/>
            <w:vAlign w:val="center"/>
            <w:hideMark/>
          </w:tcPr>
          <w:p w14:paraId="7E636194"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Category</w:t>
            </w:r>
          </w:p>
        </w:tc>
        <w:tc>
          <w:tcPr>
            <w:tcW w:w="0" w:type="auto"/>
            <w:vAlign w:val="center"/>
            <w:hideMark/>
          </w:tcPr>
          <w:p w14:paraId="45A365A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North</w:t>
            </w:r>
          </w:p>
        </w:tc>
        <w:tc>
          <w:tcPr>
            <w:tcW w:w="0" w:type="auto"/>
            <w:vAlign w:val="center"/>
            <w:hideMark/>
          </w:tcPr>
          <w:p w14:paraId="287F66F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South</w:t>
            </w:r>
          </w:p>
        </w:tc>
        <w:tc>
          <w:tcPr>
            <w:tcW w:w="0" w:type="auto"/>
            <w:vAlign w:val="center"/>
            <w:hideMark/>
          </w:tcPr>
          <w:p w14:paraId="3A9D435B"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Central</w:t>
            </w:r>
          </w:p>
        </w:tc>
        <w:tc>
          <w:tcPr>
            <w:tcW w:w="0" w:type="auto"/>
            <w:vAlign w:val="center"/>
            <w:hideMark/>
          </w:tcPr>
          <w:p w14:paraId="3E2DD40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 (%)</w:t>
            </w:r>
          </w:p>
        </w:tc>
      </w:tr>
      <w:tr w:rsidR="00E16114" w:rsidRPr="007F6CB3" w14:paraId="385E0969" w14:textId="77777777" w:rsidTr="0026594F">
        <w:trPr>
          <w:tblCellSpacing w:w="15" w:type="dxa"/>
        </w:trPr>
        <w:tc>
          <w:tcPr>
            <w:tcW w:w="0" w:type="auto"/>
            <w:vAlign w:val="center"/>
            <w:hideMark/>
          </w:tcPr>
          <w:p w14:paraId="70678E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Traditional preservation</w:t>
            </w:r>
          </w:p>
        </w:tc>
        <w:tc>
          <w:tcPr>
            <w:tcW w:w="0" w:type="auto"/>
            <w:vAlign w:val="center"/>
            <w:hideMark/>
          </w:tcPr>
          <w:p w14:paraId="4FC8AF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vAlign w:val="center"/>
            <w:hideMark/>
          </w:tcPr>
          <w:p w14:paraId="610466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67</w:t>
            </w:r>
          </w:p>
        </w:tc>
        <w:tc>
          <w:tcPr>
            <w:tcW w:w="0" w:type="auto"/>
            <w:vAlign w:val="center"/>
            <w:hideMark/>
          </w:tcPr>
          <w:p w14:paraId="00CFD88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65</w:t>
            </w:r>
          </w:p>
        </w:tc>
        <w:tc>
          <w:tcPr>
            <w:tcW w:w="0" w:type="auto"/>
            <w:vAlign w:val="center"/>
            <w:hideMark/>
          </w:tcPr>
          <w:p w14:paraId="40B1D41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64</w:t>
            </w:r>
          </w:p>
        </w:tc>
        <w:tc>
          <w:tcPr>
            <w:tcW w:w="0" w:type="auto"/>
            <w:vAlign w:val="center"/>
            <w:hideMark/>
          </w:tcPr>
          <w:p w14:paraId="01230A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196(56.3)</w:t>
            </w:r>
          </w:p>
        </w:tc>
      </w:tr>
      <w:tr w:rsidR="00E16114" w:rsidRPr="007F6CB3" w14:paraId="085DF897" w14:textId="77777777" w:rsidTr="0026594F">
        <w:trPr>
          <w:tblCellSpacing w:w="15" w:type="dxa"/>
        </w:trPr>
        <w:tc>
          <w:tcPr>
            <w:tcW w:w="0" w:type="auto"/>
            <w:vAlign w:val="center"/>
            <w:hideMark/>
          </w:tcPr>
          <w:p w14:paraId="0A9BC436"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14C2FA0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vAlign w:val="center"/>
            <w:hideMark/>
          </w:tcPr>
          <w:p w14:paraId="16FD96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w:t>
            </w:r>
          </w:p>
        </w:tc>
        <w:tc>
          <w:tcPr>
            <w:tcW w:w="0" w:type="auto"/>
            <w:vAlign w:val="center"/>
            <w:hideMark/>
          </w:tcPr>
          <w:p w14:paraId="19776E2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w:t>
            </w:r>
          </w:p>
        </w:tc>
        <w:tc>
          <w:tcPr>
            <w:tcW w:w="0" w:type="auto"/>
            <w:vAlign w:val="center"/>
            <w:hideMark/>
          </w:tcPr>
          <w:p w14:paraId="15C9A94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w:t>
            </w:r>
          </w:p>
        </w:tc>
        <w:tc>
          <w:tcPr>
            <w:tcW w:w="0" w:type="auto"/>
            <w:vAlign w:val="center"/>
            <w:hideMark/>
          </w:tcPr>
          <w:p w14:paraId="7470043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152(43.7)</w:t>
            </w:r>
          </w:p>
        </w:tc>
      </w:tr>
      <w:tr w:rsidR="00E16114" w:rsidRPr="007F6CB3" w14:paraId="10AEA20C" w14:textId="77777777" w:rsidTr="0026594F">
        <w:trPr>
          <w:tblCellSpacing w:w="15" w:type="dxa"/>
        </w:trPr>
        <w:tc>
          <w:tcPr>
            <w:tcW w:w="0" w:type="auto"/>
            <w:vAlign w:val="center"/>
            <w:hideMark/>
          </w:tcPr>
          <w:p w14:paraId="181667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Vine retention</w:t>
            </w:r>
          </w:p>
        </w:tc>
        <w:tc>
          <w:tcPr>
            <w:tcW w:w="0" w:type="auto"/>
            <w:vAlign w:val="center"/>
            <w:hideMark/>
          </w:tcPr>
          <w:p w14:paraId="2E83535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vAlign w:val="center"/>
            <w:hideMark/>
          </w:tcPr>
          <w:p w14:paraId="7F213C0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78</w:t>
            </w:r>
          </w:p>
        </w:tc>
        <w:tc>
          <w:tcPr>
            <w:tcW w:w="0" w:type="auto"/>
            <w:vAlign w:val="center"/>
            <w:hideMark/>
          </w:tcPr>
          <w:p w14:paraId="3909737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75</w:t>
            </w:r>
          </w:p>
        </w:tc>
        <w:tc>
          <w:tcPr>
            <w:tcW w:w="0" w:type="auto"/>
            <w:vAlign w:val="center"/>
            <w:hideMark/>
          </w:tcPr>
          <w:p w14:paraId="3A9FBE0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73</w:t>
            </w:r>
          </w:p>
        </w:tc>
        <w:tc>
          <w:tcPr>
            <w:tcW w:w="0" w:type="auto"/>
            <w:vAlign w:val="center"/>
            <w:hideMark/>
          </w:tcPr>
          <w:p w14:paraId="1D48E6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226(65.0)</w:t>
            </w:r>
          </w:p>
        </w:tc>
      </w:tr>
      <w:tr w:rsidR="00E16114" w:rsidRPr="007F6CB3" w14:paraId="1D331444" w14:textId="77777777" w:rsidTr="0026594F">
        <w:trPr>
          <w:tblCellSpacing w:w="15" w:type="dxa"/>
        </w:trPr>
        <w:tc>
          <w:tcPr>
            <w:tcW w:w="0" w:type="auto"/>
            <w:vAlign w:val="center"/>
            <w:hideMark/>
          </w:tcPr>
          <w:p w14:paraId="168B5C9C"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7B6C93A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vAlign w:val="center"/>
            <w:hideMark/>
          </w:tcPr>
          <w:p w14:paraId="0F6861D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41</w:t>
            </w:r>
          </w:p>
        </w:tc>
        <w:tc>
          <w:tcPr>
            <w:tcW w:w="0" w:type="auto"/>
            <w:vAlign w:val="center"/>
            <w:hideMark/>
          </w:tcPr>
          <w:p w14:paraId="327EC46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40</w:t>
            </w:r>
          </w:p>
        </w:tc>
        <w:tc>
          <w:tcPr>
            <w:tcW w:w="0" w:type="auto"/>
            <w:vAlign w:val="center"/>
            <w:hideMark/>
          </w:tcPr>
          <w:p w14:paraId="4442A0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41</w:t>
            </w:r>
          </w:p>
        </w:tc>
        <w:tc>
          <w:tcPr>
            <w:tcW w:w="0" w:type="auto"/>
            <w:vAlign w:val="center"/>
            <w:hideMark/>
          </w:tcPr>
          <w:p w14:paraId="4B1FC77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122(35.0)</w:t>
            </w:r>
          </w:p>
        </w:tc>
      </w:tr>
      <w:tr w:rsidR="00E16114" w:rsidRPr="007F6CB3" w14:paraId="612825B0" w14:textId="77777777" w:rsidTr="0026594F">
        <w:trPr>
          <w:tblCellSpacing w:w="15" w:type="dxa"/>
        </w:trPr>
        <w:tc>
          <w:tcPr>
            <w:tcW w:w="0" w:type="auto"/>
            <w:vAlign w:val="center"/>
            <w:hideMark/>
          </w:tcPr>
          <w:p w14:paraId="4B9D42D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Preservation factors</w:t>
            </w:r>
          </w:p>
        </w:tc>
        <w:tc>
          <w:tcPr>
            <w:tcW w:w="0" w:type="auto"/>
            <w:vAlign w:val="center"/>
            <w:hideMark/>
          </w:tcPr>
          <w:p w14:paraId="6B1A905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Humidity</w:t>
            </w:r>
          </w:p>
        </w:tc>
        <w:tc>
          <w:tcPr>
            <w:tcW w:w="0" w:type="auto"/>
            <w:vAlign w:val="center"/>
            <w:hideMark/>
          </w:tcPr>
          <w:p w14:paraId="752050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38</w:t>
            </w:r>
          </w:p>
        </w:tc>
        <w:tc>
          <w:tcPr>
            <w:tcW w:w="0" w:type="auto"/>
            <w:vAlign w:val="center"/>
            <w:hideMark/>
          </w:tcPr>
          <w:p w14:paraId="73AC7CC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36</w:t>
            </w:r>
          </w:p>
        </w:tc>
        <w:tc>
          <w:tcPr>
            <w:tcW w:w="0" w:type="auto"/>
            <w:vAlign w:val="center"/>
            <w:hideMark/>
          </w:tcPr>
          <w:p w14:paraId="3B3AFD9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37</w:t>
            </w:r>
          </w:p>
        </w:tc>
        <w:tc>
          <w:tcPr>
            <w:tcW w:w="0" w:type="auto"/>
            <w:vAlign w:val="center"/>
            <w:hideMark/>
          </w:tcPr>
          <w:p w14:paraId="611E441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111(31.9)</w:t>
            </w:r>
          </w:p>
        </w:tc>
      </w:tr>
      <w:tr w:rsidR="00E16114" w:rsidRPr="007F6CB3" w14:paraId="750B7B4D" w14:textId="77777777" w:rsidTr="0026594F">
        <w:trPr>
          <w:tblCellSpacing w:w="15" w:type="dxa"/>
        </w:trPr>
        <w:tc>
          <w:tcPr>
            <w:tcW w:w="0" w:type="auto"/>
            <w:vAlign w:val="center"/>
            <w:hideMark/>
          </w:tcPr>
          <w:p w14:paraId="5C3AB544"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5348D3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Insect attack</w:t>
            </w:r>
          </w:p>
        </w:tc>
        <w:tc>
          <w:tcPr>
            <w:tcW w:w="0" w:type="auto"/>
            <w:vAlign w:val="center"/>
            <w:hideMark/>
          </w:tcPr>
          <w:p w14:paraId="2BF476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w:t>
            </w:r>
          </w:p>
        </w:tc>
        <w:tc>
          <w:tcPr>
            <w:tcW w:w="0" w:type="auto"/>
            <w:vAlign w:val="center"/>
            <w:hideMark/>
          </w:tcPr>
          <w:p w14:paraId="5C7EE5D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w:t>
            </w:r>
          </w:p>
        </w:tc>
        <w:tc>
          <w:tcPr>
            <w:tcW w:w="0" w:type="auto"/>
            <w:vAlign w:val="center"/>
            <w:hideMark/>
          </w:tcPr>
          <w:p w14:paraId="0B4593D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32</w:t>
            </w:r>
          </w:p>
        </w:tc>
        <w:tc>
          <w:tcPr>
            <w:tcW w:w="0" w:type="auto"/>
            <w:vAlign w:val="center"/>
            <w:hideMark/>
          </w:tcPr>
          <w:p w14:paraId="0744CA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99 (28.4)</w:t>
            </w:r>
          </w:p>
        </w:tc>
      </w:tr>
      <w:tr w:rsidR="00E16114" w:rsidRPr="007F6CB3" w14:paraId="724FCE48" w14:textId="77777777" w:rsidTr="0026594F">
        <w:trPr>
          <w:tblCellSpacing w:w="15" w:type="dxa"/>
        </w:trPr>
        <w:tc>
          <w:tcPr>
            <w:tcW w:w="0" w:type="auto"/>
            <w:vAlign w:val="center"/>
            <w:hideMark/>
          </w:tcPr>
          <w:p w14:paraId="548629F7"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3A04BF4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Poor storage</w:t>
            </w:r>
          </w:p>
        </w:tc>
        <w:tc>
          <w:tcPr>
            <w:tcW w:w="0" w:type="auto"/>
            <w:vAlign w:val="center"/>
            <w:hideMark/>
          </w:tcPr>
          <w:p w14:paraId="632AB26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w:t>
            </w:r>
          </w:p>
        </w:tc>
        <w:tc>
          <w:tcPr>
            <w:tcW w:w="0" w:type="auto"/>
            <w:vAlign w:val="center"/>
            <w:hideMark/>
          </w:tcPr>
          <w:p w14:paraId="780AE85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28</w:t>
            </w:r>
          </w:p>
        </w:tc>
        <w:tc>
          <w:tcPr>
            <w:tcW w:w="0" w:type="auto"/>
            <w:vAlign w:val="center"/>
            <w:hideMark/>
          </w:tcPr>
          <w:p w14:paraId="557F4F8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w:t>
            </w:r>
          </w:p>
        </w:tc>
        <w:tc>
          <w:tcPr>
            <w:tcW w:w="0" w:type="auto"/>
            <w:vAlign w:val="center"/>
            <w:hideMark/>
          </w:tcPr>
          <w:p w14:paraId="101AE1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84 (24.1)</w:t>
            </w:r>
          </w:p>
        </w:tc>
      </w:tr>
      <w:tr w:rsidR="00E16114" w:rsidRPr="007F6CB3" w14:paraId="0EF70E4A" w14:textId="77777777" w:rsidTr="0026594F">
        <w:trPr>
          <w:tblCellSpacing w:w="15" w:type="dxa"/>
        </w:trPr>
        <w:tc>
          <w:tcPr>
            <w:tcW w:w="0" w:type="auto"/>
            <w:vAlign w:val="center"/>
            <w:hideMark/>
          </w:tcPr>
          <w:p w14:paraId="7AA9A1B4"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58AD78D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Lack of knowledge</w:t>
            </w:r>
          </w:p>
        </w:tc>
        <w:tc>
          <w:tcPr>
            <w:tcW w:w="0" w:type="auto"/>
            <w:vAlign w:val="center"/>
            <w:hideMark/>
          </w:tcPr>
          <w:p w14:paraId="1201B31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66402A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46B71C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79CED6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54 (15.5)</w:t>
            </w:r>
          </w:p>
        </w:tc>
      </w:tr>
    </w:tbl>
    <w:p w14:paraId="36EBE4B5" w14:textId="77777777" w:rsidR="00E16114" w:rsidRPr="007F6CB3" w:rsidRDefault="00E16114" w:rsidP="00E16114">
      <w:pPr>
        <w:jc w:val="both"/>
        <w:rPr>
          <w:rFonts w:ascii="Times New Roman" w:hAnsi="Times New Roman" w:cs="Times New Roman"/>
          <w:sz w:val="24"/>
          <w:szCs w:val="24"/>
        </w:rPr>
      </w:pPr>
    </w:p>
    <w:p w14:paraId="12B1B399" w14:textId="77777777" w:rsidR="00E16114" w:rsidRPr="007F6CB3" w:rsidRDefault="00E16114" w:rsidP="00E16114">
      <w:pPr>
        <w:jc w:val="both"/>
        <w:rPr>
          <w:rFonts w:ascii="Times New Roman" w:hAnsi="Times New Roman" w:cs="Times New Roman"/>
          <w:sz w:val="24"/>
          <w:szCs w:val="24"/>
        </w:rPr>
      </w:pPr>
    </w:p>
    <w:p w14:paraId="46439EC4" w14:textId="77777777" w:rsidR="00E16114" w:rsidRPr="007F6CB3" w:rsidRDefault="00E16114" w:rsidP="00E16114">
      <w:pPr>
        <w:jc w:val="both"/>
        <w:rPr>
          <w:rFonts w:ascii="Times New Roman" w:hAnsi="Times New Roman" w:cs="Times New Roman"/>
          <w:sz w:val="24"/>
          <w:szCs w:val="24"/>
        </w:rPr>
      </w:pPr>
    </w:p>
    <w:p w14:paraId="2B2EA929" w14:textId="77777777" w:rsidR="00E16114" w:rsidRPr="007F6CB3" w:rsidRDefault="00E16114" w:rsidP="00E16114">
      <w:pPr>
        <w:jc w:val="both"/>
        <w:rPr>
          <w:rFonts w:ascii="Times New Roman" w:hAnsi="Times New Roman" w:cs="Times New Roman"/>
          <w:sz w:val="24"/>
          <w:szCs w:val="24"/>
        </w:rPr>
      </w:pPr>
    </w:p>
    <w:p w14:paraId="381C4936" w14:textId="77777777" w:rsidR="00E16114" w:rsidRPr="007F6CB3" w:rsidRDefault="00E16114" w:rsidP="00E16114">
      <w:pPr>
        <w:jc w:val="both"/>
        <w:rPr>
          <w:rFonts w:ascii="Times New Roman" w:hAnsi="Times New Roman" w:cs="Times New Roman"/>
          <w:b/>
          <w:bCs/>
          <w:sz w:val="24"/>
          <w:szCs w:val="24"/>
        </w:rPr>
      </w:pPr>
      <w:bookmarkStart w:id="23" w:name="_Hlk221326293"/>
      <w:r w:rsidRPr="007F6CB3">
        <w:rPr>
          <w:rFonts w:ascii="Times New Roman" w:hAnsi="Times New Roman" w:cs="Times New Roman"/>
          <w:sz w:val="24"/>
          <w:szCs w:val="24"/>
        </w:rPr>
        <w:t xml:space="preserve">4.1.10. </w:t>
      </w:r>
      <w:r w:rsidRPr="007F6CB3">
        <w:rPr>
          <w:rFonts w:ascii="Times New Roman" w:hAnsi="Times New Roman" w:cs="Times New Roman"/>
          <w:b/>
          <w:bCs/>
          <w:sz w:val="24"/>
          <w:szCs w:val="24"/>
        </w:rPr>
        <w:t>Ethno-Botanical and Socio-Cultural Importance</w:t>
      </w:r>
    </w:p>
    <w:p w14:paraId="303162C0" w14:textId="77777777" w:rsidR="00E16114" w:rsidRPr="007F6CB3" w:rsidRDefault="00E16114" w:rsidP="00E16114">
      <w:pPr>
        <w:jc w:val="both"/>
        <w:rPr>
          <w:rFonts w:ascii="Times New Roman" w:hAnsi="Times New Roman" w:cs="Times New Roman"/>
          <w:b/>
          <w:bCs/>
          <w:sz w:val="24"/>
          <w:szCs w:val="24"/>
        </w:rPr>
      </w:pPr>
    </w:p>
    <w:p w14:paraId="71A63A30" w14:textId="7FF6B336" w:rsidR="00E16114" w:rsidRPr="007F6CB3" w:rsidRDefault="00E16114" w:rsidP="00E16114">
      <w:pPr>
        <w:jc w:val="both"/>
        <w:rPr>
          <w:rFonts w:ascii="Times New Roman" w:hAnsi="Times New Roman" w:cs="Times New Roman"/>
          <w:b/>
          <w:bCs/>
          <w:sz w:val="24"/>
          <w:szCs w:val="24"/>
        </w:rPr>
      </w:pPr>
      <w:bookmarkStart w:id="24" w:name="_Hlk221326349"/>
      <w:bookmarkEnd w:id="23"/>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9</w:t>
      </w:r>
      <w:r w:rsidRPr="007F6CB3">
        <w:rPr>
          <w:rFonts w:ascii="Times New Roman" w:hAnsi="Times New Roman" w:cs="Times New Roman"/>
          <w:b/>
          <w:bCs/>
          <w:sz w:val="24"/>
          <w:szCs w:val="24"/>
        </w:rPr>
        <w:t>: Cultural uses of sweet potato in the community (multiple responses)</w:t>
      </w:r>
    </w:p>
    <w:tbl>
      <w:tblPr>
        <w:tblW w:w="9378" w:type="dxa"/>
        <w:tblCellSpacing w:w="15" w:type="dxa"/>
        <w:tblLook w:val="04A0" w:firstRow="1" w:lastRow="0" w:firstColumn="1" w:lastColumn="0" w:noHBand="0" w:noVBand="1"/>
      </w:tblPr>
      <w:tblGrid>
        <w:gridCol w:w="3731"/>
        <w:gridCol w:w="2310"/>
        <w:gridCol w:w="3337"/>
      </w:tblGrid>
      <w:tr w:rsidR="00E16114" w:rsidRPr="007F6CB3" w14:paraId="0228A2B6" w14:textId="77777777" w:rsidTr="0026594F">
        <w:trPr>
          <w:trHeight w:val="337"/>
          <w:tblHeader/>
          <w:tblCellSpacing w:w="15" w:type="dxa"/>
        </w:trPr>
        <w:tc>
          <w:tcPr>
            <w:tcW w:w="0" w:type="auto"/>
            <w:tcMar>
              <w:top w:w="15" w:type="dxa"/>
              <w:left w:w="15" w:type="dxa"/>
              <w:bottom w:w="15" w:type="dxa"/>
              <w:right w:w="15" w:type="dxa"/>
            </w:tcMar>
            <w:vAlign w:val="center"/>
            <w:hideMark/>
          </w:tcPr>
          <w:bookmarkEnd w:id="24"/>
          <w:p w14:paraId="1113267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Cultural use</w:t>
            </w:r>
          </w:p>
        </w:tc>
        <w:tc>
          <w:tcPr>
            <w:tcW w:w="0" w:type="auto"/>
            <w:tcMar>
              <w:top w:w="15" w:type="dxa"/>
              <w:left w:w="15" w:type="dxa"/>
              <w:bottom w:w="15" w:type="dxa"/>
              <w:right w:w="15" w:type="dxa"/>
            </w:tcMar>
            <w:vAlign w:val="center"/>
            <w:hideMark/>
          </w:tcPr>
          <w:p w14:paraId="26B88EB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tcMar>
              <w:top w:w="15" w:type="dxa"/>
              <w:left w:w="15" w:type="dxa"/>
              <w:bottom w:w="15" w:type="dxa"/>
              <w:right w:w="15" w:type="dxa"/>
            </w:tcMar>
            <w:vAlign w:val="center"/>
            <w:hideMark/>
          </w:tcPr>
          <w:p w14:paraId="114794E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332E8B74" w14:textId="77777777" w:rsidTr="0026594F">
        <w:trPr>
          <w:trHeight w:val="354"/>
          <w:tblCellSpacing w:w="15" w:type="dxa"/>
        </w:trPr>
        <w:tc>
          <w:tcPr>
            <w:tcW w:w="0" w:type="auto"/>
            <w:tcMar>
              <w:top w:w="15" w:type="dxa"/>
              <w:left w:w="15" w:type="dxa"/>
              <w:bottom w:w="15" w:type="dxa"/>
              <w:right w:w="15" w:type="dxa"/>
            </w:tcMar>
            <w:vAlign w:val="center"/>
            <w:hideMark/>
          </w:tcPr>
          <w:p w14:paraId="6BF6E1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Food</w:t>
            </w:r>
          </w:p>
        </w:tc>
        <w:tc>
          <w:tcPr>
            <w:tcW w:w="0" w:type="auto"/>
            <w:tcMar>
              <w:top w:w="15" w:type="dxa"/>
              <w:left w:w="15" w:type="dxa"/>
              <w:bottom w:w="15" w:type="dxa"/>
              <w:right w:w="15" w:type="dxa"/>
            </w:tcMar>
            <w:vAlign w:val="center"/>
            <w:hideMark/>
          </w:tcPr>
          <w:p w14:paraId="793407F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312</w:t>
            </w:r>
          </w:p>
        </w:tc>
        <w:tc>
          <w:tcPr>
            <w:tcW w:w="0" w:type="auto"/>
            <w:tcMar>
              <w:top w:w="15" w:type="dxa"/>
              <w:left w:w="15" w:type="dxa"/>
              <w:bottom w:w="15" w:type="dxa"/>
              <w:right w:w="15" w:type="dxa"/>
            </w:tcMar>
            <w:vAlign w:val="center"/>
            <w:hideMark/>
          </w:tcPr>
          <w:p w14:paraId="5C2283F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89.7</w:t>
            </w:r>
          </w:p>
        </w:tc>
      </w:tr>
      <w:tr w:rsidR="00E16114" w:rsidRPr="007F6CB3" w14:paraId="1C127B4C" w14:textId="77777777" w:rsidTr="0026594F">
        <w:trPr>
          <w:trHeight w:val="337"/>
          <w:tblCellSpacing w:w="15" w:type="dxa"/>
        </w:trPr>
        <w:tc>
          <w:tcPr>
            <w:tcW w:w="0" w:type="auto"/>
            <w:tcMar>
              <w:top w:w="15" w:type="dxa"/>
              <w:left w:w="15" w:type="dxa"/>
              <w:bottom w:w="15" w:type="dxa"/>
              <w:right w:w="15" w:type="dxa"/>
            </w:tcMar>
            <w:vAlign w:val="center"/>
            <w:hideMark/>
          </w:tcPr>
          <w:p w14:paraId="1BA8B55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Ceremony / rituals</w:t>
            </w:r>
          </w:p>
        </w:tc>
        <w:tc>
          <w:tcPr>
            <w:tcW w:w="0" w:type="auto"/>
            <w:tcMar>
              <w:top w:w="15" w:type="dxa"/>
              <w:left w:w="15" w:type="dxa"/>
              <w:bottom w:w="15" w:type="dxa"/>
              <w:right w:w="15" w:type="dxa"/>
            </w:tcMar>
            <w:vAlign w:val="center"/>
            <w:hideMark/>
          </w:tcPr>
          <w:p w14:paraId="32426A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96</w:t>
            </w:r>
          </w:p>
        </w:tc>
        <w:tc>
          <w:tcPr>
            <w:tcW w:w="0" w:type="auto"/>
            <w:tcMar>
              <w:top w:w="15" w:type="dxa"/>
              <w:left w:w="15" w:type="dxa"/>
              <w:bottom w:w="15" w:type="dxa"/>
              <w:right w:w="15" w:type="dxa"/>
            </w:tcMar>
            <w:vAlign w:val="center"/>
            <w:hideMark/>
          </w:tcPr>
          <w:p w14:paraId="38FEA52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27.6</w:t>
            </w:r>
          </w:p>
        </w:tc>
      </w:tr>
      <w:tr w:rsidR="00E16114" w:rsidRPr="007F6CB3" w14:paraId="63634FE9" w14:textId="77777777" w:rsidTr="0026594F">
        <w:trPr>
          <w:trHeight w:val="337"/>
          <w:tblCellSpacing w:w="15" w:type="dxa"/>
        </w:trPr>
        <w:tc>
          <w:tcPr>
            <w:tcW w:w="0" w:type="auto"/>
            <w:tcMar>
              <w:top w:w="15" w:type="dxa"/>
              <w:left w:w="15" w:type="dxa"/>
              <w:bottom w:w="15" w:type="dxa"/>
              <w:right w:w="15" w:type="dxa"/>
            </w:tcMar>
            <w:vAlign w:val="center"/>
            <w:hideMark/>
          </w:tcPr>
          <w:p w14:paraId="0C10D9F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Medicine</w:t>
            </w:r>
          </w:p>
        </w:tc>
        <w:tc>
          <w:tcPr>
            <w:tcW w:w="0" w:type="auto"/>
            <w:tcMar>
              <w:top w:w="15" w:type="dxa"/>
              <w:left w:w="15" w:type="dxa"/>
              <w:bottom w:w="15" w:type="dxa"/>
              <w:right w:w="15" w:type="dxa"/>
            </w:tcMar>
            <w:vAlign w:val="center"/>
            <w:hideMark/>
          </w:tcPr>
          <w:p w14:paraId="7D85C96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74</w:t>
            </w:r>
          </w:p>
        </w:tc>
        <w:tc>
          <w:tcPr>
            <w:tcW w:w="0" w:type="auto"/>
            <w:tcMar>
              <w:top w:w="15" w:type="dxa"/>
              <w:left w:w="15" w:type="dxa"/>
              <w:bottom w:w="15" w:type="dxa"/>
              <w:right w:w="15" w:type="dxa"/>
            </w:tcMar>
            <w:vAlign w:val="center"/>
            <w:hideMark/>
          </w:tcPr>
          <w:p w14:paraId="108BEF2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21.3</w:t>
            </w:r>
          </w:p>
        </w:tc>
      </w:tr>
      <w:tr w:rsidR="00E16114" w:rsidRPr="007F6CB3" w14:paraId="55EFC671" w14:textId="77777777" w:rsidTr="0026594F">
        <w:trPr>
          <w:trHeight w:val="337"/>
          <w:tblCellSpacing w:w="15" w:type="dxa"/>
        </w:trPr>
        <w:tc>
          <w:tcPr>
            <w:tcW w:w="0" w:type="auto"/>
            <w:tcMar>
              <w:top w:w="15" w:type="dxa"/>
              <w:left w:w="15" w:type="dxa"/>
              <w:bottom w:w="15" w:type="dxa"/>
              <w:right w:w="15" w:type="dxa"/>
            </w:tcMar>
            <w:vAlign w:val="center"/>
            <w:hideMark/>
          </w:tcPr>
          <w:p w14:paraId="73FD912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Festival / offering</w:t>
            </w:r>
          </w:p>
        </w:tc>
        <w:tc>
          <w:tcPr>
            <w:tcW w:w="0" w:type="auto"/>
            <w:tcMar>
              <w:top w:w="15" w:type="dxa"/>
              <w:left w:w="15" w:type="dxa"/>
              <w:bottom w:w="15" w:type="dxa"/>
              <w:right w:w="15" w:type="dxa"/>
            </w:tcMar>
            <w:vAlign w:val="center"/>
            <w:hideMark/>
          </w:tcPr>
          <w:p w14:paraId="61B7955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88</w:t>
            </w:r>
          </w:p>
        </w:tc>
        <w:tc>
          <w:tcPr>
            <w:tcW w:w="0" w:type="auto"/>
            <w:tcMar>
              <w:top w:w="15" w:type="dxa"/>
              <w:left w:w="15" w:type="dxa"/>
              <w:bottom w:w="15" w:type="dxa"/>
              <w:right w:w="15" w:type="dxa"/>
            </w:tcMar>
            <w:vAlign w:val="center"/>
            <w:hideMark/>
          </w:tcPr>
          <w:p w14:paraId="5AE9C9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25.3</w:t>
            </w:r>
          </w:p>
        </w:tc>
      </w:tr>
      <w:tr w:rsidR="00E16114" w:rsidRPr="007F6CB3" w14:paraId="0A01321D" w14:textId="77777777" w:rsidTr="0026594F">
        <w:trPr>
          <w:trHeight w:val="354"/>
          <w:tblCellSpacing w:w="15" w:type="dxa"/>
        </w:trPr>
        <w:tc>
          <w:tcPr>
            <w:tcW w:w="0" w:type="auto"/>
            <w:tcMar>
              <w:top w:w="15" w:type="dxa"/>
              <w:left w:w="15" w:type="dxa"/>
              <w:bottom w:w="15" w:type="dxa"/>
              <w:right w:w="15" w:type="dxa"/>
            </w:tcMar>
            <w:vAlign w:val="center"/>
            <w:hideMark/>
          </w:tcPr>
          <w:p w14:paraId="6A9CB86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195A97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w:t>
            </w:r>
          </w:p>
        </w:tc>
        <w:tc>
          <w:tcPr>
            <w:tcW w:w="0" w:type="auto"/>
            <w:tcMar>
              <w:top w:w="15" w:type="dxa"/>
              <w:left w:w="15" w:type="dxa"/>
              <w:bottom w:w="15" w:type="dxa"/>
              <w:right w:w="15" w:type="dxa"/>
            </w:tcMar>
            <w:vAlign w:val="center"/>
            <w:hideMark/>
          </w:tcPr>
          <w:p w14:paraId="4382BF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6.3</w:t>
            </w:r>
          </w:p>
        </w:tc>
      </w:tr>
    </w:tbl>
    <w:p w14:paraId="6AEC2E3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As shown in Table 10, sweet potato is predominantly used as food (89.7%), confirming its central role in household food security. However, its use in ceremonies, festivals, and traditional medicine indicates significant ethno-botanical relevance, extending beyond nutrition.</w:t>
      </w:r>
    </w:p>
    <w:p w14:paraId="01B5F037" w14:textId="77777777" w:rsidR="00E16114" w:rsidRPr="007F6CB3" w:rsidRDefault="00E16114" w:rsidP="00E16114">
      <w:pPr>
        <w:jc w:val="both"/>
        <w:rPr>
          <w:rFonts w:ascii="Times New Roman" w:hAnsi="Times New Roman" w:cs="Times New Roman"/>
          <w:sz w:val="24"/>
          <w:szCs w:val="24"/>
        </w:rPr>
      </w:pPr>
    </w:p>
    <w:p w14:paraId="3BCD27C0" w14:textId="77777777" w:rsidR="00E16114" w:rsidRPr="007F6CB3" w:rsidRDefault="00E16114" w:rsidP="00E16114">
      <w:pPr>
        <w:jc w:val="both"/>
        <w:rPr>
          <w:rFonts w:ascii="Times New Roman" w:hAnsi="Times New Roman" w:cs="Times New Roman"/>
          <w:b/>
          <w:bCs/>
          <w:sz w:val="24"/>
          <w:szCs w:val="24"/>
        </w:rPr>
      </w:pPr>
    </w:p>
    <w:p w14:paraId="487ACC51" w14:textId="3646226B" w:rsidR="00E16114" w:rsidRPr="007F6CB3" w:rsidRDefault="00E16114" w:rsidP="00E16114">
      <w:pPr>
        <w:jc w:val="both"/>
        <w:rPr>
          <w:rFonts w:ascii="Times New Roman" w:hAnsi="Times New Roman" w:cs="Times New Roman"/>
          <w:sz w:val="24"/>
          <w:szCs w:val="24"/>
        </w:rPr>
      </w:pPr>
      <w:bookmarkStart w:id="25" w:name="_Hlk221326440"/>
      <w:r w:rsidRPr="007F6CB3">
        <w:rPr>
          <w:rFonts w:ascii="Times New Roman" w:hAnsi="Times New Roman" w:cs="Times New Roman"/>
          <w:sz w:val="24"/>
          <w:szCs w:val="24"/>
        </w:rPr>
        <w:t>Table 10.: Myths or traditional beliefs associated with sweet potato cultivation/storage</w:t>
      </w:r>
    </w:p>
    <w:tbl>
      <w:tblPr>
        <w:tblW w:w="8009" w:type="dxa"/>
        <w:tblCellSpacing w:w="15" w:type="dxa"/>
        <w:tblLook w:val="04A0" w:firstRow="1" w:lastRow="0" w:firstColumn="1" w:lastColumn="0" w:noHBand="0" w:noVBand="1"/>
      </w:tblPr>
      <w:tblGrid>
        <w:gridCol w:w="2188"/>
        <w:gridCol w:w="2384"/>
        <w:gridCol w:w="3437"/>
      </w:tblGrid>
      <w:tr w:rsidR="00E16114" w:rsidRPr="007F6CB3" w14:paraId="076DFCDD" w14:textId="77777777" w:rsidTr="0026594F">
        <w:trPr>
          <w:trHeight w:val="296"/>
          <w:tblHeader/>
          <w:tblCellSpacing w:w="15" w:type="dxa"/>
        </w:trPr>
        <w:tc>
          <w:tcPr>
            <w:tcW w:w="0" w:type="auto"/>
            <w:tcMar>
              <w:top w:w="15" w:type="dxa"/>
              <w:left w:w="15" w:type="dxa"/>
              <w:bottom w:w="15" w:type="dxa"/>
              <w:right w:w="15" w:type="dxa"/>
            </w:tcMar>
            <w:vAlign w:val="center"/>
            <w:hideMark/>
          </w:tcPr>
          <w:bookmarkEnd w:id="25"/>
          <w:p w14:paraId="29FD088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6B3E143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479A59A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171948DF" w14:textId="77777777" w:rsidTr="0026594F">
        <w:trPr>
          <w:trHeight w:val="311"/>
          <w:tblCellSpacing w:w="15" w:type="dxa"/>
        </w:trPr>
        <w:tc>
          <w:tcPr>
            <w:tcW w:w="0" w:type="auto"/>
            <w:tcMar>
              <w:top w:w="15" w:type="dxa"/>
              <w:left w:w="15" w:type="dxa"/>
              <w:bottom w:w="15" w:type="dxa"/>
              <w:right w:w="15" w:type="dxa"/>
            </w:tcMar>
            <w:vAlign w:val="center"/>
            <w:hideMark/>
          </w:tcPr>
          <w:p w14:paraId="218A6FA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56EAD49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09EAFDD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7D5B7C05" w14:textId="77777777" w:rsidTr="0026594F">
        <w:trPr>
          <w:trHeight w:val="296"/>
          <w:tblCellSpacing w:w="15" w:type="dxa"/>
        </w:trPr>
        <w:tc>
          <w:tcPr>
            <w:tcW w:w="0" w:type="auto"/>
            <w:tcMar>
              <w:top w:w="15" w:type="dxa"/>
              <w:left w:w="15" w:type="dxa"/>
              <w:bottom w:w="15" w:type="dxa"/>
              <w:right w:w="15" w:type="dxa"/>
            </w:tcMar>
            <w:vAlign w:val="center"/>
            <w:hideMark/>
          </w:tcPr>
          <w:p w14:paraId="400D611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5C526D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210</w:t>
            </w:r>
          </w:p>
        </w:tc>
        <w:tc>
          <w:tcPr>
            <w:tcW w:w="0" w:type="auto"/>
            <w:tcMar>
              <w:top w:w="15" w:type="dxa"/>
              <w:left w:w="15" w:type="dxa"/>
              <w:bottom w:w="15" w:type="dxa"/>
              <w:right w:w="15" w:type="dxa"/>
            </w:tcMar>
            <w:vAlign w:val="center"/>
            <w:hideMark/>
          </w:tcPr>
          <w:p w14:paraId="6133053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60.3</w:t>
            </w:r>
          </w:p>
        </w:tc>
      </w:tr>
      <w:tr w:rsidR="00E16114" w:rsidRPr="007F6CB3" w14:paraId="6A91284A" w14:textId="77777777" w:rsidTr="0026594F">
        <w:trPr>
          <w:trHeight w:val="296"/>
          <w:tblCellSpacing w:w="15" w:type="dxa"/>
        </w:trPr>
        <w:tc>
          <w:tcPr>
            <w:tcW w:w="0" w:type="auto"/>
            <w:tcMar>
              <w:top w:w="15" w:type="dxa"/>
              <w:left w:w="15" w:type="dxa"/>
              <w:bottom w:w="15" w:type="dxa"/>
              <w:right w:w="15" w:type="dxa"/>
            </w:tcMar>
            <w:vAlign w:val="center"/>
            <w:hideMark/>
          </w:tcPr>
          <w:p w14:paraId="39B1CD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752ECA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F21B1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DC39B6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Approximately 39.7% of respondents acknowledged the existence of myths or traditional beliefs related to sweet potato cultivation or storage. This suggests that cultural perceptions may influence farming and post-harvest practices in the study area.</w:t>
      </w:r>
    </w:p>
    <w:p w14:paraId="342E0701" w14:textId="77777777" w:rsidR="00E16114" w:rsidRPr="007F6CB3" w:rsidRDefault="00E16114" w:rsidP="00E16114">
      <w:pPr>
        <w:jc w:val="both"/>
        <w:rPr>
          <w:rFonts w:ascii="Times New Roman" w:hAnsi="Times New Roman" w:cs="Times New Roman"/>
          <w:sz w:val="24"/>
          <w:szCs w:val="24"/>
        </w:rPr>
      </w:pPr>
    </w:p>
    <w:p w14:paraId="64CF6E81" w14:textId="7D888460" w:rsidR="00E16114" w:rsidRPr="007F6CB3" w:rsidRDefault="00E16114" w:rsidP="00E16114">
      <w:pPr>
        <w:jc w:val="both"/>
        <w:rPr>
          <w:rFonts w:ascii="Times New Roman" w:hAnsi="Times New Roman" w:cs="Times New Roman"/>
          <w:sz w:val="24"/>
          <w:szCs w:val="24"/>
        </w:rPr>
      </w:pPr>
      <w:bookmarkStart w:id="26" w:name="_Hlk221326481"/>
      <w:r w:rsidRPr="007F6CB3">
        <w:rPr>
          <w:rFonts w:ascii="Times New Roman" w:hAnsi="Times New Roman" w:cs="Times New Roman"/>
          <w:sz w:val="24"/>
          <w:szCs w:val="24"/>
        </w:rPr>
        <w:t>Table 10.</w:t>
      </w:r>
      <w:r w:rsidR="007C1DB2">
        <w:rPr>
          <w:rFonts w:ascii="Times New Roman" w:hAnsi="Times New Roman" w:cs="Times New Roman"/>
          <w:sz w:val="24"/>
          <w:szCs w:val="24"/>
        </w:rPr>
        <w:t>a</w:t>
      </w:r>
      <w:r w:rsidRPr="007F6CB3">
        <w:rPr>
          <w:rFonts w:ascii="Times New Roman" w:hAnsi="Times New Roman" w:cs="Times New Roman"/>
          <w:sz w:val="24"/>
          <w:szCs w:val="24"/>
        </w:rPr>
        <w:t>: Role of sweet potato in community identity or heritage</w:t>
      </w:r>
      <w:bookmarkEnd w:id="26"/>
    </w:p>
    <w:tbl>
      <w:tblPr>
        <w:tblW w:w="8064" w:type="dxa"/>
        <w:tblCellSpacing w:w="15" w:type="dxa"/>
        <w:tblLook w:val="04A0" w:firstRow="1" w:lastRow="0" w:firstColumn="1" w:lastColumn="0" w:noHBand="0" w:noVBand="1"/>
      </w:tblPr>
      <w:tblGrid>
        <w:gridCol w:w="2204"/>
        <w:gridCol w:w="2400"/>
        <w:gridCol w:w="3460"/>
      </w:tblGrid>
      <w:tr w:rsidR="00E16114" w:rsidRPr="007F6CB3" w14:paraId="64A4A9D3" w14:textId="77777777" w:rsidTr="0026594F">
        <w:trPr>
          <w:trHeight w:val="302"/>
          <w:tblHeader/>
          <w:tblCellSpacing w:w="15" w:type="dxa"/>
        </w:trPr>
        <w:tc>
          <w:tcPr>
            <w:tcW w:w="0" w:type="auto"/>
            <w:tcMar>
              <w:top w:w="15" w:type="dxa"/>
              <w:left w:w="15" w:type="dxa"/>
              <w:bottom w:w="15" w:type="dxa"/>
              <w:right w:w="15" w:type="dxa"/>
            </w:tcMar>
            <w:vAlign w:val="center"/>
            <w:hideMark/>
          </w:tcPr>
          <w:p w14:paraId="04CF2D1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1B01D09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2FAB95F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01D638F" w14:textId="77777777" w:rsidTr="0026594F">
        <w:trPr>
          <w:trHeight w:val="317"/>
          <w:tblCellSpacing w:w="15" w:type="dxa"/>
        </w:trPr>
        <w:tc>
          <w:tcPr>
            <w:tcW w:w="0" w:type="auto"/>
            <w:tcMar>
              <w:top w:w="15" w:type="dxa"/>
              <w:left w:w="15" w:type="dxa"/>
              <w:bottom w:w="15" w:type="dxa"/>
              <w:right w:w="15" w:type="dxa"/>
            </w:tcMar>
            <w:vAlign w:val="center"/>
            <w:hideMark/>
          </w:tcPr>
          <w:p w14:paraId="1C13EAF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432A65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162</w:t>
            </w:r>
          </w:p>
        </w:tc>
        <w:tc>
          <w:tcPr>
            <w:tcW w:w="0" w:type="auto"/>
            <w:tcMar>
              <w:top w:w="15" w:type="dxa"/>
              <w:left w:w="15" w:type="dxa"/>
              <w:bottom w:w="15" w:type="dxa"/>
              <w:right w:w="15" w:type="dxa"/>
            </w:tcMar>
            <w:vAlign w:val="center"/>
            <w:hideMark/>
          </w:tcPr>
          <w:p w14:paraId="4C77EF1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46.6</w:t>
            </w:r>
          </w:p>
        </w:tc>
      </w:tr>
      <w:tr w:rsidR="00E16114" w:rsidRPr="007F6CB3" w14:paraId="7CF690A3" w14:textId="77777777" w:rsidTr="0026594F">
        <w:trPr>
          <w:trHeight w:val="302"/>
          <w:tblCellSpacing w:w="15" w:type="dxa"/>
        </w:trPr>
        <w:tc>
          <w:tcPr>
            <w:tcW w:w="0" w:type="auto"/>
            <w:tcMar>
              <w:top w:w="15" w:type="dxa"/>
              <w:left w:w="15" w:type="dxa"/>
              <w:bottom w:w="15" w:type="dxa"/>
              <w:right w:w="15" w:type="dxa"/>
            </w:tcMar>
            <w:vAlign w:val="center"/>
            <w:hideMark/>
          </w:tcPr>
          <w:p w14:paraId="728142F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63F395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186</w:t>
            </w:r>
          </w:p>
        </w:tc>
        <w:tc>
          <w:tcPr>
            <w:tcW w:w="0" w:type="auto"/>
            <w:tcMar>
              <w:top w:w="15" w:type="dxa"/>
              <w:left w:w="15" w:type="dxa"/>
              <w:bottom w:w="15" w:type="dxa"/>
              <w:right w:w="15" w:type="dxa"/>
            </w:tcMar>
            <w:vAlign w:val="center"/>
            <w:hideMark/>
          </w:tcPr>
          <w:p w14:paraId="12C7258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53.4</w:t>
            </w:r>
          </w:p>
        </w:tc>
      </w:tr>
      <w:tr w:rsidR="00E16114" w:rsidRPr="007F6CB3" w14:paraId="4A6B6D60" w14:textId="77777777" w:rsidTr="0026594F">
        <w:trPr>
          <w:trHeight w:val="302"/>
          <w:tblCellSpacing w:w="15" w:type="dxa"/>
        </w:trPr>
        <w:tc>
          <w:tcPr>
            <w:tcW w:w="0" w:type="auto"/>
            <w:tcMar>
              <w:top w:w="15" w:type="dxa"/>
              <w:left w:w="15" w:type="dxa"/>
              <w:bottom w:w="15" w:type="dxa"/>
              <w:right w:w="15" w:type="dxa"/>
            </w:tcMar>
            <w:vAlign w:val="center"/>
            <w:hideMark/>
          </w:tcPr>
          <w:p w14:paraId="1A17C8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1D62B14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6E36E13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164FC6B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Nearly half of the respondents (46.6%) indicated that sweet potato contributes to community identity or heritage, often linked to traditional meals, festivals, or ancestral farming practices.</w:t>
      </w:r>
    </w:p>
    <w:p w14:paraId="0D87B905" w14:textId="77777777" w:rsidR="00E16114" w:rsidRPr="007F6CB3" w:rsidRDefault="00E16114" w:rsidP="00E16114">
      <w:pPr>
        <w:jc w:val="both"/>
        <w:rPr>
          <w:rFonts w:ascii="Times New Roman" w:hAnsi="Times New Roman" w:cs="Times New Roman"/>
          <w:sz w:val="24"/>
          <w:szCs w:val="24"/>
        </w:rPr>
      </w:pPr>
    </w:p>
    <w:p w14:paraId="2AD1BA6D" w14:textId="77777777" w:rsidR="00E16114" w:rsidRPr="007F6CB3" w:rsidRDefault="00E16114" w:rsidP="00E16114">
      <w:pPr>
        <w:jc w:val="both"/>
        <w:rPr>
          <w:rFonts w:ascii="Times New Roman" w:hAnsi="Times New Roman" w:cs="Times New Roman"/>
          <w:sz w:val="24"/>
          <w:szCs w:val="24"/>
        </w:rPr>
      </w:pPr>
    </w:p>
    <w:p w14:paraId="4AE9B79F" w14:textId="77777777" w:rsidR="00E16114" w:rsidRPr="007F6CB3" w:rsidRDefault="00E16114" w:rsidP="00E16114">
      <w:pPr>
        <w:jc w:val="both"/>
        <w:rPr>
          <w:rFonts w:ascii="Times New Roman" w:hAnsi="Times New Roman" w:cs="Times New Roman"/>
          <w:sz w:val="24"/>
          <w:szCs w:val="24"/>
        </w:rPr>
      </w:pPr>
    </w:p>
    <w:p w14:paraId="0336284E" w14:textId="77777777" w:rsidR="00E16114" w:rsidRPr="007F6CB3" w:rsidRDefault="00E16114" w:rsidP="00E16114">
      <w:pPr>
        <w:jc w:val="both"/>
        <w:rPr>
          <w:rFonts w:ascii="Times New Roman" w:hAnsi="Times New Roman" w:cs="Times New Roman"/>
          <w:sz w:val="24"/>
          <w:szCs w:val="24"/>
        </w:rPr>
      </w:pPr>
      <w:bookmarkStart w:id="27" w:name="_Hlk221326575"/>
      <w:r w:rsidRPr="007F6CB3">
        <w:rPr>
          <w:rFonts w:ascii="Times New Roman" w:hAnsi="Times New Roman" w:cs="Times New Roman"/>
          <w:sz w:val="24"/>
          <w:szCs w:val="24"/>
        </w:rPr>
        <w:t>4.1.11: Income Generation and Socio-Economic Status</w:t>
      </w:r>
      <w:bookmarkEnd w:id="27"/>
    </w:p>
    <w:p w14:paraId="4FB4EE22" w14:textId="77777777" w:rsidR="00E16114" w:rsidRPr="007F6CB3" w:rsidRDefault="00E16114" w:rsidP="00E16114">
      <w:pPr>
        <w:jc w:val="both"/>
        <w:rPr>
          <w:rFonts w:ascii="Times New Roman" w:hAnsi="Times New Roman" w:cs="Times New Roman"/>
          <w:sz w:val="24"/>
          <w:szCs w:val="24"/>
        </w:rPr>
      </w:pPr>
    </w:p>
    <w:p w14:paraId="6B20783A" w14:textId="5AAEA822" w:rsidR="00E16114" w:rsidRPr="007F6CB3" w:rsidRDefault="00E16114" w:rsidP="00E16114">
      <w:pPr>
        <w:jc w:val="both"/>
        <w:rPr>
          <w:rFonts w:ascii="Times New Roman" w:hAnsi="Times New Roman" w:cs="Times New Roman"/>
          <w:sz w:val="24"/>
          <w:szCs w:val="24"/>
        </w:rPr>
      </w:pPr>
      <w:bookmarkStart w:id="28" w:name="_Hlk221326651"/>
      <w:r w:rsidRPr="007F6CB3">
        <w:rPr>
          <w:rFonts w:ascii="Times New Roman" w:hAnsi="Times New Roman" w:cs="Times New Roman"/>
          <w:sz w:val="24"/>
          <w:szCs w:val="24"/>
        </w:rPr>
        <w:t>Table 11.</w:t>
      </w:r>
      <w:r w:rsidR="007C1DB2">
        <w:rPr>
          <w:rFonts w:ascii="Times New Roman" w:hAnsi="Times New Roman" w:cs="Times New Roman"/>
          <w:sz w:val="24"/>
          <w:szCs w:val="24"/>
        </w:rPr>
        <w:t>a</w:t>
      </w:r>
      <w:r w:rsidRPr="007F6CB3">
        <w:rPr>
          <w:rFonts w:ascii="Times New Roman" w:hAnsi="Times New Roman" w:cs="Times New Roman"/>
          <w:sz w:val="24"/>
          <w:szCs w:val="24"/>
        </w:rPr>
        <w:t>: Sweet potato production as primary source of income</w:t>
      </w:r>
    </w:p>
    <w:tbl>
      <w:tblPr>
        <w:tblW w:w="8384" w:type="dxa"/>
        <w:tblCellSpacing w:w="15" w:type="dxa"/>
        <w:tblLook w:val="04A0" w:firstRow="1" w:lastRow="0" w:firstColumn="1" w:lastColumn="0" w:noHBand="0" w:noVBand="1"/>
      </w:tblPr>
      <w:tblGrid>
        <w:gridCol w:w="2291"/>
        <w:gridCol w:w="2495"/>
        <w:gridCol w:w="3598"/>
      </w:tblGrid>
      <w:tr w:rsidR="00E16114" w:rsidRPr="007F6CB3" w14:paraId="4393B6CF" w14:textId="77777777" w:rsidTr="0026594F">
        <w:trPr>
          <w:trHeight w:val="324"/>
          <w:tblHeader/>
          <w:tblCellSpacing w:w="15" w:type="dxa"/>
        </w:trPr>
        <w:tc>
          <w:tcPr>
            <w:tcW w:w="0" w:type="auto"/>
            <w:tcMar>
              <w:top w:w="15" w:type="dxa"/>
              <w:left w:w="15" w:type="dxa"/>
              <w:bottom w:w="15" w:type="dxa"/>
              <w:right w:w="15" w:type="dxa"/>
            </w:tcMar>
            <w:vAlign w:val="center"/>
            <w:hideMark/>
          </w:tcPr>
          <w:bookmarkEnd w:id="28"/>
          <w:p w14:paraId="57B12CC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4310855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6BD7744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2D342BBA" w14:textId="77777777" w:rsidTr="0026594F">
        <w:trPr>
          <w:trHeight w:val="341"/>
          <w:tblCellSpacing w:w="15" w:type="dxa"/>
        </w:trPr>
        <w:tc>
          <w:tcPr>
            <w:tcW w:w="0" w:type="auto"/>
            <w:tcMar>
              <w:top w:w="15" w:type="dxa"/>
              <w:left w:w="15" w:type="dxa"/>
              <w:bottom w:w="15" w:type="dxa"/>
              <w:right w:w="15" w:type="dxa"/>
            </w:tcMar>
            <w:vAlign w:val="center"/>
            <w:hideMark/>
          </w:tcPr>
          <w:p w14:paraId="14D8EAE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60B8999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124</w:t>
            </w:r>
          </w:p>
        </w:tc>
        <w:tc>
          <w:tcPr>
            <w:tcW w:w="0" w:type="auto"/>
            <w:tcMar>
              <w:top w:w="15" w:type="dxa"/>
              <w:left w:w="15" w:type="dxa"/>
              <w:bottom w:w="15" w:type="dxa"/>
              <w:right w:w="15" w:type="dxa"/>
            </w:tcMar>
            <w:vAlign w:val="center"/>
            <w:hideMark/>
          </w:tcPr>
          <w:p w14:paraId="24E982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35.6</w:t>
            </w:r>
          </w:p>
        </w:tc>
      </w:tr>
      <w:tr w:rsidR="00E16114" w:rsidRPr="007F6CB3" w14:paraId="30018DD6" w14:textId="77777777" w:rsidTr="0026594F">
        <w:trPr>
          <w:trHeight w:val="324"/>
          <w:tblCellSpacing w:w="15" w:type="dxa"/>
        </w:trPr>
        <w:tc>
          <w:tcPr>
            <w:tcW w:w="0" w:type="auto"/>
            <w:tcMar>
              <w:top w:w="15" w:type="dxa"/>
              <w:left w:w="15" w:type="dxa"/>
              <w:bottom w:w="15" w:type="dxa"/>
              <w:right w:w="15" w:type="dxa"/>
            </w:tcMar>
            <w:vAlign w:val="center"/>
            <w:hideMark/>
          </w:tcPr>
          <w:p w14:paraId="457E529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lastRenderedPageBreak/>
              <w:t>No</w:t>
            </w:r>
          </w:p>
        </w:tc>
        <w:tc>
          <w:tcPr>
            <w:tcW w:w="0" w:type="auto"/>
            <w:tcMar>
              <w:top w:w="15" w:type="dxa"/>
              <w:left w:w="15" w:type="dxa"/>
              <w:bottom w:w="15" w:type="dxa"/>
              <w:right w:w="15" w:type="dxa"/>
            </w:tcMar>
            <w:vAlign w:val="center"/>
            <w:hideMark/>
          </w:tcPr>
          <w:p w14:paraId="1A324FE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224</w:t>
            </w:r>
          </w:p>
        </w:tc>
        <w:tc>
          <w:tcPr>
            <w:tcW w:w="0" w:type="auto"/>
            <w:tcMar>
              <w:top w:w="15" w:type="dxa"/>
              <w:left w:w="15" w:type="dxa"/>
              <w:bottom w:w="15" w:type="dxa"/>
              <w:right w:w="15" w:type="dxa"/>
            </w:tcMar>
            <w:vAlign w:val="center"/>
            <w:hideMark/>
          </w:tcPr>
          <w:p w14:paraId="173038D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64.4</w:t>
            </w:r>
          </w:p>
        </w:tc>
      </w:tr>
      <w:tr w:rsidR="00E16114" w:rsidRPr="007F6CB3" w14:paraId="314F2505" w14:textId="77777777" w:rsidTr="0026594F">
        <w:trPr>
          <w:trHeight w:val="324"/>
          <w:tblCellSpacing w:w="15" w:type="dxa"/>
        </w:trPr>
        <w:tc>
          <w:tcPr>
            <w:tcW w:w="0" w:type="auto"/>
            <w:tcMar>
              <w:top w:w="15" w:type="dxa"/>
              <w:left w:w="15" w:type="dxa"/>
              <w:bottom w:w="15" w:type="dxa"/>
              <w:right w:w="15" w:type="dxa"/>
            </w:tcMar>
            <w:vAlign w:val="center"/>
            <w:hideMark/>
          </w:tcPr>
          <w:p w14:paraId="46AB1CA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2D76878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37396E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444BF23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Sweet potato serves as a primary income source for 35.6% of respondents, while the majority engage in it as a secondary livelihood activity, highlighting its importance in income diversification.</w:t>
      </w:r>
    </w:p>
    <w:p w14:paraId="30988ADD" w14:textId="77777777" w:rsidR="00E16114" w:rsidRPr="007F6CB3" w:rsidRDefault="00E16114" w:rsidP="00E16114">
      <w:pPr>
        <w:jc w:val="both"/>
        <w:rPr>
          <w:rFonts w:ascii="Times New Roman" w:hAnsi="Times New Roman" w:cs="Times New Roman"/>
          <w:sz w:val="24"/>
          <w:szCs w:val="24"/>
        </w:rPr>
      </w:pPr>
    </w:p>
    <w:p w14:paraId="67141A6C" w14:textId="77777777" w:rsidR="00E16114" w:rsidRPr="007F6CB3" w:rsidRDefault="00E16114" w:rsidP="00E16114">
      <w:pPr>
        <w:jc w:val="both"/>
        <w:rPr>
          <w:rFonts w:ascii="Times New Roman" w:hAnsi="Times New Roman" w:cs="Times New Roman"/>
          <w:sz w:val="24"/>
          <w:szCs w:val="24"/>
        </w:rPr>
      </w:pPr>
    </w:p>
    <w:p w14:paraId="09468EC8" w14:textId="77777777" w:rsidR="00E16114" w:rsidRPr="007F6CB3" w:rsidRDefault="00E16114" w:rsidP="00E16114">
      <w:pPr>
        <w:jc w:val="both"/>
        <w:rPr>
          <w:rFonts w:ascii="Times New Roman" w:hAnsi="Times New Roman" w:cs="Times New Roman"/>
          <w:sz w:val="24"/>
          <w:szCs w:val="24"/>
        </w:rPr>
      </w:pPr>
    </w:p>
    <w:p w14:paraId="72E0578F" w14:textId="77777777" w:rsidR="00E16114" w:rsidRPr="007F6CB3" w:rsidRDefault="00E16114" w:rsidP="00E16114">
      <w:pPr>
        <w:jc w:val="both"/>
        <w:rPr>
          <w:rFonts w:ascii="Times New Roman" w:hAnsi="Times New Roman" w:cs="Times New Roman"/>
          <w:sz w:val="24"/>
          <w:szCs w:val="24"/>
        </w:rPr>
      </w:pPr>
    </w:p>
    <w:p w14:paraId="238BFF0A" w14:textId="77777777" w:rsidR="00E16114" w:rsidRPr="007F6CB3" w:rsidRDefault="00E16114" w:rsidP="00E16114">
      <w:pPr>
        <w:jc w:val="both"/>
        <w:rPr>
          <w:rFonts w:ascii="Times New Roman" w:hAnsi="Times New Roman" w:cs="Times New Roman"/>
          <w:sz w:val="24"/>
          <w:szCs w:val="24"/>
        </w:rPr>
      </w:pPr>
    </w:p>
    <w:p w14:paraId="4CC3E04C" w14:textId="77777777" w:rsidR="00E16114" w:rsidRPr="007F6CB3" w:rsidRDefault="00E16114" w:rsidP="00E16114">
      <w:pPr>
        <w:jc w:val="both"/>
        <w:rPr>
          <w:rFonts w:ascii="Times New Roman" w:hAnsi="Times New Roman" w:cs="Times New Roman"/>
          <w:sz w:val="24"/>
          <w:szCs w:val="24"/>
        </w:rPr>
      </w:pPr>
    </w:p>
    <w:p w14:paraId="1180B042" w14:textId="77777777" w:rsidR="00E16114" w:rsidRPr="007F6CB3" w:rsidRDefault="00E16114" w:rsidP="00E16114">
      <w:pPr>
        <w:jc w:val="both"/>
        <w:rPr>
          <w:rFonts w:ascii="Times New Roman" w:hAnsi="Times New Roman" w:cs="Times New Roman"/>
          <w:sz w:val="24"/>
          <w:szCs w:val="24"/>
        </w:rPr>
      </w:pPr>
    </w:p>
    <w:p w14:paraId="10F695FE" w14:textId="77777777" w:rsidR="00E16114" w:rsidRPr="007F6CB3" w:rsidRDefault="00E16114" w:rsidP="00E16114">
      <w:pPr>
        <w:jc w:val="both"/>
        <w:rPr>
          <w:rFonts w:ascii="Times New Roman" w:hAnsi="Times New Roman" w:cs="Times New Roman"/>
          <w:sz w:val="24"/>
          <w:szCs w:val="24"/>
        </w:rPr>
      </w:pPr>
    </w:p>
    <w:p w14:paraId="5EE4E5B9" w14:textId="17643ED7" w:rsidR="00E16114" w:rsidRPr="007F6CB3" w:rsidRDefault="00E16114" w:rsidP="00E16114">
      <w:pPr>
        <w:jc w:val="both"/>
        <w:rPr>
          <w:rFonts w:ascii="Times New Roman" w:hAnsi="Times New Roman" w:cs="Times New Roman"/>
          <w:sz w:val="24"/>
          <w:szCs w:val="24"/>
        </w:rPr>
      </w:pPr>
      <w:bookmarkStart w:id="29" w:name="_Hlk221326686"/>
      <w:r w:rsidRPr="007F6CB3">
        <w:rPr>
          <w:rFonts w:ascii="Times New Roman" w:hAnsi="Times New Roman" w:cs="Times New Roman"/>
          <w:sz w:val="24"/>
          <w:szCs w:val="24"/>
        </w:rPr>
        <w:t>Table 11.</w:t>
      </w:r>
      <w:r w:rsidR="007C1DB2">
        <w:rPr>
          <w:rFonts w:ascii="Times New Roman" w:hAnsi="Times New Roman" w:cs="Times New Roman"/>
          <w:sz w:val="24"/>
          <w:szCs w:val="24"/>
        </w:rPr>
        <w:t>b</w:t>
      </w:r>
      <w:r w:rsidRPr="007F6CB3">
        <w:rPr>
          <w:rFonts w:ascii="Times New Roman" w:hAnsi="Times New Roman" w:cs="Times New Roman"/>
          <w:sz w:val="24"/>
          <w:szCs w:val="24"/>
        </w:rPr>
        <w:t>: Proportion of income derived from sweet potato</w:t>
      </w:r>
      <w:bookmarkEnd w:id="29"/>
    </w:p>
    <w:tbl>
      <w:tblPr>
        <w:tblW w:w="8668" w:type="dxa"/>
        <w:tblCellSpacing w:w="15" w:type="dxa"/>
        <w:tblLook w:val="04A0" w:firstRow="1" w:lastRow="0" w:firstColumn="1" w:lastColumn="0" w:noHBand="0" w:noVBand="1"/>
      </w:tblPr>
      <w:tblGrid>
        <w:gridCol w:w="3611"/>
        <w:gridCol w:w="2071"/>
        <w:gridCol w:w="2986"/>
      </w:tblGrid>
      <w:tr w:rsidR="00E16114" w:rsidRPr="007F6CB3" w14:paraId="7F673F3E" w14:textId="77777777" w:rsidTr="0026594F">
        <w:trPr>
          <w:trHeight w:val="789"/>
          <w:tblHeader/>
          <w:tblCellSpacing w:w="15" w:type="dxa"/>
        </w:trPr>
        <w:tc>
          <w:tcPr>
            <w:tcW w:w="0" w:type="auto"/>
            <w:tcMar>
              <w:top w:w="15" w:type="dxa"/>
              <w:left w:w="15" w:type="dxa"/>
              <w:bottom w:w="15" w:type="dxa"/>
              <w:right w:w="15" w:type="dxa"/>
            </w:tcMar>
            <w:vAlign w:val="center"/>
            <w:hideMark/>
          </w:tcPr>
          <w:p w14:paraId="0E4DC9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Income proportion</w:t>
            </w:r>
          </w:p>
        </w:tc>
        <w:tc>
          <w:tcPr>
            <w:tcW w:w="0" w:type="auto"/>
            <w:tcMar>
              <w:top w:w="15" w:type="dxa"/>
              <w:left w:w="15" w:type="dxa"/>
              <w:bottom w:w="15" w:type="dxa"/>
              <w:right w:w="15" w:type="dxa"/>
            </w:tcMar>
            <w:vAlign w:val="center"/>
            <w:hideMark/>
          </w:tcPr>
          <w:p w14:paraId="5941483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87BC5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2EBEB671" w14:textId="77777777" w:rsidTr="0026594F">
        <w:trPr>
          <w:trHeight w:val="829"/>
          <w:tblCellSpacing w:w="15" w:type="dxa"/>
        </w:trPr>
        <w:tc>
          <w:tcPr>
            <w:tcW w:w="0" w:type="auto"/>
            <w:tcMar>
              <w:top w:w="15" w:type="dxa"/>
              <w:left w:w="15" w:type="dxa"/>
              <w:bottom w:w="15" w:type="dxa"/>
              <w:right w:w="15" w:type="dxa"/>
            </w:tcMar>
            <w:vAlign w:val="center"/>
            <w:hideMark/>
          </w:tcPr>
          <w:p w14:paraId="36F2208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&lt; 25%</w:t>
            </w:r>
          </w:p>
        </w:tc>
        <w:tc>
          <w:tcPr>
            <w:tcW w:w="0" w:type="auto"/>
            <w:tcMar>
              <w:top w:w="15" w:type="dxa"/>
              <w:left w:w="15" w:type="dxa"/>
              <w:bottom w:w="15" w:type="dxa"/>
              <w:right w:w="15" w:type="dxa"/>
            </w:tcMar>
            <w:vAlign w:val="center"/>
            <w:hideMark/>
          </w:tcPr>
          <w:p w14:paraId="01D7211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351CD9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13BC5F9B" w14:textId="77777777" w:rsidTr="0026594F">
        <w:trPr>
          <w:trHeight w:val="789"/>
          <w:tblCellSpacing w:w="15" w:type="dxa"/>
        </w:trPr>
        <w:tc>
          <w:tcPr>
            <w:tcW w:w="0" w:type="auto"/>
            <w:tcMar>
              <w:top w:w="15" w:type="dxa"/>
              <w:left w:w="15" w:type="dxa"/>
              <w:bottom w:w="15" w:type="dxa"/>
              <w:right w:w="15" w:type="dxa"/>
            </w:tcMar>
            <w:vAlign w:val="center"/>
            <w:hideMark/>
          </w:tcPr>
          <w:p w14:paraId="6569CF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25–50%</w:t>
            </w:r>
          </w:p>
        </w:tc>
        <w:tc>
          <w:tcPr>
            <w:tcW w:w="0" w:type="auto"/>
            <w:tcMar>
              <w:top w:w="15" w:type="dxa"/>
              <w:left w:w="15" w:type="dxa"/>
              <w:bottom w:w="15" w:type="dxa"/>
              <w:right w:w="15" w:type="dxa"/>
            </w:tcMar>
            <w:vAlign w:val="center"/>
            <w:hideMark/>
          </w:tcPr>
          <w:p w14:paraId="2756325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104</w:t>
            </w:r>
          </w:p>
        </w:tc>
        <w:tc>
          <w:tcPr>
            <w:tcW w:w="0" w:type="auto"/>
            <w:tcMar>
              <w:top w:w="15" w:type="dxa"/>
              <w:left w:w="15" w:type="dxa"/>
              <w:bottom w:w="15" w:type="dxa"/>
              <w:right w:w="15" w:type="dxa"/>
            </w:tcMar>
            <w:vAlign w:val="center"/>
            <w:hideMark/>
          </w:tcPr>
          <w:p w14:paraId="30D5C39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29.9</w:t>
            </w:r>
          </w:p>
        </w:tc>
      </w:tr>
      <w:tr w:rsidR="00E16114" w:rsidRPr="007F6CB3" w14:paraId="01046DCC" w14:textId="77777777" w:rsidTr="0026594F">
        <w:trPr>
          <w:trHeight w:val="789"/>
          <w:tblCellSpacing w:w="15" w:type="dxa"/>
        </w:trPr>
        <w:tc>
          <w:tcPr>
            <w:tcW w:w="0" w:type="auto"/>
            <w:tcMar>
              <w:top w:w="15" w:type="dxa"/>
              <w:left w:w="15" w:type="dxa"/>
              <w:bottom w:w="15" w:type="dxa"/>
              <w:right w:w="15" w:type="dxa"/>
            </w:tcMar>
            <w:vAlign w:val="center"/>
            <w:hideMark/>
          </w:tcPr>
          <w:p w14:paraId="3CAC6D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50–75%</w:t>
            </w:r>
          </w:p>
        </w:tc>
        <w:tc>
          <w:tcPr>
            <w:tcW w:w="0" w:type="auto"/>
            <w:tcMar>
              <w:top w:w="15" w:type="dxa"/>
              <w:left w:w="15" w:type="dxa"/>
              <w:bottom w:w="15" w:type="dxa"/>
              <w:right w:w="15" w:type="dxa"/>
            </w:tcMar>
            <w:vAlign w:val="center"/>
            <w:hideMark/>
          </w:tcPr>
          <w:p w14:paraId="3DE5A6E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68</w:t>
            </w:r>
          </w:p>
        </w:tc>
        <w:tc>
          <w:tcPr>
            <w:tcW w:w="0" w:type="auto"/>
            <w:tcMar>
              <w:top w:w="15" w:type="dxa"/>
              <w:left w:w="15" w:type="dxa"/>
              <w:bottom w:w="15" w:type="dxa"/>
              <w:right w:w="15" w:type="dxa"/>
            </w:tcMar>
            <w:vAlign w:val="center"/>
            <w:hideMark/>
          </w:tcPr>
          <w:p w14:paraId="2E40A4F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19.5</w:t>
            </w:r>
          </w:p>
        </w:tc>
      </w:tr>
      <w:tr w:rsidR="00E16114" w:rsidRPr="007F6CB3" w14:paraId="0F2C44C6" w14:textId="77777777" w:rsidTr="0026594F">
        <w:trPr>
          <w:trHeight w:val="789"/>
          <w:tblCellSpacing w:w="15" w:type="dxa"/>
        </w:trPr>
        <w:tc>
          <w:tcPr>
            <w:tcW w:w="0" w:type="auto"/>
            <w:tcMar>
              <w:top w:w="15" w:type="dxa"/>
              <w:left w:w="15" w:type="dxa"/>
              <w:bottom w:w="15" w:type="dxa"/>
              <w:right w:w="15" w:type="dxa"/>
            </w:tcMar>
            <w:vAlign w:val="center"/>
            <w:hideMark/>
          </w:tcPr>
          <w:p w14:paraId="21F4E01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&gt; 75%</w:t>
            </w:r>
          </w:p>
        </w:tc>
        <w:tc>
          <w:tcPr>
            <w:tcW w:w="0" w:type="auto"/>
            <w:tcMar>
              <w:top w:w="15" w:type="dxa"/>
              <w:left w:w="15" w:type="dxa"/>
              <w:bottom w:w="15" w:type="dxa"/>
              <w:right w:w="15" w:type="dxa"/>
            </w:tcMar>
            <w:vAlign w:val="center"/>
            <w:hideMark/>
          </w:tcPr>
          <w:p w14:paraId="4A456F9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38</w:t>
            </w:r>
          </w:p>
        </w:tc>
        <w:tc>
          <w:tcPr>
            <w:tcW w:w="0" w:type="auto"/>
            <w:tcMar>
              <w:top w:w="15" w:type="dxa"/>
              <w:left w:w="15" w:type="dxa"/>
              <w:bottom w:w="15" w:type="dxa"/>
              <w:right w:w="15" w:type="dxa"/>
            </w:tcMar>
            <w:vAlign w:val="center"/>
            <w:hideMark/>
          </w:tcPr>
          <w:p w14:paraId="64D65FF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10.9</w:t>
            </w:r>
          </w:p>
        </w:tc>
      </w:tr>
      <w:tr w:rsidR="00E16114" w:rsidRPr="007F6CB3" w14:paraId="4E91C5FF" w14:textId="77777777" w:rsidTr="0026594F">
        <w:trPr>
          <w:trHeight w:val="829"/>
          <w:tblCellSpacing w:w="15" w:type="dxa"/>
        </w:trPr>
        <w:tc>
          <w:tcPr>
            <w:tcW w:w="0" w:type="auto"/>
            <w:tcMar>
              <w:top w:w="15" w:type="dxa"/>
              <w:left w:w="15" w:type="dxa"/>
              <w:bottom w:w="15" w:type="dxa"/>
              <w:right w:w="15" w:type="dxa"/>
            </w:tcMar>
            <w:vAlign w:val="center"/>
            <w:hideMark/>
          </w:tcPr>
          <w:p w14:paraId="305722B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19DAB41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763AF3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49659DE1"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Most respondents (69.6%) earned less than 50% of their income from sweet potato, reinforcing its role as a supplementary income crop rather than a dominant cash crop.</w:t>
      </w:r>
    </w:p>
    <w:p w14:paraId="5A669D33" w14:textId="77777777" w:rsidR="00E16114" w:rsidRPr="007F6CB3" w:rsidRDefault="00E16114" w:rsidP="00E16114">
      <w:pPr>
        <w:jc w:val="both"/>
        <w:rPr>
          <w:rFonts w:ascii="Times New Roman" w:hAnsi="Times New Roman" w:cs="Times New Roman"/>
          <w:sz w:val="24"/>
          <w:szCs w:val="24"/>
        </w:rPr>
      </w:pPr>
    </w:p>
    <w:p w14:paraId="2DA98CEA" w14:textId="458F4149" w:rsidR="00E16114" w:rsidRPr="007F6CB3" w:rsidRDefault="00E16114" w:rsidP="00E16114">
      <w:pPr>
        <w:jc w:val="both"/>
        <w:rPr>
          <w:rFonts w:ascii="Times New Roman" w:hAnsi="Times New Roman" w:cs="Times New Roman"/>
          <w:sz w:val="24"/>
          <w:szCs w:val="24"/>
        </w:rPr>
      </w:pPr>
      <w:bookmarkStart w:id="30" w:name="_Hlk221326733"/>
      <w:r w:rsidRPr="007F6CB3">
        <w:rPr>
          <w:rFonts w:ascii="Times New Roman" w:hAnsi="Times New Roman" w:cs="Times New Roman"/>
          <w:sz w:val="24"/>
          <w:szCs w:val="24"/>
        </w:rPr>
        <w:t>Table 11.</w:t>
      </w:r>
      <w:r w:rsidR="007C1DB2">
        <w:rPr>
          <w:rFonts w:ascii="Times New Roman" w:hAnsi="Times New Roman" w:cs="Times New Roman"/>
          <w:sz w:val="24"/>
          <w:szCs w:val="24"/>
        </w:rPr>
        <w:t>c</w:t>
      </w:r>
      <w:r w:rsidRPr="007F6CB3">
        <w:rPr>
          <w:rFonts w:ascii="Times New Roman" w:hAnsi="Times New Roman" w:cs="Times New Roman"/>
          <w:sz w:val="24"/>
          <w:szCs w:val="24"/>
        </w:rPr>
        <w:t>: Marketing channels for sweet potato (multiple responses)</w:t>
      </w:r>
      <w:bookmarkEnd w:id="30"/>
    </w:p>
    <w:tbl>
      <w:tblPr>
        <w:tblW w:w="9002" w:type="dxa"/>
        <w:tblCellSpacing w:w="15" w:type="dxa"/>
        <w:tblLook w:val="04A0" w:firstRow="1" w:lastRow="0" w:firstColumn="1" w:lastColumn="0" w:noHBand="0" w:noVBand="1"/>
      </w:tblPr>
      <w:tblGrid>
        <w:gridCol w:w="4460"/>
        <w:gridCol w:w="1860"/>
        <w:gridCol w:w="2682"/>
      </w:tblGrid>
      <w:tr w:rsidR="00E16114" w:rsidRPr="007F6CB3" w14:paraId="702AA61A" w14:textId="77777777" w:rsidTr="0026594F">
        <w:trPr>
          <w:trHeight w:val="613"/>
          <w:tblHeader/>
          <w:tblCellSpacing w:w="15" w:type="dxa"/>
        </w:trPr>
        <w:tc>
          <w:tcPr>
            <w:tcW w:w="0" w:type="auto"/>
            <w:tcMar>
              <w:top w:w="15" w:type="dxa"/>
              <w:left w:w="15" w:type="dxa"/>
              <w:bottom w:w="15" w:type="dxa"/>
              <w:right w:w="15" w:type="dxa"/>
            </w:tcMar>
            <w:vAlign w:val="center"/>
            <w:hideMark/>
          </w:tcPr>
          <w:p w14:paraId="5C8FA940" w14:textId="77777777" w:rsidR="00E16114" w:rsidRPr="007F6CB3" w:rsidRDefault="00E16114" w:rsidP="0026594F">
            <w:pPr>
              <w:jc w:val="both"/>
              <w:rPr>
                <w:rFonts w:ascii="Times New Roman" w:hAnsi="Times New Roman" w:cs="Times New Roman"/>
                <w:sz w:val="24"/>
                <w:szCs w:val="24"/>
              </w:rPr>
            </w:pPr>
          </w:p>
          <w:p w14:paraId="0E5CD79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Marketing channel</w:t>
            </w:r>
          </w:p>
        </w:tc>
        <w:tc>
          <w:tcPr>
            <w:tcW w:w="0" w:type="auto"/>
            <w:tcMar>
              <w:top w:w="15" w:type="dxa"/>
              <w:left w:w="15" w:type="dxa"/>
              <w:bottom w:w="15" w:type="dxa"/>
              <w:right w:w="15" w:type="dxa"/>
            </w:tcMar>
            <w:vAlign w:val="center"/>
            <w:hideMark/>
          </w:tcPr>
          <w:p w14:paraId="1AC77F7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7270E5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39EC2A5" w14:textId="77777777" w:rsidTr="0026594F">
        <w:trPr>
          <w:trHeight w:val="322"/>
          <w:tblCellSpacing w:w="15" w:type="dxa"/>
        </w:trPr>
        <w:tc>
          <w:tcPr>
            <w:tcW w:w="0" w:type="auto"/>
            <w:tcMar>
              <w:top w:w="15" w:type="dxa"/>
              <w:left w:w="15" w:type="dxa"/>
              <w:bottom w:w="15" w:type="dxa"/>
              <w:right w:w="15" w:type="dxa"/>
            </w:tcMar>
            <w:vAlign w:val="center"/>
            <w:hideMark/>
          </w:tcPr>
          <w:p w14:paraId="2F332BD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Farm gate sales</w:t>
            </w:r>
          </w:p>
        </w:tc>
        <w:tc>
          <w:tcPr>
            <w:tcW w:w="0" w:type="auto"/>
            <w:tcMar>
              <w:top w:w="15" w:type="dxa"/>
              <w:left w:w="15" w:type="dxa"/>
              <w:bottom w:w="15" w:type="dxa"/>
              <w:right w:w="15" w:type="dxa"/>
            </w:tcMar>
            <w:vAlign w:val="center"/>
            <w:hideMark/>
          </w:tcPr>
          <w:p w14:paraId="5926468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tcMar>
              <w:top w:w="15" w:type="dxa"/>
              <w:left w:w="15" w:type="dxa"/>
              <w:bottom w:w="15" w:type="dxa"/>
              <w:right w:w="15" w:type="dxa"/>
            </w:tcMar>
            <w:vAlign w:val="center"/>
            <w:hideMark/>
          </w:tcPr>
          <w:p w14:paraId="2C6B83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42.0</w:t>
            </w:r>
          </w:p>
        </w:tc>
      </w:tr>
      <w:tr w:rsidR="00E16114" w:rsidRPr="007F6CB3" w14:paraId="6BCD040B" w14:textId="77777777" w:rsidTr="0026594F">
        <w:trPr>
          <w:trHeight w:val="306"/>
          <w:tblCellSpacing w:w="15" w:type="dxa"/>
        </w:trPr>
        <w:tc>
          <w:tcPr>
            <w:tcW w:w="0" w:type="auto"/>
            <w:tcMar>
              <w:top w:w="15" w:type="dxa"/>
              <w:left w:w="15" w:type="dxa"/>
              <w:bottom w:w="15" w:type="dxa"/>
              <w:right w:w="15" w:type="dxa"/>
            </w:tcMar>
            <w:vAlign w:val="center"/>
            <w:hideMark/>
          </w:tcPr>
          <w:p w14:paraId="6C9E15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Local market</w:t>
            </w:r>
          </w:p>
        </w:tc>
        <w:tc>
          <w:tcPr>
            <w:tcW w:w="0" w:type="auto"/>
            <w:tcMar>
              <w:top w:w="15" w:type="dxa"/>
              <w:left w:w="15" w:type="dxa"/>
              <w:bottom w:w="15" w:type="dxa"/>
              <w:right w:w="15" w:type="dxa"/>
            </w:tcMar>
            <w:vAlign w:val="center"/>
            <w:hideMark/>
          </w:tcPr>
          <w:p w14:paraId="079A56C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238</w:t>
            </w:r>
          </w:p>
        </w:tc>
        <w:tc>
          <w:tcPr>
            <w:tcW w:w="0" w:type="auto"/>
            <w:tcMar>
              <w:top w:w="15" w:type="dxa"/>
              <w:left w:w="15" w:type="dxa"/>
              <w:bottom w:w="15" w:type="dxa"/>
              <w:right w:w="15" w:type="dxa"/>
            </w:tcMar>
            <w:vAlign w:val="center"/>
            <w:hideMark/>
          </w:tcPr>
          <w:p w14:paraId="4700266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68.4</w:t>
            </w:r>
          </w:p>
        </w:tc>
      </w:tr>
      <w:tr w:rsidR="00E16114" w:rsidRPr="007F6CB3" w14:paraId="1CC53927" w14:textId="77777777" w:rsidTr="0026594F">
        <w:trPr>
          <w:trHeight w:val="306"/>
          <w:tblCellSpacing w:w="15" w:type="dxa"/>
        </w:trPr>
        <w:tc>
          <w:tcPr>
            <w:tcW w:w="0" w:type="auto"/>
            <w:tcMar>
              <w:top w:w="15" w:type="dxa"/>
              <w:left w:w="15" w:type="dxa"/>
              <w:bottom w:w="15" w:type="dxa"/>
              <w:right w:w="15" w:type="dxa"/>
            </w:tcMar>
            <w:vAlign w:val="center"/>
            <w:hideMark/>
          </w:tcPr>
          <w:p w14:paraId="33210BA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lastRenderedPageBreak/>
              <w:t>Middlemen</w:t>
            </w:r>
          </w:p>
        </w:tc>
        <w:tc>
          <w:tcPr>
            <w:tcW w:w="0" w:type="auto"/>
            <w:tcMar>
              <w:top w:w="15" w:type="dxa"/>
              <w:left w:w="15" w:type="dxa"/>
              <w:bottom w:w="15" w:type="dxa"/>
              <w:right w:w="15" w:type="dxa"/>
            </w:tcMar>
            <w:vAlign w:val="center"/>
            <w:hideMark/>
          </w:tcPr>
          <w:p w14:paraId="15C941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176</w:t>
            </w:r>
          </w:p>
        </w:tc>
        <w:tc>
          <w:tcPr>
            <w:tcW w:w="0" w:type="auto"/>
            <w:tcMar>
              <w:top w:w="15" w:type="dxa"/>
              <w:left w:w="15" w:type="dxa"/>
              <w:bottom w:w="15" w:type="dxa"/>
              <w:right w:w="15" w:type="dxa"/>
            </w:tcMar>
            <w:vAlign w:val="center"/>
            <w:hideMark/>
          </w:tcPr>
          <w:p w14:paraId="64DD66F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50.6</w:t>
            </w:r>
          </w:p>
        </w:tc>
      </w:tr>
      <w:tr w:rsidR="00E16114" w:rsidRPr="007F6CB3" w14:paraId="2070C5AA" w14:textId="77777777" w:rsidTr="0026594F">
        <w:trPr>
          <w:trHeight w:val="306"/>
          <w:tblCellSpacing w:w="15" w:type="dxa"/>
        </w:trPr>
        <w:tc>
          <w:tcPr>
            <w:tcW w:w="0" w:type="auto"/>
            <w:tcMar>
              <w:top w:w="15" w:type="dxa"/>
              <w:left w:w="15" w:type="dxa"/>
              <w:bottom w:w="15" w:type="dxa"/>
              <w:right w:w="15" w:type="dxa"/>
            </w:tcMar>
            <w:vAlign w:val="center"/>
            <w:hideMark/>
          </w:tcPr>
          <w:p w14:paraId="552E51F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Bulk buyers / wholesalers</w:t>
            </w:r>
          </w:p>
        </w:tc>
        <w:tc>
          <w:tcPr>
            <w:tcW w:w="0" w:type="auto"/>
            <w:tcMar>
              <w:top w:w="15" w:type="dxa"/>
              <w:left w:w="15" w:type="dxa"/>
              <w:bottom w:w="15" w:type="dxa"/>
              <w:right w:w="15" w:type="dxa"/>
            </w:tcMar>
            <w:vAlign w:val="center"/>
            <w:hideMark/>
          </w:tcPr>
          <w:p w14:paraId="6D0ACDB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92</w:t>
            </w:r>
          </w:p>
        </w:tc>
        <w:tc>
          <w:tcPr>
            <w:tcW w:w="0" w:type="auto"/>
            <w:tcMar>
              <w:top w:w="15" w:type="dxa"/>
              <w:left w:w="15" w:type="dxa"/>
              <w:bottom w:w="15" w:type="dxa"/>
              <w:right w:w="15" w:type="dxa"/>
            </w:tcMar>
            <w:vAlign w:val="center"/>
            <w:hideMark/>
          </w:tcPr>
          <w:p w14:paraId="5283AC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26.4</w:t>
            </w:r>
          </w:p>
        </w:tc>
      </w:tr>
      <w:tr w:rsidR="00E16114" w:rsidRPr="007F6CB3" w14:paraId="17536F2E" w14:textId="77777777" w:rsidTr="0026594F">
        <w:trPr>
          <w:trHeight w:val="322"/>
          <w:tblCellSpacing w:w="15" w:type="dxa"/>
        </w:trPr>
        <w:tc>
          <w:tcPr>
            <w:tcW w:w="0" w:type="auto"/>
            <w:tcMar>
              <w:top w:w="15" w:type="dxa"/>
              <w:left w:w="15" w:type="dxa"/>
              <w:bottom w:w="15" w:type="dxa"/>
              <w:right w:w="15" w:type="dxa"/>
            </w:tcMar>
            <w:vAlign w:val="center"/>
            <w:hideMark/>
          </w:tcPr>
          <w:p w14:paraId="215BCEA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5A1359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tcMar>
              <w:top w:w="15" w:type="dxa"/>
              <w:left w:w="15" w:type="dxa"/>
              <w:bottom w:w="15" w:type="dxa"/>
              <w:right w:w="15" w:type="dxa"/>
            </w:tcMar>
            <w:vAlign w:val="center"/>
            <w:hideMark/>
          </w:tcPr>
          <w:p w14:paraId="334FCC0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w:t>
            </w:r>
          </w:p>
        </w:tc>
      </w:tr>
    </w:tbl>
    <w:p w14:paraId="76DCFF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Local markets (68.4%) and middlemen (50.6%) dominate sweet potato marketing. Limited engagement with bulk buyers indicates weak market integration and bargaining power among farmers.</w:t>
      </w:r>
    </w:p>
    <w:p w14:paraId="17425F11" w14:textId="77777777" w:rsidR="00E16114" w:rsidRPr="007F6CB3" w:rsidRDefault="00E16114" w:rsidP="00E16114">
      <w:pPr>
        <w:jc w:val="both"/>
        <w:rPr>
          <w:rFonts w:ascii="Times New Roman" w:hAnsi="Times New Roman" w:cs="Times New Roman"/>
          <w:sz w:val="24"/>
          <w:szCs w:val="24"/>
        </w:rPr>
      </w:pPr>
    </w:p>
    <w:p w14:paraId="6845BE01" w14:textId="5A54848A" w:rsidR="00E16114" w:rsidRPr="007F6CB3" w:rsidRDefault="00E16114" w:rsidP="00E16114">
      <w:pPr>
        <w:jc w:val="both"/>
        <w:rPr>
          <w:rFonts w:ascii="Times New Roman" w:hAnsi="Times New Roman" w:cs="Times New Roman"/>
          <w:sz w:val="24"/>
          <w:szCs w:val="24"/>
        </w:rPr>
      </w:pPr>
      <w:bookmarkStart w:id="31" w:name="_Hlk221326772"/>
      <w:r w:rsidRPr="007F6CB3">
        <w:rPr>
          <w:rFonts w:ascii="Times New Roman" w:hAnsi="Times New Roman" w:cs="Times New Roman"/>
          <w:sz w:val="24"/>
          <w:szCs w:val="24"/>
        </w:rPr>
        <w:t>Table 11.</w:t>
      </w:r>
      <w:r w:rsidR="007C1DB2">
        <w:rPr>
          <w:rFonts w:ascii="Times New Roman" w:hAnsi="Times New Roman" w:cs="Times New Roman"/>
          <w:sz w:val="24"/>
          <w:szCs w:val="24"/>
        </w:rPr>
        <w:t>d</w:t>
      </w:r>
      <w:r w:rsidRPr="007F6CB3">
        <w:rPr>
          <w:rFonts w:ascii="Times New Roman" w:hAnsi="Times New Roman" w:cs="Times New Roman"/>
          <w:sz w:val="24"/>
          <w:szCs w:val="24"/>
        </w:rPr>
        <w:t>: Major challenges affecting income from sweet potato (multiple responses)</w:t>
      </w:r>
    </w:p>
    <w:tbl>
      <w:tblPr>
        <w:tblW w:w="8972" w:type="dxa"/>
        <w:tblCellSpacing w:w="15" w:type="dxa"/>
        <w:tblLook w:val="04A0" w:firstRow="1" w:lastRow="0" w:firstColumn="1" w:lastColumn="0" w:noHBand="0" w:noVBand="1"/>
      </w:tblPr>
      <w:tblGrid>
        <w:gridCol w:w="4319"/>
        <w:gridCol w:w="1905"/>
        <w:gridCol w:w="2748"/>
      </w:tblGrid>
      <w:tr w:rsidR="00E16114" w:rsidRPr="007F6CB3" w14:paraId="08054150" w14:textId="77777777" w:rsidTr="0026594F">
        <w:trPr>
          <w:trHeight w:val="325"/>
          <w:tblHeader/>
          <w:tblCellSpacing w:w="15" w:type="dxa"/>
        </w:trPr>
        <w:tc>
          <w:tcPr>
            <w:tcW w:w="0" w:type="auto"/>
            <w:tcMar>
              <w:top w:w="15" w:type="dxa"/>
              <w:left w:w="15" w:type="dxa"/>
              <w:bottom w:w="15" w:type="dxa"/>
              <w:right w:w="15" w:type="dxa"/>
            </w:tcMar>
            <w:vAlign w:val="center"/>
            <w:hideMark/>
          </w:tcPr>
          <w:bookmarkEnd w:id="31"/>
          <w:p w14:paraId="56971A5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Challenge</w:t>
            </w:r>
          </w:p>
        </w:tc>
        <w:tc>
          <w:tcPr>
            <w:tcW w:w="0" w:type="auto"/>
            <w:tcMar>
              <w:top w:w="15" w:type="dxa"/>
              <w:left w:w="15" w:type="dxa"/>
              <w:bottom w:w="15" w:type="dxa"/>
              <w:right w:w="15" w:type="dxa"/>
            </w:tcMar>
            <w:vAlign w:val="center"/>
            <w:hideMark/>
          </w:tcPr>
          <w:p w14:paraId="7DDB07C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56C6144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69F81EB9" w14:textId="77777777" w:rsidTr="0026594F">
        <w:trPr>
          <w:trHeight w:val="341"/>
          <w:tblCellSpacing w:w="15" w:type="dxa"/>
        </w:trPr>
        <w:tc>
          <w:tcPr>
            <w:tcW w:w="0" w:type="auto"/>
            <w:tcMar>
              <w:top w:w="15" w:type="dxa"/>
              <w:left w:w="15" w:type="dxa"/>
              <w:bottom w:w="15" w:type="dxa"/>
              <w:right w:w="15" w:type="dxa"/>
            </w:tcMar>
            <w:vAlign w:val="center"/>
            <w:hideMark/>
          </w:tcPr>
          <w:p w14:paraId="4CA759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Low market price</w:t>
            </w:r>
          </w:p>
        </w:tc>
        <w:tc>
          <w:tcPr>
            <w:tcW w:w="0" w:type="auto"/>
            <w:tcMar>
              <w:top w:w="15" w:type="dxa"/>
              <w:left w:w="15" w:type="dxa"/>
              <w:bottom w:w="15" w:type="dxa"/>
              <w:right w:w="15" w:type="dxa"/>
            </w:tcMar>
            <w:vAlign w:val="center"/>
            <w:hideMark/>
          </w:tcPr>
          <w:p w14:paraId="4B1404C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214</w:t>
            </w:r>
          </w:p>
        </w:tc>
        <w:tc>
          <w:tcPr>
            <w:tcW w:w="0" w:type="auto"/>
            <w:tcMar>
              <w:top w:w="15" w:type="dxa"/>
              <w:left w:w="15" w:type="dxa"/>
              <w:bottom w:w="15" w:type="dxa"/>
              <w:right w:w="15" w:type="dxa"/>
            </w:tcMar>
            <w:vAlign w:val="center"/>
            <w:hideMark/>
          </w:tcPr>
          <w:p w14:paraId="5A076D4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61.5</w:t>
            </w:r>
          </w:p>
        </w:tc>
      </w:tr>
      <w:tr w:rsidR="00E16114" w:rsidRPr="007F6CB3" w14:paraId="1617B2AE" w14:textId="77777777" w:rsidTr="0026594F">
        <w:trPr>
          <w:trHeight w:val="325"/>
          <w:tblCellSpacing w:w="15" w:type="dxa"/>
        </w:trPr>
        <w:tc>
          <w:tcPr>
            <w:tcW w:w="0" w:type="auto"/>
            <w:tcMar>
              <w:top w:w="15" w:type="dxa"/>
              <w:left w:w="15" w:type="dxa"/>
              <w:bottom w:w="15" w:type="dxa"/>
              <w:right w:w="15" w:type="dxa"/>
            </w:tcMar>
            <w:vAlign w:val="center"/>
            <w:hideMark/>
          </w:tcPr>
          <w:p w14:paraId="6EBF88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High post-harvest losses</w:t>
            </w:r>
          </w:p>
        </w:tc>
        <w:tc>
          <w:tcPr>
            <w:tcW w:w="0" w:type="auto"/>
            <w:tcMar>
              <w:top w:w="15" w:type="dxa"/>
              <w:left w:w="15" w:type="dxa"/>
              <w:bottom w:w="15" w:type="dxa"/>
              <w:right w:w="15" w:type="dxa"/>
            </w:tcMar>
            <w:vAlign w:val="center"/>
            <w:hideMark/>
          </w:tcPr>
          <w:p w14:paraId="44E6984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188</w:t>
            </w:r>
          </w:p>
        </w:tc>
        <w:tc>
          <w:tcPr>
            <w:tcW w:w="0" w:type="auto"/>
            <w:tcMar>
              <w:top w:w="15" w:type="dxa"/>
              <w:left w:w="15" w:type="dxa"/>
              <w:bottom w:w="15" w:type="dxa"/>
              <w:right w:w="15" w:type="dxa"/>
            </w:tcMar>
            <w:vAlign w:val="center"/>
            <w:hideMark/>
          </w:tcPr>
          <w:p w14:paraId="5D6C12B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54.0</w:t>
            </w:r>
          </w:p>
        </w:tc>
      </w:tr>
      <w:tr w:rsidR="00E16114" w:rsidRPr="007F6CB3" w14:paraId="7212E560" w14:textId="77777777" w:rsidTr="0026594F">
        <w:trPr>
          <w:trHeight w:val="325"/>
          <w:tblCellSpacing w:w="15" w:type="dxa"/>
        </w:trPr>
        <w:tc>
          <w:tcPr>
            <w:tcW w:w="0" w:type="auto"/>
            <w:tcMar>
              <w:top w:w="15" w:type="dxa"/>
              <w:left w:w="15" w:type="dxa"/>
              <w:bottom w:w="15" w:type="dxa"/>
              <w:right w:w="15" w:type="dxa"/>
            </w:tcMar>
            <w:vAlign w:val="center"/>
            <w:hideMark/>
          </w:tcPr>
          <w:p w14:paraId="262E84C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Poor storage</w:t>
            </w:r>
          </w:p>
        </w:tc>
        <w:tc>
          <w:tcPr>
            <w:tcW w:w="0" w:type="auto"/>
            <w:tcMar>
              <w:top w:w="15" w:type="dxa"/>
              <w:left w:w="15" w:type="dxa"/>
              <w:bottom w:w="15" w:type="dxa"/>
              <w:right w:w="15" w:type="dxa"/>
            </w:tcMar>
            <w:vAlign w:val="center"/>
            <w:hideMark/>
          </w:tcPr>
          <w:p w14:paraId="61A83E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176</w:t>
            </w:r>
          </w:p>
        </w:tc>
        <w:tc>
          <w:tcPr>
            <w:tcW w:w="0" w:type="auto"/>
            <w:tcMar>
              <w:top w:w="15" w:type="dxa"/>
              <w:left w:w="15" w:type="dxa"/>
              <w:bottom w:w="15" w:type="dxa"/>
              <w:right w:w="15" w:type="dxa"/>
            </w:tcMar>
            <w:vAlign w:val="center"/>
            <w:hideMark/>
          </w:tcPr>
          <w:p w14:paraId="0E83D1C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50.6</w:t>
            </w:r>
          </w:p>
        </w:tc>
      </w:tr>
      <w:tr w:rsidR="00E16114" w:rsidRPr="007F6CB3" w14:paraId="5B352D20" w14:textId="77777777" w:rsidTr="0026594F">
        <w:trPr>
          <w:trHeight w:val="325"/>
          <w:tblCellSpacing w:w="15" w:type="dxa"/>
        </w:trPr>
        <w:tc>
          <w:tcPr>
            <w:tcW w:w="0" w:type="auto"/>
            <w:tcMar>
              <w:top w:w="15" w:type="dxa"/>
              <w:left w:w="15" w:type="dxa"/>
              <w:bottom w:w="15" w:type="dxa"/>
              <w:right w:w="15" w:type="dxa"/>
            </w:tcMar>
            <w:vAlign w:val="center"/>
            <w:hideMark/>
          </w:tcPr>
          <w:p w14:paraId="59F6954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Seasonal fluctuations</w:t>
            </w:r>
          </w:p>
        </w:tc>
        <w:tc>
          <w:tcPr>
            <w:tcW w:w="0" w:type="auto"/>
            <w:tcMar>
              <w:top w:w="15" w:type="dxa"/>
              <w:left w:w="15" w:type="dxa"/>
              <w:bottom w:w="15" w:type="dxa"/>
              <w:right w:w="15" w:type="dxa"/>
            </w:tcMar>
            <w:vAlign w:val="center"/>
            <w:hideMark/>
          </w:tcPr>
          <w:p w14:paraId="63C992F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152</w:t>
            </w:r>
          </w:p>
        </w:tc>
        <w:tc>
          <w:tcPr>
            <w:tcW w:w="0" w:type="auto"/>
            <w:tcMar>
              <w:top w:w="15" w:type="dxa"/>
              <w:left w:w="15" w:type="dxa"/>
              <w:bottom w:w="15" w:type="dxa"/>
              <w:right w:w="15" w:type="dxa"/>
            </w:tcMar>
            <w:vAlign w:val="center"/>
            <w:hideMark/>
          </w:tcPr>
          <w:p w14:paraId="471712B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43.7</w:t>
            </w:r>
          </w:p>
        </w:tc>
      </w:tr>
      <w:tr w:rsidR="00E16114" w:rsidRPr="007F6CB3" w14:paraId="3CEC0DF9" w14:textId="77777777" w:rsidTr="0026594F">
        <w:trPr>
          <w:trHeight w:val="341"/>
          <w:tblCellSpacing w:w="15" w:type="dxa"/>
        </w:trPr>
        <w:tc>
          <w:tcPr>
            <w:tcW w:w="0" w:type="auto"/>
            <w:tcMar>
              <w:top w:w="15" w:type="dxa"/>
              <w:left w:w="15" w:type="dxa"/>
              <w:bottom w:w="15" w:type="dxa"/>
              <w:right w:w="15" w:type="dxa"/>
            </w:tcMar>
            <w:vAlign w:val="center"/>
            <w:hideMark/>
          </w:tcPr>
          <w:p w14:paraId="2211052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Transportation issues</w:t>
            </w:r>
          </w:p>
        </w:tc>
        <w:tc>
          <w:tcPr>
            <w:tcW w:w="0" w:type="auto"/>
            <w:tcMar>
              <w:top w:w="15" w:type="dxa"/>
              <w:left w:w="15" w:type="dxa"/>
              <w:bottom w:w="15" w:type="dxa"/>
              <w:right w:w="15" w:type="dxa"/>
            </w:tcMar>
            <w:vAlign w:val="center"/>
            <w:hideMark/>
          </w:tcPr>
          <w:p w14:paraId="01FEC16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118</w:t>
            </w:r>
          </w:p>
        </w:tc>
        <w:tc>
          <w:tcPr>
            <w:tcW w:w="0" w:type="auto"/>
            <w:tcMar>
              <w:top w:w="15" w:type="dxa"/>
              <w:left w:w="15" w:type="dxa"/>
              <w:bottom w:w="15" w:type="dxa"/>
              <w:right w:w="15" w:type="dxa"/>
            </w:tcMar>
            <w:vAlign w:val="center"/>
            <w:hideMark/>
          </w:tcPr>
          <w:p w14:paraId="254E039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33.9</w:t>
            </w:r>
          </w:p>
        </w:tc>
      </w:tr>
      <w:tr w:rsidR="00E16114" w:rsidRPr="007F6CB3" w14:paraId="3B531293" w14:textId="77777777" w:rsidTr="0026594F">
        <w:trPr>
          <w:trHeight w:val="325"/>
          <w:tblCellSpacing w:w="15" w:type="dxa"/>
        </w:trPr>
        <w:tc>
          <w:tcPr>
            <w:tcW w:w="0" w:type="auto"/>
            <w:tcMar>
              <w:top w:w="15" w:type="dxa"/>
              <w:left w:w="15" w:type="dxa"/>
              <w:bottom w:w="15" w:type="dxa"/>
              <w:right w:w="15" w:type="dxa"/>
            </w:tcMar>
            <w:vAlign w:val="center"/>
            <w:hideMark/>
          </w:tcPr>
          <w:p w14:paraId="46E0E5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3CD8A8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26</w:t>
            </w:r>
          </w:p>
        </w:tc>
        <w:tc>
          <w:tcPr>
            <w:tcW w:w="0" w:type="auto"/>
            <w:tcMar>
              <w:top w:w="15" w:type="dxa"/>
              <w:left w:w="15" w:type="dxa"/>
              <w:bottom w:w="15" w:type="dxa"/>
              <w:right w:w="15" w:type="dxa"/>
            </w:tcMar>
            <w:vAlign w:val="center"/>
            <w:hideMark/>
          </w:tcPr>
          <w:p w14:paraId="5EB75C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7.5</w:t>
            </w:r>
          </w:p>
        </w:tc>
      </w:tr>
    </w:tbl>
    <w:p w14:paraId="7CFC5F8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Low market price and post-harvest losses were the most critical constraints, emphasizing the need for improved storage and value-addition technologies.</w:t>
      </w:r>
    </w:p>
    <w:p w14:paraId="78EA8F5E" w14:textId="77777777" w:rsidR="00E16114" w:rsidRPr="007F6CB3" w:rsidRDefault="00E16114" w:rsidP="00E16114">
      <w:pPr>
        <w:jc w:val="both"/>
        <w:rPr>
          <w:rFonts w:ascii="Times New Roman" w:hAnsi="Times New Roman" w:cs="Times New Roman"/>
          <w:sz w:val="24"/>
          <w:szCs w:val="24"/>
        </w:rPr>
      </w:pPr>
    </w:p>
    <w:p w14:paraId="598AFFC2" w14:textId="77777777" w:rsidR="00E16114" w:rsidRPr="007F6CB3" w:rsidRDefault="00E16114" w:rsidP="00E16114">
      <w:pPr>
        <w:jc w:val="both"/>
        <w:rPr>
          <w:rFonts w:ascii="Times New Roman" w:hAnsi="Times New Roman" w:cs="Times New Roman"/>
          <w:sz w:val="24"/>
          <w:szCs w:val="24"/>
        </w:rPr>
      </w:pPr>
      <w:bookmarkStart w:id="32" w:name="_Hlk221326839"/>
      <w:r w:rsidRPr="007F6CB3">
        <w:rPr>
          <w:rFonts w:ascii="Times New Roman" w:hAnsi="Times New Roman" w:cs="Times New Roman"/>
          <w:sz w:val="24"/>
          <w:szCs w:val="24"/>
        </w:rPr>
        <w:t xml:space="preserve">4.1.12. SECTION G: Knowledge and Perception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and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w:t>
      </w:r>
    </w:p>
    <w:bookmarkEnd w:id="32"/>
    <w:p w14:paraId="4482A3FF" w14:textId="77777777" w:rsidR="00E16114" w:rsidRPr="007F6CB3" w:rsidRDefault="00E16114" w:rsidP="00E16114">
      <w:pPr>
        <w:jc w:val="both"/>
        <w:rPr>
          <w:rFonts w:ascii="Times New Roman" w:hAnsi="Times New Roman" w:cs="Times New Roman"/>
          <w:sz w:val="24"/>
          <w:szCs w:val="24"/>
        </w:rPr>
      </w:pPr>
    </w:p>
    <w:p w14:paraId="62DA4467" w14:textId="423EE2D5" w:rsidR="00E16114" w:rsidRPr="007F6CB3" w:rsidRDefault="00E16114" w:rsidP="00E16114">
      <w:pPr>
        <w:jc w:val="both"/>
        <w:rPr>
          <w:rFonts w:ascii="Times New Roman" w:hAnsi="Times New Roman" w:cs="Times New Roman"/>
          <w:sz w:val="24"/>
          <w:szCs w:val="24"/>
        </w:rPr>
      </w:pPr>
      <w:bookmarkStart w:id="33" w:name="_Hlk221326938"/>
      <w:r w:rsidRPr="007F6CB3">
        <w:rPr>
          <w:rFonts w:ascii="Times New Roman" w:hAnsi="Times New Roman" w:cs="Times New Roman"/>
          <w:sz w:val="24"/>
          <w:szCs w:val="24"/>
        </w:rPr>
        <w:t>Table 12.</w:t>
      </w:r>
      <w:r w:rsidR="007C1DB2">
        <w:rPr>
          <w:rFonts w:ascii="Times New Roman" w:hAnsi="Times New Roman" w:cs="Times New Roman"/>
          <w:sz w:val="24"/>
          <w:szCs w:val="24"/>
        </w:rPr>
        <w:t>a</w:t>
      </w:r>
      <w:r w:rsidRPr="007F6CB3">
        <w:rPr>
          <w:rFonts w:ascii="Times New Roman" w:hAnsi="Times New Roman" w:cs="Times New Roman"/>
          <w:sz w:val="24"/>
          <w:szCs w:val="24"/>
        </w:rPr>
        <w:t xml:space="preserve">: Awareness of </w:t>
      </w:r>
      <w:proofErr w:type="spellStart"/>
      <w:r w:rsidRPr="007F6CB3">
        <w:rPr>
          <w:rFonts w:ascii="Times New Roman" w:hAnsi="Times New Roman" w:cs="Times New Roman"/>
          <w:sz w:val="24"/>
          <w:szCs w:val="24"/>
        </w:rPr>
        <w:t>biofungicides</w:t>
      </w:r>
      <w:proofErr w:type="spellEnd"/>
    </w:p>
    <w:tbl>
      <w:tblPr>
        <w:tblW w:w="8189" w:type="dxa"/>
        <w:tblCellSpacing w:w="15" w:type="dxa"/>
        <w:tblLook w:val="04A0" w:firstRow="1" w:lastRow="0" w:firstColumn="1" w:lastColumn="0" w:noHBand="0" w:noVBand="1"/>
      </w:tblPr>
      <w:tblGrid>
        <w:gridCol w:w="2238"/>
        <w:gridCol w:w="2437"/>
        <w:gridCol w:w="3514"/>
      </w:tblGrid>
      <w:tr w:rsidR="00E16114" w:rsidRPr="007F6CB3" w14:paraId="33C8412C" w14:textId="77777777" w:rsidTr="0026594F">
        <w:trPr>
          <w:trHeight w:val="311"/>
          <w:tblHeader/>
          <w:tblCellSpacing w:w="15" w:type="dxa"/>
        </w:trPr>
        <w:tc>
          <w:tcPr>
            <w:tcW w:w="0" w:type="auto"/>
            <w:tcMar>
              <w:top w:w="15" w:type="dxa"/>
              <w:left w:w="15" w:type="dxa"/>
              <w:bottom w:w="15" w:type="dxa"/>
              <w:right w:w="15" w:type="dxa"/>
            </w:tcMar>
            <w:vAlign w:val="center"/>
            <w:hideMark/>
          </w:tcPr>
          <w:bookmarkEnd w:id="33"/>
          <w:p w14:paraId="6A7F0A4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26BAC82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669D18A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7E29DA70" w14:textId="77777777" w:rsidTr="0026594F">
        <w:trPr>
          <w:trHeight w:val="326"/>
          <w:tblCellSpacing w:w="15" w:type="dxa"/>
        </w:trPr>
        <w:tc>
          <w:tcPr>
            <w:tcW w:w="0" w:type="auto"/>
            <w:tcMar>
              <w:top w:w="15" w:type="dxa"/>
              <w:left w:w="15" w:type="dxa"/>
              <w:bottom w:w="15" w:type="dxa"/>
              <w:right w:w="15" w:type="dxa"/>
            </w:tcMar>
            <w:vAlign w:val="center"/>
            <w:hideMark/>
          </w:tcPr>
          <w:p w14:paraId="247901C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51465CD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102</w:t>
            </w:r>
          </w:p>
        </w:tc>
        <w:tc>
          <w:tcPr>
            <w:tcW w:w="0" w:type="auto"/>
            <w:tcMar>
              <w:top w:w="15" w:type="dxa"/>
              <w:left w:w="15" w:type="dxa"/>
              <w:bottom w:w="15" w:type="dxa"/>
              <w:right w:w="15" w:type="dxa"/>
            </w:tcMar>
            <w:vAlign w:val="center"/>
            <w:hideMark/>
          </w:tcPr>
          <w:p w14:paraId="1363FE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29.3</w:t>
            </w:r>
          </w:p>
        </w:tc>
      </w:tr>
      <w:tr w:rsidR="00E16114" w:rsidRPr="007F6CB3" w14:paraId="519062FC" w14:textId="77777777" w:rsidTr="0026594F">
        <w:trPr>
          <w:trHeight w:val="311"/>
          <w:tblCellSpacing w:w="15" w:type="dxa"/>
        </w:trPr>
        <w:tc>
          <w:tcPr>
            <w:tcW w:w="0" w:type="auto"/>
            <w:tcMar>
              <w:top w:w="15" w:type="dxa"/>
              <w:left w:w="15" w:type="dxa"/>
              <w:bottom w:w="15" w:type="dxa"/>
              <w:right w:w="15" w:type="dxa"/>
            </w:tcMar>
            <w:vAlign w:val="center"/>
            <w:hideMark/>
          </w:tcPr>
          <w:p w14:paraId="26ADEBC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793A28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246</w:t>
            </w:r>
          </w:p>
        </w:tc>
        <w:tc>
          <w:tcPr>
            <w:tcW w:w="0" w:type="auto"/>
            <w:tcMar>
              <w:top w:w="15" w:type="dxa"/>
              <w:left w:w="15" w:type="dxa"/>
              <w:bottom w:w="15" w:type="dxa"/>
              <w:right w:w="15" w:type="dxa"/>
            </w:tcMar>
            <w:vAlign w:val="center"/>
            <w:hideMark/>
          </w:tcPr>
          <w:p w14:paraId="47382FD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70.7</w:t>
            </w:r>
          </w:p>
        </w:tc>
      </w:tr>
      <w:tr w:rsidR="00E16114" w:rsidRPr="007F6CB3" w14:paraId="6D586BCB" w14:textId="77777777" w:rsidTr="0026594F">
        <w:trPr>
          <w:trHeight w:val="311"/>
          <w:tblCellSpacing w:w="15" w:type="dxa"/>
        </w:trPr>
        <w:tc>
          <w:tcPr>
            <w:tcW w:w="0" w:type="auto"/>
            <w:tcMar>
              <w:top w:w="15" w:type="dxa"/>
              <w:left w:w="15" w:type="dxa"/>
              <w:bottom w:w="15" w:type="dxa"/>
              <w:right w:w="15" w:type="dxa"/>
            </w:tcMar>
            <w:vAlign w:val="center"/>
            <w:hideMark/>
          </w:tcPr>
          <w:p w14:paraId="2B323E8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4194B65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01246C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742C479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was generally low (29.3%), indicating a significant knowledge gap among sweet potato farmers.</w:t>
      </w:r>
    </w:p>
    <w:p w14:paraId="61C2CF4E" w14:textId="77777777" w:rsidR="00E16114" w:rsidRPr="007F6CB3" w:rsidRDefault="00E16114" w:rsidP="00E16114">
      <w:pPr>
        <w:jc w:val="both"/>
        <w:rPr>
          <w:rFonts w:ascii="Times New Roman" w:hAnsi="Times New Roman" w:cs="Times New Roman"/>
          <w:sz w:val="24"/>
          <w:szCs w:val="24"/>
        </w:rPr>
      </w:pPr>
    </w:p>
    <w:p w14:paraId="0997DBC0" w14:textId="2B1E580E" w:rsidR="00E16114" w:rsidRPr="007F6CB3" w:rsidRDefault="00E16114" w:rsidP="00E16114">
      <w:pPr>
        <w:jc w:val="both"/>
        <w:rPr>
          <w:rFonts w:ascii="Times New Roman" w:hAnsi="Times New Roman" w:cs="Times New Roman"/>
          <w:sz w:val="24"/>
          <w:szCs w:val="24"/>
        </w:rPr>
      </w:pPr>
      <w:bookmarkStart w:id="34" w:name="_Hlk221327016"/>
      <w:r w:rsidRPr="007F6CB3">
        <w:rPr>
          <w:rFonts w:ascii="Times New Roman" w:hAnsi="Times New Roman" w:cs="Times New Roman"/>
          <w:sz w:val="24"/>
          <w:szCs w:val="24"/>
        </w:rPr>
        <w:t>Table 12.</w:t>
      </w:r>
      <w:r w:rsidR="007C1DB2">
        <w:rPr>
          <w:rFonts w:ascii="Times New Roman" w:hAnsi="Times New Roman" w:cs="Times New Roman"/>
          <w:sz w:val="24"/>
          <w:szCs w:val="24"/>
        </w:rPr>
        <w:t>b</w:t>
      </w:r>
      <w:r w:rsidRPr="007F6CB3">
        <w:rPr>
          <w:rFonts w:ascii="Times New Roman" w:hAnsi="Times New Roman" w:cs="Times New Roman"/>
          <w:sz w:val="24"/>
          <w:szCs w:val="24"/>
        </w:rPr>
        <w:t>: Perception of microorganisms in rot control</w:t>
      </w:r>
      <w:bookmarkEnd w:id="34"/>
    </w:p>
    <w:tbl>
      <w:tblPr>
        <w:tblW w:w="8245" w:type="dxa"/>
        <w:tblCellSpacing w:w="15" w:type="dxa"/>
        <w:tblLook w:val="04A0" w:firstRow="1" w:lastRow="0" w:firstColumn="1" w:lastColumn="0" w:noHBand="0" w:noVBand="1"/>
      </w:tblPr>
      <w:tblGrid>
        <w:gridCol w:w="2253"/>
        <w:gridCol w:w="2454"/>
        <w:gridCol w:w="3538"/>
      </w:tblGrid>
      <w:tr w:rsidR="00E16114" w:rsidRPr="007F6CB3" w14:paraId="06CA19FD" w14:textId="77777777" w:rsidTr="0026594F">
        <w:trPr>
          <w:trHeight w:val="288"/>
          <w:tblHeader/>
          <w:tblCellSpacing w:w="15" w:type="dxa"/>
        </w:trPr>
        <w:tc>
          <w:tcPr>
            <w:tcW w:w="0" w:type="auto"/>
            <w:tcMar>
              <w:top w:w="15" w:type="dxa"/>
              <w:left w:w="15" w:type="dxa"/>
              <w:bottom w:w="15" w:type="dxa"/>
              <w:right w:w="15" w:type="dxa"/>
            </w:tcMar>
            <w:vAlign w:val="center"/>
            <w:hideMark/>
          </w:tcPr>
          <w:p w14:paraId="21D6044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2A6E119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5BA5E83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09C9F33E" w14:textId="77777777" w:rsidTr="0026594F">
        <w:trPr>
          <w:trHeight w:val="303"/>
          <w:tblCellSpacing w:w="15" w:type="dxa"/>
        </w:trPr>
        <w:tc>
          <w:tcPr>
            <w:tcW w:w="0" w:type="auto"/>
            <w:tcMar>
              <w:top w:w="15" w:type="dxa"/>
              <w:left w:w="15" w:type="dxa"/>
              <w:bottom w:w="15" w:type="dxa"/>
              <w:right w:w="15" w:type="dxa"/>
            </w:tcMar>
            <w:vAlign w:val="center"/>
            <w:hideMark/>
          </w:tcPr>
          <w:p w14:paraId="1253C5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32CC50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184</w:t>
            </w:r>
          </w:p>
        </w:tc>
        <w:tc>
          <w:tcPr>
            <w:tcW w:w="0" w:type="auto"/>
            <w:tcMar>
              <w:top w:w="15" w:type="dxa"/>
              <w:left w:w="15" w:type="dxa"/>
              <w:bottom w:w="15" w:type="dxa"/>
              <w:right w:w="15" w:type="dxa"/>
            </w:tcMar>
            <w:vAlign w:val="center"/>
            <w:hideMark/>
          </w:tcPr>
          <w:p w14:paraId="633F2D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52.9</w:t>
            </w:r>
          </w:p>
        </w:tc>
      </w:tr>
      <w:tr w:rsidR="00E16114" w:rsidRPr="007F6CB3" w14:paraId="7FF79BEA" w14:textId="77777777" w:rsidTr="0026594F">
        <w:trPr>
          <w:trHeight w:val="288"/>
          <w:tblCellSpacing w:w="15" w:type="dxa"/>
        </w:trPr>
        <w:tc>
          <w:tcPr>
            <w:tcW w:w="0" w:type="auto"/>
            <w:tcMar>
              <w:top w:w="15" w:type="dxa"/>
              <w:left w:w="15" w:type="dxa"/>
              <w:bottom w:w="15" w:type="dxa"/>
              <w:right w:w="15" w:type="dxa"/>
            </w:tcMar>
            <w:vAlign w:val="center"/>
            <w:hideMark/>
          </w:tcPr>
          <w:p w14:paraId="23854D9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4BFF73C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74</w:t>
            </w:r>
          </w:p>
        </w:tc>
        <w:tc>
          <w:tcPr>
            <w:tcW w:w="0" w:type="auto"/>
            <w:tcMar>
              <w:top w:w="15" w:type="dxa"/>
              <w:left w:w="15" w:type="dxa"/>
              <w:bottom w:w="15" w:type="dxa"/>
              <w:right w:w="15" w:type="dxa"/>
            </w:tcMar>
            <w:vAlign w:val="center"/>
            <w:hideMark/>
          </w:tcPr>
          <w:p w14:paraId="220A4B4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21.3</w:t>
            </w:r>
          </w:p>
        </w:tc>
      </w:tr>
      <w:tr w:rsidR="00E16114" w:rsidRPr="007F6CB3" w14:paraId="78C15857" w14:textId="77777777" w:rsidTr="0026594F">
        <w:trPr>
          <w:trHeight w:val="288"/>
          <w:tblCellSpacing w:w="15" w:type="dxa"/>
        </w:trPr>
        <w:tc>
          <w:tcPr>
            <w:tcW w:w="0" w:type="auto"/>
            <w:tcMar>
              <w:top w:w="15" w:type="dxa"/>
              <w:left w:w="15" w:type="dxa"/>
              <w:bottom w:w="15" w:type="dxa"/>
              <w:right w:w="15" w:type="dxa"/>
            </w:tcMar>
            <w:vAlign w:val="center"/>
            <w:hideMark/>
          </w:tcPr>
          <w:p w14:paraId="592563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Not sure</w:t>
            </w:r>
          </w:p>
        </w:tc>
        <w:tc>
          <w:tcPr>
            <w:tcW w:w="0" w:type="auto"/>
            <w:tcMar>
              <w:top w:w="15" w:type="dxa"/>
              <w:left w:w="15" w:type="dxa"/>
              <w:bottom w:w="15" w:type="dxa"/>
              <w:right w:w="15" w:type="dxa"/>
            </w:tcMar>
            <w:vAlign w:val="center"/>
            <w:hideMark/>
          </w:tcPr>
          <w:p w14:paraId="0A58E46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90</w:t>
            </w:r>
          </w:p>
        </w:tc>
        <w:tc>
          <w:tcPr>
            <w:tcW w:w="0" w:type="auto"/>
            <w:tcMar>
              <w:top w:w="15" w:type="dxa"/>
              <w:left w:w="15" w:type="dxa"/>
              <w:bottom w:w="15" w:type="dxa"/>
              <w:right w:w="15" w:type="dxa"/>
            </w:tcMar>
            <w:vAlign w:val="center"/>
            <w:hideMark/>
          </w:tcPr>
          <w:p w14:paraId="0F3ED6C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25.9</w:t>
            </w:r>
          </w:p>
        </w:tc>
      </w:tr>
      <w:tr w:rsidR="00E16114" w:rsidRPr="007F6CB3" w14:paraId="593E9425" w14:textId="77777777" w:rsidTr="0026594F">
        <w:trPr>
          <w:trHeight w:val="288"/>
          <w:tblCellSpacing w:w="15" w:type="dxa"/>
        </w:trPr>
        <w:tc>
          <w:tcPr>
            <w:tcW w:w="0" w:type="auto"/>
            <w:tcMar>
              <w:top w:w="15" w:type="dxa"/>
              <w:left w:w="15" w:type="dxa"/>
              <w:bottom w:w="15" w:type="dxa"/>
              <w:right w:w="15" w:type="dxa"/>
            </w:tcMar>
            <w:vAlign w:val="center"/>
            <w:hideMark/>
          </w:tcPr>
          <w:p w14:paraId="2C67049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07278F1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3A9195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0C6325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lastRenderedPageBreak/>
        <w:br/>
        <w:t>Despite low awareness, over half of respondents (52.9%) believed that microorganisms could be used to control crop rots, suggesting latent acceptance potential for biological control technologies.</w:t>
      </w:r>
    </w:p>
    <w:p w14:paraId="5E86512E" w14:textId="77777777" w:rsidR="00E16114" w:rsidRPr="007F6CB3" w:rsidRDefault="00E16114" w:rsidP="00E16114">
      <w:pPr>
        <w:jc w:val="both"/>
        <w:rPr>
          <w:rFonts w:ascii="Times New Roman" w:hAnsi="Times New Roman" w:cs="Times New Roman"/>
          <w:sz w:val="24"/>
          <w:szCs w:val="24"/>
        </w:rPr>
      </w:pPr>
    </w:p>
    <w:p w14:paraId="61E52B2C" w14:textId="10023289" w:rsidR="00E16114" w:rsidRPr="007F6CB3" w:rsidRDefault="00E16114" w:rsidP="00E16114">
      <w:pPr>
        <w:jc w:val="both"/>
        <w:rPr>
          <w:rFonts w:ascii="Times New Roman" w:hAnsi="Times New Roman" w:cs="Times New Roman"/>
          <w:sz w:val="24"/>
          <w:szCs w:val="24"/>
        </w:rPr>
      </w:pPr>
      <w:bookmarkStart w:id="35" w:name="_Hlk221327071"/>
      <w:r w:rsidRPr="007F6CB3">
        <w:rPr>
          <w:rFonts w:ascii="Times New Roman" w:hAnsi="Times New Roman" w:cs="Times New Roman"/>
          <w:sz w:val="24"/>
          <w:szCs w:val="24"/>
        </w:rPr>
        <w:t>Table 12</w:t>
      </w:r>
      <w:r w:rsidR="007C1DB2">
        <w:rPr>
          <w:rFonts w:ascii="Times New Roman" w:hAnsi="Times New Roman" w:cs="Times New Roman"/>
          <w:sz w:val="24"/>
          <w:szCs w:val="24"/>
        </w:rPr>
        <w:t>c</w:t>
      </w:r>
      <w:r w:rsidRPr="007F6CB3">
        <w:rPr>
          <w:rFonts w:ascii="Times New Roman" w:hAnsi="Times New Roman" w:cs="Times New Roman"/>
          <w:sz w:val="24"/>
          <w:szCs w:val="24"/>
        </w:rPr>
        <w:t xml:space="preserve">: Awareness of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w:t>
      </w:r>
      <w:bookmarkEnd w:id="35"/>
    </w:p>
    <w:tbl>
      <w:tblPr>
        <w:tblW w:w="8370" w:type="dxa"/>
        <w:tblCellSpacing w:w="15" w:type="dxa"/>
        <w:tblLook w:val="04A0" w:firstRow="1" w:lastRow="0" w:firstColumn="1" w:lastColumn="0" w:noHBand="0" w:noVBand="1"/>
      </w:tblPr>
      <w:tblGrid>
        <w:gridCol w:w="2287"/>
        <w:gridCol w:w="2491"/>
        <w:gridCol w:w="3592"/>
      </w:tblGrid>
      <w:tr w:rsidR="00E16114" w:rsidRPr="007F6CB3" w14:paraId="0FEE630B" w14:textId="77777777" w:rsidTr="0026594F">
        <w:trPr>
          <w:trHeight w:val="347"/>
          <w:tblHeader/>
          <w:tblCellSpacing w:w="15" w:type="dxa"/>
        </w:trPr>
        <w:tc>
          <w:tcPr>
            <w:tcW w:w="0" w:type="auto"/>
            <w:tcMar>
              <w:top w:w="15" w:type="dxa"/>
              <w:left w:w="15" w:type="dxa"/>
              <w:bottom w:w="15" w:type="dxa"/>
              <w:right w:w="15" w:type="dxa"/>
            </w:tcMar>
            <w:vAlign w:val="center"/>
            <w:hideMark/>
          </w:tcPr>
          <w:p w14:paraId="2FB632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7BBDC62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A66AC5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1FBF7A7B" w14:textId="77777777" w:rsidTr="0026594F">
        <w:trPr>
          <w:trHeight w:val="365"/>
          <w:tblCellSpacing w:w="15" w:type="dxa"/>
        </w:trPr>
        <w:tc>
          <w:tcPr>
            <w:tcW w:w="0" w:type="auto"/>
            <w:tcMar>
              <w:top w:w="15" w:type="dxa"/>
              <w:left w:w="15" w:type="dxa"/>
              <w:bottom w:w="15" w:type="dxa"/>
              <w:right w:w="15" w:type="dxa"/>
            </w:tcMar>
            <w:vAlign w:val="center"/>
            <w:hideMark/>
          </w:tcPr>
          <w:p w14:paraId="475A63E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1B6822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96</w:t>
            </w:r>
          </w:p>
        </w:tc>
        <w:tc>
          <w:tcPr>
            <w:tcW w:w="0" w:type="auto"/>
            <w:tcMar>
              <w:top w:w="15" w:type="dxa"/>
              <w:left w:w="15" w:type="dxa"/>
              <w:bottom w:w="15" w:type="dxa"/>
              <w:right w:w="15" w:type="dxa"/>
            </w:tcMar>
            <w:vAlign w:val="center"/>
            <w:hideMark/>
          </w:tcPr>
          <w:p w14:paraId="01AB329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27.6</w:t>
            </w:r>
          </w:p>
        </w:tc>
      </w:tr>
      <w:tr w:rsidR="00E16114" w:rsidRPr="007F6CB3" w14:paraId="5FFB0DD9" w14:textId="77777777" w:rsidTr="0026594F">
        <w:trPr>
          <w:trHeight w:val="347"/>
          <w:tblCellSpacing w:w="15" w:type="dxa"/>
        </w:trPr>
        <w:tc>
          <w:tcPr>
            <w:tcW w:w="0" w:type="auto"/>
            <w:tcMar>
              <w:top w:w="15" w:type="dxa"/>
              <w:left w:w="15" w:type="dxa"/>
              <w:bottom w:w="15" w:type="dxa"/>
              <w:right w:w="15" w:type="dxa"/>
            </w:tcMar>
            <w:vAlign w:val="center"/>
            <w:hideMark/>
          </w:tcPr>
          <w:p w14:paraId="0FCA95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69C518C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252</w:t>
            </w:r>
          </w:p>
        </w:tc>
        <w:tc>
          <w:tcPr>
            <w:tcW w:w="0" w:type="auto"/>
            <w:tcMar>
              <w:top w:w="15" w:type="dxa"/>
              <w:left w:w="15" w:type="dxa"/>
              <w:bottom w:w="15" w:type="dxa"/>
              <w:right w:w="15" w:type="dxa"/>
            </w:tcMar>
            <w:vAlign w:val="center"/>
            <w:hideMark/>
          </w:tcPr>
          <w:p w14:paraId="4955145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72.4</w:t>
            </w:r>
          </w:p>
        </w:tc>
      </w:tr>
      <w:tr w:rsidR="00E16114" w:rsidRPr="007F6CB3" w14:paraId="16A8546F" w14:textId="77777777" w:rsidTr="0026594F">
        <w:trPr>
          <w:trHeight w:val="347"/>
          <w:tblCellSpacing w:w="15" w:type="dxa"/>
        </w:trPr>
        <w:tc>
          <w:tcPr>
            <w:tcW w:w="0" w:type="auto"/>
            <w:tcMar>
              <w:top w:w="15" w:type="dxa"/>
              <w:left w:w="15" w:type="dxa"/>
              <w:bottom w:w="15" w:type="dxa"/>
              <w:right w:w="15" w:type="dxa"/>
            </w:tcMar>
            <w:vAlign w:val="center"/>
            <w:hideMark/>
          </w:tcPr>
          <w:p w14:paraId="3D4F246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20349D2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D7E705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2BBDAD9" w14:textId="77777777" w:rsidR="00E16114" w:rsidRPr="007F6CB3" w:rsidRDefault="00E16114" w:rsidP="00E16114">
      <w:pPr>
        <w:jc w:val="both"/>
        <w:rPr>
          <w:rFonts w:ascii="Times New Roman" w:hAnsi="Times New Roman" w:cs="Times New Roman"/>
          <w:sz w:val="24"/>
          <w:szCs w:val="24"/>
        </w:rPr>
      </w:pPr>
    </w:p>
    <w:p w14:paraId="0BC79D56" w14:textId="63D01095" w:rsidR="00E16114" w:rsidRPr="007F6CB3" w:rsidRDefault="00E16114" w:rsidP="00E16114">
      <w:pPr>
        <w:jc w:val="both"/>
        <w:rPr>
          <w:rFonts w:ascii="Times New Roman" w:hAnsi="Times New Roman" w:cs="Times New Roman"/>
          <w:sz w:val="24"/>
          <w:szCs w:val="24"/>
        </w:rPr>
      </w:pPr>
      <w:bookmarkStart w:id="36" w:name="_Hlk221327109"/>
      <w:r w:rsidRPr="007F6CB3">
        <w:rPr>
          <w:rFonts w:ascii="Times New Roman" w:hAnsi="Times New Roman" w:cs="Times New Roman"/>
          <w:sz w:val="24"/>
          <w:szCs w:val="24"/>
        </w:rPr>
        <w:t>Table 12</w:t>
      </w:r>
      <w:r w:rsidR="007C1DB2">
        <w:rPr>
          <w:rFonts w:ascii="Times New Roman" w:hAnsi="Times New Roman" w:cs="Times New Roman"/>
          <w:sz w:val="24"/>
          <w:szCs w:val="24"/>
        </w:rPr>
        <w:t>d</w:t>
      </w:r>
      <w:r w:rsidRPr="007F6CB3">
        <w:rPr>
          <w:rFonts w:ascii="Times New Roman" w:hAnsi="Times New Roman" w:cs="Times New Roman"/>
          <w:sz w:val="24"/>
          <w:szCs w:val="24"/>
        </w:rPr>
        <w:t xml:space="preserve">: Willingness to use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-based </w:t>
      </w:r>
      <w:proofErr w:type="spellStart"/>
      <w:r w:rsidRPr="007F6CB3">
        <w:rPr>
          <w:rFonts w:ascii="Times New Roman" w:hAnsi="Times New Roman" w:cs="Times New Roman"/>
          <w:sz w:val="24"/>
          <w:szCs w:val="24"/>
        </w:rPr>
        <w:t>biofungicides</w:t>
      </w:r>
      <w:bookmarkEnd w:id="36"/>
      <w:proofErr w:type="spellEnd"/>
    </w:p>
    <w:tbl>
      <w:tblPr>
        <w:tblW w:w="8495" w:type="dxa"/>
        <w:tblCellSpacing w:w="15" w:type="dxa"/>
        <w:tblLook w:val="04A0" w:firstRow="1" w:lastRow="0" w:firstColumn="1" w:lastColumn="0" w:noHBand="0" w:noVBand="1"/>
      </w:tblPr>
      <w:tblGrid>
        <w:gridCol w:w="2320"/>
        <w:gridCol w:w="2529"/>
        <w:gridCol w:w="3646"/>
      </w:tblGrid>
      <w:tr w:rsidR="00E16114" w:rsidRPr="007F6CB3" w14:paraId="7524CC7A" w14:textId="77777777" w:rsidTr="0026594F">
        <w:trPr>
          <w:trHeight w:val="297"/>
          <w:tblHeader/>
          <w:tblCellSpacing w:w="15" w:type="dxa"/>
        </w:trPr>
        <w:tc>
          <w:tcPr>
            <w:tcW w:w="0" w:type="auto"/>
            <w:tcMar>
              <w:top w:w="15" w:type="dxa"/>
              <w:left w:w="15" w:type="dxa"/>
              <w:bottom w:w="15" w:type="dxa"/>
              <w:right w:w="15" w:type="dxa"/>
            </w:tcMar>
            <w:vAlign w:val="center"/>
            <w:hideMark/>
          </w:tcPr>
          <w:p w14:paraId="03EBB24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0424077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753E61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5C03FE78" w14:textId="77777777" w:rsidTr="0026594F">
        <w:trPr>
          <w:trHeight w:val="312"/>
          <w:tblCellSpacing w:w="15" w:type="dxa"/>
        </w:trPr>
        <w:tc>
          <w:tcPr>
            <w:tcW w:w="0" w:type="auto"/>
            <w:tcMar>
              <w:top w:w="15" w:type="dxa"/>
              <w:left w:w="15" w:type="dxa"/>
              <w:bottom w:w="15" w:type="dxa"/>
              <w:right w:w="15" w:type="dxa"/>
            </w:tcMar>
            <w:vAlign w:val="center"/>
            <w:hideMark/>
          </w:tcPr>
          <w:p w14:paraId="1FC55F6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1EAC33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168</w:t>
            </w:r>
          </w:p>
        </w:tc>
        <w:tc>
          <w:tcPr>
            <w:tcW w:w="0" w:type="auto"/>
            <w:tcMar>
              <w:top w:w="15" w:type="dxa"/>
              <w:left w:w="15" w:type="dxa"/>
              <w:bottom w:w="15" w:type="dxa"/>
              <w:right w:w="15" w:type="dxa"/>
            </w:tcMar>
            <w:vAlign w:val="center"/>
            <w:hideMark/>
          </w:tcPr>
          <w:p w14:paraId="5650276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48.3</w:t>
            </w:r>
          </w:p>
        </w:tc>
      </w:tr>
      <w:tr w:rsidR="00E16114" w:rsidRPr="007F6CB3" w14:paraId="30534685" w14:textId="77777777" w:rsidTr="0026594F">
        <w:trPr>
          <w:trHeight w:val="297"/>
          <w:tblCellSpacing w:w="15" w:type="dxa"/>
        </w:trPr>
        <w:tc>
          <w:tcPr>
            <w:tcW w:w="0" w:type="auto"/>
            <w:tcMar>
              <w:top w:w="15" w:type="dxa"/>
              <w:left w:w="15" w:type="dxa"/>
              <w:bottom w:w="15" w:type="dxa"/>
              <w:right w:w="15" w:type="dxa"/>
            </w:tcMar>
            <w:vAlign w:val="center"/>
            <w:hideMark/>
          </w:tcPr>
          <w:p w14:paraId="204624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3E0452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62</w:t>
            </w:r>
          </w:p>
        </w:tc>
        <w:tc>
          <w:tcPr>
            <w:tcW w:w="0" w:type="auto"/>
            <w:tcMar>
              <w:top w:w="15" w:type="dxa"/>
              <w:left w:w="15" w:type="dxa"/>
              <w:bottom w:w="15" w:type="dxa"/>
              <w:right w:w="15" w:type="dxa"/>
            </w:tcMar>
            <w:vAlign w:val="center"/>
            <w:hideMark/>
          </w:tcPr>
          <w:p w14:paraId="46E092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17.8</w:t>
            </w:r>
          </w:p>
        </w:tc>
      </w:tr>
      <w:tr w:rsidR="00E16114" w:rsidRPr="007F6CB3" w14:paraId="5D6E77BE" w14:textId="77777777" w:rsidTr="0026594F">
        <w:trPr>
          <w:trHeight w:val="297"/>
          <w:tblCellSpacing w:w="15" w:type="dxa"/>
        </w:trPr>
        <w:tc>
          <w:tcPr>
            <w:tcW w:w="0" w:type="auto"/>
            <w:tcMar>
              <w:top w:w="15" w:type="dxa"/>
              <w:left w:w="15" w:type="dxa"/>
              <w:bottom w:w="15" w:type="dxa"/>
              <w:right w:w="15" w:type="dxa"/>
            </w:tcMar>
            <w:vAlign w:val="center"/>
            <w:hideMark/>
          </w:tcPr>
          <w:p w14:paraId="05C5352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Maybe</w:t>
            </w:r>
          </w:p>
        </w:tc>
        <w:tc>
          <w:tcPr>
            <w:tcW w:w="0" w:type="auto"/>
            <w:tcMar>
              <w:top w:w="15" w:type="dxa"/>
              <w:left w:w="15" w:type="dxa"/>
              <w:bottom w:w="15" w:type="dxa"/>
              <w:right w:w="15" w:type="dxa"/>
            </w:tcMar>
            <w:vAlign w:val="center"/>
            <w:hideMark/>
          </w:tcPr>
          <w:p w14:paraId="79960FE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118</w:t>
            </w:r>
          </w:p>
        </w:tc>
        <w:tc>
          <w:tcPr>
            <w:tcW w:w="0" w:type="auto"/>
            <w:tcMar>
              <w:top w:w="15" w:type="dxa"/>
              <w:left w:w="15" w:type="dxa"/>
              <w:bottom w:w="15" w:type="dxa"/>
              <w:right w:w="15" w:type="dxa"/>
            </w:tcMar>
            <w:vAlign w:val="center"/>
            <w:hideMark/>
          </w:tcPr>
          <w:p w14:paraId="0CEC39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33.9</w:t>
            </w:r>
          </w:p>
        </w:tc>
      </w:tr>
      <w:tr w:rsidR="00E16114" w:rsidRPr="007F6CB3" w14:paraId="5B0B0E8E" w14:textId="77777777" w:rsidTr="0026594F">
        <w:trPr>
          <w:trHeight w:val="297"/>
          <w:tblCellSpacing w:w="15" w:type="dxa"/>
        </w:trPr>
        <w:tc>
          <w:tcPr>
            <w:tcW w:w="0" w:type="auto"/>
            <w:tcMar>
              <w:top w:w="15" w:type="dxa"/>
              <w:left w:w="15" w:type="dxa"/>
              <w:bottom w:w="15" w:type="dxa"/>
              <w:right w:w="15" w:type="dxa"/>
            </w:tcMar>
            <w:vAlign w:val="center"/>
            <w:hideMark/>
          </w:tcPr>
          <w:p w14:paraId="71F4AD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52B3124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3AD01038" w14:textId="2A688F83"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23A521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Nearly half of the respondents (48.3%) expressed willingness to adopt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-based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if proven effective, highlighting strong adoption potential.</w:t>
      </w:r>
    </w:p>
    <w:p w14:paraId="226C743B" w14:textId="77777777" w:rsidR="00E16114" w:rsidRPr="007F6CB3" w:rsidRDefault="00E16114" w:rsidP="00E16114">
      <w:pPr>
        <w:jc w:val="both"/>
        <w:rPr>
          <w:rFonts w:ascii="Times New Roman" w:hAnsi="Times New Roman" w:cs="Times New Roman"/>
          <w:sz w:val="24"/>
          <w:szCs w:val="24"/>
        </w:rPr>
      </w:pPr>
    </w:p>
    <w:p w14:paraId="35B3CB88" w14:textId="1CCDA27F" w:rsidR="00E16114" w:rsidRPr="007F6CB3" w:rsidRDefault="00E16114" w:rsidP="00E16114">
      <w:pPr>
        <w:jc w:val="both"/>
        <w:rPr>
          <w:rFonts w:ascii="Times New Roman" w:hAnsi="Times New Roman" w:cs="Times New Roman"/>
          <w:sz w:val="24"/>
          <w:szCs w:val="24"/>
        </w:rPr>
      </w:pPr>
      <w:bookmarkStart w:id="37" w:name="_Hlk221327144"/>
      <w:r w:rsidRPr="007F6CB3">
        <w:rPr>
          <w:rFonts w:ascii="Times New Roman" w:hAnsi="Times New Roman" w:cs="Times New Roman"/>
          <w:sz w:val="24"/>
          <w:szCs w:val="24"/>
        </w:rPr>
        <w:t>Table 12.</w:t>
      </w:r>
      <w:r w:rsidR="007C1DB2">
        <w:rPr>
          <w:rFonts w:ascii="Times New Roman" w:hAnsi="Times New Roman" w:cs="Times New Roman"/>
          <w:sz w:val="24"/>
          <w:szCs w:val="24"/>
        </w:rPr>
        <w:t>e</w:t>
      </w:r>
      <w:r w:rsidRPr="007F6CB3">
        <w:rPr>
          <w:rFonts w:ascii="Times New Roman" w:hAnsi="Times New Roman" w:cs="Times New Roman"/>
          <w:sz w:val="24"/>
          <w:szCs w:val="24"/>
        </w:rPr>
        <w:t>: Concerns about biological control agents (multiple responses)</w:t>
      </w:r>
    </w:p>
    <w:tbl>
      <w:tblPr>
        <w:tblW w:w="8748" w:type="dxa"/>
        <w:tblCellSpacing w:w="15" w:type="dxa"/>
        <w:tblLook w:val="04A0" w:firstRow="1" w:lastRow="0" w:firstColumn="1" w:lastColumn="0" w:noHBand="0" w:noVBand="1"/>
      </w:tblPr>
      <w:tblGrid>
        <w:gridCol w:w="3713"/>
        <w:gridCol w:w="2062"/>
        <w:gridCol w:w="2973"/>
      </w:tblGrid>
      <w:tr w:rsidR="00E16114" w:rsidRPr="007F6CB3" w14:paraId="510738E0" w14:textId="77777777" w:rsidTr="0026594F">
        <w:trPr>
          <w:trHeight w:val="285"/>
          <w:tblHeader/>
          <w:tblCellSpacing w:w="15" w:type="dxa"/>
        </w:trPr>
        <w:tc>
          <w:tcPr>
            <w:tcW w:w="0" w:type="auto"/>
            <w:tcMar>
              <w:top w:w="15" w:type="dxa"/>
              <w:left w:w="15" w:type="dxa"/>
              <w:bottom w:w="15" w:type="dxa"/>
              <w:right w:w="15" w:type="dxa"/>
            </w:tcMar>
            <w:vAlign w:val="center"/>
            <w:hideMark/>
          </w:tcPr>
          <w:bookmarkEnd w:id="37"/>
          <w:p w14:paraId="4D9400E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Concern</w:t>
            </w:r>
          </w:p>
        </w:tc>
        <w:tc>
          <w:tcPr>
            <w:tcW w:w="0" w:type="auto"/>
            <w:tcMar>
              <w:top w:w="15" w:type="dxa"/>
              <w:left w:w="15" w:type="dxa"/>
              <w:bottom w:w="15" w:type="dxa"/>
              <w:right w:w="15" w:type="dxa"/>
            </w:tcMar>
            <w:vAlign w:val="center"/>
            <w:hideMark/>
          </w:tcPr>
          <w:p w14:paraId="41F3E9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45405B9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04043BB" w14:textId="77777777" w:rsidTr="0026594F">
        <w:trPr>
          <w:trHeight w:val="299"/>
          <w:tblCellSpacing w:w="15" w:type="dxa"/>
        </w:trPr>
        <w:tc>
          <w:tcPr>
            <w:tcW w:w="0" w:type="auto"/>
            <w:tcMar>
              <w:top w:w="15" w:type="dxa"/>
              <w:left w:w="15" w:type="dxa"/>
              <w:bottom w:w="15" w:type="dxa"/>
              <w:right w:w="15" w:type="dxa"/>
            </w:tcMar>
            <w:vAlign w:val="center"/>
            <w:hideMark/>
          </w:tcPr>
          <w:p w14:paraId="1D1DD4F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Safety</w:t>
            </w:r>
          </w:p>
        </w:tc>
        <w:tc>
          <w:tcPr>
            <w:tcW w:w="0" w:type="auto"/>
            <w:tcMar>
              <w:top w:w="15" w:type="dxa"/>
              <w:left w:w="15" w:type="dxa"/>
              <w:bottom w:w="15" w:type="dxa"/>
              <w:right w:w="15" w:type="dxa"/>
            </w:tcMar>
            <w:vAlign w:val="center"/>
            <w:hideMark/>
          </w:tcPr>
          <w:p w14:paraId="1C80280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tcMar>
              <w:top w:w="15" w:type="dxa"/>
              <w:left w:w="15" w:type="dxa"/>
              <w:bottom w:w="15" w:type="dxa"/>
              <w:right w:w="15" w:type="dxa"/>
            </w:tcMar>
            <w:vAlign w:val="center"/>
            <w:hideMark/>
          </w:tcPr>
          <w:p w14:paraId="7B8B76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42.0</w:t>
            </w:r>
          </w:p>
        </w:tc>
      </w:tr>
      <w:tr w:rsidR="00E16114" w:rsidRPr="007F6CB3" w14:paraId="57EE90E5" w14:textId="77777777" w:rsidTr="0026594F">
        <w:trPr>
          <w:trHeight w:val="285"/>
          <w:tblCellSpacing w:w="15" w:type="dxa"/>
        </w:trPr>
        <w:tc>
          <w:tcPr>
            <w:tcW w:w="0" w:type="auto"/>
            <w:tcMar>
              <w:top w:w="15" w:type="dxa"/>
              <w:left w:w="15" w:type="dxa"/>
              <w:bottom w:w="15" w:type="dxa"/>
              <w:right w:w="15" w:type="dxa"/>
            </w:tcMar>
            <w:vAlign w:val="center"/>
            <w:hideMark/>
          </w:tcPr>
          <w:p w14:paraId="2C73322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Cost</w:t>
            </w:r>
          </w:p>
        </w:tc>
        <w:tc>
          <w:tcPr>
            <w:tcW w:w="0" w:type="auto"/>
            <w:tcMar>
              <w:top w:w="15" w:type="dxa"/>
              <w:left w:w="15" w:type="dxa"/>
              <w:bottom w:w="15" w:type="dxa"/>
              <w:right w:w="15" w:type="dxa"/>
            </w:tcMar>
            <w:vAlign w:val="center"/>
            <w:hideMark/>
          </w:tcPr>
          <w:p w14:paraId="5A56E39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164</w:t>
            </w:r>
          </w:p>
        </w:tc>
        <w:tc>
          <w:tcPr>
            <w:tcW w:w="0" w:type="auto"/>
            <w:tcMar>
              <w:top w:w="15" w:type="dxa"/>
              <w:left w:w="15" w:type="dxa"/>
              <w:bottom w:w="15" w:type="dxa"/>
              <w:right w:w="15" w:type="dxa"/>
            </w:tcMar>
            <w:vAlign w:val="center"/>
            <w:hideMark/>
          </w:tcPr>
          <w:p w14:paraId="526717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47.1</w:t>
            </w:r>
          </w:p>
        </w:tc>
      </w:tr>
      <w:tr w:rsidR="00E16114" w:rsidRPr="007F6CB3" w14:paraId="787EE46A" w14:textId="77777777" w:rsidTr="0026594F">
        <w:trPr>
          <w:trHeight w:val="285"/>
          <w:tblCellSpacing w:w="15" w:type="dxa"/>
        </w:trPr>
        <w:tc>
          <w:tcPr>
            <w:tcW w:w="0" w:type="auto"/>
            <w:tcMar>
              <w:top w:w="15" w:type="dxa"/>
              <w:left w:w="15" w:type="dxa"/>
              <w:bottom w:w="15" w:type="dxa"/>
              <w:right w:w="15" w:type="dxa"/>
            </w:tcMar>
            <w:vAlign w:val="center"/>
            <w:hideMark/>
          </w:tcPr>
          <w:p w14:paraId="7639877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Availability</w:t>
            </w:r>
          </w:p>
        </w:tc>
        <w:tc>
          <w:tcPr>
            <w:tcW w:w="0" w:type="auto"/>
            <w:tcMar>
              <w:top w:w="15" w:type="dxa"/>
              <w:left w:w="15" w:type="dxa"/>
              <w:bottom w:w="15" w:type="dxa"/>
              <w:right w:w="15" w:type="dxa"/>
            </w:tcMar>
            <w:vAlign w:val="center"/>
            <w:hideMark/>
          </w:tcPr>
          <w:p w14:paraId="180EDE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172</w:t>
            </w:r>
          </w:p>
        </w:tc>
        <w:tc>
          <w:tcPr>
            <w:tcW w:w="0" w:type="auto"/>
            <w:tcMar>
              <w:top w:w="15" w:type="dxa"/>
              <w:left w:w="15" w:type="dxa"/>
              <w:bottom w:w="15" w:type="dxa"/>
              <w:right w:w="15" w:type="dxa"/>
            </w:tcMar>
            <w:vAlign w:val="center"/>
            <w:hideMark/>
          </w:tcPr>
          <w:p w14:paraId="0D6BB80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49.4</w:t>
            </w:r>
          </w:p>
        </w:tc>
      </w:tr>
      <w:tr w:rsidR="00E16114" w:rsidRPr="007F6CB3" w14:paraId="300F4830" w14:textId="77777777" w:rsidTr="0026594F">
        <w:trPr>
          <w:trHeight w:val="285"/>
          <w:tblCellSpacing w:w="15" w:type="dxa"/>
        </w:trPr>
        <w:tc>
          <w:tcPr>
            <w:tcW w:w="0" w:type="auto"/>
            <w:tcMar>
              <w:top w:w="15" w:type="dxa"/>
              <w:left w:w="15" w:type="dxa"/>
              <w:bottom w:w="15" w:type="dxa"/>
              <w:right w:w="15" w:type="dxa"/>
            </w:tcMar>
            <w:vAlign w:val="center"/>
            <w:hideMark/>
          </w:tcPr>
          <w:p w14:paraId="370D9F7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Effectiveness</w:t>
            </w:r>
          </w:p>
        </w:tc>
        <w:tc>
          <w:tcPr>
            <w:tcW w:w="0" w:type="auto"/>
            <w:tcMar>
              <w:top w:w="15" w:type="dxa"/>
              <w:left w:w="15" w:type="dxa"/>
              <w:bottom w:w="15" w:type="dxa"/>
              <w:right w:w="15" w:type="dxa"/>
            </w:tcMar>
            <w:vAlign w:val="center"/>
            <w:hideMark/>
          </w:tcPr>
          <w:p w14:paraId="20AC1DF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060605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308BAE54" w14:textId="77777777" w:rsidTr="0026594F">
        <w:trPr>
          <w:trHeight w:val="299"/>
          <w:tblCellSpacing w:w="15" w:type="dxa"/>
        </w:trPr>
        <w:tc>
          <w:tcPr>
            <w:tcW w:w="0" w:type="auto"/>
            <w:tcMar>
              <w:top w:w="15" w:type="dxa"/>
              <w:left w:w="15" w:type="dxa"/>
              <w:bottom w:w="15" w:type="dxa"/>
              <w:right w:w="15" w:type="dxa"/>
            </w:tcMar>
            <w:vAlign w:val="center"/>
            <w:hideMark/>
          </w:tcPr>
          <w:p w14:paraId="5551371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Lack of knowledge</w:t>
            </w:r>
          </w:p>
        </w:tc>
        <w:tc>
          <w:tcPr>
            <w:tcW w:w="0" w:type="auto"/>
            <w:tcMar>
              <w:top w:w="15" w:type="dxa"/>
              <w:left w:w="15" w:type="dxa"/>
              <w:bottom w:w="15" w:type="dxa"/>
              <w:right w:w="15" w:type="dxa"/>
            </w:tcMar>
            <w:vAlign w:val="center"/>
            <w:hideMark/>
          </w:tcPr>
          <w:p w14:paraId="27BB95D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206</w:t>
            </w:r>
          </w:p>
        </w:tc>
        <w:tc>
          <w:tcPr>
            <w:tcW w:w="0" w:type="auto"/>
            <w:tcMar>
              <w:top w:w="15" w:type="dxa"/>
              <w:left w:w="15" w:type="dxa"/>
              <w:bottom w:w="15" w:type="dxa"/>
              <w:right w:w="15" w:type="dxa"/>
            </w:tcMar>
            <w:vAlign w:val="center"/>
            <w:hideMark/>
          </w:tcPr>
          <w:p w14:paraId="6271530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59.2</w:t>
            </w:r>
          </w:p>
        </w:tc>
      </w:tr>
      <w:tr w:rsidR="00E16114" w:rsidRPr="007F6CB3" w14:paraId="5F0E9E2D" w14:textId="77777777" w:rsidTr="0026594F">
        <w:trPr>
          <w:trHeight w:val="285"/>
          <w:tblCellSpacing w:w="15" w:type="dxa"/>
        </w:trPr>
        <w:tc>
          <w:tcPr>
            <w:tcW w:w="0" w:type="auto"/>
            <w:tcMar>
              <w:top w:w="15" w:type="dxa"/>
              <w:left w:w="15" w:type="dxa"/>
              <w:bottom w:w="15" w:type="dxa"/>
              <w:right w:w="15" w:type="dxa"/>
            </w:tcMar>
            <w:vAlign w:val="center"/>
            <w:hideMark/>
          </w:tcPr>
          <w:p w14:paraId="79ABA47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48D1E5F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w:t>
            </w:r>
          </w:p>
        </w:tc>
        <w:tc>
          <w:tcPr>
            <w:tcW w:w="0" w:type="auto"/>
            <w:tcMar>
              <w:top w:w="15" w:type="dxa"/>
              <w:left w:w="15" w:type="dxa"/>
              <w:bottom w:w="15" w:type="dxa"/>
              <w:right w:w="15" w:type="dxa"/>
            </w:tcMar>
            <w:vAlign w:val="center"/>
            <w:hideMark/>
          </w:tcPr>
          <w:p w14:paraId="377002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6.9</w:t>
            </w:r>
          </w:p>
        </w:tc>
      </w:tr>
    </w:tbl>
    <w:p w14:paraId="4ED71DA8" w14:textId="77777777" w:rsidR="00E16114" w:rsidRPr="007F6CB3" w:rsidRDefault="00E16114" w:rsidP="00E16114">
      <w:pPr>
        <w:jc w:val="both"/>
        <w:rPr>
          <w:rFonts w:ascii="Times New Roman" w:hAnsi="Times New Roman" w:cs="Times New Roman"/>
          <w:sz w:val="24"/>
          <w:szCs w:val="24"/>
        </w:rPr>
      </w:pPr>
    </w:p>
    <w:p w14:paraId="2D9992CB" w14:textId="7A7AF72C" w:rsidR="00E16114" w:rsidRPr="007F6CB3" w:rsidRDefault="00E16114" w:rsidP="00E16114">
      <w:pPr>
        <w:jc w:val="both"/>
        <w:rPr>
          <w:rFonts w:ascii="Times New Roman" w:hAnsi="Times New Roman" w:cs="Times New Roman"/>
          <w:sz w:val="24"/>
          <w:szCs w:val="24"/>
        </w:rPr>
      </w:pPr>
      <w:bookmarkStart w:id="38" w:name="_Hlk221327193"/>
      <w:r w:rsidRPr="007F6CB3">
        <w:rPr>
          <w:rFonts w:ascii="Times New Roman" w:hAnsi="Times New Roman" w:cs="Times New Roman"/>
          <w:sz w:val="24"/>
          <w:szCs w:val="24"/>
        </w:rPr>
        <w:t>Table 12.</w:t>
      </w:r>
      <w:r w:rsidR="007C1DB2">
        <w:rPr>
          <w:rFonts w:ascii="Times New Roman" w:hAnsi="Times New Roman" w:cs="Times New Roman"/>
          <w:sz w:val="24"/>
          <w:szCs w:val="24"/>
        </w:rPr>
        <w:t>f</w:t>
      </w:r>
      <w:r w:rsidRPr="007F6CB3">
        <w:rPr>
          <w:rFonts w:ascii="Times New Roman" w:hAnsi="Times New Roman" w:cs="Times New Roman"/>
          <w:sz w:val="24"/>
          <w:szCs w:val="24"/>
        </w:rPr>
        <w:t>: Willingness to participate in training or demonstrations</w:t>
      </w:r>
    </w:p>
    <w:tbl>
      <w:tblPr>
        <w:tblW w:w="8673" w:type="dxa"/>
        <w:tblCellSpacing w:w="15" w:type="dxa"/>
        <w:tblLook w:val="04A0" w:firstRow="1" w:lastRow="0" w:firstColumn="1" w:lastColumn="0" w:noHBand="0" w:noVBand="1"/>
      </w:tblPr>
      <w:tblGrid>
        <w:gridCol w:w="2654"/>
        <w:gridCol w:w="2465"/>
        <w:gridCol w:w="3554"/>
      </w:tblGrid>
      <w:tr w:rsidR="00E16114" w:rsidRPr="007F6CB3" w14:paraId="79764C25" w14:textId="77777777" w:rsidTr="0026594F">
        <w:trPr>
          <w:trHeight w:val="306"/>
          <w:tblHeader/>
          <w:tblCellSpacing w:w="15" w:type="dxa"/>
        </w:trPr>
        <w:tc>
          <w:tcPr>
            <w:tcW w:w="0" w:type="auto"/>
            <w:tcMar>
              <w:top w:w="15" w:type="dxa"/>
              <w:left w:w="15" w:type="dxa"/>
              <w:bottom w:w="15" w:type="dxa"/>
              <w:right w:w="15" w:type="dxa"/>
            </w:tcMar>
            <w:vAlign w:val="center"/>
            <w:hideMark/>
          </w:tcPr>
          <w:bookmarkEnd w:id="38"/>
          <w:p w14:paraId="77A14A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01B947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C007A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5D349809" w14:textId="77777777" w:rsidTr="0026594F">
        <w:trPr>
          <w:trHeight w:val="321"/>
          <w:tblCellSpacing w:w="15" w:type="dxa"/>
        </w:trPr>
        <w:tc>
          <w:tcPr>
            <w:tcW w:w="0" w:type="auto"/>
            <w:tcMar>
              <w:top w:w="15" w:type="dxa"/>
              <w:left w:w="15" w:type="dxa"/>
              <w:bottom w:w="15" w:type="dxa"/>
              <w:right w:w="15" w:type="dxa"/>
            </w:tcMar>
            <w:vAlign w:val="center"/>
            <w:hideMark/>
          </w:tcPr>
          <w:p w14:paraId="4A5432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Very likely</w:t>
            </w:r>
          </w:p>
        </w:tc>
        <w:tc>
          <w:tcPr>
            <w:tcW w:w="0" w:type="auto"/>
            <w:tcMar>
              <w:top w:w="15" w:type="dxa"/>
              <w:left w:w="15" w:type="dxa"/>
              <w:bottom w:w="15" w:type="dxa"/>
              <w:right w:w="15" w:type="dxa"/>
            </w:tcMar>
            <w:vAlign w:val="center"/>
            <w:hideMark/>
          </w:tcPr>
          <w:p w14:paraId="1B2E035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158</w:t>
            </w:r>
          </w:p>
        </w:tc>
        <w:tc>
          <w:tcPr>
            <w:tcW w:w="0" w:type="auto"/>
            <w:tcMar>
              <w:top w:w="15" w:type="dxa"/>
              <w:left w:w="15" w:type="dxa"/>
              <w:bottom w:w="15" w:type="dxa"/>
              <w:right w:w="15" w:type="dxa"/>
            </w:tcMar>
            <w:vAlign w:val="center"/>
            <w:hideMark/>
          </w:tcPr>
          <w:p w14:paraId="4F4320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45.4</w:t>
            </w:r>
          </w:p>
        </w:tc>
      </w:tr>
      <w:tr w:rsidR="00E16114" w:rsidRPr="007F6CB3" w14:paraId="5AB2FEA2" w14:textId="77777777" w:rsidTr="0026594F">
        <w:trPr>
          <w:trHeight w:val="306"/>
          <w:tblCellSpacing w:w="15" w:type="dxa"/>
        </w:trPr>
        <w:tc>
          <w:tcPr>
            <w:tcW w:w="0" w:type="auto"/>
            <w:tcMar>
              <w:top w:w="15" w:type="dxa"/>
              <w:left w:w="15" w:type="dxa"/>
              <w:bottom w:w="15" w:type="dxa"/>
              <w:right w:w="15" w:type="dxa"/>
            </w:tcMar>
            <w:vAlign w:val="center"/>
            <w:hideMark/>
          </w:tcPr>
          <w:p w14:paraId="45B9696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Likely</w:t>
            </w:r>
          </w:p>
        </w:tc>
        <w:tc>
          <w:tcPr>
            <w:tcW w:w="0" w:type="auto"/>
            <w:tcMar>
              <w:top w:w="15" w:type="dxa"/>
              <w:left w:w="15" w:type="dxa"/>
              <w:bottom w:w="15" w:type="dxa"/>
              <w:right w:w="15" w:type="dxa"/>
            </w:tcMar>
            <w:vAlign w:val="center"/>
            <w:hideMark/>
          </w:tcPr>
          <w:p w14:paraId="750CC5D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124</w:t>
            </w:r>
          </w:p>
        </w:tc>
        <w:tc>
          <w:tcPr>
            <w:tcW w:w="0" w:type="auto"/>
            <w:tcMar>
              <w:top w:w="15" w:type="dxa"/>
              <w:left w:w="15" w:type="dxa"/>
              <w:bottom w:w="15" w:type="dxa"/>
              <w:right w:w="15" w:type="dxa"/>
            </w:tcMar>
            <w:vAlign w:val="center"/>
            <w:hideMark/>
          </w:tcPr>
          <w:p w14:paraId="060DCE6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35.6</w:t>
            </w:r>
          </w:p>
        </w:tc>
      </w:tr>
      <w:tr w:rsidR="00E16114" w:rsidRPr="007F6CB3" w14:paraId="230CC036" w14:textId="77777777" w:rsidTr="0026594F">
        <w:trPr>
          <w:trHeight w:val="306"/>
          <w:tblCellSpacing w:w="15" w:type="dxa"/>
        </w:trPr>
        <w:tc>
          <w:tcPr>
            <w:tcW w:w="0" w:type="auto"/>
            <w:tcMar>
              <w:top w:w="15" w:type="dxa"/>
              <w:left w:w="15" w:type="dxa"/>
              <w:bottom w:w="15" w:type="dxa"/>
              <w:right w:w="15" w:type="dxa"/>
            </w:tcMar>
            <w:vAlign w:val="center"/>
            <w:hideMark/>
          </w:tcPr>
          <w:p w14:paraId="1FDF6A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Not likely</w:t>
            </w:r>
          </w:p>
        </w:tc>
        <w:tc>
          <w:tcPr>
            <w:tcW w:w="0" w:type="auto"/>
            <w:tcMar>
              <w:top w:w="15" w:type="dxa"/>
              <w:left w:w="15" w:type="dxa"/>
              <w:bottom w:w="15" w:type="dxa"/>
              <w:right w:w="15" w:type="dxa"/>
            </w:tcMar>
            <w:vAlign w:val="center"/>
            <w:hideMark/>
          </w:tcPr>
          <w:p w14:paraId="59117E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66</w:t>
            </w:r>
          </w:p>
        </w:tc>
        <w:tc>
          <w:tcPr>
            <w:tcW w:w="0" w:type="auto"/>
            <w:tcMar>
              <w:top w:w="15" w:type="dxa"/>
              <w:left w:w="15" w:type="dxa"/>
              <w:bottom w:w="15" w:type="dxa"/>
              <w:right w:w="15" w:type="dxa"/>
            </w:tcMar>
            <w:vAlign w:val="center"/>
            <w:hideMark/>
          </w:tcPr>
          <w:p w14:paraId="0F3C9AD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19.0</w:t>
            </w:r>
          </w:p>
        </w:tc>
      </w:tr>
      <w:tr w:rsidR="00E16114" w:rsidRPr="007F6CB3" w14:paraId="39D25FB2" w14:textId="77777777" w:rsidTr="0026594F">
        <w:trPr>
          <w:trHeight w:val="306"/>
          <w:tblCellSpacing w:w="15" w:type="dxa"/>
        </w:trPr>
        <w:tc>
          <w:tcPr>
            <w:tcW w:w="0" w:type="auto"/>
            <w:tcMar>
              <w:top w:w="15" w:type="dxa"/>
              <w:left w:w="15" w:type="dxa"/>
              <w:bottom w:w="15" w:type="dxa"/>
              <w:right w:w="15" w:type="dxa"/>
            </w:tcMar>
            <w:vAlign w:val="center"/>
            <w:hideMark/>
          </w:tcPr>
          <w:p w14:paraId="3B36A1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39DE62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237E28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6AE109F"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A large majority (81.0%) showed willingness to participate in training, indicating that extension-based dissemination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would be highly feasible.</w:t>
      </w:r>
    </w:p>
    <w:p w14:paraId="6EC07F3F"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lastRenderedPageBreak/>
        <w:t xml:space="preserve">The findings demonstrate that sweet potato plays a multifaceted role in food security, cultural heritage, and income generation. Although 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and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 remains low, farmers exhibit high acceptance, willingness to learn, and readiness to adopt biological control strategies, provided concerns relating to cost, availability, and knowledge are addressed.</w:t>
      </w:r>
    </w:p>
    <w:p w14:paraId="540BC0FC" w14:textId="77777777" w:rsidR="00DC226B" w:rsidRPr="007F6CB3" w:rsidRDefault="00DC226B">
      <w:pPr>
        <w:rPr>
          <w:rFonts w:ascii="Times New Roman" w:hAnsi="Times New Roman" w:cs="Times New Roman"/>
          <w:sz w:val="24"/>
          <w:szCs w:val="24"/>
        </w:rPr>
      </w:pPr>
    </w:p>
    <w:p w14:paraId="74E5FA01" w14:textId="77777777" w:rsidR="00E16114" w:rsidRPr="007F6CB3" w:rsidRDefault="00E16114">
      <w:pPr>
        <w:rPr>
          <w:rFonts w:ascii="Times New Roman" w:hAnsi="Times New Roman" w:cs="Times New Roman"/>
          <w:sz w:val="24"/>
          <w:szCs w:val="24"/>
        </w:rPr>
      </w:pPr>
    </w:p>
    <w:p w14:paraId="783B20AB" w14:textId="77777777" w:rsidR="00E16114" w:rsidRPr="007F6CB3" w:rsidRDefault="00E16114">
      <w:pPr>
        <w:rPr>
          <w:rFonts w:ascii="Times New Roman" w:hAnsi="Times New Roman" w:cs="Times New Roman"/>
          <w:sz w:val="24"/>
          <w:szCs w:val="24"/>
        </w:rPr>
      </w:pPr>
    </w:p>
    <w:p w14:paraId="1E21C22E" w14:textId="77777777" w:rsidR="00E16114" w:rsidRPr="007F6CB3" w:rsidRDefault="00E16114">
      <w:pPr>
        <w:rPr>
          <w:rFonts w:ascii="Times New Roman" w:hAnsi="Times New Roman" w:cs="Times New Roman"/>
          <w:sz w:val="24"/>
          <w:szCs w:val="24"/>
        </w:rPr>
      </w:pPr>
    </w:p>
    <w:p w14:paraId="5FA25CFC" w14:textId="77777777" w:rsidR="00E16114" w:rsidRPr="007F6CB3" w:rsidRDefault="00E16114" w:rsidP="00E16114">
      <w:pPr>
        <w:pStyle w:val="BodyText"/>
        <w:rPr>
          <w:b/>
          <w:bCs/>
          <w:lang w:val="en-US"/>
        </w:rPr>
      </w:pPr>
      <w:r w:rsidRPr="007F6CB3">
        <w:rPr>
          <w:b/>
          <w:bCs/>
          <w:lang w:val="en-US"/>
        </w:rPr>
        <w:t>DISCUSSION</w:t>
      </w:r>
    </w:p>
    <w:p w14:paraId="72D610E0" w14:textId="6A603187" w:rsidR="00E16114" w:rsidRPr="007F6CB3" w:rsidRDefault="00E16114" w:rsidP="00E16114">
      <w:pPr>
        <w:pStyle w:val="BodyText"/>
        <w:rPr>
          <w:b/>
          <w:bCs/>
          <w:lang w:val="en-US"/>
        </w:rPr>
      </w:pPr>
      <w:r w:rsidRPr="007F6CB3">
        <w:rPr>
          <w:b/>
          <w:bCs/>
          <w:lang w:val="en-US"/>
        </w:rPr>
        <w:t xml:space="preserve"> Ethno-botanical and Socio-demographic Characteristics of Respondents</w:t>
      </w:r>
    </w:p>
    <w:p w14:paraId="19525FB5" w14:textId="77777777" w:rsidR="00E16114" w:rsidRPr="007F6CB3" w:rsidRDefault="00E16114" w:rsidP="00E16114">
      <w:pPr>
        <w:pStyle w:val="BodyText"/>
        <w:rPr>
          <w:lang w:val="en-US"/>
        </w:rPr>
      </w:pPr>
      <w:r w:rsidRPr="007F6CB3">
        <w:rPr>
          <w:lang w:val="en-US"/>
        </w:rPr>
        <w:t>The ethno-botanical survey revealed that sweet potato (</w:t>
      </w:r>
      <w:r w:rsidRPr="007F6CB3">
        <w:rPr>
          <w:i/>
          <w:iCs/>
          <w:lang w:val="en-US"/>
        </w:rPr>
        <w:t>Ipomoea batatas</w:t>
      </w:r>
      <w:r w:rsidRPr="007F6CB3">
        <w:rPr>
          <w:lang w:val="en-US"/>
        </w:rPr>
        <w:t xml:space="preserve"> (L.) Lam.) cultivation and utilization are deeply embedded within the socio-cultural and agricultural systems of Anambra State. The retrieval rate of 60% of administered questionnaires reflects reasonable participation and engagement among respondents, while the distribution across the three senatorial zones ensures broad representation of the study area.</w:t>
      </w:r>
    </w:p>
    <w:p w14:paraId="082E5FD3" w14:textId="77777777" w:rsidR="00E16114" w:rsidRPr="007F6CB3" w:rsidRDefault="00E16114" w:rsidP="00E16114">
      <w:pPr>
        <w:pStyle w:val="BodyText"/>
        <w:rPr>
          <w:lang w:val="en-US"/>
        </w:rPr>
      </w:pPr>
      <w:r w:rsidRPr="007F6CB3">
        <w:rPr>
          <w:lang w:val="en-US"/>
        </w:rPr>
        <w:t>The predominance of male respondents indicates that sweet potato farming is largely male-dominated, particularly in land ownership and decision-making. Nevertheless, notable female participation, especially in Anambra North and South, highlights their critical role in post-harvest handling, processing, and marketing.</w:t>
      </w:r>
    </w:p>
    <w:p w14:paraId="761ED68C" w14:textId="77777777" w:rsidR="00E16114" w:rsidRPr="007F6CB3" w:rsidRDefault="00E16114" w:rsidP="00E16114">
      <w:pPr>
        <w:pStyle w:val="BodyText"/>
        <w:rPr>
          <w:lang w:val="en-US"/>
        </w:rPr>
      </w:pPr>
      <w:r w:rsidRPr="007F6CB3">
        <w:rPr>
          <w:lang w:val="en-US"/>
        </w:rPr>
        <w:t>Age distribution showed that indigenous knowledge of sweet potato cultivation is concentrated among middle-aged and older farmers (41–50 years), suggesting gradual erosion of traditional knowledge among younger generations due to rural–urban migration and declining interest in farming. The absence of respondents aged ≥60 years in Anambra South may indicate demographic shifts or reduced involvement of elderly farmers in active cultivation.</w:t>
      </w:r>
    </w:p>
    <w:p w14:paraId="1819C235" w14:textId="77777777" w:rsidR="00E16114" w:rsidRPr="007F6CB3" w:rsidRDefault="00E16114" w:rsidP="00E16114">
      <w:pPr>
        <w:pStyle w:val="BodyText"/>
        <w:rPr>
          <w:lang w:val="en-US"/>
        </w:rPr>
      </w:pPr>
      <w:r w:rsidRPr="007F6CB3">
        <w:rPr>
          <w:lang w:val="en-US"/>
        </w:rPr>
        <w:lastRenderedPageBreak/>
        <w:t xml:space="preserve">Educational status varied considerably, with a high proportion lacking formal education, particularly in Anambra South. Low formal education may hinder adoption of improved agronomic practices and innovative post-harvest disease management strategies such as </w:t>
      </w:r>
      <w:proofErr w:type="spellStart"/>
      <w:r w:rsidRPr="007F6CB3">
        <w:rPr>
          <w:lang w:val="en-US"/>
        </w:rPr>
        <w:t>biofungicides</w:t>
      </w:r>
      <w:proofErr w:type="spellEnd"/>
      <w:r w:rsidRPr="007F6CB3">
        <w:rPr>
          <w:lang w:val="en-US"/>
        </w:rPr>
        <w:t>. These findings underscore the importance of designing extension and training programs in local languages (Igbo) that align with farmers’ cultural context to effectively communicate innovations (</w:t>
      </w:r>
      <w:bookmarkStart w:id="39" w:name="_Hlk222073628"/>
      <w:proofErr w:type="spellStart"/>
      <w:r w:rsidRPr="007F6CB3">
        <w:rPr>
          <w:lang w:val="en-US"/>
        </w:rPr>
        <w:t>Agrios</w:t>
      </w:r>
      <w:proofErr w:type="spellEnd"/>
      <w:r w:rsidRPr="007F6CB3">
        <w:rPr>
          <w:lang w:val="en-US"/>
        </w:rPr>
        <w:t>, 2005).</w:t>
      </w:r>
      <w:bookmarkEnd w:id="39"/>
    </w:p>
    <w:p w14:paraId="2F3C1CC8" w14:textId="7A211809" w:rsidR="00E16114" w:rsidRPr="007F6CB3" w:rsidRDefault="00E16114" w:rsidP="00E16114">
      <w:pPr>
        <w:pStyle w:val="BodyText"/>
        <w:rPr>
          <w:b/>
          <w:bCs/>
          <w:lang w:val="en-US"/>
        </w:rPr>
      </w:pPr>
      <w:bookmarkStart w:id="40" w:name="_Hlk221436121"/>
      <w:r w:rsidRPr="007F6CB3">
        <w:rPr>
          <w:b/>
          <w:bCs/>
          <w:lang w:val="en-US"/>
        </w:rPr>
        <w:t>Sweet Potato Cultivation Practices</w:t>
      </w:r>
    </w:p>
    <w:bookmarkEnd w:id="40"/>
    <w:p w14:paraId="302900F8" w14:textId="77777777" w:rsidR="00E16114" w:rsidRPr="007F6CB3" w:rsidRDefault="00E16114" w:rsidP="00E16114">
      <w:pPr>
        <w:pStyle w:val="BodyText"/>
        <w:rPr>
          <w:lang w:val="en-US"/>
        </w:rPr>
      </w:pPr>
      <w:r w:rsidRPr="007F6CB3">
        <w:rPr>
          <w:lang w:val="en-US"/>
        </w:rPr>
        <w:t>Sweet potato production in Anambra State is largely smallholder and subsistence-oriented, with over 77% of respondents cultivating less than 3 acres. Small-scale landholdings limit mechanization, access to improved inputs, and storage facilities, thereby increasing vulnerability to yield losses and post-harvest spoilage.</w:t>
      </w:r>
    </w:p>
    <w:p w14:paraId="3016FB8B" w14:textId="77777777" w:rsidR="00E16114" w:rsidRPr="007F6CB3" w:rsidRDefault="00E16114" w:rsidP="00E16114">
      <w:pPr>
        <w:pStyle w:val="BodyText"/>
        <w:rPr>
          <w:lang w:val="en-US"/>
        </w:rPr>
      </w:pPr>
      <w:r w:rsidRPr="007F6CB3">
        <w:rPr>
          <w:lang w:val="en-US"/>
        </w:rPr>
        <w:t xml:space="preserve">Traditional mound and ridge planting methods were the most common agronomic practices. While well-suited to the </w:t>
      </w:r>
      <w:proofErr w:type="spellStart"/>
      <w:r w:rsidRPr="007F6CB3">
        <w:rPr>
          <w:lang w:val="en-US"/>
        </w:rPr>
        <w:t>agro</w:t>
      </w:r>
      <w:proofErr w:type="spellEnd"/>
      <w:r w:rsidRPr="007F6CB3">
        <w:rPr>
          <w:lang w:val="en-US"/>
        </w:rPr>
        <w:t>-ecological conditions of southeastern Nigeria, reliance on these methods without complementary improved practices may contribute to inconsistent yields and susceptibility to soil-borne pathogens.</w:t>
      </w:r>
    </w:p>
    <w:p w14:paraId="7CBCC7FA" w14:textId="77777777" w:rsidR="00E16114" w:rsidRPr="007F6CB3" w:rsidRDefault="00E16114" w:rsidP="00E16114">
      <w:pPr>
        <w:pStyle w:val="BodyText"/>
        <w:rPr>
          <w:lang w:val="en-US"/>
        </w:rPr>
      </w:pPr>
      <w:r w:rsidRPr="007F6CB3">
        <w:rPr>
          <w:lang w:val="en-US"/>
        </w:rPr>
        <w:t xml:space="preserve">Farmers employed mixed-input strategies, using both organic manure and chemical fertilizers, though a significant proportion applied no inputs due to high costs, limited availability, and lack of technical knowledge. Pest infestations, diseases, and declining soil fertility were reported constraints that adversely affect productivity. These findings emphasize the need for integrated pest and nutrient management strategies that combine traditional knowledge with scientific insights (FAO post-harvest manual; </w:t>
      </w:r>
      <w:proofErr w:type="spellStart"/>
      <w:r w:rsidRPr="007F6CB3">
        <w:rPr>
          <w:lang w:val="en-US"/>
        </w:rPr>
        <w:t>Agrios</w:t>
      </w:r>
      <w:proofErr w:type="spellEnd"/>
      <w:r w:rsidRPr="007F6CB3">
        <w:rPr>
          <w:lang w:val="en-US"/>
        </w:rPr>
        <w:t>, 2005).</w:t>
      </w:r>
    </w:p>
    <w:p w14:paraId="7150C2C5" w14:textId="77777777" w:rsidR="00E16114" w:rsidRPr="007F6CB3" w:rsidRDefault="00E16114" w:rsidP="00E16114">
      <w:pPr>
        <w:pStyle w:val="BodyText"/>
        <w:rPr>
          <w:lang w:val="en-US"/>
        </w:rPr>
      </w:pPr>
    </w:p>
    <w:p w14:paraId="424CF0A2" w14:textId="2171ECCA" w:rsidR="00E16114" w:rsidRPr="007F6CB3" w:rsidRDefault="00E16114" w:rsidP="00E16114">
      <w:pPr>
        <w:pStyle w:val="BodyText"/>
        <w:rPr>
          <w:b/>
          <w:bCs/>
          <w:lang w:val="en-US"/>
        </w:rPr>
      </w:pPr>
      <w:bookmarkStart w:id="41" w:name="_Hlk221436140"/>
      <w:r w:rsidRPr="007F6CB3">
        <w:rPr>
          <w:b/>
          <w:bCs/>
          <w:lang w:val="en-US"/>
        </w:rPr>
        <w:lastRenderedPageBreak/>
        <w:t>Post-Harvest Handling and Rot Occurrence</w:t>
      </w:r>
    </w:p>
    <w:bookmarkEnd w:id="41"/>
    <w:p w14:paraId="1CB85471" w14:textId="77777777" w:rsidR="00E16114" w:rsidRPr="007F6CB3" w:rsidRDefault="00E16114" w:rsidP="00E16114">
      <w:pPr>
        <w:pStyle w:val="BodyText"/>
        <w:rPr>
          <w:lang w:val="en-US"/>
        </w:rPr>
      </w:pPr>
      <w:r w:rsidRPr="007F6CB3">
        <w:rPr>
          <w:lang w:val="en-US"/>
        </w:rPr>
        <w:t xml:space="preserve">Post-harvest rot is a major constraint in sweet potato production, causing significant losses in quality, nutrition, and market value. Microbial pathogens such as </w:t>
      </w:r>
      <w:r w:rsidRPr="007F6CB3">
        <w:rPr>
          <w:i/>
          <w:iCs/>
          <w:lang w:val="en-US"/>
        </w:rPr>
        <w:t>Aspergillus</w:t>
      </w:r>
      <w:r w:rsidRPr="007F6CB3">
        <w:rPr>
          <w:lang w:val="en-US"/>
        </w:rPr>
        <w:t xml:space="preserve">, </w:t>
      </w:r>
      <w:r w:rsidRPr="007F6CB3">
        <w:rPr>
          <w:i/>
          <w:iCs/>
          <w:lang w:val="en-US"/>
        </w:rPr>
        <w:t>Mucor</w:t>
      </w:r>
      <w:r w:rsidRPr="007F6CB3">
        <w:rPr>
          <w:lang w:val="en-US"/>
        </w:rPr>
        <w:t xml:space="preserve">, </w:t>
      </w:r>
      <w:r w:rsidRPr="007F6CB3">
        <w:rPr>
          <w:i/>
          <w:iCs/>
          <w:lang w:val="en-US"/>
        </w:rPr>
        <w:t>Fusarium</w:t>
      </w:r>
      <w:r w:rsidRPr="007F6CB3">
        <w:rPr>
          <w:lang w:val="en-US"/>
        </w:rPr>
        <w:t xml:space="preserve">, </w:t>
      </w:r>
      <w:r w:rsidRPr="007F6CB3">
        <w:rPr>
          <w:i/>
          <w:iCs/>
          <w:lang w:val="en-US"/>
        </w:rPr>
        <w:t>Rhizopus</w:t>
      </w:r>
      <w:r w:rsidRPr="007F6CB3">
        <w:rPr>
          <w:lang w:val="en-US"/>
        </w:rPr>
        <w:t xml:space="preserve">, and </w:t>
      </w:r>
      <w:r w:rsidRPr="007F6CB3">
        <w:rPr>
          <w:i/>
          <w:iCs/>
          <w:lang w:val="en-US"/>
        </w:rPr>
        <w:t>Candida</w:t>
      </w:r>
      <w:r w:rsidRPr="007F6CB3">
        <w:rPr>
          <w:lang w:val="en-US"/>
        </w:rPr>
        <w:t xml:space="preserve"> were isolated from all rotting tubers, confirming the biological basis of storage losses (</w:t>
      </w:r>
      <w:bookmarkStart w:id="42" w:name="_Hlk222073774"/>
      <w:proofErr w:type="spellStart"/>
      <w:r w:rsidRPr="007F6CB3">
        <w:rPr>
          <w:lang w:val="en-US"/>
        </w:rPr>
        <w:t>Terna</w:t>
      </w:r>
      <w:proofErr w:type="spellEnd"/>
      <w:r w:rsidRPr="007F6CB3">
        <w:rPr>
          <w:lang w:val="en-US"/>
        </w:rPr>
        <w:t xml:space="preserve"> </w:t>
      </w:r>
      <w:r w:rsidRPr="007F6CB3">
        <w:rPr>
          <w:i/>
          <w:iCs/>
          <w:lang w:val="en-US"/>
        </w:rPr>
        <w:t>et</w:t>
      </w:r>
      <w:r w:rsidRPr="007F6CB3">
        <w:rPr>
          <w:lang w:val="en-US"/>
        </w:rPr>
        <w:t xml:space="preserve"> </w:t>
      </w:r>
      <w:r w:rsidRPr="007F6CB3">
        <w:rPr>
          <w:i/>
          <w:iCs/>
          <w:lang w:val="en-US"/>
        </w:rPr>
        <w:t>al</w:t>
      </w:r>
      <w:r w:rsidRPr="007F6CB3">
        <w:rPr>
          <w:lang w:val="en-US"/>
        </w:rPr>
        <w:t>., 2024</w:t>
      </w:r>
      <w:bookmarkEnd w:id="42"/>
      <w:r w:rsidRPr="007F6CB3">
        <w:rPr>
          <w:lang w:val="en-US"/>
        </w:rPr>
        <w:t>).</w:t>
      </w:r>
    </w:p>
    <w:p w14:paraId="668C2181" w14:textId="77777777" w:rsidR="00E16114" w:rsidRPr="007F6CB3" w:rsidRDefault="00E16114" w:rsidP="00E16114">
      <w:pPr>
        <w:pStyle w:val="BodyText"/>
        <w:rPr>
          <w:lang w:val="en-US"/>
        </w:rPr>
      </w:pPr>
      <w:r w:rsidRPr="007F6CB3">
        <w:rPr>
          <w:lang w:val="en-US"/>
        </w:rPr>
        <w:t>Manual harvesting, the dominant method, increases mechanical injury, creating entry points for fungal pathogens. Traditional storage methods—primarily sacks and barns—provide limited protection against moisture, temperature fluctuations, and microbial contamination. The observed high incidence of post-harvest rot (44.3%) underscores the vulnerability of sweet potatoes during storage (</w:t>
      </w:r>
      <w:bookmarkStart w:id="43" w:name="_Hlk222074364"/>
      <w:r w:rsidRPr="007F6CB3">
        <w:rPr>
          <w:lang w:val="en-US"/>
        </w:rPr>
        <w:t xml:space="preserve">Beckley &amp; </w:t>
      </w:r>
      <w:proofErr w:type="spellStart"/>
      <w:r w:rsidRPr="007F6CB3">
        <w:rPr>
          <w:lang w:val="en-US"/>
        </w:rPr>
        <w:t>Awoyemi</w:t>
      </w:r>
      <w:proofErr w:type="spellEnd"/>
      <w:r w:rsidRPr="007F6CB3">
        <w:rPr>
          <w:lang w:val="en-US"/>
        </w:rPr>
        <w:t>, 2021;</w:t>
      </w:r>
      <w:bookmarkEnd w:id="43"/>
      <w:r w:rsidRPr="007F6CB3">
        <w:rPr>
          <w:lang w:val="en-US"/>
        </w:rPr>
        <w:t xml:space="preserve"> </w:t>
      </w:r>
      <w:bookmarkStart w:id="44" w:name="_Hlk222074016"/>
      <w:proofErr w:type="spellStart"/>
      <w:r w:rsidRPr="007F6CB3">
        <w:rPr>
          <w:lang w:val="en-US"/>
        </w:rPr>
        <w:t>Enyiukwu</w:t>
      </w:r>
      <w:proofErr w:type="spellEnd"/>
      <w:r w:rsidRPr="007F6CB3">
        <w:rPr>
          <w:lang w:val="en-US"/>
        </w:rPr>
        <w:t xml:space="preserve"> </w:t>
      </w:r>
      <w:r w:rsidRPr="007F6CB3">
        <w:rPr>
          <w:i/>
          <w:iCs/>
          <w:lang w:val="en-US"/>
        </w:rPr>
        <w:t>et</w:t>
      </w:r>
      <w:r w:rsidRPr="007F6CB3">
        <w:rPr>
          <w:lang w:val="en-US"/>
        </w:rPr>
        <w:t xml:space="preserve"> </w:t>
      </w:r>
      <w:r w:rsidRPr="007F6CB3">
        <w:rPr>
          <w:i/>
          <w:iCs/>
          <w:lang w:val="en-US"/>
        </w:rPr>
        <w:t>al</w:t>
      </w:r>
      <w:r w:rsidRPr="007F6CB3">
        <w:rPr>
          <w:lang w:val="en-US"/>
        </w:rPr>
        <w:t>., 2020).</w:t>
      </w:r>
    </w:p>
    <w:bookmarkEnd w:id="44"/>
    <w:p w14:paraId="28EE4362" w14:textId="77777777" w:rsidR="00E16114" w:rsidRPr="007F6CB3" w:rsidRDefault="00E16114" w:rsidP="00E16114">
      <w:pPr>
        <w:pStyle w:val="BodyText"/>
        <w:rPr>
          <w:lang w:val="en-US"/>
        </w:rPr>
      </w:pPr>
      <w:r w:rsidRPr="007F6CB3">
        <w:rPr>
          <w:lang w:val="en-US"/>
        </w:rPr>
        <w:t xml:space="preserve">Symptoms such as soft rot, </w:t>
      </w:r>
      <w:proofErr w:type="spellStart"/>
      <w:r w:rsidRPr="007F6CB3">
        <w:rPr>
          <w:lang w:val="en-US"/>
        </w:rPr>
        <w:t>mould</w:t>
      </w:r>
      <w:proofErr w:type="spellEnd"/>
      <w:r w:rsidRPr="007F6CB3">
        <w:rPr>
          <w:lang w:val="en-US"/>
        </w:rPr>
        <w:t xml:space="preserve"> growth, discoloration, and foul </w:t>
      </w:r>
      <w:proofErr w:type="spellStart"/>
      <w:r w:rsidRPr="007F6CB3">
        <w:rPr>
          <w:lang w:val="en-US"/>
        </w:rPr>
        <w:t>odour</w:t>
      </w:r>
      <w:proofErr w:type="spellEnd"/>
      <w:r w:rsidRPr="007F6CB3">
        <w:rPr>
          <w:lang w:val="en-US"/>
        </w:rPr>
        <w:t xml:space="preserve"> were consistent with fungal spoilage. Seasonal variation was observed, with </w:t>
      </w:r>
      <w:r w:rsidRPr="007F6CB3">
        <w:rPr>
          <w:i/>
          <w:iCs/>
          <w:lang w:val="en-US"/>
        </w:rPr>
        <w:t xml:space="preserve">Rhizopus </w:t>
      </w:r>
      <w:proofErr w:type="spellStart"/>
      <w:r w:rsidRPr="007F6CB3">
        <w:rPr>
          <w:i/>
          <w:iCs/>
          <w:lang w:val="en-US"/>
        </w:rPr>
        <w:t>oryzae</w:t>
      </w:r>
      <w:proofErr w:type="spellEnd"/>
      <w:r w:rsidRPr="007F6CB3">
        <w:rPr>
          <w:lang w:val="en-US"/>
        </w:rPr>
        <w:t xml:space="preserve"> more prevalent in the rainy season and </w:t>
      </w:r>
      <w:r w:rsidRPr="007F6CB3">
        <w:rPr>
          <w:i/>
          <w:iCs/>
          <w:lang w:val="en-US"/>
        </w:rPr>
        <w:t xml:space="preserve">Aspergillus </w:t>
      </w:r>
      <w:proofErr w:type="spellStart"/>
      <w:r w:rsidRPr="007F6CB3">
        <w:rPr>
          <w:i/>
          <w:iCs/>
          <w:lang w:val="en-US"/>
        </w:rPr>
        <w:t>niger</w:t>
      </w:r>
      <w:proofErr w:type="spellEnd"/>
      <w:r w:rsidRPr="007F6CB3">
        <w:rPr>
          <w:lang w:val="en-US"/>
        </w:rPr>
        <w:t xml:space="preserve"> in the dry season, reflecting the influence of environmental conditions on pathogen proliferation.</w:t>
      </w:r>
    </w:p>
    <w:p w14:paraId="0A4FC2F3" w14:textId="53D707A3" w:rsidR="00E16114" w:rsidRPr="007F6CB3" w:rsidRDefault="00E16114" w:rsidP="00E16114">
      <w:pPr>
        <w:pStyle w:val="BodyText"/>
        <w:rPr>
          <w:b/>
          <w:bCs/>
          <w:lang w:val="en-US"/>
        </w:rPr>
      </w:pPr>
      <w:bookmarkStart w:id="45" w:name="_Hlk221436174"/>
      <w:r w:rsidRPr="007F6CB3">
        <w:rPr>
          <w:b/>
          <w:bCs/>
          <w:lang w:val="en-US"/>
        </w:rPr>
        <w:t>Conservation Practices and Preservation Challenges</w:t>
      </w:r>
    </w:p>
    <w:bookmarkEnd w:id="45"/>
    <w:p w14:paraId="30F6A89D" w14:textId="77777777" w:rsidR="00E16114" w:rsidRPr="007F6CB3" w:rsidRDefault="00E16114" w:rsidP="00E16114">
      <w:pPr>
        <w:pStyle w:val="BodyText"/>
        <w:rPr>
          <w:lang w:val="en-US"/>
        </w:rPr>
      </w:pPr>
      <w:r w:rsidRPr="007F6CB3">
        <w:rPr>
          <w:lang w:val="en-US"/>
        </w:rPr>
        <w:t>Traditional preservation methods, including vine retention and rudimentary storage, are widely used but limited in effectiveness due to high humidity, insect infestation, and poor storage facilities. Vine retention for propagation was moderately practiced (65%), indicating awareness of sustainable propagation, yet knowledge gaps hinder effective preservation and increase pathogen carryover.</w:t>
      </w:r>
    </w:p>
    <w:p w14:paraId="01AF5BB1" w14:textId="77777777" w:rsidR="00E16114" w:rsidRPr="007F6CB3" w:rsidRDefault="00E16114" w:rsidP="00E16114">
      <w:pPr>
        <w:pStyle w:val="BodyText"/>
        <w:rPr>
          <w:lang w:val="en-US"/>
        </w:rPr>
      </w:pPr>
      <w:r w:rsidRPr="007F6CB3">
        <w:rPr>
          <w:lang w:val="en-US"/>
        </w:rPr>
        <w:lastRenderedPageBreak/>
        <w:t xml:space="preserve">These findings highlight the need for low-cost, simple preservation methods complemented by training programs to reduce post-harvest losses and ensure availability of quality planting material (O’Brian </w:t>
      </w:r>
      <w:r w:rsidRPr="007F6CB3">
        <w:rPr>
          <w:i/>
          <w:iCs/>
          <w:lang w:val="en-US"/>
        </w:rPr>
        <w:t>et</w:t>
      </w:r>
      <w:r w:rsidRPr="007F6CB3">
        <w:rPr>
          <w:lang w:val="en-US"/>
        </w:rPr>
        <w:t xml:space="preserve"> </w:t>
      </w:r>
      <w:r w:rsidRPr="007F6CB3">
        <w:rPr>
          <w:i/>
          <w:iCs/>
          <w:lang w:val="en-US"/>
        </w:rPr>
        <w:t>al</w:t>
      </w:r>
      <w:r w:rsidRPr="007F6CB3">
        <w:rPr>
          <w:lang w:val="en-US"/>
        </w:rPr>
        <w:t>., 2023).</w:t>
      </w:r>
    </w:p>
    <w:p w14:paraId="77B277FE" w14:textId="509E30E5" w:rsidR="00E16114" w:rsidRPr="007F6CB3" w:rsidRDefault="00E16114" w:rsidP="00E16114">
      <w:pPr>
        <w:pStyle w:val="BodyText"/>
        <w:rPr>
          <w:b/>
          <w:bCs/>
          <w:lang w:val="en-US"/>
        </w:rPr>
      </w:pPr>
      <w:bookmarkStart w:id="46" w:name="_Hlk221436193"/>
      <w:r w:rsidRPr="007F6CB3">
        <w:rPr>
          <w:b/>
          <w:bCs/>
          <w:lang w:val="en-US"/>
        </w:rPr>
        <w:t>Socio-Economic and Cultural Significance of Sweet Potato</w:t>
      </w:r>
    </w:p>
    <w:bookmarkEnd w:id="46"/>
    <w:p w14:paraId="14B23B4B" w14:textId="77777777" w:rsidR="00E16114" w:rsidRPr="007F6CB3" w:rsidRDefault="00E16114" w:rsidP="00E16114">
      <w:pPr>
        <w:pStyle w:val="BodyText"/>
        <w:rPr>
          <w:lang w:val="en-US"/>
        </w:rPr>
      </w:pPr>
      <w:r w:rsidRPr="007F6CB3">
        <w:rPr>
          <w:lang w:val="en-US"/>
        </w:rPr>
        <w:t>Sweet potato serves as a multifunctional crop in Anambra State. Its primary role is household food security, with 89.7% of respondents using it as a staple. Cultural significance is evidenced by its use in rituals, festivals, and traditional medicine (20–30% of respondents).</w:t>
      </w:r>
    </w:p>
    <w:p w14:paraId="14997501" w14:textId="77777777" w:rsidR="00E16114" w:rsidRPr="007F6CB3" w:rsidRDefault="00E16114" w:rsidP="00E16114">
      <w:pPr>
        <w:pStyle w:val="BodyText"/>
        <w:rPr>
          <w:lang w:val="en-US"/>
        </w:rPr>
      </w:pPr>
      <w:r w:rsidRPr="007F6CB3">
        <w:rPr>
          <w:lang w:val="en-US"/>
        </w:rPr>
        <w:t>Economically, sweet potato provides supplementary income, although only 35.6% of respondents consider it a primary source of income, with most earning less than 50% of household income from it. Limited market access, reliance on middlemen, low prices, and high post-harvest losses constrain income generation. These socio-economic and cultural dimensions should inform the design of extension programs to improve adoption of innovations (</w:t>
      </w:r>
      <w:bookmarkStart w:id="47" w:name="_Hlk222075906"/>
      <w:r w:rsidRPr="007F6CB3">
        <w:rPr>
          <w:lang w:val="en-US"/>
        </w:rPr>
        <w:t xml:space="preserve">Yami </w:t>
      </w:r>
      <w:r w:rsidRPr="007F6CB3">
        <w:rPr>
          <w:i/>
          <w:iCs/>
          <w:lang w:val="en-US"/>
        </w:rPr>
        <w:t>et</w:t>
      </w:r>
      <w:r w:rsidRPr="007F6CB3">
        <w:rPr>
          <w:lang w:val="en-US"/>
        </w:rPr>
        <w:t xml:space="preserve"> </w:t>
      </w:r>
      <w:r w:rsidRPr="007F6CB3">
        <w:rPr>
          <w:i/>
          <w:iCs/>
          <w:lang w:val="en-US"/>
        </w:rPr>
        <w:t>al</w:t>
      </w:r>
      <w:r w:rsidRPr="007F6CB3">
        <w:rPr>
          <w:lang w:val="en-US"/>
        </w:rPr>
        <w:t>., 2025).</w:t>
      </w:r>
    </w:p>
    <w:p w14:paraId="1C10C314" w14:textId="6DB7A81A" w:rsidR="00E16114" w:rsidRPr="007F6CB3" w:rsidRDefault="00E16114" w:rsidP="00E16114">
      <w:pPr>
        <w:pStyle w:val="BodyText"/>
        <w:rPr>
          <w:b/>
          <w:bCs/>
          <w:lang w:val="en-US"/>
        </w:rPr>
      </w:pPr>
      <w:bookmarkStart w:id="48" w:name="_Hlk221436209"/>
      <w:bookmarkEnd w:id="47"/>
      <w:r w:rsidRPr="007F6CB3">
        <w:rPr>
          <w:b/>
          <w:bCs/>
          <w:lang w:val="en-US"/>
        </w:rPr>
        <w:t>Potential of Biological Control Agents</w:t>
      </w:r>
    </w:p>
    <w:bookmarkEnd w:id="48"/>
    <w:p w14:paraId="4A189BCC" w14:textId="77777777" w:rsidR="00E16114" w:rsidRPr="007F6CB3" w:rsidRDefault="00E16114" w:rsidP="00E16114">
      <w:pPr>
        <w:pStyle w:val="BodyText"/>
        <w:rPr>
          <w:lang w:val="en-US"/>
        </w:rPr>
      </w:pPr>
      <w:r w:rsidRPr="007F6CB3">
        <w:rPr>
          <w:lang w:val="en-US"/>
        </w:rPr>
        <w:t>The high incidence of post-harvest rot underscores the need for environmentally friendly alternatives to chemical fungicides. Biocontrol agents demonstrated significant potential:</w:t>
      </w:r>
    </w:p>
    <w:p w14:paraId="2D1DD087" w14:textId="77777777" w:rsidR="00E16114" w:rsidRPr="007F6CB3" w:rsidRDefault="00E16114" w:rsidP="00E16114">
      <w:pPr>
        <w:pStyle w:val="BodyText"/>
        <w:numPr>
          <w:ilvl w:val="0"/>
          <w:numId w:val="18"/>
        </w:numPr>
        <w:rPr>
          <w:lang w:val="en-US"/>
        </w:rPr>
      </w:pPr>
      <w:r w:rsidRPr="007F6CB3">
        <w:rPr>
          <w:i/>
          <w:iCs/>
          <w:lang w:val="en-US"/>
        </w:rPr>
        <w:t>Trichoderma</w:t>
      </w:r>
      <w:r w:rsidRPr="007F6CB3">
        <w:rPr>
          <w:lang w:val="en-US"/>
        </w:rPr>
        <w:t xml:space="preserve"> species effectively reduced rot incidence in stored tubers.</w:t>
      </w:r>
    </w:p>
    <w:p w14:paraId="6BD5A8B3" w14:textId="77777777" w:rsidR="00E16114" w:rsidRPr="007F6CB3" w:rsidRDefault="00E16114" w:rsidP="00E16114">
      <w:pPr>
        <w:pStyle w:val="BodyText"/>
        <w:numPr>
          <w:ilvl w:val="0"/>
          <w:numId w:val="18"/>
        </w:numPr>
        <w:rPr>
          <w:lang w:val="en-US"/>
        </w:rPr>
      </w:pPr>
      <w:r w:rsidRPr="007F6CB3">
        <w:rPr>
          <w:lang w:val="en-US"/>
        </w:rPr>
        <w:t xml:space="preserve">Endophytic bacteria such as </w:t>
      </w:r>
      <w:r w:rsidRPr="007F6CB3">
        <w:rPr>
          <w:i/>
          <w:iCs/>
          <w:lang w:val="en-US"/>
        </w:rPr>
        <w:t xml:space="preserve">Bacillus </w:t>
      </w:r>
      <w:proofErr w:type="spellStart"/>
      <w:r w:rsidRPr="007F6CB3">
        <w:rPr>
          <w:i/>
          <w:iCs/>
          <w:lang w:val="en-US"/>
        </w:rPr>
        <w:t>velezensis</w:t>
      </w:r>
      <w:proofErr w:type="spellEnd"/>
      <w:r w:rsidRPr="007F6CB3">
        <w:rPr>
          <w:lang w:val="en-US"/>
        </w:rPr>
        <w:t xml:space="preserve"> inhibited fungal pathogens like </w:t>
      </w:r>
      <w:r w:rsidRPr="007F6CB3">
        <w:rPr>
          <w:i/>
          <w:iCs/>
          <w:lang w:val="en-US"/>
        </w:rPr>
        <w:t>Ceratocystis fimbriata</w:t>
      </w:r>
      <w:r w:rsidRPr="007F6CB3">
        <w:rPr>
          <w:lang w:val="en-US"/>
        </w:rPr>
        <w:t xml:space="preserve"> and </w:t>
      </w:r>
      <w:r w:rsidRPr="007F6CB3">
        <w:rPr>
          <w:i/>
          <w:iCs/>
          <w:lang w:val="en-US"/>
        </w:rPr>
        <w:t xml:space="preserve">Fusarium </w:t>
      </w:r>
      <w:proofErr w:type="spellStart"/>
      <w:r w:rsidRPr="007F6CB3">
        <w:rPr>
          <w:i/>
          <w:iCs/>
          <w:lang w:val="en-US"/>
        </w:rPr>
        <w:t>oxysporum</w:t>
      </w:r>
      <w:proofErr w:type="spellEnd"/>
      <w:r w:rsidRPr="007F6CB3">
        <w:rPr>
          <w:lang w:val="en-US"/>
        </w:rPr>
        <w:t>.</w:t>
      </w:r>
    </w:p>
    <w:p w14:paraId="7EB5DD2D" w14:textId="77777777" w:rsidR="00E16114" w:rsidRPr="007F6CB3" w:rsidRDefault="00E16114" w:rsidP="00E16114">
      <w:pPr>
        <w:pStyle w:val="BodyText"/>
        <w:numPr>
          <w:ilvl w:val="0"/>
          <w:numId w:val="18"/>
        </w:numPr>
        <w:rPr>
          <w:lang w:val="en-US"/>
        </w:rPr>
      </w:pPr>
      <w:r w:rsidRPr="007F6CB3">
        <w:rPr>
          <w:lang w:val="en-US"/>
        </w:rPr>
        <w:t xml:space="preserve">Lactic acid bacteria (LAB), including </w:t>
      </w:r>
      <w:r w:rsidRPr="007F6CB3">
        <w:rPr>
          <w:i/>
          <w:iCs/>
          <w:lang w:val="en-US"/>
        </w:rPr>
        <w:t>Lactobacillus acidophilus</w:t>
      </w:r>
      <w:r w:rsidRPr="007F6CB3">
        <w:rPr>
          <w:lang w:val="en-US"/>
        </w:rPr>
        <w:t xml:space="preserve"> and </w:t>
      </w:r>
      <w:r w:rsidRPr="007F6CB3">
        <w:rPr>
          <w:i/>
          <w:iCs/>
          <w:lang w:val="en-US"/>
        </w:rPr>
        <w:t>L. plantarum</w:t>
      </w:r>
      <w:r w:rsidRPr="007F6CB3">
        <w:rPr>
          <w:lang w:val="en-US"/>
        </w:rPr>
        <w:t xml:space="preserve">, isolated from locally fermented beverages, produced antifungal metabolites that suppressed fungal growth both </w:t>
      </w:r>
      <w:r w:rsidRPr="007F6CB3">
        <w:rPr>
          <w:i/>
          <w:iCs/>
          <w:lang w:val="en-US"/>
        </w:rPr>
        <w:t>in</w:t>
      </w:r>
      <w:r w:rsidRPr="007F6CB3">
        <w:rPr>
          <w:lang w:val="en-US"/>
        </w:rPr>
        <w:t xml:space="preserve"> </w:t>
      </w:r>
      <w:r w:rsidRPr="007F6CB3">
        <w:rPr>
          <w:i/>
          <w:iCs/>
          <w:lang w:val="en-US"/>
        </w:rPr>
        <w:t>vitro</w:t>
      </w:r>
      <w:r w:rsidRPr="007F6CB3">
        <w:rPr>
          <w:lang w:val="en-US"/>
        </w:rPr>
        <w:t xml:space="preserve"> and </w:t>
      </w:r>
      <w:r w:rsidRPr="007F6CB3">
        <w:rPr>
          <w:i/>
          <w:iCs/>
          <w:lang w:val="en-US"/>
        </w:rPr>
        <w:t>in</w:t>
      </w:r>
      <w:r w:rsidRPr="007F6CB3">
        <w:rPr>
          <w:lang w:val="en-US"/>
        </w:rPr>
        <w:t xml:space="preserve"> </w:t>
      </w:r>
      <w:r w:rsidRPr="007F6CB3">
        <w:rPr>
          <w:i/>
          <w:iCs/>
          <w:lang w:val="en-US"/>
        </w:rPr>
        <w:t>vivo</w:t>
      </w:r>
      <w:r w:rsidRPr="007F6CB3">
        <w:rPr>
          <w:lang w:val="en-US"/>
        </w:rPr>
        <w:t>.</w:t>
      </w:r>
    </w:p>
    <w:p w14:paraId="21F2F4D2" w14:textId="77777777" w:rsidR="00E16114" w:rsidRPr="007F6CB3" w:rsidRDefault="00E16114" w:rsidP="00E16114">
      <w:pPr>
        <w:pStyle w:val="BodyText"/>
        <w:rPr>
          <w:lang w:val="en-US"/>
        </w:rPr>
      </w:pPr>
      <w:r w:rsidRPr="007F6CB3">
        <w:rPr>
          <w:lang w:val="en-US"/>
        </w:rPr>
        <w:lastRenderedPageBreak/>
        <w:t xml:space="preserve">Minimum inhibitory concentration (MIC) and in vivo assays revealed </w:t>
      </w:r>
      <w:r w:rsidRPr="007F6CB3">
        <w:rPr>
          <w:i/>
          <w:iCs/>
          <w:lang w:val="en-US"/>
        </w:rPr>
        <w:t>L. acidophilus</w:t>
      </w:r>
      <w:r w:rsidRPr="007F6CB3">
        <w:rPr>
          <w:lang w:val="en-US"/>
        </w:rPr>
        <w:t xml:space="preserve"> consistently exhibited stronger antifungal activity than </w:t>
      </w:r>
      <w:r w:rsidRPr="007F6CB3">
        <w:rPr>
          <w:i/>
          <w:iCs/>
          <w:lang w:val="en-US"/>
        </w:rPr>
        <w:t>L. plantarum</w:t>
      </w:r>
      <w:r w:rsidRPr="007F6CB3">
        <w:rPr>
          <w:lang w:val="en-US"/>
        </w:rPr>
        <w:t xml:space="preserve">, achieving up to 40.16% growth inhibition against </w:t>
      </w:r>
      <w:r w:rsidRPr="007F6CB3">
        <w:rPr>
          <w:i/>
          <w:iCs/>
          <w:lang w:val="en-US"/>
        </w:rPr>
        <w:t xml:space="preserve">Rhizopus </w:t>
      </w:r>
      <w:proofErr w:type="spellStart"/>
      <w:r w:rsidRPr="007F6CB3">
        <w:rPr>
          <w:i/>
          <w:iCs/>
          <w:lang w:val="en-US"/>
        </w:rPr>
        <w:t>stolonifer</w:t>
      </w:r>
      <w:proofErr w:type="spellEnd"/>
      <w:r w:rsidRPr="007F6CB3">
        <w:rPr>
          <w:lang w:val="en-US"/>
        </w:rPr>
        <w:t xml:space="preserve">. These findings suggest strain-specific differences in metabolite production and highlight the practical potential of LAB-based </w:t>
      </w:r>
      <w:proofErr w:type="spellStart"/>
      <w:r w:rsidRPr="007F6CB3">
        <w:rPr>
          <w:lang w:val="en-US"/>
        </w:rPr>
        <w:t>biofungicides</w:t>
      </w:r>
      <w:proofErr w:type="spellEnd"/>
      <w:r w:rsidRPr="007F6CB3">
        <w:rPr>
          <w:lang w:val="en-US"/>
        </w:rPr>
        <w:t xml:space="preserve"> as part of integrated post-harvest management (</w:t>
      </w:r>
      <w:bookmarkStart w:id="49" w:name="_Hlk222076125"/>
      <w:r w:rsidRPr="007F6CB3">
        <w:rPr>
          <w:lang w:val="en-US"/>
        </w:rPr>
        <w:t xml:space="preserve">Liu </w:t>
      </w:r>
      <w:r w:rsidRPr="007F6CB3">
        <w:rPr>
          <w:i/>
          <w:iCs/>
          <w:lang w:val="en-US"/>
        </w:rPr>
        <w:t>et</w:t>
      </w:r>
      <w:r w:rsidRPr="007F6CB3">
        <w:rPr>
          <w:lang w:val="en-US"/>
        </w:rPr>
        <w:t xml:space="preserve"> </w:t>
      </w:r>
      <w:r w:rsidRPr="007F6CB3">
        <w:rPr>
          <w:i/>
          <w:iCs/>
          <w:lang w:val="en-US"/>
        </w:rPr>
        <w:t>al</w:t>
      </w:r>
      <w:r w:rsidRPr="007F6CB3">
        <w:rPr>
          <w:lang w:val="en-US"/>
        </w:rPr>
        <w:t>., 2024</w:t>
      </w:r>
      <w:bookmarkEnd w:id="49"/>
      <w:r w:rsidRPr="007F6CB3">
        <w:rPr>
          <w:lang w:val="en-US"/>
        </w:rPr>
        <w:t xml:space="preserve">; </w:t>
      </w:r>
      <w:bookmarkStart w:id="50" w:name="_Hlk222076404"/>
      <w:proofErr w:type="spellStart"/>
      <w:r w:rsidRPr="007F6CB3">
        <w:rPr>
          <w:lang w:val="en-US"/>
        </w:rPr>
        <w:t>Tagele</w:t>
      </w:r>
      <w:proofErr w:type="spellEnd"/>
      <w:r w:rsidRPr="007F6CB3">
        <w:rPr>
          <w:lang w:val="en-US"/>
        </w:rPr>
        <w:t xml:space="preserve"> &amp; </w:t>
      </w:r>
      <w:proofErr w:type="spellStart"/>
      <w:r w:rsidRPr="007F6CB3">
        <w:rPr>
          <w:lang w:val="en-US"/>
        </w:rPr>
        <w:t>Gachomo</w:t>
      </w:r>
      <w:proofErr w:type="spellEnd"/>
      <w:r w:rsidRPr="007F6CB3">
        <w:rPr>
          <w:lang w:val="en-US"/>
        </w:rPr>
        <w:t>, 2025</w:t>
      </w:r>
      <w:bookmarkEnd w:id="50"/>
      <w:r w:rsidRPr="007F6CB3">
        <w:rPr>
          <w:lang w:val="en-US"/>
        </w:rPr>
        <w:t>).</w:t>
      </w:r>
    </w:p>
    <w:p w14:paraId="1CAB0ACA" w14:textId="0049CAA9" w:rsidR="00E16114" w:rsidRPr="007F6CB3" w:rsidRDefault="00E16114" w:rsidP="00E16114">
      <w:pPr>
        <w:pStyle w:val="BodyText"/>
        <w:rPr>
          <w:b/>
          <w:bCs/>
          <w:lang w:val="en-US"/>
        </w:rPr>
      </w:pPr>
      <w:bookmarkStart w:id="51" w:name="_Hlk221436226"/>
      <w:r w:rsidRPr="007F6CB3">
        <w:rPr>
          <w:b/>
          <w:bCs/>
          <w:lang w:val="en-US"/>
        </w:rPr>
        <w:t xml:space="preserve">Awareness and Adoption of </w:t>
      </w:r>
      <w:proofErr w:type="spellStart"/>
      <w:r w:rsidRPr="007F6CB3">
        <w:rPr>
          <w:b/>
          <w:bCs/>
          <w:lang w:val="en-US"/>
        </w:rPr>
        <w:t>Biofungicides</w:t>
      </w:r>
      <w:proofErr w:type="spellEnd"/>
    </w:p>
    <w:bookmarkEnd w:id="51"/>
    <w:p w14:paraId="68C9A08D" w14:textId="77777777" w:rsidR="00E16114" w:rsidRPr="007F6CB3" w:rsidRDefault="00E16114" w:rsidP="00E16114">
      <w:pPr>
        <w:pStyle w:val="BodyText"/>
        <w:rPr>
          <w:lang w:val="en-US"/>
        </w:rPr>
      </w:pPr>
      <w:r w:rsidRPr="007F6CB3">
        <w:rPr>
          <w:lang w:val="en-US"/>
        </w:rPr>
        <w:t xml:space="preserve">Awareness of </w:t>
      </w:r>
      <w:proofErr w:type="spellStart"/>
      <w:r w:rsidRPr="007F6CB3">
        <w:rPr>
          <w:lang w:val="en-US"/>
        </w:rPr>
        <w:t>biofungicides</w:t>
      </w:r>
      <w:proofErr w:type="spellEnd"/>
      <w:r w:rsidRPr="007F6CB3">
        <w:rPr>
          <w:lang w:val="en-US"/>
        </w:rPr>
        <w:t xml:space="preserve"> and LAB was low (&lt;30%), but more than half of respondents believed microorganisms could help control rot, and nearly half indicated willingness to adopt LAB-based treatments. This suggests latent acceptance, which could be enhanced through tailored extension services addressing cost, availability, and knowledge gaps. Adoption of LAB aligns with sustainable agriculture goals, providing an eco-friendly and cost-effective alternative to chemical fungicides.</w:t>
      </w:r>
    </w:p>
    <w:p w14:paraId="08383B6A" w14:textId="28514B96" w:rsidR="00E16114" w:rsidRPr="007F6CB3" w:rsidRDefault="00E16114" w:rsidP="00E16114">
      <w:pPr>
        <w:pStyle w:val="BodyText"/>
        <w:rPr>
          <w:b/>
          <w:bCs/>
          <w:lang w:val="en-US"/>
        </w:rPr>
      </w:pPr>
      <w:bookmarkStart w:id="52" w:name="_Hlk221436241"/>
      <w:r w:rsidRPr="007F6CB3">
        <w:rPr>
          <w:b/>
          <w:bCs/>
          <w:lang w:val="en-US"/>
        </w:rPr>
        <w:t>Implications for Sweet Potato Post-Harvest Management</w:t>
      </w:r>
    </w:p>
    <w:bookmarkEnd w:id="52"/>
    <w:p w14:paraId="056670D8" w14:textId="77777777" w:rsidR="005C5713" w:rsidRPr="007F6CB3" w:rsidRDefault="00E16114" w:rsidP="00E16114">
      <w:pPr>
        <w:pStyle w:val="BodyText"/>
        <w:rPr>
          <w:lang w:val="en-US"/>
        </w:rPr>
      </w:pPr>
      <w:r w:rsidRPr="007F6CB3">
        <w:rPr>
          <w:lang w:val="en-US"/>
        </w:rPr>
        <w:t>The prevalence of multiple fungal pathogens and high colony counts poses significant threats to food security, income, and nutritional quality. Integrating LAB treatments with improved handling and storage practices could reduce fungal burden, extend tuber shelf life, and enhance economic returns. Biological control strategies should complement traditional practices as part of an integrated management framework.</w:t>
      </w:r>
      <w:bookmarkStart w:id="53" w:name="_Hlk221436273"/>
    </w:p>
    <w:p w14:paraId="4168BAC1" w14:textId="1547FA9F" w:rsidR="00E16114" w:rsidRPr="007F6CB3" w:rsidRDefault="00E16114" w:rsidP="00E16114">
      <w:pPr>
        <w:pStyle w:val="BodyText"/>
        <w:rPr>
          <w:lang w:val="en-US"/>
        </w:rPr>
      </w:pPr>
      <w:r w:rsidRPr="007F6CB3">
        <w:rPr>
          <w:b/>
          <w:bCs/>
          <w:lang w:val="en-US"/>
        </w:rPr>
        <w:t xml:space="preserve">Conclusion </w:t>
      </w:r>
    </w:p>
    <w:bookmarkEnd w:id="53"/>
    <w:p w14:paraId="69D165A9" w14:textId="77777777" w:rsidR="00E16114" w:rsidRPr="007F6CB3" w:rsidRDefault="00E16114" w:rsidP="00E16114">
      <w:pPr>
        <w:pStyle w:val="BodyText"/>
        <w:rPr>
          <w:lang w:val="en-US"/>
        </w:rPr>
      </w:pPr>
      <w:r w:rsidRPr="007F6CB3">
        <w:rPr>
          <w:lang w:val="en-US"/>
        </w:rPr>
        <w:t xml:space="preserve">Post-harvest fungal spoilage significantly undermines sweet potato production, affecting food security, economic value, and nutritional quality in Anambra State. The identification of </w:t>
      </w:r>
      <w:r w:rsidRPr="007F6CB3">
        <w:rPr>
          <w:lang w:val="en-US"/>
        </w:rPr>
        <w:lastRenderedPageBreak/>
        <w:t xml:space="preserve">indigenous LAB with strong antifungal activity presents a promising biological control strategy. Integrating </w:t>
      </w:r>
      <w:proofErr w:type="spellStart"/>
      <w:r w:rsidRPr="007F6CB3">
        <w:rPr>
          <w:lang w:val="en-US"/>
        </w:rPr>
        <w:t>biofungicide</w:t>
      </w:r>
      <w:proofErr w:type="spellEnd"/>
      <w:r w:rsidRPr="007F6CB3">
        <w:rPr>
          <w:lang w:val="en-US"/>
        </w:rPr>
        <w:t xml:space="preserve"> technology with improved storage, handling, and farmer education could substantially reduce post-harvest losses, enhance income, and promote sustainable sweet potato production in the region.</w:t>
      </w:r>
    </w:p>
    <w:p w14:paraId="213605A6" w14:textId="77777777" w:rsidR="00E16114" w:rsidRPr="007F6CB3" w:rsidRDefault="00E16114" w:rsidP="00E16114">
      <w:pPr>
        <w:pStyle w:val="BodyText"/>
      </w:pPr>
    </w:p>
    <w:p w14:paraId="461ECD7B" w14:textId="4EB82C68"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REFERENCES </w:t>
      </w:r>
    </w:p>
    <w:p w14:paraId="26BDB77C" w14:textId="77777777" w:rsidR="007F6CB3" w:rsidRPr="007F6CB3" w:rsidRDefault="007F6CB3" w:rsidP="007F6CB3">
      <w:pPr>
        <w:rPr>
          <w:rFonts w:ascii="Times New Roman" w:hAnsi="Times New Roman" w:cs="Times New Roman"/>
          <w:sz w:val="24"/>
          <w:szCs w:val="24"/>
        </w:rPr>
      </w:pPr>
    </w:p>
    <w:p w14:paraId="5734D4AE"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Altieri, M. A. (2004). Agroecology: The science of sustainable agriculture (2nd ed.). Westview Press.</w:t>
      </w:r>
    </w:p>
    <w:p w14:paraId="20CFFFBD" w14:textId="77777777" w:rsidR="007F6CB3" w:rsidRPr="007F6CB3" w:rsidRDefault="007F6CB3" w:rsidP="007F6CB3">
      <w:pPr>
        <w:rPr>
          <w:rFonts w:ascii="Times New Roman" w:hAnsi="Times New Roman" w:cs="Times New Roman"/>
          <w:sz w:val="24"/>
          <w:szCs w:val="24"/>
        </w:rPr>
      </w:pPr>
    </w:p>
    <w:p w14:paraId="6692B80B"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Food and Agriculture Organization (FAO). (2011). Guide to post-harvest handling of root and tuber crops. FAO.</w:t>
      </w:r>
    </w:p>
    <w:p w14:paraId="25AB7BA7" w14:textId="77777777" w:rsidR="007F6CB3" w:rsidRPr="007F6CB3" w:rsidRDefault="007F6CB3" w:rsidP="007F6CB3">
      <w:pPr>
        <w:rPr>
          <w:rFonts w:ascii="Times New Roman" w:hAnsi="Times New Roman" w:cs="Times New Roman"/>
          <w:sz w:val="24"/>
          <w:szCs w:val="24"/>
        </w:rPr>
      </w:pPr>
    </w:p>
    <w:p w14:paraId="3EB38099"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Food and Agriculture Organization (FAO). (2022). FAOSTAT statistical database. FAO. https://www.fao.org/faostat/</w:t>
      </w:r>
    </w:p>
    <w:p w14:paraId="075939A3" w14:textId="77777777" w:rsidR="007F6CB3" w:rsidRPr="007F6CB3" w:rsidRDefault="007F6CB3" w:rsidP="007F6CB3">
      <w:pPr>
        <w:rPr>
          <w:rFonts w:ascii="Times New Roman" w:hAnsi="Times New Roman" w:cs="Times New Roman"/>
          <w:sz w:val="24"/>
          <w:szCs w:val="24"/>
        </w:rPr>
      </w:pPr>
    </w:p>
    <w:p w14:paraId="0504E3B5"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Kader, A. A. (2005). Increasing food availability by reducing postharvest losses of fresh produce. Acta </w:t>
      </w:r>
      <w:proofErr w:type="spellStart"/>
      <w:r w:rsidRPr="007F6CB3">
        <w:rPr>
          <w:rFonts w:ascii="Times New Roman" w:hAnsi="Times New Roman" w:cs="Times New Roman"/>
          <w:sz w:val="24"/>
          <w:szCs w:val="24"/>
        </w:rPr>
        <w:t>Horticulturae</w:t>
      </w:r>
      <w:proofErr w:type="spellEnd"/>
      <w:r w:rsidRPr="007F6CB3">
        <w:rPr>
          <w:rFonts w:ascii="Times New Roman" w:hAnsi="Times New Roman" w:cs="Times New Roman"/>
          <w:sz w:val="24"/>
          <w:szCs w:val="24"/>
        </w:rPr>
        <w:t>, 682, 2169–2176.</w:t>
      </w:r>
    </w:p>
    <w:p w14:paraId="27A040CA" w14:textId="77777777" w:rsidR="007F6CB3" w:rsidRPr="007F6CB3" w:rsidRDefault="007F6CB3" w:rsidP="007F6CB3">
      <w:pPr>
        <w:rPr>
          <w:rFonts w:ascii="Times New Roman" w:hAnsi="Times New Roman" w:cs="Times New Roman"/>
          <w:sz w:val="24"/>
          <w:szCs w:val="24"/>
        </w:rPr>
      </w:pPr>
    </w:p>
    <w:p w14:paraId="49E25B66" w14:textId="77777777" w:rsidR="007F6CB3" w:rsidRPr="007F6CB3" w:rsidRDefault="007F6CB3" w:rsidP="007F6CB3">
      <w:pPr>
        <w:rPr>
          <w:rFonts w:ascii="Times New Roman" w:hAnsi="Times New Roman" w:cs="Times New Roman"/>
          <w:sz w:val="24"/>
          <w:szCs w:val="24"/>
        </w:rPr>
      </w:pP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G., &amp;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G. (Eds.). (2009). The sweet potato. Springer.</w:t>
      </w:r>
    </w:p>
    <w:p w14:paraId="0BD945FA" w14:textId="77777777" w:rsidR="007F6CB3" w:rsidRPr="007F6CB3" w:rsidRDefault="007F6CB3" w:rsidP="007F6CB3">
      <w:pPr>
        <w:rPr>
          <w:rFonts w:ascii="Times New Roman" w:hAnsi="Times New Roman" w:cs="Times New Roman"/>
          <w:sz w:val="24"/>
          <w:szCs w:val="24"/>
        </w:rPr>
      </w:pPr>
    </w:p>
    <w:p w14:paraId="295E4D35"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Martin, G. J. (1995). Ethnobotany: A methods manual. Chapman &amp; Hall.</w:t>
      </w:r>
    </w:p>
    <w:p w14:paraId="21C4A560" w14:textId="77777777" w:rsidR="007F6CB3" w:rsidRPr="007F6CB3" w:rsidRDefault="007F6CB3" w:rsidP="007F6CB3">
      <w:pPr>
        <w:rPr>
          <w:rFonts w:ascii="Times New Roman" w:hAnsi="Times New Roman" w:cs="Times New Roman"/>
          <w:sz w:val="24"/>
          <w:szCs w:val="24"/>
        </w:rPr>
      </w:pPr>
    </w:p>
    <w:p w14:paraId="1009136B"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National Root Crops Research Institute (NRCRI). (2020). Annual report on root and tuber crop production in Nigeria. NRCRI, </w:t>
      </w:r>
      <w:proofErr w:type="spellStart"/>
      <w:r w:rsidRPr="007F6CB3">
        <w:rPr>
          <w:rFonts w:ascii="Times New Roman" w:hAnsi="Times New Roman" w:cs="Times New Roman"/>
          <w:sz w:val="24"/>
          <w:szCs w:val="24"/>
        </w:rPr>
        <w:t>Umudike</w:t>
      </w:r>
      <w:proofErr w:type="spellEnd"/>
      <w:r w:rsidRPr="007F6CB3">
        <w:rPr>
          <w:rFonts w:ascii="Times New Roman" w:hAnsi="Times New Roman" w:cs="Times New Roman"/>
          <w:sz w:val="24"/>
          <w:szCs w:val="24"/>
        </w:rPr>
        <w:t>.</w:t>
      </w:r>
    </w:p>
    <w:p w14:paraId="473AA48C" w14:textId="77777777" w:rsidR="007F6CB3" w:rsidRPr="007F6CB3" w:rsidRDefault="007F6CB3" w:rsidP="007F6CB3">
      <w:pPr>
        <w:rPr>
          <w:rFonts w:ascii="Times New Roman" w:hAnsi="Times New Roman" w:cs="Times New Roman"/>
          <w:sz w:val="24"/>
          <w:szCs w:val="24"/>
        </w:rPr>
      </w:pPr>
    </w:p>
    <w:p w14:paraId="2FC75CF0"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Nwosu, A. C., &amp; Okoye, B. C. (2017). Root and tuber crops in Nigerian food systems: Socioeconomic importance and policy implications. African Journal of Agricultural Research, 12(25), 2121–2130.</w:t>
      </w:r>
    </w:p>
    <w:p w14:paraId="0E452102" w14:textId="77777777" w:rsidR="007F6CB3" w:rsidRPr="007F6CB3" w:rsidRDefault="007F6CB3" w:rsidP="007F6CB3">
      <w:pPr>
        <w:rPr>
          <w:rFonts w:ascii="Times New Roman" w:hAnsi="Times New Roman" w:cs="Times New Roman"/>
          <w:sz w:val="24"/>
          <w:szCs w:val="24"/>
        </w:rPr>
      </w:pPr>
    </w:p>
    <w:p w14:paraId="0D0FF796" w14:textId="77777777" w:rsidR="007F6CB3" w:rsidRPr="007F6CB3" w:rsidRDefault="007F6CB3" w:rsidP="007F6CB3">
      <w:pPr>
        <w:rPr>
          <w:rFonts w:ascii="Times New Roman" w:hAnsi="Times New Roman" w:cs="Times New Roman"/>
          <w:sz w:val="24"/>
          <w:szCs w:val="24"/>
        </w:rPr>
      </w:pPr>
      <w:proofErr w:type="spellStart"/>
      <w:r w:rsidRPr="007F6CB3">
        <w:rPr>
          <w:rFonts w:ascii="Times New Roman" w:hAnsi="Times New Roman" w:cs="Times New Roman"/>
          <w:sz w:val="24"/>
          <w:szCs w:val="24"/>
        </w:rPr>
        <w:t>Okigbo</w:t>
      </w:r>
      <w:proofErr w:type="spellEnd"/>
      <w:r w:rsidRPr="007F6CB3">
        <w:rPr>
          <w:rFonts w:ascii="Times New Roman" w:hAnsi="Times New Roman" w:cs="Times New Roman"/>
          <w:sz w:val="24"/>
          <w:szCs w:val="24"/>
        </w:rPr>
        <w:t>, B. N. (1980). Indigenous food crops in tropical Africa. Science, 209(4461), 1032–1038.</w:t>
      </w:r>
    </w:p>
    <w:p w14:paraId="3899EF43" w14:textId="77777777" w:rsidR="007F6CB3" w:rsidRPr="007F6CB3" w:rsidRDefault="007F6CB3" w:rsidP="007F6CB3">
      <w:pPr>
        <w:rPr>
          <w:rFonts w:ascii="Times New Roman" w:hAnsi="Times New Roman" w:cs="Times New Roman"/>
          <w:sz w:val="24"/>
          <w:szCs w:val="24"/>
        </w:rPr>
      </w:pPr>
    </w:p>
    <w:p w14:paraId="047CB8E8"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Ray, R. C., &amp; Ravi, V. (2005). Post-harvest spoilage of sweet potato in tropics and control measures. Critical Reviews in Food Science and Nutrition, 45(7–8), 623–644.</w:t>
      </w:r>
    </w:p>
    <w:p w14:paraId="3FCE4E69" w14:textId="77777777" w:rsidR="007F6CB3" w:rsidRPr="007F6CB3" w:rsidRDefault="007F6CB3" w:rsidP="007F6CB3">
      <w:pPr>
        <w:rPr>
          <w:rFonts w:ascii="Times New Roman" w:hAnsi="Times New Roman" w:cs="Times New Roman"/>
          <w:sz w:val="24"/>
          <w:szCs w:val="24"/>
        </w:rPr>
      </w:pPr>
    </w:p>
    <w:p w14:paraId="68A2D979"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Toledo, V. M., &amp;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xml:space="preserve">, N. (2008). </w:t>
      </w:r>
      <w:r w:rsidRPr="00C77BA2">
        <w:rPr>
          <w:rFonts w:ascii="Times New Roman" w:hAnsi="Times New Roman" w:cs="Times New Roman"/>
          <w:sz w:val="24"/>
          <w:szCs w:val="24"/>
          <w:lang w:val="es-US"/>
        </w:rPr>
        <w:t xml:space="preserve">La memoria biocultural: La importancia ecológica de las sabidurías tradicionales. </w:t>
      </w:r>
      <w:r w:rsidRPr="007F6CB3">
        <w:rPr>
          <w:rFonts w:ascii="Times New Roman" w:hAnsi="Times New Roman" w:cs="Times New Roman"/>
          <w:sz w:val="24"/>
          <w:szCs w:val="24"/>
        </w:rPr>
        <w:t>Icaria Editorial.</w:t>
      </w:r>
    </w:p>
    <w:p w14:paraId="4A7DF429" w14:textId="77777777" w:rsidR="007F6CB3" w:rsidRPr="007F6CB3" w:rsidRDefault="007F6CB3" w:rsidP="007F6CB3">
      <w:pPr>
        <w:rPr>
          <w:rFonts w:ascii="Times New Roman" w:hAnsi="Times New Roman" w:cs="Times New Roman"/>
          <w:sz w:val="24"/>
          <w:szCs w:val="24"/>
        </w:rPr>
      </w:pPr>
    </w:p>
    <w:p w14:paraId="5D0CB6BD" w14:textId="77777777" w:rsidR="007F6CB3" w:rsidRPr="007F6CB3" w:rsidRDefault="007F6CB3" w:rsidP="007F6CB3">
      <w:pPr>
        <w:rPr>
          <w:rFonts w:ascii="Times New Roman" w:hAnsi="Times New Roman" w:cs="Times New Roman"/>
          <w:sz w:val="24"/>
          <w:szCs w:val="24"/>
        </w:rPr>
      </w:pPr>
      <w:proofErr w:type="spellStart"/>
      <w:r w:rsidRPr="007F6CB3">
        <w:rPr>
          <w:rFonts w:ascii="Times New Roman" w:hAnsi="Times New Roman" w:cs="Times New Roman"/>
          <w:sz w:val="24"/>
          <w:szCs w:val="24"/>
        </w:rPr>
        <w:t>Woolfe</w:t>
      </w:r>
      <w:proofErr w:type="spellEnd"/>
      <w:r w:rsidRPr="007F6CB3">
        <w:rPr>
          <w:rFonts w:ascii="Times New Roman" w:hAnsi="Times New Roman" w:cs="Times New Roman"/>
          <w:sz w:val="24"/>
          <w:szCs w:val="24"/>
        </w:rPr>
        <w:t>, J. A. (1992). Sweet potato: An untapped food resource. Cambridge University Press.</w:t>
      </w:r>
    </w:p>
    <w:p w14:paraId="4BCB5570" w14:textId="77777777" w:rsidR="007F6CB3" w:rsidRPr="007F6CB3" w:rsidRDefault="007F6CB3" w:rsidP="007F6CB3">
      <w:pPr>
        <w:rPr>
          <w:rFonts w:ascii="Times New Roman" w:hAnsi="Times New Roman" w:cs="Times New Roman"/>
          <w:sz w:val="24"/>
          <w:szCs w:val="24"/>
        </w:rPr>
      </w:pPr>
    </w:p>
    <w:p w14:paraId="52998F4A" w14:textId="77777777" w:rsidR="007F6CB3" w:rsidRPr="007F6CB3" w:rsidRDefault="007F6CB3" w:rsidP="007F6CB3">
      <w:pPr>
        <w:rPr>
          <w:rFonts w:ascii="Times New Roman" w:hAnsi="Times New Roman" w:cs="Times New Roman"/>
          <w:sz w:val="24"/>
          <w:szCs w:val="24"/>
        </w:rPr>
      </w:pPr>
    </w:p>
    <w:p w14:paraId="2D102684" w14:textId="77777777" w:rsidR="00E16114" w:rsidRPr="007F6CB3" w:rsidRDefault="00E16114">
      <w:pPr>
        <w:rPr>
          <w:rFonts w:ascii="Times New Roman" w:hAnsi="Times New Roman" w:cs="Times New Roman"/>
          <w:sz w:val="24"/>
          <w:szCs w:val="24"/>
        </w:rPr>
      </w:pPr>
    </w:p>
    <w:sectPr w:rsidR="00E16114" w:rsidRPr="007F6C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250E2" w14:textId="77777777" w:rsidR="0098407C" w:rsidRDefault="0098407C" w:rsidP="005C22C1">
      <w:r>
        <w:separator/>
      </w:r>
    </w:p>
  </w:endnote>
  <w:endnote w:type="continuationSeparator" w:id="0">
    <w:p w14:paraId="6908A5EF" w14:textId="77777777" w:rsidR="0098407C" w:rsidRDefault="0098407C" w:rsidP="005C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AE14" w14:textId="77777777" w:rsidR="005C22C1" w:rsidRDefault="005C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877C" w14:textId="77777777" w:rsidR="005C22C1" w:rsidRDefault="005C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9E57" w14:textId="77777777" w:rsidR="005C22C1" w:rsidRDefault="005C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CC3C" w14:textId="77777777" w:rsidR="0098407C" w:rsidRDefault="0098407C" w:rsidP="005C22C1">
      <w:r>
        <w:separator/>
      </w:r>
    </w:p>
  </w:footnote>
  <w:footnote w:type="continuationSeparator" w:id="0">
    <w:p w14:paraId="10FD5D6D" w14:textId="77777777" w:rsidR="0098407C" w:rsidRDefault="0098407C" w:rsidP="005C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332C" w14:textId="1F8AE7E2" w:rsidR="005C22C1" w:rsidRDefault="005C22C1">
    <w:pPr>
      <w:pStyle w:val="Header"/>
    </w:pPr>
    <w:r>
      <w:rPr>
        <w:noProof/>
      </w:rPr>
      <w:pict w14:anchorId="6F796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7393" w14:textId="13A718FE" w:rsidR="005C22C1" w:rsidRDefault="005C22C1">
    <w:pPr>
      <w:pStyle w:val="Header"/>
    </w:pPr>
    <w:r>
      <w:rPr>
        <w:noProof/>
      </w:rPr>
      <w:pict w14:anchorId="138C9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EF68" w14:textId="69398DBC" w:rsidR="005C22C1" w:rsidRDefault="005C22C1">
    <w:pPr>
      <w:pStyle w:val="Header"/>
    </w:pPr>
    <w:r>
      <w:rPr>
        <w:noProof/>
      </w:rPr>
      <w:pict w14:anchorId="42F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E0B528"/>
    <w:multiLevelType w:val="multilevel"/>
    <w:tmpl w:val="9FE0B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A1DCAB22"/>
    <w:multiLevelType w:val="multilevel"/>
    <w:tmpl w:val="A1DCA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A3BBF10B"/>
    <w:multiLevelType w:val="multilevel"/>
    <w:tmpl w:val="A3BBF1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A6499CE5"/>
    <w:multiLevelType w:val="singleLevel"/>
    <w:tmpl w:val="A6499CE5"/>
    <w:lvl w:ilvl="0">
      <w:start w:val="18"/>
      <w:numFmt w:val="upperLetter"/>
      <w:suff w:val="space"/>
      <w:lvlText w:val="%1."/>
      <w:lvlJc w:val="left"/>
    </w:lvl>
  </w:abstractNum>
  <w:abstractNum w:abstractNumId="4" w15:restartNumberingAfterBreak="0">
    <w:nsid w:val="C8F8D527"/>
    <w:multiLevelType w:val="multilevel"/>
    <w:tmpl w:val="C8F8D52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DC8A3331"/>
    <w:multiLevelType w:val="multilevel"/>
    <w:tmpl w:val="DC8A33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F2FFCBB3"/>
    <w:multiLevelType w:val="multilevel"/>
    <w:tmpl w:val="F2FFCB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3911165"/>
    <w:multiLevelType w:val="multilevel"/>
    <w:tmpl w:val="E65858FC"/>
    <w:lvl w:ilvl="0">
      <w:start w:val="2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62C70E6"/>
    <w:multiLevelType w:val="multilevel"/>
    <w:tmpl w:val="D39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C32B6"/>
    <w:multiLevelType w:val="multilevel"/>
    <w:tmpl w:val="6E6CAD7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3A563A9"/>
    <w:multiLevelType w:val="multilevel"/>
    <w:tmpl w:val="0E7633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B47B92"/>
    <w:multiLevelType w:val="multilevel"/>
    <w:tmpl w:val="1BB47B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0392996"/>
    <w:multiLevelType w:val="multilevel"/>
    <w:tmpl w:val="303929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1386CE1"/>
    <w:multiLevelType w:val="multilevel"/>
    <w:tmpl w:val="A27A9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9F6343B"/>
    <w:multiLevelType w:val="singleLevel"/>
    <w:tmpl w:val="39F6343B"/>
    <w:lvl w:ilvl="0">
      <w:start w:val="1"/>
      <w:numFmt w:val="decimal"/>
      <w:lvlText w:val="%1."/>
      <w:lvlJc w:val="left"/>
    </w:lvl>
  </w:abstractNum>
  <w:abstractNum w:abstractNumId="15" w15:restartNumberingAfterBreak="0">
    <w:nsid w:val="42D0E181"/>
    <w:multiLevelType w:val="multilevel"/>
    <w:tmpl w:val="42D0E18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A66FB4"/>
    <w:multiLevelType w:val="multilevel"/>
    <w:tmpl w:val="51163E30"/>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7B41980"/>
    <w:multiLevelType w:val="multilevel"/>
    <w:tmpl w:val="F1BEC8E8"/>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A5E297F"/>
    <w:multiLevelType w:val="multilevel"/>
    <w:tmpl w:val="4A5E297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60CA72"/>
    <w:multiLevelType w:val="multilevel"/>
    <w:tmpl w:val="4B60C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E77052"/>
    <w:multiLevelType w:val="multilevel"/>
    <w:tmpl w:val="91281A78"/>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D8C3C91"/>
    <w:multiLevelType w:val="multilevel"/>
    <w:tmpl w:val="AA2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8174C"/>
    <w:multiLevelType w:val="multilevel"/>
    <w:tmpl w:val="54381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9008A5"/>
    <w:multiLevelType w:val="multilevel"/>
    <w:tmpl w:val="AD1228FC"/>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FAE6C77"/>
    <w:multiLevelType w:val="multilevel"/>
    <w:tmpl w:val="C582B3A2"/>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2AA70ED"/>
    <w:multiLevelType w:val="multilevel"/>
    <w:tmpl w:val="204C85C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135A0"/>
    <w:multiLevelType w:val="multilevel"/>
    <w:tmpl w:val="69E135A0"/>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6DB104E9"/>
    <w:multiLevelType w:val="multilevel"/>
    <w:tmpl w:val="6DB104E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7B31B65"/>
    <w:multiLevelType w:val="singleLevel"/>
    <w:tmpl w:val="77B31B65"/>
    <w:lvl w:ilvl="0">
      <w:start w:val="1"/>
      <w:numFmt w:val="upperLetter"/>
      <w:lvlText w:val="%1."/>
      <w:lvlJc w:val="left"/>
    </w:lvl>
  </w:abstractNum>
  <w:abstractNum w:abstractNumId="29" w15:restartNumberingAfterBreak="0">
    <w:nsid w:val="7973071E"/>
    <w:multiLevelType w:val="multilevel"/>
    <w:tmpl w:val="5070699A"/>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12"/>
  </w:num>
  <w:num w:numId="3">
    <w:abstractNumId w:val="11"/>
  </w:num>
  <w:num w:numId="4">
    <w:abstractNumId w:val="2"/>
  </w:num>
  <w:num w:numId="5">
    <w:abstractNumId w:val="4"/>
  </w:num>
  <w:num w:numId="6">
    <w:abstractNumId w:val="22"/>
  </w:num>
  <w:num w:numId="7">
    <w:abstractNumId w:val="1"/>
  </w:num>
  <w:num w:numId="8">
    <w:abstractNumId w:val="18"/>
  </w:num>
  <w:num w:numId="9">
    <w:abstractNumId w:val="19"/>
  </w:num>
  <w:num w:numId="10">
    <w:abstractNumId w:val="0"/>
  </w:num>
  <w:num w:numId="11">
    <w:abstractNumId w:val="15"/>
  </w:num>
  <w:num w:numId="12">
    <w:abstractNumId w:val="5"/>
  </w:num>
  <w:num w:numId="13">
    <w:abstractNumId w:val="27"/>
  </w:num>
  <w:num w:numId="14">
    <w:abstractNumId w:val="6"/>
  </w:num>
  <w:num w:numId="15">
    <w:abstractNumId w:val="14"/>
  </w:num>
  <w:num w:numId="16">
    <w:abstractNumId w:val="3"/>
  </w:num>
  <w:num w:numId="17">
    <w:abstractNumId w:val="28"/>
  </w:num>
  <w:num w:numId="18">
    <w:abstractNumId w:val="8"/>
  </w:num>
  <w:num w:numId="19">
    <w:abstractNumId w:val="21"/>
  </w:num>
  <w:num w:numId="20">
    <w:abstractNumId w:val="13"/>
  </w:num>
  <w:num w:numId="21">
    <w:abstractNumId w:val="9"/>
  </w:num>
  <w:num w:numId="22">
    <w:abstractNumId w:val="16"/>
  </w:num>
  <w:num w:numId="23">
    <w:abstractNumId w:val="17"/>
  </w:num>
  <w:num w:numId="24">
    <w:abstractNumId w:val="23"/>
  </w:num>
  <w:num w:numId="25">
    <w:abstractNumId w:val="7"/>
  </w:num>
  <w:num w:numId="26">
    <w:abstractNumId w:val="24"/>
  </w:num>
  <w:num w:numId="27">
    <w:abstractNumId w:val="20"/>
  </w:num>
  <w:num w:numId="28">
    <w:abstractNumId w:val="29"/>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MDWyNDG3MDUwMzFQ0lEKTi0uzszPAykwrAUACS94wSwAAAA="/>
  </w:docVars>
  <w:rsids>
    <w:rsidRoot w:val="00DC226B"/>
    <w:rsid w:val="00335443"/>
    <w:rsid w:val="004241C6"/>
    <w:rsid w:val="004D2905"/>
    <w:rsid w:val="005C22C1"/>
    <w:rsid w:val="005C5713"/>
    <w:rsid w:val="007C1DB2"/>
    <w:rsid w:val="007F6CB3"/>
    <w:rsid w:val="00943D6A"/>
    <w:rsid w:val="0098407C"/>
    <w:rsid w:val="00B013F0"/>
    <w:rsid w:val="00C77BA2"/>
    <w:rsid w:val="00D341F6"/>
    <w:rsid w:val="00DC226B"/>
    <w:rsid w:val="00DF4474"/>
    <w:rsid w:val="00E16114"/>
    <w:rsid w:val="00F8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D9A5E"/>
  <w15:chartTrackingRefBased/>
  <w15:docId w15:val="{EFD271A5-7C9C-4F4F-8AFB-8A96B43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26B"/>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DC2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DC2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C2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C2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C2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26B"/>
    <w:rPr>
      <w:rFonts w:eastAsiaTheme="majorEastAsia" w:cstheme="majorBidi"/>
      <w:color w:val="272727" w:themeColor="text1" w:themeTint="D8"/>
    </w:rPr>
  </w:style>
  <w:style w:type="paragraph" w:styleId="Title">
    <w:name w:val="Title"/>
    <w:basedOn w:val="Normal"/>
    <w:next w:val="Normal"/>
    <w:link w:val="TitleChar"/>
    <w:uiPriority w:val="10"/>
    <w:qFormat/>
    <w:rsid w:val="00DC2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26B"/>
    <w:pPr>
      <w:spacing w:before="160"/>
      <w:jc w:val="center"/>
    </w:pPr>
    <w:rPr>
      <w:i/>
      <w:iCs/>
      <w:color w:val="404040" w:themeColor="text1" w:themeTint="BF"/>
    </w:rPr>
  </w:style>
  <w:style w:type="character" w:customStyle="1" w:styleId="QuoteChar">
    <w:name w:val="Quote Char"/>
    <w:basedOn w:val="DefaultParagraphFont"/>
    <w:link w:val="Quote"/>
    <w:uiPriority w:val="29"/>
    <w:rsid w:val="00DC226B"/>
    <w:rPr>
      <w:i/>
      <w:iCs/>
      <w:color w:val="404040" w:themeColor="text1" w:themeTint="BF"/>
    </w:rPr>
  </w:style>
  <w:style w:type="paragraph" w:styleId="ListParagraph">
    <w:name w:val="List Paragraph"/>
    <w:basedOn w:val="Normal"/>
    <w:uiPriority w:val="34"/>
    <w:qFormat/>
    <w:rsid w:val="00DC226B"/>
    <w:pPr>
      <w:ind w:left="720"/>
      <w:contextualSpacing/>
    </w:pPr>
  </w:style>
  <w:style w:type="character" w:styleId="IntenseEmphasis">
    <w:name w:val="Intense Emphasis"/>
    <w:basedOn w:val="DefaultParagraphFont"/>
    <w:uiPriority w:val="21"/>
    <w:qFormat/>
    <w:rsid w:val="00DC226B"/>
    <w:rPr>
      <w:i/>
      <w:iCs/>
      <w:color w:val="2F5496" w:themeColor="accent1" w:themeShade="BF"/>
    </w:rPr>
  </w:style>
  <w:style w:type="paragraph" w:styleId="IntenseQuote">
    <w:name w:val="Intense Quote"/>
    <w:basedOn w:val="Normal"/>
    <w:next w:val="Normal"/>
    <w:link w:val="IntenseQuoteChar"/>
    <w:uiPriority w:val="30"/>
    <w:qFormat/>
    <w:rsid w:val="00DC2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26B"/>
    <w:rPr>
      <w:i/>
      <w:iCs/>
      <w:color w:val="2F5496" w:themeColor="accent1" w:themeShade="BF"/>
    </w:rPr>
  </w:style>
  <w:style w:type="character" w:styleId="IntenseReference">
    <w:name w:val="Intense Reference"/>
    <w:basedOn w:val="DefaultParagraphFont"/>
    <w:uiPriority w:val="32"/>
    <w:qFormat/>
    <w:rsid w:val="00DC226B"/>
    <w:rPr>
      <w:b/>
      <w:bCs/>
      <w:smallCaps/>
      <w:color w:val="2F5496" w:themeColor="accent1" w:themeShade="BF"/>
      <w:spacing w:val="5"/>
    </w:rPr>
  </w:style>
  <w:style w:type="paragraph" w:styleId="BodyText">
    <w:name w:val="Body Text"/>
    <w:basedOn w:val="Normal"/>
    <w:link w:val="BodyTextChar"/>
    <w:qFormat/>
    <w:rsid w:val="00E16114"/>
    <w:pPr>
      <w:spacing w:after="200" w:line="480" w:lineRule="auto"/>
      <w:jc w:val="both"/>
    </w:pPr>
    <w:rPr>
      <w:rFonts w:ascii="Times New Roman" w:eastAsia="Calibri" w:hAnsi="Times New Roman" w:cs="Times New Roman"/>
      <w:sz w:val="24"/>
      <w:szCs w:val="24"/>
      <w:lang w:val="en-GB" w:eastAsia="en-US"/>
    </w:rPr>
  </w:style>
  <w:style w:type="character" w:customStyle="1" w:styleId="BodyTextChar">
    <w:name w:val="Body Text Char"/>
    <w:basedOn w:val="DefaultParagraphFont"/>
    <w:link w:val="BodyText"/>
    <w:qFormat/>
    <w:rsid w:val="00E16114"/>
    <w:rPr>
      <w:rFonts w:ascii="Times New Roman" w:eastAsia="Calibri" w:hAnsi="Times New Roman" w:cs="Times New Roman"/>
      <w:kern w:val="0"/>
      <w:lang w:val="en-GB"/>
      <w14:ligatures w14:val="none"/>
    </w:rPr>
  </w:style>
  <w:style w:type="character" w:styleId="Emphasis">
    <w:name w:val="Emphasis"/>
    <w:basedOn w:val="DefaultParagraphFont"/>
    <w:qFormat/>
    <w:rsid w:val="00E16114"/>
    <w:rPr>
      <w:i/>
      <w:iCs/>
    </w:rPr>
  </w:style>
  <w:style w:type="paragraph" w:styleId="NormalWeb">
    <w:name w:val="Normal (Web)"/>
    <w:basedOn w:val="Normal"/>
    <w:uiPriority w:val="99"/>
    <w:unhideWhenUsed/>
    <w:qFormat/>
    <w:rsid w:val="00E16114"/>
    <w:pPr>
      <w:spacing w:before="100" w:beforeAutospacing="1" w:after="100" w:afterAutospacing="1" w:line="276" w:lineRule="auto"/>
    </w:pPr>
    <w:rPr>
      <w:rFonts w:ascii="Times New Roman" w:eastAsia="Times New Roman" w:hAnsi="Times New Roman" w:cs="Times New Roman"/>
      <w:sz w:val="24"/>
      <w:szCs w:val="24"/>
      <w:lang w:eastAsia="en-US"/>
    </w:rPr>
  </w:style>
  <w:style w:type="paragraph" w:customStyle="1" w:styleId="msonormal0">
    <w:name w:val="msonormal"/>
    <w:basedOn w:val="Normal"/>
    <w:rsid w:val="00E16114"/>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99"/>
    <w:unhideWhenUsed/>
    <w:qFormat/>
    <w:rsid w:val="00E16114"/>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E16114"/>
    <w:pPr>
      <w:spacing w:before="100" w:beforeAutospacing="1"/>
    </w:pPr>
    <w:rPr>
      <w:rFonts w:eastAsia="Times New Roman"/>
      <w:sz w:val="22"/>
      <w:szCs w:val="22"/>
    </w:rPr>
  </w:style>
  <w:style w:type="table" w:customStyle="1" w:styleId="PlainTable21">
    <w:name w:val="Plain Table 21"/>
    <w:basedOn w:val="TableNormal"/>
    <w:uiPriority w:val="42"/>
    <w:qFormat/>
    <w:rsid w:val="00E16114"/>
    <w:pPr>
      <w:spacing w:after="0" w:line="240" w:lineRule="auto"/>
    </w:pPr>
    <w:rPr>
      <w:rFonts w:ascii="Calibri" w:eastAsia="Calibri" w:hAnsi="Calibri" w:cs="Calibri"/>
      <w:kern w:val="0"/>
      <w:sz w:val="20"/>
      <w:szCs w:val="20"/>
      <w:lang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rsid w:val="00E16114"/>
    <w:pPr>
      <w:tabs>
        <w:tab w:val="center" w:pos="4680"/>
        <w:tab w:val="right" w:pos="9360"/>
      </w:tabs>
    </w:pPr>
  </w:style>
  <w:style w:type="character" w:customStyle="1" w:styleId="HeaderChar">
    <w:name w:val="Header Char"/>
    <w:basedOn w:val="DefaultParagraphFont"/>
    <w:link w:val="Header"/>
    <w:rsid w:val="00E16114"/>
    <w:rPr>
      <w:rFonts w:eastAsiaTheme="minorEastAsia"/>
      <w:kern w:val="0"/>
      <w:sz w:val="20"/>
      <w:szCs w:val="20"/>
      <w:lang w:eastAsia="zh-CN"/>
      <w14:ligatures w14:val="none"/>
    </w:rPr>
  </w:style>
  <w:style w:type="paragraph" w:styleId="Footer">
    <w:name w:val="footer"/>
    <w:basedOn w:val="Normal"/>
    <w:link w:val="FooterChar"/>
    <w:rsid w:val="00E16114"/>
    <w:pPr>
      <w:tabs>
        <w:tab w:val="center" w:pos="4680"/>
        <w:tab w:val="right" w:pos="9360"/>
      </w:tabs>
    </w:pPr>
  </w:style>
  <w:style w:type="character" w:customStyle="1" w:styleId="FooterChar">
    <w:name w:val="Footer Char"/>
    <w:basedOn w:val="DefaultParagraphFont"/>
    <w:link w:val="Footer"/>
    <w:rsid w:val="00E16114"/>
    <w:rPr>
      <w:rFonts w:eastAsiaTheme="minorEastAsia"/>
      <w:kern w:val="0"/>
      <w:sz w:val="20"/>
      <w:szCs w:val="20"/>
      <w:lang w:eastAsia="zh-CN"/>
      <w14:ligatures w14:val="none"/>
    </w:rPr>
  </w:style>
  <w:style w:type="character" w:styleId="Hyperlink">
    <w:name w:val="Hyperlink"/>
    <w:basedOn w:val="DefaultParagraphFont"/>
    <w:uiPriority w:val="99"/>
    <w:unhideWhenUsed/>
    <w:rsid w:val="00E16114"/>
    <w:rPr>
      <w:color w:val="0563C1" w:themeColor="hyperlink"/>
      <w:u w:val="single"/>
    </w:rPr>
  </w:style>
  <w:style w:type="character" w:styleId="UnresolvedMention">
    <w:name w:val="Unresolved Mention"/>
    <w:basedOn w:val="DefaultParagraphFont"/>
    <w:uiPriority w:val="99"/>
    <w:semiHidden/>
    <w:unhideWhenUsed/>
    <w:rsid w:val="007F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25</Pages>
  <Words>6463</Words>
  <Characters>36843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2026-02-17T12:45:00Z</dcterms:created>
  <dcterms:modified xsi:type="dcterms:W3CDTF">2026-02-18T12:57:00Z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a90b3cbe-6f18-4dd1-8084-6e8a38573f14</vt:lpwstr>
  </property>
</Properties>
</file>